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3092E" w14:textId="7A32726C" w:rsidR="008B5B7A" w:rsidRPr="008B5B7A" w:rsidRDefault="006965B1" w:rsidP="005912AE">
      <w:pPr>
        <w:spacing w:line="480" w:lineRule="auto"/>
        <w:jc w:val="center"/>
        <w:rPr>
          <w:b/>
          <w:color w:val="000000" w:themeColor="text1"/>
          <w:sz w:val="32"/>
          <w:szCs w:val="32"/>
        </w:rPr>
      </w:pPr>
      <w:bookmarkStart w:id="0" w:name="_GoBack"/>
      <w:bookmarkEnd w:id="0"/>
      <w:r w:rsidRPr="006965B1">
        <w:rPr>
          <w:b/>
          <w:bCs/>
          <w:color w:val="000000" w:themeColor="text1"/>
          <w:sz w:val="32"/>
          <w:szCs w:val="32"/>
        </w:rPr>
        <w:t xml:space="preserve">Antidepressants in children and adolescents: </w:t>
      </w:r>
      <w:r>
        <w:rPr>
          <w:b/>
          <w:bCs/>
          <w:color w:val="000000" w:themeColor="text1"/>
          <w:sz w:val="32"/>
          <w:szCs w:val="32"/>
        </w:rPr>
        <w:t>m</w:t>
      </w:r>
      <w:r w:rsidRPr="006965B1">
        <w:rPr>
          <w:b/>
          <w:bCs/>
          <w:color w:val="000000" w:themeColor="text1"/>
          <w:sz w:val="32"/>
          <w:szCs w:val="32"/>
        </w:rPr>
        <w:t xml:space="preserve">eta-review of efficacy, </w:t>
      </w:r>
      <w:r>
        <w:rPr>
          <w:b/>
          <w:bCs/>
          <w:color w:val="000000" w:themeColor="text1"/>
          <w:sz w:val="32"/>
          <w:szCs w:val="32"/>
        </w:rPr>
        <w:t>tolerability</w:t>
      </w:r>
      <w:r w:rsidRPr="006965B1">
        <w:rPr>
          <w:b/>
          <w:bCs/>
          <w:color w:val="000000" w:themeColor="text1"/>
          <w:sz w:val="32"/>
          <w:szCs w:val="32"/>
        </w:rPr>
        <w:t xml:space="preserve"> and suicidality in acute treatment</w:t>
      </w:r>
    </w:p>
    <w:p w14:paraId="5D82B14B" w14:textId="68175824" w:rsidR="001E5836" w:rsidRPr="001E5836" w:rsidRDefault="001E5836" w:rsidP="005912AE">
      <w:pPr>
        <w:spacing w:line="480" w:lineRule="auto"/>
        <w:rPr>
          <w:color w:val="000000" w:themeColor="text1"/>
        </w:rPr>
      </w:pPr>
      <w:r>
        <w:rPr>
          <w:color w:val="000000" w:themeColor="text1"/>
        </w:rPr>
        <w:t>Katharine Boaden</w:t>
      </w:r>
      <w:r>
        <w:rPr>
          <w:color w:val="000000" w:themeColor="text1"/>
          <w:vertAlign w:val="superscript"/>
        </w:rPr>
        <w:t>1</w:t>
      </w:r>
      <w:r w:rsidRPr="000667FC">
        <w:rPr>
          <w:color w:val="000000" w:themeColor="text1"/>
        </w:rPr>
        <w:t xml:space="preserve"> Dr Anneka Tomlinson</w:t>
      </w:r>
      <w:r w:rsidRPr="00E84666">
        <w:rPr>
          <w:color w:val="000000" w:themeColor="text1"/>
          <w:vertAlign w:val="superscript"/>
        </w:rPr>
        <w:t>1,2</w:t>
      </w:r>
      <w:r>
        <w:rPr>
          <w:color w:val="000000" w:themeColor="text1"/>
        </w:rPr>
        <w:t xml:space="preserve"> </w:t>
      </w:r>
      <w:r w:rsidRPr="00E35091">
        <w:rPr>
          <w:lang w:val="it-IT"/>
        </w:rPr>
        <w:t>Professor Samuele Cortese</w:t>
      </w:r>
      <w:r w:rsidRPr="00E35091">
        <w:rPr>
          <w:vertAlign w:val="superscript"/>
          <w:lang w:val="it-IT"/>
        </w:rPr>
        <w:t>3,4,5,6</w:t>
      </w:r>
      <w:r w:rsidRPr="00E35091">
        <w:rPr>
          <w:b/>
          <w:lang w:val="it-IT"/>
        </w:rPr>
        <w:t xml:space="preserve"> </w:t>
      </w:r>
      <w:r w:rsidRPr="00E35091">
        <w:rPr>
          <w:lang w:val="it-IT"/>
        </w:rPr>
        <w:t>Professor Andrea Cipriani</w:t>
      </w:r>
      <w:r w:rsidRPr="00E35091">
        <w:rPr>
          <w:color w:val="000000" w:themeColor="text1"/>
          <w:vertAlign w:val="superscript"/>
          <w:lang w:val="it-IT"/>
        </w:rPr>
        <w:t>1,2</w:t>
      </w:r>
    </w:p>
    <w:p w14:paraId="476BAAD6" w14:textId="77777777" w:rsidR="001E5836" w:rsidRPr="000667FC" w:rsidRDefault="001E5836" w:rsidP="005912AE">
      <w:pPr>
        <w:pStyle w:val="ListParagraph"/>
        <w:numPr>
          <w:ilvl w:val="0"/>
          <w:numId w:val="23"/>
        </w:numPr>
        <w:spacing w:before="0" w:after="0" w:line="480" w:lineRule="auto"/>
        <w:ind w:left="426" w:hanging="426"/>
      </w:pPr>
      <w:r w:rsidRPr="000667FC">
        <w:t>Oxford Health NHS Foundation Trust, Warneford Hospital, Oxford OX3 7JX, UK</w:t>
      </w:r>
    </w:p>
    <w:p w14:paraId="1DB96C0A" w14:textId="17913CE7" w:rsidR="00130358" w:rsidRPr="009C48FB" w:rsidRDefault="001E5836" w:rsidP="005912AE">
      <w:pPr>
        <w:pStyle w:val="ListParagraph"/>
        <w:numPr>
          <w:ilvl w:val="0"/>
          <w:numId w:val="23"/>
        </w:numPr>
        <w:spacing w:before="0" w:after="0" w:line="480" w:lineRule="auto"/>
        <w:ind w:left="426" w:hanging="426"/>
        <w:rPr>
          <w:color w:val="000000" w:themeColor="text1"/>
        </w:rPr>
      </w:pPr>
      <w:r w:rsidRPr="009C48FB">
        <w:rPr>
          <w:color w:val="000000" w:themeColor="text1"/>
        </w:rPr>
        <w:t>Department of Psychiatry, University of Oxford, Oxford OX3 7JX, UK</w:t>
      </w:r>
    </w:p>
    <w:p w14:paraId="480B3AC8" w14:textId="422319A5" w:rsidR="00130358" w:rsidRPr="009C48FB" w:rsidRDefault="00130358" w:rsidP="00130358">
      <w:pPr>
        <w:pStyle w:val="ListParagraph"/>
        <w:numPr>
          <w:ilvl w:val="0"/>
          <w:numId w:val="23"/>
        </w:numPr>
        <w:spacing w:before="0" w:after="0" w:line="480" w:lineRule="auto"/>
        <w:ind w:left="426" w:hanging="426"/>
        <w:rPr>
          <w:color w:val="000000" w:themeColor="text1"/>
        </w:rPr>
      </w:pPr>
      <w:r w:rsidRPr="009C48FB">
        <w:rPr>
          <w:color w:val="000000" w:themeColor="text1"/>
          <w:shd w:val="clear" w:color="auto" w:fill="FFFFFF"/>
        </w:rPr>
        <w:t>Center for Innovation in Mental Health, School of Psychology, Faculty of Environmental and Life Sciences and Clinical and Experimental Sciences (CNS and Psychiatry), Faculty of Medicine, University of Southampton, Southampton SO17 1BJ, UK</w:t>
      </w:r>
    </w:p>
    <w:p w14:paraId="2E0EC083" w14:textId="06C133B3" w:rsidR="00130358" w:rsidRPr="00130358" w:rsidRDefault="00130358" w:rsidP="00130358">
      <w:pPr>
        <w:pStyle w:val="ListParagraph"/>
        <w:numPr>
          <w:ilvl w:val="0"/>
          <w:numId w:val="23"/>
        </w:numPr>
        <w:spacing w:before="0" w:after="0" w:line="480" w:lineRule="auto"/>
        <w:ind w:left="426" w:hanging="426"/>
      </w:pPr>
      <w:r w:rsidRPr="009C48FB">
        <w:rPr>
          <w:color w:val="212121"/>
          <w:shd w:val="clear" w:color="auto" w:fill="FFFFFF"/>
        </w:rPr>
        <w:t>Solent NHS Trust, Southampton, UK</w:t>
      </w:r>
    </w:p>
    <w:p w14:paraId="4CA2F6AF" w14:textId="77777777" w:rsidR="00130358" w:rsidRPr="00130358" w:rsidRDefault="00130358" w:rsidP="009C48FB">
      <w:pPr>
        <w:pStyle w:val="ListParagraph"/>
        <w:numPr>
          <w:ilvl w:val="0"/>
          <w:numId w:val="23"/>
        </w:numPr>
        <w:spacing w:before="0" w:after="0" w:line="480" w:lineRule="auto"/>
        <w:ind w:left="426" w:hanging="426"/>
      </w:pPr>
      <w:r w:rsidRPr="009C48FB">
        <w:rPr>
          <w:color w:val="212121"/>
          <w:shd w:val="clear" w:color="auto" w:fill="FFFFFF"/>
        </w:rPr>
        <w:t>Division of Psychiatry and Applied Psychology, School of Medicine and National Institute for Health Research MindTech Mental Health MedTech Cooperative and Centre for ADHD and Neurodevelopmental Disorders Across the Lifespan, Institute of Mental Health, University of Nottingham, UK</w:t>
      </w:r>
    </w:p>
    <w:p w14:paraId="74A60C90" w14:textId="3541125E" w:rsidR="001E5836" w:rsidRPr="000667FC" w:rsidRDefault="001E5836" w:rsidP="005912AE">
      <w:pPr>
        <w:pStyle w:val="ListParagraph"/>
        <w:numPr>
          <w:ilvl w:val="0"/>
          <w:numId w:val="23"/>
        </w:numPr>
        <w:spacing w:before="0" w:after="0" w:line="480" w:lineRule="auto"/>
        <w:ind w:left="426" w:hanging="426"/>
      </w:pPr>
      <w:r w:rsidRPr="00161432">
        <w:t>New York University Child Study Center, New York, NY, USA</w:t>
      </w:r>
    </w:p>
    <w:p w14:paraId="64016137" w14:textId="77777777" w:rsidR="005912AE" w:rsidRDefault="005912AE" w:rsidP="005912AE">
      <w:pPr>
        <w:spacing w:line="480" w:lineRule="auto"/>
        <w:rPr>
          <w:b/>
        </w:rPr>
      </w:pPr>
    </w:p>
    <w:p w14:paraId="06B53F98" w14:textId="1C6A6BAE" w:rsidR="001E5836" w:rsidRDefault="002868E2" w:rsidP="009C48FB">
      <w:pPr>
        <w:spacing w:line="360" w:lineRule="auto"/>
      </w:pPr>
      <w:r w:rsidRPr="00376CC5">
        <w:rPr>
          <w:b/>
        </w:rPr>
        <w:t>Correspondence</w:t>
      </w:r>
      <w:r w:rsidR="00130358">
        <w:rPr>
          <w:b/>
        </w:rPr>
        <w:t xml:space="preserve"> to</w:t>
      </w:r>
      <w:r w:rsidRPr="00376CC5">
        <w:rPr>
          <w:b/>
        </w:rPr>
        <w:t xml:space="preserve">: </w:t>
      </w:r>
      <w:r w:rsidR="00671D9A" w:rsidRPr="00376CC5">
        <w:rPr>
          <w:b/>
        </w:rPr>
        <w:br/>
      </w:r>
      <w:r w:rsidR="001E5836">
        <w:t>Professor Andrea Cipriani</w:t>
      </w:r>
    </w:p>
    <w:p w14:paraId="47358116" w14:textId="77777777" w:rsidR="00130358" w:rsidRDefault="00130358" w:rsidP="009C48FB">
      <w:pPr>
        <w:spacing w:line="360" w:lineRule="auto"/>
        <w:rPr>
          <w:color w:val="000000" w:themeColor="text1"/>
        </w:rPr>
      </w:pPr>
      <w:r w:rsidRPr="00FB2FA3">
        <w:rPr>
          <w:color w:val="000000" w:themeColor="text1"/>
        </w:rPr>
        <w:t xml:space="preserve">Department of Psychiatry, </w:t>
      </w:r>
    </w:p>
    <w:p w14:paraId="743CDFD0" w14:textId="77777777" w:rsidR="00130358" w:rsidRDefault="00130358" w:rsidP="009C48FB">
      <w:pPr>
        <w:spacing w:line="360" w:lineRule="auto"/>
        <w:rPr>
          <w:color w:val="000000" w:themeColor="text1"/>
        </w:rPr>
      </w:pPr>
      <w:r w:rsidRPr="00FB2FA3">
        <w:rPr>
          <w:color w:val="000000" w:themeColor="text1"/>
        </w:rPr>
        <w:t xml:space="preserve">University of Oxford, </w:t>
      </w:r>
    </w:p>
    <w:p w14:paraId="28383A32" w14:textId="5148E318" w:rsidR="00130358" w:rsidRDefault="00130358" w:rsidP="009C48FB">
      <w:pPr>
        <w:spacing w:line="360" w:lineRule="auto"/>
      </w:pPr>
      <w:r w:rsidRPr="00FB2FA3">
        <w:rPr>
          <w:color w:val="000000" w:themeColor="text1"/>
        </w:rPr>
        <w:t>Oxford OX3 7JX, UK</w:t>
      </w:r>
    </w:p>
    <w:p w14:paraId="5C5947F2" w14:textId="1151B5B9" w:rsidR="001E5836" w:rsidRPr="000667FC" w:rsidRDefault="001E5836" w:rsidP="009C48FB">
      <w:pPr>
        <w:spacing w:line="360" w:lineRule="auto"/>
      </w:pPr>
      <w:r>
        <w:rPr>
          <w:color w:val="000000" w:themeColor="text1"/>
        </w:rPr>
        <w:t>andrea.cipriani</w:t>
      </w:r>
      <w:r w:rsidRPr="000667FC">
        <w:rPr>
          <w:color w:val="000000" w:themeColor="text1"/>
        </w:rPr>
        <w:t>@psych.ox.ac.uk</w:t>
      </w:r>
    </w:p>
    <w:p w14:paraId="3333316E" w14:textId="77777777" w:rsidR="005912AE" w:rsidRDefault="005912AE" w:rsidP="005912AE">
      <w:pPr>
        <w:spacing w:line="480" w:lineRule="auto"/>
      </w:pPr>
    </w:p>
    <w:p w14:paraId="52FAC9E4" w14:textId="6F866872" w:rsidR="001E5836" w:rsidRPr="007421A5" w:rsidRDefault="00817DD6" w:rsidP="005912AE">
      <w:pPr>
        <w:spacing w:line="480" w:lineRule="auto"/>
        <w:rPr>
          <w:color w:val="000000"/>
        </w:rPr>
      </w:pPr>
      <w:r w:rsidRPr="00376CC5">
        <w:t xml:space="preserve">Keywords: </w:t>
      </w:r>
      <w:r w:rsidR="001E5836" w:rsidRPr="007421A5">
        <w:rPr>
          <w:color w:val="000000"/>
        </w:rPr>
        <w:t>antidepressants, children</w:t>
      </w:r>
      <w:r w:rsidR="009D27C3">
        <w:rPr>
          <w:color w:val="000000"/>
        </w:rPr>
        <w:t xml:space="preserve"> and</w:t>
      </w:r>
      <w:r w:rsidR="001E5836" w:rsidRPr="007421A5">
        <w:rPr>
          <w:color w:val="000000"/>
        </w:rPr>
        <w:t xml:space="preserve"> adolescents, systematic review, meta-analysis, efficacy,</w:t>
      </w:r>
    </w:p>
    <w:p w14:paraId="05158DF7" w14:textId="1E74406E" w:rsidR="005912AE" w:rsidRPr="005912AE" w:rsidRDefault="001E5836" w:rsidP="005912AE">
      <w:pPr>
        <w:spacing w:line="480" w:lineRule="auto"/>
        <w:rPr>
          <w:b/>
        </w:rPr>
      </w:pPr>
      <w:r w:rsidRPr="007421A5">
        <w:rPr>
          <w:color w:val="000000"/>
        </w:rPr>
        <w:t>tolerability, suicidality</w:t>
      </w:r>
      <w:r w:rsidR="005912AE">
        <w:rPr>
          <w:color w:val="000000"/>
        </w:rPr>
        <w:t>.</w:t>
      </w:r>
      <w:r w:rsidR="005912AE">
        <w:br w:type="page"/>
      </w:r>
    </w:p>
    <w:p w14:paraId="4DB10602" w14:textId="3F38E77D" w:rsidR="008E2B54" w:rsidRPr="00376CC5" w:rsidRDefault="00EA3D3C" w:rsidP="005912AE">
      <w:pPr>
        <w:pStyle w:val="AuthorList"/>
        <w:spacing w:before="0" w:after="0" w:line="480" w:lineRule="auto"/>
      </w:pPr>
      <w:r w:rsidRPr="00376CC5">
        <w:lastRenderedPageBreak/>
        <w:t>Abstract</w:t>
      </w:r>
    </w:p>
    <w:p w14:paraId="1AA30417" w14:textId="77777777" w:rsidR="001E5836" w:rsidRDefault="001E5836" w:rsidP="005912AE">
      <w:pPr>
        <w:spacing w:line="480" w:lineRule="auto"/>
        <w:rPr>
          <w:color w:val="000000"/>
        </w:rPr>
      </w:pPr>
      <w:r w:rsidRPr="005917C5">
        <w:rPr>
          <w:color w:val="000000"/>
        </w:rPr>
        <w:t xml:space="preserve">Antidepressants are </w:t>
      </w:r>
      <w:r>
        <w:rPr>
          <w:color w:val="000000"/>
        </w:rPr>
        <w:t>prescribed</w:t>
      </w:r>
      <w:r w:rsidRPr="005917C5">
        <w:rPr>
          <w:color w:val="000000"/>
        </w:rPr>
        <w:t xml:space="preserve"> </w:t>
      </w:r>
      <w:r>
        <w:rPr>
          <w:color w:val="000000"/>
        </w:rPr>
        <w:t>for</w:t>
      </w:r>
      <w:r w:rsidRPr="005917C5">
        <w:rPr>
          <w:color w:val="000000"/>
        </w:rPr>
        <w:t xml:space="preserve"> the treatment of a number of psychiatric disorders in </w:t>
      </w:r>
      <w:r>
        <w:rPr>
          <w:color w:val="000000"/>
        </w:rPr>
        <w:t>children and adolescents, however there is still controversy about whether they should be used in this population.</w:t>
      </w:r>
    </w:p>
    <w:p w14:paraId="7AE09AA7" w14:textId="77777777" w:rsidR="001E5836" w:rsidRDefault="001E5836" w:rsidP="005912AE">
      <w:pPr>
        <w:spacing w:line="480" w:lineRule="auto"/>
        <w:rPr>
          <w:color w:val="000000"/>
        </w:rPr>
      </w:pPr>
    </w:p>
    <w:p w14:paraId="1599F0A2" w14:textId="0B2363C8" w:rsidR="001E5836" w:rsidRPr="005917C5" w:rsidRDefault="001E5836" w:rsidP="005912AE">
      <w:pPr>
        <w:spacing w:line="480" w:lineRule="auto"/>
        <w:rPr>
          <w:color w:val="000000"/>
          <w:highlight w:val="yellow"/>
        </w:rPr>
      </w:pPr>
      <w:r>
        <w:rPr>
          <w:color w:val="000000"/>
        </w:rPr>
        <w:t>This</w:t>
      </w:r>
      <w:r w:rsidRPr="005917C5">
        <w:rPr>
          <w:color w:val="000000"/>
        </w:rPr>
        <w:t xml:space="preserve"> meta-review aimed to assess </w:t>
      </w:r>
      <w:r>
        <w:rPr>
          <w:color w:val="000000"/>
        </w:rPr>
        <w:t xml:space="preserve">the effects </w:t>
      </w:r>
      <w:r w:rsidRPr="005917C5">
        <w:rPr>
          <w:color w:val="000000"/>
        </w:rPr>
        <w:t xml:space="preserve">of antidepressants </w:t>
      </w:r>
      <w:r>
        <w:rPr>
          <w:color w:val="000000"/>
        </w:rPr>
        <w:t xml:space="preserve">for the acute treatment of </w:t>
      </w:r>
      <w:r w:rsidRPr="005917C5">
        <w:rPr>
          <w:color w:val="000000"/>
        </w:rPr>
        <w:t>attention</w:t>
      </w:r>
      <w:r>
        <w:rPr>
          <w:color w:val="000000"/>
        </w:rPr>
        <w:t>-</w:t>
      </w:r>
      <w:r w:rsidRPr="005917C5">
        <w:rPr>
          <w:color w:val="000000"/>
        </w:rPr>
        <w:t>deficit</w:t>
      </w:r>
      <w:r>
        <w:rPr>
          <w:color w:val="000000"/>
        </w:rPr>
        <w:t>/</w:t>
      </w:r>
      <w:r w:rsidRPr="005917C5">
        <w:rPr>
          <w:color w:val="000000"/>
        </w:rPr>
        <w:t>hyperactivity disorder (ADHD), anxiety disorders (ADs), autistic spectrum disorder (ASD),</w:t>
      </w:r>
      <w:r>
        <w:rPr>
          <w:color w:val="000000"/>
        </w:rPr>
        <w:t xml:space="preserve"> enuresis, major </w:t>
      </w:r>
      <w:r w:rsidRPr="005917C5">
        <w:rPr>
          <w:color w:val="000000"/>
        </w:rPr>
        <w:t>depressive disorder</w:t>
      </w:r>
      <w:r>
        <w:rPr>
          <w:color w:val="000000"/>
        </w:rPr>
        <w:t xml:space="preserve"> (MDD),</w:t>
      </w:r>
      <w:r w:rsidRPr="005917C5">
        <w:rPr>
          <w:color w:val="000000"/>
        </w:rPr>
        <w:t xml:space="preserve"> obsessive-compulsive disorder (OCD)</w:t>
      </w:r>
      <w:r>
        <w:rPr>
          <w:color w:val="000000"/>
        </w:rPr>
        <w:t>, and</w:t>
      </w:r>
      <w:r w:rsidRPr="005917C5">
        <w:rPr>
          <w:color w:val="000000"/>
        </w:rPr>
        <w:t xml:space="preserve"> post-traumatic stress disorder (PTSD)</w:t>
      </w:r>
      <w:r>
        <w:rPr>
          <w:color w:val="000000"/>
        </w:rPr>
        <w:t xml:space="preserve"> </w:t>
      </w:r>
      <w:r w:rsidRPr="007421A5">
        <w:rPr>
          <w:color w:val="000000"/>
        </w:rPr>
        <w:t>in children and</w:t>
      </w:r>
      <w:r>
        <w:rPr>
          <w:color w:val="000000"/>
        </w:rPr>
        <w:t xml:space="preserve"> </w:t>
      </w:r>
      <w:r w:rsidRPr="007421A5">
        <w:rPr>
          <w:color w:val="000000"/>
        </w:rPr>
        <w:t>adolescents</w:t>
      </w:r>
      <w:r>
        <w:rPr>
          <w:color w:val="000000"/>
        </w:rPr>
        <w:t xml:space="preserve">. </w:t>
      </w:r>
      <w:r w:rsidRPr="001B2E11">
        <w:rPr>
          <w:color w:val="000000"/>
        </w:rPr>
        <w:t>Efficacy was measured as response to treatment (either</w:t>
      </w:r>
      <w:r>
        <w:rPr>
          <w:color w:val="000000"/>
        </w:rPr>
        <w:t xml:space="preserve"> as</w:t>
      </w:r>
      <w:r w:rsidRPr="001B2E11">
        <w:rPr>
          <w:color w:val="000000"/>
        </w:rPr>
        <w:t xml:space="preserve"> mean overall change in symptoms or as</w:t>
      </w:r>
      <w:r>
        <w:rPr>
          <w:color w:val="000000"/>
        </w:rPr>
        <w:t xml:space="preserve"> a</w:t>
      </w:r>
      <w:r w:rsidRPr="001B2E11">
        <w:rPr>
          <w:color w:val="000000"/>
        </w:rPr>
        <w:t xml:space="preserve"> dichotomous outcome)</w:t>
      </w:r>
      <w:r>
        <w:t xml:space="preserve"> and </w:t>
      </w:r>
      <w:r w:rsidRPr="001B2E11">
        <w:t>tolerability</w:t>
      </w:r>
      <w:r>
        <w:t xml:space="preserve"> was measured</w:t>
      </w:r>
      <w:r w:rsidRPr="001B2E11">
        <w:t xml:space="preserve"> as</w:t>
      </w:r>
      <w:r>
        <w:t xml:space="preserve"> the</w:t>
      </w:r>
      <w:r w:rsidRPr="001B2E11">
        <w:t xml:space="preserve"> </w:t>
      </w:r>
      <w:r w:rsidRPr="001B2E11">
        <w:rPr>
          <w:color w:val="000000"/>
        </w:rPr>
        <w:t xml:space="preserve">proportion of patients discontinuing treatment due to adverse events. </w:t>
      </w:r>
      <w:r>
        <w:rPr>
          <w:color w:val="000000"/>
        </w:rPr>
        <w:t>S</w:t>
      </w:r>
      <w:r w:rsidRPr="00C342C1">
        <w:rPr>
          <w:color w:val="000000"/>
        </w:rPr>
        <w:t xml:space="preserve">uicidality </w:t>
      </w:r>
      <w:r>
        <w:rPr>
          <w:color w:val="000000"/>
        </w:rPr>
        <w:t xml:space="preserve">was measured </w:t>
      </w:r>
      <w:r w:rsidRPr="00C342C1">
        <w:rPr>
          <w:color w:val="000000"/>
        </w:rPr>
        <w:t>as suicidal ideation, behaviour (including suicide attempts) and completed suicide.</w:t>
      </w:r>
      <w:r>
        <w:rPr>
          <w:color w:val="000000"/>
        </w:rPr>
        <w:t xml:space="preserve"> </w:t>
      </w:r>
      <w:r w:rsidRPr="007421A5">
        <w:rPr>
          <w:color w:val="000000"/>
        </w:rPr>
        <w:t>PubMed, EMBASE and Web of Science were systematically searched (</w:t>
      </w:r>
      <w:r>
        <w:rPr>
          <w:color w:val="000000"/>
        </w:rPr>
        <w:t>until</w:t>
      </w:r>
      <w:r w:rsidRPr="007421A5">
        <w:rPr>
          <w:color w:val="000000"/>
        </w:rPr>
        <w:t xml:space="preserve"> 31</w:t>
      </w:r>
      <w:r>
        <w:rPr>
          <w:color w:val="000000"/>
        </w:rPr>
        <w:t xml:space="preserve"> </w:t>
      </w:r>
      <w:r w:rsidRPr="007421A5">
        <w:rPr>
          <w:color w:val="000000"/>
        </w:rPr>
        <w:t xml:space="preserve">October 2019) for </w:t>
      </w:r>
      <w:r>
        <w:rPr>
          <w:color w:val="000000"/>
        </w:rPr>
        <w:t xml:space="preserve">existing </w:t>
      </w:r>
      <w:r w:rsidRPr="007421A5">
        <w:rPr>
          <w:color w:val="000000"/>
        </w:rPr>
        <w:t>systematic reviews and</w:t>
      </w:r>
      <w:r w:rsidR="00354B0D">
        <w:rPr>
          <w:color w:val="000000"/>
        </w:rPr>
        <w:t>/or</w:t>
      </w:r>
      <w:r w:rsidRPr="007421A5">
        <w:rPr>
          <w:color w:val="000000"/>
        </w:rPr>
        <w:t xml:space="preserve"> meta-analyses of double-blind </w:t>
      </w:r>
      <w:r>
        <w:rPr>
          <w:color w:val="000000"/>
        </w:rPr>
        <w:t>randomized controlled trials</w:t>
      </w:r>
      <w:r w:rsidRPr="007421A5">
        <w:rPr>
          <w:color w:val="000000"/>
        </w:rPr>
        <w:t>. The</w:t>
      </w:r>
      <w:r>
        <w:rPr>
          <w:color w:val="000000"/>
        </w:rPr>
        <w:t xml:space="preserve"> </w:t>
      </w:r>
      <w:r w:rsidRPr="007421A5">
        <w:rPr>
          <w:color w:val="000000"/>
        </w:rPr>
        <w:t xml:space="preserve">quality of </w:t>
      </w:r>
      <w:r>
        <w:rPr>
          <w:color w:val="000000"/>
        </w:rPr>
        <w:t>the included reviews</w:t>
      </w:r>
      <w:r w:rsidRPr="007421A5">
        <w:rPr>
          <w:color w:val="000000"/>
        </w:rPr>
        <w:t xml:space="preserve"> was appraised using AMSTAR-2.</w:t>
      </w:r>
    </w:p>
    <w:p w14:paraId="4DB122FC" w14:textId="77777777" w:rsidR="001E5836" w:rsidRDefault="001E5836" w:rsidP="005912AE">
      <w:pPr>
        <w:spacing w:line="480" w:lineRule="auto"/>
        <w:rPr>
          <w:color w:val="000000"/>
        </w:rPr>
      </w:pPr>
    </w:p>
    <w:p w14:paraId="1F97F6DD" w14:textId="77777777" w:rsidR="001E5836" w:rsidRPr="007421A5" w:rsidRDefault="001E5836" w:rsidP="005912AE">
      <w:pPr>
        <w:spacing w:line="480" w:lineRule="auto"/>
        <w:rPr>
          <w:color w:val="000000"/>
        </w:rPr>
      </w:pPr>
      <w:r w:rsidRPr="007421A5">
        <w:rPr>
          <w:color w:val="000000"/>
        </w:rPr>
        <w:t xml:space="preserve">Our meta-review included </w:t>
      </w:r>
      <w:r>
        <w:rPr>
          <w:color w:val="000000"/>
        </w:rPr>
        <w:t>n</w:t>
      </w:r>
      <w:r w:rsidRPr="007421A5">
        <w:rPr>
          <w:color w:val="000000"/>
        </w:rPr>
        <w:t>ine systematic reviews/meta-analyses (2 on ADHD;</w:t>
      </w:r>
      <w:r>
        <w:rPr>
          <w:color w:val="000000"/>
        </w:rPr>
        <w:t xml:space="preserve"> </w:t>
      </w:r>
      <w:r w:rsidRPr="007421A5">
        <w:rPr>
          <w:color w:val="000000"/>
        </w:rPr>
        <w:t>1 on AD; 2 on ASD</w:t>
      </w:r>
      <w:r>
        <w:rPr>
          <w:color w:val="000000"/>
        </w:rPr>
        <w:t xml:space="preserve">; </w:t>
      </w:r>
      <w:r w:rsidRPr="007421A5">
        <w:rPr>
          <w:color w:val="000000"/>
        </w:rPr>
        <w:t xml:space="preserve">1 on </w:t>
      </w:r>
      <w:r>
        <w:rPr>
          <w:color w:val="000000"/>
        </w:rPr>
        <w:t>e</w:t>
      </w:r>
      <w:r w:rsidRPr="007421A5">
        <w:rPr>
          <w:color w:val="000000"/>
        </w:rPr>
        <w:t>nuresis</w:t>
      </w:r>
      <w:r>
        <w:rPr>
          <w:color w:val="000000"/>
        </w:rPr>
        <w:t xml:space="preserve">; </w:t>
      </w:r>
      <w:r w:rsidRPr="007421A5">
        <w:rPr>
          <w:color w:val="000000"/>
        </w:rPr>
        <w:t xml:space="preserve">1 on </w:t>
      </w:r>
      <w:r>
        <w:rPr>
          <w:color w:val="000000"/>
        </w:rPr>
        <w:t>M</w:t>
      </w:r>
      <w:r w:rsidRPr="007421A5">
        <w:rPr>
          <w:color w:val="000000"/>
        </w:rPr>
        <w:t>DD</w:t>
      </w:r>
      <w:r>
        <w:rPr>
          <w:color w:val="000000"/>
        </w:rPr>
        <w:t xml:space="preserve">, 1 on OCD and 1 on PTSD). </w:t>
      </w:r>
      <w:r w:rsidRPr="007421A5">
        <w:rPr>
          <w:color w:val="000000"/>
        </w:rPr>
        <w:t xml:space="preserve"> </w:t>
      </w:r>
    </w:p>
    <w:p w14:paraId="23E6438B" w14:textId="77777777" w:rsidR="001E5836" w:rsidRPr="007421A5" w:rsidRDefault="001E5836" w:rsidP="005912AE">
      <w:pPr>
        <w:spacing w:line="480" w:lineRule="auto"/>
        <w:rPr>
          <w:color w:val="000000"/>
        </w:rPr>
      </w:pPr>
    </w:p>
    <w:p w14:paraId="53B9FB5E" w14:textId="7C5C96E3" w:rsidR="001E5836" w:rsidRDefault="001E5836" w:rsidP="005912AE">
      <w:pPr>
        <w:spacing w:line="480" w:lineRule="auto"/>
        <w:rPr>
          <w:color w:val="000000"/>
        </w:rPr>
      </w:pPr>
      <w:r w:rsidRPr="007421A5">
        <w:rPr>
          <w:color w:val="000000"/>
        </w:rPr>
        <w:t xml:space="preserve">In terms of efficacy </w:t>
      </w:r>
      <w:r>
        <w:rPr>
          <w:color w:val="000000"/>
        </w:rPr>
        <w:t>this review found that</w:t>
      </w:r>
      <w:r w:rsidRPr="007421A5">
        <w:rPr>
          <w:color w:val="000000"/>
        </w:rPr>
        <w:t>, compared to placebo:</w:t>
      </w:r>
      <w:r>
        <w:rPr>
          <w:color w:val="000000"/>
        </w:rPr>
        <w:t xml:space="preserve"> </w:t>
      </w:r>
      <w:r w:rsidRPr="007421A5">
        <w:rPr>
          <w:color w:val="000000"/>
        </w:rPr>
        <w:t xml:space="preserve">fluoxetine was more efficacious in the treatment of </w:t>
      </w:r>
      <w:r>
        <w:rPr>
          <w:color w:val="000000"/>
        </w:rPr>
        <w:t>M</w:t>
      </w:r>
      <w:r w:rsidRPr="007421A5">
        <w:rPr>
          <w:color w:val="000000"/>
        </w:rPr>
        <w:t>DD, fluvoxamine and paroxetine were better in the treatment of AD; fluoxetine and sertraline were more</w:t>
      </w:r>
      <w:r>
        <w:rPr>
          <w:color w:val="000000"/>
        </w:rPr>
        <w:t xml:space="preserve"> </w:t>
      </w:r>
      <w:r w:rsidRPr="007421A5">
        <w:rPr>
          <w:color w:val="000000"/>
        </w:rPr>
        <w:t>efficacious in the treatment of OCD; bupropion and desipramine improv</w:t>
      </w:r>
      <w:r>
        <w:rPr>
          <w:color w:val="000000"/>
        </w:rPr>
        <w:t>ed</w:t>
      </w:r>
      <w:r w:rsidRPr="007421A5">
        <w:rPr>
          <w:color w:val="000000"/>
        </w:rPr>
        <w:t xml:space="preserve"> clinician and teacher-rated ADHD symptoms; clomipramine and</w:t>
      </w:r>
      <w:r>
        <w:rPr>
          <w:color w:val="000000"/>
        </w:rPr>
        <w:t xml:space="preserve"> </w:t>
      </w:r>
      <w:r w:rsidRPr="007421A5">
        <w:rPr>
          <w:color w:val="000000"/>
        </w:rPr>
        <w:t>tianeptine were superior on some of the core symptoms of ASD; and no antidepressant was</w:t>
      </w:r>
      <w:r>
        <w:rPr>
          <w:color w:val="000000"/>
        </w:rPr>
        <w:t xml:space="preserve"> </w:t>
      </w:r>
      <w:r w:rsidRPr="007421A5">
        <w:rPr>
          <w:color w:val="000000"/>
        </w:rPr>
        <w:t>more efficacious for PTSD and enuresis. With regard to tolerability</w:t>
      </w:r>
      <w:r>
        <w:rPr>
          <w:color w:val="000000"/>
        </w:rPr>
        <w:t xml:space="preserve">: </w:t>
      </w:r>
      <w:r w:rsidRPr="007421A5">
        <w:rPr>
          <w:color w:val="000000"/>
        </w:rPr>
        <w:t xml:space="preserve">imipramine, venlafaxine, and duloxetine were less well tolerated in </w:t>
      </w:r>
      <w:r>
        <w:rPr>
          <w:color w:val="000000"/>
        </w:rPr>
        <w:t>M</w:t>
      </w:r>
      <w:r w:rsidRPr="007421A5">
        <w:rPr>
          <w:color w:val="000000"/>
        </w:rPr>
        <w:t>DD; no differences were found for any of the antidepressants in the treatment of anxiety disorders,</w:t>
      </w:r>
      <w:r>
        <w:rPr>
          <w:color w:val="000000"/>
        </w:rPr>
        <w:t xml:space="preserve"> </w:t>
      </w:r>
      <w:r w:rsidRPr="007421A5">
        <w:rPr>
          <w:color w:val="000000"/>
        </w:rPr>
        <w:t xml:space="preserve">ADHD, </w:t>
      </w:r>
      <w:r w:rsidRPr="007421A5">
        <w:rPr>
          <w:color w:val="000000"/>
        </w:rPr>
        <w:lastRenderedPageBreak/>
        <w:t>and PTSD; tianeptine and citalopram, but not clomipramine, were less well tolerated</w:t>
      </w:r>
      <w:r>
        <w:rPr>
          <w:color w:val="000000"/>
        </w:rPr>
        <w:t xml:space="preserve"> </w:t>
      </w:r>
      <w:r w:rsidRPr="007421A5">
        <w:rPr>
          <w:color w:val="000000"/>
        </w:rPr>
        <w:t xml:space="preserve">in children </w:t>
      </w:r>
      <w:r>
        <w:rPr>
          <w:color w:val="000000"/>
        </w:rPr>
        <w:t xml:space="preserve">and adolescents </w:t>
      </w:r>
      <w:r w:rsidRPr="007421A5">
        <w:rPr>
          <w:color w:val="000000"/>
        </w:rPr>
        <w:t xml:space="preserve">with ASD. </w:t>
      </w:r>
    </w:p>
    <w:p w14:paraId="20ED371E" w14:textId="77777777" w:rsidR="001E5836" w:rsidRDefault="001E5836" w:rsidP="005912AE">
      <w:pPr>
        <w:spacing w:line="480" w:lineRule="auto"/>
        <w:rPr>
          <w:color w:val="000000"/>
        </w:rPr>
      </w:pPr>
    </w:p>
    <w:p w14:paraId="2235EDFF" w14:textId="194F5521" w:rsidR="00D5275C" w:rsidRDefault="001E5836" w:rsidP="005912AE">
      <w:pPr>
        <w:spacing w:line="480" w:lineRule="auto"/>
        <w:rPr>
          <w:color w:val="000000"/>
        </w:rPr>
      </w:pPr>
      <w:r w:rsidRPr="007421A5">
        <w:rPr>
          <w:color w:val="000000"/>
        </w:rPr>
        <w:t xml:space="preserve">For suicidal behavior/ideation, venlafaxine </w:t>
      </w:r>
      <w:r w:rsidR="00354B0D">
        <w:rPr>
          <w:color w:val="000000"/>
        </w:rPr>
        <w:t>(</w:t>
      </w:r>
      <w:r w:rsidRPr="007421A5">
        <w:rPr>
          <w:color w:val="000000"/>
        </w:rPr>
        <w:t xml:space="preserve">in </w:t>
      </w:r>
      <w:r>
        <w:rPr>
          <w:color w:val="000000"/>
        </w:rPr>
        <w:t>M</w:t>
      </w:r>
      <w:r w:rsidRPr="007421A5">
        <w:rPr>
          <w:color w:val="000000"/>
        </w:rPr>
        <w:t>DD</w:t>
      </w:r>
      <w:r w:rsidR="00354B0D">
        <w:rPr>
          <w:color w:val="000000"/>
        </w:rPr>
        <w:t>)</w:t>
      </w:r>
      <w:r w:rsidRPr="007421A5">
        <w:rPr>
          <w:color w:val="000000"/>
        </w:rPr>
        <w:t xml:space="preserve"> and paroxetine </w:t>
      </w:r>
      <w:r w:rsidR="00354B0D">
        <w:rPr>
          <w:color w:val="000000"/>
        </w:rPr>
        <w:t>(</w:t>
      </w:r>
      <w:r w:rsidRPr="007421A5">
        <w:rPr>
          <w:color w:val="000000"/>
        </w:rPr>
        <w:t>in</w:t>
      </w:r>
      <w:r>
        <w:rPr>
          <w:color w:val="000000"/>
        </w:rPr>
        <w:t xml:space="preserve"> </w:t>
      </w:r>
      <w:r w:rsidRPr="007421A5">
        <w:rPr>
          <w:color w:val="000000"/>
        </w:rPr>
        <w:t>AD</w:t>
      </w:r>
      <w:r w:rsidR="00354B0D">
        <w:rPr>
          <w:color w:val="000000"/>
        </w:rPr>
        <w:t>)</w:t>
      </w:r>
      <w:r w:rsidRPr="007421A5">
        <w:rPr>
          <w:color w:val="000000"/>
        </w:rPr>
        <w:t xml:space="preserve"> were associated with a significantly increased risk</w:t>
      </w:r>
      <w:r w:rsidR="00354B0D">
        <w:rPr>
          <w:color w:val="000000"/>
        </w:rPr>
        <w:t>; by contrast,</w:t>
      </w:r>
      <w:r w:rsidRPr="007421A5">
        <w:rPr>
          <w:color w:val="000000"/>
        </w:rPr>
        <w:t xml:space="preserve"> sertraline </w:t>
      </w:r>
      <w:r>
        <w:rPr>
          <w:color w:val="000000"/>
        </w:rPr>
        <w:t xml:space="preserve">(in AD) </w:t>
      </w:r>
      <w:r w:rsidRPr="007421A5">
        <w:rPr>
          <w:color w:val="000000"/>
        </w:rPr>
        <w:t>was associated with a</w:t>
      </w:r>
      <w:r>
        <w:rPr>
          <w:color w:val="000000"/>
        </w:rPr>
        <w:t xml:space="preserve"> </w:t>
      </w:r>
      <w:r w:rsidRPr="007421A5">
        <w:rPr>
          <w:color w:val="000000"/>
        </w:rPr>
        <w:t>reduced risk.</w:t>
      </w:r>
      <w:r>
        <w:rPr>
          <w:color w:val="000000"/>
        </w:rPr>
        <w:t xml:space="preserve"> </w:t>
      </w:r>
    </w:p>
    <w:p w14:paraId="107043B8" w14:textId="77777777" w:rsidR="00D5275C" w:rsidRDefault="00D5275C" w:rsidP="005912AE">
      <w:pPr>
        <w:spacing w:line="480" w:lineRule="auto"/>
        <w:rPr>
          <w:color w:val="000000"/>
        </w:rPr>
      </w:pPr>
    </w:p>
    <w:p w14:paraId="476837F0" w14:textId="53E4ED4B" w:rsidR="001E5836" w:rsidRDefault="001E5836" w:rsidP="005912AE">
      <w:pPr>
        <w:spacing w:line="480" w:lineRule="auto"/>
        <w:rPr>
          <w:color w:val="000000"/>
        </w:rPr>
      </w:pPr>
      <w:r>
        <w:rPr>
          <w:color w:val="000000"/>
        </w:rPr>
        <w:t xml:space="preserve">The majority of included </w:t>
      </w:r>
      <w:r w:rsidR="00354B0D">
        <w:rPr>
          <w:color w:val="000000"/>
        </w:rPr>
        <w:t>systematic reviews/meta-analyses</w:t>
      </w:r>
      <w:r>
        <w:rPr>
          <w:color w:val="000000"/>
        </w:rPr>
        <w:t xml:space="preserve"> were rated as being of high or moderate in quality by the AMSTAR-2 critical appraisal tool</w:t>
      </w:r>
      <w:r w:rsidR="00354B0D">
        <w:rPr>
          <w:color w:val="000000"/>
        </w:rPr>
        <w:t xml:space="preserve"> (one and five, respectively)</w:t>
      </w:r>
      <w:r>
        <w:rPr>
          <w:color w:val="000000"/>
        </w:rPr>
        <w:t xml:space="preserve">. One included study was of low quality and two were of </w:t>
      </w:r>
      <w:r w:rsidR="00C42A68">
        <w:rPr>
          <w:color w:val="000000"/>
        </w:rPr>
        <w:t>critically</w:t>
      </w:r>
      <w:r>
        <w:rPr>
          <w:color w:val="000000"/>
        </w:rPr>
        <w:t xml:space="preserve"> low quality. </w:t>
      </w:r>
    </w:p>
    <w:p w14:paraId="0436DB51" w14:textId="77777777" w:rsidR="001E5836" w:rsidRDefault="001E5836" w:rsidP="005912AE">
      <w:pPr>
        <w:pStyle w:val="NormalWeb"/>
        <w:spacing w:before="0" w:beforeAutospacing="0" w:after="0" w:afterAutospacing="0" w:line="480" w:lineRule="auto"/>
        <w:rPr>
          <w:rFonts w:eastAsia="TimesNewRomanPSMT"/>
          <w:color w:val="000000" w:themeColor="text1"/>
          <w:highlight w:val="yellow"/>
        </w:rPr>
      </w:pPr>
    </w:p>
    <w:p w14:paraId="55F07CB1" w14:textId="13819A53" w:rsidR="005912AE" w:rsidRPr="00354B0D" w:rsidRDefault="00354B0D" w:rsidP="00354B0D">
      <w:pPr>
        <w:pStyle w:val="NormalWeb"/>
        <w:spacing w:before="0" w:beforeAutospacing="0" w:after="0" w:afterAutospacing="0" w:line="480" w:lineRule="auto"/>
        <w:rPr>
          <w:rFonts w:eastAsia="TimesNewRomanPSMT"/>
          <w:color w:val="000000" w:themeColor="text1"/>
          <w:highlight w:val="yellow"/>
        </w:rPr>
      </w:pPr>
      <w:r>
        <w:t>C</w:t>
      </w:r>
      <w:r w:rsidR="001E5836" w:rsidRPr="000667FC">
        <w:t>ompared to placebo</w:t>
      </w:r>
      <w:r w:rsidR="001E5836">
        <w:t xml:space="preserve">, selected antidepressants can be efficacious in the acute treatment of some common psychiatric disorders, although statistically significant differences do not always translate into clinically significant results. </w:t>
      </w:r>
      <w:r w:rsidR="0090128A">
        <w:rPr>
          <w:lang w:val="en-GB"/>
        </w:rPr>
        <w:t>L</w:t>
      </w:r>
      <w:r w:rsidR="0090128A" w:rsidRPr="0090128A">
        <w:rPr>
          <w:lang w:val="en-GB"/>
        </w:rPr>
        <w:t>ittle information was available about tolerability of antidepressants in RCTs of OCD</w:t>
      </w:r>
      <w:r w:rsidR="0090128A" w:rsidRPr="0090128A">
        <w:t xml:space="preserve"> </w:t>
      </w:r>
      <w:r w:rsidR="00570A1B">
        <w:rPr>
          <w:rFonts w:eastAsia="TimesNewRomanPSMT"/>
          <w:color w:val="000000" w:themeColor="text1"/>
        </w:rPr>
        <w:t>and</w:t>
      </w:r>
      <w:r w:rsidR="001E5836" w:rsidRPr="00D30D4C">
        <w:rPr>
          <w:rFonts w:eastAsia="TimesNewRomanPSMT"/>
          <w:color w:val="000000" w:themeColor="text1"/>
        </w:rPr>
        <w:t xml:space="preserve"> in the treatment of ADHD, ASD, MDD and PTSD. There is a paucity of data on suicidal ideation/behaviour, but </w:t>
      </w:r>
      <w:r w:rsidR="001E5836">
        <w:rPr>
          <w:rFonts w:eastAsia="TimesNewRomanPSMT"/>
          <w:color w:val="000000" w:themeColor="text1"/>
        </w:rPr>
        <w:t xml:space="preserve">paroxetine may </w:t>
      </w:r>
      <w:r w:rsidR="001E5836" w:rsidRPr="00D30D4C">
        <w:rPr>
          <w:rFonts w:eastAsia="TimesNewRomanPSMT"/>
          <w:color w:val="000000" w:themeColor="text1"/>
        </w:rPr>
        <w:t>increase</w:t>
      </w:r>
      <w:r w:rsidR="001E5836">
        <w:rPr>
          <w:rFonts w:eastAsia="TimesNewRomanPSMT"/>
          <w:color w:val="000000" w:themeColor="text1"/>
        </w:rPr>
        <w:t xml:space="preserve"> the</w:t>
      </w:r>
      <w:r w:rsidR="001E5836" w:rsidRPr="00D30D4C">
        <w:rPr>
          <w:rFonts w:eastAsia="TimesNewRomanPSMT"/>
          <w:color w:val="000000" w:themeColor="text1"/>
        </w:rPr>
        <w:t xml:space="preserve"> risk of suicidality in the treatment of AD and venlafaxine for MDD.</w:t>
      </w:r>
      <w:r w:rsidR="001E5836">
        <w:rPr>
          <w:rFonts w:eastAsia="TimesNewRomanPSMT"/>
          <w:color w:val="000000" w:themeColor="text1"/>
        </w:rPr>
        <w:t xml:space="preserve"> </w:t>
      </w:r>
      <w:r w:rsidR="001E5836">
        <w:t xml:space="preserve">Findings </w:t>
      </w:r>
      <w:r w:rsidR="00D5275C">
        <w:t xml:space="preserve">from this review </w:t>
      </w:r>
      <w:r w:rsidR="001E5836">
        <w:t>must be considered in light of potential limitations, such as the lack of comparative information about many antidepressants, the short-term outcomes and the quality of the available evidence.</w:t>
      </w:r>
      <w:r w:rsidR="001E5836" w:rsidRPr="00D30D4C">
        <w:rPr>
          <w:rFonts w:eastAsia="TimesNewRomanPSMT"/>
          <w:color w:val="000000" w:themeColor="text1"/>
        </w:rPr>
        <w:t xml:space="preserve"> </w:t>
      </w:r>
    </w:p>
    <w:p w14:paraId="2309F9BE" w14:textId="77777777" w:rsidR="00354B0D" w:rsidRDefault="00354B0D">
      <w:pPr>
        <w:spacing w:after="200" w:line="276" w:lineRule="auto"/>
        <w:rPr>
          <w:rFonts w:eastAsia="Cambria"/>
          <w:b/>
        </w:rPr>
      </w:pPr>
      <w:r>
        <w:br w:type="page"/>
      </w:r>
    </w:p>
    <w:p w14:paraId="57F6A29A" w14:textId="52DA7D69" w:rsidR="00EA3D3C" w:rsidRDefault="00EA3D3C" w:rsidP="00354B0D">
      <w:pPr>
        <w:pStyle w:val="Heading1"/>
        <w:numPr>
          <w:ilvl w:val="0"/>
          <w:numId w:val="0"/>
        </w:numPr>
        <w:spacing w:before="0" w:after="0" w:line="480" w:lineRule="auto"/>
      </w:pPr>
      <w:r w:rsidRPr="00376CC5">
        <w:lastRenderedPageBreak/>
        <w:t>Introduction</w:t>
      </w:r>
    </w:p>
    <w:p w14:paraId="15F66D99" w14:textId="77777777" w:rsidR="006A47F6" w:rsidRPr="006A47F6" w:rsidRDefault="006A47F6" w:rsidP="00354B0D">
      <w:pPr>
        <w:spacing w:line="480" w:lineRule="auto"/>
      </w:pPr>
    </w:p>
    <w:p w14:paraId="46274AB1" w14:textId="5373E3BE" w:rsidR="001E5836" w:rsidRPr="000667FC" w:rsidRDefault="001E5836" w:rsidP="00354B0D">
      <w:pPr>
        <w:spacing w:line="480" w:lineRule="auto"/>
      </w:pPr>
      <w:r>
        <w:t>There are many classes of</w:t>
      </w:r>
      <w:r w:rsidRPr="00333F63">
        <w:t xml:space="preserve"> </w:t>
      </w:r>
      <w:r w:rsidRPr="006A27BE">
        <w:t>antidepressants</w:t>
      </w:r>
      <w:r>
        <w:t xml:space="preserve">, which </w:t>
      </w:r>
      <w:r w:rsidRPr="000667FC">
        <w:t xml:space="preserve">include selective serotonin reuptake inhibitors (SSRIs), serotonin-noradrenaline reuptake inhibitors (SNRIs), noradrenaline and specific serotonergic antidepressants (NASSAs), tricyclic antidepressants (TCAs), and monoamine oxidase inhibitors (MAOIs). Antidepressants are one of the possible intervention strategies for a number of mental health conditions in adults as well as in young people. Indeed, several antidepressants are currently licensed for the treatment of child and adolescent psychiatric disorders, with specific indications varying across countries. For instance, in the USA, fluoxetine and escitalopram are Food and Drug Administration (FDA)-approved for major depressive disorder (MDD), fluoxetine, sertraline, fluvoxamine, and clomipramine for obsessive-compulsive disorder (OCD), duloxetine for generalized anxiety disorder (GAD) and the combination of olanzapine and fluoxetine for bipolar </w:t>
      </w:r>
      <w:r w:rsidRPr="00202932">
        <w:t>depression</w:t>
      </w:r>
      <w:bookmarkStart w:id="1" w:name="_Ref45747949"/>
      <w:bookmarkStart w:id="2" w:name="_Ref45930100"/>
      <w:r w:rsidR="00A4398A" w:rsidRPr="009C48FB">
        <w:rPr>
          <w:rStyle w:val="FootnoteReference"/>
        </w:rPr>
        <w:footnoteReference w:id="1"/>
      </w:r>
      <w:bookmarkEnd w:id="1"/>
      <w:bookmarkEnd w:id="2"/>
      <w:r w:rsidR="00727122" w:rsidRPr="00202932">
        <w:t xml:space="preserve">. </w:t>
      </w:r>
      <w:r w:rsidRPr="00B70DDE">
        <w:t>In the UK, fluoxetine is licensed for MDD, fluvoxamine and sertraline for OCD, and imipramine for nocturnal enuresis</w:t>
      </w:r>
      <w:bookmarkStart w:id="3" w:name="_Ref45747990"/>
      <w:bookmarkStart w:id="4" w:name="_Ref45930117"/>
      <w:r w:rsidR="0085679A" w:rsidRPr="009C48FB">
        <w:rPr>
          <w:rStyle w:val="FootnoteReference"/>
        </w:rPr>
        <w:footnoteReference w:id="2"/>
      </w:r>
      <w:bookmarkEnd w:id="3"/>
      <w:bookmarkEnd w:id="4"/>
      <w:r w:rsidRPr="00B70DDE">
        <w:t>.</w:t>
      </w:r>
      <w:r>
        <w:t xml:space="preserve"> </w:t>
      </w:r>
      <w:r w:rsidRPr="00B33455">
        <w:t>Furthermore, some antidepressants are used by clinicians for non-licensed indications, such as amitriptyline for neuropathic pain and, historically, tricyclic antidepressants, in particular imipramine, have been used for the management of Attention-Deficit/Hyperactivity Disorder (ADHD).</w:t>
      </w:r>
    </w:p>
    <w:p w14:paraId="6C693360" w14:textId="77777777" w:rsidR="001E5836" w:rsidRPr="000667FC" w:rsidRDefault="001E5836" w:rsidP="00354B0D">
      <w:pPr>
        <w:spacing w:line="480" w:lineRule="auto"/>
      </w:pPr>
    </w:p>
    <w:p w14:paraId="1AE4EA3B" w14:textId="2589E378" w:rsidR="001E5836" w:rsidRPr="000667FC" w:rsidRDefault="001E5836" w:rsidP="00354B0D">
      <w:pPr>
        <w:spacing w:line="480" w:lineRule="auto"/>
        <w:rPr>
          <w:color w:val="000000"/>
          <w:shd w:val="clear" w:color="auto" w:fill="FFFFFF"/>
        </w:rPr>
      </w:pPr>
      <w:r w:rsidRPr="000667FC">
        <w:t>Over the past decade, the use of antidepressants in children and adolescent</w:t>
      </w:r>
      <w:r>
        <w:t>s</w:t>
      </w:r>
      <w:r w:rsidRPr="000667FC">
        <w:t xml:space="preserve"> has increased in </w:t>
      </w:r>
      <w:r>
        <w:t xml:space="preserve">many </w:t>
      </w:r>
      <w:r w:rsidRPr="000667FC">
        <w:t xml:space="preserve">Western countries. From 2005 to 2012, the prevalence of antidepressant use has increased from </w:t>
      </w:r>
      <w:r w:rsidRPr="000667FC">
        <w:rPr>
          <w:color w:val="000000"/>
          <w:shd w:val="clear" w:color="auto" w:fill="FFFFFF"/>
        </w:rPr>
        <w:t>1.3% to 1.6% in the USA, from 0.7% to 1.1% in the UK, from 0.6% to 1.0% in Denmark, from 0.5% to 0.6% in the Netherlands, and from 0.3% to 0.5% in Germany</w:t>
      </w:r>
      <w:r w:rsidR="00727122">
        <w:rPr>
          <w:rStyle w:val="EndnoteReference"/>
          <w:color w:val="000000"/>
          <w:shd w:val="clear" w:color="auto" w:fill="FFFFFF"/>
        </w:rPr>
        <w:endnoteReference w:id="1"/>
      </w:r>
      <w:r w:rsidRPr="000667FC">
        <w:rPr>
          <w:color w:val="000000"/>
          <w:shd w:val="clear" w:color="auto" w:fill="FFFFFF"/>
        </w:rPr>
        <w:t xml:space="preserve">. </w:t>
      </w:r>
    </w:p>
    <w:p w14:paraId="5AFA92C1" w14:textId="77777777" w:rsidR="001E5836" w:rsidRPr="000667FC" w:rsidRDefault="001E5836" w:rsidP="00354B0D">
      <w:pPr>
        <w:spacing w:line="480" w:lineRule="auto"/>
        <w:rPr>
          <w:color w:val="000000" w:themeColor="text1"/>
        </w:rPr>
      </w:pPr>
    </w:p>
    <w:p w14:paraId="59DCCE3A" w14:textId="4E2D9A29" w:rsidR="001E5836" w:rsidRPr="000667FC" w:rsidRDefault="001E5836" w:rsidP="00354B0D">
      <w:pPr>
        <w:spacing w:line="480" w:lineRule="auto"/>
      </w:pPr>
      <w:r w:rsidRPr="000667FC">
        <w:rPr>
          <w:color w:val="000000" w:themeColor="text1"/>
        </w:rPr>
        <w:t>Despite this increase in the rate of prescriptions and notwithstanding their licensed indication for a number of disorders, the use of antidepressants in children and adolescents remains controversi</w:t>
      </w:r>
      <w:r>
        <w:rPr>
          <w:color w:val="000000" w:themeColor="text1"/>
        </w:rPr>
        <w:t>al.</w:t>
      </w:r>
      <w:r w:rsidRPr="000667FC">
        <w:rPr>
          <w:color w:val="000000" w:themeColor="text1"/>
        </w:rPr>
        <w:t xml:space="preserve"> In particular, the efficacy</w:t>
      </w:r>
      <w:r>
        <w:rPr>
          <w:color w:val="000000" w:themeColor="text1"/>
        </w:rPr>
        <w:t xml:space="preserve"> and </w:t>
      </w:r>
      <w:r w:rsidR="006965B1">
        <w:rPr>
          <w:color w:val="000000" w:themeColor="text1"/>
        </w:rPr>
        <w:t xml:space="preserve">tolerability </w:t>
      </w:r>
      <w:r w:rsidRPr="000667FC">
        <w:rPr>
          <w:color w:val="000000" w:themeColor="text1"/>
        </w:rPr>
        <w:t xml:space="preserve">of antidepressants for major depressive disorder in young people </w:t>
      </w:r>
      <w:r>
        <w:rPr>
          <w:color w:val="000000" w:themeColor="text1"/>
        </w:rPr>
        <w:t>have been</w:t>
      </w:r>
      <w:r w:rsidRPr="000667FC">
        <w:rPr>
          <w:color w:val="000000" w:themeColor="text1"/>
        </w:rPr>
        <w:t xml:space="preserve"> questioned, in the light of a </w:t>
      </w:r>
      <w:r>
        <w:rPr>
          <w:color w:val="000000" w:themeColor="text1"/>
        </w:rPr>
        <w:t xml:space="preserve">high </w:t>
      </w:r>
      <w:r w:rsidRPr="000667FC">
        <w:rPr>
          <w:color w:val="000000" w:themeColor="text1"/>
        </w:rPr>
        <w:t>placebo response</w:t>
      </w:r>
      <w:r>
        <w:rPr>
          <w:color w:val="000000" w:themeColor="text1"/>
        </w:rPr>
        <w:t xml:space="preserve"> rate</w:t>
      </w:r>
      <w:r w:rsidRPr="000667FC">
        <w:rPr>
          <w:color w:val="000000" w:themeColor="text1"/>
        </w:rPr>
        <w:t xml:space="preserve"> ranging from 22% to 62%</w:t>
      </w:r>
      <w:r w:rsidR="00C54988">
        <w:rPr>
          <w:rStyle w:val="EndnoteReference"/>
          <w:color w:val="000000" w:themeColor="text1"/>
        </w:rPr>
        <w:endnoteReference w:id="2"/>
      </w:r>
      <w:r w:rsidRPr="000667FC">
        <w:rPr>
          <w:color w:val="000000" w:themeColor="text1"/>
        </w:rPr>
        <w:t xml:space="preserve"> </w:t>
      </w:r>
      <w:r>
        <w:rPr>
          <w:color w:val="000000" w:themeColor="text1"/>
        </w:rPr>
        <w:t>and the</w:t>
      </w:r>
      <w:r w:rsidRPr="000667FC">
        <w:rPr>
          <w:color w:val="000000" w:themeColor="text1"/>
        </w:rPr>
        <w:t xml:space="preserve"> “black box warning” issued by the FDA in 2004, </w:t>
      </w:r>
      <w:r w:rsidRPr="000667FC">
        <w:rPr>
          <w:color w:val="000000" w:themeColor="text1"/>
          <w:shd w:val="clear" w:color="auto" w:fill="FFFFFF"/>
        </w:rPr>
        <w:t xml:space="preserve">advising of the increased risk of suicidal </w:t>
      </w:r>
      <w:r>
        <w:rPr>
          <w:color w:val="000000" w:themeColor="text1"/>
          <w:shd w:val="clear" w:color="auto" w:fill="FFFFFF"/>
        </w:rPr>
        <w:t>behaviors</w:t>
      </w:r>
      <w:r w:rsidRPr="000667FC">
        <w:rPr>
          <w:color w:val="000000" w:themeColor="text1"/>
          <w:shd w:val="clear" w:color="auto" w:fill="FFFFFF"/>
        </w:rPr>
        <w:t xml:space="preserve"> among children treated with selective serotonin reuptake inhibitors</w:t>
      </w:r>
      <w:r w:rsidR="00C54988">
        <w:rPr>
          <w:rStyle w:val="EndnoteReference"/>
          <w:color w:val="000000" w:themeColor="text1"/>
          <w:shd w:val="clear" w:color="auto" w:fill="FFFFFF"/>
        </w:rPr>
        <w:endnoteReference w:id="3"/>
      </w:r>
      <w:r w:rsidRPr="000667FC">
        <w:rPr>
          <w:color w:val="000000" w:themeColor="text1"/>
          <w:shd w:val="clear" w:color="auto" w:fill="FFFFFF"/>
        </w:rPr>
        <w:t xml:space="preserve">. </w:t>
      </w:r>
      <w:r w:rsidRPr="000667FC">
        <w:rPr>
          <w:color w:val="000000"/>
          <w:shd w:val="clear" w:color="auto" w:fill="FFFFFF"/>
        </w:rPr>
        <w:t xml:space="preserve">The FDA warning was based on an analysis </w:t>
      </w:r>
      <w:r>
        <w:rPr>
          <w:color w:val="000000"/>
          <w:shd w:val="clear" w:color="auto" w:fill="FFFFFF"/>
        </w:rPr>
        <w:t xml:space="preserve">published </w:t>
      </w:r>
      <w:r w:rsidRPr="000667FC">
        <w:rPr>
          <w:color w:val="000000"/>
          <w:shd w:val="clear" w:color="auto" w:fill="FFFFFF"/>
        </w:rPr>
        <w:t xml:space="preserve">more than one decade ago </w:t>
      </w:r>
      <w:r>
        <w:rPr>
          <w:color w:val="000000"/>
          <w:shd w:val="clear" w:color="auto" w:fill="FFFFFF"/>
        </w:rPr>
        <w:t>about</w:t>
      </w:r>
      <w:r w:rsidRPr="000667FC">
        <w:rPr>
          <w:color w:val="000000"/>
          <w:shd w:val="clear" w:color="auto" w:fill="FFFFFF"/>
        </w:rPr>
        <w:t xml:space="preserve"> industry-sponsored randomized controlled trials (RCTs). However, since then, an increasing number of studies have questioned the methodological rigor of the FDA analysis</w:t>
      </w:r>
      <w:bookmarkStart w:id="5" w:name="_Ref45750901"/>
      <w:r w:rsidR="00C54988">
        <w:rPr>
          <w:rStyle w:val="EndnoteReference"/>
          <w:color w:val="000000"/>
          <w:shd w:val="clear" w:color="auto" w:fill="FFFFFF"/>
        </w:rPr>
        <w:endnoteReference w:id="4"/>
      </w:r>
      <w:bookmarkEnd w:id="5"/>
      <w:r w:rsidRPr="000667FC">
        <w:rPr>
          <w:color w:val="000000"/>
          <w:shd w:val="clear" w:color="auto" w:fill="FFFFFF"/>
        </w:rPr>
        <w:t xml:space="preserve">. </w:t>
      </w:r>
    </w:p>
    <w:p w14:paraId="06E0784A" w14:textId="77777777" w:rsidR="001E5836" w:rsidRPr="000667FC" w:rsidRDefault="001E5836" w:rsidP="00354B0D">
      <w:pPr>
        <w:spacing w:line="480" w:lineRule="auto"/>
        <w:rPr>
          <w:color w:val="000000" w:themeColor="text1"/>
        </w:rPr>
      </w:pPr>
    </w:p>
    <w:p w14:paraId="6C7373F7" w14:textId="2C9837C1" w:rsidR="001E5836" w:rsidRPr="000667FC" w:rsidRDefault="001E5836" w:rsidP="00354B0D">
      <w:pPr>
        <w:spacing w:line="480" w:lineRule="auto"/>
        <w:rPr>
          <w:color w:val="000000" w:themeColor="text1"/>
        </w:rPr>
      </w:pPr>
      <w:r>
        <w:rPr>
          <w:color w:val="000000" w:themeColor="text1"/>
        </w:rPr>
        <w:t>To shed light on this clinically relevant question</w:t>
      </w:r>
      <w:r w:rsidRPr="000667FC">
        <w:rPr>
          <w:color w:val="000000" w:themeColor="text1"/>
        </w:rPr>
        <w:t xml:space="preserve">, a comprehensive and rigorous evidence synthesis may support the discussion and the clinical decision-making among patients, prescribers and policy makers. </w:t>
      </w:r>
      <w:r>
        <w:rPr>
          <w:color w:val="000000" w:themeColor="text1"/>
        </w:rPr>
        <w:t>To the best of our knowledge</w:t>
      </w:r>
      <w:r w:rsidRPr="000667FC">
        <w:rPr>
          <w:color w:val="000000" w:themeColor="text1"/>
        </w:rPr>
        <w:t>, no meta-review has been published to comprehensively summari</w:t>
      </w:r>
      <w:r w:rsidR="008B5B7A">
        <w:rPr>
          <w:color w:val="000000" w:themeColor="text1"/>
        </w:rPr>
        <w:t>z</w:t>
      </w:r>
      <w:r w:rsidRPr="000667FC">
        <w:rPr>
          <w:color w:val="000000" w:themeColor="text1"/>
        </w:rPr>
        <w:t xml:space="preserve">e the findings of </w:t>
      </w:r>
      <w:r>
        <w:rPr>
          <w:color w:val="000000" w:themeColor="text1"/>
        </w:rPr>
        <w:t xml:space="preserve">all </w:t>
      </w:r>
      <w:r w:rsidRPr="000667FC">
        <w:rPr>
          <w:color w:val="000000" w:themeColor="text1"/>
        </w:rPr>
        <w:t xml:space="preserve">available </w:t>
      </w:r>
      <w:r>
        <w:rPr>
          <w:color w:val="000000" w:themeColor="text1"/>
        </w:rPr>
        <w:t>secondary studies in the field</w:t>
      </w:r>
      <w:r w:rsidRPr="000667FC">
        <w:rPr>
          <w:color w:val="000000" w:themeColor="text1"/>
        </w:rPr>
        <w:t>.</w:t>
      </w:r>
    </w:p>
    <w:p w14:paraId="2434B6B4" w14:textId="77777777" w:rsidR="001E5836" w:rsidRPr="000667FC" w:rsidRDefault="001E5836" w:rsidP="00354B0D">
      <w:pPr>
        <w:pStyle w:val="NormalWeb"/>
        <w:spacing w:before="0" w:beforeAutospacing="0" w:after="0" w:afterAutospacing="0" w:line="480" w:lineRule="auto"/>
      </w:pPr>
    </w:p>
    <w:p w14:paraId="1551E77E" w14:textId="77777777" w:rsidR="001E5836" w:rsidRPr="0069686E" w:rsidRDefault="001E5836" w:rsidP="00354B0D">
      <w:pPr>
        <w:spacing w:line="480" w:lineRule="auto"/>
        <w:rPr>
          <w:b/>
          <w:color w:val="000000"/>
        </w:rPr>
      </w:pPr>
      <w:r w:rsidRPr="0069686E">
        <w:rPr>
          <w:b/>
          <w:color w:val="000000"/>
        </w:rPr>
        <w:t>Method</w:t>
      </w:r>
    </w:p>
    <w:p w14:paraId="022A86EC" w14:textId="77777777" w:rsidR="001E5836" w:rsidRPr="000667FC" w:rsidRDefault="001E5836" w:rsidP="00354B0D">
      <w:pPr>
        <w:spacing w:line="480" w:lineRule="auto"/>
        <w:rPr>
          <w:color w:val="000000"/>
        </w:rPr>
      </w:pPr>
    </w:p>
    <w:p w14:paraId="3486BD6A" w14:textId="5150A36A" w:rsidR="001E5836" w:rsidRPr="000667FC" w:rsidRDefault="001E5836" w:rsidP="00354B0D">
      <w:pPr>
        <w:spacing w:line="480" w:lineRule="auto"/>
        <w:rPr>
          <w:color w:val="000000"/>
        </w:rPr>
      </w:pPr>
      <w:r w:rsidRPr="000667FC">
        <w:rPr>
          <w:color w:val="000000"/>
        </w:rPr>
        <w:t xml:space="preserve">We conducted a meta-review of the </w:t>
      </w:r>
      <w:r>
        <w:rPr>
          <w:color w:val="000000"/>
        </w:rPr>
        <w:t>existing</w:t>
      </w:r>
      <w:r w:rsidRPr="000667FC">
        <w:rPr>
          <w:color w:val="000000"/>
        </w:rPr>
        <w:t xml:space="preserve"> literature on </w:t>
      </w:r>
      <w:r>
        <w:rPr>
          <w:color w:val="000000"/>
        </w:rPr>
        <w:t>RCTs</w:t>
      </w:r>
      <w:r w:rsidRPr="000667FC">
        <w:rPr>
          <w:color w:val="000000"/>
        </w:rPr>
        <w:t xml:space="preserve"> in children and adolescents across a number of disorders</w:t>
      </w:r>
      <w:r>
        <w:rPr>
          <w:color w:val="000000"/>
        </w:rPr>
        <w:t xml:space="preserve"> (see list below)</w:t>
      </w:r>
      <w:r w:rsidRPr="000667FC">
        <w:rPr>
          <w:color w:val="000000"/>
        </w:rPr>
        <w:t>. We followed the Preferred Reporting Items for Systematic Reviews and Meta-Analyses (PRISMA) approach</w:t>
      </w:r>
      <w:r w:rsidR="00CF219E">
        <w:rPr>
          <w:rStyle w:val="EndnoteReference"/>
          <w:color w:val="000000"/>
        </w:rPr>
        <w:endnoteReference w:id="5"/>
      </w:r>
      <w:r w:rsidRPr="000667FC">
        <w:rPr>
          <w:color w:val="000000"/>
        </w:rPr>
        <w:t xml:space="preserve">. </w:t>
      </w:r>
      <w:r>
        <w:rPr>
          <w:color w:val="000000"/>
        </w:rPr>
        <w:t xml:space="preserve">The protocol of this meta-review is available online </w:t>
      </w:r>
      <w:r w:rsidRPr="00B33455">
        <w:rPr>
          <w:color w:val="000000"/>
        </w:rPr>
        <w:t>(</w:t>
      </w:r>
      <w:hyperlink r:id="rId11" w:history="1">
        <w:r w:rsidR="004412F0" w:rsidRPr="00B33455">
          <w:rPr>
            <w:rStyle w:val="Hyperlink"/>
          </w:rPr>
          <w:t>https://www.psych.ox.ac.uk/team/andrea-cipriani</w:t>
        </w:r>
      </w:hyperlink>
      <w:r w:rsidRPr="00B33455">
        <w:rPr>
          <w:color w:val="000000"/>
        </w:rPr>
        <w:t>).</w:t>
      </w:r>
      <w:r>
        <w:rPr>
          <w:color w:val="000000"/>
        </w:rPr>
        <w:t xml:space="preserve"> </w:t>
      </w:r>
    </w:p>
    <w:p w14:paraId="301D4F66" w14:textId="77777777" w:rsidR="001E5836" w:rsidRPr="000667FC" w:rsidRDefault="001E5836" w:rsidP="00354B0D">
      <w:pPr>
        <w:spacing w:line="480" w:lineRule="auto"/>
        <w:rPr>
          <w:color w:val="000000"/>
        </w:rPr>
      </w:pPr>
    </w:p>
    <w:p w14:paraId="6F7BB5E6" w14:textId="1D99EA0F" w:rsidR="001E5836" w:rsidRPr="000667FC" w:rsidRDefault="001E5836" w:rsidP="00354B0D">
      <w:pPr>
        <w:spacing w:line="480" w:lineRule="auto"/>
      </w:pPr>
      <w:r w:rsidRPr="000667FC">
        <w:rPr>
          <w:color w:val="000000"/>
        </w:rPr>
        <w:t>We searched PubMed, EMBASE and Web of Science from database inception to 31</w:t>
      </w:r>
      <w:r w:rsidRPr="006A27BE">
        <w:rPr>
          <w:color w:val="000000"/>
          <w:vertAlign w:val="superscript"/>
        </w:rPr>
        <w:t>st</w:t>
      </w:r>
      <w:r>
        <w:rPr>
          <w:color w:val="000000"/>
        </w:rPr>
        <w:t xml:space="preserve"> </w:t>
      </w:r>
      <w:r w:rsidRPr="000667FC">
        <w:rPr>
          <w:color w:val="000000"/>
        </w:rPr>
        <w:t xml:space="preserve"> October 2019 for systematic reviews and meta-analyses of double-blind </w:t>
      </w:r>
      <w:r>
        <w:rPr>
          <w:color w:val="000000"/>
        </w:rPr>
        <w:t>RCTs</w:t>
      </w:r>
      <w:r w:rsidRPr="000667FC">
        <w:rPr>
          <w:color w:val="000000"/>
        </w:rPr>
        <w:t xml:space="preserve"> on the use of orally-administered </w:t>
      </w:r>
      <w:r w:rsidRPr="000667FC">
        <w:rPr>
          <w:color w:val="000000"/>
        </w:rPr>
        <w:lastRenderedPageBreak/>
        <w:t xml:space="preserve">antidepressants in the treatment of children and adolescents (aged </w:t>
      </w:r>
      <w:r w:rsidR="004412F0">
        <w:rPr>
          <w:color w:val="000000"/>
        </w:rPr>
        <w:t xml:space="preserve">18 or </w:t>
      </w:r>
      <w:r>
        <w:rPr>
          <w:color w:val="000000"/>
        </w:rPr>
        <w:t>below</w:t>
      </w:r>
      <w:r w:rsidRPr="000667FC">
        <w:rPr>
          <w:color w:val="000000"/>
        </w:rPr>
        <w:t>) with a diagnosis of Anxiety Disorder (AD)</w:t>
      </w:r>
      <w:r>
        <w:rPr>
          <w:color w:val="000000"/>
        </w:rPr>
        <w:t>,</w:t>
      </w:r>
      <w:r w:rsidR="006965B1">
        <w:rPr>
          <w:color w:val="000000"/>
        </w:rPr>
        <w:t xml:space="preserve"> </w:t>
      </w:r>
      <w:r w:rsidR="006965B1" w:rsidRPr="000667FC">
        <w:rPr>
          <w:color w:val="000000"/>
        </w:rPr>
        <w:t>Attention</w:t>
      </w:r>
      <w:r w:rsidR="006965B1">
        <w:rPr>
          <w:color w:val="000000"/>
        </w:rPr>
        <w:t>-</w:t>
      </w:r>
      <w:r w:rsidR="006965B1" w:rsidRPr="000667FC">
        <w:rPr>
          <w:color w:val="000000"/>
        </w:rPr>
        <w:t>Deficit</w:t>
      </w:r>
      <w:r w:rsidR="006965B1">
        <w:rPr>
          <w:color w:val="000000"/>
        </w:rPr>
        <w:t>/</w:t>
      </w:r>
      <w:r w:rsidR="006965B1" w:rsidRPr="000667FC">
        <w:rPr>
          <w:color w:val="000000"/>
        </w:rPr>
        <w:t>Hyperactivity Disorder (ADHD)</w:t>
      </w:r>
      <w:r w:rsidR="006965B1">
        <w:rPr>
          <w:color w:val="000000"/>
        </w:rPr>
        <w:t xml:space="preserve">, </w:t>
      </w:r>
      <w:r>
        <w:rPr>
          <w:color w:val="000000"/>
        </w:rPr>
        <w:t xml:space="preserve"> </w:t>
      </w:r>
      <w:r w:rsidRPr="000667FC">
        <w:rPr>
          <w:color w:val="000000"/>
        </w:rPr>
        <w:t>Autistic Spectrum Disorder (ASD)</w:t>
      </w:r>
      <w:r>
        <w:rPr>
          <w:color w:val="000000"/>
        </w:rPr>
        <w:t>,</w:t>
      </w:r>
      <w:r w:rsidRPr="000667FC">
        <w:rPr>
          <w:color w:val="000000"/>
        </w:rPr>
        <w:t xml:space="preserve"> </w:t>
      </w:r>
      <w:r>
        <w:rPr>
          <w:color w:val="000000"/>
        </w:rPr>
        <w:t xml:space="preserve">Enuresis, Major </w:t>
      </w:r>
      <w:r w:rsidRPr="000667FC">
        <w:rPr>
          <w:color w:val="000000"/>
        </w:rPr>
        <w:t>Depressive Disorder (</w:t>
      </w:r>
      <w:r>
        <w:rPr>
          <w:color w:val="000000"/>
        </w:rPr>
        <w:t>M</w:t>
      </w:r>
      <w:r w:rsidRPr="000667FC">
        <w:rPr>
          <w:color w:val="000000"/>
        </w:rPr>
        <w:t>DD),  Obsessive Compulsive Disorder (OCD)</w:t>
      </w:r>
      <w:r>
        <w:rPr>
          <w:color w:val="000000"/>
        </w:rPr>
        <w:t xml:space="preserve">, and </w:t>
      </w:r>
      <w:r w:rsidRPr="000667FC">
        <w:rPr>
          <w:color w:val="000000"/>
        </w:rPr>
        <w:t>Post-Traumatic Stress Disorder (PTSD) according to standard operationali</w:t>
      </w:r>
      <w:r w:rsidR="008B5B7A">
        <w:rPr>
          <w:color w:val="000000"/>
        </w:rPr>
        <w:t>z</w:t>
      </w:r>
      <w:r w:rsidRPr="000667FC">
        <w:rPr>
          <w:color w:val="000000"/>
        </w:rPr>
        <w:t>ed criteria such as Diagnostic and Statistical Manual of Mental Disorders (DSM)-III, DSM-III-R, DSM-IV</w:t>
      </w:r>
      <w:r>
        <w:rPr>
          <w:color w:val="000000"/>
        </w:rPr>
        <w:t>(TR)</w:t>
      </w:r>
      <w:r w:rsidRPr="000667FC">
        <w:rPr>
          <w:color w:val="000000"/>
        </w:rPr>
        <w:t xml:space="preserve">, DSM-5, International Classification of Diseases (ICD)-10 or Research Diagnostic Criteria. We </w:t>
      </w:r>
      <w:r w:rsidR="0061392F">
        <w:rPr>
          <w:color w:val="000000"/>
        </w:rPr>
        <w:t>searched</w:t>
      </w:r>
      <w:r w:rsidR="0061392F" w:rsidRPr="000667FC">
        <w:rPr>
          <w:color w:val="000000"/>
        </w:rPr>
        <w:t xml:space="preserve"> </w:t>
      </w:r>
      <w:r w:rsidR="0061392F">
        <w:rPr>
          <w:color w:val="000000"/>
        </w:rPr>
        <w:t xml:space="preserve">a long list of </w:t>
      </w:r>
      <w:r w:rsidRPr="004809E3">
        <w:rPr>
          <w:color w:val="000000"/>
        </w:rPr>
        <w:t>antidepre</w:t>
      </w:r>
      <w:r w:rsidRPr="0003020F">
        <w:rPr>
          <w:color w:val="000000"/>
        </w:rPr>
        <w:t>ssants</w:t>
      </w:r>
      <w:r w:rsidR="0061392F" w:rsidRPr="0003020F">
        <w:rPr>
          <w:color w:val="000000"/>
        </w:rPr>
        <w:t xml:space="preserve"> (based on Cipriani et al.,</w:t>
      </w:r>
      <w:r w:rsidR="004809E3" w:rsidRPr="009C48FB">
        <w:rPr>
          <w:color w:val="000000"/>
        </w:rPr>
        <w:t xml:space="preserve"> (2016)</w:t>
      </w:r>
      <w:bookmarkStart w:id="6" w:name="_Ref45745003"/>
      <w:r w:rsidR="00B37DA7" w:rsidRPr="009C48FB">
        <w:rPr>
          <w:rStyle w:val="EndnoteReference"/>
          <w:color w:val="000000"/>
        </w:rPr>
        <w:endnoteReference w:id="6"/>
      </w:r>
      <w:bookmarkEnd w:id="6"/>
      <w:r w:rsidR="0061392F" w:rsidRPr="004809E3">
        <w:rPr>
          <w:color w:val="000000"/>
        </w:rPr>
        <w:t>),</w:t>
      </w:r>
      <w:r w:rsidR="0061392F">
        <w:rPr>
          <w:color w:val="000000"/>
        </w:rPr>
        <w:t xml:space="preserve"> including </w:t>
      </w:r>
      <w:r w:rsidRPr="000667FC">
        <w:rPr>
          <w:color w:val="000000"/>
        </w:rPr>
        <w:t xml:space="preserve">amitriptyline, </w:t>
      </w:r>
      <w:r w:rsidR="0061392F">
        <w:rPr>
          <w:color w:val="000000"/>
        </w:rPr>
        <w:t xml:space="preserve">bupropion, </w:t>
      </w:r>
      <w:r w:rsidRPr="000667FC">
        <w:rPr>
          <w:color w:val="000000"/>
        </w:rPr>
        <w:t>citalopram, clomipramine, desipramine, duloxetine, escitalopram, fluoxetine,</w:t>
      </w:r>
      <w:r w:rsidR="0061392F">
        <w:rPr>
          <w:color w:val="000000"/>
        </w:rPr>
        <w:t xml:space="preserve"> fluvoxamine,</w:t>
      </w:r>
      <w:r w:rsidRPr="000667FC">
        <w:rPr>
          <w:color w:val="000000"/>
        </w:rPr>
        <w:t xml:space="preserve"> imipramine, mirtazapine, </w:t>
      </w:r>
      <w:r w:rsidR="0061392F">
        <w:rPr>
          <w:color w:val="000000"/>
        </w:rPr>
        <w:t xml:space="preserve">milnacipran, </w:t>
      </w:r>
      <w:r w:rsidRPr="000667FC">
        <w:rPr>
          <w:color w:val="000000"/>
        </w:rPr>
        <w:t xml:space="preserve">nefazodone, nortriptyline, paroxetine, sertraline, tianeptine and venlafaxine. Our complete search strategy is detailed in </w:t>
      </w:r>
      <w:r w:rsidR="00393589">
        <w:rPr>
          <w:color w:val="000000"/>
        </w:rPr>
        <w:t xml:space="preserve">the </w:t>
      </w:r>
      <w:r w:rsidR="002211DD">
        <w:rPr>
          <w:color w:val="000000"/>
        </w:rPr>
        <w:t xml:space="preserve">protocol and in the Supplementary </w:t>
      </w:r>
      <w:r w:rsidRPr="000667FC">
        <w:rPr>
          <w:color w:val="000000"/>
        </w:rPr>
        <w:t xml:space="preserve">Table 1. </w:t>
      </w:r>
      <w:r>
        <w:rPr>
          <w:color w:val="000000"/>
        </w:rPr>
        <w:t xml:space="preserve">We </w:t>
      </w:r>
      <w:r w:rsidRPr="000667FC">
        <w:rPr>
          <w:color w:val="000000"/>
        </w:rPr>
        <w:t>manual</w:t>
      </w:r>
      <w:r>
        <w:rPr>
          <w:color w:val="000000"/>
        </w:rPr>
        <w:t>ly</w:t>
      </w:r>
      <w:r w:rsidRPr="000667FC">
        <w:rPr>
          <w:color w:val="000000"/>
        </w:rPr>
        <w:t xml:space="preserve"> search</w:t>
      </w:r>
      <w:r>
        <w:rPr>
          <w:color w:val="000000"/>
        </w:rPr>
        <w:t>ed</w:t>
      </w:r>
      <w:r w:rsidRPr="000667FC">
        <w:rPr>
          <w:color w:val="000000"/>
        </w:rPr>
        <w:t xml:space="preserve"> the reference lists of </w:t>
      </w:r>
      <w:r>
        <w:rPr>
          <w:color w:val="000000"/>
        </w:rPr>
        <w:t>selected</w:t>
      </w:r>
      <w:r w:rsidRPr="000667FC">
        <w:rPr>
          <w:color w:val="000000"/>
        </w:rPr>
        <w:t xml:space="preserve"> publications</w:t>
      </w:r>
      <w:r>
        <w:rPr>
          <w:color w:val="000000"/>
        </w:rPr>
        <w:t xml:space="preserve"> for additional relevant articles</w:t>
      </w:r>
      <w:r w:rsidRPr="000667FC">
        <w:rPr>
          <w:color w:val="000000"/>
        </w:rPr>
        <w:t xml:space="preserve">. </w:t>
      </w:r>
    </w:p>
    <w:p w14:paraId="77FE1B15" w14:textId="77777777" w:rsidR="001E5836" w:rsidRPr="000667FC" w:rsidRDefault="001E5836" w:rsidP="00354B0D">
      <w:pPr>
        <w:spacing w:line="480" w:lineRule="auto"/>
        <w:rPr>
          <w:i/>
          <w:color w:val="000000"/>
        </w:rPr>
      </w:pPr>
    </w:p>
    <w:p w14:paraId="6A61EF6F" w14:textId="1D3E1DD6" w:rsidR="001E5836" w:rsidRPr="000667FC" w:rsidRDefault="001E5836" w:rsidP="00354B0D">
      <w:pPr>
        <w:spacing w:line="480" w:lineRule="auto"/>
        <w:rPr>
          <w:color w:val="000000"/>
        </w:rPr>
      </w:pPr>
      <w:r w:rsidRPr="000667FC">
        <w:rPr>
          <w:color w:val="000000"/>
        </w:rPr>
        <w:t xml:space="preserve">The titles and abstracts of all references were screened for eligibility by three authors (KB, AT, SC). </w:t>
      </w:r>
      <w:r w:rsidR="00D5275C" w:rsidRPr="00FC5568">
        <w:t xml:space="preserve">Data extraction </w:t>
      </w:r>
      <w:r w:rsidR="00D5275C">
        <w:t xml:space="preserve">was </w:t>
      </w:r>
      <w:r w:rsidR="00D5275C" w:rsidRPr="00FC5568">
        <w:t xml:space="preserve">performed by </w:t>
      </w:r>
      <w:r w:rsidR="00D5275C">
        <w:t>KB and double-checked by AT or SC</w:t>
      </w:r>
      <w:r w:rsidR="00D5275C" w:rsidRPr="00FC5568">
        <w:t xml:space="preserve">. </w:t>
      </w:r>
      <w:r w:rsidRPr="000667FC">
        <w:rPr>
          <w:color w:val="000000"/>
        </w:rPr>
        <w:t xml:space="preserve">Full-texts of potentially eligible references were then retrieved and assessed for inclusion. Disagreement in the selection of pertinent papers was resolved with discussion </w:t>
      </w:r>
      <w:r>
        <w:rPr>
          <w:color w:val="000000"/>
        </w:rPr>
        <w:t>(also involving the</w:t>
      </w:r>
      <w:r w:rsidRPr="000667FC">
        <w:rPr>
          <w:color w:val="000000"/>
        </w:rPr>
        <w:t xml:space="preserve"> four</w:t>
      </w:r>
      <w:r>
        <w:rPr>
          <w:color w:val="000000"/>
        </w:rPr>
        <w:t>th</w:t>
      </w:r>
      <w:r w:rsidRPr="000667FC">
        <w:rPr>
          <w:color w:val="000000"/>
        </w:rPr>
        <w:t xml:space="preserve"> author</w:t>
      </w:r>
      <w:r>
        <w:rPr>
          <w:color w:val="000000"/>
        </w:rPr>
        <w:t>, AC)</w:t>
      </w:r>
      <w:r w:rsidRPr="000667FC">
        <w:rPr>
          <w:color w:val="000000"/>
        </w:rPr>
        <w:t xml:space="preserve">. </w:t>
      </w:r>
    </w:p>
    <w:p w14:paraId="4A2B6A70" w14:textId="77777777" w:rsidR="001E5836" w:rsidRPr="000667FC" w:rsidRDefault="001E5836" w:rsidP="00354B0D">
      <w:pPr>
        <w:spacing w:line="480" w:lineRule="auto"/>
      </w:pPr>
    </w:p>
    <w:p w14:paraId="7E9F20DA" w14:textId="2AB1C9CF" w:rsidR="001E5836" w:rsidRPr="000667FC" w:rsidRDefault="001E5836" w:rsidP="00354B0D">
      <w:pPr>
        <w:spacing w:line="480" w:lineRule="auto"/>
        <w:rPr>
          <w:color w:val="000000"/>
        </w:rPr>
      </w:pPr>
      <w:r>
        <w:rPr>
          <w:color w:val="000000"/>
        </w:rPr>
        <w:t>We included</w:t>
      </w:r>
      <w:r w:rsidRPr="000667FC">
        <w:rPr>
          <w:color w:val="000000"/>
        </w:rPr>
        <w:t xml:space="preserve"> systematic reviews/meta-analyses in English language. Reviews including trials recruiting participants with comorbid physical health conditions or psychiatric disorders (e.g.</w:t>
      </w:r>
      <w:r>
        <w:rPr>
          <w:color w:val="000000"/>
        </w:rPr>
        <w:t>,</w:t>
      </w:r>
      <w:r w:rsidRPr="000667FC">
        <w:rPr>
          <w:color w:val="000000"/>
        </w:rPr>
        <w:t xml:space="preserve"> substance abuse, psychosis etc.) were excluded, as were any reviews involving combination therapy. Reviews focusing on treatment resistant depression</w:t>
      </w:r>
      <w:r>
        <w:rPr>
          <w:color w:val="000000"/>
        </w:rPr>
        <w:t xml:space="preserve"> </w:t>
      </w:r>
      <w:r w:rsidRPr="000667FC">
        <w:rPr>
          <w:color w:val="000000"/>
        </w:rPr>
        <w:t>or relapse prevention</w:t>
      </w:r>
      <w:r>
        <w:rPr>
          <w:color w:val="000000"/>
        </w:rPr>
        <w:t xml:space="preserve"> </w:t>
      </w:r>
      <w:r w:rsidRPr="000667FC">
        <w:rPr>
          <w:color w:val="000000"/>
        </w:rPr>
        <w:t>were also excluded.</w:t>
      </w:r>
      <w:r w:rsidRPr="000667FC">
        <w:t xml:space="preserve"> </w:t>
      </w:r>
      <w:r w:rsidRPr="000667FC">
        <w:rPr>
          <w:color w:val="000000"/>
        </w:rPr>
        <w:t>In light of concerns raised regarding the potential underreporting of negative findings from RCTs of SSRI use in childhood depression</w:t>
      </w:r>
      <w:r w:rsidR="00CF219E">
        <w:rPr>
          <w:rStyle w:val="EndnoteReference"/>
          <w:color w:val="000000"/>
        </w:rPr>
        <w:endnoteReference w:id="7"/>
      </w:r>
      <w:r>
        <w:rPr>
          <w:color w:val="000000"/>
        </w:rPr>
        <w:t>,</w:t>
      </w:r>
      <w:r w:rsidRPr="000667FC">
        <w:rPr>
          <w:color w:val="000000"/>
        </w:rPr>
        <w:t xml:space="preserve"> reviews were also excluded if they did not search for </w:t>
      </w:r>
      <w:r w:rsidR="00FF77D0">
        <w:rPr>
          <w:color w:val="000000"/>
        </w:rPr>
        <w:t xml:space="preserve">or include </w:t>
      </w:r>
      <w:r w:rsidRPr="000667FC">
        <w:rPr>
          <w:color w:val="000000"/>
        </w:rPr>
        <w:lastRenderedPageBreak/>
        <w:t>unpublished trial data</w:t>
      </w:r>
      <w:r w:rsidR="003C2C3E">
        <w:rPr>
          <w:color w:val="000000"/>
        </w:rPr>
        <w:t xml:space="preserve"> (this is a clarification and small deviation from the original protocol, where we said that “</w:t>
      </w:r>
      <w:r w:rsidR="003C2C3E" w:rsidRPr="003C2C3E">
        <w:rPr>
          <w:color w:val="000000"/>
        </w:rPr>
        <w:t>reviews will be excluded if they do not include data from unpublished trials</w:t>
      </w:r>
      <w:r w:rsidR="003C2C3E">
        <w:rPr>
          <w:color w:val="000000"/>
        </w:rPr>
        <w:t>”)</w:t>
      </w:r>
      <w:r w:rsidRPr="000667FC">
        <w:rPr>
          <w:color w:val="000000"/>
        </w:rPr>
        <w:t xml:space="preserve">. </w:t>
      </w:r>
    </w:p>
    <w:p w14:paraId="39BC470D" w14:textId="77777777" w:rsidR="001E5836" w:rsidRPr="000667FC" w:rsidRDefault="001E5836" w:rsidP="00354B0D">
      <w:pPr>
        <w:spacing w:line="480" w:lineRule="auto"/>
      </w:pPr>
    </w:p>
    <w:p w14:paraId="06FEA14E" w14:textId="77777777" w:rsidR="001E5836" w:rsidRDefault="001E5836" w:rsidP="00354B0D">
      <w:pPr>
        <w:spacing w:line="480" w:lineRule="auto"/>
        <w:rPr>
          <w:color w:val="000000"/>
        </w:rPr>
      </w:pPr>
      <w:r w:rsidRPr="000667FC">
        <w:rPr>
          <w:color w:val="000000"/>
        </w:rPr>
        <w:t xml:space="preserve">Where more than one systematic review/meta-analyses on the treatment of a diagnosis of interest was identified, the most recent and comprehensive was selected. If the most recent review was not the most comprehensive, preference was given to the most comprehensive. </w:t>
      </w:r>
    </w:p>
    <w:p w14:paraId="717EF02B" w14:textId="77777777" w:rsidR="001E5836" w:rsidRDefault="001E5836" w:rsidP="00354B0D">
      <w:pPr>
        <w:spacing w:line="480" w:lineRule="auto"/>
        <w:rPr>
          <w:color w:val="000000"/>
        </w:rPr>
      </w:pPr>
      <w:r w:rsidRPr="006A27BE">
        <w:rPr>
          <w:color w:val="000000"/>
        </w:rPr>
        <w:t>In order to ensure all relevant RCTs were considered in this meta-review, the list of studies included in the most comprehensive systematic review/meta-analysis was cross-checked against the list in all other identified systematic reviews/meta-analyses on the same diagnosis. If a</w:t>
      </w:r>
      <w:r>
        <w:rPr>
          <w:color w:val="000000"/>
        </w:rPr>
        <w:t>n</w:t>
      </w:r>
      <w:r w:rsidRPr="006A27BE">
        <w:rPr>
          <w:color w:val="000000"/>
        </w:rPr>
        <w:t xml:space="preserve"> RCT relevant to the present meta-review was not included in the retained systematic review/meta-analysis, it was manually retrieved and reviewed against our inclusion criteria.</w:t>
      </w:r>
      <w:r>
        <w:rPr>
          <w:color w:val="000000"/>
        </w:rPr>
        <w:t xml:space="preserve"> </w:t>
      </w:r>
    </w:p>
    <w:p w14:paraId="2DD0A2B9" w14:textId="77777777" w:rsidR="001E5836" w:rsidRPr="000667FC" w:rsidRDefault="001E5836" w:rsidP="00354B0D">
      <w:pPr>
        <w:spacing w:line="480" w:lineRule="auto"/>
        <w:rPr>
          <w:i/>
          <w:color w:val="000000"/>
        </w:rPr>
      </w:pPr>
      <w:r>
        <w:rPr>
          <w:color w:val="000000"/>
        </w:rPr>
        <w:t xml:space="preserve"> </w:t>
      </w:r>
    </w:p>
    <w:p w14:paraId="37FF6BD9" w14:textId="415C0AF7" w:rsidR="001E5836" w:rsidRDefault="001E5836" w:rsidP="00354B0D">
      <w:pPr>
        <w:spacing w:line="480" w:lineRule="auto"/>
        <w:rPr>
          <w:color w:val="000000"/>
        </w:rPr>
      </w:pPr>
      <w:r w:rsidRPr="000667FC">
        <w:rPr>
          <w:color w:val="000000"/>
        </w:rPr>
        <w:t>Relevant information was extracted from the included systematic reviews, including aim(s), intervention(s), population, methodology, outcomes and their evaluation</w:t>
      </w:r>
      <w:r>
        <w:rPr>
          <w:color w:val="000000"/>
        </w:rPr>
        <w:t xml:space="preserve">: </w:t>
      </w:r>
      <w:r w:rsidRPr="000667FC">
        <w:rPr>
          <w:color w:val="000000"/>
        </w:rPr>
        <w:t xml:space="preserve">(i) efficacy; (ii) tolerability; and (ii) suicidality. </w:t>
      </w:r>
      <w:r w:rsidR="006965B1" w:rsidRPr="006965B1">
        <w:rPr>
          <w:color w:val="000000"/>
        </w:rPr>
        <w:t>Efficacy was measured as response to treatment (either as mean overall change in symptoms or as a dichotomous outcome) and tolerability was measured as the proportion of patients discontinuing treatment due to adverse events. Suicidality was measured as suicidal ideation, behaviour (including suicide attempts) and completed suicide.</w:t>
      </w:r>
    </w:p>
    <w:p w14:paraId="5CD93919" w14:textId="77777777" w:rsidR="001E5836" w:rsidRPr="000667FC" w:rsidRDefault="001E5836" w:rsidP="00354B0D">
      <w:pPr>
        <w:spacing w:line="480" w:lineRule="auto"/>
        <w:rPr>
          <w:color w:val="000000"/>
        </w:rPr>
      </w:pPr>
    </w:p>
    <w:p w14:paraId="1470690C" w14:textId="66AB22B3" w:rsidR="001E5836" w:rsidRPr="000667FC" w:rsidRDefault="001E5836" w:rsidP="00354B0D">
      <w:pPr>
        <w:spacing w:line="480" w:lineRule="auto"/>
        <w:rPr>
          <w:color w:val="000000"/>
        </w:rPr>
      </w:pPr>
      <w:r w:rsidRPr="000667FC">
        <w:rPr>
          <w:color w:val="000000"/>
        </w:rPr>
        <w:t>The quality of the retrieved systematic reviews was assessed using AMSTAR-2</w:t>
      </w:r>
      <w:r w:rsidR="00A51A74">
        <w:rPr>
          <w:color w:val="000000"/>
        </w:rPr>
        <w:t xml:space="preserve"> (</w:t>
      </w:r>
      <w:r w:rsidR="00A51A74" w:rsidRPr="000667FC">
        <w:rPr>
          <w:color w:val="000000"/>
        </w:rPr>
        <w:t>A Mea</w:t>
      </w:r>
      <w:r w:rsidR="00A51A74">
        <w:rPr>
          <w:color w:val="000000"/>
        </w:rPr>
        <w:t>S</w:t>
      </w:r>
      <w:r w:rsidR="00A51A74" w:rsidRPr="000667FC">
        <w:rPr>
          <w:color w:val="000000"/>
        </w:rPr>
        <w:t>urement Tool to Assess </w:t>
      </w:r>
      <w:hyperlink r:id="rId12" w:tooltip="Learn more about Systematic Review from ScienceDirect's AI-generated Topic Pages" w:history="1">
        <w:r w:rsidR="00A51A74" w:rsidRPr="000667FC">
          <w:rPr>
            <w:color w:val="000000"/>
          </w:rPr>
          <w:t>Systematic Reviews</w:t>
        </w:r>
      </w:hyperlink>
      <w:r w:rsidRPr="000667FC">
        <w:rPr>
          <w:color w:val="000000"/>
        </w:rPr>
        <w:t>)</w:t>
      </w:r>
      <w:r>
        <w:rPr>
          <w:color w:val="000000"/>
        </w:rPr>
        <w:t xml:space="preserve">, </w:t>
      </w:r>
      <w:r w:rsidRPr="000205CB">
        <w:rPr>
          <w:color w:val="000000"/>
        </w:rPr>
        <w:t>a practical critical appraisal tool to enable health professionals and policy makers to carry out rapid and reproducible assessments of the</w:t>
      </w:r>
      <w:r>
        <w:rPr>
          <w:color w:val="000000"/>
        </w:rPr>
        <w:t xml:space="preserve"> </w:t>
      </w:r>
      <w:r w:rsidRPr="000205CB">
        <w:rPr>
          <w:color w:val="000000"/>
        </w:rPr>
        <w:t>quality of conduct of systematic reviews of randomi</w:t>
      </w:r>
      <w:r w:rsidR="008B5B7A">
        <w:rPr>
          <w:color w:val="000000"/>
        </w:rPr>
        <w:t>z</w:t>
      </w:r>
      <w:r w:rsidRPr="000205CB">
        <w:rPr>
          <w:color w:val="000000"/>
        </w:rPr>
        <w:t>ed controlled trials of interventions</w:t>
      </w:r>
      <w:bookmarkStart w:id="7" w:name="_Ref45750113"/>
      <w:r w:rsidR="00CF219E">
        <w:rPr>
          <w:rStyle w:val="EndnoteReference"/>
          <w:color w:val="000000"/>
        </w:rPr>
        <w:endnoteReference w:id="8"/>
      </w:r>
      <w:bookmarkEnd w:id="7"/>
      <w:r w:rsidRPr="000667FC">
        <w:rPr>
          <w:color w:val="000000"/>
        </w:rPr>
        <w:t xml:space="preserve">. </w:t>
      </w:r>
    </w:p>
    <w:p w14:paraId="377AB997" w14:textId="77777777" w:rsidR="001E5836" w:rsidRPr="000667FC" w:rsidRDefault="001E5836" w:rsidP="00354B0D">
      <w:pPr>
        <w:pStyle w:val="NormalWeb"/>
        <w:spacing w:before="0" w:beforeAutospacing="0" w:after="0" w:afterAutospacing="0" w:line="480" w:lineRule="auto"/>
      </w:pPr>
    </w:p>
    <w:p w14:paraId="7A2EB396" w14:textId="77777777" w:rsidR="001E5836" w:rsidRPr="000667FC" w:rsidRDefault="001E5836" w:rsidP="00354B0D">
      <w:pPr>
        <w:pStyle w:val="NormalWeb"/>
        <w:spacing w:before="0" w:beforeAutospacing="0" w:after="0" w:afterAutospacing="0" w:line="480" w:lineRule="auto"/>
        <w:rPr>
          <w:b/>
        </w:rPr>
      </w:pPr>
      <w:r w:rsidRPr="000667FC">
        <w:rPr>
          <w:b/>
        </w:rPr>
        <w:t>Results</w:t>
      </w:r>
    </w:p>
    <w:p w14:paraId="6CAC8A9C" w14:textId="77777777" w:rsidR="001E5836" w:rsidRPr="000667FC" w:rsidRDefault="001E5836" w:rsidP="00354B0D">
      <w:pPr>
        <w:pStyle w:val="NormalWeb"/>
        <w:spacing w:before="0" w:beforeAutospacing="0" w:after="0" w:afterAutospacing="0" w:line="480" w:lineRule="auto"/>
        <w:rPr>
          <w:b/>
        </w:rPr>
      </w:pPr>
    </w:p>
    <w:p w14:paraId="0595C471" w14:textId="25E3CD35" w:rsidR="001E5836" w:rsidRPr="004412F0" w:rsidRDefault="001E5836" w:rsidP="004412F0">
      <w:pPr>
        <w:pStyle w:val="NormalWeb"/>
        <w:spacing w:before="0" w:beforeAutospacing="0" w:after="0" w:afterAutospacing="0" w:line="480" w:lineRule="auto"/>
        <w:rPr>
          <w:color w:val="000000"/>
        </w:rPr>
      </w:pPr>
      <w:r w:rsidRPr="000667FC">
        <w:t>The search returned 1</w:t>
      </w:r>
      <w:r>
        <w:t>,</w:t>
      </w:r>
      <w:r w:rsidRPr="000667FC">
        <w:t>211 unique references and we retrieved the full text of 14</w:t>
      </w:r>
      <w:r>
        <w:t>7</w:t>
      </w:r>
      <w:r w:rsidRPr="000667FC">
        <w:t xml:space="preserve"> </w:t>
      </w:r>
      <w:r>
        <w:t>studies</w:t>
      </w:r>
      <w:r w:rsidRPr="000667FC">
        <w:t xml:space="preserve">. </w:t>
      </w:r>
      <w:r>
        <w:t>Eleven</w:t>
      </w:r>
      <w:r w:rsidRPr="000667FC">
        <w:t xml:space="preserve"> references were initially considered as relevant to the research question</w:t>
      </w:r>
      <w:r w:rsidR="003463BD">
        <w:t xml:space="preserve"> (Figure 1)</w:t>
      </w:r>
      <w:r>
        <w:t>. Of the systematic reviews/meta-analyses identified, two concerned the use of antidepressants for treatment of ADHD</w:t>
      </w:r>
      <w:bookmarkStart w:id="8" w:name="_Ref45746688"/>
      <w:r w:rsidR="00243BCE" w:rsidRPr="007D2729">
        <w:rPr>
          <w:rStyle w:val="EndnoteReference"/>
        </w:rPr>
        <w:endnoteReference w:id="9"/>
      </w:r>
      <w:bookmarkStart w:id="9" w:name="_Ref45746604"/>
      <w:bookmarkEnd w:id="8"/>
      <w:r w:rsidR="007D2729" w:rsidRPr="009C48FB">
        <w:rPr>
          <w:vertAlign w:val="superscript"/>
        </w:rPr>
        <w:t>,</w:t>
      </w:r>
      <w:r w:rsidR="00243BCE">
        <w:rPr>
          <w:rStyle w:val="EndnoteReference"/>
        </w:rPr>
        <w:endnoteReference w:id="10"/>
      </w:r>
      <w:bookmarkEnd w:id="9"/>
      <w:r>
        <w:t>; one for anxiety disorders</w:t>
      </w:r>
      <w:bookmarkStart w:id="10" w:name="_Ref45746788"/>
      <w:r w:rsidR="00243BCE">
        <w:rPr>
          <w:rStyle w:val="EndnoteReference"/>
        </w:rPr>
        <w:endnoteReference w:id="11"/>
      </w:r>
      <w:bookmarkEnd w:id="10"/>
      <w:r w:rsidR="006D3FF4">
        <w:t>;</w:t>
      </w:r>
      <w:r>
        <w:t xml:space="preserve"> two focused on ASD</w:t>
      </w:r>
      <w:r w:rsidR="006D3FF4">
        <w:t>,</w:t>
      </w:r>
      <w:r w:rsidR="006E2E8C">
        <w:t xml:space="preserve"> </w:t>
      </w:r>
      <w:r w:rsidR="006E2E8C" w:rsidRPr="006D3FF4">
        <w:t>on</w:t>
      </w:r>
      <w:r w:rsidR="006E2E8C" w:rsidRPr="007D2729">
        <w:t>e</w:t>
      </w:r>
      <w:r w:rsidRPr="007D2729">
        <w:t xml:space="preserve"> on SSRIs</w:t>
      </w:r>
      <w:bookmarkStart w:id="11" w:name="_Ref45967260"/>
      <w:r w:rsidR="006D3FF4" w:rsidRPr="009C48FB">
        <w:rPr>
          <w:rStyle w:val="EndnoteReference"/>
        </w:rPr>
        <w:endnoteReference w:id="12"/>
      </w:r>
      <w:bookmarkEnd w:id="11"/>
      <w:r w:rsidR="006D3FF4" w:rsidRPr="009C48FB">
        <w:t xml:space="preserve"> </w:t>
      </w:r>
      <w:r w:rsidRPr="006D3FF4">
        <w:t xml:space="preserve"> and </w:t>
      </w:r>
      <w:bookmarkStart w:id="12" w:name="_Ref45746699"/>
      <w:r w:rsidR="006D3FF4" w:rsidRPr="009C48FB">
        <w:t>one</w:t>
      </w:r>
      <w:bookmarkEnd w:id="12"/>
      <w:r w:rsidRPr="006D3FF4">
        <w:t xml:space="preserve"> on TCAs</w:t>
      </w:r>
      <w:bookmarkStart w:id="13" w:name="_Ref45967278"/>
      <w:r w:rsidR="006D3FF4" w:rsidRPr="009C48FB">
        <w:rPr>
          <w:rStyle w:val="EndnoteReference"/>
        </w:rPr>
        <w:endnoteReference w:id="13"/>
      </w:r>
      <w:bookmarkEnd w:id="13"/>
      <w:r w:rsidR="006D3FF4" w:rsidRPr="009C48FB">
        <w:t>;</w:t>
      </w:r>
      <w:r>
        <w:t xml:space="preserve"> one on enuresis</w:t>
      </w:r>
      <w:bookmarkStart w:id="14" w:name="_Ref45747376"/>
      <w:r w:rsidR="00997EA7">
        <w:rPr>
          <w:rStyle w:val="EndnoteReference"/>
        </w:rPr>
        <w:endnoteReference w:id="14"/>
      </w:r>
      <w:bookmarkEnd w:id="14"/>
      <w:r w:rsidR="006D3FF4">
        <w:t xml:space="preserve">; </w:t>
      </w:r>
      <w:r>
        <w:t>one on major depressive disorder</w:t>
      </w:r>
      <w:r w:rsidR="00A41241" w:rsidRPr="009C48FB">
        <w:rPr>
          <w:vertAlign w:val="superscript"/>
        </w:rPr>
        <w:fldChar w:fldCharType="begin"/>
      </w:r>
      <w:r w:rsidR="00A41241" w:rsidRPr="009C48FB">
        <w:rPr>
          <w:vertAlign w:val="superscript"/>
        </w:rPr>
        <w:instrText xml:space="preserve"> NOTEREF _Ref45745003 </w:instrText>
      </w:r>
      <w:r w:rsidR="00A41241">
        <w:rPr>
          <w:vertAlign w:val="superscript"/>
        </w:rPr>
        <w:instrText xml:space="preserve"> \* MERGEFORMAT </w:instrText>
      </w:r>
      <w:r w:rsidR="00A41241" w:rsidRPr="009C48FB">
        <w:rPr>
          <w:vertAlign w:val="superscript"/>
        </w:rPr>
        <w:fldChar w:fldCharType="separate"/>
      </w:r>
      <w:r w:rsidR="00202932">
        <w:rPr>
          <w:vertAlign w:val="superscript"/>
        </w:rPr>
        <w:t>6</w:t>
      </w:r>
      <w:r w:rsidR="00A41241" w:rsidRPr="009C48FB">
        <w:rPr>
          <w:vertAlign w:val="superscript"/>
        </w:rPr>
        <w:fldChar w:fldCharType="end"/>
      </w:r>
      <w:r>
        <w:t>, one on OCD</w:t>
      </w:r>
      <w:bookmarkStart w:id="15" w:name="_Ref45746666"/>
      <w:r w:rsidR="00A41241">
        <w:rPr>
          <w:rStyle w:val="EndnoteReference"/>
        </w:rPr>
        <w:endnoteReference w:id="15"/>
      </w:r>
      <w:bookmarkEnd w:id="15"/>
      <w:r>
        <w:t xml:space="preserve"> and one on PTSD</w:t>
      </w:r>
      <w:bookmarkStart w:id="16" w:name="_Ref45746736"/>
      <w:r w:rsidR="00A41241">
        <w:rPr>
          <w:rStyle w:val="EndnoteReference"/>
        </w:rPr>
        <w:endnoteReference w:id="16"/>
      </w:r>
      <w:bookmarkEnd w:id="16"/>
      <w:r>
        <w:t>. In addition, c</w:t>
      </w:r>
      <w:r w:rsidRPr="002F4ADD">
        <w:rPr>
          <w:color w:val="000000"/>
        </w:rPr>
        <w:t xml:space="preserve">ross-referencing with the other eligible systematic reviews/meta-analyses identified two individual </w:t>
      </w:r>
      <w:r w:rsidRPr="00765D1E">
        <w:rPr>
          <w:color w:val="000000"/>
        </w:rPr>
        <w:t>RCTs in Tsapakis et al.</w:t>
      </w:r>
      <w:r w:rsidR="00B7561D" w:rsidRPr="009C48FB">
        <w:rPr>
          <w:color w:val="000000"/>
        </w:rPr>
        <w:t>,</w:t>
      </w:r>
      <w:r w:rsidR="004809E3" w:rsidRPr="009C48FB">
        <w:rPr>
          <w:color w:val="000000"/>
        </w:rPr>
        <w:t xml:space="preserve"> (2008)</w:t>
      </w:r>
      <w:r w:rsidR="00A41241" w:rsidRPr="00765D1E">
        <w:rPr>
          <w:rStyle w:val="EndnoteReference"/>
          <w:color w:val="000000"/>
        </w:rPr>
        <w:endnoteReference w:id="17"/>
      </w:r>
      <w:r w:rsidRPr="00765D1E">
        <w:rPr>
          <w:color w:val="000000"/>
        </w:rPr>
        <w:t xml:space="preserve"> that were not included in Cipriani et al.,</w:t>
      </w:r>
      <w:r w:rsidR="004809E3" w:rsidRPr="009C48FB">
        <w:rPr>
          <w:color w:val="000000"/>
        </w:rPr>
        <w:t xml:space="preserve"> (2016)</w:t>
      </w:r>
      <w:r w:rsidR="00AA0730" w:rsidRPr="009C48FB">
        <w:rPr>
          <w:color w:val="000000"/>
          <w:vertAlign w:val="superscript"/>
        </w:rPr>
        <w:fldChar w:fldCharType="begin"/>
      </w:r>
      <w:r w:rsidR="00AA0730" w:rsidRPr="009C48FB">
        <w:rPr>
          <w:color w:val="000000"/>
          <w:vertAlign w:val="superscript"/>
        </w:rPr>
        <w:instrText xml:space="preserve"> NOTEREF _Ref45745003 </w:instrText>
      </w:r>
      <w:r w:rsidR="00AA0730" w:rsidRPr="00765D1E">
        <w:rPr>
          <w:color w:val="000000"/>
          <w:vertAlign w:val="superscript"/>
        </w:rPr>
        <w:instrText xml:space="preserve"> \* MERGEFORMAT </w:instrText>
      </w:r>
      <w:r w:rsidR="00AA0730" w:rsidRPr="009C48FB">
        <w:rPr>
          <w:color w:val="000000"/>
          <w:vertAlign w:val="superscript"/>
        </w:rPr>
        <w:fldChar w:fldCharType="separate"/>
      </w:r>
      <w:r w:rsidR="00202932">
        <w:rPr>
          <w:color w:val="000000"/>
          <w:vertAlign w:val="superscript"/>
        </w:rPr>
        <w:t>6</w:t>
      </w:r>
      <w:r w:rsidR="00AA0730" w:rsidRPr="009C48FB">
        <w:rPr>
          <w:color w:val="000000"/>
          <w:vertAlign w:val="superscript"/>
        </w:rPr>
        <w:fldChar w:fldCharType="end"/>
      </w:r>
      <w:r w:rsidR="00765D1E" w:rsidRPr="009C48FB">
        <w:rPr>
          <w:color w:val="000000"/>
        </w:rPr>
        <w:t xml:space="preserve"> </w:t>
      </w:r>
      <w:r w:rsidRPr="00765D1E">
        <w:t>(Avci et al.,</w:t>
      </w:r>
      <w:r w:rsidR="004809E3" w:rsidRPr="009C48FB">
        <w:t xml:space="preserve"> (1999)</w:t>
      </w:r>
      <w:r w:rsidR="00AA0730" w:rsidRPr="00765D1E">
        <w:rPr>
          <w:rStyle w:val="EndnoteReference"/>
        </w:rPr>
        <w:endnoteReference w:id="18"/>
      </w:r>
      <w:r w:rsidRPr="00765D1E">
        <w:t>; Simeon et al.,</w:t>
      </w:r>
      <w:r w:rsidR="004809E3" w:rsidRPr="009C48FB">
        <w:t xml:space="preserve"> (1990)</w:t>
      </w:r>
      <w:r w:rsidR="00AA0730" w:rsidRPr="00765D1E">
        <w:rPr>
          <w:rStyle w:val="EndnoteReference"/>
        </w:rPr>
        <w:endnoteReference w:id="19"/>
      </w:r>
      <w:r w:rsidRPr="00765D1E">
        <w:t>).</w:t>
      </w:r>
      <w:r>
        <w:rPr>
          <w:color w:val="000000"/>
        </w:rPr>
        <w:t xml:space="preserve"> </w:t>
      </w:r>
    </w:p>
    <w:p w14:paraId="5D9DCFDB" w14:textId="40DB29FD" w:rsidR="001E5836" w:rsidRDefault="001E5836" w:rsidP="00354B0D">
      <w:pPr>
        <w:spacing w:line="480" w:lineRule="auto"/>
      </w:pPr>
      <w:r w:rsidRPr="000667FC">
        <w:rPr>
          <w:color w:val="000000" w:themeColor="text1"/>
        </w:rPr>
        <w:t xml:space="preserve">The </w:t>
      </w:r>
      <w:r w:rsidR="00563224">
        <w:rPr>
          <w:color w:val="000000" w:themeColor="text1"/>
        </w:rPr>
        <w:t>characteristics and</w:t>
      </w:r>
      <w:r w:rsidRPr="000667FC">
        <w:rPr>
          <w:color w:val="000000" w:themeColor="text1"/>
        </w:rPr>
        <w:t xml:space="preserve"> outcomes </w:t>
      </w:r>
      <w:r w:rsidR="00563224">
        <w:rPr>
          <w:color w:val="000000" w:themeColor="text1"/>
        </w:rPr>
        <w:t>of</w:t>
      </w:r>
      <w:r w:rsidR="00563224" w:rsidRPr="000667FC">
        <w:rPr>
          <w:color w:val="000000" w:themeColor="text1"/>
        </w:rPr>
        <w:t xml:space="preserve"> </w:t>
      </w:r>
      <w:r w:rsidRPr="000667FC">
        <w:rPr>
          <w:color w:val="000000" w:themeColor="text1"/>
        </w:rPr>
        <w:t xml:space="preserve">each of the included systematic reviews/meta-analyses are presented in Table </w:t>
      </w:r>
      <w:r w:rsidR="00251D22">
        <w:rPr>
          <w:color w:val="000000" w:themeColor="text1"/>
        </w:rPr>
        <w:t>1</w:t>
      </w:r>
      <w:r w:rsidRPr="000667FC">
        <w:rPr>
          <w:color w:val="000000" w:themeColor="text1"/>
        </w:rPr>
        <w:t xml:space="preserve">. </w:t>
      </w:r>
      <w:r>
        <w:rPr>
          <w:color w:val="000000" w:themeColor="text1"/>
        </w:rPr>
        <w:t xml:space="preserve">Based on AMSTAR-2, </w:t>
      </w:r>
      <w:r>
        <w:t>overall only one review (network meta-analysis) was rated as high quality</w:t>
      </w:r>
      <w:r w:rsidR="005B6649" w:rsidRPr="009C48FB">
        <w:rPr>
          <w:vertAlign w:val="superscript"/>
        </w:rPr>
        <w:fldChar w:fldCharType="begin"/>
      </w:r>
      <w:r w:rsidR="005B6649" w:rsidRPr="009C48FB">
        <w:rPr>
          <w:vertAlign w:val="superscript"/>
        </w:rPr>
        <w:instrText xml:space="preserve"> NOTEREF _Ref45746604 </w:instrText>
      </w:r>
      <w:r w:rsidR="005B6649">
        <w:rPr>
          <w:vertAlign w:val="superscript"/>
        </w:rPr>
        <w:instrText xml:space="preserve"> \* MERGEFORMAT </w:instrText>
      </w:r>
      <w:r w:rsidR="005B6649" w:rsidRPr="009C48FB">
        <w:rPr>
          <w:vertAlign w:val="superscript"/>
        </w:rPr>
        <w:fldChar w:fldCharType="separate"/>
      </w:r>
      <w:r w:rsidR="00202932">
        <w:rPr>
          <w:vertAlign w:val="superscript"/>
        </w:rPr>
        <w:t>10</w:t>
      </w:r>
      <w:r w:rsidR="005B6649" w:rsidRPr="009C48FB">
        <w:rPr>
          <w:vertAlign w:val="superscript"/>
        </w:rPr>
        <w:fldChar w:fldCharType="end"/>
      </w:r>
      <w:r>
        <w:t>), five reviews were considered moderate in quality</w:t>
      </w:r>
      <w:r w:rsidR="005B6649" w:rsidRPr="009C48FB">
        <w:rPr>
          <w:vertAlign w:val="superscript"/>
        </w:rPr>
        <w:fldChar w:fldCharType="begin"/>
      </w:r>
      <w:r w:rsidR="005B6649" w:rsidRPr="009C48FB">
        <w:rPr>
          <w:vertAlign w:val="superscript"/>
        </w:rPr>
        <w:instrText xml:space="preserve"> NOTEREF _Ref45745003 </w:instrText>
      </w:r>
      <w:r w:rsidR="005B6649">
        <w:rPr>
          <w:vertAlign w:val="superscript"/>
        </w:rPr>
        <w:instrText xml:space="preserve"> \* MERGEFORMAT </w:instrText>
      </w:r>
      <w:r w:rsidR="005B6649" w:rsidRPr="009C48FB">
        <w:rPr>
          <w:vertAlign w:val="superscript"/>
        </w:rPr>
        <w:fldChar w:fldCharType="separate"/>
      </w:r>
      <w:r w:rsidR="00202932">
        <w:rPr>
          <w:vertAlign w:val="superscript"/>
        </w:rPr>
        <w:t>6</w:t>
      </w:r>
      <w:r w:rsidR="005B6649" w:rsidRPr="009C48FB">
        <w:rPr>
          <w:vertAlign w:val="superscript"/>
        </w:rPr>
        <w:fldChar w:fldCharType="end"/>
      </w:r>
      <w:r w:rsidR="007D2729">
        <w:rPr>
          <w:vertAlign w:val="superscript"/>
        </w:rPr>
        <w:t>,</w:t>
      </w:r>
      <w:r w:rsidR="005B6649" w:rsidRPr="009C48FB">
        <w:rPr>
          <w:vertAlign w:val="superscript"/>
        </w:rPr>
        <w:fldChar w:fldCharType="begin"/>
      </w:r>
      <w:r w:rsidR="005B6649" w:rsidRPr="009C48FB">
        <w:rPr>
          <w:vertAlign w:val="superscript"/>
        </w:rPr>
        <w:instrText xml:space="preserve"> NOTEREF _Ref45746688 </w:instrText>
      </w:r>
      <w:r w:rsidR="005B6649">
        <w:rPr>
          <w:vertAlign w:val="superscript"/>
        </w:rPr>
        <w:instrText xml:space="preserve"> \* MERGEFORMAT </w:instrText>
      </w:r>
      <w:r w:rsidR="005B6649" w:rsidRPr="009C48FB">
        <w:rPr>
          <w:vertAlign w:val="superscript"/>
        </w:rPr>
        <w:fldChar w:fldCharType="separate"/>
      </w:r>
      <w:r w:rsidR="00202932">
        <w:rPr>
          <w:vertAlign w:val="superscript"/>
        </w:rPr>
        <w:t>9</w:t>
      </w:r>
      <w:r w:rsidR="005B6649" w:rsidRPr="009C48FB">
        <w:rPr>
          <w:vertAlign w:val="superscript"/>
        </w:rPr>
        <w:fldChar w:fldCharType="end"/>
      </w:r>
      <w:r w:rsidR="007D2729">
        <w:rPr>
          <w:vertAlign w:val="superscript"/>
        </w:rPr>
        <w:t>,</w:t>
      </w:r>
      <w:r w:rsidR="00B70DDE">
        <w:rPr>
          <w:vertAlign w:val="superscript"/>
        </w:rPr>
        <w:fldChar w:fldCharType="begin"/>
      </w:r>
      <w:r w:rsidR="00B70DDE">
        <w:rPr>
          <w:vertAlign w:val="superscript"/>
        </w:rPr>
        <w:instrText xml:space="preserve"> NOTEREF _Ref45967260 \h </w:instrText>
      </w:r>
      <w:r w:rsidR="00B70DDE">
        <w:rPr>
          <w:vertAlign w:val="superscript"/>
        </w:rPr>
      </w:r>
      <w:r w:rsidR="00B70DDE">
        <w:rPr>
          <w:vertAlign w:val="superscript"/>
        </w:rPr>
        <w:fldChar w:fldCharType="separate"/>
      </w:r>
      <w:r w:rsidR="00B70DDE">
        <w:rPr>
          <w:vertAlign w:val="superscript"/>
        </w:rPr>
        <w:t>12</w:t>
      </w:r>
      <w:r w:rsidR="00B70DDE">
        <w:rPr>
          <w:vertAlign w:val="superscript"/>
        </w:rPr>
        <w:fldChar w:fldCharType="end"/>
      </w:r>
      <w:r w:rsidR="00B70DDE">
        <w:rPr>
          <w:vertAlign w:val="superscript"/>
        </w:rPr>
        <w:t>,</w:t>
      </w:r>
      <w:r w:rsidR="00B70DDE">
        <w:rPr>
          <w:vertAlign w:val="superscript"/>
        </w:rPr>
        <w:fldChar w:fldCharType="begin"/>
      </w:r>
      <w:r w:rsidR="00B70DDE">
        <w:rPr>
          <w:vertAlign w:val="superscript"/>
        </w:rPr>
        <w:instrText xml:space="preserve"> NOTEREF _Ref45967278 \h </w:instrText>
      </w:r>
      <w:r w:rsidR="00B70DDE">
        <w:rPr>
          <w:vertAlign w:val="superscript"/>
        </w:rPr>
      </w:r>
      <w:r w:rsidR="00B70DDE">
        <w:rPr>
          <w:vertAlign w:val="superscript"/>
        </w:rPr>
        <w:fldChar w:fldCharType="separate"/>
      </w:r>
      <w:r w:rsidR="00B70DDE">
        <w:rPr>
          <w:vertAlign w:val="superscript"/>
        </w:rPr>
        <w:t>13</w:t>
      </w:r>
      <w:r w:rsidR="00B70DDE">
        <w:rPr>
          <w:vertAlign w:val="superscript"/>
        </w:rPr>
        <w:fldChar w:fldCharType="end"/>
      </w:r>
      <w:r w:rsidR="00B70DDE">
        <w:rPr>
          <w:vertAlign w:val="superscript"/>
        </w:rPr>
        <w:t>,</w:t>
      </w:r>
      <w:r w:rsidR="007D2729" w:rsidRPr="00400ED4">
        <w:rPr>
          <w:vertAlign w:val="superscript"/>
        </w:rPr>
        <w:fldChar w:fldCharType="begin"/>
      </w:r>
      <w:r w:rsidR="007D2729" w:rsidRPr="00400ED4">
        <w:rPr>
          <w:vertAlign w:val="superscript"/>
        </w:rPr>
        <w:instrText xml:space="preserve"> NOTEREF _Ref45746666 </w:instrText>
      </w:r>
      <w:r w:rsidR="007D2729">
        <w:rPr>
          <w:vertAlign w:val="superscript"/>
        </w:rPr>
        <w:instrText xml:space="preserve"> \* MERGEFORMAT </w:instrText>
      </w:r>
      <w:r w:rsidR="007D2729" w:rsidRPr="00400ED4">
        <w:rPr>
          <w:vertAlign w:val="superscript"/>
        </w:rPr>
        <w:fldChar w:fldCharType="separate"/>
      </w:r>
      <w:r w:rsidR="00202932">
        <w:rPr>
          <w:vertAlign w:val="superscript"/>
        </w:rPr>
        <w:t>15</w:t>
      </w:r>
      <w:r w:rsidR="007D2729" w:rsidRPr="00400ED4">
        <w:rPr>
          <w:vertAlign w:val="superscript"/>
        </w:rPr>
        <w:fldChar w:fldCharType="end"/>
      </w:r>
      <w:r>
        <w:t>, one low quality</w:t>
      </w:r>
      <w:r w:rsidR="005B6649" w:rsidRPr="009C48FB">
        <w:rPr>
          <w:vertAlign w:val="superscript"/>
        </w:rPr>
        <w:fldChar w:fldCharType="begin"/>
      </w:r>
      <w:r w:rsidR="005B6649" w:rsidRPr="009C48FB">
        <w:rPr>
          <w:vertAlign w:val="superscript"/>
        </w:rPr>
        <w:instrText xml:space="preserve"> NOTEREF _Ref45746736 </w:instrText>
      </w:r>
      <w:r w:rsidR="005B6649">
        <w:rPr>
          <w:vertAlign w:val="superscript"/>
        </w:rPr>
        <w:instrText xml:space="preserve"> \* MERGEFORMAT </w:instrText>
      </w:r>
      <w:r w:rsidR="005B6649" w:rsidRPr="009C48FB">
        <w:rPr>
          <w:vertAlign w:val="superscript"/>
        </w:rPr>
        <w:fldChar w:fldCharType="separate"/>
      </w:r>
      <w:r w:rsidR="00202932">
        <w:rPr>
          <w:vertAlign w:val="superscript"/>
        </w:rPr>
        <w:t>16</w:t>
      </w:r>
      <w:r w:rsidR="005B6649" w:rsidRPr="009C48FB">
        <w:rPr>
          <w:vertAlign w:val="superscript"/>
        </w:rPr>
        <w:fldChar w:fldCharType="end"/>
      </w:r>
      <w:r>
        <w:t xml:space="preserve">, and two </w:t>
      </w:r>
      <w:r w:rsidR="00C42A68">
        <w:t>critically</w:t>
      </w:r>
      <w:r>
        <w:t xml:space="preserve"> low quality</w:t>
      </w:r>
      <w:r w:rsidR="007D2729" w:rsidRPr="009C48FB">
        <w:rPr>
          <w:vertAlign w:val="superscript"/>
        </w:rPr>
        <w:fldChar w:fldCharType="begin"/>
      </w:r>
      <w:r w:rsidR="007D2729" w:rsidRPr="009C48FB">
        <w:rPr>
          <w:vertAlign w:val="superscript"/>
        </w:rPr>
        <w:instrText xml:space="preserve"> NOTEREF _Ref45746788 \h </w:instrText>
      </w:r>
      <w:r w:rsidR="007D2729">
        <w:rPr>
          <w:vertAlign w:val="superscript"/>
        </w:rPr>
        <w:instrText xml:space="preserve"> \* MERGEFORMAT </w:instrText>
      </w:r>
      <w:r w:rsidR="007D2729" w:rsidRPr="009C48FB">
        <w:rPr>
          <w:vertAlign w:val="superscript"/>
        </w:rPr>
      </w:r>
      <w:r w:rsidR="007D2729" w:rsidRPr="009C48FB">
        <w:rPr>
          <w:vertAlign w:val="superscript"/>
        </w:rPr>
        <w:fldChar w:fldCharType="separate"/>
      </w:r>
      <w:r w:rsidR="00202932">
        <w:rPr>
          <w:vertAlign w:val="superscript"/>
        </w:rPr>
        <w:t>11</w:t>
      </w:r>
      <w:r w:rsidR="007D2729" w:rsidRPr="009C48FB">
        <w:rPr>
          <w:vertAlign w:val="superscript"/>
        </w:rPr>
        <w:fldChar w:fldCharType="end"/>
      </w:r>
      <w:r w:rsidR="007D2729">
        <w:rPr>
          <w:vertAlign w:val="superscript"/>
        </w:rPr>
        <w:t>,</w:t>
      </w:r>
      <w:r w:rsidR="007D2729" w:rsidRPr="009C48FB">
        <w:rPr>
          <w:vertAlign w:val="superscript"/>
        </w:rPr>
        <w:fldChar w:fldCharType="begin"/>
      </w:r>
      <w:r w:rsidR="007D2729" w:rsidRPr="009C48FB">
        <w:rPr>
          <w:vertAlign w:val="superscript"/>
        </w:rPr>
        <w:instrText xml:space="preserve"> NOTEREF _Ref45747376 \h </w:instrText>
      </w:r>
      <w:r w:rsidR="007D2729">
        <w:rPr>
          <w:vertAlign w:val="superscript"/>
        </w:rPr>
        <w:instrText xml:space="preserve"> \* MERGEFORMAT </w:instrText>
      </w:r>
      <w:r w:rsidR="007D2729" w:rsidRPr="009C48FB">
        <w:rPr>
          <w:vertAlign w:val="superscript"/>
        </w:rPr>
      </w:r>
      <w:r w:rsidR="007D2729" w:rsidRPr="009C48FB">
        <w:rPr>
          <w:vertAlign w:val="superscript"/>
        </w:rPr>
        <w:fldChar w:fldCharType="separate"/>
      </w:r>
      <w:r w:rsidR="00202932">
        <w:rPr>
          <w:vertAlign w:val="superscript"/>
        </w:rPr>
        <w:t>14</w:t>
      </w:r>
      <w:r w:rsidR="007D2729" w:rsidRPr="009C48FB">
        <w:rPr>
          <w:vertAlign w:val="superscript"/>
        </w:rPr>
        <w:fldChar w:fldCharType="end"/>
      </w:r>
      <w:r>
        <w:t xml:space="preserve"> (see Table </w:t>
      </w:r>
      <w:r w:rsidR="00251D22">
        <w:t>2</w:t>
      </w:r>
      <w:r>
        <w:t xml:space="preserve"> and </w:t>
      </w:r>
      <w:r w:rsidR="00251D22">
        <w:t xml:space="preserve">Supplementary </w:t>
      </w:r>
      <w:r>
        <w:t xml:space="preserve">Table </w:t>
      </w:r>
      <w:r w:rsidR="00251D22">
        <w:t>2</w:t>
      </w:r>
      <w:r>
        <w:t xml:space="preserve">). </w:t>
      </w:r>
    </w:p>
    <w:p w14:paraId="65D2BD9D" w14:textId="77777777" w:rsidR="001E5836" w:rsidRDefault="001E5836" w:rsidP="00354B0D">
      <w:pPr>
        <w:pStyle w:val="NormalWeb"/>
        <w:spacing w:before="0" w:beforeAutospacing="0" w:after="0" w:afterAutospacing="0" w:line="480" w:lineRule="auto"/>
        <w:rPr>
          <w:b/>
          <w:bCs/>
          <w:i/>
          <w:iCs/>
        </w:rPr>
      </w:pPr>
    </w:p>
    <w:p w14:paraId="60C12539" w14:textId="1CD29712" w:rsidR="001E5836" w:rsidRPr="00FB6260" w:rsidRDefault="001E5836" w:rsidP="00354B0D">
      <w:pPr>
        <w:pStyle w:val="NormalWeb"/>
        <w:spacing w:before="0" w:beforeAutospacing="0" w:after="0" w:afterAutospacing="0" w:line="480" w:lineRule="auto"/>
        <w:rPr>
          <w:b/>
          <w:bCs/>
          <w:i/>
          <w:iCs/>
        </w:rPr>
      </w:pPr>
      <w:r w:rsidRPr="00FB6260">
        <w:rPr>
          <w:b/>
          <w:bCs/>
          <w:i/>
          <w:iCs/>
        </w:rPr>
        <w:t>Anxiety Disorders</w:t>
      </w:r>
      <w:r w:rsidR="005C539B">
        <w:rPr>
          <w:b/>
          <w:bCs/>
          <w:i/>
          <w:iCs/>
        </w:rPr>
        <w:t xml:space="preserve"> (</w:t>
      </w:r>
      <w:r w:rsidR="005C539B" w:rsidRPr="005C539B">
        <w:rPr>
          <w:b/>
          <w:bCs/>
          <w:i/>
          <w:iCs/>
          <w:lang w:val="en-GB"/>
        </w:rPr>
        <w:t>OCD and PTSD are discussed separately below</w:t>
      </w:r>
      <w:r w:rsidR="005C539B">
        <w:rPr>
          <w:b/>
          <w:bCs/>
          <w:i/>
          <w:iCs/>
          <w:lang w:val="en-GB"/>
        </w:rPr>
        <w:t>)</w:t>
      </w:r>
    </w:p>
    <w:p w14:paraId="4A34A7D7" w14:textId="14EFE683" w:rsidR="001E5836" w:rsidRDefault="001E5836" w:rsidP="00354B0D">
      <w:pPr>
        <w:pStyle w:val="NormalWeb"/>
        <w:spacing w:before="0" w:beforeAutospacing="0" w:after="0" w:afterAutospacing="0" w:line="480" w:lineRule="auto"/>
      </w:pPr>
      <w:r w:rsidRPr="00765D1E">
        <w:t>The NMA by Dobson et al</w:t>
      </w:r>
      <w:r w:rsidRPr="00192E65">
        <w:t>.</w:t>
      </w:r>
      <w:r w:rsidR="005B6649" w:rsidRPr="00192E65">
        <w:t>,</w:t>
      </w:r>
      <w:r w:rsidR="0003020F" w:rsidRPr="00192E65">
        <w:t xml:space="preserve"> (2019</w:t>
      </w:r>
      <w:r w:rsidR="0003020F">
        <w:t>)</w:t>
      </w:r>
      <w:r w:rsidR="005B6649" w:rsidRPr="009C48FB">
        <w:rPr>
          <w:vertAlign w:val="superscript"/>
        </w:rPr>
        <w:fldChar w:fldCharType="begin"/>
      </w:r>
      <w:r w:rsidR="005B6649" w:rsidRPr="009C48FB">
        <w:rPr>
          <w:vertAlign w:val="superscript"/>
        </w:rPr>
        <w:instrText xml:space="preserve"> NOTEREF _Ref45746788 </w:instrText>
      </w:r>
      <w:r w:rsidR="005B6649">
        <w:rPr>
          <w:vertAlign w:val="superscript"/>
        </w:rPr>
        <w:instrText xml:space="preserve"> \* MERGEFORMAT </w:instrText>
      </w:r>
      <w:r w:rsidR="005B6649" w:rsidRPr="009C48FB">
        <w:rPr>
          <w:vertAlign w:val="superscript"/>
        </w:rPr>
        <w:fldChar w:fldCharType="separate"/>
      </w:r>
      <w:r w:rsidR="00202932">
        <w:rPr>
          <w:vertAlign w:val="superscript"/>
        </w:rPr>
        <w:t>11</w:t>
      </w:r>
      <w:r w:rsidR="005B6649" w:rsidRPr="009C48FB">
        <w:rPr>
          <w:vertAlign w:val="superscript"/>
        </w:rPr>
        <w:fldChar w:fldCharType="end"/>
      </w:r>
      <w:r w:rsidRPr="000667FC">
        <w:t xml:space="preserve">  compared the use of SSRI</w:t>
      </w:r>
      <w:r>
        <w:t>s</w:t>
      </w:r>
      <w:r w:rsidRPr="000667FC">
        <w:t>, SNRI</w:t>
      </w:r>
      <w:r>
        <w:t>s</w:t>
      </w:r>
      <w:r w:rsidRPr="000667FC">
        <w:t xml:space="preserve"> and </w:t>
      </w:r>
      <w:r>
        <w:t>TCAs</w:t>
      </w:r>
      <w:r w:rsidRPr="000667FC">
        <w:t xml:space="preserve"> (imipramine, clomipramine, fluoxetine, fluvoxamine, sertraline, paroxetine, venlafaxine, and duloxetine) versus placebo in the treatment of anxiety disorders</w:t>
      </w:r>
      <w:r>
        <w:t xml:space="preserve"> (including generalized anxiety disorder, mixed anxiety disorder, social anxiety disorder, separation anxiety disorder, school phobia and elective mutism)</w:t>
      </w:r>
      <w:r w:rsidRPr="000667FC">
        <w:t xml:space="preserve">. </w:t>
      </w:r>
    </w:p>
    <w:p w14:paraId="683F4FFF" w14:textId="570BBB22" w:rsidR="001E5836" w:rsidRDefault="001E5836" w:rsidP="00354B0D">
      <w:pPr>
        <w:pStyle w:val="NormalWeb"/>
        <w:spacing w:before="0" w:beforeAutospacing="0" w:after="0" w:afterAutospacing="0" w:line="480" w:lineRule="auto"/>
      </w:pPr>
      <w:r>
        <w:t>Fluvoxamine</w:t>
      </w:r>
      <w:r w:rsidRPr="000667FC">
        <w:t xml:space="preserve"> </w:t>
      </w:r>
      <w:r>
        <w:t xml:space="preserve">was found to be </w:t>
      </w:r>
      <w:r w:rsidRPr="000667FC">
        <w:t>superior to placebo</w:t>
      </w:r>
      <w:r>
        <w:t xml:space="preserve"> in terms of treatment response reported </w:t>
      </w:r>
      <w:r w:rsidRPr="000667FC">
        <w:t>as</w:t>
      </w:r>
      <w:r>
        <w:t xml:space="preserve"> l</w:t>
      </w:r>
      <w:r w:rsidRPr="000667FC">
        <w:t>og</w:t>
      </w:r>
      <w:r w:rsidR="00D57EF5">
        <w:t xml:space="preserve"> </w:t>
      </w:r>
      <w:r w:rsidRPr="000667FC">
        <w:t>OR</w:t>
      </w:r>
      <w:r>
        <w:t xml:space="preserve"> </w:t>
      </w:r>
      <w:r w:rsidRPr="000667FC">
        <w:t>(2.1</w:t>
      </w:r>
      <w:r>
        <w:t>,</w:t>
      </w:r>
      <w:r w:rsidRPr="000667FC">
        <w:t xml:space="preserve"> 95% Cr</w:t>
      </w:r>
      <w:r>
        <w:t>I</w:t>
      </w:r>
      <w:r w:rsidRPr="000667FC">
        <w:t xml:space="preserve"> 0.3 to 3.9)</w:t>
      </w:r>
      <w:r>
        <w:t xml:space="preserve"> and also in terms of improvement in symptom severity </w:t>
      </w:r>
      <w:r w:rsidRPr="000667FC">
        <w:t>measured by</w:t>
      </w:r>
      <w:r>
        <w:t xml:space="preserve"> the </w:t>
      </w:r>
      <w:r w:rsidRPr="000667FC">
        <w:t xml:space="preserve">Pediatric Anxiety Rating Scale </w:t>
      </w:r>
      <w:r>
        <w:t xml:space="preserve">(mean difference </w:t>
      </w:r>
      <w:r w:rsidRPr="000667FC">
        <w:t>8.3</w:t>
      </w:r>
      <w:r>
        <w:t>,</w:t>
      </w:r>
      <w:r w:rsidRPr="000667FC">
        <w:t xml:space="preserve"> </w:t>
      </w:r>
      <w:r>
        <w:t xml:space="preserve">95% </w:t>
      </w:r>
      <w:r w:rsidRPr="000667FC">
        <w:t>CrI 2.5 to 14.3</w:t>
      </w:r>
      <w:r>
        <w:t xml:space="preserve">). </w:t>
      </w:r>
      <w:r w:rsidRPr="000667FC">
        <w:t xml:space="preserve"> </w:t>
      </w:r>
      <w:r>
        <w:t>Interestingly, s</w:t>
      </w:r>
      <w:r w:rsidRPr="000667FC">
        <w:t>ertraline</w:t>
      </w:r>
      <w:r>
        <w:t>, paroxetine</w:t>
      </w:r>
      <w:r w:rsidRPr="000667FC">
        <w:t xml:space="preserve"> and fluoxetine </w:t>
      </w:r>
      <w:r>
        <w:t xml:space="preserve">were more efficacious than placebo, but only according to one and not both outcome measures. </w:t>
      </w:r>
    </w:p>
    <w:p w14:paraId="7816FC76" w14:textId="77777777" w:rsidR="001C4FAA" w:rsidRPr="000667FC" w:rsidRDefault="001C4FAA" w:rsidP="00354B0D">
      <w:pPr>
        <w:pStyle w:val="NormalWeb"/>
        <w:spacing w:before="0" w:beforeAutospacing="0" w:after="0" w:afterAutospacing="0" w:line="480" w:lineRule="auto"/>
      </w:pPr>
    </w:p>
    <w:p w14:paraId="5FECD203" w14:textId="48202024" w:rsidR="001E5836" w:rsidRDefault="001E5836" w:rsidP="00354B0D">
      <w:pPr>
        <w:pStyle w:val="NormalWeb"/>
        <w:spacing w:before="0" w:beforeAutospacing="0" w:after="0" w:afterAutospacing="0" w:line="480" w:lineRule="auto"/>
      </w:pPr>
      <w:r w:rsidRPr="000667FC">
        <w:lastRenderedPageBreak/>
        <w:t>In terms of tolerability</w:t>
      </w:r>
      <w:r>
        <w:t>,</w:t>
      </w:r>
      <w:r w:rsidRPr="000667FC">
        <w:t xml:space="preserve"> there were no significant differences between any active treatment and placebo</w:t>
      </w:r>
      <w:r>
        <w:t xml:space="preserve">; </w:t>
      </w:r>
      <w:proofErr w:type="gramStart"/>
      <w:r>
        <w:t>however</w:t>
      </w:r>
      <w:proofErr w:type="gramEnd"/>
      <w:r>
        <w:t xml:space="preserve"> </w:t>
      </w:r>
      <w:r w:rsidRPr="000667FC">
        <w:t>treatment-emergent suicidality was significantly greater in paroxetine-treated patients compared to those receiving placebo (log</w:t>
      </w:r>
      <w:r w:rsidR="00D57EF5">
        <w:t xml:space="preserve"> </w:t>
      </w:r>
      <w:r w:rsidRPr="000667FC">
        <w:t>OR</w:t>
      </w:r>
      <w:r>
        <w:t xml:space="preserve"> </w:t>
      </w:r>
      <w:r w:rsidRPr="000667FC">
        <w:t>19.5, 95% CrI 1.7 to 60.4), sertraline (</w:t>
      </w:r>
      <w:r w:rsidR="00D57EF5" w:rsidRPr="000667FC">
        <w:t>log</w:t>
      </w:r>
      <w:r w:rsidR="00D57EF5">
        <w:t xml:space="preserve"> </w:t>
      </w:r>
      <w:r w:rsidR="00D57EF5" w:rsidRPr="000667FC">
        <w:t xml:space="preserve">OR </w:t>
      </w:r>
      <w:r w:rsidRPr="000667FC">
        <w:t xml:space="preserve">43.5, </w:t>
      </w:r>
      <w:r w:rsidR="00D57EF5" w:rsidRPr="000667FC">
        <w:t xml:space="preserve">95% CrI </w:t>
      </w:r>
      <w:r w:rsidRPr="000667FC">
        <w:t>10.1 to 96.0) and duloxetine (</w:t>
      </w:r>
      <w:r w:rsidR="00D57EF5" w:rsidRPr="000667FC">
        <w:t>log</w:t>
      </w:r>
      <w:r w:rsidR="00D57EF5">
        <w:t xml:space="preserve"> </w:t>
      </w:r>
      <w:r w:rsidR="00D57EF5" w:rsidRPr="000667FC">
        <w:t xml:space="preserve">OR </w:t>
      </w:r>
      <w:r w:rsidRPr="000667FC">
        <w:t xml:space="preserve">20.3, </w:t>
      </w:r>
      <w:r w:rsidR="00D57EF5" w:rsidRPr="000667FC">
        <w:t xml:space="preserve">95% CrI </w:t>
      </w:r>
      <w:r w:rsidRPr="000667FC">
        <w:t xml:space="preserve">1.5 to 67.7). </w:t>
      </w:r>
    </w:p>
    <w:p w14:paraId="137DE703" w14:textId="5C2E1C11" w:rsidR="00DF681A" w:rsidRDefault="00DF681A" w:rsidP="00354B0D">
      <w:pPr>
        <w:pStyle w:val="NormalWeb"/>
        <w:spacing w:before="0" w:beforeAutospacing="0" w:after="0" w:afterAutospacing="0" w:line="480" w:lineRule="auto"/>
      </w:pPr>
    </w:p>
    <w:p w14:paraId="25FFD560" w14:textId="77777777" w:rsidR="00DF681A" w:rsidRPr="007F270C" w:rsidRDefault="00DF681A" w:rsidP="00DF681A">
      <w:pPr>
        <w:pStyle w:val="NormalWeb"/>
        <w:spacing w:before="0" w:beforeAutospacing="0" w:after="0" w:afterAutospacing="0" w:line="480" w:lineRule="auto"/>
        <w:rPr>
          <w:b/>
          <w:bCs/>
          <w:i/>
          <w:iCs/>
        </w:rPr>
      </w:pPr>
      <w:r w:rsidRPr="007F270C">
        <w:rPr>
          <w:b/>
          <w:bCs/>
          <w:i/>
          <w:iCs/>
        </w:rPr>
        <w:t>Attention</w:t>
      </w:r>
      <w:r>
        <w:rPr>
          <w:b/>
          <w:bCs/>
          <w:i/>
          <w:iCs/>
        </w:rPr>
        <w:t>-</w:t>
      </w:r>
      <w:r w:rsidRPr="007F270C">
        <w:rPr>
          <w:b/>
          <w:bCs/>
          <w:i/>
          <w:iCs/>
        </w:rPr>
        <w:t>Deficit</w:t>
      </w:r>
      <w:r>
        <w:rPr>
          <w:b/>
          <w:bCs/>
          <w:i/>
          <w:iCs/>
        </w:rPr>
        <w:t>/</w:t>
      </w:r>
      <w:r w:rsidRPr="007F270C">
        <w:rPr>
          <w:b/>
          <w:bCs/>
          <w:i/>
          <w:iCs/>
        </w:rPr>
        <w:t>Hyperactivity Disorder</w:t>
      </w:r>
    </w:p>
    <w:p w14:paraId="62A982E3" w14:textId="526AEE3B" w:rsidR="00DF681A" w:rsidRDefault="00DF681A" w:rsidP="00DF681A">
      <w:pPr>
        <w:pStyle w:val="NormalWeb"/>
        <w:spacing w:before="0" w:beforeAutospacing="0" w:after="0" w:afterAutospacing="0" w:line="480" w:lineRule="auto"/>
      </w:pPr>
      <w:r w:rsidRPr="000667FC">
        <w:t xml:space="preserve">In </w:t>
      </w:r>
      <w:r>
        <w:t xml:space="preserve">the network meta-analysis (NMA) </w:t>
      </w:r>
      <w:r w:rsidRPr="000667FC">
        <w:t xml:space="preserve">by Cortese et </w:t>
      </w:r>
      <w:r>
        <w:t>al.,</w:t>
      </w:r>
      <w:r w:rsidR="0003020F">
        <w:t xml:space="preserve"> (2018)</w:t>
      </w:r>
      <w:r w:rsidR="005B6649" w:rsidRPr="009C48FB">
        <w:rPr>
          <w:vertAlign w:val="superscript"/>
        </w:rPr>
        <w:fldChar w:fldCharType="begin"/>
      </w:r>
      <w:r w:rsidR="005B6649" w:rsidRPr="009C48FB">
        <w:rPr>
          <w:vertAlign w:val="superscript"/>
        </w:rPr>
        <w:instrText xml:space="preserve"> NOTEREF _Ref45746604 </w:instrText>
      </w:r>
      <w:r w:rsidR="005B6649">
        <w:rPr>
          <w:vertAlign w:val="superscript"/>
        </w:rPr>
        <w:instrText xml:space="preserve"> \* MERGEFORMAT </w:instrText>
      </w:r>
      <w:r w:rsidR="005B6649" w:rsidRPr="009C48FB">
        <w:rPr>
          <w:vertAlign w:val="superscript"/>
        </w:rPr>
        <w:fldChar w:fldCharType="separate"/>
      </w:r>
      <w:r w:rsidR="00202932">
        <w:rPr>
          <w:vertAlign w:val="superscript"/>
        </w:rPr>
        <w:t>10</w:t>
      </w:r>
      <w:r w:rsidR="005B6649" w:rsidRPr="009C48FB">
        <w:rPr>
          <w:vertAlign w:val="superscript"/>
        </w:rPr>
        <w:fldChar w:fldCharType="end"/>
      </w:r>
      <w:r w:rsidR="005B6649">
        <w:t xml:space="preserve"> </w:t>
      </w:r>
      <w:r w:rsidRPr="000667FC">
        <w:t xml:space="preserve">bupropion </w:t>
      </w:r>
      <w:r>
        <w:t xml:space="preserve">(the only antidepressant included in this NMA) </w:t>
      </w:r>
      <w:r w:rsidRPr="000667FC">
        <w:t xml:space="preserve">was found to be significantly more efficacious compared to placebo on </w:t>
      </w:r>
      <w:r>
        <w:t>the</w:t>
      </w:r>
      <w:r w:rsidRPr="000667FC">
        <w:t xml:space="preserve"> severity of </w:t>
      </w:r>
      <w:r>
        <w:t xml:space="preserve">ADHD </w:t>
      </w:r>
      <w:r w:rsidRPr="000667FC">
        <w:t>symptoms when rated by clinicians (</w:t>
      </w:r>
      <w:r>
        <w:t xml:space="preserve">Standardized Mean Difference (SMD) </w:t>
      </w:r>
      <w:r w:rsidRPr="000667FC">
        <w:t>–0·96</w:t>
      </w:r>
      <w:r>
        <w:t xml:space="preserve">, Confidence Interval (CI) 95% </w:t>
      </w:r>
      <w:r w:rsidRPr="000667FC">
        <w:t>–1·69 to –0·22)</w:t>
      </w:r>
      <w:r>
        <w:t xml:space="preserve"> using the </w:t>
      </w:r>
      <w:r>
        <w:rPr>
          <w:rFonts w:cstheme="minorHAnsi"/>
          <w:color w:val="000000"/>
          <w:lang w:eastAsia="en-GB"/>
        </w:rPr>
        <w:t xml:space="preserve">Attention Deficit/Hyperactivity Disorder Rating Scale Fourth Version </w:t>
      </w:r>
      <w:r>
        <w:t xml:space="preserve">(ADHD-RS-IV), </w:t>
      </w:r>
      <w:r w:rsidRPr="000667FC">
        <w:t>although teacher ratings</w:t>
      </w:r>
      <w:r>
        <w:t xml:space="preserve"> </w:t>
      </w:r>
      <w:r w:rsidRPr="000667FC">
        <w:t>were not significant (</w:t>
      </w:r>
      <w:r>
        <w:t xml:space="preserve">SMD </w:t>
      </w:r>
      <w:r w:rsidRPr="000667FC">
        <w:t>–0·32</w:t>
      </w:r>
      <w:r>
        <w:t xml:space="preserve">, CI 95% </w:t>
      </w:r>
      <w:r w:rsidRPr="000667FC">
        <w:t>–1·07 to 0·43</w:t>
      </w:r>
      <w:r>
        <w:t>) as measured by the ADHD-RS-IV.</w:t>
      </w:r>
      <w:r w:rsidRPr="000667FC" w:rsidDel="003D5147">
        <w:t xml:space="preserve"> </w:t>
      </w:r>
      <w:r>
        <w:t xml:space="preserve">These results were derived from indirect analyses within the network, rather than pairwise analyses. </w:t>
      </w:r>
    </w:p>
    <w:p w14:paraId="1C0F3574" w14:textId="4936A04C" w:rsidR="00DF681A" w:rsidRDefault="00DF681A" w:rsidP="00DF681A">
      <w:pPr>
        <w:pStyle w:val="NormalWeb"/>
        <w:spacing w:before="0" w:beforeAutospacing="0" w:after="0" w:afterAutospacing="0" w:line="480" w:lineRule="auto"/>
      </w:pPr>
      <w:r w:rsidRPr="000667FC">
        <w:t xml:space="preserve">Two relevant studies were included in </w:t>
      </w:r>
      <w:r>
        <w:t>the second</w:t>
      </w:r>
      <w:r w:rsidRPr="000667FC">
        <w:t xml:space="preserve"> systematic review</w:t>
      </w:r>
      <w:r>
        <w:t>, which focused</w:t>
      </w:r>
      <w:r w:rsidRPr="000667FC">
        <w:t xml:space="preserve"> on the use of </w:t>
      </w:r>
      <w:r>
        <w:t xml:space="preserve">the </w:t>
      </w:r>
      <w:r w:rsidRPr="000667FC">
        <w:t>TCA desipramine for ADHD</w:t>
      </w:r>
      <w:r w:rsidR="00B33455" w:rsidRPr="009C48FB">
        <w:rPr>
          <w:vertAlign w:val="superscript"/>
        </w:rPr>
        <w:fldChar w:fldCharType="begin"/>
      </w:r>
      <w:r w:rsidR="00B33455" w:rsidRPr="009C48FB">
        <w:rPr>
          <w:vertAlign w:val="superscript"/>
        </w:rPr>
        <w:instrText xml:space="preserve"> NOTEREF _Ref45746688 \h </w:instrText>
      </w:r>
      <w:r w:rsidR="00B33455">
        <w:rPr>
          <w:vertAlign w:val="superscript"/>
        </w:rPr>
        <w:instrText xml:space="preserve"> \* MERGEFORMAT </w:instrText>
      </w:r>
      <w:r w:rsidR="00B33455" w:rsidRPr="009C48FB">
        <w:rPr>
          <w:vertAlign w:val="superscript"/>
        </w:rPr>
      </w:r>
      <w:r w:rsidR="00B33455" w:rsidRPr="009C48FB">
        <w:rPr>
          <w:vertAlign w:val="superscript"/>
        </w:rPr>
        <w:fldChar w:fldCharType="separate"/>
      </w:r>
      <w:r w:rsidR="00202932">
        <w:rPr>
          <w:vertAlign w:val="superscript"/>
        </w:rPr>
        <w:t>9</w:t>
      </w:r>
      <w:r w:rsidR="00B33455" w:rsidRPr="009C48FB">
        <w:rPr>
          <w:vertAlign w:val="superscript"/>
        </w:rPr>
        <w:fldChar w:fldCharType="end"/>
      </w:r>
      <w:r w:rsidRPr="000667FC">
        <w:t>).</w:t>
      </w:r>
      <w:r>
        <w:t xml:space="preserve"> D</w:t>
      </w:r>
      <w:r w:rsidRPr="000667FC">
        <w:t>esipramine was significantly more efficacious than placebo</w:t>
      </w:r>
      <w:r w:rsidRPr="00AE6C6F">
        <w:t xml:space="preserve"> </w:t>
      </w:r>
      <w:r>
        <w:t>in treating ADHD symptoms as rated by teachers (</w:t>
      </w:r>
      <w:r w:rsidRPr="00C938DC">
        <w:t>SMD -0.97; 95% CI -1.66 to -0.28</w:t>
      </w:r>
      <w:r>
        <w:t xml:space="preserve">). </w:t>
      </w:r>
      <w:r w:rsidRPr="000667FC">
        <w:t xml:space="preserve"> </w:t>
      </w:r>
    </w:p>
    <w:p w14:paraId="6FF7A1AC" w14:textId="3E427C53" w:rsidR="00DF681A" w:rsidRPr="000667FC" w:rsidRDefault="00DF681A" w:rsidP="00354B0D">
      <w:pPr>
        <w:pStyle w:val="NormalWeb"/>
        <w:spacing w:before="0" w:beforeAutospacing="0" w:after="0" w:afterAutospacing="0" w:line="480" w:lineRule="auto"/>
      </w:pPr>
      <w:r>
        <w:t>N</w:t>
      </w:r>
      <w:r w:rsidRPr="000667FC">
        <w:t xml:space="preserve">o significant difference </w:t>
      </w:r>
      <w:r>
        <w:t xml:space="preserve">was found </w:t>
      </w:r>
      <w:r w:rsidRPr="000667FC">
        <w:t>between bupropion and placebo in terms of tolerability</w:t>
      </w:r>
      <w:r w:rsidR="005B6649" w:rsidRPr="009C48FB">
        <w:rPr>
          <w:vertAlign w:val="superscript"/>
        </w:rPr>
        <w:fldChar w:fldCharType="begin"/>
      </w:r>
      <w:r w:rsidR="005B6649" w:rsidRPr="009C48FB">
        <w:rPr>
          <w:vertAlign w:val="superscript"/>
        </w:rPr>
        <w:instrText xml:space="preserve"> NOTEREF _Ref45746604 </w:instrText>
      </w:r>
      <w:r w:rsidR="005B6649">
        <w:rPr>
          <w:vertAlign w:val="superscript"/>
        </w:rPr>
        <w:instrText xml:space="preserve"> \* MERGEFORMAT </w:instrText>
      </w:r>
      <w:r w:rsidR="005B6649" w:rsidRPr="009C48FB">
        <w:rPr>
          <w:vertAlign w:val="superscript"/>
        </w:rPr>
        <w:fldChar w:fldCharType="separate"/>
      </w:r>
      <w:r w:rsidR="00202932">
        <w:rPr>
          <w:vertAlign w:val="superscript"/>
        </w:rPr>
        <w:t>10</w:t>
      </w:r>
      <w:r w:rsidR="005B6649" w:rsidRPr="009C48FB">
        <w:rPr>
          <w:vertAlign w:val="superscript"/>
        </w:rPr>
        <w:fldChar w:fldCharType="end"/>
      </w:r>
      <w:r>
        <w:t xml:space="preserve">; for </w:t>
      </w:r>
      <w:r w:rsidRPr="000667FC">
        <w:t xml:space="preserve">desipramine </w:t>
      </w:r>
      <w:r>
        <w:t>no serious adverse events were reported</w:t>
      </w:r>
      <w:r w:rsidR="00730151" w:rsidRPr="009C48FB">
        <w:rPr>
          <w:vertAlign w:val="superscript"/>
        </w:rPr>
        <w:fldChar w:fldCharType="begin"/>
      </w:r>
      <w:r w:rsidR="00730151" w:rsidRPr="009C48FB">
        <w:rPr>
          <w:vertAlign w:val="superscript"/>
        </w:rPr>
        <w:instrText xml:space="preserve"> NOTEREF _Ref45746688 </w:instrText>
      </w:r>
      <w:r w:rsidR="00730151">
        <w:rPr>
          <w:vertAlign w:val="superscript"/>
        </w:rPr>
        <w:instrText xml:space="preserve"> \* MERGEFORMAT </w:instrText>
      </w:r>
      <w:r w:rsidR="00730151" w:rsidRPr="009C48FB">
        <w:rPr>
          <w:vertAlign w:val="superscript"/>
        </w:rPr>
        <w:fldChar w:fldCharType="separate"/>
      </w:r>
      <w:r w:rsidR="00202932">
        <w:rPr>
          <w:vertAlign w:val="superscript"/>
        </w:rPr>
        <w:t>9</w:t>
      </w:r>
      <w:r w:rsidR="00730151" w:rsidRPr="009C48FB">
        <w:rPr>
          <w:vertAlign w:val="superscript"/>
        </w:rPr>
        <w:fldChar w:fldCharType="end"/>
      </w:r>
      <w:r>
        <w:t xml:space="preserve">. </w:t>
      </w:r>
      <w:r w:rsidRPr="000667FC">
        <w:t>No data on suicidality w</w:t>
      </w:r>
      <w:r>
        <w:t>ere reported</w:t>
      </w:r>
      <w:r w:rsidRPr="000667FC">
        <w:t>.</w:t>
      </w:r>
    </w:p>
    <w:p w14:paraId="1B4197E8" w14:textId="77777777" w:rsidR="001E5836" w:rsidRDefault="001E5836" w:rsidP="00354B0D">
      <w:pPr>
        <w:pStyle w:val="NormalWeb"/>
        <w:spacing w:before="0" w:beforeAutospacing="0" w:after="0" w:afterAutospacing="0" w:line="480" w:lineRule="auto"/>
        <w:rPr>
          <w:b/>
          <w:bCs/>
          <w:i/>
          <w:iCs/>
        </w:rPr>
      </w:pPr>
    </w:p>
    <w:p w14:paraId="3E6D5874" w14:textId="77777777" w:rsidR="001E5836" w:rsidRPr="00643C1E" w:rsidRDefault="001E5836" w:rsidP="00354B0D">
      <w:pPr>
        <w:pStyle w:val="NormalWeb"/>
        <w:spacing w:before="0" w:beforeAutospacing="0" w:after="0" w:afterAutospacing="0" w:line="480" w:lineRule="auto"/>
        <w:rPr>
          <w:b/>
          <w:bCs/>
          <w:i/>
          <w:iCs/>
        </w:rPr>
      </w:pPr>
      <w:r w:rsidRPr="00643C1E">
        <w:rPr>
          <w:b/>
          <w:bCs/>
          <w:i/>
          <w:iCs/>
        </w:rPr>
        <w:t>Autism Spectrum Disorder</w:t>
      </w:r>
    </w:p>
    <w:p w14:paraId="03E72453" w14:textId="0F1837AE" w:rsidR="001E5836" w:rsidRDefault="001E5836" w:rsidP="00354B0D">
      <w:pPr>
        <w:pStyle w:val="NormalWeb"/>
        <w:spacing w:before="0" w:beforeAutospacing="0" w:after="0" w:afterAutospacing="0" w:line="480" w:lineRule="auto"/>
      </w:pPr>
      <w:r>
        <w:t>Of the tw</w:t>
      </w:r>
      <w:r w:rsidRPr="000667FC">
        <w:t>o systematic reviews investigating the use of antidepressants in the treatment of children and adolescents with ASD</w:t>
      </w:r>
      <w:r>
        <w:t>, t</w:t>
      </w:r>
      <w:r w:rsidRPr="000667FC">
        <w:t>he first</w:t>
      </w:r>
      <w:r>
        <w:t xml:space="preserve"> was on TCAs and</w:t>
      </w:r>
      <w:r w:rsidRPr="000667FC">
        <w:t xml:space="preserve"> reviewed the effects of clomipramine and tianeptine on </w:t>
      </w:r>
      <w:r>
        <w:t>core features of the disorder (</w:t>
      </w:r>
      <w:r w:rsidRPr="000667FC">
        <w:t>autistic symptoms, abnormal eye contact, inappropriate speech</w:t>
      </w:r>
      <w:r>
        <w:t>)</w:t>
      </w:r>
      <w:r w:rsidR="00B70DDE" w:rsidRPr="00B70DDE">
        <w:rPr>
          <w:vertAlign w:val="superscript"/>
        </w:rPr>
        <w:fldChar w:fldCharType="begin"/>
      </w:r>
      <w:r w:rsidR="00B70DDE" w:rsidRPr="009C48FB">
        <w:rPr>
          <w:vertAlign w:val="superscript"/>
        </w:rPr>
        <w:instrText xml:space="preserve"> NOTEREF _Ref45967278 \h  \* MERGEFORMAT </w:instrText>
      </w:r>
      <w:r w:rsidR="00B70DDE" w:rsidRPr="00B70DDE">
        <w:rPr>
          <w:vertAlign w:val="superscript"/>
        </w:rPr>
      </w:r>
      <w:r w:rsidR="00B70DDE" w:rsidRPr="00B70DDE">
        <w:rPr>
          <w:vertAlign w:val="superscript"/>
        </w:rPr>
        <w:fldChar w:fldCharType="separate"/>
      </w:r>
      <w:r w:rsidR="00B70DDE" w:rsidRPr="009C48FB">
        <w:rPr>
          <w:vertAlign w:val="superscript"/>
        </w:rPr>
        <w:t>13</w:t>
      </w:r>
      <w:r w:rsidR="00B70DDE" w:rsidRPr="00B70DDE">
        <w:rPr>
          <w:vertAlign w:val="superscript"/>
        </w:rPr>
        <w:fldChar w:fldCharType="end"/>
      </w:r>
      <w:r>
        <w:t xml:space="preserve">. </w:t>
      </w:r>
      <w:r w:rsidRPr="000667FC">
        <w:t xml:space="preserve">Tianeptine was found to have a significant effect on the improvement of inadequate eye contact </w:t>
      </w:r>
      <w:r>
        <w:t xml:space="preserve">and </w:t>
      </w:r>
      <w:r w:rsidRPr="000667FC">
        <w:t xml:space="preserve">inappropriate speech as rated </w:t>
      </w:r>
      <w:r>
        <w:t xml:space="preserve">by </w:t>
      </w:r>
      <w:r w:rsidRPr="000667FC">
        <w:t>parent</w:t>
      </w:r>
      <w:r>
        <w:t>s</w:t>
      </w:r>
      <w:r w:rsidRPr="000667FC">
        <w:t xml:space="preserve"> and teacher</w:t>
      </w:r>
      <w:r>
        <w:t>s</w:t>
      </w:r>
      <w:r w:rsidRPr="000667FC">
        <w:t xml:space="preserve"> on the Aberrant Behaviour </w:t>
      </w:r>
      <w:r w:rsidRPr="000667FC">
        <w:lastRenderedPageBreak/>
        <w:t xml:space="preserve">Checklist after 12 weeks compared to placebo (p </w:t>
      </w:r>
      <w:r>
        <w:t>=</w:t>
      </w:r>
      <w:r w:rsidRPr="000667FC">
        <w:t xml:space="preserve"> </w:t>
      </w:r>
      <w:r>
        <w:t>0.04</w:t>
      </w:r>
      <w:r w:rsidR="0054670F">
        <w:t>1</w:t>
      </w:r>
      <w:r>
        <w:t xml:space="preserve"> and </w:t>
      </w:r>
      <w:r w:rsidRPr="000667FC">
        <w:t>0.04</w:t>
      </w:r>
      <w:r w:rsidR="0054670F">
        <w:t>2</w:t>
      </w:r>
      <w:r>
        <w:t>, respectively</w:t>
      </w:r>
      <w:r w:rsidRPr="000667FC">
        <w:t>), although th</w:t>
      </w:r>
      <w:r>
        <w:t>ese</w:t>
      </w:r>
      <w:r w:rsidRPr="000667FC">
        <w:t xml:space="preserve"> result</w:t>
      </w:r>
      <w:r>
        <w:t>s</w:t>
      </w:r>
      <w:r w:rsidRPr="000667FC">
        <w:t xml:space="preserve"> w</w:t>
      </w:r>
      <w:r>
        <w:t>ere</w:t>
      </w:r>
      <w:r w:rsidRPr="000667FC">
        <w:t xml:space="preserve"> not supported by clinician ratings. Clomipramine was found to be more effective than placebo in reducing abnormal behaviors as rated by the Autism-relevant subscale of the CPRS (p = 0.0001). </w:t>
      </w:r>
      <w:r>
        <w:t>By contrast, f</w:t>
      </w:r>
      <w:r w:rsidRPr="000667FC">
        <w:t xml:space="preserve">or inappropriate speech there were no statistically significant differences between clomipramine and placebo (p = 0.27). </w:t>
      </w:r>
    </w:p>
    <w:p w14:paraId="1399E4FD" w14:textId="77777777" w:rsidR="00BA3518" w:rsidRPr="000667FC" w:rsidRDefault="00BA3518" w:rsidP="00354B0D">
      <w:pPr>
        <w:pStyle w:val="NormalWeb"/>
        <w:spacing w:before="0" w:beforeAutospacing="0" w:after="0" w:afterAutospacing="0" w:line="480" w:lineRule="auto"/>
      </w:pPr>
    </w:p>
    <w:p w14:paraId="3F8538CD" w14:textId="517FC515" w:rsidR="001E5836" w:rsidRPr="000667FC" w:rsidRDefault="001E5836" w:rsidP="00354B0D">
      <w:pPr>
        <w:pStyle w:val="NormalWeb"/>
        <w:spacing w:before="0" w:beforeAutospacing="0" w:after="0" w:afterAutospacing="0" w:line="480" w:lineRule="auto"/>
      </w:pPr>
      <w:r w:rsidRPr="000667FC">
        <w:t>A second systematic review focused on SSRIs (flu</w:t>
      </w:r>
      <w:r w:rsidRPr="00C342C1">
        <w:t>oxetine and citalopram) for the treatment of core features of ASD at 12 weeks</w:t>
      </w:r>
      <w:r w:rsidR="00B70DDE" w:rsidRPr="00B70DDE">
        <w:rPr>
          <w:vertAlign w:val="superscript"/>
        </w:rPr>
        <w:fldChar w:fldCharType="begin"/>
      </w:r>
      <w:r w:rsidR="00B70DDE" w:rsidRPr="009C48FB">
        <w:rPr>
          <w:vertAlign w:val="superscript"/>
        </w:rPr>
        <w:instrText xml:space="preserve"> NOTEREF _Ref45967260 \h  \* MERGEFORMAT </w:instrText>
      </w:r>
      <w:r w:rsidR="00B70DDE" w:rsidRPr="00B70DDE">
        <w:rPr>
          <w:vertAlign w:val="superscript"/>
        </w:rPr>
      </w:r>
      <w:r w:rsidR="00B70DDE" w:rsidRPr="00B70DDE">
        <w:rPr>
          <w:vertAlign w:val="superscript"/>
        </w:rPr>
        <w:fldChar w:fldCharType="separate"/>
      </w:r>
      <w:r w:rsidR="00B70DDE" w:rsidRPr="009C48FB">
        <w:rPr>
          <w:vertAlign w:val="superscript"/>
        </w:rPr>
        <w:t>12</w:t>
      </w:r>
      <w:r w:rsidR="00B70DDE" w:rsidRPr="00B70DDE">
        <w:rPr>
          <w:vertAlign w:val="superscript"/>
        </w:rPr>
        <w:fldChar w:fldCharType="end"/>
      </w:r>
      <w:r w:rsidRPr="00C342C1">
        <w:t>. No significant differences were found between citalopram and placebo or fluoxetine and placebo on any of the rating scales used by the researchers.</w:t>
      </w:r>
      <w:r>
        <w:t xml:space="preserve"> </w:t>
      </w:r>
    </w:p>
    <w:p w14:paraId="718FE77E" w14:textId="5C235FA4" w:rsidR="001E5836" w:rsidRDefault="001E5836" w:rsidP="00354B0D">
      <w:pPr>
        <w:pStyle w:val="NormalWeb"/>
        <w:spacing w:before="0" w:beforeAutospacing="0" w:after="0" w:afterAutospacing="0" w:line="480" w:lineRule="auto"/>
      </w:pPr>
      <w:r w:rsidRPr="000667FC">
        <w:t>For TCAs</w:t>
      </w:r>
      <w:r w:rsidR="00C14EE2" w:rsidRPr="00C14EE2">
        <w:rPr>
          <w:vertAlign w:val="superscript"/>
        </w:rPr>
        <w:fldChar w:fldCharType="begin"/>
      </w:r>
      <w:r w:rsidR="00C14EE2" w:rsidRPr="009C48FB">
        <w:rPr>
          <w:vertAlign w:val="superscript"/>
        </w:rPr>
        <w:instrText xml:space="preserve"> NOTEREF _Ref45967278 \h  \* MERGEFORMAT </w:instrText>
      </w:r>
      <w:r w:rsidR="00C14EE2" w:rsidRPr="00C14EE2">
        <w:rPr>
          <w:vertAlign w:val="superscript"/>
        </w:rPr>
      </w:r>
      <w:r w:rsidR="00C14EE2" w:rsidRPr="00C14EE2">
        <w:rPr>
          <w:vertAlign w:val="superscript"/>
        </w:rPr>
        <w:fldChar w:fldCharType="separate"/>
      </w:r>
      <w:r w:rsidR="00C14EE2" w:rsidRPr="009C48FB">
        <w:rPr>
          <w:vertAlign w:val="superscript"/>
        </w:rPr>
        <w:t>13</w:t>
      </w:r>
      <w:r w:rsidR="00C14EE2" w:rsidRPr="00C14EE2">
        <w:rPr>
          <w:vertAlign w:val="superscript"/>
        </w:rPr>
        <w:fldChar w:fldCharType="end"/>
      </w:r>
      <w:r w:rsidR="00730151">
        <w:t xml:space="preserve">, </w:t>
      </w:r>
      <w:r w:rsidRPr="000667FC">
        <w:t xml:space="preserve">tianeptine was shown to significantly increase drowsiness (p = 0.022) and decrease activity </w:t>
      </w:r>
      <w:r>
        <w:t>(</w:t>
      </w:r>
      <w:r w:rsidRPr="000667FC">
        <w:t>p = 0.029). For clomipramine, there was no statistical significance between active treatment and placebo in the reporting of adverse effects.</w:t>
      </w:r>
      <w:r>
        <w:t xml:space="preserve"> </w:t>
      </w:r>
      <w:r w:rsidRPr="000667FC">
        <w:t>For SSRIs</w:t>
      </w:r>
      <w:r w:rsidR="00C14EE2" w:rsidRPr="00C14EE2">
        <w:rPr>
          <w:vertAlign w:val="superscript"/>
        </w:rPr>
        <w:fldChar w:fldCharType="begin"/>
      </w:r>
      <w:r w:rsidR="00C14EE2" w:rsidRPr="009C48FB">
        <w:rPr>
          <w:vertAlign w:val="superscript"/>
        </w:rPr>
        <w:instrText xml:space="preserve"> NOTEREF _Ref45967260 \h  \* MERGEFORMAT </w:instrText>
      </w:r>
      <w:r w:rsidR="00C14EE2" w:rsidRPr="00C14EE2">
        <w:rPr>
          <w:vertAlign w:val="superscript"/>
        </w:rPr>
      </w:r>
      <w:r w:rsidR="00C14EE2" w:rsidRPr="00C14EE2">
        <w:rPr>
          <w:vertAlign w:val="superscript"/>
        </w:rPr>
        <w:fldChar w:fldCharType="separate"/>
      </w:r>
      <w:r w:rsidR="00C14EE2" w:rsidRPr="009C48FB">
        <w:rPr>
          <w:vertAlign w:val="superscript"/>
        </w:rPr>
        <w:t>12</w:t>
      </w:r>
      <w:r w:rsidR="00C14EE2" w:rsidRPr="00C14EE2">
        <w:rPr>
          <w:vertAlign w:val="superscript"/>
        </w:rPr>
        <w:fldChar w:fldCharType="end"/>
      </w:r>
      <w:r w:rsidRPr="000667FC">
        <w:t>, citalopram was less well tolerated than placebo (p = 0.03)</w:t>
      </w:r>
      <w:r>
        <w:t>, but</w:t>
      </w:r>
      <w:r w:rsidRPr="000667FC">
        <w:t xml:space="preserve"> </w:t>
      </w:r>
      <w:r>
        <w:t>t</w:t>
      </w:r>
      <w:r w:rsidRPr="000667FC">
        <w:t>here were no significant differences in the frequency or severity of adverse effects between fluoxetine and placebo.</w:t>
      </w:r>
    </w:p>
    <w:p w14:paraId="38B0C915" w14:textId="5418EE2B" w:rsidR="001E5836" w:rsidRPr="000667FC" w:rsidRDefault="001E5836" w:rsidP="00354B0D">
      <w:pPr>
        <w:pStyle w:val="NormalWeb"/>
        <w:spacing w:before="0" w:beforeAutospacing="0" w:after="0" w:afterAutospacing="0" w:line="480" w:lineRule="auto"/>
      </w:pPr>
      <w:r w:rsidRPr="000667FC">
        <w:t xml:space="preserve">In Williams et </w:t>
      </w:r>
      <w:r>
        <w:t>al.,</w:t>
      </w:r>
      <w:r w:rsidR="00C14EE2">
        <w:t xml:space="preserve"> (2013)</w:t>
      </w:r>
      <w:r w:rsidR="00C14EE2" w:rsidRPr="00C14EE2">
        <w:rPr>
          <w:vertAlign w:val="superscript"/>
        </w:rPr>
        <w:fldChar w:fldCharType="begin"/>
      </w:r>
      <w:r w:rsidR="00C14EE2" w:rsidRPr="009C48FB">
        <w:rPr>
          <w:vertAlign w:val="superscript"/>
        </w:rPr>
        <w:instrText xml:space="preserve"> NOTEREF _Ref45967260 \h  \* MERGEFORMAT </w:instrText>
      </w:r>
      <w:r w:rsidR="00C14EE2" w:rsidRPr="00C14EE2">
        <w:rPr>
          <w:vertAlign w:val="superscript"/>
        </w:rPr>
      </w:r>
      <w:r w:rsidR="00C14EE2" w:rsidRPr="00C14EE2">
        <w:rPr>
          <w:vertAlign w:val="superscript"/>
        </w:rPr>
        <w:fldChar w:fldCharType="separate"/>
      </w:r>
      <w:r w:rsidR="00C14EE2" w:rsidRPr="009C48FB">
        <w:rPr>
          <w:vertAlign w:val="superscript"/>
        </w:rPr>
        <w:t>12</w:t>
      </w:r>
      <w:r w:rsidR="00C14EE2" w:rsidRPr="00C14EE2">
        <w:rPr>
          <w:vertAlign w:val="superscript"/>
        </w:rPr>
        <w:fldChar w:fldCharType="end"/>
      </w:r>
      <w:r w:rsidR="00C14EE2">
        <w:rPr>
          <w:vertAlign w:val="superscript"/>
        </w:rPr>
        <w:t xml:space="preserve"> </w:t>
      </w:r>
      <w:r w:rsidRPr="000667FC">
        <w:t xml:space="preserve">no significant differences between </w:t>
      </w:r>
      <w:r>
        <w:t>fluoxetine</w:t>
      </w:r>
      <w:r w:rsidRPr="000667FC">
        <w:t xml:space="preserve"> and control groups on the suicide subscale of the Overt Aggression Scale (OAS)</w:t>
      </w:r>
      <w:r>
        <w:t xml:space="preserve"> were reported, but </w:t>
      </w:r>
      <w:r w:rsidRPr="000667FC">
        <w:t xml:space="preserve">no data </w:t>
      </w:r>
      <w:r>
        <w:t xml:space="preserve">were </w:t>
      </w:r>
      <w:r w:rsidRPr="000667FC">
        <w:t xml:space="preserve">provided. </w:t>
      </w:r>
    </w:p>
    <w:p w14:paraId="711EEB4A" w14:textId="77777777" w:rsidR="001E5836" w:rsidRDefault="001E5836" w:rsidP="00354B0D">
      <w:pPr>
        <w:pStyle w:val="NormalWeb"/>
        <w:spacing w:before="0" w:beforeAutospacing="0" w:after="0" w:afterAutospacing="0" w:line="480" w:lineRule="auto"/>
        <w:rPr>
          <w:b/>
          <w:bCs/>
          <w:i/>
          <w:iCs/>
        </w:rPr>
      </w:pPr>
    </w:p>
    <w:p w14:paraId="4A356CB8" w14:textId="77777777" w:rsidR="001E5836" w:rsidRDefault="001E5836" w:rsidP="00354B0D">
      <w:pPr>
        <w:pStyle w:val="NormalWeb"/>
        <w:spacing w:before="0" w:beforeAutospacing="0" w:after="0" w:afterAutospacing="0" w:line="480" w:lineRule="auto"/>
        <w:rPr>
          <w:b/>
          <w:bCs/>
          <w:i/>
          <w:iCs/>
        </w:rPr>
      </w:pPr>
      <w:r w:rsidRPr="00A22446">
        <w:rPr>
          <w:b/>
          <w:bCs/>
          <w:i/>
          <w:iCs/>
        </w:rPr>
        <w:t>Enuresis</w:t>
      </w:r>
    </w:p>
    <w:p w14:paraId="7E98ABFA" w14:textId="2F5FDF38" w:rsidR="001E5836" w:rsidRDefault="001E5836" w:rsidP="00354B0D">
      <w:pPr>
        <w:pStyle w:val="NormalWeb"/>
        <w:spacing w:before="0" w:beforeAutospacing="0" w:after="0" w:afterAutospacing="0" w:line="480" w:lineRule="auto"/>
      </w:pPr>
      <w:r w:rsidRPr="000667FC">
        <w:t>We identified an individual RCT (</w:t>
      </w:r>
      <w:r w:rsidRPr="00765D1E">
        <w:t>Meadow and Berg</w:t>
      </w:r>
      <w:r w:rsidR="00C529DE" w:rsidRPr="009C48FB">
        <w:t xml:space="preserve"> (1982)</w:t>
      </w:r>
      <w:bookmarkStart w:id="17" w:name="_Ref45962114"/>
      <w:r w:rsidR="001A2E5D" w:rsidRPr="009C48FB">
        <w:rPr>
          <w:rStyle w:val="EndnoteReference"/>
        </w:rPr>
        <w:endnoteReference w:id="20"/>
      </w:r>
      <w:bookmarkEnd w:id="17"/>
      <w:r w:rsidRPr="00765D1E">
        <w:t>) on the use of antidepressants in the treatment of enuresis within a systematic review by Sureshkumar et al</w:t>
      </w:r>
      <w:r w:rsidRPr="001B6D74">
        <w:t>.,</w:t>
      </w:r>
      <w:r w:rsidR="00C529DE">
        <w:t xml:space="preserve"> (2003)</w:t>
      </w:r>
      <w:r w:rsidR="00730151" w:rsidRPr="009C48FB">
        <w:rPr>
          <w:vertAlign w:val="superscript"/>
        </w:rPr>
        <w:fldChar w:fldCharType="begin"/>
      </w:r>
      <w:r w:rsidR="00730151" w:rsidRPr="009C48FB">
        <w:rPr>
          <w:vertAlign w:val="superscript"/>
        </w:rPr>
        <w:instrText xml:space="preserve"> NOTEREF _Ref45747376 </w:instrText>
      </w:r>
      <w:r w:rsidR="00730151">
        <w:rPr>
          <w:vertAlign w:val="superscript"/>
        </w:rPr>
        <w:instrText xml:space="preserve"> \* MERGEFORMAT </w:instrText>
      </w:r>
      <w:r w:rsidR="00730151" w:rsidRPr="009C48FB">
        <w:rPr>
          <w:vertAlign w:val="superscript"/>
        </w:rPr>
        <w:fldChar w:fldCharType="separate"/>
      </w:r>
      <w:r w:rsidR="00202932">
        <w:rPr>
          <w:vertAlign w:val="superscript"/>
        </w:rPr>
        <w:t>14</w:t>
      </w:r>
      <w:r w:rsidR="00730151" w:rsidRPr="009C48FB">
        <w:rPr>
          <w:vertAlign w:val="superscript"/>
        </w:rPr>
        <w:fldChar w:fldCharType="end"/>
      </w:r>
      <w:r w:rsidRPr="000667FC">
        <w:t xml:space="preserve"> on the treatment of daytime urinary incontinence in children. The study, which focused on imipramine, concluded that active treatment did not significantly increase maximum functional bladder capacity and there was no significant difference between wetness and dryness scores between imipramine and placebo</w:t>
      </w:r>
      <w:r>
        <w:t xml:space="preserve"> (full results were not provided, only the p value was reported)</w:t>
      </w:r>
      <w:r w:rsidRPr="000667FC">
        <w:t xml:space="preserve">. </w:t>
      </w:r>
      <w:r>
        <w:t>No</w:t>
      </w:r>
      <w:r w:rsidRPr="000667FC">
        <w:t xml:space="preserve"> data </w:t>
      </w:r>
      <w:r>
        <w:t xml:space="preserve">was available </w:t>
      </w:r>
      <w:r w:rsidRPr="000667FC">
        <w:t xml:space="preserve">on tolerability </w:t>
      </w:r>
      <w:r>
        <w:t>or</w:t>
      </w:r>
      <w:r w:rsidRPr="000667FC">
        <w:t xml:space="preserve"> suicidality.</w:t>
      </w:r>
    </w:p>
    <w:p w14:paraId="420A8D8E" w14:textId="77777777" w:rsidR="001E5836" w:rsidRPr="000667FC" w:rsidRDefault="001E5836" w:rsidP="00354B0D">
      <w:pPr>
        <w:pStyle w:val="NormalWeb"/>
        <w:spacing w:before="0" w:beforeAutospacing="0" w:after="0" w:afterAutospacing="0" w:line="480" w:lineRule="auto"/>
        <w:rPr>
          <w:color w:val="000000" w:themeColor="text1"/>
        </w:rPr>
      </w:pPr>
    </w:p>
    <w:p w14:paraId="29E5649E" w14:textId="77777777" w:rsidR="001E5836" w:rsidRPr="00FB6260" w:rsidRDefault="001E5836" w:rsidP="00354B0D">
      <w:pPr>
        <w:pStyle w:val="NormalWeb"/>
        <w:spacing w:before="0" w:beforeAutospacing="0" w:after="0" w:afterAutospacing="0" w:line="480" w:lineRule="auto"/>
        <w:rPr>
          <w:b/>
          <w:bCs/>
          <w:i/>
          <w:iCs/>
        </w:rPr>
      </w:pPr>
      <w:r w:rsidRPr="00FB6260">
        <w:rPr>
          <w:b/>
          <w:bCs/>
          <w:i/>
          <w:iCs/>
        </w:rPr>
        <w:t>Major depressive disorder</w:t>
      </w:r>
    </w:p>
    <w:p w14:paraId="3C664696" w14:textId="4752C3DB" w:rsidR="001E5836" w:rsidRDefault="001E5836" w:rsidP="00354B0D">
      <w:pPr>
        <w:pStyle w:val="NormalWeb"/>
        <w:spacing w:before="0" w:beforeAutospacing="0" w:after="0" w:afterAutospacing="0" w:line="480" w:lineRule="auto"/>
      </w:pPr>
      <w:r w:rsidRPr="000667FC">
        <w:t>The NMA</w:t>
      </w:r>
      <w:r w:rsidR="00730151" w:rsidRPr="009C48FB">
        <w:rPr>
          <w:vertAlign w:val="superscript"/>
        </w:rPr>
        <w:fldChar w:fldCharType="begin"/>
      </w:r>
      <w:r w:rsidR="00730151" w:rsidRPr="009C48FB">
        <w:rPr>
          <w:vertAlign w:val="superscript"/>
        </w:rPr>
        <w:instrText xml:space="preserve"> NOTEREF _Ref45745003 </w:instrText>
      </w:r>
      <w:r w:rsidR="00730151">
        <w:rPr>
          <w:vertAlign w:val="superscript"/>
        </w:rPr>
        <w:instrText xml:space="preserve"> \* MERGEFORMAT </w:instrText>
      </w:r>
      <w:r w:rsidR="00730151" w:rsidRPr="009C48FB">
        <w:rPr>
          <w:vertAlign w:val="superscript"/>
        </w:rPr>
        <w:fldChar w:fldCharType="separate"/>
      </w:r>
      <w:r w:rsidR="00202932">
        <w:rPr>
          <w:vertAlign w:val="superscript"/>
        </w:rPr>
        <w:t>6</w:t>
      </w:r>
      <w:r w:rsidR="00730151" w:rsidRPr="009C48FB">
        <w:rPr>
          <w:vertAlign w:val="superscript"/>
        </w:rPr>
        <w:fldChar w:fldCharType="end"/>
      </w:r>
      <w:r>
        <w:t xml:space="preserve"> </w:t>
      </w:r>
      <w:r w:rsidRPr="000667FC">
        <w:t xml:space="preserve">included 34 RCTs investigating 14 antidepressants and placebo. It concluded that, of all included antidepressants (amitriptyline, citalopram, clomipramine, desipramine, duloxetine, escitalopram, fluoxetine, imipramine, mirtazapine, nefazodone, nortriptyline, paroxetine, sertraline, and venlafaxine), only </w:t>
      </w:r>
      <w:r w:rsidRPr="00C342C1">
        <w:t>fluoxetine (data taken from 9 RCTs) was more effective than placebo (SMD −0.51, 95% CrI −0.99 to −0.03) in</w:t>
      </w:r>
      <w:r w:rsidRPr="000667FC">
        <w:t xml:space="preserve"> improvement of depressive symptoms</w:t>
      </w:r>
      <w:r>
        <w:t>,</w:t>
      </w:r>
      <w:r w:rsidRPr="000667FC">
        <w:t xml:space="preserve"> </w:t>
      </w:r>
      <w:r>
        <w:t>while n</w:t>
      </w:r>
      <w:r w:rsidRPr="000667FC">
        <w:t>ortriptyline was significantly less efficacious (1.14</w:t>
      </w:r>
      <w:r>
        <w:t>,</w:t>
      </w:r>
      <w:r w:rsidRPr="000667FC">
        <w:t xml:space="preserve"> 2.02 to 0.25).</w:t>
      </w:r>
      <w:r>
        <w:t xml:space="preserve"> </w:t>
      </w:r>
      <w:r w:rsidRPr="000667FC">
        <w:t>In terms of tolerability, imipramine (</w:t>
      </w:r>
      <w:r>
        <w:t xml:space="preserve">OR </w:t>
      </w:r>
      <w:r w:rsidRPr="000667FC">
        <w:t>5.49, 1.96 to 20.86), venlafaxine (3.19, 1.01 to 18.70) and duloxetine (2.80, 1.20 to 9.42) were significantly less well tolerated compared with placebo.</w:t>
      </w:r>
    </w:p>
    <w:p w14:paraId="3AAEC34E" w14:textId="77777777" w:rsidR="001E5836" w:rsidRPr="000667FC" w:rsidRDefault="001E5836" w:rsidP="00354B0D">
      <w:pPr>
        <w:pStyle w:val="NormalWeb"/>
        <w:spacing w:before="0" w:beforeAutospacing="0" w:after="0" w:afterAutospacing="0" w:line="480" w:lineRule="auto"/>
        <w:rPr>
          <w:u w:val="single"/>
        </w:rPr>
      </w:pPr>
      <w:r>
        <w:t>V</w:t>
      </w:r>
      <w:r w:rsidRPr="000667FC">
        <w:t xml:space="preserve">enlafaxine was associated with a significantly increased risk of suicidal behavior or ideation </w:t>
      </w:r>
      <w:r>
        <w:t xml:space="preserve">when </w:t>
      </w:r>
      <w:r w:rsidRPr="000667FC">
        <w:t xml:space="preserve">compared with placebo (OR 0.13, 95% CrI 0.00 to 0.55) and </w:t>
      </w:r>
      <w:r>
        <w:t xml:space="preserve">also with </w:t>
      </w:r>
      <w:r w:rsidRPr="000667FC">
        <w:t xml:space="preserve">five other </w:t>
      </w:r>
      <w:r>
        <w:t xml:space="preserve">active </w:t>
      </w:r>
      <w:r w:rsidRPr="000667FC">
        <w:t>antidepressants (</w:t>
      </w:r>
      <w:r>
        <w:t xml:space="preserve">namely, </w:t>
      </w:r>
      <w:r w:rsidRPr="000667FC">
        <w:t>escitalopram, imipramine, duloxetine, fluoxetine, and paroxetine).</w:t>
      </w:r>
    </w:p>
    <w:p w14:paraId="5D8766DE" w14:textId="77777777" w:rsidR="001E5836" w:rsidRPr="000667FC" w:rsidRDefault="001E5836" w:rsidP="00354B0D">
      <w:pPr>
        <w:pStyle w:val="NormalWeb"/>
        <w:spacing w:before="0" w:beforeAutospacing="0" w:after="0" w:afterAutospacing="0" w:line="480" w:lineRule="auto"/>
      </w:pPr>
    </w:p>
    <w:p w14:paraId="2E824331" w14:textId="77777777" w:rsidR="001E5836" w:rsidRPr="00D73F56" w:rsidRDefault="001E5836" w:rsidP="00354B0D">
      <w:pPr>
        <w:pStyle w:val="NormalWeb"/>
        <w:spacing w:before="0" w:beforeAutospacing="0" w:after="0" w:afterAutospacing="0" w:line="480" w:lineRule="auto"/>
        <w:rPr>
          <w:b/>
          <w:bCs/>
          <w:i/>
          <w:iCs/>
        </w:rPr>
      </w:pPr>
      <w:r w:rsidRPr="00D73F56">
        <w:rPr>
          <w:b/>
          <w:bCs/>
          <w:i/>
          <w:iCs/>
        </w:rPr>
        <w:t xml:space="preserve">Obsessive Compulsive Disorder </w:t>
      </w:r>
    </w:p>
    <w:p w14:paraId="565881E5" w14:textId="4D308D7D" w:rsidR="001E5836" w:rsidRPr="000667FC" w:rsidRDefault="001E5836" w:rsidP="00354B0D">
      <w:pPr>
        <w:pStyle w:val="NormalWeb"/>
        <w:spacing w:before="0" w:beforeAutospacing="0" w:after="0" w:afterAutospacing="0" w:line="480" w:lineRule="auto"/>
      </w:pPr>
      <w:r>
        <w:t>The</w:t>
      </w:r>
      <w:r w:rsidRPr="000667FC">
        <w:t xml:space="preserve"> systematic review of pharmacotherapy for the treatment of OCD</w:t>
      </w:r>
      <w:r>
        <w:t xml:space="preserve"> </w:t>
      </w:r>
      <w:r w:rsidRPr="000667FC">
        <w:t>in children and adolescents concluded that</w:t>
      </w:r>
      <w:r>
        <w:t xml:space="preserve">, </w:t>
      </w:r>
      <w:r w:rsidRPr="000667FC">
        <w:t>compared with placebo</w:t>
      </w:r>
      <w:r>
        <w:t>,</w:t>
      </w:r>
      <w:r w:rsidRPr="000667FC">
        <w:t xml:space="preserve"> fluoxetine (RR 2.27, 95% CI 1.35 to 3.80) and sertraline (1.61, 95% CI 1.07 </w:t>
      </w:r>
      <w:r w:rsidRPr="00C342C1">
        <w:t>to 2.43) were both significantly more efficacious in terms of CGI-I score</w:t>
      </w:r>
      <w:r w:rsidR="00730151" w:rsidRPr="009C48FB">
        <w:rPr>
          <w:vertAlign w:val="superscript"/>
        </w:rPr>
        <w:fldChar w:fldCharType="begin"/>
      </w:r>
      <w:r w:rsidR="00730151" w:rsidRPr="009C48FB">
        <w:rPr>
          <w:vertAlign w:val="superscript"/>
        </w:rPr>
        <w:instrText xml:space="preserve"> NOTEREF _Ref45746666 </w:instrText>
      </w:r>
      <w:r w:rsidR="00730151">
        <w:rPr>
          <w:vertAlign w:val="superscript"/>
        </w:rPr>
        <w:instrText xml:space="preserve"> \* MERGEFORMAT </w:instrText>
      </w:r>
      <w:r w:rsidR="00730151" w:rsidRPr="009C48FB">
        <w:rPr>
          <w:vertAlign w:val="superscript"/>
        </w:rPr>
        <w:fldChar w:fldCharType="separate"/>
      </w:r>
      <w:r w:rsidR="00202932">
        <w:rPr>
          <w:vertAlign w:val="superscript"/>
        </w:rPr>
        <w:t>15</w:t>
      </w:r>
      <w:r w:rsidR="00730151" w:rsidRPr="009C48FB">
        <w:rPr>
          <w:vertAlign w:val="superscript"/>
        </w:rPr>
        <w:fldChar w:fldCharType="end"/>
      </w:r>
      <w:r w:rsidRPr="00C342C1">
        <w:t xml:space="preserve">. In terms of symptom severity reduction as measured by the Children’s Yale-Brown </w:t>
      </w:r>
      <w:proofErr w:type="gramStart"/>
      <w:r w:rsidRPr="00C342C1">
        <w:t>Obsessive Compulsive</w:t>
      </w:r>
      <w:proofErr w:type="gramEnd"/>
      <w:r w:rsidRPr="00C342C1">
        <w:t xml:space="preserve"> Scale (CY-BOCS), all active treatments </w:t>
      </w:r>
      <w:r w:rsidR="0054670F">
        <w:t>except fluvoxamine (</w:t>
      </w:r>
      <w:r w:rsidR="0054670F" w:rsidRPr="00C342C1">
        <w:t>-2.70, 95% CI -5.76 to 0.36</w:t>
      </w:r>
      <w:r w:rsidR="0054670F">
        <w:t xml:space="preserve">) </w:t>
      </w:r>
      <w:r w:rsidRPr="00C342C1">
        <w:t>were found to significantly reduce total symptoms, with clomipramine the most efficacious (-8.90, 95% CI -12.73 to -5.07), compared to placebo. In this meta-analysis, no cases of completed suicide were reported for any of the included RCTs (no other information about tolerability</w:t>
      </w:r>
      <w:r w:rsidRPr="000667FC">
        <w:t xml:space="preserve"> of antidepressants </w:t>
      </w:r>
      <w:r>
        <w:t>in</w:t>
      </w:r>
      <w:r w:rsidRPr="000667FC">
        <w:t xml:space="preserve"> OCD </w:t>
      </w:r>
      <w:r>
        <w:t>was reported).</w:t>
      </w:r>
    </w:p>
    <w:p w14:paraId="1C7C18E4" w14:textId="77777777" w:rsidR="001E5836" w:rsidRPr="000667FC" w:rsidRDefault="001E5836" w:rsidP="00354B0D">
      <w:pPr>
        <w:pStyle w:val="NormalWeb"/>
        <w:spacing w:before="0" w:beforeAutospacing="0" w:after="0" w:afterAutospacing="0" w:line="480" w:lineRule="auto"/>
        <w:rPr>
          <w:u w:val="single"/>
        </w:rPr>
      </w:pPr>
    </w:p>
    <w:p w14:paraId="5FD3AF7A" w14:textId="77777777" w:rsidR="001E5836" w:rsidRPr="00495EB5" w:rsidRDefault="001E5836" w:rsidP="00354B0D">
      <w:pPr>
        <w:pStyle w:val="NormalWeb"/>
        <w:spacing w:before="0" w:beforeAutospacing="0" w:after="0" w:afterAutospacing="0" w:line="480" w:lineRule="auto"/>
        <w:rPr>
          <w:b/>
          <w:bCs/>
          <w:i/>
          <w:iCs/>
        </w:rPr>
      </w:pPr>
      <w:r w:rsidRPr="00495EB5">
        <w:rPr>
          <w:b/>
          <w:bCs/>
          <w:i/>
          <w:iCs/>
        </w:rPr>
        <w:lastRenderedPageBreak/>
        <w:t>Post-Traumatic Stress Disorder</w:t>
      </w:r>
    </w:p>
    <w:p w14:paraId="2F8A2161" w14:textId="7ECF4E71" w:rsidR="001E5836" w:rsidRDefault="001E5836" w:rsidP="00354B0D">
      <w:pPr>
        <w:pStyle w:val="NormalWeb"/>
        <w:spacing w:before="0" w:beforeAutospacing="0" w:after="0" w:afterAutospacing="0" w:line="480" w:lineRule="auto"/>
      </w:pPr>
      <w:r>
        <w:t xml:space="preserve">An RCT on the use of sertraline in the treatment of </w:t>
      </w:r>
      <w:r w:rsidRPr="00765D1E">
        <w:t xml:space="preserve">PTSD </w:t>
      </w:r>
      <w:r w:rsidR="004412F0" w:rsidRPr="00765D1E">
        <w:t>(Robb et al.,</w:t>
      </w:r>
      <w:r w:rsidR="004412F0" w:rsidRPr="001B6D74">
        <w:t xml:space="preserve"> </w:t>
      </w:r>
      <w:r w:rsidR="0003020F" w:rsidRPr="009C48FB">
        <w:t>(</w:t>
      </w:r>
      <w:r w:rsidR="004412F0" w:rsidRPr="00765D1E">
        <w:t>2010</w:t>
      </w:r>
      <w:r w:rsidR="0003020F" w:rsidRPr="009C48FB">
        <w:t>)</w:t>
      </w:r>
      <w:bookmarkStart w:id="18" w:name="_Ref45962157"/>
      <w:r w:rsidR="0003020F" w:rsidRPr="009C48FB">
        <w:rPr>
          <w:rStyle w:val="EndnoteReference"/>
        </w:rPr>
        <w:endnoteReference w:id="21"/>
      </w:r>
      <w:bookmarkEnd w:id="18"/>
      <w:r w:rsidR="004412F0" w:rsidRPr="00765D1E">
        <w:t>) was included</w:t>
      </w:r>
      <w:r w:rsidRPr="00765D1E">
        <w:t xml:space="preserve"> in </w:t>
      </w:r>
      <w:r w:rsidR="004412F0" w:rsidRPr="001B6D74">
        <w:t>the</w:t>
      </w:r>
      <w:r w:rsidRPr="00192E65">
        <w:t xml:space="preserve"> systematic review/meta-analysis by Locher et al.</w:t>
      </w:r>
      <w:r w:rsidR="0049735B" w:rsidRPr="00192E65">
        <w:t>,</w:t>
      </w:r>
      <w:r w:rsidR="0003020F" w:rsidRPr="009C48FB">
        <w:t xml:space="preserve"> (2017)</w:t>
      </w:r>
      <w:r w:rsidR="0049735B" w:rsidRPr="009C48FB">
        <w:rPr>
          <w:vertAlign w:val="superscript"/>
        </w:rPr>
        <w:fldChar w:fldCharType="begin"/>
      </w:r>
      <w:r w:rsidR="0049735B" w:rsidRPr="009C48FB">
        <w:rPr>
          <w:vertAlign w:val="superscript"/>
        </w:rPr>
        <w:instrText xml:space="preserve"> NOTEREF _Ref45746736 </w:instrText>
      </w:r>
      <w:r w:rsidR="0049735B" w:rsidRPr="00765D1E">
        <w:rPr>
          <w:vertAlign w:val="superscript"/>
        </w:rPr>
        <w:instrText xml:space="preserve"> \* MERGEFORMAT </w:instrText>
      </w:r>
      <w:r w:rsidR="0049735B" w:rsidRPr="009C48FB">
        <w:rPr>
          <w:vertAlign w:val="superscript"/>
        </w:rPr>
        <w:fldChar w:fldCharType="separate"/>
      </w:r>
      <w:r w:rsidR="00202932">
        <w:rPr>
          <w:vertAlign w:val="superscript"/>
        </w:rPr>
        <w:t>16</w:t>
      </w:r>
      <w:r w:rsidR="0049735B" w:rsidRPr="009C48FB">
        <w:rPr>
          <w:vertAlign w:val="superscript"/>
        </w:rPr>
        <w:fldChar w:fldCharType="end"/>
      </w:r>
      <w:r w:rsidRPr="000667FC">
        <w:t xml:space="preserve"> </w:t>
      </w:r>
      <w:r w:rsidR="004412F0">
        <w:t xml:space="preserve">and it </w:t>
      </w:r>
      <w:r w:rsidRPr="000667FC">
        <w:t xml:space="preserve">concluded no difference between sertraline and placebo </w:t>
      </w:r>
      <w:r>
        <w:t>using the primary outcome measure (</w:t>
      </w:r>
      <w:r w:rsidRPr="000667FC">
        <w:t>University of California at Los Angeles Post–Traumatic Stress Disorder Index</w:t>
      </w:r>
      <w:r>
        <w:t>)</w:t>
      </w:r>
      <w:r w:rsidRPr="000667FC">
        <w:t xml:space="preserve">. </w:t>
      </w:r>
      <w:r>
        <w:t xml:space="preserve">Results rated by secondary outcome measures </w:t>
      </w:r>
      <w:r w:rsidRPr="000667FC">
        <w:t>favoured placebo over sertraline (Child Stress Disorder</w:t>
      </w:r>
      <w:r>
        <w:t>s</w:t>
      </w:r>
      <w:r w:rsidRPr="000667FC">
        <w:t xml:space="preserve"> Checklist</w:t>
      </w:r>
      <w:r>
        <w:t xml:space="preserve"> (CSDC), </w:t>
      </w:r>
      <w:r w:rsidRPr="000667FC">
        <w:t>-17.3 vs. -12.4; p=0.025</w:t>
      </w:r>
      <w:r>
        <w:t>;</w:t>
      </w:r>
      <w:r w:rsidRPr="000667FC">
        <w:t xml:space="preserve"> Clinical Global Impression–Severity </w:t>
      </w:r>
      <w:r>
        <w:t xml:space="preserve">Scale </w:t>
      </w:r>
      <w:r w:rsidRPr="000667FC">
        <w:t>(CGI-S)</w:t>
      </w:r>
      <w:r>
        <w:t>,</w:t>
      </w:r>
      <w:r w:rsidRPr="000667FC">
        <w:t xml:space="preserve"> −1.8 vs. −1.4; p = 0.031</w:t>
      </w:r>
      <w:r>
        <w:t xml:space="preserve">; </w:t>
      </w:r>
      <w:r w:rsidRPr="000667FC">
        <w:t>Paediatric Quality of Life Enjoyment and Satisfaction Questionnaire (PQ-LES-Q)</w:t>
      </w:r>
      <w:r>
        <w:t>,</w:t>
      </w:r>
      <w:r w:rsidRPr="000667FC">
        <w:t xml:space="preserve"> +10.7 vs. +7.2; p = 0.037). </w:t>
      </w:r>
    </w:p>
    <w:p w14:paraId="612F5F40" w14:textId="2227A4AA" w:rsidR="001E5836" w:rsidRPr="000667FC" w:rsidRDefault="001E5836" w:rsidP="00354B0D">
      <w:pPr>
        <w:pStyle w:val="NormalWeb"/>
        <w:spacing w:before="0" w:beforeAutospacing="0" w:after="0" w:afterAutospacing="0" w:line="480" w:lineRule="auto"/>
        <w:rPr>
          <w:u w:val="single"/>
        </w:rPr>
      </w:pPr>
      <w:r w:rsidRPr="000667FC">
        <w:t>In the same individual study, a similar proportion of patients reported experiencing at least one adverse event on sertraline (76.1%) and placebo (75.8%).</w:t>
      </w:r>
      <w:r>
        <w:t xml:space="preserve"> An increase in suicidality from baseline was reported by a slightly higher proportion of patients treated with sertraline (11%) vs. placebo (8%). </w:t>
      </w:r>
      <w:r w:rsidRPr="000667FC">
        <w:t>No cases of completed suicide were reported for the RCT on PTSD</w:t>
      </w:r>
      <w:r w:rsidR="0049735B" w:rsidRPr="009C48FB">
        <w:rPr>
          <w:vertAlign w:val="superscript"/>
        </w:rPr>
        <w:fldChar w:fldCharType="begin"/>
      </w:r>
      <w:r w:rsidR="0049735B" w:rsidRPr="009C48FB">
        <w:rPr>
          <w:vertAlign w:val="superscript"/>
        </w:rPr>
        <w:instrText xml:space="preserve"> NOTEREF _Ref45746736 </w:instrText>
      </w:r>
      <w:r w:rsidR="0049735B">
        <w:rPr>
          <w:vertAlign w:val="superscript"/>
        </w:rPr>
        <w:instrText xml:space="preserve"> \* MERGEFORMAT </w:instrText>
      </w:r>
      <w:r w:rsidR="0049735B" w:rsidRPr="009C48FB">
        <w:rPr>
          <w:vertAlign w:val="superscript"/>
        </w:rPr>
        <w:fldChar w:fldCharType="separate"/>
      </w:r>
      <w:r w:rsidR="00202932">
        <w:rPr>
          <w:vertAlign w:val="superscript"/>
        </w:rPr>
        <w:t>16</w:t>
      </w:r>
      <w:r w:rsidR="0049735B" w:rsidRPr="009C48FB">
        <w:rPr>
          <w:vertAlign w:val="superscript"/>
        </w:rPr>
        <w:fldChar w:fldCharType="end"/>
      </w:r>
      <w:r w:rsidRPr="000667FC">
        <w:t>.</w:t>
      </w:r>
    </w:p>
    <w:p w14:paraId="73DB33C7" w14:textId="77777777" w:rsidR="001E5836" w:rsidRPr="000667FC" w:rsidRDefault="001E5836" w:rsidP="00354B0D">
      <w:pPr>
        <w:pStyle w:val="NormalWeb"/>
        <w:spacing w:before="0" w:beforeAutospacing="0" w:after="0" w:afterAutospacing="0" w:line="480" w:lineRule="auto"/>
        <w:rPr>
          <w:b/>
        </w:rPr>
      </w:pPr>
    </w:p>
    <w:p w14:paraId="3B5E49E9" w14:textId="77777777" w:rsidR="001E5836" w:rsidRPr="00B13521" w:rsidRDefault="001E5836" w:rsidP="00354B0D">
      <w:pPr>
        <w:pStyle w:val="NormalWeb"/>
        <w:spacing w:before="0" w:beforeAutospacing="0" w:after="0" w:afterAutospacing="0" w:line="480" w:lineRule="auto"/>
        <w:rPr>
          <w:b/>
        </w:rPr>
      </w:pPr>
      <w:r w:rsidRPr="000667FC">
        <w:rPr>
          <w:b/>
        </w:rPr>
        <w:t>Discussion</w:t>
      </w:r>
    </w:p>
    <w:p w14:paraId="21A19BC4" w14:textId="77777777" w:rsidR="006A47F6" w:rsidRDefault="006A47F6" w:rsidP="00354B0D">
      <w:pPr>
        <w:spacing w:line="480" w:lineRule="auto"/>
      </w:pPr>
    </w:p>
    <w:p w14:paraId="2B4649C9" w14:textId="56A32B71" w:rsidR="001E5836" w:rsidRDefault="001E5836" w:rsidP="00354B0D">
      <w:pPr>
        <w:spacing w:line="480" w:lineRule="auto"/>
      </w:pPr>
      <w:r>
        <w:t>In this</w:t>
      </w:r>
      <w:r w:rsidRPr="000667FC">
        <w:t xml:space="preserve"> meta-review assessing the efficacy, tolerability and risk of </w:t>
      </w:r>
      <w:r>
        <w:t xml:space="preserve">suicidality </w:t>
      </w:r>
      <w:r w:rsidRPr="000667FC">
        <w:t>of antidepressants across a number of psychiatric disorders in children and adolescents</w:t>
      </w:r>
      <w:r>
        <w:t>,</w:t>
      </w:r>
      <w:r w:rsidRPr="000667FC">
        <w:t xml:space="preserve"> we found evidence that, compared to placebo: 1) only fluoxetine was more efficacious, with a moderate effect but a large confidence interval, in decreasing the severity of depressive symptoms in acute major depressive disorder; 2) fluvoxamine and paroxetine were significantly better in decreasing the severity of symptoms of anxiety disorders; 3) fluoxetine and sertraline were significantly more efficacious in terms of treatment response in OCD; 4) bupropion and desipramine were significantly more efficacious in improving clinician and teacher-rated ADHD symptoms, respectively, albeit with large confidence intervals, reflecting the paucity of studies included in the meta-analysis; 5) clomipramine and tianeptine were superior on some of the core symptoms of ASD, even though data were derived from </w:t>
      </w:r>
      <w:r w:rsidRPr="000667FC">
        <w:lastRenderedPageBreak/>
        <w:t xml:space="preserve">one study only for each of these two medications; 6) none of the antidepressants was more efficacious for PTSD and enuresis. </w:t>
      </w:r>
    </w:p>
    <w:p w14:paraId="4CC67F44" w14:textId="77777777" w:rsidR="006A47F6" w:rsidRPr="000667FC" w:rsidRDefault="006A47F6" w:rsidP="00354B0D">
      <w:pPr>
        <w:spacing w:line="480" w:lineRule="auto"/>
      </w:pPr>
    </w:p>
    <w:p w14:paraId="42896B34" w14:textId="65E4C4C1" w:rsidR="001E5836" w:rsidRDefault="001E5836" w:rsidP="00354B0D">
      <w:pPr>
        <w:spacing w:line="480" w:lineRule="auto"/>
      </w:pPr>
      <w:r w:rsidRPr="000667FC">
        <w:t xml:space="preserve">With regard to tolerability, compared to placebo: 1) imipramine, venlafaxine, and duloxetine were less well tolerated in young people with acute major depression; 2) no significant differences were found for any of the antidepressants in the treatment of anxiety disorders, ADHD, and PTSD; 3) tianeptine and citalopram, but not clomipramine, were less well tolerated in children with ASD. </w:t>
      </w:r>
      <w:r w:rsidR="00DF681A">
        <w:t xml:space="preserve">No </w:t>
      </w:r>
      <w:r w:rsidR="00DF681A" w:rsidRPr="00DF681A">
        <w:t>information about tolerability of antidepressants for enuresis, OCD, PTSD</w:t>
      </w:r>
      <w:r w:rsidR="003F1EB4">
        <w:t xml:space="preserve"> was reported, but it is available in </w:t>
      </w:r>
      <w:r w:rsidR="003F1EB4" w:rsidRPr="00765D1E">
        <w:t>other reviews that did not meet our inclusion criteria</w:t>
      </w:r>
      <w:r w:rsidR="00581566" w:rsidRPr="00765D1E">
        <w:t xml:space="preserve"> </w:t>
      </w:r>
      <w:r w:rsidR="00581566" w:rsidRPr="00192E65">
        <w:t>(</w:t>
      </w:r>
      <w:r w:rsidR="003F1EB4" w:rsidRPr="00192E65">
        <w:t xml:space="preserve">see for instance </w:t>
      </w:r>
      <w:r w:rsidR="00581566" w:rsidRPr="00192E65">
        <w:t>Caldwell et al.,</w:t>
      </w:r>
      <w:r w:rsidR="0003020F" w:rsidRPr="009C48FB">
        <w:t xml:space="preserve"> (2016)</w:t>
      </w:r>
      <w:r w:rsidR="009200B7" w:rsidRPr="00765D1E">
        <w:rPr>
          <w:rStyle w:val="EndnoteReference"/>
        </w:rPr>
        <w:endnoteReference w:id="22"/>
      </w:r>
      <w:r w:rsidR="00581566" w:rsidRPr="00765D1E">
        <w:t>)</w:t>
      </w:r>
      <w:r w:rsidR="00DF681A" w:rsidRPr="00765D1E">
        <w:t>.</w:t>
      </w:r>
    </w:p>
    <w:p w14:paraId="511DAE3B" w14:textId="77777777" w:rsidR="0030200B" w:rsidRDefault="0030200B" w:rsidP="00354B0D">
      <w:pPr>
        <w:spacing w:line="480" w:lineRule="auto"/>
      </w:pPr>
    </w:p>
    <w:p w14:paraId="2CE272CC" w14:textId="11DD0191" w:rsidR="001E5836" w:rsidRPr="000667FC" w:rsidRDefault="001E5836" w:rsidP="00354B0D">
      <w:pPr>
        <w:spacing w:line="480" w:lineRule="auto"/>
      </w:pPr>
      <w:r w:rsidRPr="000667FC">
        <w:t>Finally, in terms of suicidal behavior/ideation venlafaxine in children/adolescents with depression and paroxetine in those with anxiety disorders, respectively, were associated with a significantly increased risk, sertraline was associated with a reduced risk in youth with anxiety, and no cases of complete</w:t>
      </w:r>
      <w:r w:rsidR="000F5A59">
        <w:t>d</w:t>
      </w:r>
      <w:r w:rsidRPr="000667FC">
        <w:t xml:space="preserve"> suicides were reported in studies of OCD and PTSD.</w:t>
      </w:r>
    </w:p>
    <w:p w14:paraId="065ACBD6" w14:textId="77777777" w:rsidR="001E5836" w:rsidRPr="000667FC" w:rsidRDefault="001E5836" w:rsidP="00354B0D">
      <w:pPr>
        <w:pStyle w:val="NormalWeb"/>
        <w:spacing w:before="0" w:beforeAutospacing="0" w:after="0" w:afterAutospacing="0" w:line="480" w:lineRule="auto"/>
        <w:rPr>
          <w:rFonts w:eastAsiaTheme="minorHAnsi"/>
        </w:rPr>
      </w:pPr>
    </w:p>
    <w:p w14:paraId="644A8E68" w14:textId="29DF8D7C" w:rsidR="001E5836" w:rsidRPr="006A27BE" w:rsidRDefault="001E5836" w:rsidP="00354B0D">
      <w:pPr>
        <w:pStyle w:val="NormalWeb"/>
        <w:spacing w:before="0" w:beforeAutospacing="0" w:after="0" w:afterAutospacing="0" w:line="480" w:lineRule="auto"/>
        <w:rPr>
          <w:rFonts w:eastAsia="TimesNewRomanPSMT"/>
          <w:color w:val="000000" w:themeColor="text1"/>
        </w:rPr>
      </w:pPr>
      <w:r w:rsidRPr="005010EB">
        <w:t xml:space="preserve">Overall, the evidence from our meta-review is only partially </w:t>
      </w:r>
      <w:r w:rsidRPr="006A27BE">
        <w:t>in line</w:t>
      </w:r>
      <w:r w:rsidRPr="005010EB">
        <w:t xml:space="preserve"> with the </w:t>
      </w:r>
      <w:r w:rsidRPr="006A27BE">
        <w:t>current</w:t>
      </w:r>
      <w:r w:rsidRPr="005010EB">
        <w:t xml:space="preserve"> license </w:t>
      </w:r>
      <w:r w:rsidRPr="006A27BE">
        <w:t>status</w:t>
      </w:r>
      <w:r w:rsidRPr="005010EB">
        <w:t xml:space="preserve"> of antidepressants in children and adolescents. </w:t>
      </w:r>
      <w:r w:rsidRPr="006A27BE">
        <w:t xml:space="preserve">In fact, our findings support: 1) the current license of fluoxetine for MDD; 2) the approval </w:t>
      </w:r>
      <w:r w:rsidR="0033050D">
        <w:t xml:space="preserve">of </w:t>
      </w:r>
      <w:r w:rsidRPr="006A27BE">
        <w:rPr>
          <w:rFonts w:eastAsia="TimesNewRomanPSMT"/>
          <w:color w:val="000000" w:themeColor="text1"/>
        </w:rPr>
        <w:t>fluoxetine and sertraline for OCD</w:t>
      </w:r>
      <w:r w:rsidRPr="006A27BE">
        <w:t xml:space="preserve"> [e.g., USA</w:t>
      </w:r>
      <w:r w:rsidR="006C24B7" w:rsidRPr="009C48FB">
        <w:rPr>
          <w:vertAlign w:val="superscript"/>
        </w:rPr>
        <w:fldChar w:fldCharType="begin"/>
      </w:r>
      <w:r w:rsidR="006C24B7" w:rsidRPr="009C48FB">
        <w:rPr>
          <w:vertAlign w:val="superscript"/>
        </w:rPr>
        <w:instrText xml:space="preserve"> NOTEREF _Ref45747949 \h </w:instrText>
      </w:r>
      <w:r w:rsidR="006C24B7">
        <w:rPr>
          <w:vertAlign w:val="superscript"/>
        </w:rPr>
        <w:instrText xml:space="preserve"> \* MERGEFORMAT </w:instrText>
      </w:r>
      <w:r w:rsidR="006C24B7" w:rsidRPr="009C48FB">
        <w:rPr>
          <w:vertAlign w:val="superscript"/>
        </w:rPr>
      </w:r>
      <w:r w:rsidR="006C24B7" w:rsidRPr="009C48FB">
        <w:rPr>
          <w:vertAlign w:val="superscript"/>
        </w:rPr>
        <w:fldChar w:fldCharType="separate"/>
      </w:r>
      <w:r w:rsidR="00202932">
        <w:rPr>
          <w:vertAlign w:val="superscript"/>
        </w:rPr>
        <w:t>i</w:t>
      </w:r>
      <w:r w:rsidR="006C24B7" w:rsidRPr="009C48FB">
        <w:rPr>
          <w:vertAlign w:val="superscript"/>
        </w:rPr>
        <w:fldChar w:fldCharType="end"/>
      </w:r>
      <w:r w:rsidRPr="006A27BE">
        <w:t>; UK</w:t>
      </w:r>
      <w:r w:rsidR="006C24B7" w:rsidRPr="009C48FB">
        <w:rPr>
          <w:vertAlign w:val="superscript"/>
        </w:rPr>
        <w:fldChar w:fldCharType="begin"/>
      </w:r>
      <w:r w:rsidR="006C24B7" w:rsidRPr="009C48FB">
        <w:rPr>
          <w:vertAlign w:val="superscript"/>
        </w:rPr>
        <w:instrText xml:space="preserve"> NOTEREF _Ref45747990 \h </w:instrText>
      </w:r>
      <w:r w:rsidR="006C24B7">
        <w:rPr>
          <w:vertAlign w:val="superscript"/>
        </w:rPr>
        <w:instrText xml:space="preserve"> \* MERGEFORMAT </w:instrText>
      </w:r>
      <w:r w:rsidR="006C24B7" w:rsidRPr="009C48FB">
        <w:rPr>
          <w:vertAlign w:val="superscript"/>
        </w:rPr>
      </w:r>
      <w:r w:rsidR="006C24B7" w:rsidRPr="009C48FB">
        <w:rPr>
          <w:vertAlign w:val="superscript"/>
        </w:rPr>
        <w:fldChar w:fldCharType="separate"/>
      </w:r>
      <w:r w:rsidR="00202932">
        <w:rPr>
          <w:vertAlign w:val="superscript"/>
        </w:rPr>
        <w:t>ii</w:t>
      </w:r>
      <w:r w:rsidR="006C24B7" w:rsidRPr="009C48FB">
        <w:rPr>
          <w:vertAlign w:val="superscript"/>
        </w:rPr>
        <w:fldChar w:fldCharType="end"/>
      </w:r>
      <w:r w:rsidRPr="006A27BE">
        <w:t xml:space="preserve">]; 3) the lack of approval of antidepressants for ADHD. However, our results are in contrast with: 1) the absence of license for fluvoxamine and paroxetine for anxiety </w:t>
      </w:r>
      <w:r w:rsidRPr="00202932">
        <w:t>disorders [e.g., US</w:t>
      </w:r>
      <w:r w:rsidR="006C24B7" w:rsidRPr="009C48FB">
        <w:rPr>
          <w:vertAlign w:val="superscript"/>
        </w:rPr>
        <w:fldChar w:fldCharType="begin"/>
      </w:r>
      <w:r w:rsidR="006C24B7" w:rsidRPr="009C48FB">
        <w:rPr>
          <w:vertAlign w:val="superscript"/>
        </w:rPr>
        <w:instrText xml:space="preserve"> NOTEREF _Ref45747949 \h  \* MERGEFORMAT </w:instrText>
      </w:r>
      <w:r w:rsidR="006C24B7" w:rsidRPr="009C48FB">
        <w:rPr>
          <w:vertAlign w:val="superscript"/>
        </w:rPr>
      </w:r>
      <w:r w:rsidR="006C24B7" w:rsidRPr="009C48FB">
        <w:rPr>
          <w:vertAlign w:val="superscript"/>
        </w:rPr>
        <w:fldChar w:fldCharType="separate"/>
      </w:r>
      <w:r w:rsidR="00202932" w:rsidRPr="009C48FB">
        <w:rPr>
          <w:vertAlign w:val="superscript"/>
        </w:rPr>
        <w:t>i</w:t>
      </w:r>
      <w:r w:rsidR="006C24B7" w:rsidRPr="009C48FB">
        <w:rPr>
          <w:vertAlign w:val="superscript"/>
        </w:rPr>
        <w:fldChar w:fldCharType="end"/>
      </w:r>
      <w:r w:rsidRPr="00B70DDE">
        <w:t>, UK</w:t>
      </w:r>
      <w:r w:rsidR="006C24B7" w:rsidRPr="009C48FB">
        <w:rPr>
          <w:vertAlign w:val="superscript"/>
        </w:rPr>
        <w:fldChar w:fldCharType="begin"/>
      </w:r>
      <w:r w:rsidR="006C24B7" w:rsidRPr="009C48FB">
        <w:rPr>
          <w:vertAlign w:val="superscript"/>
        </w:rPr>
        <w:instrText xml:space="preserve"> NOTEREF _Ref45747990 \h  \* MERGEFORMAT </w:instrText>
      </w:r>
      <w:r w:rsidR="006C24B7" w:rsidRPr="009C48FB">
        <w:rPr>
          <w:vertAlign w:val="superscript"/>
        </w:rPr>
      </w:r>
      <w:r w:rsidR="006C24B7" w:rsidRPr="009C48FB">
        <w:rPr>
          <w:vertAlign w:val="superscript"/>
        </w:rPr>
        <w:fldChar w:fldCharType="separate"/>
      </w:r>
      <w:r w:rsidR="00202932" w:rsidRPr="009C48FB">
        <w:rPr>
          <w:vertAlign w:val="superscript"/>
        </w:rPr>
        <w:t>ii</w:t>
      </w:r>
      <w:r w:rsidR="006C24B7" w:rsidRPr="009C48FB">
        <w:rPr>
          <w:vertAlign w:val="superscript"/>
        </w:rPr>
        <w:fldChar w:fldCharType="end"/>
      </w:r>
      <w:r w:rsidRPr="00B70DDE">
        <w:t>, France</w:t>
      </w:r>
      <w:r w:rsidR="0049735B">
        <w:rPr>
          <w:rStyle w:val="EndnoteReference"/>
        </w:rPr>
        <w:endnoteReference w:id="23"/>
      </w:r>
      <w:r w:rsidRPr="006A27BE">
        <w:t xml:space="preserve">]; 2) the </w:t>
      </w:r>
      <w:r w:rsidRPr="006A27BE">
        <w:rPr>
          <w:color w:val="000000" w:themeColor="text1"/>
        </w:rPr>
        <w:t xml:space="preserve">FDA approval of escitalopram for </w:t>
      </w:r>
      <w:r w:rsidRPr="006A27BE">
        <w:rPr>
          <w:color w:val="000000" w:themeColor="text1"/>
          <w:shd w:val="clear" w:color="auto" w:fill="FFFFFF"/>
        </w:rPr>
        <w:t>acute and maintenance treatment of depression</w:t>
      </w:r>
      <w:r w:rsidR="0049735B">
        <w:rPr>
          <w:rStyle w:val="EndnoteReference"/>
          <w:color w:val="000000" w:themeColor="text1"/>
          <w:shd w:val="clear" w:color="auto" w:fill="FFFFFF"/>
        </w:rPr>
        <w:endnoteReference w:id="24"/>
      </w:r>
      <w:r w:rsidRPr="006A27BE">
        <w:rPr>
          <w:color w:val="000000" w:themeColor="text1"/>
          <w:shd w:val="clear" w:color="auto" w:fill="FFFFFF"/>
        </w:rPr>
        <w:t xml:space="preserve">]; 3) the license for </w:t>
      </w:r>
      <w:r w:rsidRPr="006A27BE">
        <w:rPr>
          <w:rFonts w:eastAsia="TimesNewRomanPSMT"/>
          <w:color w:val="000000" w:themeColor="text1"/>
        </w:rPr>
        <w:t>fluvoxamine and clomipramine for OCD</w:t>
      </w:r>
      <w:r w:rsidR="006C24B7" w:rsidRPr="009C48FB">
        <w:rPr>
          <w:rFonts w:eastAsia="TimesNewRomanPSMT"/>
          <w:color w:val="000000" w:themeColor="text1"/>
          <w:vertAlign w:val="superscript"/>
        </w:rPr>
        <w:fldChar w:fldCharType="begin"/>
      </w:r>
      <w:r w:rsidR="006C24B7" w:rsidRPr="009C48FB">
        <w:rPr>
          <w:rFonts w:eastAsia="TimesNewRomanPSMT"/>
          <w:color w:val="000000" w:themeColor="text1"/>
          <w:vertAlign w:val="superscript"/>
        </w:rPr>
        <w:instrText xml:space="preserve"> NOTEREF _Ref45747949 \h </w:instrText>
      </w:r>
      <w:r w:rsidR="006C24B7">
        <w:rPr>
          <w:rFonts w:eastAsia="TimesNewRomanPSMT"/>
          <w:color w:val="000000" w:themeColor="text1"/>
          <w:vertAlign w:val="superscript"/>
        </w:rPr>
        <w:instrText xml:space="preserve"> \* MERGEFORMAT </w:instrText>
      </w:r>
      <w:r w:rsidR="006C24B7" w:rsidRPr="009C48FB">
        <w:rPr>
          <w:rFonts w:eastAsia="TimesNewRomanPSMT"/>
          <w:color w:val="000000" w:themeColor="text1"/>
          <w:vertAlign w:val="superscript"/>
        </w:rPr>
      </w:r>
      <w:r w:rsidR="006C24B7" w:rsidRPr="009C48FB">
        <w:rPr>
          <w:rFonts w:eastAsia="TimesNewRomanPSMT"/>
          <w:color w:val="000000" w:themeColor="text1"/>
          <w:vertAlign w:val="superscript"/>
        </w:rPr>
        <w:fldChar w:fldCharType="separate"/>
      </w:r>
      <w:r w:rsidR="00202932">
        <w:rPr>
          <w:rFonts w:eastAsia="TimesNewRomanPSMT"/>
          <w:color w:val="000000" w:themeColor="text1"/>
          <w:vertAlign w:val="superscript"/>
        </w:rPr>
        <w:t>i</w:t>
      </w:r>
      <w:r w:rsidR="006C24B7" w:rsidRPr="009C48FB">
        <w:rPr>
          <w:rFonts w:eastAsia="TimesNewRomanPSMT"/>
          <w:color w:val="000000" w:themeColor="text1"/>
          <w:vertAlign w:val="superscript"/>
        </w:rPr>
        <w:fldChar w:fldCharType="end"/>
      </w:r>
      <w:r w:rsidRPr="006A27BE">
        <w:rPr>
          <w:rFonts w:eastAsia="TimesNewRomanPSMT"/>
          <w:color w:val="000000" w:themeColor="text1"/>
        </w:rPr>
        <w:t xml:space="preserve">. </w:t>
      </w:r>
    </w:p>
    <w:p w14:paraId="1B46186E" w14:textId="77777777" w:rsidR="001E5836" w:rsidRPr="006A27BE" w:rsidRDefault="001E5836" w:rsidP="00354B0D">
      <w:pPr>
        <w:pStyle w:val="NormalWeb"/>
        <w:spacing w:before="0" w:beforeAutospacing="0" w:after="0" w:afterAutospacing="0" w:line="480" w:lineRule="auto"/>
        <w:rPr>
          <w:rFonts w:eastAsia="TimesNewRomanPSMT"/>
          <w:color w:val="000000" w:themeColor="text1"/>
        </w:rPr>
      </w:pPr>
    </w:p>
    <w:p w14:paraId="6B23F5F8" w14:textId="78F55263" w:rsidR="001E5836" w:rsidRPr="009C48FB" w:rsidRDefault="001E5836" w:rsidP="00354B0D">
      <w:pPr>
        <w:pStyle w:val="NormalWeb"/>
        <w:spacing w:before="0" w:beforeAutospacing="0" w:after="0" w:afterAutospacing="0" w:line="480" w:lineRule="auto"/>
        <w:rPr>
          <w:rFonts w:eastAsia="TimesNewRomanPSMT"/>
        </w:rPr>
      </w:pPr>
      <w:r w:rsidRPr="006A27BE">
        <w:lastRenderedPageBreak/>
        <w:t>Also, our findings are only partially consistent with recommendations from available guidelines or expert consensus papers. Indeed, our results are in line with:1) the guidelines</w:t>
      </w:r>
      <w:r w:rsidRPr="005010EB">
        <w:t xml:space="preserve"> </w:t>
      </w:r>
      <w:r w:rsidRPr="006A27BE">
        <w:t>from the National Institute of Clinical Care and Excellence</w:t>
      </w:r>
      <w:r w:rsidR="00E329A4">
        <w:rPr>
          <w:rStyle w:val="EndnoteReference"/>
        </w:rPr>
        <w:endnoteReference w:id="25"/>
      </w:r>
      <w:r w:rsidR="00E329A4">
        <w:t xml:space="preserve"> </w:t>
      </w:r>
      <w:r w:rsidRPr="006A27BE">
        <w:t>on the use of fluoxetine for moderate to severe depression; 2) the lack of endorsement for antidepressants to treat ADHD</w:t>
      </w:r>
      <w:r w:rsidR="00E329A4">
        <w:rPr>
          <w:rStyle w:val="EndnoteReference"/>
        </w:rPr>
        <w:endnoteReference w:id="26"/>
      </w:r>
      <w:r w:rsidRPr="006A27BE">
        <w:rPr>
          <w:rFonts w:eastAsia="TimesNewRomanPSMT"/>
          <w:color w:val="000000" w:themeColor="text1"/>
        </w:rPr>
        <w:t>, PTSD</w:t>
      </w:r>
      <w:r w:rsidR="00F0186C">
        <w:rPr>
          <w:rStyle w:val="EndnoteReference"/>
          <w:rFonts w:eastAsia="TimesNewRomanPSMT"/>
          <w:color w:val="000000" w:themeColor="text1"/>
        </w:rPr>
        <w:endnoteReference w:id="27"/>
      </w:r>
      <w:r w:rsidRPr="006A27BE">
        <w:rPr>
          <w:rFonts w:eastAsia="TimesNewRomanPSMT"/>
          <w:color w:val="000000" w:themeColor="text1"/>
        </w:rPr>
        <w:t>, or</w:t>
      </w:r>
      <w:r w:rsidRPr="006A27BE">
        <w:t xml:space="preserve"> core symptoms of ASD</w:t>
      </w:r>
      <w:r w:rsidR="00F0186C">
        <w:rPr>
          <w:rStyle w:val="EndnoteReference"/>
        </w:rPr>
        <w:endnoteReference w:id="28"/>
      </w:r>
      <w:r w:rsidRPr="006A27BE">
        <w:t xml:space="preserve">. However, our findings are at odds with:1) </w:t>
      </w:r>
      <w:r w:rsidRPr="006A27BE">
        <w:rPr>
          <w:rFonts w:eastAsia="TimesNewRomanPSMT"/>
          <w:color w:val="000000" w:themeColor="text1"/>
        </w:rPr>
        <w:t>expert guidance suggesting the use of imipramine for pediatric enuresis</w:t>
      </w:r>
      <w:r w:rsidR="00F0186C">
        <w:rPr>
          <w:rStyle w:val="EndnoteReference"/>
          <w:rFonts w:eastAsia="TimesNewRomanPSMT"/>
          <w:color w:val="000000" w:themeColor="text1"/>
        </w:rPr>
        <w:endnoteReference w:id="29"/>
      </w:r>
      <w:r w:rsidRPr="006A27BE">
        <w:rPr>
          <w:rFonts w:eastAsia="TimesNewRomanPSMT"/>
          <w:color w:val="000000" w:themeColor="text1"/>
        </w:rPr>
        <w:t xml:space="preserve">; 2) the recommendation to use </w:t>
      </w:r>
      <w:r w:rsidRPr="006A27BE">
        <w:t>fluoxetine, rather than fluvoxamine, among the SSRIs, for anxiety disorders</w:t>
      </w:r>
      <w:r w:rsidR="00BD66C5">
        <w:rPr>
          <w:rStyle w:val="EndnoteReference"/>
        </w:rPr>
        <w:endnoteReference w:id="30"/>
      </w:r>
      <w:r w:rsidRPr="006A27BE">
        <w:rPr>
          <w:rFonts w:eastAsia="TimesNewRomanPSMT"/>
        </w:rPr>
        <w:t xml:space="preserve"> ; 3) </w:t>
      </w:r>
      <w:r w:rsidRPr="006A27BE">
        <w:rPr>
          <w:rFonts w:eastAsia="TimesNewRomanPSMT"/>
          <w:color w:val="000000" w:themeColor="text1"/>
        </w:rPr>
        <w:t>the NICE guidelines recommending the use of imipramine, albeit only when enuresis has proved resistant to all other treatment options</w:t>
      </w:r>
      <w:r w:rsidR="00BD66C5">
        <w:rPr>
          <w:rStyle w:val="EndnoteReference"/>
          <w:rFonts w:eastAsia="TimesNewRomanPSMT"/>
          <w:color w:val="000000" w:themeColor="text1"/>
        </w:rPr>
        <w:endnoteReference w:id="31"/>
      </w:r>
      <w:r w:rsidRPr="006A27BE">
        <w:rPr>
          <w:rFonts w:eastAsia="TimesNewRomanPSMT"/>
          <w:color w:val="000000" w:themeColor="text1"/>
        </w:rPr>
        <w:t>.</w:t>
      </w:r>
      <w:r w:rsidRPr="005010EB">
        <w:t xml:space="preserve"> </w:t>
      </w:r>
      <w:r w:rsidRPr="006A27BE">
        <w:rPr>
          <w:rFonts w:eastAsia="TimesNewRomanPSMT"/>
          <w:color w:val="000000" w:themeColor="text1"/>
        </w:rPr>
        <w:t>We also note that clomipramine is recommended as a treatment for OCD in children and young people who have not responded to, or been unable to tolerate, other treatments, including SSRIs</w:t>
      </w:r>
      <w:r w:rsidR="00BD66C5">
        <w:rPr>
          <w:rStyle w:val="EndnoteReference"/>
          <w:rFonts w:eastAsia="TimesNewRomanPSMT"/>
          <w:color w:val="000000" w:themeColor="text1"/>
        </w:rPr>
        <w:endnoteReference w:id="32"/>
      </w:r>
      <w:r w:rsidRPr="006A27BE">
        <w:rPr>
          <w:rFonts w:eastAsia="TimesNewRomanPSMT"/>
          <w:color w:val="000000" w:themeColor="text1"/>
        </w:rPr>
        <w:t>. As our meta-review excluded data on treatment-resistant disorders, it is perhaps not surprising that clomipramine was not featured within the included systematic reviews/meta-analyses.</w:t>
      </w:r>
      <w:r w:rsidRPr="000667FC">
        <w:rPr>
          <w:rFonts w:eastAsia="TimesNewRomanPSMT"/>
          <w:color w:val="000000" w:themeColor="text1"/>
        </w:rPr>
        <w:t xml:space="preserve"> </w:t>
      </w:r>
    </w:p>
    <w:p w14:paraId="5E7B2F28" w14:textId="77777777" w:rsidR="006A47F6" w:rsidRPr="000667FC" w:rsidRDefault="006A47F6" w:rsidP="00354B0D">
      <w:pPr>
        <w:pStyle w:val="NormalWeb"/>
        <w:spacing w:before="0" w:beforeAutospacing="0" w:after="0" w:afterAutospacing="0" w:line="480" w:lineRule="auto"/>
        <w:rPr>
          <w:rFonts w:eastAsia="TimesNewRomanPSMT"/>
          <w:color w:val="000000" w:themeColor="text1"/>
        </w:rPr>
      </w:pPr>
    </w:p>
    <w:p w14:paraId="5DA02C45" w14:textId="662E43F9" w:rsidR="001E5836" w:rsidRPr="000667FC" w:rsidRDefault="001E5836" w:rsidP="00354B0D">
      <w:pPr>
        <w:pStyle w:val="NormalWeb"/>
        <w:spacing w:before="0" w:beforeAutospacing="0" w:after="0" w:afterAutospacing="0" w:line="480" w:lineRule="auto"/>
        <w:rPr>
          <w:rFonts w:eastAsia="TimesNewRomanPSMT"/>
          <w:color w:val="000000" w:themeColor="text1"/>
        </w:rPr>
      </w:pPr>
      <w:r w:rsidRPr="000667FC">
        <w:rPr>
          <w:rFonts w:eastAsia="TimesNewRomanPSMT"/>
          <w:color w:val="000000" w:themeColor="text1"/>
        </w:rPr>
        <w:t>Our findings, which point to the possible efficacy of at least some of the so-called “antidepressants” for the treatment of a number of psychiatric disorders, lend support to the NbN initiative</w:t>
      </w:r>
      <w:r w:rsidR="00EC46EC">
        <w:rPr>
          <w:rStyle w:val="EndnoteReference"/>
          <w:rFonts w:eastAsia="TimesNewRomanPSMT"/>
          <w:color w:val="000000" w:themeColor="text1"/>
        </w:rPr>
        <w:endnoteReference w:id="33"/>
      </w:r>
      <w:r w:rsidRPr="000667FC">
        <w:rPr>
          <w:rFonts w:eastAsia="TimesNewRomanPSMT"/>
          <w:color w:val="000000" w:themeColor="text1"/>
        </w:rPr>
        <w:t xml:space="preserve"> which proposes to replace the nomenclature of psychotropics, currently focused on the disorder on which there are supposed to be effective, with their neurobiological mechanism(s) of action. We note that a NbN version for psychotropics in children/adolescents is also available</w:t>
      </w:r>
      <w:r w:rsidR="00EC46EC">
        <w:rPr>
          <w:rStyle w:val="EndnoteReference"/>
          <w:rFonts w:eastAsia="TimesNewRomanPSMT"/>
          <w:color w:val="000000" w:themeColor="text1"/>
        </w:rPr>
        <w:endnoteReference w:id="34"/>
      </w:r>
      <w:r w:rsidRPr="000667FC">
        <w:rPr>
          <w:rFonts w:eastAsia="TimesNewRomanPSMT"/>
          <w:color w:val="000000" w:themeColor="text1"/>
        </w:rPr>
        <w:t xml:space="preserve"> </w:t>
      </w:r>
      <w:r w:rsidR="002D2103">
        <w:rPr>
          <w:rFonts w:eastAsia="TimesNewRomanPSMT"/>
          <w:color w:val="000000" w:themeColor="text1"/>
        </w:rPr>
        <w:t>and</w:t>
      </w:r>
      <w:r w:rsidRPr="000667FC">
        <w:rPr>
          <w:rFonts w:eastAsia="TimesNewRomanPSMT"/>
          <w:color w:val="000000" w:themeColor="text1"/>
        </w:rPr>
        <w:t xml:space="preserve">, for instance, fluoxetine should no longer be referred to as an “antidepressant” but as a </w:t>
      </w:r>
      <w:r>
        <w:rPr>
          <w:rFonts w:eastAsia="TimesNewRomanPSMT"/>
          <w:color w:val="000000" w:themeColor="text1"/>
        </w:rPr>
        <w:t>“</w:t>
      </w:r>
      <w:r w:rsidRPr="000667FC">
        <w:rPr>
          <w:rFonts w:eastAsia="TimesNewRomanPSMT"/>
          <w:color w:val="000000" w:themeColor="text1"/>
        </w:rPr>
        <w:t>reuptake inhibitor of serotonin</w:t>
      </w:r>
      <w:r>
        <w:rPr>
          <w:rFonts w:eastAsia="TimesNewRomanPSMT"/>
          <w:color w:val="000000" w:themeColor="text1"/>
        </w:rPr>
        <w:t>”</w:t>
      </w:r>
      <w:r w:rsidRPr="000667FC">
        <w:rPr>
          <w:rFonts w:eastAsia="TimesNewRomanPSMT"/>
          <w:color w:val="000000" w:themeColor="text1"/>
        </w:rPr>
        <w:t xml:space="preserve">. </w:t>
      </w:r>
    </w:p>
    <w:p w14:paraId="64CF3299" w14:textId="77777777" w:rsidR="001E5836" w:rsidRPr="000667FC" w:rsidRDefault="001E5836" w:rsidP="00354B0D">
      <w:pPr>
        <w:spacing w:line="480" w:lineRule="auto"/>
        <w:rPr>
          <w:rFonts w:eastAsia="TimesNewRomanPSMT"/>
          <w:color w:val="000000" w:themeColor="text1"/>
        </w:rPr>
      </w:pPr>
    </w:p>
    <w:p w14:paraId="36A586B9" w14:textId="4A735A10" w:rsidR="001E5836" w:rsidRDefault="002D2103" w:rsidP="00354B0D">
      <w:pPr>
        <w:spacing w:line="480" w:lineRule="auto"/>
        <w:rPr>
          <w:color w:val="000000" w:themeColor="text1"/>
        </w:rPr>
      </w:pPr>
      <w:bookmarkStart w:id="19" w:name="OLE_LINK1"/>
      <w:bookmarkStart w:id="20" w:name="OLE_LINK2"/>
      <w:bookmarkStart w:id="21" w:name="OLE_LINK3"/>
      <w:bookmarkStart w:id="22" w:name="OLE_LINK4"/>
      <w:r>
        <w:rPr>
          <w:color w:val="000000" w:themeColor="text1"/>
        </w:rPr>
        <w:t>I</w:t>
      </w:r>
      <w:r w:rsidR="001E5836">
        <w:rPr>
          <w:color w:val="000000" w:themeColor="text1"/>
        </w:rPr>
        <w:t xml:space="preserve">t </w:t>
      </w:r>
      <w:r w:rsidR="001E5836" w:rsidRPr="000667FC">
        <w:rPr>
          <w:color w:val="000000" w:themeColor="text1"/>
        </w:rPr>
        <w:t xml:space="preserve">is important to note that </w:t>
      </w:r>
      <w:r w:rsidR="002074A6">
        <w:rPr>
          <w:color w:val="000000" w:themeColor="text1"/>
        </w:rPr>
        <w:t xml:space="preserve">some </w:t>
      </w:r>
      <w:r w:rsidR="001E5836" w:rsidRPr="000667FC">
        <w:rPr>
          <w:color w:val="000000" w:themeColor="text1"/>
        </w:rPr>
        <w:t>factors restrict the interpretation of our findings on the efficacy of antidepressants in children and adolescents. First</w:t>
      </w:r>
      <w:r w:rsidR="001E5836" w:rsidRPr="003F3B6B">
        <w:rPr>
          <w:color w:val="000000" w:themeColor="text1"/>
        </w:rPr>
        <w:t xml:space="preserve">, </w:t>
      </w:r>
      <w:r w:rsidR="003F3B6B" w:rsidRPr="007B7991">
        <w:t xml:space="preserve">the limited availability and quality of supporting evidence, especially </w:t>
      </w:r>
      <w:r w:rsidR="003F5096" w:rsidRPr="003F3B6B">
        <w:rPr>
          <w:color w:val="000000" w:themeColor="text1"/>
        </w:rPr>
        <w:t>the potenti</w:t>
      </w:r>
      <w:r w:rsidR="003F5096" w:rsidRPr="00B667DD">
        <w:rPr>
          <w:color w:val="000000" w:themeColor="text1"/>
        </w:rPr>
        <w:t>al limitations of th</w:t>
      </w:r>
      <w:r w:rsidR="003F5096">
        <w:rPr>
          <w:color w:val="000000" w:themeColor="text1"/>
        </w:rPr>
        <w:t xml:space="preserve">e primary studies that </w:t>
      </w:r>
      <w:r w:rsidR="000D50D0">
        <w:rPr>
          <w:color w:val="000000" w:themeColor="text1"/>
        </w:rPr>
        <w:t>constitute</w:t>
      </w:r>
      <w:r w:rsidR="003F5096">
        <w:rPr>
          <w:color w:val="000000" w:themeColor="text1"/>
        </w:rPr>
        <w:t xml:space="preserve"> the evidence based for </w:t>
      </w:r>
      <w:r w:rsidR="002D36CB">
        <w:rPr>
          <w:color w:val="000000" w:themeColor="text1"/>
        </w:rPr>
        <w:t xml:space="preserve">the systematic reviews included in </w:t>
      </w:r>
      <w:r w:rsidR="003F5096">
        <w:rPr>
          <w:color w:val="000000" w:themeColor="text1"/>
        </w:rPr>
        <w:t>this paper.</w:t>
      </w:r>
      <w:r w:rsidR="003F5096" w:rsidRPr="003F5096">
        <w:rPr>
          <w:color w:val="000000" w:themeColor="text1"/>
        </w:rPr>
        <w:t xml:space="preserve"> </w:t>
      </w:r>
      <w:r w:rsidR="00AF43D5">
        <w:rPr>
          <w:color w:val="000000" w:themeColor="text1"/>
        </w:rPr>
        <w:t>T</w:t>
      </w:r>
      <w:r w:rsidR="00AF43D5" w:rsidRPr="000667FC">
        <w:rPr>
          <w:color w:val="000000" w:themeColor="text1"/>
        </w:rPr>
        <w:t xml:space="preserve">he risk of bias and the quality of evidence of the individual studies varied and was assessed with different approaches across the included systematic </w:t>
      </w:r>
      <w:r w:rsidR="00AF43D5" w:rsidRPr="000667FC">
        <w:rPr>
          <w:color w:val="000000" w:themeColor="text1"/>
        </w:rPr>
        <w:lastRenderedPageBreak/>
        <w:t>reviews/meta-analyses.</w:t>
      </w:r>
      <w:r w:rsidR="00AF43D5">
        <w:rPr>
          <w:color w:val="000000" w:themeColor="text1"/>
        </w:rPr>
        <w:t xml:space="preserve"> </w:t>
      </w:r>
      <w:r w:rsidR="000D50D0">
        <w:rPr>
          <w:color w:val="000000" w:themeColor="text1"/>
        </w:rPr>
        <w:t xml:space="preserve">Even though </w:t>
      </w:r>
      <w:r w:rsidR="000D50D0" w:rsidRPr="003F5096">
        <w:rPr>
          <w:color w:val="000000" w:themeColor="text1"/>
        </w:rPr>
        <w:t xml:space="preserve">randomised </w:t>
      </w:r>
      <w:r w:rsidR="000D50D0">
        <w:rPr>
          <w:color w:val="000000" w:themeColor="text1"/>
        </w:rPr>
        <w:t xml:space="preserve">controlled </w:t>
      </w:r>
      <w:r w:rsidR="000D50D0" w:rsidRPr="003F5096">
        <w:rPr>
          <w:color w:val="000000" w:themeColor="text1"/>
        </w:rPr>
        <w:t>trials</w:t>
      </w:r>
      <w:r w:rsidR="000D50D0">
        <w:rPr>
          <w:color w:val="000000" w:themeColor="text1"/>
        </w:rPr>
        <w:t xml:space="preserve"> are at the top of the hierarchy of evidence and have been used over the past 20 years to assess the effect of pharmacological interventions in children and adolescents</w:t>
      </w:r>
      <w:r w:rsidR="00EC46EC">
        <w:rPr>
          <w:rStyle w:val="EndnoteReference"/>
          <w:color w:val="000000" w:themeColor="text1"/>
        </w:rPr>
        <w:endnoteReference w:id="35"/>
      </w:r>
      <w:r w:rsidR="000D50D0">
        <w:rPr>
          <w:color w:val="000000" w:themeColor="text1"/>
        </w:rPr>
        <w:t>, they may have limited generalizability and may be prone to sponsorship bias</w:t>
      </w:r>
      <w:r w:rsidR="00284A57">
        <w:rPr>
          <w:rStyle w:val="EndnoteReference"/>
          <w:color w:val="000000" w:themeColor="text1"/>
        </w:rPr>
        <w:endnoteReference w:id="36"/>
      </w:r>
      <w:r w:rsidR="000D50D0">
        <w:rPr>
          <w:color w:val="000000" w:themeColor="text1"/>
        </w:rPr>
        <w:t>.</w:t>
      </w:r>
      <w:r w:rsidR="003F5096">
        <w:rPr>
          <w:color w:val="000000" w:themeColor="text1"/>
        </w:rPr>
        <w:t xml:space="preserve"> </w:t>
      </w:r>
      <w:r w:rsidR="000D50D0">
        <w:rPr>
          <w:color w:val="000000" w:themeColor="text1"/>
        </w:rPr>
        <w:t xml:space="preserve">Second, </w:t>
      </w:r>
      <w:bookmarkEnd w:id="19"/>
      <w:bookmarkEnd w:id="20"/>
      <w:r w:rsidR="001E5836" w:rsidRPr="000667FC">
        <w:rPr>
          <w:color w:val="000000" w:themeColor="text1"/>
        </w:rPr>
        <w:t>the overall quality of the systematic reviews retained in our meta-review, rated via the AMSTAR-2 tool</w:t>
      </w:r>
      <w:r w:rsidR="00284A57" w:rsidRPr="009C48FB">
        <w:rPr>
          <w:color w:val="000000" w:themeColor="text1"/>
          <w:vertAlign w:val="superscript"/>
        </w:rPr>
        <w:fldChar w:fldCharType="begin"/>
      </w:r>
      <w:r w:rsidR="00284A57" w:rsidRPr="009C48FB">
        <w:rPr>
          <w:color w:val="000000" w:themeColor="text1"/>
          <w:vertAlign w:val="superscript"/>
        </w:rPr>
        <w:instrText xml:space="preserve"> NOTEREF _Ref45750113 </w:instrText>
      </w:r>
      <w:r w:rsidR="00284A57">
        <w:rPr>
          <w:color w:val="000000" w:themeColor="text1"/>
          <w:vertAlign w:val="superscript"/>
        </w:rPr>
        <w:instrText xml:space="preserve"> \* MERGEFORMAT </w:instrText>
      </w:r>
      <w:r w:rsidR="00284A57" w:rsidRPr="009C48FB">
        <w:rPr>
          <w:color w:val="000000" w:themeColor="text1"/>
          <w:vertAlign w:val="superscript"/>
        </w:rPr>
        <w:fldChar w:fldCharType="separate"/>
      </w:r>
      <w:r w:rsidR="00202932">
        <w:rPr>
          <w:color w:val="000000" w:themeColor="text1"/>
          <w:vertAlign w:val="superscript"/>
        </w:rPr>
        <w:t>8</w:t>
      </w:r>
      <w:r w:rsidR="00284A57" w:rsidRPr="009C48FB">
        <w:rPr>
          <w:color w:val="000000" w:themeColor="text1"/>
          <w:vertAlign w:val="superscript"/>
        </w:rPr>
        <w:fldChar w:fldCharType="end"/>
      </w:r>
      <w:r w:rsidR="001E5836" w:rsidRPr="000667FC">
        <w:rPr>
          <w:color w:val="000000" w:themeColor="text1"/>
        </w:rPr>
        <w:t xml:space="preserve">, was variable, ranging from </w:t>
      </w:r>
      <w:r w:rsidR="001E5836" w:rsidRPr="000667FC">
        <w:rPr>
          <w:i/>
          <w:color w:val="000000" w:themeColor="text1"/>
        </w:rPr>
        <w:t>high</w:t>
      </w:r>
      <w:r w:rsidR="001E5836" w:rsidRPr="000667FC">
        <w:rPr>
          <w:color w:val="000000" w:themeColor="text1"/>
        </w:rPr>
        <w:t xml:space="preserve"> for the network meta-analysis on ADHD</w:t>
      </w:r>
      <w:r w:rsidR="00284A57" w:rsidRPr="009C48FB">
        <w:rPr>
          <w:color w:val="000000" w:themeColor="text1"/>
          <w:vertAlign w:val="superscript"/>
        </w:rPr>
        <w:fldChar w:fldCharType="begin"/>
      </w:r>
      <w:r w:rsidR="00284A57" w:rsidRPr="009C48FB">
        <w:rPr>
          <w:color w:val="000000" w:themeColor="text1"/>
          <w:vertAlign w:val="superscript"/>
        </w:rPr>
        <w:instrText xml:space="preserve"> NOTEREF _Ref45746604 </w:instrText>
      </w:r>
      <w:r w:rsidR="00284A57">
        <w:rPr>
          <w:color w:val="000000" w:themeColor="text1"/>
          <w:vertAlign w:val="superscript"/>
        </w:rPr>
        <w:instrText xml:space="preserve"> \* MERGEFORMAT </w:instrText>
      </w:r>
      <w:r w:rsidR="00284A57" w:rsidRPr="009C48FB">
        <w:rPr>
          <w:color w:val="000000" w:themeColor="text1"/>
          <w:vertAlign w:val="superscript"/>
        </w:rPr>
        <w:fldChar w:fldCharType="separate"/>
      </w:r>
      <w:r w:rsidR="00202932">
        <w:rPr>
          <w:color w:val="000000" w:themeColor="text1"/>
          <w:vertAlign w:val="superscript"/>
        </w:rPr>
        <w:t>10</w:t>
      </w:r>
      <w:r w:rsidR="00284A57" w:rsidRPr="009C48FB">
        <w:rPr>
          <w:color w:val="000000" w:themeColor="text1"/>
          <w:vertAlign w:val="superscript"/>
        </w:rPr>
        <w:fldChar w:fldCharType="end"/>
      </w:r>
      <w:r w:rsidR="001E5836" w:rsidRPr="000667FC">
        <w:rPr>
          <w:color w:val="000000" w:themeColor="text1"/>
        </w:rPr>
        <w:t xml:space="preserve"> to </w:t>
      </w:r>
      <w:r w:rsidR="001E5836" w:rsidRPr="000667FC">
        <w:rPr>
          <w:i/>
          <w:color w:val="000000" w:themeColor="text1"/>
        </w:rPr>
        <w:t>critically low</w:t>
      </w:r>
      <w:r w:rsidR="001E5836" w:rsidRPr="000667FC">
        <w:rPr>
          <w:color w:val="000000" w:themeColor="text1"/>
        </w:rPr>
        <w:t xml:space="preserve"> for the evidence synthesis on anxiety</w:t>
      </w:r>
      <w:r w:rsidR="00284A57" w:rsidRPr="009C48FB">
        <w:rPr>
          <w:color w:val="000000" w:themeColor="text1"/>
          <w:vertAlign w:val="superscript"/>
        </w:rPr>
        <w:fldChar w:fldCharType="begin"/>
      </w:r>
      <w:r w:rsidR="00284A57" w:rsidRPr="009C48FB">
        <w:rPr>
          <w:color w:val="000000" w:themeColor="text1"/>
          <w:vertAlign w:val="superscript"/>
        </w:rPr>
        <w:instrText xml:space="preserve"> NOTEREF _Ref45746788 </w:instrText>
      </w:r>
      <w:r w:rsidR="00284A57">
        <w:rPr>
          <w:color w:val="000000" w:themeColor="text1"/>
          <w:vertAlign w:val="superscript"/>
        </w:rPr>
        <w:instrText xml:space="preserve"> \* MERGEFORMAT </w:instrText>
      </w:r>
      <w:r w:rsidR="00284A57" w:rsidRPr="009C48FB">
        <w:rPr>
          <w:color w:val="000000" w:themeColor="text1"/>
          <w:vertAlign w:val="superscript"/>
        </w:rPr>
        <w:fldChar w:fldCharType="separate"/>
      </w:r>
      <w:r w:rsidR="00202932">
        <w:rPr>
          <w:color w:val="000000" w:themeColor="text1"/>
          <w:vertAlign w:val="superscript"/>
        </w:rPr>
        <w:t>11</w:t>
      </w:r>
      <w:r w:rsidR="00284A57" w:rsidRPr="009C48FB">
        <w:rPr>
          <w:color w:val="000000" w:themeColor="text1"/>
          <w:vertAlign w:val="superscript"/>
        </w:rPr>
        <w:fldChar w:fldCharType="end"/>
      </w:r>
      <w:r w:rsidR="001E5836" w:rsidRPr="000667FC">
        <w:rPr>
          <w:color w:val="000000" w:themeColor="text1"/>
        </w:rPr>
        <w:t xml:space="preserve"> and enuresis</w:t>
      </w:r>
      <w:r w:rsidR="00284A57" w:rsidRPr="009C48FB">
        <w:rPr>
          <w:color w:val="000000" w:themeColor="text1"/>
          <w:vertAlign w:val="superscript"/>
        </w:rPr>
        <w:fldChar w:fldCharType="begin"/>
      </w:r>
      <w:r w:rsidR="00284A57" w:rsidRPr="009C48FB">
        <w:rPr>
          <w:color w:val="000000" w:themeColor="text1"/>
          <w:vertAlign w:val="superscript"/>
        </w:rPr>
        <w:instrText xml:space="preserve"> NOTEREF _Ref45747376 </w:instrText>
      </w:r>
      <w:r w:rsidR="00284A57">
        <w:rPr>
          <w:color w:val="000000" w:themeColor="text1"/>
          <w:vertAlign w:val="superscript"/>
        </w:rPr>
        <w:instrText xml:space="preserve"> \* MERGEFORMAT </w:instrText>
      </w:r>
      <w:r w:rsidR="00284A57" w:rsidRPr="009C48FB">
        <w:rPr>
          <w:color w:val="000000" w:themeColor="text1"/>
          <w:vertAlign w:val="superscript"/>
        </w:rPr>
        <w:fldChar w:fldCharType="separate"/>
      </w:r>
      <w:r w:rsidR="00202932">
        <w:rPr>
          <w:color w:val="000000" w:themeColor="text1"/>
          <w:vertAlign w:val="superscript"/>
        </w:rPr>
        <w:t>14</w:t>
      </w:r>
      <w:r w:rsidR="00284A57" w:rsidRPr="009C48FB">
        <w:rPr>
          <w:color w:val="000000" w:themeColor="text1"/>
          <w:vertAlign w:val="superscript"/>
        </w:rPr>
        <w:fldChar w:fldCharType="end"/>
      </w:r>
      <w:r w:rsidR="001E5836" w:rsidRPr="000667FC">
        <w:rPr>
          <w:color w:val="000000" w:themeColor="text1"/>
        </w:rPr>
        <w:t>. In particular, one aspect that varied across the retained systematic reviews/meta-analyses was the analysis of unpublished data.</w:t>
      </w:r>
      <w:r w:rsidR="009D59A4">
        <w:rPr>
          <w:color w:val="000000" w:themeColor="text1"/>
        </w:rPr>
        <w:t xml:space="preserve"> U</w:t>
      </w:r>
      <w:r w:rsidR="001E5836" w:rsidRPr="000667FC">
        <w:rPr>
          <w:color w:val="000000" w:themeColor="text1"/>
        </w:rPr>
        <w:t xml:space="preserve">npublished data were included in some meta-analyses (e.g., Cipriani et </w:t>
      </w:r>
      <w:r w:rsidR="001E5836">
        <w:rPr>
          <w:color w:val="000000" w:themeColor="text1"/>
        </w:rPr>
        <w:t>al.,</w:t>
      </w:r>
      <w:r w:rsidR="00284A57" w:rsidRPr="009C48FB">
        <w:rPr>
          <w:color w:val="000000" w:themeColor="text1"/>
          <w:vertAlign w:val="superscript"/>
        </w:rPr>
        <w:fldChar w:fldCharType="begin"/>
      </w:r>
      <w:r w:rsidR="00284A57" w:rsidRPr="009C48FB">
        <w:rPr>
          <w:color w:val="000000" w:themeColor="text1"/>
          <w:vertAlign w:val="superscript"/>
        </w:rPr>
        <w:instrText xml:space="preserve"> NOTEREF _Ref45745003 </w:instrText>
      </w:r>
      <w:r w:rsidR="00284A57">
        <w:rPr>
          <w:color w:val="000000" w:themeColor="text1"/>
          <w:vertAlign w:val="superscript"/>
        </w:rPr>
        <w:instrText xml:space="preserve"> \* MERGEFORMAT </w:instrText>
      </w:r>
      <w:r w:rsidR="00284A57" w:rsidRPr="009C48FB">
        <w:rPr>
          <w:color w:val="000000" w:themeColor="text1"/>
          <w:vertAlign w:val="superscript"/>
        </w:rPr>
        <w:fldChar w:fldCharType="separate"/>
      </w:r>
      <w:r w:rsidR="00202932">
        <w:rPr>
          <w:color w:val="000000" w:themeColor="text1"/>
          <w:vertAlign w:val="superscript"/>
        </w:rPr>
        <w:t>6</w:t>
      </w:r>
      <w:r w:rsidR="00284A57" w:rsidRPr="009C48FB">
        <w:rPr>
          <w:color w:val="000000" w:themeColor="text1"/>
          <w:vertAlign w:val="superscript"/>
        </w:rPr>
        <w:fldChar w:fldCharType="end"/>
      </w:r>
      <w:r w:rsidR="001E5836" w:rsidRPr="000667FC">
        <w:rPr>
          <w:color w:val="000000" w:themeColor="text1"/>
        </w:rPr>
        <w:t xml:space="preserve"> on </w:t>
      </w:r>
      <w:r>
        <w:rPr>
          <w:color w:val="000000" w:themeColor="text1"/>
        </w:rPr>
        <w:t>MDD</w:t>
      </w:r>
      <w:r w:rsidR="001E5836" w:rsidRPr="000667FC">
        <w:rPr>
          <w:color w:val="000000" w:themeColor="text1"/>
        </w:rPr>
        <w:t xml:space="preserve">) but not others (e.g., Dobson et </w:t>
      </w:r>
      <w:r w:rsidR="001E5836">
        <w:rPr>
          <w:color w:val="000000" w:themeColor="text1"/>
        </w:rPr>
        <w:t>al.,</w:t>
      </w:r>
      <w:r w:rsidR="00765D1E">
        <w:rPr>
          <w:color w:val="000000" w:themeColor="text1"/>
        </w:rPr>
        <w:t xml:space="preserve"> (2019)</w:t>
      </w:r>
      <w:r w:rsidR="00284A57" w:rsidRPr="009C48FB">
        <w:rPr>
          <w:color w:val="000000" w:themeColor="text1"/>
          <w:vertAlign w:val="superscript"/>
        </w:rPr>
        <w:fldChar w:fldCharType="begin"/>
      </w:r>
      <w:r w:rsidR="00284A57" w:rsidRPr="009C48FB">
        <w:rPr>
          <w:color w:val="000000" w:themeColor="text1"/>
          <w:vertAlign w:val="superscript"/>
        </w:rPr>
        <w:instrText xml:space="preserve"> NOTEREF _Ref45746788 </w:instrText>
      </w:r>
      <w:r w:rsidR="00284A57">
        <w:rPr>
          <w:color w:val="000000" w:themeColor="text1"/>
          <w:vertAlign w:val="superscript"/>
        </w:rPr>
        <w:instrText xml:space="preserve"> \* MERGEFORMAT </w:instrText>
      </w:r>
      <w:r w:rsidR="00284A57" w:rsidRPr="009C48FB">
        <w:rPr>
          <w:color w:val="000000" w:themeColor="text1"/>
          <w:vertAlign w:val="superscript"/>
        </w:rPr>
        <w:fldChar w:fldCharType="separate"/>
      </w:r>
      <w:r w:rsidR="00202932">
        <w:rPr>
          <w:color w:val="000000" w:themeColor="text1"/>
          <w:vertAlign w:val="superscript"/>
        </w:rPr>
        <w:t>11</w:t>
      </w:r>
      <w:r w:rsidR="00284A57" w:rsidRPr="009C48FB">
        <w:rPr>
          <w:color w:val="000000" w:themeColor="text1"/>
          <w:vertAlign w:val="superscript"/>
        </w:rPr>
        <w:fldChar w:fldCharType="end"/>
      </w:r>
      <w:r w:rsidR="001E5836" w:rsidRPr="000667FC">
        <w:rPr>
          <w:color w:val="000000" w:themeColor="text1"/>
        </w:rPr>
        <w:t xml:space="preserve"> on anxiety disorder). This is highly relevant as the </w:t>
      </w:r>
      <w:r w:rsidR="001E5836" w:rsidRPr="000667FC">
        <w:rPr>
          <w:color w:val="000000"/>
          <w:shd w:val="clear" w:color="auto" w:fill="FFFFFF"/>
        </w:rPr>
        <w:t>selective publication of RCTs and data from RCTs, leading to inaccurate estimates of antidepressants, </w:t>
      </w:r>
      <w:r w:rsidR="001E5836" w:rsidRPr="000667FC">
        <w:rPr>
          <w:color w:val="000000" w:themeColor="text1"/>
        </w:rPr>
        <w:t>has been documented</w:t>
      </w:r>
      <w:r w:rsidR="00284A57">
        <w:rPr>
          <w:rStyle w:val="EndnoteReference"/>
          <w:color w:val="000000" w:themeColor="text1"/>
        </w:rPr>
        <w:endnoteReference w:id="37"/>
      </w:r>
      <w:r w:rsidR="001E5836" w:rsidRPr="000667FC">
        <w:rPr>
          <w:color w:val="000000" w:themeColor="text1"/>
        </w:rPr>
        <w:t xml:space="preserve">. </w:t>
      </w:r>
      <w:bookmarkEnd w:id="21"/>
      <w:bookmarkEnd w:id="22"/>
    </w:p>
    <w:p w14:paraId="7A9768A8" w14:textId="77777777" w:rsidR="006A47F6" w:rsidRPr="000667FC" w:rsidRDefault="006A47F6" w:rsidP="00354B0D">
      <w:pPr>
        <w:spacing w:line="480" w:lineRule="auto"/>
        <w:rPr>
          <w:color w:val="000000" w:themeColor="text1"/>
        </w:rPr>
      </w:pPr>
    </w:p>
    <w:p w14:paraId="072E2B9F" w14:textId="62C620CE" w:rsidR="001E5836" w:rsidRPr="005010EB" w:rsidRDefault="001E5836" w:rsidP="00354B0D">
      <w:pPr>
        <w:spacing w:line="480" w:lineRule="auto"/>
      </w:pPr>
      <w:r w:rsidRPr="000667FC">
        <w:t>It should also be noted that a high placebo response may impact the estimated efficacy of antidepressants</w:t>
      </w:r>
      <w:r w:rsidR="00284A57">
        <w:rPr>
          <w:rStyle w:val="EndnoteReference"/>
        </w:rPr>
        <w:endnoteReference w:id="38"/>
      </w:r>
      <w:r w:rsidRPr="000667FC">
        <w:t xml:space="preserve">. Indeed, a higher placebo response in children and adolescents, compared to adults, with major depressive disorder has been reported, alongside a less </w:t>
      </w:r>
      <w:r>
        <w:t>strong</w:t>
      </w:r>
      <w:r w:rsidRPr="000667FC">
        <w:t xml:space="preserve"> placebo response to the same antidepressants in children and adolescents with anxiety disorders</w:t>
      </w:r>
      <w:r w:rsidR="00DC6248" w:rsidRPr="009C48FB">
        <w:rPr>
          <w:vertAlign w:val="superscript"/>
        </w:rPr>
        <w:fldChar w:fldCharType="begin"/>
      </w:r>
      <w:r w:rsidR="00DC6248" w:rsidRPr="009C48FB">
        <w:rPr>
          <w:vertAlign w:val="superscript"/>
        </w:rPr>
        <w:instrText xml:space="preserve"> NOTEREF _Ref45746788 </w:instrText>
      </w:r>
      <w:r w:rsidR="00DC6248">
        <w:rPr>
          <w:vertAlign w:val="superscript"/>
        </w:rPr>
        <w:instrText xml:space="preserve"> \* MERGEFORMAT </w:instrText>
      </w:r>
      <w:r w:rsidR="00DC6248" w:rsidRPr="009C48FB">
        <w:rPr>
          <w:vertAlign w:val="superscript"/>
        </w:rPr>
        <w:fldChar w:fldCharType="separate"/>
      </w:r>
      <w:r w:rsidR="00202932">
        <w:rPr>
          <w:vertAlign w:val="superscript"/>
        </w:rPr>
        <w:t>11</w:t>
      </w:r>
      <w:r w:rsidR="00DC6248" w:rsidRPr="009C48FB">
        <w:rPr>
          <w:vertAlign w:val="superscript"/>
        </w:rPr>
        <w:fldChar w:fldCharType="end"/>
      </w:r>
      <w:r w:rsidRPr="000667FC">
        <w:t xml:space="preserve">. </w:t>
      </w:r>
      <w:r>
        <w:t>I</w:t>
      </w:r>
      <w:r w:rsidRPr="000667FC">
        <w:t xml:space="preserve">n the absence of RCTs including a no-treatment arm, this differential response may be due to differences in the </w:t>
      </w:r>
      <w:r w:rsidRPr="005010EB">
        <w:t>probability of spontaneous recovery in childhood depressive and anxiety disorders, respectively</w:t>
      </w:r>
      <w:r w:rsidR="00DC6248" w:rsidRPr="009C48FB">
        <w:rPr>
          <w:vertAlign w:val="superscript"/>
        </w:rPr>
        <w:fldChar w:fldCharType="begin"/>
      </w:r>
      <w:r w:rsidR="00DC6248" w:rsidRPr="009C48FB">
        <w:rPr>
          <w:vertAlign w:val="superscript"/>
        </w:rPr>
        <w:instrText xml:space="preserve"> NOTEREF _Ref45746788 </w:instrText>
      </w:r>
      <w:r w:rsidR="00DC6248">
        <w:rPr>
          <w:vertAlign w:val="superscript"/>
        </w:rPr>
        <w:instrText xml:space="preserve"> \* MERGEFORMAT </w:instrText>
      </w:r>
      <w:r w:rsidR="00DC6248" w:rsidRPr="009C48FB">
        <w:rPr>
          <w:vertAlign w:val="superscript"/>
        </w:rPr>
        <w:fldChar w:fldCharType="separate"/>
      </w:r>
      <w:r w:rsidR="00202932">
        <w:rPr>
          <w:vertAlign w:val="superscript"/>
        </w:rPr>
        <w:t>11</w:t>
      </w:r>
      <w:r w:rsidR="00DC6248" w:rsidRPr="009C48FB">
        <w:rPr>
          <w:vertAlign w:val="superscript"/>
        </w:rPr>
        <w:fldChar w:fldCharType="end"/>
      </w:r>
      <w:r w:rsidRPr="00B65E46">
        <w:t>.</w:t>
      </w:r>
      <w:r w:rsidRPr="005010EB">
        <w:t xml:space="preserve"> </w:t>
      </w:r>
    </w:p>
    <w:p w14:paraId="114C2006" w14:textId="77777777" w:rsidR="001E5836" w:rsidRPr="005010EB" w:rsidRDefault="001E5836" w:rsidP="00354B0D">
      <w:pPr>
        <w:spacing w:line="480" w:lineRule="auto"/>
      </w:pPr>
    </w:p>
    <w:p w14:paraId="30752E91" w14:textId="3AA47B75" w:rsidR="001E5836" w:rsidRPr="000667FC" w:rsidRDefault="001E5836" w:rsidP="00354B0D">
      <w:pPr>
        <w:spacing w:line="480" w:lineRule="auto"/>
      </w:pPr>
      <w:r w:rsidRPr="005010EB">
        <w:t xml:space="preserve">In </w:t>
      </w:r>
      <w:r w:rsidR="000550E1">
        <w:t>terms of</w:t>
      </w:r>
      <w:r w:rsidRPr="000667FC">
        <w:t xml:space="preserve"> tolerability, </w:t>
      </w:r>
      <w:r w:rsidR="000550E1">
        <w:t>t</w:t>
      </w:r>
      <w:r w:rsidRPr="000667FC">
        <w:t xml:space="preserve">he evidence we </w:t>
      </w:r>
      <w:r w:rsidRPr="00B65E46">
        <w:t xml:space="preserve">gathered </w:t>
      </w:r>
      <w:r w:rsidRPr="006A27BE">
        <w:t xml:space="preserve">showed that, whilst some antidepressants (namely, imipramine, venlafaxine, and duloxetine) were less well tolerated than placebo in the treatment of acute major depression, their tolerability was not statistically different from that of placebo in the treatment of anxiety disorders, ADHD, and PTSD. These findings could suggest a less good tolerability of antidepressants in young people with depression as compared to other disorders. However, this conclusion should be taken very cautiously, as the inclusion criteria for the </w:t>
      </w:r>
      <w:r w:rsidRPr="006A27BE">
        <w:lastRenderedPageBreak/>
        <w:t>participants, and hence their clinical characteristics that may impact on tolerability, varied across the included meta-analyses.</w:t>
      </w:r>
      <w:r w:rsidRPr="000667FC">
        <w:t xml:space="preserve"> </w:t>
      </w:r>
    </w:p>
    <w:p w14:paraId="1A8846D9" w14:textId="77777777" w:rsidR="001E5836" w:rsidRPr="000667FC" w:rsidRDefault="001E5836" w:rsidP="00354B0D">
      <w:pPr>
        <w:spacing w:line="480" w:lineRule="auto"/>
      </w:pPr>
    </w:p>
    <w:p w14:paraId="799AA4CB" w14:textId="65E5663C" w:rsidR="00B3536F" w:rsidRDefault="001E5836" w:rsidP="00354B0D">
      <w:pPr>
        <w:spacing w:line="480" w:lineRule="auto"/>
      </w:pPr>
      <w:r w:rsidRPr="00253C87">
        <w:t>Ou</w:t>
      </w:r>
      <w:r w:rsidR="000F5A59">
        <w:t>r</w:t>
      </w:r>
      <w:r w:rsidRPr="00253C87">
        <w:t xml:space="preserve"> meta-review also focused on </w:t>
      </w:r>
      <w:r w:rsidR="000550E1" w:rsidRPr="00253C87">
        <w:t xml:space="preserve">the risk of suicidal behavior and ideation, </w:t>
      </w:r>
      <w:r w:rsidRPr="00253C87">
        <w:t>a very relevant and controversial topic</w:t>
      </w:r>
      <w:r w:rsidR="00DC6248">
        <w:rPr>
          <w:rStyle w:val="EndnoteReference"/>
        </w:rPr>
        <w:endnoteReference w:id="39"/>
      </w:r>
      <w:r w:rsidRPr="00253C87">
        <w:t>.</w:t>
      </w:r>
      <w:r w:rsidRPr="0032335F">
        <w:t xml:space="preserve"> Whilst it is reassuring that no significant risk of complete</w:t>
      </w:r>
      <w:r w:rsidR="000F5A59">
        <w:t>d</w:t>
      </w:r>
      <w:r w:rsidRPr="0032335F">
        <w:t xml:space="preserve"> suicide emerged across the retained meta-analyses, we did find that at least some antidepressants, notably venlafaxine in children/adolescents with depression and paroxetine in those with anxiety disorders, were associated with a significantly increased risk of suicidal ideation/behaviors. However, we also found</w:t>
      </w:r>
      <w:r w:rsidRPr="000667FC">
        <w:t xml:space="preserve"> that sertraline was associated with a reduced risk in young people with anxiety. This raises the question as to whether the influential but controversial “black box warning</w:t>
      </w:r>
      <w:r>
        <w:t>”</w:t>
      </w:r>
      <w:r w:rsidRPr="000667FC">
        <w:t xml:space="preserve"> issued by many agencies, including the </w:t>
      </w:r>
      <w:r w:rsidRPr="006E13A3">
        <w:t>FDA and European Medicine Agency</w:t>
      </w:r>
      <w:r w:rsidRPr="000667FC">
        <w:t xml:space="preserve">, stating that antidepressants may increase the risk of suicidal behavior and thinking should be applied to all or to a selected number of antidepressants. </w:t>
      </w:r>
    </w:p>
    <w:p w14:paraId="7C59A522" w14:textId="77777777" w:rsidR="00B3536F" w:rsidRDefault="00B3536F" w:rsidP="00354B0D">
      <w:pPr>
        <w:spacing w:line="480" w:lineRule="auto"/>
      </w:pPr>
    </w:p>
    <w:p w14:paraId="7912A1F5" w14:textId="6AD21D2B" w:rsidR="001E5836" w:rsidRPr="00253C87" w:rsidRDefault="001E5836" w:rsidP="00354B0D">
      <w:pPr>
        <w:spacing w:line="480" w:lineRule="auto"/>
      </w:pPr>
      <w:r w:rsidRPr="000667FC">
        <w:t xml:space="preserve">In addition to the methodological issues in accurately estimating the prevalence and magnitude of the problem due to the fact that many trials (especially the older ones) only relied on spontaneous reports of suicidal behavior and/or ideation, we highlight here that, </w:t>
      </w:r>
      <w:r w:rsidRPr="000667FC">
        <w:rPr>
          <w:color w:val="000000"/>
          <w:shd w:val="clear" w:color="auto" w:fill="FFFFFF"/>
        </w:rPr>
        <w:t>since the warning, there has been a decline in the prescription of antidepressants in young people, alongside an increase in the rate of suicidal events among patients with severe depression</w:t>
      </w:r>
      <w:r w:rsidR="00DC6248" w:rsidRPr="009C48FB">
        <w:rPr>
          <w:color w:val="000000"/>
          <w:shd w:val="clear" w:color="auto" w:fill="FFFFFF"/>
          <w:vertAlign w:val="superscript"/>
        </w:rPr>
        <w:fldChar w:fldCharType="begin"/>
      </w:r>
      <w:r w:rsidR="00DC6248" w:rsidRPr="009C48FB">
        <w:rPr>
          <w:color w:val="000000"/>
          <w:shd w:val="clear" w:color="auto" w:fill="FFFFFF"/>
          <w:vertAlign w:val="superscript"/>
        </w:rPr>
        <w:instrText xml:space="preserve"> NOTEREF _Ref45750901 </w:instrText>
      </w:r>
      <w:r w:rsidR="00DC6248">
        <w:rPr>
          <w:color w:val="000000"/>
          <w:shd w:val="clear" w:color="auto" w:fill="FFFFFF"/>
          <w:vertAlign w:val="superscript"/>
        </w:rPr>
        <w:instrText xml:space="preserve"> \* MERGEFORMAT </w:instrText>
      </w:r>
      <w:r w:rsidR="00DC6248" w:rsidRPr="009C48FB">
        <w:rPr>
          <w:color w:val="000000"/>
          <w:shd w:val="clear" w:color="auto" w:fill="FFFFFF"/>
          <w:vertAlign w:val="superscript"/>
        </w:rPr>
        <w:fldChar w:fldCharType="separate"/>
      </w:r>
      <w:r w:rsidR="00202932">
        <w:rPr>
          <w:color w:val="000000"/>
          <w:shd w:val="clear" w:color="auto" w:fill="FFFFFF"/>
          <w:vertAlign w:val="superscript"/>
        </w:rPr>
        <w:t>4</w:t>
      </w:r>
      <w:r w:rsidR="00DC6248" w:rsidRPr="009C48FB">
        <w:rPr>
          <w:color w:val="000000"/>
          <w:shd w:val="clear" w:color="auto" w:fill="FFFFFF"/>
          <w:vertAlign w:val="superscript"/>
        </w:rPr>
        <w:fldChar w:fldCharType="end"/>
      </w:r>
      <w:r w:rsidRPr="000667FC">
        <w:rPr>
          <w:color w:val="000000"/>
          <w:shd w:val="clear" w:color="auto" w:fill="FFFFFF"/>
        </w:rPr>
        <w:t>.</w:t>
      </w:r>
      <w:r w:rsidR="00253C87">
        <w:rPr>
          <w:color w:val="000000"/>
          <w:shd w:val="clear" w:color="auto" w:fill="FFFFFF"/>
        </w:rPr>
        <w:t xml:space="preserve"> </w:t>
      </w:r>
      <w:r w:rsidR="00DF681A">
        <w:rPr>
          <w:color w:val="000000"/>
          <w:shd w:val="clear" w:color="auto" w:fill="FFFFFF"/>
        </w:rPr>
        <w:t xml:space="preserve">These findings have been criticized by other researchers, which reported data from </w:t>
      </w:r>
      <w:r w:rsidR="00DF681A" w:rsidRPr="00DF681A">
        <w:rPr>
          <w:color w:val="000000"/>
          <w:shd w:val="clear" w:color="auto" w:fill="FFFFFF"/>
        </w:rPr>
        <w:t xml:space="preserve">case-control studies </w:t>
      </w:r>
      <w:r w:rsidR="00DF681A">
        <w:rPr>
          <w:color w:val="000000"/>
          <w:shd w:val="clear" w:color="auto" w:fill="FFFFFF"/>
        </w:rPr>
        <w:t xml:space="preserve">that </w:t>
      </w:r>
      <w:r w:rsidR="00DF681A" w:rsidRPr="00DF681A">
        <w:rPr>
          <w:color w:val="000000"/>
          <w:shd w:val="clear" w:color="auto" w:fill="FFFFFF"/>
        </w:rPr>
        <w:t>show</w:t>
      </w:r>
      <w:r w:rsidR="00DF681A">
        <w:rPr>
          <w:color w:val="000000"/>
          <w:shd w:val="clear" w:color="auto" w:fill="FFFFFF"/>
        </w:rPr>
        <w:t>ed</w:t>
      </w:r>
      <w:r w:rsidR="00DF681A" w:rsidRPr="00DF681A">
        <w:rPr>
          <w:color w:val="000000"/>
          <w:shd w:val="clear" w:color="auto" w:fill="FFFFFF"/>
        </w:rPr>
        <w:t xml:space="preserve"> increased risk of suicide attempts and suicide among youth taking antidepressants, even after controlling for some relevant confound</w:t>
      </w:r>
      <w:r w:rsidR="00DF681A">
        <w:rPr>
          <w:color w:val="000000"/>
          <w:shd w:val="clear" w:color="auto" w:fill="FFFFFF"/>
        </w:rPr>
        <w:t>er</w:t>
      </w:r>
      <w:r w:rsidR="00DF681A" w:rsidRPr="00DF681A">
        <w:rPr>
          <w:color w:val="000000"/>
          <w:shd w:val="clear" w:color="auto" w:fill="FFFFFF"/>
        </w:rPr>
        <w:t>s</w:t>
      </w:r>
      <w:r w:rsidR="00DC6248">
        <w:rPr>
          <w:rStyle w:val="EndnoteReference"/>
          <w:color w:val="000000"/>
          <w:shd w:val="clear" w:color="auto" w:fill="FFFFFF"/>
        </w:rPr>
        <w:endnoteReference w:id="40"/>
      </w:r>
      <w:r w:rsidR="00DF681A" w:rsidRPr="00DF681A">
        <w:rPr>
          <w:color w:val="000000"/>
          <w:shd w:val="clear" w:color="auto" w:fill="FFFFFF"/>
        </w:rPr>
        <w:t>.</w:t>
      </w:r>
      <w:r w:rsidR="00DF681A">
        <w:rPr>
          <w:color w:val="000000"/>
          <w:shd w:val="clear" w:color="auto" w:fill="FFFFFF"/>
        </w:rPr>
        <w:t xml:space="preserve"> </w:t>
      </w:r>
      <w:r w:rsidR="00253C87" w:rsidRPr="00253C87">
        <w:rPr>
          <w:color w:val="000000"/>
          <w:shd w:val="clear" w:color="auto" w:fill="FFFFFF"/>
        </w:rPr>
        <w:t>For clinical practice, one consistent finding from these reviews is that prediction of suicide is difficult and associated with uncertainty. It is important that this is acknowledged by clinicians and services, and discussed openly with patients</w:t>
      </w:r>
      <w:r w:rsidR="00253C87">
        <w:rPr>
          <w:color w:val="000000"/>
          <w:shd w:val="clear" w:color="auto" w:fill="FFFFFF"/>
        </w:rPr>
        <w:t>, parents</w:t>
      </w:r>
      <w:r w:rsidR="00253C87" w:rsidRPr="00253C87">
        <w:rPr>
          <w:color w:val="000000"/>
          <w:shd w:val="clear" w:color="auto" w:fill="FFFFFF"/>
        </w:rPr>
        <w:t xml:space="preserve"> and carers.</w:t>
      </w:r>
      <w:r w:rsidR="00253C87">
        <w:rPr>
          <w:color w:val="000000"/>
          <w:shd w:val="clear" w:color="auto" w:fill="FFFFFF"/>
        </w:rPr>
        <w:t xml:space="preserve"> </w:t>
      </w:r>
      <w:r w:rsidR="00253C87" w:rsidRPr="00253C87">
        <w:rPr>
          <w:color w:val="000000"/>
          <w:shd w:val="clear" w:color="auto" w:fill="FFFFFF"/>
        </w:rPr>
        <w:t>Whether prediction models and risk assessment tools can be applied to suicide prevention remains an open question.</w:t>
      </w:r>
      <w:r w:rsidR="00253C87">
        <w:rPr>
          <w:color w:val="000000"/>
          <w:shd w:val="clear" w:color="auto" w:fill="FFFFFF"/>
        </w:rPr>
        <w:t xml:space="preserve"> </w:t>
      </w:r>
      <w:r w:rsidR="00253C87">
        <w:rPr>
          <w:color w:val="000000"/>
          <w:shd w:val="clear" w:color="auto" w:fill="FFFFFF"/>
        </w:rPr>
        <w:lastRenderedPageBreak/>
        <w:t>F</w:t>
      </w:r>
      <w:r w:rsidR="00253C87" w:rsidRPr="00253C87">
        <w:rPr>
          <w:color w:val="000000"/>
          <w:shd w:val="clear" w:color="auto" w:fill="FFFFFF"/>
        </w:rPr>
        <w:t>uture work needs to move towards real-world clinical evaluations that examine the incremental benefits of using these tools to support clinical decision-</w:t>
      </w:r>
      <w:r w:rsidR="00253C87" w:rsidRPr="006E13A3">
        <w:rPr>
          <w:color w:val="000000"/>
          <w:shd w:val="clear" w:color="auto" w:fill="FFFFFF"/>
        </w:rPr>
        <w:t>making</w:t>
      </w:r>
      <w:r w:rsidR="00675058" w:rsidRPr="006E13A3">
        <w:rPr>
          <w:rStyle w:val="EndnoteReference"/>
          <w:color w:val="000000"/>
          <w:shd w:val="clear" w:color="auto" w:fill="FFFFFF"/>
        </w:rPr>
        <w:endnoteReference w:id="41"/>
      </w:r>
      <w:r w:rsidR="00253C87" w:rsidRPr="006E13A3">
        <w:rPr>
          <w:color w:val="000000"/>
          <w:shd w:val="clear" w:color="auto" w:fill="FFFFFF"/>
        </w:rPr>
        <w:t>.</w:t>
      </w:r>
    </w:p>
    <w:p w14:paraId="5ADC3DDF" w14:textId="77777777" w:rsidR="001E5836" w:rsidRPr="000667FC" w:rsidRDefault="001E5836" w:rsidP="00354B0D">
      <w:pPr>
        <w:shd w:val="clear" w:color="auto" w:fill="FFFFFF"/>
        <w:spacing w:line="480" w:lineRule="auto"/>
      </w:pPr>
      <w:r w:rsidRPr="000667FC">
        <w:t xml:space="preserve"> </w:t>
      </w:r>
    </w:p>
    <w:p w14:paraId="4A224206" w14:textId="53199391" w:rsidR="00B3536F" w:rsidRDefault="001E5836" w:rsidP="00354B0D">
      <w:pPr>
        <w:shd w:val="clear" w:color="auto" w:fill="FFFFFF"/>
        <w:spacing w:line="480" w:lineRule="auto"/>
      </w:pPr>
      <w:r w:rsidRPr="000667FC">
        <w:t xml:space="preserve">In addition to the strengths of this meta-review, which was based on a comprehensive search of the literature and an assessment of the quality of the systematic reviews/meta-analyses, a number of limitations should be noted. </w:t>
      </w:r>
      <w:r w:rsidR="00E9038D">
        <w:t>First, w</w:t>
      </w:r>
      <w:r w:rsidRPr="000667FC">
        <w:t>e did not include all available systematic reviews and meta-analyses; rather, we retained only the most comprehensive/recent, so we may have missed some relevant data.</w:t>
      </w:r>
      <w:r w:rsidR="00F17F79">
        <w:t xml:space="preserve"> It is worth noting</w:t>
      </w:r>
      <w:r w:rsidRPr="000667FC">
        <w:t xml:space="preserve"> that the latest guidance from the Cochrane handbook does not indicate a specific way to select systematic reviews/meta-analyses to be included in meta-reviews; rather, it offers a number of options, including our approach</w:t>
      </w:r>
      <w:r w:rsidR="00675058">
        <w:rPr>
          <w:rStyle w:val="EndnoteReference"/>
        </w:rPr>
        <w:endnoteReference w:id="42"/>
      </w:r>
      <w:r w:rsidRPr="000667FC">
        <w:t>.</w:t>
      </w:r>
      <w:r>
        <w:t xml:space="preserve"> </w:t>
      </w:r>
    </w:p>
    <w:p w14:paraId="58FA6DC5" w14:textId="77777777" w:rsidR="00B3536F" w:rsidRDefault="00B3536F" w:rsidP="00354B0D">
      <w:pPr>
        <w:shd w:val="clear" w:color="auto" w:fill="FFFFFF"/>
        <w:spacing w:line="480" w:lineRule="auto"/>
      </w:pPr>
    </w:p>
    <w:p w14:paraId="4D4B0762" w14:textId="173F0C9A" w:rsidR="001E5836" w:rsidRDefault="001E5836" w:rsidP="00354B0D">
      <w:pPr>
        <w:shd w:val="clear" w:color="auto" w:fill="FFFFFF"/>
        <w:spacing w:line="480" w:lineRule="auto"/>
      </w:pPr>
      <w:r w:rsidRPr="006A27BE">
        <w:t>It is also possible that the retained meta-analyses did not include RCTs that would provide relevant information for the present meta-review, owing to the specific inclusion criteria of each meta-analysis. However, checking the references of the included systematic reviews/meta-analyses, we found only two small studies (60 patients in total) that would not change the results materially</w:t>
      </w:r>
      <w:r>
        <w:t xml:space="preserve"> (see Results section for details about these trials)</w:t>
      </w:r>
      <w:r w:rsidRPr="006A27BE">
        <w:t>.</w:t>
      </w:r>
      <w:r w:rsidR="00E9038D">
        <w:t xml:space="preserve"> </w:t>
      </w:r>
      <w:r w:rsidR="00107F90">
        <w:t>We also restricted the search to limited number of antidepressants</w:t>
      </w:r>
      <w:r w:rsidR="000173F8">
        <w:t xml:space="preserve"> (see Method section for our protocol)</w:t>
      </w:r>
      <w:r w:rsidR="00E9038D">
        <w:t xml:space="preserve"> and to articles in English only</w:t>
      </w:r>
      <w:r w:rsidR="000173F8">
        <w:t xml:space="preserve">. It is likely that other </w:t>
      </w:r>
      <w:r w:rsidR="002D01E4">
        <w:t xml:space="preserve">pharmacological interventions </w:t>
      </w:r>
      <w:r w:rsidR="000173F8">
        <w:t xml:space="preserve">are </w:t>
      </w:r>
      <w:r w:rsidR="0054670F">
        <w:t xml:space="preserve">also </w:t>
      </w:r>
      <w:r w:rsidR="000173F8">
        <w:t>used for the disorders under investigation in this article, however we decided to focus on the antidepressants</w:t>
      </w:r>
      <w:r w:rsidR="00107F90">
        <w:t xml:space="preserve"> which are </w:t>
      </w:r>
      <w:r w:rsidR="000173F8">
        <w:t>more frequently</w:t>
      </w:r>
      <w:r w:rsidR="00107F90">
        <w:t xml:space="preserve"> prescribed in real world practice</w:t>
      </w:r>
      <w:r w:rsidR="003A2A92">
        <w:rPr>
          <w:rStyle w:val="EndnoteReference"/>
        </w:rPr>
        <w:endnoteReference w:id="43"/>
      </w:r>
      <w:r w:rsidR="000173F8">
        <w:t>.</w:t>
      </w:r>
    </w:p>
    <w:p w14:paraId="526712CB" w14:textId="77777777" w:rsidR="001E5836" w:rsidRDefault="001E5836" w:rsidP="00354B0D">
      <w:pPr>
        <w:shd w:val="clear" w:color="auto" w:fill="FFFFFF"/>
        <w:spacing w:line="480" w:lineRule="auto"/>
      </w:pPr>
    </w:p>
    <w:p w14:paraId="2D4306DB" w14:textId="3C90C818" w:rsidR="00B3536F" w:rsidRDefault="00E9038D" w:rsidP="00354B0D">
      <w:pPr>
        <w:shd w:val="clear" w:color="auto" w:fill="FFFFFF"/>
        <w:spacing w:line="480" w:lineRule="auto"/>
        <w:rPr>
          <w:color w:val="000000"/>
        </w:rPr>
      </w:pPr>
      <w:r>
        <w:t>Second</w:t>
      </w:r>
      <w:r w:rsidR="001E5836" w:rsidRPr="000667FC">
        <w:t>, the systematic reviews/meta-analyses were focused on RCTs only, which have well-known limitations in terms of duration (the length of the trials included in our meta-review ranged from two to 16 weeks)</w:t>
      </w:r>
      <w:r w:rsidR="00FE4F5D">
        <w:t>, reporting of adverse events</w:t>
      </w:r>
      <w:r w:rsidR="001E5836" w:rsidRPr="000667FC">
        <w:t xml:space="preserve"> and selection of participants, which limits their external validity</w:t>
      </w:r>
      <w:r w:rsidR="00FE4F5D">
        <w:t xml:space="preserve"> in terms of efficacy and tolerability</w:t>
      </w:r>
      <w:r w:rsidR="001E5836" w:rsidRPr="000667FC">
        <w:t xml:space="preserve">. </w:t>
      </w:r>
      <w:r w:rsidR="008F721C">
        <w:rPr>
          <w:color w:val="000000" w:themeColor="text1"/>
        </w:rPr>
        <w:t xml:space="preserve">Even if we </w:t>
      </w:r>
      <w:r w:rsidR="008F721C" w:rsidRPr="00461E79">
        <w:rPr>
          <w:color w:val="000000" w:themeColor="text1"/>
        </w:rPr>
        <w:t>searched for unpublished data</w:t>
      </w:r>
      <w:r w:rsidR="008F721C">
        <w:rPr>
          <w:color w:val="000000" w:themeColor="text1"/>
        </w:rPr>
        <w:t xml:space="preserve">, it is known </w:t>
      </w:r>
      <w:r w:rsidR="008F721C">
        <w:rPr>
          <w:color w:val="000000" w:themeColor="text1"/>
        </w:rPr>
        <w:lastRenderedPageBreak/>
        <w:t>that</w:t>
      </w:r>
      <w:r w:rsidR="008F721C" w:rsidRPr="00461E79">
        <w:rPr>
          <w:color w:val="000000" w:themeColor="text1"/>
        </w:rPr>
        <w:t xml:space="preserve"> the published literature is also biased substantially as a result of selective outcome reporting</w:t>
      </w:r>
      <w:r w:rsidR="003A2A92">
        <w:rPr>
          <w:rStyle w:val="EndnoteReference"/>
          <w:color w:val="000000" w:themeColor="text1"/>
        </w:rPr>
        <w:endnoteReference w:id="44"/>
      </w:r>
      <w:r w:rsidR="00FE4F5D">
        <w:rPr>
          <w:color w:val="000000" w:themeColor="text1"/>
        </w:rPr>
        <w:t xml:space="preserve">, </w:t>
      </w:r>
      <w:r w:rsidR="00D469DF">
        <w:rPr>
          <w:color w:val="000000" w:themeColor="text1"/>
        </w:rPr>
        <w:t xml:space="preserve">not </w:t>
      </w:r>
      <w:r w:rsidR="00D469DF" w:rsidRPr="00D469DF">
        <w:rPr>
          <w:color w:val="000000" w:themeColor="text1"/>
        </w:rPr>
        <w:t xml:space="preserve">only </w:t>
      </w:r>
      <w:r w:rsidR="00D469DF">
        <w:rPr>
          <w:color w:val="000000" w:themeColor="text1"/>
        </w:rPr>
        <w:t xml:space="preserve">in terms of overestimated </w:t>
      </w:r>
      <w:r w:rsidR="00D469DF" w:rsidRPr="00D469DF">
        <w:rPr>
          <w:color w:val="000000" w:themeColor="text1"/>
        </w:rPr>
        <w:t xml:space="preserve">efficacy but also </w:t>
      </w:r>
      <w:r w:rsidR="00D469DF">
        <w:rPr>
          <w:color w:val="000000" w:themeColor="text1"/>
        </w:rPr>
        <w:t>underestimated effects</w:t>
      </w:r>
      <w:r w:rsidR="00D469DF" w:rsidRPr="00D469DF">
        <w:rPr>
          <w:color w:val="000000" w:themeColor="text1"/>
        </w:rPr>
        <w:t xml:space="preserve"> </w:t>
      </w:r>
      <w:r w:rsidR="00D469DF">
        <w:rPr>
          <w:color w:val="000000" w:themeColor="text1"/>
        </w:rPr>
        <w:t>of serious adverse events and harms</w:t>
      </w:r>
      <w:r w:rsidR="00FE4F5D" w:rsidRPr="00FE4F5D">
        <w:rPr>
          <w:color w:val="000000" w:themeColor="text1"/>
        </w:rPr>
        <w:t xml:space="preserve">, </w:t>
      </w:r>
      <w:r w:rsidR="00FE4F5D">
        <w:rPr>
          <w:color w:val="000000" w:themeColor="text1"/>
        </w:rPr>
        <w:t>such as</w:t>
      </w:r>
      <w:r w:rsidR="00FE4F5D" w:rsidRPr="00FE4F5D">
        <w:rPr>
          <w:color w:val="000000" w:themeColor="text1"/>
        </w:rPr>
        <w:t xml:space="preserve"> suicidal ideation and behaviour</w:t>
      </w:r>
      <w:r w:rsidR="003A2A92">
        <w:rPr>
          <w:rStyle w:val="EndnoteReference"/>
          <w:color w:val="000000" w:themeColor="text1"/>
        </w:rPr>
        <w:endnoteReference w:id="45"/>
      </w:r>
      <w:r w:rsidR="008F721C">
        <w:rPr>
          <w:color w:val="000000"/>
        </w:rPr>
        <w:t xml:space="preserve">. </w:t>
      </w:r>
    </w:p>
    <w:p w14:paraId="3351D6C4" w14:textId="77777777" w:rsidR="00B3536F" w:rsidRDefault="00B3536F" w:rsidP="00354B0D">
      <w:pPr>
        <w:shd w:val="clear" w:color="auto" w:fill="FFFFFF"/>
        <w:spacing w:line="480" w:lineRule="auto"/>
        <w:rPr>
          <w:color w:val="000000"/>
        </w:rPr>
      </w:pPr>
    </w:p>
    <w:p w14:paraId="5748C791" w14:textId="5BB65507" w:rsidR="001E5836" w:rsidRDefault="008F721C" w:rsidP="00354B0D">
      <w:pPr>
        <w:shd w:val="clear" w:color="auto" w:fill="FFFFFF"/>
        <w:spacing w:line="480" w:lineRule="auto"/>
        <w:rPr>
          <w:color w:val="000000" w:themeColor="text1"/>
        </w:rPr>
      </w:pPr>
      <w:r>
        <w:rPr>
          <w:color w:val="000000"/>
        </w:rPr>
        <w:t>Results from our analysis should be taken with caution and</w:t>
      </w:r>
      <w:r w:rsidR="001E5836" w:rsidRPr="000667FC">
        <w:t xml:space="preserve"> our meta-review is not informative on the long-term effects of antidepressants in children. Whilst conducting RCTs in the long-term is challenging from a practical and ethical standpoint, the use of discontinuation trials</w:t>
      </w:r>
      <w:r w:rsidR="003A2A92">
        <w:rPr>
          <w:rStyle w:val="EndnoteReference"/>
        </w:rPr>
        <w:endnoteReference w:id="46"/>
      </w:r>
      <w:r w:rsidR="001E5836" w:rsidRPr="000667FC">
        <w:t xml:space="preserve">, which are still limited in the field, should be encouraged as they can provide evidence on the possible long-term </w:t>
      </w:r>
      <w:r w:rsidR="001E5836" w:rsidRPr="000667FC">
        <w:rPr>
          <w:color w:val="000000" w:themeColor="text1"/>
        </w:rPr>
        <w:t>persistence of effects. Also, we did not include information from observational studies that are more suitable to provide data on outcomes not routinely included in RCTs. However, while the challenge of the lack of randomization in observational trials has been, at least in part, addressed by the use of the so called within-individual design studies in some fields, e.g., ADHD</w:t>
      </w:r>
      <w:r w:rsidR="003A2A92">
        <w:rPr>
          <w:rStyle w:val="EndnoteReference"/>
          <w:color w:val="000000" w:themeColor="text1"/>
        </w:rPr>
        <w:endnoteReference w:id="47"/>
      </w:r>
      <w:r w:rsidR="001E5836" w:rsidRPr="000667FC">
        <w:rPr>
          <w:color w:val="000000" w:themeColor="text1"/>
        </w:rPr>
        <w:t xml:space="preserve">, the half-life of antidepressants makes the interpretation of within-individual design studies challenging. Moreover, studies retained in our meta-review excluded specific clinical populations, such as treatment patients resistant to previous antidepressants. Finally, it was </w:t>
      </w:r>
      <w:r w:rsidR="000F5A59">
        <w:rPr>
          <w:color w:val="000000" w:themeColor="text1"/>
        </w:rPr>
        <w:t>beyond</w:t>
      </w:r>
      <w:r w:rsidR="000F5A59" w:rsidRPr="000667FC">
        <w:rPr>
          <w:color w:val="000000" w:themeColor="text1"/>
        </w:rPr>
        <w:t xml:space="preserve"> </w:t>
      </w:r>
      <w:r w:rsidR="001E5836" w:rsidRPr="000667FC">
        <w:rPr>
          <w:color w:val="000000" w:themeColor="text1"/>
        </w:rPr>
        <w:t>the scope of our meta-review to provide evidence on how to sequence pharmacological and non-pharmacological treatment.</w:t>
      </w:r>
    </w:p>
    <w:p w14:paraId="70A79D16" w14:textId="77777777" w:rsidR="00B3536F" w:rsidRDefault="00B3536F" w:rsidP="00354B0D">
      <w:pPr>
        <w:shd w:val="clear" w:color="auto" w:fill="FFFFFF"/>
        <w:spacing w:line="480" w:lineRule="auto"/>
        <w:rPr>
          <w:color w:val="000000" w:themeColor="text1"/>
        </w:rPr>
      </w:pPr>
    </w:p>
    <w:p w14:paraId="131343B9" w14:textId="6885D0C9" w:rsidR="00E9038D" w:rsidRDefault="00E9038D" w:rsidP="00354B0D">
      <w:pPr>
        <w:shd w:val="clear" w:color="auto" w:fill="FFFFFF"/>
        <w:spacing w:line="480" w:lineRule="auto"/>
      </w:pPr>
      <w:r>
        <w:rPr>
          <w:color w:val="000000" w:themeColor="text1"/>
        </w:rPr>
        <w:t xml:space="preserve">Third, </w:t>
      </w:r>
      <w:r>
        <w:t>our meta-review</w:t>
      </w:r>
      <w:r w:rsidRPr="000667FC">
        <w:t xml:space="preserve"> does not allow </w:t>
      </w:r>
      <w:r>
        <w:t>for the comparison of</w:t>
      </w:r>
      <w:r w:rsidRPr="000667FC">
        <w:t xml:space="preserve"> the efficacy and tolerability of antidepressants across a number of disorders. Therefore, based on our finding</w:t>
      </w:r>
      <w:r w:rsidR="000F5A59">
        <w:t>s</w:t>
      </w:r>
      <w:r w:rsidRPr="000667FC">
        <w:t xml:space="preserve"> it would be misleading to conclude that, for instance, venlafaxine is associated with increased risk of suicidal behavior/ideation in major depression but not in anxiety disorder, as data for major depression and anxiety, respectively, </w:t>
      </w:r>
      <w:r>
        <w:t xml:space="preserve">were </w:t>
      </w:r>
      <w:r w:rsidRPr="000667FC">
        <w:t>derived from two different network meta-analyses with different inclusion/exclusion criteria.</w:t>
      </w:r>
    </w:p>
    <w:p w14:paraId="4EA19C17" w14:textId="77777777" w:rsidR="00B3536F" w:rsidRDefault="00B3536F" w:rsidP="00354B0D">
      <w:pPr>
        <w:shd w:val="clear" w:color="auto" w:fill="FFFFFF"/>
        <w:spacing w:line="480" w:lineRule="auto"/>
      </w:pPr>
    </w:p>
    <w:p w14:paraId="0D61F0B2" w14:textId="0C212AA7" w:rsidR="0045710E" w:rsidRPr="007B7991" w:rsidRDefault="0045710E" w:rsidP="00354B0D">
      <w:pPr>
        <w:shd w:val="clear" w:color="auto" w:fill="FFFFFF"/>
        <w:spacing w:line="480" w:lineRule="auto"/>
      </w:pPr>
      <w:r>
        <w:lastRenderedPageBreak/>
        <w:t xml:space="preserve">Fourth, </w:t>
      </w:r>
      <w:r w:rsidR="002D71E4">
        <w:t xml:space="preserve">as per review protocol, </w:t>
      </w:r>
      <w:r>
        <w:t xml:space="preserve">we </w:t>
      </w:r>
      <w:r w:rsidRPr="007F6681">
        <w:t>limit</w:t>
      </w:r>
      <w:r>
        <w:t>ed</w:t>
      </w:r>
      <w:r w:rsidRPr="007F6681">
        <w:t xml:space="preserve"> the analysis of adverse events to those that resulted in discontinuation</w:t>
      </w:r>
      <w:r w:rsidR="003F3B6B">
        <w:t>.</w:t>
      </w:r>
      <w:r>
        <w:t xml:space="preserve"> </w:t>
      </w:r>
      <w:r w:rsidR="002D71E4">
        <w:t>T</w:t>
      </w:r>
      <w:r w:rsidR="003F3B6B">
        <w:t xml:space="preserve">he number of people dropping out from treatment because of side effects </w:t>
      </w:r>
      <w:r w:rsidR="002D71E4">
        <w:t>can be considered</w:t>
      </w:r>
      <w:r w:rsidR="003F3B6B">
        <w:t xml:space="preserve"> a </w:t>
      </w:r>
      <w:r w:rsidR="002D71E4">
        <w:t xml:space="preserve">pragmatic </w:t>
      </w:r>
      <w:r w:rsidR="003F3B6B">
        <w:t>measure of severity of symptoms</w:t>
      </w:r>
      <w:r w:rsidR="002D71E4">
        <w:t>,</w:t>
      </w:r>
      <w:r w:rsidR="003F3B6B">
        <w:t xml:space="preserve"> </w:t>
      </w:r>
      <w:r w:rsidR="002D71E4">
        <w:t>h</w:t>
      </w:r>
      <w:r>
        <w:t>owever</w:t>
      </w:r>
      <w:r w:rsidR="003F3B6B">
        <w:t>,</w:t>
      </w:r>
      <w:r>
        <w:t xml:space="preserve"> this information contributes only to part of the full </w:t>
      </w:r>
      <w:r w:rsidR="003F3B6B">
        <w:t xml:space="preserve">clinical </w:t>
      </w:r>
      <w:r>
        <w:t>picture</w:t>
      </w:r>
      <w:r w:rsidR="002D71E4">
        <w:t xml:space="preserve">. </w:t>
      </w:r>
      <w:r w:rsidR="002D71E4" w:rsidRPr="002D71E4">
        <w:t>A</w:t>
      </w:r>
      <w:r w:rsidR="002D71E4" w:rsidRPr="007F6681">
        <w:t xml:space="preserve">dverse events reduce quality of life and therefore </w:t>
      </w:r>
      <w:r w:rsidR="002D71E4" w:rsidRPr="002D71E4">
        <w:t xml:space="preserve">may </w:t>
      </w:r>
      <w:r w:rsidR="002D71E4" w:rsidRPr="007F6681">
        <w:t>reduce the benefits of antidepressants, despite not resulting in discontinuation</w:t>
      </w:r>
      <w:r w:rsidR="002D71E4" w:rsidRPr="002D71E4">
        <w:t xml:space="preserve">. </w:t>
      </w:r>
      <w:r w:rsidR="002D71E4">
        <w:t xml:space="preserve">Moreover, </w:t>
      </w:r>
      <w:r>
        <w:t>specific adverse events</w:t>
      </w:r>
      <w:r w:rsidR="003F3B6B">
        <w:t xml:space="preserve"> - no matter how severe they are -</w:t>
      </w:r>
      <w:r>
        <w:t xml:space="preserve"> are important for patients and for the </w:t>
      </w:r>
      <w:r w:rsidR="003F3B6B">
        <w:t xml:space="preserve">shared </w:t>
      </w:r>
      <w:r w:rsidR="00B3536F">
        <w:t>decision-making</w:t>
      </w:r>
      <w:r>
        <w:t xml:space="preserve"> process</w:t>
      </w:r>
      <w:r w:rsidR="003A2A92">
        <w:rPr>
          <w:rStyle w:val="EndnoteReference"/>
        </w:rPr>
        <w:endnoteReference w:id="48"/>
      </w:r>
      <w:r>
        <w:t xml:space="preserve">.  </w:t>
      </w:r>
      <w:r w:rsidRPr="0045710E">
        <w:rPr>
          <w:color w:val="000000" w:themeColor="text1"/>
        </w:rPr>
        <w:t xml:space="preserve">Tolerability, withdrawal effects and dependence on </w:t>
      </w:r>
      <w:r>
        <w:rPr>
          <w:color w:val="000000" w:themeColor="text1"/>
        </w:rPr>
        <w:t>antidepressants</w:t>
      </w:r>
      <w:r w:rsidRPr="0045710E">
        <w:rPr>
          <w:color w:val="000000" w:themeColor="text1"/>
        </w:rPr>
        <w:t xml:space="preserve"> is a</w:t>
      </w:r>
      <w:r>
        <w:rPr>
          <w:color w:val="000000" w:themeColor="text1"/>
        </w:rPr>
        <w:t>lso</w:t>
      </w:r>
      <w:r w:rsidRPr="0045710E">
        <w:rPr>
          <w:color w:val="000000" w:themeColor="text1"/>
        </w:rPr>
        <w:t xml:space="preserve"> topic</w:t>
      </w:r>
      <w:r>
        <w:rPr>
          <w:color w:val="000000" w:themeColor="text1"/>
        </w:rPr>
        <w:t xml:space="preserve">al in the </w:t>
      </w:r>
      <w:r w:rsidRPr="0045710E">
        <w:rPr>
          <w:color w:val="000000" w:themeColor="text1"/>
        </w:rPr>
        <w:t>current scientific debate, as highlighted by the recent report published on September 2019 by Public Health England</w:t>
      </w:r>
      <w:r w:rsidR="003A2A92">
        <w:rPr>
          <w:rStyle w:val="EndnoteReference"/>
          <w:color w:val="000000" w:themeColor="text1"/>
        </w:rPr>
        <w:endnoteReference w:id="49"/>
      </w:r>
      <w:r w:rsidR="003F3B6B">
        <w:rPr>
          <w:color w:val="000000" w:themeColor="text1"/>
        </w:rPr>
        <w:t xml:space="preserve">. </w:t>
      </w:r>
      <w:r w:rsidR="00A50DD9" w:rsidRPr="007B7991">
        <w:rPr>
          <w:color w:val="000000" w:themeColor="text1"/>
        </w:rPr>
        <w:t>We aim to cover this issue in future evidence synthesis projects</w:t>
      </w:r>
      <w:r w:rsidR="003F3B6B" w:rsidRPr="00A50DD9">
        <w:rPr>
          <w:color w:val="000000" w:themeColor="text1"/>
        </w:rPr>
        <w:t>.</w:t>
      </w:r>
    </w:p>
    <w:p w14:paraId="1E1CED01" w14:textId="77777777" w:rsidR="001E5836" w:rsidRPr="000667FC" w:rsidRDefault="001E5836" w:rsidP="00354B0D">
      <w:pPr>
        <w:shd w:val="clear" w:color="auto" w:fill="FFFFFF"/>
        <w:spacing w:line="480" w:lineRule="auto"/>
        <w:rPr>
          <w:color w:val="000000" w:themeColor="text1"/>
        </w:rPr>
      </w:pPr>
    </w:p>
    <w:p w14:paraId="7222AF1C" w14:textId="61076ACB" w:rsidR="006A47F6" w:rsidRPr="00E81D90" w:rsidRDefault="00F17F79" w:rsidP="00354B0D">
      <w:pPr>
        <w:shd w:val="clear" w:color="auto" w:fill="FFFFFF"/>
        <w:spacing w:line="480" w:lineRule="auto"/>
        <w:rPr>
          <w:color w:val="000000" w:themeColor="text1"/>
        </w:rPr>
      </w:pPr>
      <w:r>
        <w:rPr>
          <w:color w:val="000000" w:themeColor="text1"/>
        </w:rPr>
        <w:t>In conclusion</w:t>
      </w:r>
      <w:r w:rsidR="001E5836" w:rsidRPr="00E81D90">
        <w:rPr>
          <w:color w:val="000000" w:themeColor="text1"/>
        </w:rPr>
        <w:t xml:space="preserve">, </w:t>
      </w:r>
      <w:r>
        <w:rPr>
          <w:color w:val="000000" w:themeColor="text1"/>
        </w:rPr>
        <w:t>t</w:t>
      </w:r>
      <w:r w:rsidRPr="00E81D90">
        <w:rPr>
          <w:color w:val="000000" w:themeColor="text1"/>
        </w:rPr>
        <w:t xml:space="preserve">he results from </w:t>
      </w:r>
      <w:r w:rsidR="00D82D52">
        <w:rPr>
          <w:color w:val="000000" w:themeColor="text1"/>
        </w:rPr>
        <w:t xml:space="preserve">our </w:t>
      </w:r>
      <w:r w:rsidRPr="00E81D90">
        <w:rPr>
          <w:color w:val="000000" w:themeColor="text1"/>
        </w:rPr>
        <w:t>analys</w:t>
      </w:r>
      <w:r w:rsidR="00D82D52">
        <w:rPr>
          <w:color w:val="000000" w:themeColor="text1"/>
        </w:rPr>
        <w:t>i</w:t>
      </w:r>
      <w:r w:rsidRPr="00E81D90">
        <w:rPr>
          <w:color w:val="000000" w:themeColor="text1"/>
        </w:rPr>
        <w:t>s of aggregate data should be contextualized, incorporating patient’s values and preferences</w:t>
      </w:r>
      <w:r w:rsidR="003A2A92">
        <w:rPr>
          <w:rStyle w:val="EndnoteReference"/>
          <w:color w:val="000000" w:themeColor="text1"/>
        </w:rPr>
        <w:endnoteReference w:id="50"/>
      </w:r>
      <w:r w:rsidRPr="00E81D90">
        <w:rPr>
          <w:color w:val="000000" w:themeColor="text1"/>
        </w:rPr>
        <w:t>. Treatment decisions should be tailored to patients on an individual basis</w:t>
      </w:r>
      <w:r>
        <w:rPr>
          <w:color w:val="000000" w:themeColor="text1"/>
        </w:rPr>
        <w:t xml:space="preserve">, so </w:t>
      </w:r>
      <w:r w:rsidR="001E5836" w:rsidRPr="00E81D90">
        <w:rPr>
          <w:color w:val="000000" w:themeColor="text1"/>
        </w:rPr>
        <w:t xml:space="preserve">we </w:t>
      </w:r>
      <w:r>
        <w:rPr>
          <w:color w:val="000000" w:themeColor="text1"/>
        </w:rPr>
        <w:t>recommend</w:t>
      </w:r>
      <w:r w:rsidR="001E5836" w:rsidRPr="00E81D90">
        <w:rPr>
          <w:color w:val="000000" w:themeColor="text1"/>
        </w:rPr>
        <w:t xml:space="preserve"> </w:t>
      </w:r>
      <w:r>
        <w:rPr>
          <w:color w:val="000000" w:themeColor="text1"/>
        </w:rPr>
        <w:t xml:space="preserve">clinicians, patients and policy makers to </w:t>
      </w:r>
      <w:r w:rsidR="001E5836" w:rsidRPr="00E81D90">
        <w:rPr>
          <w:color w:val="000000" w:themeColor="text1"/>
        </w:rPr>
        <w:t xml:space="preserve">refer to the evidence provided in the present meta-review </w:t>
      </w:r>
      <w:r w:rsidR="00D82D52">
        <w:rPr>
          <w:color w:val="000000" w:themeColor="text1"/>
        </w:rPr>
        <w:t>and make decisions about</w:t>
      </w:r>
      <w:r w:rsidR="001E5836" w:rsidRPr="00E81D90">
        <w:rPr>
          <w:color w:val="000000" w:themeColor="text1"/>
        </w:rPr>
        <w:t xml:space="preserve"> the use of antidepressants in children and adolescents</w:t>
      </w:r>
      <w:r w:rsidR="00D82D52">
        <w:rPr>
          <w:color w:val="000000" w:themeColor="text1"/>
        </w:rPr>
        <w:t xml:space="preserve"> </w:t>
      </w:r>
      <w:proofErr w:type="gramStart"/>
      <w:r w:rsidR="00D82D52" w:rsidRPr="00E81D90">
        <w:rPr>
          <w:color w:val="000000" w:themeColor="text1"/>
        </w:rPr>
        <w:t>taking into account</w:t>
      </w:r>
      <w:proofErr w:type="gramEnd"/>
      <w:r w:rsidR="00D82D52" w:rsidRPr="00E81D90">
        <w:rPr>
          <w:color w:val="000000" w:themeColor="text1"/>
        </w:rPr>
        <w:t xml:space="preserve"> a number of clinical </w:t>
      </w:r>
      <w:r w:rsidR="00D82D52">
        <w:rPr>
          <w:color w:val="000000" w:themeColor="text1"/>
        </w:rPr>
        <w:t xml:space="preserve">and personal </w:t>
      </w:r>
      <w:r w:rsidR="00D82D52" w:rsidRPr="00E81D90">
        <w:rPr>
          <w:color w:val="000000" w:themeColor="text1"/>
        </w:rPr>
        <w:t>variables</w:t>
      </w:r>
      <w:r w:rsidR="003A2A92">
        <w:rPr>
          <w:rStyle w:val="EndnoteReference"/>
          <w:color w:val="000000" w:themeColor="text1"/>
        </w:rPr>
        <w:endnoteReference w:id="51"/>
      </w:r>
      <w:r w:rsidR="001E5836" w:rsidRPr="00E81D90">
        <w:rPr>
          <w:color w:val="000000" w:themeColor="text1"/>
        </w:rPr>
        <w:t xml:space="preserve">. </w:t>
      </w:r>
      <w:r w:rsidR="00D82D52">
        <w:rPr>
          <w:color w:val="000000" w:themeColor="text1"/>
        </w:rPr>
        <w:t xml:space="preserve">The available evidence base is not enough and randomised data should probably not be the only source of information. </w:t>
      </w:r>
      <w:r w:rsidR="003A6E0D">
        <w:rPr>
          <w:color w:val="000000" w:themeColor="text1"/>
        </w:rPr>
        <w:t xml:space="preserve">One </w:t>
      </w:r>
      <w:r w:rsidR="00D82D52">
        <w:rPr>
          <w:color w:val="000000" w:themeColor="text1"/>
        </w:rPr>
        <w:t xml:space="preserve">way forward is to use </w:t>
      </w:r>
      <w:r w:rsidR="001E5836" w:rsidRPr="00E81D90">
        <w:rPr>
          <w:color w:val="000000" w:themeColor="text1"/>
        </w:rPr>
        <w:t>comparative analysis of individual patient data in combination with high</w:t>
      </w:r>
      <w:r w:rsidR="00D82D52">
        <w:rPr>
          <w:color w:val="000000" w:themeColor="text1"/>
        </w:rPr>
        <w:t>-</w:t>
      </w:r>
      <w:r w:rsidR="001E5836" w:rsidRPr="00E81D90">
        <w:rPr>
          <w:color w:val="000000" w:themeColor="text1"/>
        </w:rPr>
        <w:t>quality real</w:t>
      </w:r>
      <w:r w:rsidR="00D82D52">
        <w:rPr>
          <w:color w:val="000000" w:themeColor="text1"/>
        </w:rPr>
        <w:t>-</w:t>
      </w:r>
      <w:r w:rsidR="001E5836" w:rsidRPr="00E81D90">
        <w:rPr>
          <w:color w:val="000000" w:themeColor="text1"/>
        </w:rPr>
        <w:t xml:space="preserve">world data to identify effect modifiers and prognostic factors </w:t>
      </w:r>
      <w:r w:rsidR="00D82D52">
        <w:rPr>
          <w:color w:val="000000" w:themeColor="text1"/>
        </w:rPr>
        <w:t xml:space="preserve">that can inform tailored treatments and shared clinical decision making </w:t>
      </w:r>
      <w:r w:rsidR="00D82D52" w:rsidRPr="00E81D90">
        <w:rPr>
          <w:color w:val="000000" w:themeColor="text1"/>
        </w:rPr>
        <w:t xml:space="preserve">across </w:t>
      </w:r>
      <w:r w:rsidR="00D82D52">
        <w:rPr>
          <w:color w:val="000000" w:themeColor="text1"/>
        </w:rPr>
        <w:t>a</w:t>
      </w:r>
      <w:r w:rsidR="00D82D52" w:rsidRPr="00E81D90">
        <w:rPr>
          <w:color w:val="000000" w:themeColor="text1"/>
        </w:rPr>
        <w:t xml:space="preserve"> number of psychiatric conditions</w:t>
      </w:r>
      <w:r w:rsidR="00D82D52">
        <w:rPr>
          <w:color w:val="000000" w:themeColor="text1"/>
        </w:rPr>
        <w:t xml:space="preserve"> and interventions</w:t>
      </w:r>
      <w:r w:rsidR="003A2A92">
        <w:rPr>
          <w:rStyle w:val="EndnoteReference"/>
          <w:color w:val="000000" w:themeColor="text1"/>
        </w:rPr>
        <w:endnoteReference w:id="52"/>
      </w:r>
      <w:r w:rsidR="00D82D52">
        <w:rPr>
          <w:color w:val="000000" w:themeColor="text1"/>
        </w:rPr>
        <w:t>. This will be</w:t>
      </w:r>
      <w:r w:rsidR="001E5836" w:rsidRPr="00E81D90">
        <w:rPr>
          <w:color w:val="000000" w:themeColor="text1"/>
        </w:rPr>
        <w:t xml:space="preserve"> a material move towards a real precision-psychiatry approach </w:t>
      </w:r>
      <w:r w:rsidR="00D82D52">
        <w:rPr>
          <w:color w:val="000000" w:themeColor="text1"/>
        </w:rPr>
        <w:t xml:space="preserve">that </w:t>
      </w:r>
      <w:r w:rsidR="002D71E4">
        <w:rPr>
          <w:color w:val="000000" w:themeColor="text1"/>
        </w:rPr>
        <w:t xml:space="preserve">may </w:t>
      </w:r>
      <w:r w:rsidR="00D82D52" w:rsidRPr="003A6E0D">
        <w:rPr>
          <w:color w:val="000000" w:themeColor="text1"/>
        </w:rPr>
        <w:t>improve the clinical outcome</w:t>
      </w:r>
      <w:r w:rsidR="00D82D52">
        <w:rPr>
          <w:color w:val="000000" w:themeColor="text1"/>
        </w:rPr>
        <w:t xml:space="preserve"> </w:t>
      </w:r>
      <w:r w:rsidR="00D74B42">
        <w:rPr>
          <w:color w:val="000000" w:themeColor="text1"/>
        </w:rPr>
        <w:t>(</w:t>
      </w:r>
      <w:r w:rsidR="00D82D52">
        <w:rPr>
          <w:color w:val="000000" w:themeColor="text1"/>
        </w:rPr>
        <w:t>and quality of life) of our patients</w:t>
      </w:r>
      <w:r w:rsidR="003A2A92">
        <w:rPr>
          <w:rStyle w:val="EndnoteReference"/>
          <w:color w:val="000000" w:themeColor="text1"/>
        </w:rPr>
        <w:endnoteReference w:id="53"/>
      </w:r>
      <w:r w:rsidR="003A2A92">
        <w:rPr>
          <w:color w:val="000000" w:themeColor="text1"/>
        </w:rPr>
        <w:t>.</w:t>
      </w:r>
    </w:p>
    <w:p w14:paraId="36F16EA4" w14:textId="77777777" w:rsidR="00F17F79" w:rsidRDefault="00F17F79">
      <w:pPr>
        <w:spacing w:after="200" w:line="276" w:lineRule="auto"/>
        <w:rPr>
          <w:b/>
        </w:rPr>
      </w:pPr>
      <w:r>
        <w:rPr>
          <w:b/>
        </w:rPr>
        <w:br w:type="page"/>
      </w:r>
    </w:p>
    <w:p w14:paraId="1F3B52A0" w14:textId="29477F75" w:rsidR="001E5836" w:rsidRPr="00FC5568" w:rsidRDefault="001E5836" w:rsidP="00354B0D">
      <w:pPr>
        <w:spacing w:line="480" w:lineRule="auto"/>
        <w:rPr>
          <w:b/>
        </w:rPr>
      </w:pPr>
      <w:r>
        <w:rPr>
          <w:b/>
        </w:rPr>
        <w:lastRenderedPageBreak/>
        <w:t>Conflict of Interest Statement</w:t>
      </w:r>
      <w:r w:rsidRPr="00FC5568">
        <w:rPr>
          <w:b/>
        </w:rPr>
        <w:t xml:space="preserve"> </w:t>
      </w:r>
    </w:p>
    <w:p w14:paraId="311B0070" w14:textId="77777777" w:rsidR="006A47F6" w:rsidRDefault="006A47F6" w:rsidP="00354B0D">
      <w:pPr>
        <w:spacing w:line="480" w:lineRule="auto"/>
      </w:pPr>
    </w:p>
    <w:p w14:paraId="6CEB0AF2" w14:textId="437279C1" w:rsidR="001E5836" w:rsidRPr="00FC5568" w:rsidRDefault="001E5836" w:rsidP="00354B0D">
      <w:pPr>
        <w:spacing w:line="480" w:lineRule="auto"/>
      </w:pPr>
      <w:r w:rsidRPr="00FC5568">
        <w:t xml:space="preserve">Two authors (AC &amp; </w:t>
      </w:r>
      <w:r>
        <w:t>SC</w:t>
      </w:r>
      <w:r w:rsidRPr="00FC5568">
        <w:t xml:space="preserve">) are authors on </w:t>
      </w:r>
      <w:r>
        <w:t>two</w:t>
      </w:r>
      <w:r w:rsidRPr="00FC5568">
        <w:t xml:space="preserve"> of the systematic reviews included in our meta-review (</w:t>
      </w:r>
      <w:r>
        <w:t>Cipriani et al.,</w:t>
      </w:r>
      <w:r w:rsidR="00F81A55" w:rsidRPr="009C48FB">
        <w:rPr>
          <w:vertAlign w:val="superscript"/>
        </w:rPr>
        <w:fldChar w:fldCharType="begin"/>
      </w:r>
      <w:r w:rsidR="00F81A55" w:rsidRPr="009C48FB">
        <w:rPr>
          <w:vertAlign w:val="superscript"/>
        </w:rPr>
        <w:instrText xml:space="preserve"> NOTEREF _Ref45745003 \h </w:instrText>
      </w:r>
      <w:r w:rsidR="00F81A55">
        <w:rPr>
          <w:vertAlign w:val="superscript"/>
        </w:rPr>
        <w:instrText xml:space="preserve"> \* MERGEFORMAT </w:instrText>
      </w:r>
      <w:r w:rsidR="00F81A55" w:rsidRPr="009C48FB">
        <w:rPr>
          <w:vertAlign w:val="superscript"/>
        </w:rPr>
      </w:r>
      <w:r w:rsidR="00F81A55" w:rsidRPr="009C48FB">
        <w:rPr>
          <w:vertAlign w:val="superscript"/>
        </w:rPr>
        <w:fldChar w:fldCharType="separate"/>
      </w:r>
      <w:r w:rsidR="00202932">
        <w:rPr>
          <w:vertAlign w:val="superscript"/>
        </w:rPr>
        <w:t>6</w:t>
      </w:r>
      <w:r w:rsidR="00F81A55" w:rsidRPr="009C48FB">
        <w:rPr>
          <w:vertAlign w:val="superscript"/>
        </w:rPr>
        <w:fldChar w:fldCharType="end"/>
      </w:r>
      <w:r>
        <w:t>; Cortese et al.,</w:t>
      </w:r>
      <w:r w:rsidR="00F81A55" w:rsidRPr="009C48FB">
        <w:rPr>
          <w:vertAlign w:val="superscript"/>
        </w:rPr>
        <w:fldChar w:fldCharType="begin"/>
      </w:r>
      <w:r w:rsidR="00F81A55" w:rsidRPr="009C48FB">
        <w:rPr>
          <w:vertAlign w:val="superscript"/>
        </w:rPr>
        <w:instrText xml:space="preserve"> NOTEREF _Ref45746604 \h </w:instrText>
      </w:r>
      <w:r w:rsidR="00F81A55">
        <w:rPr>
          <w:vertAlign w:val="superscript"/>
        </w:rPr>
        <w:instrText xml:space="preserve"> \* MERGEFORMAT </w:instrText>
      </w:r>
      <w:r w:rsidR="00F81A55" w:rsidRPr="009C48FB">
        <w:rPr>
          <w:vertAlign w:val="superscript"/>
        </w:rPr>
      </w:r>
      <w:r w:rsidR="00F81A55" w:rsidRPr="009C48FB">
        <w:rPr>
          <w:vertAlign w:val="superscript"/>
        </w:rPr>
        <w:fldChar w:fldCharType="separate"/>
      </w:r>
      <w:r w:rsidR="00202932">
        <w:rPr>
          <w:vertAlign w:val="superscript"/>
        </w:rPr>
        <w:t>10</w:t>
      </w:r>
      <w:r w:rsidR="00F81A55" w:rsidRPr="009C48FB">
        <w:rPr>
          <w:vertAlign w:val="superscript"/>
        </w:rPr>
        <w:fldChar w:fldCharType="end"/>
      </w:r>
      <w:r w:rsidRPr="00FC5568">
        <w:t xml:space="preserve">). </w:t>
      </w:r>
      <w:r w:rsidR="000173F8">
        <w:t>Andrea Cipriani has</w:t>
      </w:r>
      <w:r w:rsidR="000173F8" w:rsidRPr="000173F8">
        <w:t xml:space="preserve"> received research and consultancy fees from INCiPiT (Italian Network for Paediatric Trials)</w:t>
      </w:r>
      <w:r w:rsidR="000173F8">
        <w:t>, CARIPLO Foundation</w:t>
      </w:r>
      <w:r w:rsidR="000173F8" w:rsidRPr="000173F8">
        <w:t xml:space="preserve"> and Angelini Pharma</w:t>
      </w:r>
      <w:r w:rsidR="000173F8">
        <w:t xml:space="preserve">; he has </w:t>
      </w:r>
      <w:r w:rsidR="000173F8" w:rsidRPr="000173F8">
        <w:t>also organised a workshop about digital mental health sponsored by Angelini Pharma.</w:t>
      </w:r>
      <w:r w:rsidR="000173F8">
        <w:t xml:space="preserve"> </w:t>
      </w:r>
      <w:r w:rsidRPr="00FC5568">
        <w:t xml:space="preserve">The </w:t>
      </w:r>
      <w:r w:rsidR="000173F8">
        <w:t xml:space="preserve">other </w:t>
      </w:r>
      <w:r w:rsidRPr="00FC5568">
        <w:t xml:space="preserve">authors have no other conflicts of interest to disclose. </w:t>
      </w:r>
    </w:p>
    <w:p w14:paraId="77AA6F10" w14:textId="77777777" w:rsidR="006A47F6" w:rsidRDefault="006A47F6" w:rsidP="00354B0D">
      <w:pPr>
        <w:spacing w:line="480" w:lineRule="auto"/>
        <w:rPr>
          <w:b/>
        </w:rPr>
      </w:pPr>
    </w:p>
    <w:p w14:paraId="100FCF6B" w14:textId="71878947" w:rsidR="001E5836" w:rsidRPr="0003153A" w:rsidRDefault="001E5836" w:rsidP="00354B0D">
      <w:pPr>
        <w:spacing w:line="480" w:lineRule="auto"/>
        <w:rPr>
          <w:b/>
        </w:rPr>
      </w:pPr>
      <w:r w:rsidRPr="0069686E">
        <w:rPr>
          <w:b/>
        </w:rPr>
        <w:t>Author Contributions</w:t>
      </w:r>
    </w:p>
    <w:p w14:paraId="5389B27F" w14:textId="77777777" w:rsidR="006A47F6" w:rsidRDefault="006A47F6" w:rsidP="00354B0D">
      <w:pPr>
        <w:spacing w:line="480" w:lineRule="auto"/>
      </w:pPr>
    </w:p>
    <w:p w14:paraId="4994E5C1" w14:textId="0CEFA9A6" w:rsidR="001E5836" w:rsidRDefault="001E5836" w:rsidP="00354B0D">
      <w:pPr>
        <w:spacing w:line="480" w:lineRule="auto"/>
      </w:pPr>
      <w:r w:rsidRPr="00FC5568">
        <w:t xml:space="preserve">Protocol was designed by </w:t>
      </w:r>
      <w:r>
        <w:t>KB</w:t>
      </w:r>
      <w:r w:rsidRPr="00FC5568">
        <w:t xml:space="preserve">, AT, </w:t>
      </w:r>
      <w:r>
        <w:t>S</w:t>
      </w:r>
      <w:r w:rsidRPr="00FC5568">
        <w:t xml:space="preserve">C and </w:t>
      </w:r>
      <w:r>
        <w:t>AC</w:t>
      </w:r>
      <w:r w:rsidRPr="00FC5568">
        <w:t xml:space="preserve">. Search was performed by </w:t>
      </w:r>
      <w:r>
        <w:t>KB</w:t>
      </w:r>
      <w:r w:rsidRPr="00FC5568">
        <w:t xml:space="preserve"> and reference screening undertaken by </w:t>
      </w:r>
      <w:r>
        <w:t>KB</w:t>
      </w:r>
      <w:r w:rsidRPr="00FC5568">
        <w:t xml:space="preserve">, AT and </w:t>
      </w:r>
      <w:r>
        <w:t>S</w:t>
      </w:r>
      <w:r w:rsidRPr="00FC5568">
        <w:t xml:space="preserve">C. Data extraction </w:t>
      </w:r>
      <w:r w:rsidR="00D5275C">
        <w:t xml:space="preserve">was </w:t>
      </w:r>
      <w:r w:rsidRPr="00FC5568">
        <w:t xml:space="preserve">performed by </w:t>
      </w:r>
      <w:r>
        <w:t>KB</w:t>
      </w:r>
      <w:r w:rsidR="00D5275C">
        <w:t xml:space="preserve"> and double-checked by AT or SC</w:t>
      </w:r>
      <w:r w:rsidRPr="00FC5568">
        <w:t xml:space="preserve">. The manuscript was written by </w:t>
      </w:r>
      <w:r>
        <w:t>KB, AT and SC</w:t>
      </w:r>
      <w:r w:rsidRPr="00FC5568">
        <w:t xml:space="preserve"> and reviewed </w:t>
      </w:r>
      <w:r>
        <w:t>by AC</w:t>
      </w:r>
      <w:r w:rsidRPr="00FC5568">
        <w:t xml:space="preserve">. All authors gave final approval for the work to be published. </w:t>
      </w:r>
    </w:p>
    <w:p w14:paraId="769D2D92" w14:textId="5CE80569" w:rsidR="000B7DCB" w:rsidRDefault="000B7DCB" w:rsidP="00354B0D">
      <w:pPr>
        <w:spacing w:line="480" w:lineRule="auto"/>
      </w:pPr>
    </w:p>
    <w:p w14:paraId="4C2465C9" w14:textId="477D4AEB" w:rsidR="000B7DCB" w:rsidRDefault="000B7DCB" w:rsidP="00354B0D">
      <w:pPr>
        <w:spacing w:line="480" w:lineRule="auto"/>
        <w:rPr>
          <w:b/>
          <w:bCs/>
        </w:rPr>
      </w:pPr>
      <w:r w:rsidRPr="000B7DCB">
        <w:rPr>
          <w:b/>
          <w:bCs/>
        </w:rPr>
        <w:t>Funding</w:t>
      </w:r>
    </w:p>
    <w:p w14:paraId="2CAFF3F6" w14:textId="3712DA62" w:rsidR="000173F8" w:rsidRPr="002C2967" w:rsidRDefault="000173F8" w:rsidP="00354B0D">
      <w:pPr>
        <w:spacing w:line="480" w:lineRule="auto"/>
      </w:pPr>
      <w:r w:rsidRPr="002C2967">
        <w:t>Andrea Cipriani is supported by the National Institute for Health Research (NIHR) Oxford Cognitive Health Clinical Research Facility, by an NIHR Research Professorship (grant RP-2017-08-ST2-006), by the NIHR Oxford and Thames Valley Applied Research Collaboration and by the NIHR Oxford Health Biomedical Research Centre (grant BRC-1215-20005). The views expressed are those of the authors and not necessarily those of the UK National Health Service, the NIHR, or the UK Department of Health.</w:t>
      </w:r>
    </w:p>
    <w:p w14:paraId="4C7954A0" w14:textId="77777777" w:rsidR="000B7DCB" w:rsidRPr="00FC5568" w:rsidRDefault="000B7DCB" w:rsidP="00354B0D">
      <w:pPr>
        <w:spacing w:line="480" w:lineRule="auto"/>
      </w:pPr>
    </w:p>
    <w:p w14:paraId="4DFC9B60" w14:textId="77777777" w:rsidR="006A47F6" w:rsidRDefault="006A47F6" w:rsidP="00354B0D">
      <w:pPr>
        <w:pStyle w:val="Heading1"/>
        <w:numPr>
          <w:ilvl w:val="0"/>
          <w:numId w:val="0"/>
        </w:numPr>
        <w:spacing w:before="0" w:after="0" w:line="480" w:lineRule="auto"/>
        <w:ind w:left="567" w:hanging="567"/>
      </w:pPr>
    </w:p>
    <w:p w14:paraId="3F5DCDFD" w14:textId="77777777" w:rsidR="00F17F79" w:rsidRDefault="00F17F79">
      <w:pPr>
        <w:spacing w:after="200" w:line="276" w:lineRule="auto"/>
        <w:rPr>
          <w:rFonts w:eastAsia="Cambria"/>
          <w:b/>
        </w:rPr>
      </w:pPr>
      <w:r>
        <w:br w:type="page"/>
      </w:r>
    </w:p>
    <w:p w14:paraId="5E2CC665" w14:textId="77777777" w:rsidR="0094022F" w:rsidRDefault="0094022F" w:rsidP="00354B0D">
      <w:pPr>
        <w:spacing w:line="480" w:lineRule="auto"/>
      </w:pPr>
    </w:p>
    <w:p w14:paraId="38F54F1F" w14:textId="77777777" w:rsidR="0094022F" w:rsidRDefault="0094022F" w:rsidP="00354B0D">
      <w:pPr>
        <w:spacing w:line="480" w:lineRule="auto"/>
      </w:pPr>
    </w:p>
    <w:p w14:paraId="613D3024" w14:textId="77777777" w:rsidR="0094022F" w:rsidRDefault="0094022F" w:rsidP="00354B0D">
      <w:pPr>
        <w:spacing w:line="480" w:lineRule="auto"/>
      </w:pPr>
    </w:p>
    <w:p w14:paraId="2AFE7768" w14:textId="77777777" w:rsidR="0094022F" w:rsidRDefault="0094022F" w:rsidP="00354B0D">
      <w:pPr>
        <w:spacing w:line="480" w:lineRule="auto"/>
      </w:pPr>
    </w:p>
    <w:p w14:paraId="367F876F" w14:textId="77777777" w:rsidR="0094022F" w:rsidRDefault="0094022F" w:rsidP="00354B0D">
      <w:pPr>
        <w:spacing w:line="480" w:lineRule="auto"/>
      </w:pPr>
    </w:p>
    <w:p w14:paraId="3AA20F17" w14:textId="77777777" w:rsidR="0094022F" w:rsidRDefault="0094022F" w:rsidP="00354B0D">
      <w:pPr>
        <w:spacing w:line="480" w:lineRule="auto"/>
      </w:pPr>
    </w:p>
    <w:p w14:paraId="1A045FDC" w14:textId="77777777" w:rsidR="0094022F" w:rsidRDefault="0094022F" w:rsidP="00354B0D">
      <w:pPr>
        <w:spacing w:line="480" w:lineRule="auto"/>
        <w:rPr>
          <w:lang w:val="it-IT"/>
        </w:rPr>
      </w:pPr>
    </w:p>
    <w:p w14:paraId="4CA8D683" w14:textId="77777777" w:rsidR="0094022F" w:rsidRDefault="0094022F" w:rsidP="00354B0D">
      <w:pPr>
        <w:spacing w:line="480" w:lineRule="auto"/>
        <w:rPr>
          <w:lang w:val="it-IT"/>
        </w:rPr>
      </w:pPr>
    </w:p>
    <w:p w14:paraId="7C05FD0B" w14:textId="77777777" w:rsidR="0094022F" w:rsidRDefault="0094022F" w:rsidP="00044454">
      <w:pPr>
        <w:spacing w:line="480" w:lineRule="auto"/>
      </w:pPr>
    </w:p>
    <w:p w14:paraId="206A61E7" w14:textId="77777777" w:rsidR="0094022F" w:rsidRDefault="0094022F" w:rsidP="00354B0D">
      <w:pPr>
        <w:spacing w:line="480" w:lineRule="auto"/>
      </w:pPr>
    </w:p>
    <w:p w14:paraId="0D39B10F" w14:textId="77777777" w:rsidR="0094022F" w:rsidRDefault="0094022F" w:rsidP="00253C87">
      <w:pPr>
        <w:spacing w:line="480" w:lineRule="auto"/>
      </w:pPr>
    </w:p>
    <w:p w14:paraId="308DB1E5" w14:textId="77777777" w:rsidR="0094022F" w:rsidRDefault="0094022F" w:rsidP="00354B0D">
      <w:pPr>
        <w:spacing w:line="480" w:lineRule="auto"/>
      </w:pPr>
    </w:p>
    <w:p w14:paraId="1A02EC7D" w14:textId="77777777" w:rsidR="0094022F" w:rsidRDefault="0094022F" w:rsidP="00354B0D">
      <w:pPr>
        <w:spacing w:line="480" w:lineRule="auto"/>
      </w:pPr>
    </w:p>
    <w:p w14:paraId="098D8F27" w14:textId="77777777" w:rsidR="0094022F" w:rsidRDefault="0094022F" w:rsidP="00354B0D">
      <w:pPr>
        <w:spacing w:line="480" w:lineRule="auto"/>
        <w:rPr>
          <w:color w:val="000000"/>
          <w:shd w:val="clear" w:color="auto" w:fill="FFFFFF"/>
        </w:rPr>
      </w:pPr>
    </w:p>
    <w:p w14:paraId="1CE6E01C" w14:textId="77777777" w:rsidR="0094022F" w:rsidRDefault="0094022F" w:rsidP="00354B0D">
      <w:pPr>
        <w:spacing w:line="480" w:lineRule="auto"/>
        <w:rPr>
          <w:lang w:val="it-IT"/>
        </w:rPr>
      </w:pPr>
    </w:p>
    <w:p w14:paraId="73486023" w14:textId="77777777" w:rsidR="0094022F" w:rsidRDefault="0094022F" w:rsidP="00354B0D">
      <w:pPr>
        <w:spacing w:line="480" w:lineRule="auto"/>
      </w:pPr>
    </w:p>
    <w:p w14:paraId="398C0DC9" w14:textId="77777777" w:rsidR="0094022F" w:rsidRDefault="0094022F" w:rsidP="00354B0D">
      <w:pPr>
        <w:spacing w:line="480" w:lineRule="auto"/>
      </w:pPr>
    </w:p>
    <w:p w14:paraId="5E9D2CAB" w14:textId="77777777" w:rsidR="0094022F" w:rsidRDefault="0094022F" w:rsidP="002D2103">
      <w:pPr>
        <w:spacing w:line="480" w:lineRule="auto"/>
      </w:pPr>
    </w:p>
    <w:p w14:paraId="20AC5E88" w14:textId="77777777" w:rsidR="0094022F" w:rsidRDefault="0094022F" w:rsidP="000D0365">
      <w:pPr>
        <w:spacing w:line="480" w:lineRule="auto"/>
      </w:pPr>
    </w:p>
    <w:p w14:paraId="612D1F12" w14:textId="77777777" w:rsidR="0094022F" w:rsidRDefault="0094022F" w:rsidP="00354B0D">
      <w:pPr>
        <w:spacing w:line="480" w:lineRule="auto"/>
      </w:pPr>
    </w:p>
    <w:p w14:paraId="16656616" w14:textId="77777777" w:rsidR="0094022F" w:rsidRDefault="0094022F" w:rsidP="00354B0D">
      <w:pPr>
        <w:spacing w:line="480" w:lineRule="auto"/>
      </w:pPr>
    </w:p>
    <w:p w14:paraId="4812D9E8" w14:textId="77777777" w:rsidR="0094022F" w:rsidRPr="00B243EE" w:rsidRDefault="0094022F" w:rsidP="00354B0D">
      <w:pPr>
        <w:pStyle w:val="content-description-block-title"/>
        <w:shd w:val="clear" w:color="auto" w:fill="FFFFFF"/>
        <w:spacing w:line="480" w:lineRule="auto"/>
        <w:rPr>
          <w:lang w:val="en-US"/>
        </w:rPr>
      </w:pPr>
    </w:p>
    <w:p w14:paraId="45E9317C" w14:textId="77777777" w:rsidR="00A7485C" w:rsidRPr="00E30763" w:rsidRDefault="00A7485C" w:rsidP="000D0365">
      <w:pPr>
        <w:spacing w:line="480" w:lineRule="auto"/>
      </w:pPr>
    </w:p>
    <w:p w14:paraId="7614BC45" w14:textId="77777777" w:rsidR="00A7485C" w:rsidRDefault="00A7485C" w:rsidP="00354B0D">
      <w:pPr>
        <w:spacing w:line="480" w:lineRule="auto"/>
      </w:pPr>
    </w:p>
    <w:p w14:paraId="11C18959" w14:textId="77777777" w:rsidR="00A7485C" w:rsidRDefault="00A7485C" w:rsidP="00354B0D">
      <w:pPr>
        <w:spacing w:line="480" w:lineRule="auto"/>
      </w:pPr>
    </w:p>
    <w:p w14:paraId="771A0EB4" w14:textId="77777777" w:rsidR="00F0186C" w:rsidRDefault="00F0186C" w:rsidP="00354B0D">
      <w:pPr>
        <w:spacing w:line="480" w:lineRule="auto"/>
        <w:rPr>
          <w:color w:val="000000" w:themeColor="text1"/>
        </w:rPr>
      </w:pPr>
    </w:p>
    <w:p w14:paraId="4EE09206" w14:textId="77777777" w:rsidR="00A7485C" w:rsidRDefault="00A7485C" w:rsidP="00354B0D">
      <w:pPr>
        <w:spacing w:line="480" w:lineRule="auto"/>
        <w:rPr>
          <w:color w:val="000000" w:themeColor="text1"/>
        </w:rPr>
      </w:pPr>
    </w:p>
    <w:p w14:paraId="4AFFBA17" w14:textId="77777777" w:rsidR="00A7485C" w:rsidRDefault="00A7485C" w:rsidP="00354B0D">
      <w:pPr>
        <w:spacing w:line="480" w:lineRule="auto"/>
      </w:pPr>
    </w:p>
    <w:p w14:paraId="4588478E" w14:textId="77777777" w:rsidR="00A7485C" w:rsidRDefault="00A7485C" w:rsidP="00354B0D">
      <w:pPr>
        <w:spacing w:line="480" w:lineRule="auto"/>
      </w:pPr>
    </w:p>
    <w:p w14:paraId="6DDD4F0F" w14:textId="77777777" w:rsidR="00A7485C" w:rsidRDefault="00A7485C" w:rsidP="00354B0D">
      <w:pPr>
        <w:spacing w:line="480" w:lineRule="auto"/>
      </w:pPr>
    </w:p>
    <w:p w14:paraId="4CC92CE8" w14:textId="77777777" w:rsidR="00A7485C" w:rsidRDefault="00A7485C" w:rsidP="000D0365">
      <w:pPr>
        <w:spacing w:line="480" w:lineRule="auto"/>
      </w:pPr>
    </w:p>
    <w:p w14:paraId="637954E2" w14:textId="77777777" w:rsidR="00A7485C" w:rsidRDefault="00A7485C" w:rsidP="00354B0D">
      <w:pPr>
        <w:spacing w:line="480" w:lineRule="auto"/>
      </w:pPr>
    </w:p>
    <w:p w14:paraId="5C08D2CB" w14:textId="77777777" w:rsidR="00A7485C" w:rsidRDefault="00A7485C" w:rsidP="00354B0D">
      <w:pPr>
        <w:spacing w:line="480" w:lineRule="auto"/>
      </w:pPr>
    </w:p>
    <w:p w14:paraId="144F909C" w14:textId="77777777" w:rsidR="00A7485C" w:rsidRDefault="00A7485C" w:rsidP="00354B0D">
      <w:pPr>
        <w:spacing w:line="480" w:lineRule="auto"/>
      </w:pPr>
    </w:p>
    <w:p w14:paraId="4D272BC1" w14:textId="77777777" w:rsidR="00A7485C" w:rsidRDefault="00A7485C" w:rsidP="00354B0D">
      <w:pPr>
        <w:spacing w:line="480" w:lineRule="auto"/>
      </w:pPr>
    </w:p>
    <w:p w14:paraId="50139BE4" w14:textId="77777777" w:rsidR="00A7485C" w:rsidRDefault="00A7485C" w:rsidP="00107F90">
      <w:pPr>
        <w:spacing w:line="480" w:lineRule="auto"/>
      </w:pPr>
    </w:p>
    <w:p w14:paraId="25AE50C5" w14:textId="77777777" w:rsidR="00A7485C" w:rsidRDefault="00A7485C" w:rsidP="00A7485C">
      <w:pPr>
        <w:spacing w:line="480" w:lineRule="auto"/>
      </w:pPr>
    </w:p>
    <w:p w14:paraId="482AB8D8" w14:textId="1E7AAC2C" w:rsidR="0045710E" w:rsidRPr="00A7485C" w:rsidRDefault="0045710E" w:rsidP="00A7485C">
      <w:pPr>
        <w:spacing w:line="480" w:lineRule="auto"/>
      </w:pPr>
    </w:p>
    <w:p w14:paraId="632BD2D9" w14:textId="77777777" w:rsidR="00A7485C" w:rsidRPr="00A7485C" w:rsidRDefault="00A7485C" w:rsidP="00A7485C">
      <w:pPr>
        <w:spacing w:line="480" w:lineRule="auto"/>
      </w:pPr>
    </w:p>
    <w:p w14:paraId="7910ABF9" w14:textId="77777777" w:rsidR="00A7485C" w:rsidRDefault="00A7485C" w:rsidP="00253C87">
      <w:pPr>
        <w:spacing w:line="480" w:lineRule="auto"/>
      </w:pPr>
    </w:p>
    <w:p w14:paraId="4C1E54AB" w14:textId="77777777" w:rsidR="00A7485C" w:rsidRDefault="00A7485C" w:rsidP="00253C87">
      <w:pPr>
        <w:spacing w:line="480" w:lineRule="auto"/>
      </w:pPr>
    </w:p>
    <w:p w14:paraId="0C6ADEA8" w14:textId="77777777" w:rsidR="00A7485C" w:rsidRDefault="00A7485C" w:rsidP="00253C87">
      <w:pPr>
        <w:spacing w:line="480" w:lineRule="auto"/>
      </w:pPr>
    </w:p>
    <w:p w14:paraId="1361908D" w14:textId="77777777" w:rsidR="00A7485C" w:rsidRDefault="00A7485C" w:rsidP="00253C87">
      <w:pPr>
        <w:spacing w:line="480" w:lineRule="auto"/>
        <w:rPr>
          <w:color w:val="0000FF"/>
          <w:u w:val="single"/>
        </w:rPr>
      </w:pPr>
    </w:p>
    <w:p w14:paraId="761C84A0" w14:textId="77777777" w:rsidR="00A7485C" w:rsidRDefault="00A7485C" w:rsidP="00253C87">
      <w:pPr>
        <w:spacing w:line="480" w:lineRule="auto"/>
        <w:rPr>
          <w:color w:val="0000FF"/>
          <w:u w:val="single"/>
        </w:rPr>
      </w:pPr>
    </w:p>
    <w:p w14:paraId="113F9197" w14:textId="77777777" w:rsidR="00A7485C" w:rsidRDefault="00A7485C" w:rsidP="00253C87">
      <w:pPr>
        <w:spacing w:line="480" w:lineRule="auto"/>
      </w:pPr>
    </w:p>
    <w:p w14:paraId="1C4DCA64" w14:textId="77777777" w:rsidR="00A7485C" w:rsidRDefault="00A7485C" w:rsidP="002211DD">
      <w:pPr>
        <w:spacing w:line="480" w:lineRule="auto"/>
      </w:pPr>
    </w:p>
    <w:p w14:paraId="44057794" w14:textId="77777777" w:rsidR="002211DD" w:rsidRDefault="002211DD">
      <w:pPr>
        <w:spacing w:after="200" w:line="276" w:lineRule="auto"/>
        <w:sectPr w:rsidR="002211DD" w:rsidSect="00D537FA">
          <w:headerReference w:type="even" r:id="rId13"/>
          <w:headerReference w:type="default" r:id="rId14"/>
          <w:footerReference w:type="even" r:id="rId15"/>
          <w:footerReference w:type="default" r:id="rId16"/>
          <w:headerReference w:type="first" r:id="rId17"/>
          <w:footnotePr>
            <w:numFmt w:val="lowerRoman"/>
          </w:footnotePr>
          <w:endnotePr>
            <w:numFmt w:val="decimal"/>
          </w:endnotePr>
          <w:pgSz w:w="12240" w:h="15840"/>
          <w:pgMar w:top="1138" w:right="1181" w:bottom="1138" w:left="1282" w:header="283" w:footer="510" w:gutter="0"/>
          <w:lnNumType w:countBy="1" w:restart="continuous"/>
          <w:cols w:space="720"/>
          <w:titlePg/>
          <w:docGrid w:linePitch="360"/>
        </w:sectPr>
      </w:pPr>
    </w:p>
    <w:p w14:paraId="7B83CC36" w14:textId="294A2E0B" w:rsidR="001F74C9" w:rsidRDefault="00B167E0" w:rsidP="002211DD">
      <w:pPr>
        <w:spacing w:line="480" w:lineRule="auto"/>
      </w:pPr>
      <w:r w:rsidRPr="005223BB">
        <w:rPr>
          <w:b/>
        </w:rPr>
        <w:lastRenderedPageBreak/>
        <w:t xml:space="preserve">Table </w:t>
      </w:r>
      <w:r>
        <w:rPr>
          <w:b/>
        </w:rPr>
        <w:t>1</w:t>
      </w:r>
      <w:r w:rsidRPr="005223BB">
        <w:rPr>
          <w:b/>
        </w:rPr>
        <w:t xml:space="preserve">: </w:t>
      </w:r>
      <w:r>
        <w:rPr>
          <w:b/>
        </w:rPr>
        <w:t xml:space="preserve">Description and </w:t>
      </w:r>
      <w:r>
        <w:rPr>
          <w:rFonts w:cstheme="minorHAnsi"/>
          <w:b/>
          <w:color w:val="000000"/>
        </w:rPr>
        <w:t>r</w:t>
      </w:r>
      <w:r w:rsidRPr="000510DE">
        <w:rPr>
          <w:rFonts w:cstheme="minorHAnsi"/>
          <w:b/>
          <w:color w:val="000000"/>
        </w:rPr>
        <w:t>esults of individual systematic reviews</w:t>
      </w:r>
      <w:r>
        <w:rPr>
          <w:rFonts w:cstheme="minorHAnsi"/>
          <w:b/>
          <w:color w:val="000000"/>
        </w:rPr>
        <w:t xml:space="preserve"> and </w:t>
      </w:r>
      <w:r w:rsidRPr="000510DE">
        <w:rPr>
          <w:rFonts w:cstheme="minorHAnsi"/>
          <w:b/>
          <w:color w:val="000000"/>
        </w:rPr>
        <w:t>meta-analyses included in the meta-review.</w:t>
      </w:r>
      <w:r w:rsidDel="00AA32EB">
        <w:rPr>
          <w:sz w:val="20"/>
          <w:szCs w:val="20"/>
        </w:rPr>
        <w:t xml:space="preserve"> </w:t>
      </w:r>
    </w:p>
    <w:tbl>
      <w:tblPr>
        <w:tblW w:w="14062" w:type="dxa"/>
        <w:tblInd w:w="-284" w:type="dxa"/>
        <w:tblBorders>
          <w:top w:val="single" w:sz="4" w:space="0" w:color="auto"/>
          <w:bottom w:val="single" w:sz="4" w:space="0" w:color="auto"/>
          <w:insideH w:val="single" w:sz="4" w:space="0" w:color="auto"/>
        </w:tblBorders>
        <w:tblLook w:val="04A0" w:firstRow="1" w:lastRow="0" w:firstColumn="1" w:lastColumn="0" w:noHBand="0" w:noVBand="1"/>
      </w:tblPr>
      <w:tblGrid>
        <w:gridCol w:w="1546"/>
        <w:gridCol w:w="2950"/>
        <w:gridCol w:w="10"/>
        <w:gridCol w:w="1648"/>
        <w:gridCol w:w="4336"/>
        <w:gridCol w:w="3572"/>
      </w:tblGrid>
      <w:tr w:rsidR="005968BA" w:rsidRPr="001F74C9" w14:paraId="36F57425" w14:textId="77777777" w:rsidTr="002C2967">
        <w:trPr>
          <w:trHeight w:val="274"/>
        </w:trPr>
        <w:tc>
          <w:tcPr>
            <w:tcW w:w="1546" w:type="dxa"/>
            <w:tcBorders>
              <w:bottom w:val="single" w:sz="4" w:space="0" w:color="auto"/>
            </w:tcBorders>
            <w:shd w:val="pct15" w:color="auto" w:fill="auto"/>
            <w:hideMark/>
          </w:tcPr>
          <w:p w14:paraId="0A3E2F41"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Study (year)</w:t>
            </w:r>
          </w:p>
        </w:tc>
        <w:tc>
          <w:tcPr>
            <w:tcW w:w="2950" w:type="dxa"/>
            <w:tcBorders>
              <w:bottom w:val="single" w:sz="4" w:space="0" w:color="auto"/>
            </w:tcBorders>
            <w:shd w:val="pct15" w:color="auto" w:fill="auto"/>
            <w:hideMark/>
          </w:tcPr>
          <w:p w14:paraId="0EA77901"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Population</w:t>
            </w:r>
          </w:p>
        </w:tc>
        <w:tc>
          <w:tcPr>
            <w:tcW w:w="1658" w:type="dxa"/>
            <w:gridSpan w:val="2"/>
            <w:tcBorders>
              <w:bottom w:val="single" w:sz="4" w:space="0" w:color="auto"/>
            </w:tcBorders>
            <w:shd w:val="pct15" w:color="auto" w:fill="auto"/>
            <w:hideMark/>
          </w:tcPr>
          <w:p w14:paraId="49D9CB2B"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xml:space="preserve">Drug </w:t>
            </w:r>
          </w:p>
        </w:tc>
        <w:tc>
          <w:tcPr>
            <w:tcW w:w="4336" w:type="dxa"/>
            <w:tcBorders>
              <w:bottom w:val="single" w:sz="4" w:space="0" w:color="auto"/>
            </w:tcBorders>
            <w:shd w:val="pct15" w:color="auto" w:fill="auto"/>
            <w:hideMark/>
          </w:tcPr>
          <w:p w14:paraId="097B6A0B"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Primary outcomes</w:t>
            </w:r>
          </w:p>
        </w:tc>
        <w:tc>
          <w:tcPr>
            <w:tcW w:w="3572" w:type="dxa"/>
            <w:tcBorders>
              <w:bottom w:val="single" w:sz="4" w:space="0" w:color="auto"/>
            </w:tcBorders>
            <w:shd w:val="pct15" w:color="auto" w:fill="auto"/>
            <w:hideMark/>
          </w:tcPr>
          <w:p w14:paraId="5E9FE3DD" w14:textId="7147C463"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Results</w:t>
            </w:r>
            <w:r>
              <w:rPr>
                <w:rFonts w:cstheme="minorHAnsi"/>
                <w:b/>
                <w:bCs/>
                <w:color w:val="000000"/>
                <w:sz w:val="22"/>
                <w:szCs w:val="21"/>
              </w:rPr>
              <w:t xml:space="preserve"> (versus placebo)</w:t>
            </w:r>
          </w:p>
        </w:tc>
      </w:tr>
      <w:tr w:rsidR="005968BA" w:rsidRPr="001F74C9" w14:paraId="28BDD3D0" w14:textId="77777777" w:rsidTr="002C2967">
        <w:trPr>
          <w:trHeight w:val="136"/>
        </w:trPr>
        <w:tc>
          <w:tcPr>
            <w:tcW w:w="1546" w:type="dxa"/>
            <w:shd w:val="pct5" w:color="auto" w:fill="auto"/>
            <w:hideMark/>
          </w:tcPr>
          <w:p w14:paraId="017587A3"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ADHD</w:t>
            </w:r>
          </w:p>
        </w:tc>
        <w:tc>
          <w:tcPr>
            <w:tcW w:w="2950" w:type="dxa"/>
            <w:shd w:val="pct5" w:color="auto" w:fill="auto"/>
            <w:hideMark/>
          </w:tcPr>
          <w:p w14:paraId="14E123AD"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1658" w:type="dxa"/>
            <w:gridSpan w:val="2"/>
            <w:shd w:val="pct5" w:color="auto" w:fill="auto"/>
            <w:hideMark/>
          </w:tcPr>
          <w:p w14:paraId="1C2264D0"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4336" w:type="dxa"/>
            <w:shd w:val="pct5" w:color="auto" w:fill="auto"/>
            <w:hideMark/>
          </w:tcPr>
          <w:p w14:paraId="186C1483"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3572" w:type="dxa"/>
            <w:shd w:val="pct5" w:color="auto" w:fill="auto"/>
            <w:hideMark/>
          </w:tcPr>
          <w:p w14:paraId="055BAB0D"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r>
      <w:tr w:rsidR="005968BA" w:rsidRPr="001F74C9" w14:paraId="32CCCF99" w14:textId="77777777" w:rsidTr="002C2967">
        <w:trPr>
          <w:trHeight w:val="97"/>
        </w:trPr>
        <w:tc>
          <w:tcPr>
            <w:tcW w:w="1546" w:type="dxa"/>
            <w:shd w:val="clear" w:color="auto" w:fill="auto"/>
            <w:hideMark/>
          </w:tcPr>
          <w:p w14:paraId="15738DFC"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Efficacy</w:t>
            </w:r>
          </w:p>
        </w:tc>
        <w:tc>
          <w:tcPr>
            <w:tcW w:w="2950" w:type="dxa"/>
            <w:shd w:val="clear" w:color="auto" w:fill="auto"/>
            <w:hideMark/>
          </w:tcPr>
          <w:p w14:paraId="0D1AB199"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1658" w:type="dxa"/>
            <w:gridSpan w:val="2"/>
            <w:shd w:val="clear" w:color="auto" w:fill="auto"/>
            <w:hideMark/>
          </w:tcPr>
          <w:p w14:paraId="541C0523"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4336" w:type="dxa"/>
            <w:shd w:val="clear" w:color="auto" w:fill="auto"/>
            <w:hideMark/>
          </w:tcPr>
          <w:p w14:paraId="136BEFFA"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3572" w:type="dxa"/>
            <w:shd w:val="clear" w:color="auto" w:fill="auto"/>
            <w:hideMark/>
          </w:tcPr>
          <w:p w14:paraId="2EE21859"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r>
      <w:tr w:rsidR="005968BA" w:rsidRPr="001F74C9" w14:paraId="3CF0159B" w14:textId="77777777" w:rsidTr="002C2967">
        <w:trPr>
          <w:trHeight w:val="271"/>
        </w:trPr>
        <w:tc>
          <w:tcPr>
            <w:tcW w:w="1546" w:type="dxa"/>
            <w:vMerge w:val="restart"/>
            <w:shd w:val="clear" w:color="auto" w:fill="auto"/>
            <w:hideMark/>
          </w:tcPr>
          <w:p w14:paraId="7644DC12" w14:textId="11B1F07F"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Cortese et al (2018)</w:t>
            </w:r>
            <w:r w:rsidR="00A9221B" w:rsidRPr="009C48FB">
              <w:rPr>
                <w:rFonts w:cstheme="minorHAnsi"/>
                <w:color w:val="000000"/>
                <w:sz w:val="22"/>
                <w:szCs w:val="21"/>
                <w:vertAlign w:val="superscript"/>
              </w:rPr>
              <w:fldChar w:fldCharType="begin"/>
            </w:r>
            <w:r w:rsidR="00A9221B" w:rsidRPr="009C48FB">
              <w:rPr>
                <w:rFonts w:cstheme="minorHAnsi"/>
                <w:color w:val="000000"/>
                <w:sz w:val="22"/>
                <w:szCs w:val="21"/>
                <w:vertAlign w:val="superscript"/>
              </w:rPr>
              <w:instrText xml:space="preserve"> NOTEREF _Ref45746604 \h  \* MERGEFORMAT </w:instrText>
            </w:r>
            <w:r w:rsidR="00A9221B" w:rsidRPr="009C48FB">
              <w:rPr>
                <w:rFonts w:cstheme="minorHAnsi"/>
                <w:color w:val="000000"/>
                <w:sz w:val="22"/>
                <w:szCs w:val="21"/>
                <w:vertAlign w:val="superscript"/>
              </w:rPr>
            </w:r>
            <w:r w:rsidR="00A9221B" w:rsidRPr="009C48FB">
              <w:rPr>
                <w:rFonts w:cstheme="minorHAnsi"/>
                <w:color w:val="000000"/>
                <w:sz w:val="22"/>
                <w:szCs w:val="21"/>
                <w:vertAlign w:val="superscript"/>
              </w:rPr>
              <w:fldChar w:fldCharType="separate"/>
            </w:r>
            <w:r w:rsidR="00202932">
              <w:rPr>
                <w:rFonts w:cstheme="minorHAnsi"/>
                <w:color w:val="000000"/>
                <w:sz w:val="22"/>
                <w:szCs w:val="21"/>
                <w:vertAlign w:val="superscript"/>
              </w:rPr>
              <w:t>10</w:t>
            </w:r>
            <w:r w:rsidR="00A9221B" w:rsidRPr="009C48FB">
              <w:rPr>
                <w:rFonts w:cstheme="minorHAnsi"/>
                <w:color w:val="000000"/>
                <w:sz w:val="22"/>
                <w:szCs w:val="21"/>
                <w:vertAlign w:val="superscript"/>
              </w:rPr>
              <w:fldChar w:fldCharType="end"/>
            </w:r>
          </w:p>
        </w:tc>
        <w:tc>
          <w:tcPr>
            <w:tcW w:w="2950" w:type="dxa"/>
            <w:vMerge w:val="restart"/>
            <w:shd w:val="clear" w:color="auto" w:fill="auto"/>
            <w:hideMark/>
          </w:tcPr>
          <w:p w14:paraId="4ABBA748"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40 children (6-17) meeting DSM-IV-TR criteria for ADHD</w:t>
            </w:r>
          </w:p>
        </w:tc>
        <w:tc>
          <w:tcPr>
            <w:tcW w:w="1658" w:type="dxa"/>
            <w:gridSpan w:val="2"/>
            <w:vMerge w:val="restart"/>
            <w:shd w:val="clear" w:color="auto" w:fill="auto"/>
            <w:hideMark/>
          </w:tcPr>
          <w:p w14:paraId="1C0D6208"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Bupropion</w:t>
            </w:r>
          </w:p>
        </w:tc>
        <w:tc>
          <w:tcPr>
            <w:tcW w:w="4336" w:type="dxa"/>
            <w:shd w:val="clear" w:color="auto" w:fill="auto"/>
            <w:hideMark/>
          </w:tcPr>
          <w:p w14:paraId="04B7E652"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Change in severity of ADHD core symptoms based on clinicians’ ratings (completed with parents) as measured by ADHD-RS-IV </w:t>
            </w:r>
          </w:p>
        </w:tc>
        <w:tc>
          <w:tcPr>
            <w:tcW w:w="3572" w:type="dxa"/>
            <w:shd w:val="clear" w:color="auto" w:fill="auto"/>
            <w:hideMark/>
          </w:tcPr>
          <w:p w14:paraId="1E0B9216"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SMD -0.96; 95% CI -1.69 to -0.22*</w:t>
            </w:r>
          </w:p>
        </w:tc>
      </w:tr>
      <w:tr w:rsidR="005968BA" w:rsidRPr="001F74C9" w14:paraId="607869CA" w14:textId="77777777" w:rsidTr="002C2967">
        <w:trPr>
          <w:trHeight w:val="293"/>
        </w:trPr>
        <w:tc>
          <w:tcPr>
            <w:tcW w:w="1546" w:type="dxa"/>
            <w:vMerge/>
            <w:hideMark/>
          </w:tcPr>
          <w:p w14:paraId="6179BD50"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16609662"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vMerge/>
            <w:hideMark/>
          </w:tcPr>
          <w:p w14:paraId="1275EBCC" w14:textId="77777777" w:rsidR="001F74C9" w:rsidRPr="002C2967" w:rsidRDefault="001F74C9" w:rsidP="002C2967">
            <w:pPr>
              <w:spacing w:beforeLines="20" w:before="48" w:afterLines="20" w:after="48"/>
              <w:rPr>
                <w:rFonts w:cstheme="minorHAnsi"/>
                <w:color w:val="000000"/>
                <w:sz w:val="22"/>
                <w:szCs w:val="21"/>
              </w:rPr>
            </w:pPr>
          </w:p>
        </w:tc>
        <w:tc>
          <w:tcPr>
            <w:tcW w:w="4336" w:type="dxa"/>
            <w:shd w:val="clear" w:color="auto" w:fill="auto"/>
            <w:hideMark/>
          </w:tcPr>
          <w:p w14:paraId="46CF2FF1"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Change in severity of ADHD core symptoms based on teachers’ ratings as measured by ADHD-RS-IV </w:t>
            </w:r>
          </w:p>
        </w:tc>
        <w:tc>
          <w:tcPr>
            <w:tcW w:w="3572" w:type="dxa"/>
            <w:shd w:val="clear" w:color="auto" w:fill="auto"/>
            <w:hideMark/>
          </w:tcPr>
          <w:p w14:paraId="156F0DFD"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SMD -0.32; 95% CI -1.07 to 0.43*</w:t>
            </w:r>
          </w:p>
        </w:tc>
      </w:tr>
      <w:tr w:rsidR="005968BA" w:rsidRPr="001F74C9" w14:paraId="63D3C39C" w14:textId="77777777" w:rsidTr="002C2967">
        <w:trPr>
          <w:trHeight w:val="960"/>
        </w:trPr>
        <w:tc>
          <w:tcPr>
            <w:tcW w:w="1546" w:type="dxa"/>
            <w:shd w:val="clear" w:color="auto" w:fill="auto"/>
            <w:hideMark/>
          </w:tcPr>
          <w:p w14:paraId="067F6425" w14:textId="002462C3"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Otasowie et al (2014)</w:t>
            </w:r>
            <w:r w:rsidR="00A9221B" w:rsidRPr="009C48FB">
              <w:rPr>
                <w:rFonts w:cstheme="minorHAnsi"/>
                <w:color w:val="000000"/>
                <w:sz w:val="22"/>
                <w:szCs w:val="21"/>
                <w:vertAlign w:val="superscript"/>
              </w:rPr>
              <w:fldChar w:fldCharType="begin"/>
            </w:r>
            <w:r w:rsidR="00A9221B" w:rsidRPr="009C48FB">
              <w:rPr>
                <w:rFonts w:cstheme="minorHAnsi"/>
                <w:color w:val="000000"/>
                <w:sz w:val="22"/>
                <w:szCs w:val="21"/>
                <w:vertAlign w:val="superscript"/>
              </w:rPr>
              <w:instrText xml:space="preserve"> NOTEREF _Ref45746688 \h </w:instrText>
            </w:r>
            <w:r w:rsidR="00A9221B">
              <w:rPr>
                <w:rFonts w:cstheme="minorHAnsi"/>
                <w:color w:val="000000"/>
                <w:sz w:val="22"/>
                <w:szCs w:val="21"/>
                <w:vertAlign w:val="superscript"/>
              </w:rPr>
              <w:instrText xml:space="preserve"> \* MERGEFORMAT </w:instrText>
            </w:r>
            <w:r w:rsidR="00A9221B" w:rsidRPr="009C48FB">
              <w:rPr>
                <w:rFonts w:cstheme="minorHAnsi"/>
                <w:color w:val="000000"/>
                <w:sz w:val="22"/>
                <w:szCs w:val="21"/>
                <w:vertAlign w:val="superscript"/>
              </w:rPr>
            </w:r>
            <w:r w:rsidR="00A9221B" w:rsidRPr="009C48FB">
              <w:rPr>
                <w:rFonts w:cstheme="minorHAnsi"/>
                <w:color w:val="000000"/>
                <w:sz w:val="22"/>
                <w:szCs w:val="21"/>
                <w:vertAlign w:val="superscript"/>
              </w:rPr>
              <w:fldChar w:fldCharType="separate"/>
            </w:r>
            <w:r w:rsidR="00202932">
              <w:rPr>
                <w:rFonts w:cstheme="minorHAnsi"/>
                <w:color w:val="000000"/>
                <w:sz w:val="22"/>
                <w:szCs w:val="21"/>
                <w:vertAlign w:val="superscript"/>
              </w:rPr>
              <w:t>9</w:t>
            </w:r>
            <w:r w:rsidR="00A9221B" w:rsidRPr="009C48FB">
              <w:rPr>
                <w:rFonts w:cstheme="minorHAnsi"/>
                <w:color w:val="000000"/>
                <w:sz w:val="22"/>
                <w:szCs w:val="21"/>
                <w:vertAlign w:val="superscript"/>
              </w:rPr>
              <w:fldChar w:fldCharType="end"/>
            </w:r>
          </w:p>
        </w:tc>
        <w:tc>
          <w:tcPr>
            <w:tcW w:w="2950" w:type="dxa"/>
            <w:shd w:val="clear" w:color="auto" w:fill="auto"/>
            <w:hideMark/>
          </w:tcPr>
          <w:p w14:paraId="60319949"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91 children and adolescents (6-17 years) with diagnosis of ADHD (DSM-III criteria)</w:t>
            </w:r>
          </w:p>
        </w:tc>
        <w:tc>
          <w:tcPr>
            <w:tcW w:w="1658" w:type="dxa"/>
            <w:gridSpan w:val="2"/>
            <w:shd w:val="clear" w:color="auto" w:fill="auto"/>
            <w:hideMark/>
          </w:tcPr>
          <w:p w14:paraId="69D2680C"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Desipramine</w:t>
            </w:r>
          </w:p>
        </w:tc>
        <w:tc>
          <w:tcPr>
            <w:tcW w:w="4336" w:type="dxa"/>
            <w:shd w:val="clear" w:color="auto" w:fill="auto"/>
            <w:hideMark/>
          </w:tcPr>
          <w:p w14:paraId="25F4536D"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Reduction in ADHD symptoms based on teachers’ ratings as measured by the Conners Teacher Questionnaire and CABRS</w:t>
            </w:r>
          </w:p>
        </w:tc>
        <w:tc>
          <w:tcPr>
            <w:tcW w:w="3572" w:type="dxa"/>
            <w:shd w:val="clear" w:color="auto" w:fill="auto"/>
            <w:hideMark/>
          </w:tcPr>
          <w:p w14:paraId="29314FEB"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SMD -0.97; 95% CI -1.66 to -0.28</w:t>
            </w:r>
          </w:p>
        </w:tc>
      </w:tr>
      <w:tr w:rsidR="005968BA" w:rsidRPr="001F74C9" w14:paraId="4C5E8873" w14:textId="77777777" w:rsidTr="002C2967">
        <w:trPr>
          <w:trHeight w:val="97"/>
        </w:trPr>
        <w:tc>
          <w:tcPr>
            <w:tcW w:w="1546" w:type="dxa"/>
            <w:shd w:val="clear" w:color="auto" w:fill="auto"/>
            <w:hideMark/>
          </w:tcPr>
          <w:p w14:paraId="4E041E53"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Tolerability</w:t>
            </w:r>
          </w:p>
        </w:tc>
        <w:tc>
          <w:tcPr>
            <w:tcW w:w="2950" w:type="dxa"/>
            <w:shd w:val="clear" w:color="auto" w:fill="auto"/>
            <w:hideMark/>
          </w:tcPr>
          <w:p w14:paraId="0F0C2A26"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1658" w:type="dxa"/>
            <w:gridSpan w:val="2"/>
            <w:shd w:val="clear" w:color="auto" w:fill="auto"/>
            <w:hideMark/>
          </w:tcPr>
          <w:p w14:paraId="60B9BF08"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4336" w:type="dxa"/>
            <w:shd w:val="clear" w:color="auto" w:fill="auto"/>
            <w:hideMark/>
          </w:tcPr>
          <w:p w14:paraId="1C022BBF"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3572" w:type="dxa"/>
            <w:shd w:val="clear" w:color="auto" w:fill="auto"/>
            <w:hideMark/>
          </w:tcPr>
          <w:p w14:paraId="1A551049"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r>
      <w:tr w:rsidR="005968BA" w:rsidRPr="001F74C9" w14:paraId="25B5AA34" w14:textId="77777777" w:rsidTr="002C2967">
        <w:trPr>
          <w:trHeight w:val="407"/>
        </w:trPr>
        <w:tc>
          <w:tcPr>
            <w:tcW w:w="1546" w:type="dxa"/>
            <w:tcBorders>
              <w:bottom w:val="single" w:sz="4" w:space="0" w:color="auto"/>
            </w:tcBorders>
            <w:shd w:val="clear" w:color="auto" w:fill="auto"/>
            <w:hideMark/>
          </w:tcPr>
          <w:p w14:paraId="61A58C00" w14:textId="46E53E84"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Cortese et al (2018)</w:t>
            </w:r>
            <w:r w:rsidR="00A9221B" w:rsidRPr="009C48FB">
              <w:rPr>
                <w:rFonts w:cstheme="minorHAnsi"/>
                <w:color w:val="000000"/>
                <w:sz w:val="22"/>
                <w:szCs w:val="21"/>
                <w:vertAlign w:val="superscript"/>
              </w:rPr>
              <w:fldChar w:fldCharType="begin"/>
            </w:r>
            <w:r w:rsidR="00A9221B" w:rsidRPr="009C48FB">
              <w:rPr>
                <w:rFonts w:cstheme="minorHAnsi"/>
                <w:color w:val="000000"/>
                <w:sz w:val="22"/>
                <w:szCs w:val="21"/>
                <w:vertAlign w:val="superscript"/>
              </w:rPr>
              <w:instrText xml:space="preserve"> NOTEREF _Ref45746604 \h </w:instrText>
            </w:r>
            <w:r w:rsidR="00A9221B">
              <w:rPr>
                <w:rFonts w:cstheme="minorHAnsi"/>
                <w:color w:val="000000"/>
                <w:sz w:val="22"/>
                <w:szCs w:val="21"/>
                <w:vertAlign w:val="superscript"/>
              </w:rPr>
              <w:instrText xml:space="preserve"> \* MERGEFORMAT </w:instrText>
            </w:r>
            <w:r w:rsidR="00A9221B" w:rsidRPr="009C48FB">
              <w:rPr>
                <w:rFonts w:cstheme="minorHAnsi"/>
                <w:color w:val="000000"/>
                <w:sz w:val="22"/>
                <w:szCs w:val="21"/>
                <w:vertAlign w:val="superscript"/>
              </w:rPr>
            </w:r>
            <w:r w:rsidR="00A9221B" w:rsidRPr="009C48FB">
              <w:rPr>
                <w:rFonts w:cstheme="minorHAnsi"/>
                <w:color w:val="000000"/>
                <w:sz w:val="22"/>
                <w:szCs w:val="21"/>
                <w:vertAlign w:val="superscript"/>
              </w:rPr>
              <w:fldChar w:fldCharType="separate"/>
            </w:r>
            <w:r w:rsidR="00202932">
              <w:rPr>
                <w:rFonts w:cstheme="minorHAnsi"/>
                <w:color w:val="000000"/>
                <w:sz w:val="22"/>
                <w:szCs w:val="21"/>
                <w:vertAlign w:val="superscript"/>
              </w:rPr>
              <w:t>10</w:t>
            </w:r>
            <w:r w:rsidR="00A9221B" w:rsidRPr="009C48FB">
              <w:rPr>
                <w:rFonts w:cstheme="minorHAnsi"/>
                <w:color w:val="000000"/>
                <w:sz w:val="22"/>
                <w:szCs w:val="21"/>
                <w:vertAlign w:val="superscript"/>
              </w:rPr>
              <w:fldChar w:fldCharType="end"/>
            </w:r>
          </w:p>
        </w:tc>
        <w:tc>
          <w:tcPr>
            <w:tcW w:w="2950" w:type="dxa"/>
            <w:tcBorders>
              <w:bottom w:val="single" w:sz="4" w:space="0" w:color="auto"/>
            </w:tcBorders>
            <w:shd w:val="clear" w:color="auto" w:fill="auto"/>
            <w:hideMark/>
          </w:tcPr>
          <w:p w14:paraId="26F8CF3E"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40 children (6-17) meeting DSM-IV-TR criteria for ADHD</w:t>
            </w:r>
          </w:p>
        </w:tc>
        <w:tc>
          <w:tcPr>
            <w:tcW w:w="1658" w:type="dxa"/>
            <w:gridSpan w:val="2"/>
            <w:tcBorders>
              <w:bottom w:val="single" w:sz="4" w:space="0" w:color="auto"/>
            </w:tcBorders>
            <w:shd w:val="clear" w:color="auto" w:fill="auto"/>
            <w:hideMark/>
          </w:tcPr>
          <w:p w14:paraId="32333EF0"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Bupropion</w:t>
            </w:r>
          </w:p>
        </w:tc>
        <w:tc>
          <w:tcPr>
            <w:tcW w:w="4336" w:type="dxa"/>
            <w:tcBorders>
              <w:bottom w:val="single" w:sz="4" w:space="0" w:color="auto"/>
            </w:tcBorders>
            <w:shd w:val="clear" w:color="auto" w:fill="auto"/>
            <w:hideMark/>
          </w:tcPr>
          <w:p w14:paraId="395BF58A"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Proportion of participants who left the study because of any side-effect</w:t>
            </w:r>
          </w:p>
        </w:tc>
        <w:tc>
          <w:tcPr>
            <w:tcW w:w="3572" w:type="dxa"/>
            <w:tcBorders>
              <w:bottom w:val="single" w:sz="4" w:space="0" w:color="auto"/>
            </w:tcBorders>
            <w:shd w:val="clear" w:color="auto" w:fill="auto"/>
            <w:hideMark/>
          </w:tcPr>
          <w:p w14:paraId="17E77664"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OR 1.51; 95% CI 0.17 to 13.27</w:t>
            </w:r>
          </w:p>
        </w:tc>
      </w:tr>
      <w:tr w:rsidR="005968BA" w:rsidRPr="001F74C9" w14:paraId="7DCC6328" w14:textId="77777777" w:rsidTr="002C2967">
        <w:trPr>
          <w:trHeight w:val="97"/>
        </w:trPr>
        <w:tc>
          <w:tcPr>
            <w:tcW w:w="1546" w:type="dxa"/>
            <w:shd w:val="pct5" w:color="auto" w:fill="auto"/>
            <w:hideMark/>
          </w:tcPr>
          <w:p w14:paraId="454F587E" w14:textId="211B7616" w:rsidR="001F74C9" w:rsidRPr="002C2967" w:rsidRDefault="001F74C9" w:rsidP="002C2967">
            <w:pPr>
              <w:spacing w:beforeLines="20" w:before="48" w:afterLines="20" w:after="48"/>
              <w:rPr>
                <w:rFonts w:cstheme="minorHAnsi"/>
                <w:b/>
                <w:bCs/>
                <w:color w:val="000000"/>
                <w:sz w:val="22"/>
                <w:szCs w:val="21"/>
              </w:rPr>
            </w:pPr>
            <w:r w:rsidRPr="001F74C9">
              <w:rPr>
                <w:rFonts w:cstheme="minorHAnsi"/>
                <w:b/>
                <w:bCs/>
                <w:color w:val="000000"/>
                <w:sz w:val="22"/>
                <w:szCs w:val="21"/>
              </w:rPr>
              <w:t>ANXIETY</w:t>
            </w:r>
          </w:p>
        </w:tc>
        <w:tc>
          <w:tcPr>
            <w:tcW w:w="2950" w:type="dxa"/>
            <w:shd w:val="pct5" w:color="auto" w:fill="auto"/>
            <w:hideMark/>
          </w:tcPr>
          <w:p w14:paraId="1002BE2E" w14:textId="1E705687" w:rsidR="001F74C9" w:rsidRPr="002C2967" w:rsidRDefault="001F74C9" w:rsidP="002C2967">
            <w:pPr>
              <w:spacing w:beforeLines="20" w:before="48" w:afterLines="20" w:after="48"/>
              <w:rPr>
                <w:rFonts w:cstheme="minorHAnsi"/>
                <w:b/>
                <w:bCs/>
                <w:color w:val="000000"/>
                <w:sz w:val="22"/>
                <w:szCs w:val="21"/>
              </w:rPr>
            </w:pPr>
            <w:r w:rsidRPr="00563224">
              <w:rPr>
                <w:rFonts w:cstheme="minorHAnsi"/>
                <w:b/>
                <w:bCs/>
                <w:color w:val="000000"/>
                <w:sz w:val="22"/>
                <w:szCs w:val="21"/>
              </w:rPr>
              <w:t> </w:t>
            </w:r>
          </w:p>
        </w:tc>
        <w:tc>
          <w:tcPr>
            <w:tcW w:w="1658" w:type="dxa"/>
            <w:gridSpan w:val="2"/>
            <w:shd w:val="pct5" w:color="auto" w:fill="auto"/>
            <w:hideMark/>
          </w:tcPr>
          <w:p w14:paraId="5446AD79" w14:textId="5A47AE89" w:rsidR="001F74C9" w:rsidRPr="002C2967" w:rsidRDefault="001F74C9" w:rsidP="002C2967">
            <w:pPr>
              <w:spacing w:beforeLines="20" w:before="48" w:afterLines="20" w:after="48"/>
              <w:rPr>
                <w:rFonts w:cstheme="minorHAnsi"/>
                <w:b/>
                <w:bCs/>
                <w:color w:val="000000"/>
                <w:sz w:val="22"/>
                <w:szCs w:val="21"/>
              </w:rPr>
            </w:pPr>
            <w:r w:rsidRPr="00563224">
              <w:rPr>
                <w:rFonts w:cstheme="minorHAnsi"/>
                <w:b/>
                <w:bCs/>
                <w:color w:val="000000"/>
                <w:sz w:val="22"/>
                <w:szCs w:val="21"/>
              </w:rPr>
              <w:t> </w:t>
            </w:r>
          </w:p>
        </w:tc>
        <w:tc>
          <w:tcPr>
            <w:tcW w:w="4336" w:type="dxa"/>
            <w:shd w:val="pct5" w:color="auto" w:fill="auto"/>
            <w:hideMark/>
          </w:tcPr>
          <w:p w14:paraId="79FC9241" w14:textId="0F19974A" w:rsidR="001F74C9" w:rsidRPr="002C2967" w:rsidRDefault="001F74C9" w:rsidP="002C2967">
            <w:pPr>
              <w:spacing w:beforeLines="20" w:before="48" w:afterLines="20" w:after="48"/>
              <w:rPr>
                <w:rFonts w:cstheme="minorHAnsi"/>
                <w:b/>
                <w:bCs/>
                <w:color w:val="000000"/>
                <w:sz w:val="22"/>
                <w:szCs w:val="21"/>
              </w:rPr>
            </w:pPr>
            <w:r w:rsidRPr="00563224">
              <w:rPr>
                <w:rFonts w:cstheme="minorHAnsi"/>
                <w:b/>
                <w:bCs/>
                <w:color w:val="000000"/>
                <w:sz w:val="22"/>
                <w:szCs w:val="21"/>
              </w:rPr>
              <w:t> </w:t>
            </w:r>
          </w:p>
        </w:tc>
        <w:tc>
          <w:tcPr>
            <w:tcW w:w="3572" w:type="dxa"/>
            <w:shd w:val="pct5" w:color="auto" w:fill="auto"/>
            <w:hideMark/>
          </w:tcPr>
          <w:p w14:paraId="6983BBE6" w14:textId="63CC0667" w:rsidR="001F74C9" w:rsidRPr="002C2967" w:rsidRDefault="001F74C9" w:rsidP="002C2967">
            <w:pPr>
              <w:spacing w:beforeLines="20" w:before="48" w:afterLines="20" w:after="48"/>
              <w:rPr>
                <w:rFonts w:cstheme="minorHAnsi"/>
                <w:b/>
                <w:bCs/>
                <w:color w:val="000000"/>
                <w:sz w:val="22"/>
                <w:szCs w:val="21"/>
              </w:rPr>
            </w:pPr>
            <w:r w:rsidRPr="00563224">
              <w:rPr>
                <w:rFonts w:cstheme="minorHAnsi"/>
                <w:b/>
                <w:bCs/>
                <w:color w:val="000000"/>
                <w:sz w:val="22"/>
                <w:szCs w:val="21"/>
              </w:rPr>
              <w:t> </w:t>
            </w:r>
          </w:p>
        </w:tc>
      </w:tr>
      <w:tr w:rsidR="005968BA" w:rsidRPr="001F74C9" w14:paraId="304692E6" w14:textId="77777777" w:rsidTr="002C2967">
        <w:trPr>
          <w:trHeight w:val="169"/>
        </w:trPr>
        <w:tc>
          <w:tcPr>
            <w:tcW w:w="1546" w:type="dxa"/>
            <w:shd w:val="clear" w:color="auto" w:fill="auto"/>
            <w:hideMark/>
          </w:tcPr>
          <w:p w14:paraId="2504F85C"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Efficacy</w:t>
            </w:r>
          </w:p>
        </w:tc>
        <w:tc>
          <w:tcPr>
            <w:tcW w:w="2950" w:type="dxa"/>
            <w:shd w:val="clear" w:color="auto" w:fill="auto"/>
            <w:hideMark/>
          </w:tcPr>
          <w:p w14:paraId="4AB89A98"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1658" w:type="dxa"/>
            <w:gridSpan w:val="2"/>
            <w:shd w:val="clear" w:color="auto" w:fill="auto"/>
            <w:hideMark/>
          </w:tcPr>
          <w:p w14:paraId="270F8366"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4336" w:type="dxa"/>
            <w:shd w:val="clear" w:color="auto" w:fill="auto"/>
            <w:hideMark/>
          </w:tcPr>
          <w:p w14:paraId="7C55A380"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3572" w:type="dxa"/>
            <w:shd w:val="clear" w:color="auto" w:fill="auto"/>
            <w:hideMark/>
          </w:tcPr>
          <w:p w14:paraId="7C6E5883"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r>
      <w:tr w:rsidR="005968BA" w:rsidRPr="001F74C9" w14:paraId="7C62042F" w14:textId="77777777" w:rsidTr="002C2967">
        <w:trPr>
          <w:trHeight w:val="661"/>
        </w:trPr>
        <w:tc>
          <w:tcPr>
            <w:tcW w:w="1546" w:type="dxa"/>
            <w:vMerge w:val="restart"/>
            <w:shd w:val="clear" w:color="auto" w:fill="auto"/>
            <w:hideMark/>
          </w:tcPr>
          <w:p w14:paraId="1E7E5E65" w14:textId="7977E76A"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Dobson et al (2019)</w:t>
            </w:r>
            <w:r w:rsidR="00A9221B" w:rsidRPr="009C48FB">
              <w:rPr>
                <w:rFonts w:cstheme="minorHAnsi"/>
                <w:color w:val="000000"/>
                <w:sz w:val="22"/>
                <w:szCs w:val="21"/>
                <w:vertAlign w:val="superscript"/>
              </w:rPr>
              <w:fldChar w:fldCharType="begin"/>
            </w:r>
            <w:r w:rsidR="00A9221B" w:rsidRPr="009C48FB">
              <w:rPr>
                <w:rFonts w:cstheme="minorHAnsi"/>
                <w:color w:val="000000"/>
                <w:sz w:val="22"/>
                <w:szCs w:val="21"/>
                <w:vertAlign w:val="superscript"/>
              </w:rPr>
              <w:instrText xml:space="preserve"> NOTEREF _Ref45746788 \h </w:instrText>
            </w:r>
            <w:r w:rsidR="00A9221B">
              <w:rPr>
                <w:rFonts w:cstheme="minorHAnsi"/>
                <w:color w:val="000000"/>
                <w:sz w:val="22"/>
                <w:szCs w:val="21"/>
                <w:vertAlign w:val="superscript"/>
              </w:rPr>
              <w:instrText xml:space="preserve"> \* MERGEFORMAT </w:instrText>
            </w:r>
            <w:r w:rsidR="00A9221B" w:rsidRPr="009C48FB">
              <w:rPr>
                <w:rFonts w:cstheme="minorHAnsi"/>
                <w:color w:val="000000"/>
                <w:sz w:val="22"/>
                <w:szCs w:val="21"/>
                <w:vertAlign w:val="superscript"/>
              </w:rPr>
            </w:r>
            <w:r w:rsidR="00A9221B" w:rsidRPr="009C48FB">
              <w:rPr>
                <w:rFonts w:cstheme="minorHAnsi"/>
                <w:color w:val="000000"/>
                <w:sz w:val="22"/>
                <w:szCs w:val="21"/>
                <w:vertAlign w:val="superscript"/>
              </w:rPr>
              <w:fldChar w:fldCharType="separate"/>
            </w:r>
            <w:r w:rsidR="00202932">
              <w:rPr>
                <w:rFonts w:cstheme="minorHAnsi"/>
                <w:color w:val="000000"/>
                <w:sz w:val="22"/>
                <w:szCs w:val="21"/>
                <w:vertAlign w:val="superscript"/>
              </w:rPr>
              <w:t>11</w:t>
            </w:r>
            <w:r w:rsidR="00A9221B" w:rsidRPr="009C48FB">
              <w:rPr>
                <w:rFonts w:cstheme="minorHAnsi"/>
                <w:color w:val="000000"/>
                <w:sz w:val="22"/>
                <w:szCs w:val="21"/>
                <w:vertAlign w:val="superscript"/>
              </w:rPr>
              <w:fldChar w:fldCharType="end"/>
            </w:r>
          </w:p>
        </w:tc>
        <w:tc>
          <w:tcPr>
            <w:tcW w:w="2950" w:type="dxa"/>
            <w:vMerge w:val="restart"/>
            <w:shd w:val="clear" w:color="auto" w:fill="auto"/>
            <w:hideMark/>
          </w:tcPr>
          <w:p w14:paraId="70F7FE30"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1,847 children and adolescents (6-17 years) diagnosed with mixed anxiety disorders, generalized anxiety disorder (GAD), social anxiety disorder, school phobia, separation anxiety disorder, elective mutism</w:t>
            </w:r>
          </w:p>
          <w:p w14:paraId="74DF6BCC"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vMerge w:val="restart"/>
            <w:shd w:val="clear" w:color="auto" w:fill="auto"/>
            <w:hideMark/>
          </w:tcPr>
          <w:p w14:paraId="3A3774C2"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Fluvoxamine</w:t>
            </w:r>
          </w:p>
        </w:tc>
        <w:tc>
          <w:tcPr>
            <w:tcW w:w="4336" w:type="dxa"/>
            <w:shd w:val="clear" w:color="auto" w:fill="auto"/>
            <w:hideMark/>
          </w:tcPr>
          <w:p w14:paraId="655E7B87"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Treatment response as measured by CGI-I scores ≤ 3</w:t>
            </w:r>
          </w:p>
        </w:tc>
        <w:tc>
          <w:tcPr>
            <w:tcW w:w="3572" w:type="dxa"/>
            <w:shd w:val="clear" w:color="auto" w:fill="auto"/>
            <w:hideMark/>
          </w:tcPr>
          <w:p w14:paraId="74B5C561"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Log OR 2.1; 95% CrI 0.3 to 3.9</w:t>
            </w:r>
          </w:p>
        </w:tc>
      </w:tr>
      <w:tr w:rsidR="005968BA" w:rsidRPr="001F74C9" w14:paraId="559DFD22" w14:textId="77777777" w:rsidTr="002C2967">
        <w:trPr>
          <w:trHeight w:val="423"/>
        </w:trPr>
        <w:tc>
          <w:tcPr>
            <w:tcW w:w="1546" w:type="dxa"/>
            <w:vMerge/>
            <w:hideMark/>
          </w:tcPr>
          <w:p w14:paraId="57477948"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6C04A2E2"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vMerge/>
            <w:hideMark/>
          </w:tcPr>
          <w:p w14:paraId="08E9AF3E" w14:textId="77777777" w:rsidR="001F74C9" w:rsidRPr="002C2967" w:rsidRDefault="001F74C9" w:rsidP="002C2967">
            <w:pPr>
              <w:spacing w:beforeLines="20" w:before="48" w:afterLines="20" w:after="48"/>
              <w:rPr>
                <w:rFonts w:cstheme="minorHAnsi"/>
                <w:color w:val="000000"/>
                <w:sz w:val="22"/>
                <w:szCs w:val="21"/>
              </w:rPr>
            </w:pPr>
          </w:p>
        </w:tc>
        <w:tc>
          <w:tcPr>
            <w:tcW w:w="4336" w:type="dxa"/>
            <w:shd w:val="clear" w:color="auto" w:fill="auto"/>
            <w:hideMark/>
          </w:tcPr>
          <w:p w14:paraId="4B578B16"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Improvement in anxiety symptom severity as measured by PARS</w:t>
            </w:r>
          </w:p>
        </w:tc>
        <w:tc>
          <w:tcPr>
            <w:tcW w:w="3572" w:type="dxa"/>
            <w:shd w:val="clear" w:color="auto" w:fill="auto"/>
            <w:hideMark/>
          </w:tcPr>
          <w:p w14:paraId="787FB05E"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MD 8.3; 95% CrI 2.5 to 14.3</w:t>
            </w:r>
          </w:p>
        </w:tc>
      </w:tr>
      <w:tr w:rsidR="005968BA" w:rsidRPr="001F74C9" w14:paraId="2A546340" w14:textId="77777777" w:rsidTr="002C2967">
        <w:trPr>
          <w:trHeight w:val="315"/>
        </w:trPr>
        <w:tc>
          <w:tcPr>
            <w:tcW w:w="1546" w:type="dxa"/>
            <w:vMerge/>
            <w:hideMark/>
          </w:tcPr>
          <w:p w14:paraId="2904EC47"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3CE91AFD"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vMerge w:val="restart"/>
            <w:shd w:val="clear" w:color="auto" w:fill="auto"/>
            <w:hideMark/>
          </w:tcPr>
          <w:p w14:paraId="55BD226B"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Fluoxetine</w:t>
            </w:r>
          </w:p>
        </w:tc>
        <w:tc>
          <w:tcPr>
            <w:tcW w:w="4336" w:type="dxa"/>
            <w:shd w:val="clear" w:color="auto" w:fill="auto"/>
            <w:hideMark/>
          </w:tcPr>
          <w:p w14:paraId="0F5BC8D6"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Treatment response as measured by CGI-I scores ≤ 2</w:t>
            </w:r>
          </w:p>
        </w:tc>
        <w:tc>
          <w:tcPr>
            <w:tcW w:w="3572" w:type="dxa"/>
            <w:shd w:val="clear" w:color="auto" w:fill="auto"/>
            <w:hideMark/>
          </w:tcPr>
          <w:p w14:paraId="4F347409"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Log OR 1.4; 95% CrI 0.4 to 2.9</w:t>
            </w:r>
          </w:p>
        </w:tc>
      </w:tr>
      <w:tr w:rsidR="005968BA" w:rsidRPr="001F74C9" w14:paraId="582C927E" w14:textId="77777777" w:rsidTr="002C2967">
        <w:trPr>
          <w:trHeight w:val="97"/>
        </w:trPr>
        <w:tc>
          <w:tcPr>
            <w:tcW w:w="1546" w:type="dxa"/>
            <w:vMerge/>
            <w:hideMark/>
          </w:tcPr>
          <w:p w14:paraId="027049E6"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28CFA026"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vMerge/>
            <w:hideMark/>
          </w:tcPr>
          <w:p w14:paraId="403F8FFF" w14:textId="77777777" w:rsidR="001F74C9" w:rsidRPr="002C2967" w:rsidRDefault="001F74C9" w:rsidP="002C2967">
            <w:pPr>
              <w:spacing w:beforeLines="20" w:before="48" w:afterLines="20" w:after="48"/>
              <w:rPr>
                <w:rFonts w:cstheme="minorHAnsi"/>
                <w:color w:val="000000"/>
                <w:sz w:val="22"/>
                <w:szCs w:val="21"/>
              </w:rPr>
            </w:pPr>
          </w:p>
        </w:tc>
        <w:tc>
          <w:tcPr>
            <w:tcW w:w="4336" w:type="dxa"/>
            <w:shd w:val="clear" w:color="auto" w:fill="auto"/>
            <w:hideMark/>
          </w:tcPr>
          <w:p w14:paraId="2299F912"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Improvement in anxiety symptom severity as measured by PARS, SPAI-C and MASC</w:t>
            </w:r>
          </w:p>
        </w:tc>
        <w:tc>
          <w:tcPr>
            <w:tcW w:w="3572" w:type="dxa"/>
            <w:shd w:val="clear" w:color="auto" w:fill="auto"/>
            <w:hideMark/>
          </w:tcPr>
          <w:p w14:paraId="07F4DF70"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MD 2.6; 95% CrI -1.4 to 8.2 </w:t>
            </w:r>
          </w:p>
        </w:tc>
      </w:tr>
      <w:tr w:rsidR="005968BA" w:rsidRPr="001F74C9" w14:paraId="33E741E7" w14:textId="77777777" w:rsidTr="002C2967">
        <w:trPr>
          <w:trHeight w:val="97"/>
        </w:trPr>
        <w:tc>
          <w:tcPr>
            <w:tcW w:w="1546" w:type="dxa"/>
            <w:vMerge/>
            <w:hideMark/>
          </w:tcPr>
          <w:p w14:paraId="40FCDE90"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3FF31EA4"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vMerge w:val="restart"/>
            <w:shd w:val="clear" w:color="auto" w:fill="auto"/>
            <w:hideMark/>
          </w:tcPr>
          <w:p w14:paraId="6CEB5BBB"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Paroxetine</w:t>
            </w:r>
          </w:p>
        </w:tc>
        <w:tc>
          <w:tcPr>
            <w:tcW w:w="4336" w:type="dxa"/>
            <w:shd w:val="clear" w:color="auto" w:fill="auto"/>
            <w:hideMark/>
          </w:tcPr>
          <w:p w14:paraId="3B8BF4D3"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Treatment response as measured by CGI-I scores ≤ 2</w:t>
            </w:r>
          </w:p>
        </w:tc>
        <w:tc>
          <w:tcPr>
            <w:tcW w:w="3572" w:type="dxa"/>
            <w:shd w:val="clear" w:color="auto" w:fill="auto"/>
            <w:hideMark/>
          </w:tcPr>
          <w:p w14:paraId="033C1B12"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Log OR 1.3; 95% CrI -0.4 to 3.0 </w:t>
            </w:r>
          </w:p>
        </w:tc>
      </w:tr>
      <w:tr w:rsidR="005968BA" w:rsidRPr="001F74C9" w14:paraId="1ADF2A39" w14:textId="77777777" w:rsidTr="002C2967">
        <w:trPr>
          <w:trHeight w:val="97"/>
        </w:trPr>
        <w:tc>
          <w:tcPr>
            <w:tcW w:w="1546" w:type="dxa"/>
            <w:vMerge/>
            <w:hideMark/>
          </w:tcPr>
          <w:p w14:paraId="49D815E2"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01CC5D37"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vMerge/>
            <w:hideMark/>
          </w:tcPr>
          <w:p w14:paraId="1820BFDB" w14:textId="77777777" w:rsidR="001F74C9" w:rsidRPr="002C2967" w:rsidRDefault="001F74C9" w:rsidP="002C2967">
            <w:pPr>
              <w:spacing w:beforeLines="20" w:before="48" w:afterLines="20" w:after="48"/>
              <w:rPr>
                <w:rFonts w:cstheme="minorHAnsi"/>
                <w:color w:val="000000"/>
                <w:sz w:val="22"/>
                <w:szCs w:val="21"/>
              </w:rPr>
            </w:pPr>
          </w:p>
        </w:tc>
        <w:tc>
          <w:tcPr>
            <w:tcW w:w="4336" w:type="dxa"/>
            <w:shd w:val="clear" w:color="auto" w:fill="auto"/>
            <w:hideMark/>
          </w:tcPr>
          <w:p w14:paraId="5B4832DE"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Improvement in anxiety symptom severity as measured by LSAS-CA</w:t>
            </w:r>
          </w:p>
        </w:tc>
        <w:tc>
          <w:tcPr>
            <w:tcW w:w="3572" w:type="dxa"/>
            <w:shd w:val="clear" w:color="auto" w:fill="auto"/>
            <w:hideMark/>
          </w:tcPr>
          <w:p w14:paraId="7BD44EC7"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MD 18.4; 95% CrI 4.1 to 32.4</w:t>
            </w:r>
          </w:p>
        </w:tc>
      </w:tr>
      <w:tr w:rsidR="005968BA" w:rsidRPr="001F74C9" w14:paraId="4411691A" w14:textId="77777777" w:rsidTr="002C2967">
        <w:trPr>
          <w:trHeight w:val="315"/>
        </w:trPr>
        <w:tc>
          <w:tcPr>
            <w:tcW w:w="1546" w:type="dxa"/>
            <w:vMerge/>
            <w:hideMark/>
          </w:tcPr>
          <w:p w14:paraId="7E637EFB"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4A0B5ED1"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vMerge w:val="restart"/>
            <w:shd w:val="clear" w:color="auto" w:fill="auto"/>
            <w:hideMark/>
          </w:tcPr>
          <w:p w14:paraId="314146AD"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Sertraline</w:t>
            </w:r>
          </w:p>
        </w:tc>
        <w:tc>
          <w:tcPr>
            <w:tcW w:w="4336" w:type="dxa"/>
            <w:shd w:val="clear" w:color="auto" w:fill="auto"/>
            <w:hideMark/>
          </w:tcPr>
          <w:p w14:paraId="50023BF2"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Treatment response as measured by CGI-I scores ≤ 2</w:t>
            </w:r>
          </w:p>
        </w:tc>
        <w:tc>
          <w:tcPr>
            <w:tcW w:w="3572" w:type="dxa"/>
            <w:shd w:val="clear" w:color="auto" w:fill="auto"/>
            <w:hideMark/>
          </w:tcPr>
          <w:p w14:paraId="00C2966C"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Log OR 1.8; 95% CrI 0.8 to 3.9</w:t>
            </w:r>
          </w:p>
        </w:tc>
      </w:tr>
      <w:tr w:rsidR="005968BA" w:rsidRPr="001F74C9" w14:paraId="52FD786E" w14:textId="77777777" w:rsidTr="002C2967">
        <w:trPr>
          <w:trHeight w:val="97"/>
        </w:trPr>
        <w:tc>
          <w:tcPr>
            <w:tcW w:w="1546" w:type="dxa"/>
            <w:vMerge/>
            <w:hideMark/>
          </w:tcPr>
          <w:p w14:paraId="6AF9E94E"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107838FE"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vMerge/>
            <w:hideMark/>
          </w:tcPr>
          <w:p w14:paraId="6F2F323A" w14:textId="77777777" w:rsidR="001F74C9" w:rsidRPr="002C2967" w:rsidRDefault="001F74C9" w:rsidP="002C2967">
            <w:pPr>
              <w:spacing w:beforeLines="20" w:before="48" w:afterLines="20" w:after="48"/>
              <w:rPr>
                <w:rFonts w:cstheme="minorHAnsi"/>
                <w:color w:val="000000"/>
                <w:sz w:val="22"/>
                <w:szCs w:val="21"/>
              </w:rPr>
            </w:pPr>
          </w:p>
        </w:tc>
        <w:tc>
          <w:tcPr>
            <w:tcW w:w="4336" w:type="dxa"/>
            <w:shd w:val="clear" w:color="auto" w:fill="auto"/>
            <w:hideMark/>
          </w:tcPr>
          <w:p w14:paraId="18122DFA"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Improvement in anxiety symptom severity as measured by PARS, HARS</w:t>
            </w:r>
          </w:p>
        </w:tc>
        <w:tc>
          <w:tcPr>
            <w:tcW w:w="3572" w:type="dxa"/>
            <w:shd w:val="clear" w:color="auto" w:fill="auto"/>
            <w:hideMark/>
          </w:tcPr>
          <w:p w14:paraId="0C7A82ED"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MD 3.0; 95% CrI -0.1 to 9.6 </w:t>
            </w:r>
          </w:p>
        </w:tc>
      </w:tr>
      <w:tr w:rsidR="005968BA" w:rsidRPr="001F74C9" w14:paraId="232E087A" w14:textId="77777777" w:rsidTr="002C2967">
        <w:trPr>
          <w:trHeight w:val="97"/>
        </w:trPr>
        <w:tc>
          <w:tcPr>
            <w:tcW w:w="1546" w:type="dxa"/>
            <w:vMerge/>
            <w:hideMark/>
          </w:tcPr>
          <w:p w14:paraId="6101EA3D"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21841941"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vMerge w:val="restart"/>
            <w:shd w:val="clear" w:color="auto" w:fill="auto"/>
            <w:hideMark/>
          </w:tcPr>
          <w:p w14:paraId="63C98616"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Duloxetine</w:t>
            </w:r>
          </w:p>
        </w:tc>
        <w:tc>
          <w:tcPr>
            <w:tcW w:w="4336" w:type="dxa"/>
            <w:shd w:val="clear" w:color="auto" w:fill="auto"/>
            <w:hideMark/>
          </w:tcPr>
          <w:p w14:paraId="7536CFEE"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Treatment response as measured by 50% improvement on PARS</w:t>
            </w:r>
          </w:p>
        </w:tc>
        <w:tc>
          <w:tcPr>
            <w:tcW w:w="3572" w:type="dxa"/>
            <w:shd w:val="clear" w:color="auto" w:fill="auto"/>
            <w:hideMark/>
          </w:tcPr>
          <w:p w14:paraId="52D3D20C"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Log OR 0.7; 95% -1.0 to 2.4 </w:t>
            </w:r>
          </w:p>
        </w:tc>
      </w:tr>
      <w:tr w:rsidR="005968BA" w:rsidRPr="001F74C9" w14:paraId="1C71E392" w14:textId="77777777" w:rsidTr="002C2967">
        <w:trPr>
          <w:trHeight w:val="215"/>
        </w:trPr>
        <w:tc>
          <w:tcPr>
            <w:tcW w:w="1546" w:type="dxa"/>
            <w:vMerge/>
            <w:hideMark/>
          </w:tcPr>
          <w:p w14:paraId="3807FC4C"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2566D07E"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vMerge/>
            <w:hideMark/>
          </w:tcPr>
          <w:p w14:paraId="7459464A" w14:textId="77777777" w:rsidR="001F74C9" w:rsidRPr="002C2967" w:rsidRDefault="001F74C9" w:rsidP="002C2967">
            <w:pPr>
              <w:spacing w:beforeLines="20" w:before="48" w:afterLines="20" w:after="48"/>
              <w:rPr>
                <w:rFonts w:cstheme="minorHAnsi"/>
                <w:color w:val="000000"/>
                <w:sz w:val="22"/>
                <w:szCs w:val="21"/>
              </w:rPr>
            </w:pPr>
          </w:p>
        </w:tc>
        <w:tc>
          <w:tcPr>
            <w:tcW w:w="4336" w:type="dxa"/>
            <w:shd w:val="clear" w:color="auto" w:fill="auto"/>
            <w:hideMark/>
          </w:tcPr>
          <w:p w14:paraId="025F75FC"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Improvement in anxiety symptom severity as measured by PARS</w:t>
            </w:r>
          </w:p>
        </w:tc>
        <w:tc>
          <w:tcPr>
            <w:tcW w:w="3572" w:type="dxa"/>
            <w:shd w:val="clear" w:color="auto" w:fill="auto"/>
            <w:hideMark/>
          </w:tcPr>
          <w:p w14:paraId="233DFF25"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MD 2.8; 95% CrI -2.8 to 8.5 </w:t>
            </w:r>
          </w:p>
        </w:tc>
      </w:tr>
      <w:tr w:rsidR="005968BA" w:rsidRPr="001F74C9" w14:paraId="79BD6647" w14:textId="77777777" w:rsidTr="002C2967">
        <w:trPr>
          <w:trHeight w:val="237"/>
        </w:trPr>
        <w:tc>
          <w:tcPr>
            <w:tcW w:w="1546" w:type="dxa"/>
            <w:vMerge/>
            <w:hideMark/>
          </w:tcPr>
          <w:p w14:paraId="58341A33"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61DDFF46"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vMerge w:val="restart"/>
            <w:shd w:val="clear" w:color="auto" w:fill="auto"/>
            <w:hideMark/>
          </w:tcPr>
          <w:p w14:paraId="1C971E16"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Venlafaxine</w:t>
            </w:r>
          </w:p>
        </w:tc>
        <w:tc>
          <w:tcPr>
            <w:tcW w:w="4336" w:type="dxa"/>
            <w:shd w:val="clear" w:color="auto" w:fill="auto"/>
            <w:hideMark/>
          </w:tcPr>
          <w:p w14:paraId="3918B5CA"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Treatment response as measured by CGI-I scores ≤ 2</w:t>
            </w:r>
          </w:p>
        </w:tc>
        <w:tc>
          <w:tcPr>
            <w:tcW w:w="3572" w:type="dxa"/>
            <w:shd w:val="clear" w:color="auto" w:fill="auto"/>
            <w:hideMark/>
          </w:tcPr>
          <w:p w14:paraId="0402C7F3"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Log OR 0.9; 95% CrI -0.1 to 1.9 </w:t>
            </w:r>
          </w:p>
        </w:tc>
      </w:tr>
      <w:tr w:rsidR="005968BA" w:rsidRPr="001F74C9" w14:paraId="389B7454" w14:textId="77777777" w:rsidTr="002C2967">
        <w:trPr>
          <w:trHeight w:val="259"/>
        </w:trPr>
        <w:tc>
          <w:tcPr>
            <w:tcW w:w="1546" w:type="dxa"/>
            <w:vMerge/>
            <w:hideMark/>
          </w:tcPr>
          <w:p w14:paraId="7209AA0D"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77CDA317"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vMerge/>
            <w:hideMark/>
          </w:tcPr>
          <w:p w14:paraId="26F698A0" w14:textId="77777777" w:rsidR="001F74C9" w:rsidRPr="002C2967" w:rsidRDefault="001F74C9" w:rsidP="002C2967">
            <w:pPr>
              <w:spacing w:beforeLines="20" w:before="48" w:afterLines="20" w:after="48"/>
              <w:rPr>
                <w:rFonts w:cstheme="minorHAnsi"/>
                <w:color w:val="000000"/>
                <w:sz w:val="22"/>
                <w:szCs w:val="21"/>
              </w:rPr>
            </w:pPr>
          </w:p>
        </w:tc>
        <w:tc>
          <w:tcPr>
            <w:tcW w:w="4336" w:type="dxa"/>
            <w:shd w:val="clear" w:color="auto" w:fill="auto"/>
            <w:hideMark/>
          </w:tcPr>
          <w:p w14:paraId="7B38A5BB"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Improvement in anxiety symptom severity as measured by PARS</w:t>
            </w:r>
          </w:p>
        </w:tc>
        <w:tc>
          <w:tcPr>
            <w:tcW w:w="3572" w:type="dxa"/>
            <w:shd w:val="clear" w:color="auto" w:fill="auto"/>
            <w:hideMark/>
          </w:tcPr>
          <w:p w14:paraId="473ADF75"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MD 2.6; 95% CrI -1.1 to 5.9</w:t>
            </w:r>
          </w:p>
        </w:tc>
      </w:tr>
      <w:tr w:rsidR="005968BA" w:rsidRPr="001F74C9" w14:paraId="5B34BE3E" w14:textId="77777777" w:rsidTr="002C2967">
        <w:trPr>
          <w:trHeight w:val="97"/>
        </w:trPr>
        <w:tc>
          <w:tcPr>
            <w:tcW w:w="1546" w:type="dxa"/>
            <w:vMerge/>
            <w:hideMark/>
          </w:tcPr>
          <w:p w14:paraId="3ECA98C7"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7D53D119"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vMerge w:val="restart"/>
            <w:shd w:val="clear" w:color="auto" w:fill="auto"/>
            <w:hideMark/>
          </w:tcPr>
          <w:p w14:paraId="13899EE0"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Clomipramine</w:t>
            </w:r>
          </w:p>
        </w:tc>
        <w:tc>
          <w:tcPr>
            <w:tcW w:w="4336" w:type="dxa"/>
            <w:shd w:val="clear" w:color="auto" w:fill="auto"/>
            <w:hideMark/>
          </w:tcPr>
          <w:p w14:paraId="2D59ACC3"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Treatment response as measured by CGI-I scores ≤ 2</w:t>
            </w:r>
          </w:p>
        </w:tc>
        <w:tc>
          <w:tcPr>
            <w:tcW w:w="3572" w:type="dxa"/>
            <w:shd w:val="clear" w:color="auto" w:fill="auto"/>
            <w:hideMark/>
          </w:tcPr>
          <w:p w14:paraId="64458CBB"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Log OR 0.2; 95% CrI -1.5 to 1.9 </w:t>
            </w:r>
          </w:p>
        </w:tc>
      </w:tr>
      <w:tr w:rsidR="005968BA" w:rsidRPr="001F74C9" w14:paraId="613AF91C" w14:textId="77777777" w:rsidTr="002C2967">
        <w:trPr>
          <w:trHeight w:val="97"/>
        </w:trPr>
        <w:tc>
          <w:tcPr>
            <w:tcW w:w="1546" w:type="dxa"/>
            <w:vMerge/>
            <w:hideMark/>
          </w:tcPr>
          <w:p w14:paraId="11734856"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0EAACFBB"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vMerge/>
            <w:hideMark/>
          </w:tcPr>
          <w:p w14:paraId="49EFED29" w14:textId="77777777" w:rsidR="001F74C9" w:rsidRPr="002C2967" w:rsidRDefault="001F74C9" w:rsidP="002C2967">
            <w:pPr>
              <w:spacing w:beforeLines="20" w:before="48" w:afterLines="20" w:after="48"/>
              <w:rPr>
                <w:rFonts w:cstheme="minorHAnsi"/>
                <w:color w:val="000000"/>
                <w:sz w:val="22"/>
                <w:szCs w:val="21"/>
              </w:rPr>
            </w:pPr>
          </w:p>
        </w:tc>
        <w:tc>
          <w:tcPr>
            <w:tcW w:w="4336" w:type="dxa"/>
            <w:shd w:val="clear" w:color="auto" w:fill="auto"/>
            <w:hideMark/>
          </w:tcPr>
          <w:p w14:paraId="42D5D339"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Improvement in anxiety symptom severity as measured by MASC</w:t>
            </w:r>
          </w:p>
        </w:tc>
        <w:tc>
          <w:tcPr>
            <w:tcW w:w="3572" w:type="dxa"/>
            <w:shd w:val="clear" w:color="auto" w:fill="auto"/>
            <w:hideMark/>
          </w:tcPr>
          <w:p w14:paraId="201503AE"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MD -5.9; 95% CrI -19.0 to 7.7 </w:t>
            </w:r>
          </w:p>
        </w:tc>
      </w:tr>
      <w:tr w:rsidR="005968BA" w:rsidRPr="001F74C9" w14:paraId="5696E6C6" w14:textId="77777777" w:rsidTr="002C2967">
        <w:trPr>
          <w:trHeight w:val="99"/>
        </w:trPr>
        <w:tc>
          <w:tcPr>
            <w:tcW w:w="1546" w:type="dxa"/>
            <w:vMerge/>
            <w:hideMark/>
          </w:tcPr>
          <w:p w14:paraId="2E738B47"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21B2F00C"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vMerge w:val="restart"/>
            <w:shd w:val="clear" w:color="auto" w:fill="auto"/>
            <w:hideMark/>
          </w:tcPr>
          <w:p w14:paraId="68AFBA3F"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Imipramine</w:t>
            </w:r>
          </w:p>
        </w:tc>
        <w:tc>
          <w:tcPr>
            <w:tcW w:w="4336" w:type="dxa"/>
            <w:shd w:val="clear" w:color="auto" w:fill="auto"/>
            <w:hideMark/>
          </w:tcPr>
          <w:p w14:paraId="7B7C18B2"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Treatment response as measured by CGI-I scores ≤ 2 and Global Improvement</w:t>
            </w:r>
          </w:p>
        </w:tc>
        <w:tc>
          <w:tcPr>
            <w:tcW w:w="3572" w:type="dxa"/>
            <w:shd w:val="clear" w:color="auto" w:fill="auto"/>
            <w:hideMark/>
          </w:tcPr>
          <w:p w14:paraId="62CC66F6"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Log OR 1.1; 95% CrI -0.5 to 2.7 </w:t>
            </w:r>
          </w:p>
        </w:tc>
      </w:tr>
      <w:tr w:rsidR="005968BA" w:rsidRPr="001F74C9" w14:paraId="74B92AAB" w14:textId="77777777" w:rsidTr="002C2967">
        <w:trPr>
          <w:trHeight w:val="263"/>
        </w:trPr>
        <w:tc>
          <w:tcPr>
            <w:tcW w:w="1546" w:type="dxa"/>
            <w:vMerge/>
            <w:hideMark/>
          </w:tcPr>
          <w:p w14:paraId="762019FC"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4891D381"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vMerge/>
            <w:hideMark/>
          </w:tcPr>
          <w:p w14:paraId="1D6BD88D" w14:textId="77777777" w:rsidR="001F74C9" w:rsidRPr="002C2967" w:rsidRDefault="001F74C9" w:rsidP="002C2967">
            <w:pPr>
              <w:spacing w:beforeLines="20" w:before="48" w:afterLines="20" w:after="48"/>
              <w:rPr>
                <w:rFonts w:cstheme="minorHAnsi"/>
                <w:color w:val="000000"/>
                <w:sz w:val="22"/>
                <w:szCs w:val="21"/>
              </w:rPr>
            </w:pPr>
          </w:p>
        </w:tc>
        <w:tc>
          <w:tcPr>
            <w:tcW w:w="4336" w:type="dxa"/>
            <w:shd w:val="clear" w:color="auto" w:fill="auto"/>
            <w:hideMark/>
          </w:tcPr>
          <w:p w14:paraId="6004F30C"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Improvement in anxiety symptom severity (measure not reported)</w:t>
            </w:r>
          </w:p>
        </w:tc>
        <w:tc>
          <w:tcPr>
            <w:tcW w:w="3572" w:type="dxa"/>
            <w:shd w:val="clear" w:color="auto" w:fill="auto"/>
            <w:hideMark/>
          </w:tcPr>
          <w:p w14:paraId="38ECEFD2"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MD 3.1; 95% CrI -4.5 to 10.7 </w:t>
            </w:r>
          </w:p>
        </w:tc>
      </w:tr>
      <w:tr w:rsidR="005968BA" w:rsidRPr="001F74C9" w14:paraId="223E3BCB" w14:textId="77777777" w:rsidTr="002C2967">
        <w:trPr>
          <w:trHeight w:val="97"/>
        </w:trPr>
        <w:tc>
          <w:tcPr>
            <w:tcW w:w="1546" w:type="dxa"/>
            <w:shd w:val="clear" w:color="auto" w:fill="auto"/>
            <w:hideMark/>
          </w:tcPr>
          <w:p w14:paraId="7EA6EB16"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xml:space="preserve">Tolerability </w:t>
            </w:r>
          </w:p>
        </w:tc>
        <w:tc>
          <w:tcPr>
            <w:tcW w:w="2950" w:type="dxa"/>
            <w:shd w:val="clear" w:color="auto" w:fill="auto"/>
            <w:hideMark/>
          </w:tcPr>
          <w:p w14:paraId="6495ACB1"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w:t>
            </w:r>
          </w:p>
        </w:tc>
        <w:tc>
          <w:tcPr>
            <w:tcW w:w="1658" w:type="dxa"/>
            <w:gridSpan w:val="2"/>
            <w:shd w:val="clear" w:color="auto" w:fill="auto"/>
            <w:hideMark/>
          </w:tcPr>
          <w:p w14:paraId="5D0EEC53" w14:textId="77777777" w:rsidR="001F74C9" w:rsidRPr="002C2967" w:rsidRDefault="001F74C9" w:rsidP="002C2967">
            <w:pPr>
              <w:spacing w:beforeLines="20" w:before="48" w:afterLines="20" w:after="48"/>
              <w:rPr>
                <w:rFonts w:cstheme="minorHAnsi"/>
                <w:color w:val="000000"/>
                <w:sz w:val="22"/>
                <w:szCs w:val="21"/>
              </w:rPr>
            </w:pPr>
          </w:p>
        </w:tc>
        <w:tc>
          <w:tcPr>
            <w:tcW w:w="4336" w:type="dxa"/>
            <w:shd w:val="clear" w:color="auto" w:fill="auto"/>
            <w:hideMark/>
          </w:tcPr>
          <w:p w14:paraId="5D4B5185"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w:t>
            </w:r>
          </w:p>
        </w:tc>
        <w:tc>
          <w:tcPr>
            <w:tcW w:w="3572" w:type="dxa"/>
            <w:shd w:val="clear" w:color="auto" w:fill="auto"/>
            <w:hideMark/>
          </w:tcPr>
          <w:p w14:paraId="2D83541A"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w:t>
            </w:r>
          </w:p>
        </w:tc>
      </w:tr>
      <w:tr w:rsidR="005968BA" w:rsidRPr="001F74C9" w14:paraId="139CBD56" w14:textId="77777777" w:rsidTr="002C2967">
        <w:trPr>
          <w:trHeight w:val="195"/>
        </w:trPr>
        <w:tc>
          <w:tcPr>
            <w:tcW w:w="1546" w:type="dxa"/>
            <w:vMerge w:val="restart"/>
            <w:shd w:val="clear" w:color="auto" w:fill="auto"/>
            <w:hideMark/>
          </w:tcPr>
          <w:p w14:paraId="4888A620" w14:textId="793E0F2D"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Dobson et al (2019)</w:t>
            </w:r>
            <w:r w:rsidR="00A9221B" w:rsidRPr="009C48FB">
              <w:rPr>
                <w:rFonts w:cstheme="minorHAnsi"/>
                <w:color w:val="000000"/>
                <w:sz w:val="22"/>
                <w:szCs w:val="21"/>
                <w:vertAlign w:val="superscript"/>
              </w:rPr>
              <w:fldChar w:fldCharType="begin"/>
            </w:r>
            <w:r w:rsidR="00A9221B" w:rsidRPr="009C48FB">
              <w:rPr>
                <w:rFonts w:cstheme="minorHAnsi"/>
                <w:color w:val="000000"/>
                <w:sz w:val="22"/>
                <w:szCs w:val="21"/>
                <w:vertAlign w:val="superscript"/>
              </w:rPr>
              <w:instrText xml:space="preserve"> NOTEREF _Ref45746788 \h </w:instrText>
            </w:r>
            <w:r w:rsidR="00A9221B">
              <w:rPr>
                <w:rFonts w:cstheme="minorHAnsi"/>
                <w:color w:val="000000"/>
                <w:sz w:val="22"/>
                <w:szCs w:val="21"/>
                <w:vertAlign w:val="superscript"/>
              </w:rPr>
              <w:instrText xml:space="preserve"> \* MERGEFORMAT </w:instrText>
            </w:r>
            <w:r w:rsidR="00A9221B" w:rsidRPr="009C48FB">
              <w:rPr>
                <w:rFonts w:cstheme="minorHAnsi"/>
                <w:color w:val="000000"/>
                <w:sz w:val="22"/>
                <w:szCs w:val="21"/>
                <w:vertAlign w:val="superscript"/>
              </w:rPr>
            </w:r>
            <w:r w:rsidR="00A9221B" w:rsidRPr="009C48FB">
              <w:rPr>
                <w:rFonts w:cstheme="minorHAnsi"/>
                <w:color w:val="000000"/>
                <w:sz w:val="22"/>
                <w:szCs w:val="21"/>
                <w:vertAlign w:val="superscript"/>
              </w:rPr>
              <w:fldChar w:fldCharType="separate"/>
            </w:r>
            <w:r w:rsidR="00202932">
              <w:rPr>
                <w:rFonts w:cstheme="minorHAnsi"/>
                <w:color w:val="000000"/>
                <w:sz w:val="22"/>
                <w:szCs w:val="21"/>
                <w:vertAlign w:val="superscript"/>
              </w:rPr>
              <w:t>11</w:t>
            </w:r>
            <w:r w:rsidR="00A9221B" w:rsidRPr="009C48FB">
              <w:rPr>
                <w:rFonts w:cstheme="minorHAnsi"/>
                <w:color w:val="000000"/>
                <w:sz w:val="22"/>
                <w:szCs w:val="21"/>
                <w:vertAlign w:val="superscript"/>
              </w:rPr>
              <w:fldChar w:fldCharType="end"/>
            </w:r>
          </w:p>
        </w:tc>
        <w:tc>
          <w:tcPr>
            <w:tcW w:w="2950" w:type="dxa"/>
            <w:vMerge w:val="restart"/>
            <w:shd w:val="clear" w:color="auto" w:fill="auto"/>
            <w:hideMark/>
          </w:tcPr>
          <w:p w14:paraId="3D59E920"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1,847 children and adolescents (6-17 years) diagnosed with mixed anxiety disorders, generalized anxiety disorder (GAD), social anxiety disorder, school phobia, separation anxiety disorder, elective mutism</w:t>
            </w:r>
          </w:p>
          <w:p w14:paraId="3D513FC0"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71077B65"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Fluvoxamine</w:t>
            </w:r>
          </w:p>
        </w:tc>
        <w:tc>
          <w:tcPr>
            <w:tcW w:w="4336" w:type="dxa"/>
            <w:vMerge w:val="restart"/>
            <w:shd w:val="clear" w:color="auto" w:fill="auto"/>
            <w:hideMark/>
          </w:tcPr>
          <w:p w14:paraId="2764DB15"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Early discontinuation due to adverse event</w:t>
            </w:r>
          </w:p>
        </w:tc>
        <w:tc>
          <w:tcPr>
            <w:tcW w:w="3572" w:type="dxa"/>
            <w:shd w:val="clear" w:color="auto" w:fill="auto"/>
            <w:hideMark/>
          </w:tcPr>
          <w:p w14:paraId="63356CD3"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Log OR -2.1; 95% CrI -7.0 to 2.4 </w:t>
            </w:r>
          </w:p>
        </w:tc>
      </w:tr>
      <w:tr w:rsidR="005968BA" w:rsidRPr="001F74C9" w14:paraId="5E586A09" w14:textId="77777777" w:rsidTr="002C2967">
        <w:trPr>
          <w:trHeight w:val="132"/>
        </w:trPr>
        <w:tc>
          <w:tcPr>
            <w:tcW w:w="1546" w:type="dxa"/>
            <w:vMerge/>
            <w:hideMark/>
          </w:tcPr>
          <w:p w14:paraId="7F18482E"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619618E6"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56462A10"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Fluoxetine</w:t>
            </w:r>
          </w:p>
        </w:tc>
        <w:tc>
          <w:tcPr>
            <w:tcW w:w="4336" w:type="dxa"/>
            <w:vMerge/>
            <w:hideMark/>
          </w:tcPr>
          <w:p w14:paraId="1308D682"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5519EAFA"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Log OR - 2.5; 95% CrI -7.9 to 1.8</w:t>
            </w:r>
          </w:p>
        </w:tc>
      </w:tr>
      <w:tr w:rsidR="005968BA" w:rsidRPr="001F74C9" w14:paraId="35341B81" w14:textId="77777777" w:rsidTr="002C2967">
        <w:trPr>
          <w:trHeight w:val="296"/>
        </w:trPr>
        <w:tc>
          <w:tcPr>
            <w:tcW w:w="1546" w:type="dxa"/>
            <w:vMerge/>
            <w:hideMark/>
          </w:tcPr>
          <w:p w14:paraId="00E8C6B9"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7D1C4673"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40C7A02A"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Paroxetine</w:t>
            </w:r>
          </w:p>
        </w:tc>
        <w:tc>
          <w:tcPr>
            <w:tcW w:w="4336" w:type="dxa"/>
            <w:vMerge/>
            <w:hideMark/>
          </w:tcPr>
          <w:p w14:paraId="680ECE5A"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1B0F4E1B"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Log OR -1.7; 95% CrI -6.0 to 2.5 </w:t>
            </w:r>
          </w:p>
        </w:tc>
      </w:tr>
      <w:tr w:rsidR="005968BA" w:rsidRPr="001F74C9" w14:paraId="755C8402" w14:textId="77777777" w:rsidTr="002C2967">
        <w:trPr>
          <w:trHeight w:val="176"/>
        </w:trPr>
        <w:tc>
          <w:tcPr>
            <w:tcW w:w="1546" w:type="dxa"/>
            <w:vMerge/>
            <w:hideMark/>
          </w:tcPr>
          <w:p w14:paraId="2B0FF875"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1EBB7D1E"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19BBAEDC"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Sertraline</w:t>
            </w:r>
          </w:p>
        </w:tc>
        <w:tc>
          <w:tcPr>
            <w:tcW w:w="4336" w:type="dxa"/>
            <w:vMerge/>
            <w:hideMark/>
          </w:tcPr>
          <w:p w14:paraId="57FAF6D2"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51DBB932"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Log OR -1.7l 95% CrI -6.6 to 2.8</w:t>
            </w:r>
          </w:p>
        </w:tc>
      </w:tr>
      <w:tr w:rsidR="005968BA" w:rsidRPr="001F74C9" w14:paraId="1B9F5BE6" w14:textId="77777777" w:rsidTr="002C2967">
        <w:trPr>
          <w:trHeight w:val="361"/>
        </w:trPr>
        <w:tc>
          <w:tcPr>
            <w:tcW w:w="1546" w:type="dxa"/>
            <w:vMerge/>
            <w:hideMark/>
          </w:tcPr>
          <w:p w14:paraId="7941408D"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57565CEE"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2737EC1B"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Duloxetine</w:t>
            </w:r>
          </w:p>
        </w:tc>
        <w:tc>
          <w:tcPr>
            <w:tcW w:w="4336" w:type="dxa"/>
            <w:vMerge/>
            <w:hideMark/>
          </w:tcPr>
          <w:p w14:paraId="1834E875"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40C689C0"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Log OR -0.2; 95% CrI -4.3 to 3.9 </w:t>
            </w:r>
          </w:p>
        </w:tc>
      </w:tr>
      <w:tr w:rsidR="005968BA" w:rsidRPr="001F74C9" w14:paraId="4573ABB6" w14:textId="77777777" w:rsidTr="002C2967">
        <w:trPr>
          <w:trHeight w:val="383"/>
        </w:trPr>
        <w:tc>
          <w:tcPr>
            <w:tcW w:w="1546" w:type="dxa"/>
            <w:vMerge/>
            <w:hideMark/>
          </w:tcPr>
          <w:p w14:paraId="4B955587"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3AFF071E"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64C0D307"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Venlafaxine</w:t>
            </w:r>
          </w:p>
        </w:tc>
        <w:tc>
          <w:tcPr>
            <w:tcW w:w="4336" w:type="dxa"/>
            <w:vMerge/>
            <w:hideMark/>
          </w:tcPr>
          <w:p w14:paraId="6516A7A6"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312A7913"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Log OR 0.8; 95% CrI -2.1 to 3.8</w:t>
            </w:r>
          </w:p>
        </w:tc>
      </w:tr>
      <w:tr w:rsidR="005968BA" w:rsidRPr="001F74C9" w14:paraId="13A3EE59" w14:textId="77777777" w:rsidTr="002C2967">
        <w:trPr>
          <w:trHeight w:val="405"/>
        </w:trPr>
        <w:tc>
          <w:tcPr>
            <w:tcW w:w="1546" w:type="dxa"/>
            <w:vMerge/>
            <w:hideMark/>
          </w:tcPr>
          <w:p w14:paraId="018F4ED8"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71D07342"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64E28D0F"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Clomipramine</w:t>
            </w:r>
          </w:p>
        </w:tc>
        <w:tc>
          <w:tcPr>
            <w:tcW w:w="4336" w:type="dxa"/>
            <w:vMerge/>
            <w:hideMark/>
          </w:tcPr>
          <w:p w14:paraId="58AB2DE6"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3A0CAF0A"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Log OR -1.5; 95% CrI -6.8 to 3.3</w:t>
            </w:r>
          </w:p>
        </w:tc>
      </w:tr>
      <w:tr w:rsidR="005968BA" w:rsidRPr="001F74C9" w14:paraId="7E63CD8E" w14:textId="77777777" w:rsidTr="002C2967">
        <w:trPr>
          <w:trHeight w:val="143"/>
        </w:trPr>
        <w:tc>
          <w:tcPr>
            <w:tcW w:w="1546" w:type="dxa"/>
            <w:vMerge/>
            <w:hideMark/>
          </w:tcPr>
          <w:p w14:paraId="12FB8C66"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5745E425"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2F4E3709"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Imipramine</w:t>
            </w:r>
          </w:p>
        </w:tc>
        <w:tc>
          <w:tcPr>
            <w:tcW w:w="4336" w:type="dxa"/>
            <w:vMerge/>
            <w:hideMark/>
          </w:tcPr>
          <w:p w14:paraId="730145AF"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12DB33ED"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Log OR -16.6; 95% CrI -83.7 to 37.5 </w:t>
            </w:r>
          </w:p>
        </w:tc>
      </w:tr>
      <w:tr w:rsidR="005968BA" w:rsidRPr="001F74C9" w14:paraId="10126B4F" w14:textId="77777777" w:rsidTr="002C2967">
        <w:trPr>
          <w:trHeight w:val="97"/>
        </w:trPr>
        <w:tc>
          <w:tcPr>
            <w:tcW w:w="1546" w:type="dxa"/>
            <w:shd w:val="clear" w:color="auto" w:fill="auto"/>
            <w:hideMark/>
          </w:tcPr>
          <w:p w14:paraId="55D1C535"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Suicidality</w:t>
            </w:r>
          </w:p>
        </w:tc>
        <w:tc>
          <w:tcPr>
            <w:tcW w:w="2950" w:type="dxa"/>
            <w:shd w:val="clear" w:color="auto" w:fill="auto"/>
            <w:hideMark/>
          </w:tcPr>
          <w:p w14:paraId="6B876F92"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1658" w:type="dxa"/>
            <w:gridSpan w:val="2"/>
            <w:shd w:val="clear" w:color="auto" w:fill="auto"/>
            <w:hideMark/>
          </w:tcPr>
          <w:p w14:paraId="45D034C4"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w:t>
            </w:r>
          </w:p>
        </w:tc>
        <w:tc>
          <w:tcPr>
            <w:tcW w:w="4336" w:type="dxa"/>
            <w:shd w:val="clear" w:color="auto" w:fill="auto"/>
            <w:hideMark/>
          </w:tcPr>
          <w:p w14:paraId="1113FC88"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w:t>
            </w:r>
          </w:p>
        </w:tc>
        <w:tc>
          <w:tcPr>
            <w:tcW w:w="3572" w:type="dxa"/>
            <w:shd w:val="clear" w:color="auto" w:fill="auto"/>
            <w:hideMark/>
          </w:tcPr>
          <w:p w14:paraId="46CBB603"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r>
      <w:tr w:rsidR="005968BA" w:rsidRPr="001F74C9" w14:paraId="7AADBAFB" w14:textId="77777777" w:rsidTr="002C2967">
        <w:trPr>
          <w:trHeight w:val="97"/>
        </w:trPr>
        <w:tc>
          <w:tcPr>
            <w:tcW w:w="1546" w:type="dxa"/>
            <w:vMerge w:val="restart"/>
            <w:shd w:val="clear" w:color="auto" w:fill="auto"/>
            <w:hideMark/>
          </w:tcPr>
          <w:p w14:paraId="2DAB5D7D" w14:textId="14A4D0A8"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Dobson et al (2019)</w:t>
            </w:r>
            <w:r w:rsidR="00A9221B" w:rsidRPr="009C48FB">
              <w:rPr>
                <w:rFonts w:cstheme="minorHAnsi"/>
                <w:color w:val="000000"/>
                <w:sz w:val="22"/>
                <w:szCs w:val="21"/>
                <w:vertAlign w:val="superscript"/>
              </w:rPr>
              <w:fldChar w:fldCharType="begin"/>
            </w:r>
            <w:r w:rsidR="00A9221B" w:rsidRPr="009C48FB">
              <w:rPr>
                <w:rFonts w:cstheme="minorHAnsi"/>
                <w:color w:val="000000"/>
                <w:sz w:val="22"/>
                <w:szCs w:val="21"/>
                <w:vertAlign w:val="superscript"/>
              </w:rPr>
              <w:instrText xml:space="preserve"> NOTEREF _Ref45746788 \h </w:instrText>
            </w:r>
            <w:r w:rsidR="00A9221B">
              <w:rPr>
                <w:rFonts w:cstheme="minorHAnsi"/>
                <w:color w:val="000000"/>
                <w:sz w:val="22"/>
                <w:szCs w:val="21"/>
                <w:vertAlign w:val="superscript"/>
              </w:rPr>
              <w:instrText xml:space="preserve"> \* MERGEFORMAT </w:instrText>
            </w:r>
            <w:r w:rsidR="00A9221B" w:rsidRPr="009C48FB">
              <w:rPr>
                <w:rFonts w:cstheme="minorHAnsi"/>
                <w:color w:val="000000"/>
                <w:sz w:val="22"/>
                <w:szCs w:val="21"/>
                <w:vertAlign w:val="superscript"/>
              </w:rPr>
            </w:r>
            <w:r w:rsidR="00A9221B" w:rsidRPr="009C48FB">
              <w:rPr>
                <w:rFonts w:cstheme="minorHAnsi"/>
                <w:color w:val="000000"/>
                <w:sz w:val="22"/>
                <w:szCs w:val="21"/>
                <w:vertAlign w:val="superscript"/>
              </w:rPr>
              <w:fldChar w:fldCharType="separate"/>
            </w:r>
            <w:r w:rsidR="00202932">
              <w:rPr>
                <w:rFonts w:cstheme="minorHAnsi"/>
                <w:color w:val="000000"/>
                <w:sz w:val="22"/>
                <w:szCs w:val="21"/>
                <w:vertAlign w:val="superscript"/>
              </w:rPr>
              <w:t>11</w:t>
            </w:r>
            <w:r w:rsidR="00A9221B" w:rsidRPr="009C48FB">
              <w:rPr>
                <w:rFonts w:cstheme="minorHAnsi"/>
                <w:color w:val="000000"/>
                <w:sz w:val="22"/>
                <w:szCs w:val="21"/>
                <w:vertAlign w:val="superscript"/>
              </w:rPr>
              <w:fldChar w:fldCharType="end"/>
            </w:r>
          </w:p>
        </w:tc>
        <w:tc>
          <w:tcPr>
            <w:tcW w:w="2950" w:type="dxa"/>
            <w:vMerge w:val="restart"/>
            <w:shd w:val="clear" w:color="auto" w:fill="auto"/>
            <w:hideMark/>
          </w:tcPr>
          <w:p w14:paraId="222E4932"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1,847 children and adolescents (6-17 years) diagnosed with mixed anxiety disorders, generalized anxiety disorder (GAD), social anxiety disorder, school phobia, separation anxiety disorder, elective mutism</w:t>
            </w:r>
          </w:p>
          <w:p w14:paraId="64BAD343"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6E4791D8"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Fluvoxamine</w:t>
            </w:r>
          </w:p>
        </w:tc>
        <w:tc>
          <w:tcPr>
            <w:tcW w:w="4336" w:type="dxa"/>
            <w:vMerge w:val="restart"/>
            <w:shd w:val="clear" w:color="auto" w:fill="auto"/>
            <w:hideMark/>
          </w:tcPr>
          <w:p w14:paraId="518E9A56"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Treatment-emergent suicidality</w:t>
            </w:r>
          </w:p>
        </w:tc>
        <w:tc>
          <w:tcPr>
            <w:tcW w:w="3572" w:type="dxa"/>
            <w:shd w:val="clear" w:color="auto" w:fill="auto"/>
            <w:hideMark/>
          </w:tcPr>
          <w:p w14:paraId="66C3A56A"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No data</w:t>
            </w:r>
          </w:p>
        </w:tc>
      </w:tr>
      <w:tr w:rsidR="005968BA" w:rsidRPr="001F74C9" w14:paraId="53F3A414" w14:textId="77777777" w:rsidTr="002C2967">
        <w:trPr>
          <w:trHeight w:val="97"/>
        </w:trPr>
        <w:tc>
          <w:tcPr>
            <w:tcW w:w="1546" w:type="dxa"/>
            <w:vMerge/>
            <w:hideMark/>
          </w:tcPr>
          <w:p w14:paraId="75EB2977"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59A2A4DA"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4F9B2B51"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Fluoxetine</w:t>
            </w:r>
          </w:p>
        </w:tc>
        <w:tc>
          <w:tcPr>
            <w:tcW w:w="4336" w:type="dxa"/>
            <w:vMerge/>
            <w:hideMark/>
          </w:tcPr>
          <w:p w14:paraId="4DEAC743"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42EB3240"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No data</w:t>
            </w:r>
          </w:p>
        </w:tc>
      </w:tr>
      <w:tr w:rsidR="005968BA" w:rsidRPr="001F74C9" w14:paraId="53A10E10" w14:textId="77777777" w:rsidTr="002C2967">
        <w:trPr>
          <w:trHeight w:val="97"/>
        </w:trPr>
        <w:tc>
          <w:tcPr>
            <w:tcW w:w="1546" w:type="dxa"/>
            <w:vMerge/>
            <w:hideMark/>
          </w:tcPr>
          <w:p w14:paraId="44EA8382"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73C3EFCF"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3ED3D362"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Paroxetine</w:t>
            </w:r>
          </w:p>
        </w:tc>
        <w:tc>
          <w:tcPr>
            <w:tcW w:w="4336" w:type="dxa"/>
            <w:vMerge/>
            <w:hideMark/>
          </w:tcPr>
          <w:p w14:paraId="2C58CA12"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654CF006"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Log OR -20.0; 95% CrI -60.4 to -1.7</w:t>
            </w:r>
          </w:p>
        </w:tc>
      </w:tr>
      <w:tr w:rsidR="005968BA" w:rsidRPr="001F74C9" w14:paraId="434346FB" w14:textId="77777777" w:rsidTr="002C2967">
        <w:trPr>
          <w:trHeight w:val="185"/>
        </w:trPr>
        <w:tc>
          <w:tcPr>
            <w:tcW w:w="1546" w:type="dxa"/>
            <w:vMerge/>
            <w:hideMark/>
          </w:tcPr>
          <w:p w14:paraId="64A56DA0"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396B8FF5"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6E7E7501"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Sertraline</w:t>
            </w:r>
          </w:p>
        </w:tc>
        <w:tc>
          <w:tcPr>
            <w:tcW w:w="4336" w:type="dxa"/>
            <w:vMerge/>
            <w:hideMark/>
          </w:tcPr>
          <w:p w14:paraId="4A32A31E"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13A886AD"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Log OR 19.8; 95% CrI 0.7 to 61.7</w:t>
            </w:r>
          </w:p>
        </w:tc>
      </w:tr>
      <w:tr w:rsidR="005968BA" w:rsidRPr="001F74C9" w14:paraId="4A676EA4" w14:textId="77777777" w:rsidTr="002C2967">
        <w:trPr>
          <w:trHeight w:val="97"/>
        </w:trPr>
        <w:tc>
          <w:tcPr>
            <w:tcW w:w="1546" w:type="dxa"/>
            <w:vMerge/>
            <w:hideMark/>
          </w:tcPr>
          <w:p w14:paraId="0706E480"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2E78C9C2"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6AE0E759"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Duloxetine</w:t>
            </w:r>
          </w:p>
        </w:tc>
        <w:tc>
          <w:tcPr>
            <w:tcW w:w="4336" w:type="dxa"/>
            <w:vMerge/>
            <w:hideMark/>
          </w:tcPr>
          <w:p w14:paraId="2874CF17"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24396F16"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Log OR -0.2; 95% CrI -2.8 to 2.5 </w:t>
            </w:r>
          </w:p>
        </w:tc>
      </w:tr>
      <w:tr w:rsidR="005968BA" w:rsidRPr="001F74C9" w14:paraId="1086AB94" w14:textId="77777777" w:rsidTr="002C2967">
        <w:trPr>
          <w:trHeight w:val="247"/>
        </w:trPr>
        <w:tc>
          <w:tcPr>
            <w:tcW w:w="1546" w:type="dxa"/>
            <w:vMerge/>
            <w:hideMark/>
          </w:tcPr>
          <w:p w14:paraId="7D0C66A3"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5FCA6BFB"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739D6442"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Venlafaxine</w:t>
            </w:r>
          </w:p>
        </w:tc>
        <w:tc>
          <w:tcPr>
            <w:tcW w:w="4336" w:type="dxa"/>
            <w:vMerge/>
            <w:hideMark/>
          </w:tcPr>
          <w:p w14:paraId="699C1CCF"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250A2052"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Log OR -1.4; 95% CrI -5.2 to 1.4 </w:t>
            </w:r>
          </w:p>
        </w:tc>
      </w:tr>
      <w:tr w:rsidR="005968BA" w:rsidRPr="001F74C9" w14:paraId="4635144C" w14:textId="77777777" w:rsidTr="002C2967">
        <w:trPr>
          <w:trHeight w:val="97"/>
        </w:trPr>
        <w:tc>
          <w:tcPr>
            <w:tcW w:w="1546" w:type="dxa"/>
            <w:vMerge/>
            <w:hideMark/>
          </w:tcPr>
          <w:p w14:paraId="197112AD"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21E63C62"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18A744A9"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Clomipramine</w:t>
            </w:r>
          </w:p>
        </w:tc>
        <w:tc>
          <w:tcPr>
            <w:tcW w:w="4336" w:type="dxa"/>
            <w:vMerge/>
            <w:hideMark/>
          </w:tcPr>
          <w:p w14:paraId="31FD6817"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618F0163"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No data</w:t>
            </w:r>
          </w:p>
        </w:tc>
      </w:tr>
      <w:tr w:rsidR="005968BA" w:rsidRPr="001F74C9" w14:paraId="38FE2FFC" w14:textId="77777777" w:rsidTr="002C2967">
        <w:trPr>
          <w:trHeight w:val="273"/>
        </w:trPr>
        <w:tc>
          <w:tcPr>
            <w:tcW w:w="1546" w:type="dxa"/>
            <w:vMerge/>
            <w:tcBorders>
              <w:bottom w:val="single" w:sz="4" w:space="0" w:color="auto"/>
            </w:tcBorders>
            <w:hideMark/>
          </w:tcPr>
          <w:p w14:paraId="7D587F92"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tcBorders>
              <w:bottom w:val="single" w:sz="4" w:space="0" w:color="auto"/>
            </w:tcBorders>
            <w:hideMark/>
          </w:tcPr>
          <w:p w14:paraId="47230DAF"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tcBorders>
              <w:bottom w:val="single" w:sz="4" w:space="0" w:color="auto"/>
            </w:tcBorders>
            <w:shd w:val="clear" w:color="auto" w:fill="auto"/>
            <w:hideMark/>
          </w:tcPr>
          <w:p w14:paraId="26D0BFFA"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Imipramine</w:t>
            </w:r>
          </w:p>
        </w:tc>
        <w:tc>
          <w:tcPr>
            <w:tcW w:w="4336" w:type="dxa"/>
            <w:vMerge/>
            <w:tcBorders>
              <w:bottom w:val="single" w:sz="4" w:space="0" w:color="auto"/>
            </w:tcBorders>
            <w:hideMark/>
          </w:tcPr>
          <w:p w14:paraId="0A1CA441" w14:textId="77777777" w:rsidR="001F74C9" w:rsidRPr="002C2967" w:rsidRDefault="001F74C9" w:rsidP="002C2967">
            <w:pPr>
              <w:spacing w:beforeLines="20" w:before="48" w:afterLines="20" w:after="48"/>
              <w:rPr>
                <w:rFonts w:cstheme="minorHAnsi"/>
                <w:color w:val="000000"/>
                <w:sz w:val="22"/>
                <w:szCs w:val="21"/>
              </w:rPr>
            </w:pPr>
          </w:p>
        </w:tc>
        <w:tc>
          <w:tcPr>
            <w:tcW w:w="3572" w:type="dxa"/>
            <w:tcBorders>
              <w:bottom w:val="single" w:sz="4" w:space="0" w:color="auto"/>
            </w:tcBorders>
            <w:shd w:val="clear" w:color="auto" w:fill="auto"/>
            <w:hideMark/>
          </w:tcPr>
          <w:p w14:paraId="07D60804"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Log OR -17.3; 95% CrI -54.8 to 0.1 </w:t>
            </w:r>
          </w:p>
        </w:tc>
      </w:tr>
      <w:tr w:rsidR="005968BA" w:rsidRPr="001F74C9" w14:paraId="28F46C4D" w14:textId="77777777" w:rsidTr="002C2967">
        <w:trPr>
          <w:trHeight w:val="402"/>
        </w:trPr>
        <w:tc>
          <w:tcPr>
            <w:tcW w:w="1546" w:type="dxa"/>
            <w:shd w:val="pct5" w:color="auto" w:fill="auto"/>
            <w:hideMark/>
          </w:tcPr>
          <w:p w14:paraId="0A83A8AC"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ASD</w:t>
            </w:r>
          </w:p>
        </w:tc>
        <w:tc>
          <w:tcPr>
            <w:tcW w:w="2950" w:type="dxa"/>
            <w:shd w:val="pct5" w:color="auto" w:fill="auto"/>
            <w:hideMark/>
          </w:tcPr>
          <w:p w14:paraId="77EA84F4"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1658" w:type="dxa"/>
            <w:gridSpan w:val="2"/>
            <w:shd w:val="pct5" w:color="auto" w:fill="auto"/>
            <w:hideMark/>
          </w:tcPr>
          <w:p w14:paraId="7AFB86DD"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4336" w:type="dxa"/>
            <w:shd w:val="pct5" w:color="auto" w:fill="auto"/>
            <w:hideMark/>
          </w:tcPr>
          <w:p w14:paraId="0CFE3D56"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3572" w:type="dxa"/>
            <w:shd w:val="pct5" w:color="auto" w:fill="auto"/>
            <w:hideMark/>
          </w:tcPr>
          <w:p w14:paraId="1083BCF3"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r>
      <w:tr w:rsidR="005968BA" w:rsidRPr="001F74C9" w14:paraId="6434609F" w14:textId="77777777" w:rsidTr="002C2967">
        <w:trPr>
          <w:trHeight w:val="97"/>
        </w:trPr>
        <w:tc>
          <w:tcPr>
            <w:tcW w:w="1546" w:type="dxa"/>
            <w:shd w:val="clear" w:color="auto" w:fill="auto"/>
            <w:hideMark/>
          </w:tcPr>
          <w:p w14:paraId="43EB9E63"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Efficacy</w:t>
            </w:r>
          </w:p>
        </w:tc>
        <w:tc>
          <w:tcPr>
            <w:tcW w:w="2950" w:type="dxa"/>
            <w:shd w:val="clear" w:color="auto" w:fill="auto"/>
            <w:hideMark/>
          </w:tcPr>
          <w:p w14:paraId="412822B1"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1658" w:type="dxa"/>
            <w:gridSpan w:val="2"/>
            <w:shd w:val="clear" w:color="auto" w:fill="auto"/>
            <w:hideMark/>
          </w:tcPr>
          <w:p w14:paraId="3BC7BB44"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4336" w:type="dxa"/>
            <w:shd w:val="clear" w:color="auto" w:fill="auto"/>
            <w:hideMark/>
          </w:tcPr>
          <w:p w14:paraId="450E7B80"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3572" w:type="dxa"/>
            <w:shd w:val="clear" w:color="auto" w:fill="auto"/>
            <w:hideMark/>
          </w:tcPr>
          <w:p w14:paraId="57A4B158"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r>
      <w:tr w:rsidR="005968BA" w:rsidRPr="001F74C9" w14:paraId="308AAA50" w14:textId="77777777" w:rsidTr="002C2967">
        <w:trPr>
          <w:trHeight w:val="433"/>
        </w:trPr>
        <w:tc>
          <w:tcPr>
            <w:tcW w:w="1546" w:type="dxa"/>
            <w:vMerge w:val="restart"/>
            <w:shd w:val="clear" w:color="auto" w:fill="auto"/>
            <w:hideMark/>
          </w:tcPr>
          <w:p w14:paraId="486BA3EE" w14:textId="4AF6707D"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Hurwitz et al (2012)</w:t>
            </w:r>
            <w:r w:rsidR="00A9221B" w:rsidRPr="009C48FB">
              <w:rPr>
                <w:rFonts w:cstheme="minorHAnsi"/>
                <w:color w:val="000000"/>
                <w:sz w:val="22"/>
                <w:szCs w:val="21"/>
                <w:vertAlign w:val="superscript"/>
              </w:rPr>
              <w:fldChar w:fldCharType="begin"/>
            </w:r>
            <w:r w:rsidR="00A9221B" w:rsidRPr="009C48FB">
              <w:rPr>
                <w:rFonts w:cstheme="minorHAnsi"/>
                <w:color w:val="000000"/>
                <w:sz w:val="22"/>
                <w:szCs w:val="21"/>
                <w:vertAlign w:val="superscript"/>
              </w:rPr>
              <w:instrText xml:space="preserve"> NOTEREF _Ref45746699 \h </w:instrText>
            </w:r>
            <w:r w:rsidR="00A9221B">
              <w:rPr>
                <w:rFonts w:cstheme="minorHAnsi"/>
                <w:color w:val="000000"/>
                <w:sz w:val="22"/>
                <w:szCs w:val="21"/>
                <w:vertAlign w:val="superscript"/>
              </w:rPr>
              <w:instrText xml:space="preserve"> \* MERGEFORMAT </w:instrText>
            </w:r>
            <w:r w:rsidR="00A9221B" w:rsidRPr="009C48FB">
              <w:rPr>
                <w:rFonts w:cstheme="minorHAnsi"/>
                <w:color w:val="000000"/>
                <w:sz w:val="22"/>
                <w:szCs w:val="21"/>
                <w:vertAlign w:val="superscript"/>
              </w:rPr>
            </w:r>
            <w:r w:rsidR="00A9221B" w:rsidRPr="009C48FB">
              <w:rPr>
                <w:rFonts w:cstheme="minorHAnsi"/>
                <w:color w:val="000000"/>
                <w:sz w:val="22"/>
                <w:szCs w:val="21"/>
                <w:vertAlign w:val="superscript"/>
              </w:rPr>
              <w:fldChar w:fldCharType="separate"/>
            </w:r>
            <w:r w:rsidR="00B70DDE">
              <w:rPr>
                <w:rFonts w:cstheme="minorHAnsi"/>
                <w:b/>
                <w:bCs/>
                <w:color w:val="000000"/>
                <w:sz w:val="22"/>
                <w:szCs w:val="21"/>
                <w:vertAlign w:val="superscript"/>
                <w:lang w:val="en-US"/>
              </w:rPr>
              <w:fldChar w:fldCharType="begin"/>
            </w:r>
            <w:r w:rsidR="00B70DDE">
              <w:rPr>
                <w:rFonts w:cstheme="minorHAnsi"/>
                <w:b/>
                <w:bCs/>
                <w:color w:val="000000"/>
                <w:sz w:val="22"/>
                <w:szCs w:val="21"/>
                <w:vertAlign w:val="superscript"/>
                <w:lang w:val="en-US"/>
              </w:rPr>
              <w:instrText xml:space="preserve"> NOTEREF _Ref45967278 \h </w:instrText>
            </w:r>
            <w:r w:rsidR="00B70DDE">
              <w:rPr>
                <w:rFonts w:cstheme="minorHAnsi"/>
                <w:b/>
                <w:bCs/>
                <w:color w:val="000000"/>
                <w:sz w:val="22"/>
                <w:szCs w:val="21"/>
                <w:vertAlign w:val="superscript"/>
                <w:lang w:val="en-US"/>
              </w:rPr>
            </w:r>
            <w:r w:rsidR="00B70DDE">
              <w:rPr>
                <w:rFonts w:cstheme="minorHAnsi"/>
                <w:b/>
                <w:bCs/>
                <w:color w:val="000000"/>
                <w:sz w:val="22"/>
                <w:szCs w:val="21"/>
                <w:vertAlign w:val="superscript"/>
                <w:lang w:val="en-US"/>
              </w:rPr>
              <w:fldChar w:fldCharType="separate"/>
            </w:r>
            <w:r w:rsidR="00B70DDE">
              <w:rPr>
                <w:rFonts w:cstheme="minorHAnsi"/>
                <w:b/>
                <w:bCs/>
                <w:color w:val="000000"/>
                <w:sz w:val="22"/>
                <w:szCs w:val="21"/>
                <w:vertAlign w:val="superscript"/>
                <w:lang w:val="en-US"/>
              </w:rPr>
              <w:t>13</w:t>
            </w:r>
            <w:r w:rsidR="00B70DDE">
              <w:rPr>
                <w:rFonts w:cstheme="minorHAnsi"/>
                <w:b/>
                <w:bCs/>
                <w:color w:val="000000"/>
                <w:sz w:val="22"/>
                <w:szCs w:val="21"/>
                <w:vertAlign w:val="superscript"/>
                <w:lang w:val="en-US"/>
              </w:rPr>
              <w:fldChar w:fldCharType="end"/>
            </w:r>
            <w:r w:rsidR="00A9221B" w:rsidRPr="009C48FB">
              <w:rPr>
                <w:rFonts w:cstheme="minorHAnsi"/>
                <w:color w:val="000000"/>
                <w:sz w:val="22"/>
                <w:szCs w:val="21"/>
                <w:vertAlign w:val="superscript"/>
              </w:rPr>
              <w:fldChar w:fldCharType="end"/>
            </w:r>
          </w:p>
        </w:tc>
        <w:tc>
          <w:tcPr>
            <w:tcW w:w="2950" w:type="dxa"/>
            <w:vMerge w:val="restart"/>
            <w:shd w:val="clear" w:color="auto" w:fill="auto"/>
            <w:hideMark/>
          </w:tcPr>
          <w:p w14:paraId="647CB813"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42 children and adolescents with a diagnosis of an autism spectrum disorder (DSM-IIIR and Autism Diagnostic Interview criteria; ICD-10</w:t>
            </w:r>
          </w:p>
        </w:tc>
        <w:tc>
          <w:tcPr>
            <w:tcW w:w="1658" w:type="dxa"/>
            <w:gridSpan w:val="2"/>
            <w:shd w:val="clear" w:color="auto" w:fill="auto"/>
            <w:hideMark/>
          </w:tcPr>
          <w:p w14:paraId="1FAEB035"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Tianeptine</w:t>
            </w:r>
          </w:p>
        </w:tc>
        <w:tc>
          <w:tcPr>
            <w:tcW w:w="4336" w:type="dxa"/>
            <w:shd w:val="clear" w:color="auto" w:fill="auto"/>
            <w:hideMark/>
          </w:tcPr>
          <w:p w14:paraId="2D969363"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Inappropriate speech as measured by parents’ and teachers’ ratings using the Aberrant Behaviour Checklist </w:t>
            </w:r>
          </w:p>
        </w:tc>
        <w:tc>
          <w:tcPr>
            <w:tcW w:w="3572" w:type="dxa"/>
            <w:shd w:val="clear" w:color="auto" w:fill="auto"/>
            <w:hideMark/>
          </w:tcPr>
          <w:p w14:paraId="04A106B3"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placebo 6.1 (SD = 2.5), tianeptine 4.2 (SD = 3.8); p = 0.042 </w:t>
            </w:r>
          </w:p>
        </w:tc>
      </w:tr>
      <w:tr w:rsidR="005968BA" w:rsidRPr="001F74C9" w14:paraId="2C36AD30" w14:textId="77777777" w:rsidTr="002C2967">
        <w:trPr>
          <w:trHeight w:val="602"/>
        </w:trPr>
        <w:tc>
          <w:tcPr>
            <w:tcW w:w="1546" w:type="dxa"/>
            <w:vMerge/>
            <w:hideMark/>
          </w:tcPr>
          <w:p w14:paraId="52B49C1F"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75D64207"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37AFEE8B" w14:textId="50A437ED"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Tian</w:t>
            </w:r>
            <w:r w:rsidR="00B167E0">
              <w:rPr>
                <w:rFonts w:cstheme="minorHAnsi"/>
                <w:color w:val="000000"/>
                <w:sz w:val="22"/>
                <w:szCs w:val="21"/>
              </w:rPr>
              <w:t>e</w:t>
            </w:r>
            <w:r w:rsidRPr="002C2967">
              <w:rPr>
                <w:rFonts w:cstheme="minorHAnsi"/>
                <w:color w:val="000000"/>
                <w:sz w:val="22"/>
                <w:szCs w:val="21"/>
              </w:rPr>
              <w:t>ptine</w:t>
            </w:r>
          </w:p>
        </w:tc>
        <w:tc>
          <w:tcPr>
            <w:tcW w:w="4336" w:type="dxa"/>
            <w:shd w:val="clear" w:color="auto" w:fill="auto"/>
            <w:hideMark/>
          </w:tcPr>
          <w:p w14:paraId="24AE4128"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Inadequate eye </w:t>
            </w:r>
            <w:proofErr w:type="gramStart"/>
            <w:r w:rsidRPr="002C2967">
              <w:rPr>
                <w:rFonts w:cstheme="minorHAnsi"/>
                <w:color w:val="000000"/>
                <w:sz w:val="22"/>
                <w:szCs w:val="21"/>
              </w:rPr>
              <w:t>contact</w:t>
            </w:r>
            <w:proofErr w:type="gramEnd"/>
            <w:r w:rsidRPr="002C2967">
              <w:rPr>
                <w:rFonts w:cstheme="minorHAnsi"/>
                <w:color w:val="000000"/>
                <w:sz w:val="22"/>
                <w:szCs w:val="21"/>
              </w:rPr>
              <w:t xml:space="preserve"> as measured by parents’ and teachers’ ratings using the Aberrant Behaviour Checklist </w:t>
            </w:r>
          </w:p>
        </w:tc>
        <w:tc>
          <w:tcPr>
            <w:tcW w:w="3572" w:type="dxa"/>
            <w:shd w:val="clear" w:color="auto" w:fill="auto"/>
            <w:hideMark/>
          </w:tcPr>
          <w:p w14:paraId="4C0663FD"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placebo 8.2 (SD = 5.4), tianeptine 7.4 (SD = 3.6); p = 0.041</w:t>
            </w:r>
          </w:p>
        </w:tc>
      </w:tr>
      <w:tr w:rsidR="005968BA" w:rsidRPr="001F74C9" w14:paraId="6BF97C12" w14:textId="77777777" w:rsidTr="002C2967">
        <w:trPr>
          <w:trHeight w:val="800"/>
        </w:trPr>
        <w:tc>
          <w:tcPr>
            <w:tcW w:w="1546" w:type="dxa"/>
            <w:vMerge/>
            <w:hideMark/>
          </w:tcPr>
          <w:p w14:paraId="489EE0D4"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12240F6B"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0C702CA7"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Clomipramine</w:t>
            </w:r>
          </w:p>
        </w:tc>
        <w:tc>
          <w:tcPr>
            <w:tcW w:w="4336" w:type="dxa"/>
            <w:shd w:val="clear" w:color="auto" w:fill="auto"/>
            <w:hideMark/>
          </w:tcPr>
          <w:p w14:paraId="7B5E8AB0"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Reduction in abnormal behaviors as measured by the Autism-relevant subscale of the CPRS </w:t>
            </w:r>
          </w:p>
        </w:tc>
        <w:tc>
          <w:tcPr>
            <w:tcW w:w="3572" w:type="dxa"/>
            <w:shd w:val="clear" w:color="auto" w:fill="auto"/>
            <w:hideMark/>
          </w:tcPr>
          <w:p w14:paraId="74FB6909"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placebo 47 (SD = 8), clomipramine 36 (SD = 8); F = 24.2; df 3,33; p = 0.0001</w:t>
            </w:r>
          </w:p>
        </w:tc>
      </w:tr>
      <w:tr w:rsidR="005968BA" w:rsidRPr="001F74C9" w14:paraId="327449DB" w14:textId="77777777" w:rsidTr="002C2967">
        <w:trPr>
          <w:trHeight w:val="946"/>
        </w:trPr>
        <w:tc>
          <w:tcPr>
            <w:tcW w:w="1546" w:type="dxa"/>
            <w:vMerge/>
            <w:hideMark/>
          </w:tcPr>
          <w:p w14:paraId="5D19BDD7"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3F94D253"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4B557F3C"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Clomipramine</w:t>
            </w:r>
          </w:p>
        </w:tc>
        <w:tc>
          <w:tcPr>
            <w:tcW w:w="4336" w:type="dxa"/>
            <w:shd w:val="clear" w:color="auto" w:fill="auto"/>
            <w:hideMark/>
          </w:tcPr>
          <w:p w14:paraId="3899B197"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Inappropriate speech as measured by clinicians, based on parental reports and direct observations, using the Autism-specific subscale of the CPRS</w:t>
            </w:r>
          </w:p>
        </w:tc>
        <w:tc>
          <w:tcPr>
            <w:tcW w:w="3572" w:type="dxa"/>
            <w:shd w:val="clear" w:color="auto" w:fill="auto"/>
            <w:hideMark/>
          </w:tcPr>
          <w:p w14:paraId="7B3EC764"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placebo 4 (SD = 2), clomipramine 3 (SD = 2); F = 1.4, df = 3,33; p = 0.27</w:t>
            </w:r>
          </w:p>
        </w:tc>
      </w:tr>
      <w:tr w:rsidR="005968BA" w:rsidRPr="001F74C9" w14:paraId="25336E47" w14:textId="77777777" w:rsidTr="002C2967">
        <w:trPr>
          <w:trHeight w:val="315"/>
        </w:trPr>
        <w:tc>
          <w:tcPr>
            <w:tcW w:w="1546" w:type="dxa"/>
            <w:vMerge w:val="restart"/>
            <w:shd w:val="clear" w:color="auto" w:fill="auto"/>
            <w:hideMark/>
          </w:tcPr>
          <w:p w14:paraId="32421A38" w14:textId="14CA1640"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Williams et al (2013)</w:t>
            </w:r>
            <w:r w:rsidR="00B70DDE" w:rsidRPr="00B70DDE">
              <w:rPr>
                <w:rFonts w:cstheme="minorHAnsi"/>
                <w:color w:val="000000"/>
                <w:sz w:val="22"/>
                <w:szCs w:val="21"/>
                <w:vertAlign w:val="superscript"/>
              </w:rPr>
              <w:fldChar w:fldCharType="begin"/>
            </w:r>
            <w:r w:rsidR="00B70DDE" w:rsidRPr="009C48FB">
              <w:rPr>
                <w:rFonts w:cstheme="minorHAnsi"/>
                <w:color w:val="000000"/>
                <w:sz w:val="22"/>
                <w:szCs w:val="21"/>
                <w:vertAlign w:val="superscript"/>
              </w:rPr>
              <w:instrText xml:space="preserve"> NOTEREF _Ref45967260 \h  \* MERGEFORMAT </w:instrText>
            </w:r>
            <w:r w:rsidR="00B70DDE" w:rsidRPr="00B70DDE">
              <w:rPr>
                <w:rFonts w:cstheme="minorHAnsi"/>
                <w:color w:val="000000"/>
                <w:sz w:val="22"/>
                <w:szCs w:val="21"/>
                <w:vertAlign w:val="superscript"/>
              </w:rPr>
            </w:r>
            <w:r w:rsidR="00B70DDE" w:rsidRPr="00B70DDE">
              <w:rPr>
                <w:rFonts w:cstheme="minorHAnsi"/>
                <w:color w:val="000000"/>
                <w:sz w:val="22"/>
                <w:szCs w:val="21"/>
                <w:vertAlign w:val="superscript"/>
              </w:rPr>
              <w:fldChar w:fldCharType="separate"/>
            </w:r>
            <w:r w:rsidR="00B70DDE" w:rsidRPr="009C48FB">
              <w:rPr>
                <w:rFonts w:cstheme="minorHAnsi"/>
                <w:color w:val="000000"/>
                <w:sz w:val="22"/>
                <w:szCs w:val="21"/>
                <w:vertAlign w:val="superscript"/>
              </w:rPr>
              <w:t>12</w:t>
            </w:r>
            <w:r w:rsidR="00B70DDE" w:rsidRPr="00B70DDE">
              <w:rPr>
                <w:rFonts w:cstheme="minorHAnsi"/>
                <w:color w:val="000000"/>
                <w:sz w:val="22"/>
                <w:szCs w:val="21"/>
                <w:vertAlign w:val="superscript"/>
              </w:rPr>
              <w:fldChar w:fldCharType="end"/>
            </w:r>
            <w:r w:rsidR="00B70DDE" w:rsidRPr="009C48FB">
              <w:rPr>
                <w:rFonts w:cstheme="minorHAnsi"/>
                <w:color w:val="000000"/>
                <w:sz w:val="22"/>
                <w:szCs w:val="21"/>
                <w:vertAlign w:val="superscript"/>
              </w:rPr>
              <w:t xml:space="preserve"> </w:t>
            </w:r>
          </w:p>
        </w:tc>
        <w:tc>
          <w:tcPr>
            <w:tcW w:w="2950" w:type="dxa"/>
            <w:vMerge w:val="restart"/>
            <w:shd w:val="clear" w:color="auto" w:fill="auto"/>
            <w:hideMark/>
          </w:tcPr>
          <w:p w14:paraId="2CF4B102"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193 children and adolescents (3-17 years) with a diagnosis </w:t>
            </w:r>
            <w:r w:rsidRPr="002C2967">
              <w:rPr>
                <w:rFonts w:cstheme="minorHAnsi"/>
                <w:color w:val="000000"/>
                <w:sz w:val="22"/>
                <w:szCs w:val="21"/>
              </w:rPr>
              <w:lastRenderedPageBreak/>
              <w:t>of an autism spectrum disorder (ADOS, ADIR, DISCO, CARS or diagnostic criteria as defined by DSM-IV or ICD-10, that is Pervasive Developmental Disorder, excluding Rett Syndrome and Childhood Disintegrative Disorder).</w:t>
            </w:r>
          </w:p>
        </w:tc>
        <w:tc>
          <w:tcPr>
            <w:tcW w:w="1658" w:type="dxa"/>
            <w:gridSpan w:val="2"/>
            <w:shd w:val="clear" w:color="auto" w:fill="auto"/>
            <w:hideMark/>
          </w:tcPr>
          <w:p w14:paraId="42376B53"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lastRenderedPageBreak/>
              <w:t>Fluoxetine</w:t>
            </w:r>
          </w:p>
        </w:tc>
        <w:tc>
          <w:tcPr>
            <w:tcW w:w="4336" w:type="dxa"/>
            <w:shd w:val="clear" w:color="auto" w:fill="auto"/>
            <w:hideMark/>
          </w:tcPr>
          <w:p w14:paraId="6F9DD6BF" w14:textId="77777777" w:rsidR="001F74C9" w:rsidRPr="002C2967" w:rsidRDefault="001F74C9" w:rsidP="002C2967">
            <w:pPr>
              <w:spacing w:beforeLines="20" w:before="48" w:afterLines="20" w:after="48"/>
              <w:rPr>
                <w:sz w:val="22"/>
                <w:szCs w:val="21"/>
              </w:rPr>
            </w:pPr>
            <w:r w:rsidRPr="002C2967">
              <w:rPr>
                <w:rFonts w:cstheme="minorHAnsi"/>
                <w:color w:val="000000"/>
                <w:sz w:val="22"/>
                <w:szCs w:val="21"/>
              </w:rPr>
              <w:t>Changes in CGI scale</w:t>
            </w:r>
            <w:r w:rsidRPr="002C2967">
              <w:rPr>
                <w:sz w:val="22"/>
                <w:szCs w:val="21"/>
              </w:rPr>
              <w:t xml:space="preserve"> adapted to Global Autism </w:t>
            </w:r>
          </w:p>
          <w:p w14:paraId="15444F21"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789C74A2"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No statistical data provided</w:t>
            </w:r>
          </w:p>
        </w:tc>
      </w:tr>
      <w:tr w:rsidR="005968BA" w:rsidRPr="001F74C9" w14:paraId="1BFCD38F" w14:textId="77777777" w:rsidTr="002C2967">
        <w:trPr>
          <w:trHeight w:val="1533"/>
        </w:trPr>
        <w:tc>
          <w:tcPr>
            <w:tcW w:w="1546" w:type="dxa"/>
            <w:vMerge/>
            <w:hideMark/>
          </w:tcPr>
          <w:p w14:paraId="411A6459"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2C8879E8"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0AB98F61"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Citalopram</w:t>
            </w:r>
          </w:p>
        </w:tc>
        <w:tc>
          <w:tcPr>
            <w:tcW w:w="4336" w:type="dxa"/>
            <w:shd w:val="clear" w:color="auto" w:fill="auto"/>
            <w:hideMark/>
          </w:tcPr>
          <w:p w14:paraId="188744AF"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Changes in parents’ ratings using the six subscales of the RBS-R</w:t>
            </w:r>
          </w:p>
        </w:tc>
        <w:tc>
          <w:tcPr>
            <w:tcW w:w="3572" w:type="dxa"/>
            <w:shd w:val="clear" w:color="auto" w:fill="auto"/>
            <w:hideMark/>
          </w:tcPr>
          <w:p w14:paraId="1862A912"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p &gt; 0.36 </w:t>
            </w:r>
          </w:p>
        </w:tc>
      </w:tr>
      <w:tr w:rsidR="005968BA" w:rsidRPr="001F74C9" w14:paraId="3B4E11F8" w14:textId="77777777" w:rsidTr="002C2967">
        <w:trPr>
          <w:trHeight w:val="97"/>
        </w:trPr>
        <w:tc>
          <w:tcPr>
            <w:tcW w:w="1546" w:type="dxa"/>
            <w:shd w:val="clear" w:color="auto" w:fill="auto"/>
            <w:hideMark/>
          </w:tcPr>
          <w:p w14:paraId="4D4CDB62"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Tolerability</w:t>
            </w:r>
          </w:p>
        </w:tc>
        <w:tc>
          <w:tcPr>
            <w:tcW w:w="2950" w:type="dxa"/>
            <w:shd w:val="clear" w:color="auto" w:fill="auto"/>
            <w:hideMark/>
          </w:tcPr>
          <w:p w14:paraId="18890E8E"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1658" w:type="dxa"/>
            <w:gridSpan w:val="2"/>
            <w:shd w:val="clear" w:color="auto" w:fill="auto"/>
            <w:hideMark/>
          </w:tcPr>
          <w:p w14:paraId="5D0009CB"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4336" w:type="dxa"/>
            <w:shd w:val="clear" w:color="auto" w:fill="auto"/>
            <w:hideMark/>
          </w:tcPr>
          <w:p w14:paraId="29BCA30B"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3572" w:type="dxa"/>
            <w:shd w:val="clear" w:color="auto" w:fill="auto"/>
            <w:hideMark/>
          </w:tcPr>
          <w:p w14:paraId="44C7AD3F"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r>
      <w:tr w:rsidR="005968BA" w:rsidRPr="001F74C9" w14:paraId="7DDC6AE2" w14:textId="77777777" w:rsidTr="002C2967">
        <w:trPr>
          <w:trHeight w:val="561"/>
        </w:trPr>
        <w:tc>
          <w:tcPr>
            <w:tcW w:w="1546" w:type="dxa"/>
            <w:vMerge w:val="restart"/>
            <w:shd w:val="clear" w:color="auto" w:fill="auto"/>
            <w:hideMark/>
          </w:tcPr>
          <w:p w14:paraId="3D1426E5" w14:textId="47AC91BE"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Hurwitz et al (2012)</w:t>
            </w:r>
            <w:r w:rsidR="00B70DDE" w:rsidRPr="00B70DDE">
              <w:rPr>
                <w:rFonts w:cstheme="minorHAnsi"/>
                <w:color w:val="000000"/>
                <w:sz w:val="22"/>
                <w:szCs w:val="21"/>
                <w:vertAlign w:val="superscript"/>
              </w:rPr>
              <w:fldChar w:fldCharType="begin"/>
            </w:r>
            <w:r w:rsidR="00B70DDE" w:rsidRPr="009C48FB">
              <w:rPr>
                <w:rFonts w:cstheme="minorHAnsi"/>
                <w:color w:val="000000"/>
                <w:sz w:val="22"/>
                <w:szCs w:val="21"/>
                <w:vertAlign w:val="superscript"/>
              </w:rPr>
              <w:instrText xml:space="preserve"> NOTEREF _Ref45967278 \h  \* MERGEFORMAT </w:instrText>
            </w:r>
            <w:r w:rsidR="00B70DDE" w:rsidRPr="00B70DDE">
              <w:rPr>
                <w:rFonts w:cstheme="minorHAnsi"/>
                <w:color w:val="000000"/>
                <w:sz w:val="22"/>
                <w:szCs w:val="21"/>
                <w:vertAlign w:val="superscript"/>
              </w:rPr>
            </w:r>
            <w:r w:rsidR="00B70DDE" w:rsidRPr="00B70DDE">
              <w:rPr>
                <w:rFonts w:cstheme="minorHAnsi"/>
                <w:color w:val="000000"/>
                <w:sz w:val="22"/>
                <w:szCs w:val="21"/>
                <w:vertAlign w:val="superscript"/>
              </w:rPr>
              <w:fldChar w:fldCharType="separate"/>
            </w:r>
            <w:r w:rsidR="00B70DDE" w:rsidRPr="009C48FB">
              <w:rPr>
                <w:rFonts w:cstheme="minorHAnsi"/>
                <w:color w:val="000000"/>
                <w:sz w:val="22"/>
                <w:szCs w:val="21"/>
                <w:vertAlign w:val="superscript"/>
              </w:rPr>
              <w:t>13</w:t>
            </w:r>
            <w:r w:rsidR="00B70DDE" w:rsidRPr="00B70DDE">
              <w:rPr>
                <w:rFonts w:cstheme="minorHAnsi"/>
                <w:color w:val="000000"/>
                <w:sz w:val="22"/>
                <w:szCs w:val="21"/>
                <w:vertAlign w:val="superscript"/>
              </w:rPr>
              <w:fldChar w:fldCharType="end"/>
            </w:r>
          </w:p>
        </w:tc>
        <w:tc>
          <w:tcPr>
            <w:tcW w:w="2950" w:type="dxa"/>
            <w:vMerge w:val="restart"/>
            <w:shd w:val="clear" w:color="auto" w:fill="auto"/>
            <w:hideMark/>
          </w:tcPr>
          <w:p w14:paraId="4924E3D3"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42 children and adolescents with a diagnosis of an autism spectrum disorder (as above)</w:t>
            </w:r>
          </w:p>
        </w:tc>
        <w:tc>
          <w:tcPr>
            <w:tcW w:w="1658" w:type="dxa"/>
            <w:gridSpan w:val="2"/>
            <w:shd w:val="clear" w:color="auto" w:fill="auto"/>
            <w:hideMark/>
          </w:tcPr>
          <w:p w14:paraId="2744FE2E"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Tianeptine</w:t>
            </w:r>
          </w:p>
        </w:tc>
        <w:tc>
          <w:tcPr>
            <w:tcW w:w="4336" w:type="dxa"/>
            <w:shd w:val="clear" w:color="auto" w:fill="auto"/>
            <w:hideMark/>
          </w:tcPr>
          <w:p w14:paraId="22AFAF60"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Levels of drowsiness as measured by symptom checklist designed by study group</w:t>
            </w:r>
          </w:p>
        </w:tc>
        <w:tc>
          <w:tcPr>
            <w:tcW w:w="3572" w:type="dxa"/>
            <w:shd w:val="clear" w:color="auto" w:fill="auto"/>
            <w:hideMark/>
          </w:tcPr>
          <w:p w14:paraId="48E7C0CE"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placebo 1.4 (SD = 2.3), tianeptine 2.9 (SD= 2.4); p = 0.022</w:t>
            </w:r>
          </w:p>
        </w:tc>
      </w:tr>
      <w:tr w:rsidR="005968BA" w:rsidRPr="001F74C9" w14:paraId="5F4BB28F" w14:textId="77777777" w:rsidTr="002C2967">
        <w:trPr>
          <w:trHeight w:val="601"/>
        </w:trPr>
        <w:tc>
          <w:tcPr>
            <w:tcW w:w="1546" w:type="dxa"/>
            <w:vMerge/>
            <w:hideMark/>
          </w:tcPr>
          <w:p w14:paraId="0BFD6E52"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147DE9FA"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3D85D969"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Tianeptine</w:t>
            </w:r>
          </w:p>
        </w:tc>
        <w:tc>
          <w:tcPr>
            <w:tcW w:w="4336" w:type="dxa"/>
            <w:shd w:val="clear" w:color="auto" w:fill="auto"/>
            <w:hideMark/>
          </w:tcPr>
          <w:p w14:paraId="3AC542C9"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Levels of activity as measured by symptom checklist designed by study group</w:t>
            </w:r>
          </w:p>
        </w:tc>
        <w:tc>
          <w:tcPr>
            <w:tcW w:w="3572" w:type="dxa"/>
            <w:shd w:val="clear" w:color="auto" w:fill="auto"/>
            <w:hideMark/>
          </w:tcPr>
          <w:p w14:paraId="3C9FF375"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placebo 2.4 (SD = 3.3), tianeptine 4.0 (SD = 3.7); p = 0.029</w:t>
            </w:r>
          </w:p>
        </w:tc>
      </w:tr>
      <w:tr w:rsidR="005968BA" w:rsidRPr="001F74C9" w14:paraId="58EF4F2A" w14:textId="77777777" w:rsidTr="002C2967">
        <w:trPr>
          <w:trHeight w:val="342"/>
        </w:trPr>
        <w:tc>
          <w:tcPr>
            <w:tcW w:w="1546" w:type="dxa"/>
            <w:vMerge/>
            <w:hideMark/>
          </w:tcPr>
          <w:p w14:paraId="760DF6BB"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10BF5B86"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1826D343"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Clomipramine</w:t>
            </w:r>
          </w:p>
        </w:tc>
        <w:tc>
          <w:tcPr>
            <w:tcW w:w="4336" w:type="dxa"/>
            <w:shd w:val="clear" w:color="auto" w:fill="auto"/>
            <w:hideMark/>
          </w:tcPr>
          <w:p w14:paraId="61B680F7"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No. of adverse events as measured by the Subjective Treatment Emergent Symptoms Subscale</w:t>
            </w:r>
          </w:p>
        </w:tc>
        <w:tc>
          <w:tcPr>
            <w:tcW w:w="3572" w:type="dxa"/>
            <w:shd w:val="clear" w:color="auto" w:fill="auto"/>
            <w:hideMark/>
          </w:tcPr>
          <w:p w14:paraId="317E64D7"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No statistical data provided</w:t>
            </w:r>
          </w:p>
        </w:tc>
      </w:tr>
      <w:tr w:rsidR="005968BA" w:rsidRPr="001F74C9" w14:paraId="250CB701" w14:textId="77777777" w:rsidTr="002C2967">
        <w:trPr>
          <w:trHeight w:val="97"/>
        </w:trPr>
        <w:tc>
          <w:tcPr>
            <w:tcW w:w="1546" w:type="dxa"/>
            <w:vMerge w:val="restart"/>
            <w:shd w:val="clear" w:color="auto" w:fill="auto"/>
            <w:hideMark/>
          </w:tcPr>
          <w:p w14:paraId="6FBCEDE6" w14:textId="2169A5C3"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Williams et al (2013)</w:t>
            </w:r>
            <w:r w:rsidR="00B70DDE" w:rsidRPr="00C14EE2">
              <w:rPr>
                <w:rFonts w:cstheme="minorHAnsi"/>
                <w:color w:val="000000"/>
                <w:sz w:val="22"/>
                <w:szCs w:val="21"/>
                <w:vertAlign w:val="superscript"/>
              </w:rPr>
              <w:fldChar w:fldCharType="begin"/>
            </w:r>
            <w:r w:rsidR="00B70DDE" w:rsidRPr="009C48FB">
              <w:rPr>
                <w:rFonts w:cstheme="minorHAnsi"/>
                <w:color w:val="000000"/>
                <w:sz w:val="22"/>
                <w:szCs w:val="21"/>
                <w:vertAlign w:val="superscript"/>
              </w:rPr>
              <w:instrText xml:space="preserve"> NOTEREF _Ref45967260 \h  \* MERGEFORMAT </w:instrText>
            </w:r>
            <w:r w:rsidR="00B70DDE" w:rsidRPr="00C14EE2">
              <w:rPr>
                <w:rFonts w:cstheme="minorHAnsi"/>
                <w:color w:val="000000"/>
                <w:sz w:val="22"/>
                <w:szCs w:val="21"/>
                <w:vertAlign w:val="superscript"/>
              </w:rPr>
            </w:r>
            <w:r w:rsidR="00B70DDE" w:rsidRPr="00C14EE2">
              <w:rPr>
                <w:rFonts w:cstheme="minorHAnsi"/>
                <w:color w:val="000000"/>
                <w:sz w:val="22"/>
                <w:szCs w:val="21"/>
                <w:vertAlign w:val="superscript"/>
              </w:rPr>
              <w:fldChar w:fldCharType="separate"/>
            </w:r>
            <w:r w:rsidR="00B70DDE" w:rsidRPr="009C48FB">
              <w:rPr>
                <w:rFonts w:cstheme="minorHAnsi"/>
                <w:color w:val="000000"/>
                <w:sz w:val="22"/>
                <w:szCs w:val="21"/>
                <w:vertAlign w:val="superscript"/>
              </w:rPr>
              <w:t>12</w:t>
            </w:r>
            <w:r w:rsidR="00B70DDE" w:rsidRPr="00C14EE2">
              <w:rPr>
                <w:rFonts w:cstheme="minorHAnsi"/>
                <w:color w:val="000000"/>
                <w:sz w:val="22"/>
                <w:szCs w:val="21"/>
                <w:vertAlign w:val="superscript"/>
              </w:rPr>
              <w:fldChar w:fldCharType="end"/>
            </w:r>
            <w:r w:rsidR="00B70DDE" w:rsidRPr="009C48FB">
              <w:rPr>
                <w:rFonts w:cstheme="minorHAnsi"/>
                <w:color w:val="000000"/>
                <w:sz w:val="22"/>
                <w:szCs w:val="21"/>
                <w:vertAlign w:val="superscript"/>
              </w:rPr>
              <w:t xml:space="preserve"> </w:t>
            </w:r>
          </w:p>
        </w:tc>
        <w:tc>
          <w:tcPr>
            <w:tcW w:w="2950" w:type="dxa"/>
            <w:vMerge w:val="restart"/>
            <w:shd w:val="clear" w:color="auto" w:fill="auto"/>
            <w:hideMark/>
          </w:tcPr>
          <w:p w14:paraId="3DFF831F"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193 children and adolescents (3-17 yeas) with a diagnosis of an autism spectrum disorder (as above)</w:t>
            </w:r>
          </w:p>
        </w:tc>
        <w:tc>
          <w:tcPr>
            <w:tcW w:w="1658" w:type="dxa"/>
            <w:gridSpan w:val="2"/>
            <w:shd w:val="clear" w:color="auto" w:fill="auto"/>
            <w:hideMark/>
          </w:tcPr>
          <w:p w14:paraId="0E560BC4"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Fluoxetine</w:t>
            </w:r>
          </w:p>
        </w:tc>
        <w:tc>
          <w:tcPr>
            <w:tcW w:w="4336" w:type="dxa"/>
            <w:shd w:val="clear" w:color="auto" w:fill="auto"/>
            <w:hideMark/>
          </w:tcPr>
          <w:p w14:paraId="332E0461"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Frequency of adverse effects as measured by a side effects symptom checklist</w:t>
            </w:r>
          </w:p>
        </w:tc>
        <w:tc>
          <w:tcPr>
            <w:tcW w:w="3572" w:type="dxa"/>
            <w:shd w:val="clear" w:color="auto" w:fill="auto"/>
            <w:hideMark/>
          </w:tcPr>
          <w:p w14:paraId="076ABE21"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No statistical data provided</w:t>
            </w:r>
          </w:p>
        </w:tc>
      </w:tr>
      <w:tr w:rsidR="005968BA" w:rsidRPr="001F74C9" w14:paraId="4572D4B2" w14:textId="77777777" w:rsidTr="002C2967">
        <w:trPr>
          <w:trHeight w:val="383"/>
        </w:trPr>
        <w:tc>
          <w:tcPr>
            <w:tcW w:w="1546" w:type="dxa"/>
            <w:vMerge/>
            <w:tcBorders>
              <w:bottom w:val="single" w:sz="4" w:space="0" w:color="auto"/>
            </w:tcBorders>
            <w:hideMark/>
          </w:tcPr>
          <w:p w14:paraId="73D571FC"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tcBorders>
              <w:bottom w:val="single" w:sz="4" w:space="0" w:color="auto"/>
            </w:tcBorders>
            <w:hideMark/>
          </w:tcPr>
          <w:p w14:paraId="5E82BB78"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tcBorders>
              <w:bottom w:val="single" w:sz="4" w:space="0" w:color="auto"/>
            </w:tcBorders>
            <w:shd w:val="clear" w:color="auto" w:fill="auto"/>
            <w:hideMark/>
          </w:tcPr>
          <w:p w14:paraId="585ECC39"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Citalopram</w:t>
            </w:r>
          </w:p>
        </w:tc>
        <w:tc>
          <w:tcPr>
            <w:tcW w:w="4336" w:type="dxa"/>
            <w:tcBorders>
              <w:bottom w:val="single" w:sz="4" w:space="0" w:color="auto"/>
            </w:tcBorders>
            <w:shd w:val="clear" w:color="auto" w:fill="auto"/>
            <w:hideMark/>
          </w:tcPr>
          <w:p w14:paraId="35AEBFA8" w14:textId="77777777" w:rsidR="001F74C9" w:rsidRPr="002C2967" w:rsidRDefault="001F74C9" w:rsidP="002C2967">
            <w:pPr>
              <w:spacing w:beforeLines="20" w:before="48" w:afterLines="20" w:after="48"/>
              <w:rPr>
                <w:sz w:val="22"/>
                <w:szCs w:val="21"/>
              </w:rPr>
            </w:pPr>
            <w:r w:rsidRPr="002C2967">
              <w:rPr>
                <w:rFonts w:cstheme="minorHAnsi"/>
                <w:color w:val="000000"/>
                <w:sz w:val="22"/>
                <w:szCs w:val="21"/>
              </w:rPr>
              <w:t xml:space="preserve">One or more treatment-emergent adverse events as measured by </w:t>
            </w:r>
            <w:r w:rsidRPr="002C2967">
              <w:rPr>
                <w:sz w:val="22"/>
                <w:szCs w:val="21"/>
              </w:rPr>
              <w:t>Safety Monitoring Uniform Report Form</w:t>
            </w:r>
          </w:p>
        </w:tc>
        <w:tc>
          <w:tcPr>
            <w:tcW w:w="3572" w:type="dxa"/>
            <w:shd w:val="clear" w:color="auto" w:fill="auto"/>
            <w:hideMark/>
          </w:tcPr>
          <w:p w14:paraId="0BFB5EDC"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placebo 86.8%, citalopram 97.3%; p = 0.03 </w:t>
            </w:r>
          </w:p>
        </w:tc>
      </w:tr>
      <w:tr w:rsidR="005968BA" w:rsidRPr="001F74C9" w14:paraId="77BB6200" w14:textId="77777777" w:rsidTr="002C2967">
        <w:trPr>
          <w:gridAfter w:val="1"/>
          <w:wAfter w:w="3572" w:type="dxa"/>
          <w:trHeight w:val="139"/>
        </w:trPr>
        <w:tc>
          <w:tcPr>
            <w:tcW w:w="4506" w:type="dxa"/>
            <w:gridSpan w:val="3"/>
            <w:shd w:val="pct5" w:color="auto" w:fill="auto"/>
            <w:hideMark/>
          </w:tcPr>
          <w:p w14:paraId="61568209" w14:textId="31E6C7A2" w:rsidR="001F74C9" w:rsidRPr="002C2967" w:rsidRDefault="001F74C9" w:rsidP="002C2967">
            <w:pPr>
              <w:spacing w:beforeLines="20" w:before="48" w:afterLines="20" w:after="48"/>
              <w:rPr>
                <w:rFonts w:cstheme="minorHAnsi"/>
                <w:b/>
                <w:bCs/>
                <w:color w:val="000000"/>
                <w:sz w:val="22"/>
                <w:szCs w:val="21"/>
              </w:rPr>
            </w:pPr>
            <w:r w:rsidRPr="001F74C9">
              <w:rPr>
                <w:rFonts w:cstheme="minorHAnsi"/>
                <w:b/>
                <w:bCs/>
                <w:color w:val="000000"/>
                <w:sz w:val="22"/>
                <w:szCs w:val="21"/>
              </w:rPr>
              <w:t>MAJOR DEPRESSIVE DISORDER</w:t>
            </w:r>
          </w:p>
        </w:tc>
        <w:tc>
          <w:tcPr>
            <w:tcW w:w="1648" w:type="dxa"/>
            <w:shd w:val="pct5" w:color="auto" w:fill="auto"/>
            <w:hideMark/>
          </w:tcPr>
          <w:p w14:paraId="4EC77726" w14:textId="7E7C2545" w:rsidR="001F74C9" w:rsidRPr="002C2967" w:rsidRDefault="001F74C9" w:rsidP="002C2967">
            <w:pPr>
              <w:spacing w:beforeLines="20" w:before="48" w:afterLines="20" w:after="48"/>
              <w:rPr>
                <w:rFonts w:cstheme="minorHAnsi"/>
                <w:b/>
                <w:bCs/>
                <w:color w:val="000000"/>
                <w:sz w:val="22"/>
                <w:szCs w:val="21"/>
              </w:rPr>
            </w:pPr>
            <w:r w:rsidRPr="00563224">
              <w:rPr>
                <w:rFonts w:cstheme="minorHAnsi"/>
                <w:b/>
                <w:bCs/>
                <w:color w:val="000000"/>
                <w:sz w:val="22"/>
                <w:szCs w:val="21"/>
              </w:rPr>
              <w:t> </w:t>
            </w:r>
          </w:p>
        </w:tc>
        <w:tc>
          <w:tcPr>
            <w:tcW w:w="4336" w:type="dxa"/>
            <w:shd w:val="pct5" w:color="auto" w:fill="auto"/>
            <w:hideMark/>
          </w:tcPr>
          <w:p w14:paraId="25563852" w14:textId="7815758A" w:rsidR="001F74C9" w:rsidRPr="002C2967" w:rsidRDefault="001F74C9" w:rsidP="002C2967">
            <w:pPr>
              <w:spacing w:beforeLines="20" w:before="48" w:afterLines="20" w:after="48"/>
              <w:rPr>
                <w:rFonts w:cstheme="minorHAnsi"/>
                <w:b/>
                <w:bCs/>
                <w:color w:val="000000"/>
                <w:sz w:val="22"/>
                <w:szCs w:val="21"/>
              </w:rPr>
            </w:pPr>
            <w:r w:rsidRPr="00563224">
              <w:rPr>
                <w:rFonts w:cstheme="minorHAnsi"/>
                <w:b/>
                <w:bCs/>
                <w:color w:val="000000"/>
                <w:sz w:val="22"/>
                <w:szCs w:val="21"/>
              </w:rPr>
              <w:t> </w:t>
            </w:r>
          </w:p>
        </w:tc>
      </w:tr>
      <w:tr w:rsidR="005968BA" w:rsidRPr="001F74C9" w14:paraId="5A06FCE9" w14:textId="77777777" w:rsidTr="002C2967">
        <w:trPr>
          <w:trHeight w:val="97"/>
        </w:trPr>
        <w:tc>
          <w:tcPr>
            <w:tcW w:w="1546" w:type="dxa"/>
            <w:shd w:val="clear" w:color="auto" w:fill="auto"/>
            <w:hideMark/>
          </w:tcPr>
          <w:p w14:paraId="6AAB8D63"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Efficacy</w:t>
            </w:r>
          </w:p>
        </w:tc>
        <w:tc>
          <w:tcPr>
            <w:tcW w:w="2950" w:type="dxa"/>
            <w:shd w:val="clear" w:color="auto" w:fill="auto"/>
            <w:hideMark/>
          </w:tcPr>
          <w:p w14:paraId="525C04AD"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1658" w:type="dxa"/>
            <w:gridSpan w:val="2"/>
            <w:shd w:val="clear" w:color="auto" w:fill="auto"/>
            <w:hideMark/>
          </w:tcPr>
          <w:p w14:paraId="2F2C4866"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4336" w:type="dxa"/>
            <w:shd w:val="clear" w:color="auto" w:fill="auto"/>
            <w:hideMark/>
          </w:tcPr>
          <w:p w14:paraId="1488430E"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3572" w:type="dxa"/>
            <w:shd w:val="clear" w:color="auto" w:fill="auto"/>
            <w:hideMark/>
          </w:tcPr>
          <w:p w14:paraId="4A813625"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r>
      <w:tr w:rsidR="005968BA" w:rsidRPr="001F74C9" w14:paraId="299E900E" w14:textId="77777777" w:rsidTr="002C2967">
        <w:trPr>
          <w:trHeight w:val="289"/>
        </w:trPr>
        <w:tc>
          <w:tcPr>
            <w:tcW w:w="1546" w:type="dxa"/>
            <w:vMerge w:val="restart"/>
            <w:shd w:val="clear" w:color="auto" w:fill="auto"/>
            <w:hideMark/>
          </w:tcPr>
          <w:p w14:paraId="59215DD2" w14:textId="5411152A"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Cipriani et al (2016)</w:t>
            </w:r>
            <w:r w:rsidR="00857FD3" w:rsidRPr="009C48FB">
              <w:rPr>
                <w:rFonts w:cstheme="minorHAnsi"/>
                <w:color w:val="000000"/>
                <w:sz w:val="22"/>
                <w:szCs w:val="21"/>
                <w:vertAlign w:val="superscript"/>
              </w:rPr>
              <w:fldChar w:fldCharType="begin"/>
            </w:r>
            <w:r w:rsidR="00857FD3" w:rsidRPr="009C48FB">
              <w:rPr>
                <w:rFonts w:cstheme="minorHAnsi"/>
                <w:color w:val="000000"/>
                <w:sz w:val="22"/>
                <w:szCs w:val="21"/>
                <w:vertAlign w:val="superscript"/>
              </w:rPr>
              <w:instrText xml:space="preserve"> NOTEREF _Ref45745003 \h </w:instrText>
            </w:r>
            <w:r w:rsidR="00857FD3">
              <w:rPr>
                <w:rFonts w:cstheme="minorHAnsi"/>
                <w:color w:val="000000"/>
                <w:sz w:val="22"/>
                <w:szCs w:val="21"/>
                <w:vertAlign w:val="superscript"/>
              </w:rPr>
              <w:instrText xml:space="preserve"> \* MERGEFORMAT </w:instrText>
            </w:r>
            <w:r w:rsidR="00857FD3" w:rsidRPr="009C48FB">
              <w:rPr>
                <w:rFonts w:cstheme="minorHAnsi"/>
                <w:color w:val="000000"/>
                <w:sz w:val="22"/>
                <w:szCs w:val="21"/>
                <w:vertAlign w:val="superscript"/>
              </w:rPr>
            </w:r>
            <w:r w:rsidR="00857FD3" w:rsidRPr="009C48FB">
              <w:rPr>
                <w:rFonts w:cstheme="minorHAnsi"/>
                <w:color w:val="000000"/>
                <w:sz w:val="22"/>
                <w:szCs w:val="21"/>
                <w:vertAlign w:val="superscript"/>
              </w:rPr>
              <w:fldChar w:fldCharType="separate"/>
            </w:r>
            <w:r w:rsidR="00202932">
              <w:rPr>
                <w:rFonts w:cstheme="minorHAnsi"/>
                <w:color w:val="000000"/>
                <w:sz w:val="22"/>
                <w:szCs w:val="21"/>
                <w:vertAlign w:val="superscript"/>
              </w:rPr>
              <w:t>6</w:t>
            </w:r>
            <w:r w:rsidR="00857FD3" w:rsidRPr="009C48FB">
              <w:rPr>
                <w:rFonts w:cstheme="minorHAnsi"/>
                <w:color w:val="000000"/>
                <w:sz w:val="22"/>
                <w:szCs w:val="21"/>
                <w:vertAlign w:val="superscript"/>
              </w:rPr>
              <w:fldChar w:fldCharType="end"/>
            </w:r>
          </w:p>
        </w:tc>
        <w:tc>
          <w:tcPr>
            <w:tcW w:w="2950" w:type="dxa"/>
            <w:vMerge w:val="restart"/>
            <w:shd w:val="clear" w:color="auto" w:fill="auto"/>
            <w:hideMark/>
          </w:tcPr>
          <w:p w14:paraId="70191FB2"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5260 children and adolescents (9-18 years) with a primary diagnosis of major depressive disorder according to standardised diagnostic criteria.</w:t>
            </w:r>
          </w:p>
        </w:tc>
        <w:tc>
          <w:tcPr>
            <w:tcW w:w="1658" w:type="dxa"/>
            <w:gridSpan w:val="2"/>
            <w:shd w:val="clear" w:color="auto" w:fill="auto"/>
            <w:hideMark/>
          </w:tcPr>
          <w:p w14:paraId="0EE1EAC6"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Fluoxetine</w:t>
            </w:r>
          </w:p>
        </w:tc>
        <w:tc>
          <w:tcPr>
            <w:tcW w:w="4336" w:type="dxa"/>
            <w:vMerge w:val="restart"/>
            <w:shd w:val="clear" w:color="auto" w:fill="auto"/>
            <w:hideMark/>
          </w:tcPr>
          <w:p w14:paraId="5541877C"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Mean overall change in depressive symptoms as measured by the CDRS-R, HAMD, BDI, CDI</w:t>
            </w:r>
          </w:p>
        </w:tc>
        <w:tc>
          <w:tcPr>
            <w:tcW w:w="3572" w:type="dxa"/>
            <w:shd w:val="clear" w:color="auto" w:fill="auto"/>
            <w:hideMark/>
          </w:tcPr>
          <w:p w14:paraId="4DF7770A"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SMD -0.51; 95% CI -0.99 to -0.03</w:t>
            </w:r>
          </w:p>
        </w:tc>
      </w:tr>
      <w:tr w:rsidR="005968BA" w:rsidRPr="001F74C9" w14:paraId="04A6D7DF" w14:textId="77777777" w:rsidTr="002C2967">
        <w:trPr>
          <w:trHeight w:val="97"/>
        </w:trPr>
        <w:tc>
          <w:tcPr>
            <w:tcW w:w="1546" w:type="dxa"/>
            <w:vMerge/>
            <w:hideMark/>
          </w:tcPr>
          <w:p w14:paraId="43091F42"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50010D54"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53692E00"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Desipramine</w:t>
            </w:r>
          </w:p>
        </w:tc>
        <w:tc>
          <w:tcPr>
            <w:tcW w:w="4336" w:type="dxa"/>
            <w:vMerge/>
            <w:hideMark/>
          </w:tcPr>
          <w:p w14:paraId="4DE0D98B"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46068EF3"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SMD -0.45; 95% CI -1.52 to </w:t>
            </w:r>
            <w:proofErr w:type="gramStart"/>
            <w:r w:rsidRPr="002C2967">
              <w:rPr>
                <w:rFonts w:cstheme="minorHAnsi"/>
                <w:color w:val="000000"/>
                <w:sz w:val="22"/>
                <w:szCs w:val="21"/>
              </w:rPr>
              <w:t>0..</w:t>
            </w:r>
            <w:proofErr w:type="gramEnd"/>
            <w:r w:rsidRPr="002C2967">
              <w:rPr>
                <w:rFonts w:cstheme="minorHAnsi"/>
                <w:color w:val="000000"/>
                <w:sz w:val="22"/>
                <w:szCs w:val="21"/>
              </w:rPr>
              <w:t xml:space="preserve">62 </w:t>
            </w:r>
          </w:p>
        </w:tc>
      </w:tr>
      <w:tr w:rsidR="005968BA" w:rsidRPr="001F74C9" w14:paraId="4A19102C" w14:textId="77777777" w:rsidTr="002C2967">
        <w:trPr>
          <w:trHeight w:val="235"/>
        </w:trPr>
        <w:tc>
          <w:tcPr>
            <w:tcW w:w="1546" w:type="dxa"/>
            <w:vMerge/>
            <w:hideMark/>
          </w:tcPr>
          <w:p w14:paraId="0FB44674"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11FF8BB6"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139F881B"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Duloxetine</w:t>
            </w:r>
          </w:p>
        </w:tc>
        <w:tc>
          <w:tcPr>
            <w:tcW w:w="4336" w:type="dxa"/>
            <w:vMerge/>
            <w:hideMark/>
          </w:tcPr>
          <w:p w14:paraId="166A1396"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7E7E308A"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SMD -0.35; 95% CI -1.24 to 0.54 </w:t>
            </w:r>
          </w:p>
        </w:tc>
      </w:tr>
      <w:tr w:rsidR="005968BA" w:rsidRPr="001F74C9" w14:paraId="2E3F5A95" w14:textId="77777777" w:rsidTr="002C2967">
        <w:trPr>
          <w:trHeight w:val="257"/>
        </w:trPr>
        <w:tc>
          <w:tcPr>
            <w:tcW w:w="1546" w:type="dxa"/>
            <w:vMerge/>
            <w:hideMark/>
          </w:tcPr>
          <w:p w14:paraId="3E8E5382"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75266ECD"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5E75A0BD"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Venlafaxine</w:t>
            </w:r>
          </w:p>
        </w:tc>
        <w:tc>
          <w:tcPr>
            <w:tcW w:w="4336" w:type="dxa"/>
            <w:vMerge/>
            <w:hideMark/>
          </w:tcPr>
          <w:p w14:paraId="771D5BE9"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3C5BF128"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SMD -0.26; 95% CI -1.10 to 0.58 </w:t>
            </w:r>
          </w:p>
        </w:tc>
      </w:tr>
      <w:tr w:rsidR="005968BA" w:rsidRPr="001F74C9" w14:paraId="5163D408" w14:textId="77777777" w:rsidTr="002C2967">
        <w:trPr>
          <w:trHeight w:val="137"/>
        </w:trPr>
        <w:tc>
          <w:tcPr>
            <w:tcW w:w="1546" w:type="dxa"/>
            <w:vMerge/>
            <w:hideMark/>
          </w:tcPr>
          <w:p w14:paraId="4F82D1CE"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68B7B735"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6AFC5141"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Mirtazapine</w:t>
            </w:r>
          </w:p>
        </w:tc>
        <w:tc>
          <w:tcPr>
            <w:tcW w:w="4336" w:type="dxa"/>
            <w:vMerge/>
            <w:hideMark/>
          </w:tcPr>
          <w:p w14:paraId="088AEF81"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5512E83A"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SMD -0.24; 95% CI -1.25 to 0.77 </w:t>
            </w:r>
          </w:p>
        </w:tc>
      </w:tr>
      <w:tr w:rsidR="005968BA" w:rsidRPr="001F74C9" w14:paraId="00A1835F" w14:textId="77777777" w:rsidTr="002C2967">
        <w:trPr>
          <w:trHeight w:val="301"/>
        </w:trPr>
        <w:tc>
          <w:tcPr>
            <w:tcW w:w="1546" w:type="dxa"/>
            <w:vMerge/>
            <w:hideMark/>
          </w:tcPr>
          <w:p w14:paraId="7DCA245F"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4EE25F2D"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5D6A1531"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Sertraline</w:t>
            </w:r>
          </w:p>
        </w:tc>
        <w:tc>
          <w:tcPr>
            <w:tcW w:w="4336" w:type="dxa"/>
            <w:vMerge/>
            <w:hideMark/>
          </w:tcPr>
          <w:p w14:paraId="47053E4F"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2F343351"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SMD -0.23; 95% CI -1.21to 0.77 </w:t>
            </w:r>
          </w:p>
        </w:tc>
      </w:tr>
      <w:tr w:rsidR="005968BA" w:rsidRPr="001F74C9" w14:paraId="36659F5D" w14:textId="77777777" w:rsidTr="002C2967">
        <w:trPr>
          <w:trHeight w:val="167"/>
        </w:trPr>
        <w:tc>
          <w:tcPr>
            <w:tcW w:w="1546" w:type="dxa"/>
            <w:vMerge/>
            <w:hideMark/>
          </w:tcPr>
          <w:p w14:paraId="4F3977ED"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6ABAA393"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152239F6"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Citalopram</w:t>
            </w:r>
          </w:p>
        </w:tc>
        <w:tc>
          <w:tcPr>
            <w:tcW w:w="4336" w:type="dxa"/>
            <w:vMerge/>
            <w:hideMark/>
          </w:tcPr>
          <w:p w14:paraId="3D877E5A"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1207200F"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SMD -0.18; 95% CI -1.18 to 0.82 </w:t>
            </w:r>
          </w:p>
        </w:tc>
      </w:tr>
      <w:tr w:rsidR="005968BA" w:rsidRPr="001F74C9" w14:paraId="46E75674" w14:textId="77777777" w:rsidTr="002C2967">
        <w:trPr>
          <w:trHeight w:val="182"/>
        </w:trPr>
        <w:tc>
          <w:tcPr>
            <w:tcW w:w="1546" w:type="dxa"/>
            <w:vMerge/>
            <w:hideMark/>
          </w:tcPr>
          <w:p w14:paraId="739F8A4C"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4A898BCE"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19C543F7"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Escitalopram</w:t>
            </w:r>
          </w:p>
        </w:tc>
        <w:tc>
          <w:tcPr>
            <w:tcW w:w="4336" w:type="dxa"/>
            <w:vMerge/>
            <w:hideMark/>
          </w:tcPr>
          <w:p w14:paraId="3BF6D2C6"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0700DB3D"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SMD -0.17; 95% CI -1.15 to 0.81 </w:t>
            </w:r>
          </w:p>
        </w:tc>
      </w:tr>
      <w:tr w:rsidR="005968BA" w:rsidRPr="001F74C9" w14:paraId="19274827" w14:textId="77777777" w:rsidTr="002C2967">
        <w:trPr>
          <w:trHeight w:val="274"/>
        </w:trPr>
        <w:tc>
          <w:tcPr>
            <w:tcW w:w="1546" w:type="dxa"/>
            <w:vMerge/>
            <w:hideMark/>
          </w:tcPr>
          <w:p w14:paraId="33EC68D2"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0F7E2179"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74D6E8FC"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Paroxetine</w:t>
            </w:r>
          </w:p>
        </w:tc>
        <w:tc>
          <w:tcPr>
            <w:tcW w:w="4336" w:type="dxa"/>
            <w:vMerge/>
            <w:hideMark/>
          </w:tcPr>
          <w:p w14:paraId="00773A32"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79003CBE"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SMD -0.16; 95% CI -0.86 to 0.54 </w:t>
            </w:r>
          </w:p>
        </w:tc>
      </w:tr>
      <w:tr w:rsidR="005968BA" w:rsidRPr="001F74C9" w14:paraId="6964B0F3" w14:textId="77777777" w:rsidTr="002C2967">
        <w:trPr>
          <w:trHeight w:val="296"/>
        </w:trPr>
        <w:tc>
          <w:tcPr>
            <w:tcW w:w="1546" w:type="dxa"/>
            <w:vMerge/>
            <w:hideMark/>
          </w:tcPr>
          <w:p w14:paraId="1307BA3E"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2A80873C"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1FD0D0CE"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Nefazodone</w:t>
            </w:r>
          </w:p>
        </w:tc>
        <w:tc>
          <w:tcPr>
            <w:tcW w:w="4336" w:type="dxa"/>
            <w:vMerge/>
            <w:hideMark/>
          </w:tcPr>
          <w:p w14:paraId="494F63E0"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05B77087"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SMD -0.15; 95% CI -1.14 to 0.85</w:t>
            </w:r>
          </w:p>
        </w:tc>
      </w:tr>
      <w:tr w:rsidR="005968BA" w:rsidRPr="001F74C9" w14:paraId="3CAC6466" w14:textId="77777777" w:rsidTr="002C2967">
        <w:trPr>
          <w:trHeight w:val="176"/>
        </w:trPr>
        <w:tc>
          <w:tcPr>
            <w:tcW w:w="1546" w:type="dxa"/>
            <w:vMerge/>
            <w:hideMark/>
          </w:tcPr>
          <w:p w14:paraId="56E5462C"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34C1F567"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0FF04E15"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Imipramine</w:t>
            </w:r>
          </w:p>
        </w:tc>
        <w:tc>
          <w:tcPr>
            <w:tcW w:w="4336" w:type="dxa"/>
            <w:vMerge/>
            <w:hideMark/>
          </w:tcPr>
          <w:p w14:paraId="6996AD1E"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547C393B"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SMD -0.01; 95% CI -0.98 to 0.95 </w:t>
            </w:r>
          </w:p>
        </w:tc>
      </w:tr>
      <w:tr w:rsidR="005968BA" w:rsidRPr="001F74C9" w14:paraId="68A91BD9" w14:textId="77777777" w:rsidTr="002C2967">
        <w:trPr>
          <w:trHeight w:val="97"/>
        </w:trPr>
        <w:tc>
          <w:tcPr>
            <w:tcW w:w="1546" w:type="dxa"/>
            <w:vMerge/>
            <w:hideMark/>
          </w:tcPr>
          <w:p w14:paraId="3C948056"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280C3092"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76B015E5"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Amitriptyline</w:t>
            </w:r>
          </w:p>
        </w:tc>
        <w:tc>
          <w:tcPr>
            <w:tcW w:w="4336" w:type="dxa"/>
            <w:vMerge/>
            <w:hideMark/>
          </w:tcPr>
          <w:p w14:paraId="5BA9834C"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111EE0F7"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SMD 0.08; 95% CI -1.45 to 1.61 </w:t>
            </w:r>
          </w:p>
        </w:tc>
      </w:tr>
      <w:tr w:rsidR="005968BA" w:rsidRPr="001F74C9" w14:paraId="634450FC" w14:textId="77777777" w:rsidTr="002C2967">
        <w:trPr>
          <w:trHeight w:val="219"/>
        </w:trPr>
        <w:tc>
          <w:tcPr>
            <w:tcW w:w="1546" w:type="dxa"/>
            <w:vMerge/>
            <w:hideMark/>
          </w:tcPr>
          <w:p w14:paraId="3A9E55E8"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67528BB5"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64C68434"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Clomipramine</w:t>
            </w:r>
          </w:p>
        </w:tc>
        <w:tc>
          <w:tcPr>
            <w:tcW w:w="4336" w:type="dxa"/>
            <w:vMerge/>
            <w:hideMark/>
          </w:tcPr>
          <w:p w14:paraId="32BB9146"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60C0E5FF"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SMD -0.32; 95% CI -1.90 to 1.25 </w:t>
            </w:r>
          </w:p>
        </w:tc>
      </w:tr>
      <w:tr w:rsidR="005968BA" w:rsidRPr="001F74C9" w14:paraId="63F7D947" w14:textId="77777777" w:rsidTr="002C2967">
        <w:trPr>
          <w:trHeight w:val="241"/>
        </w:trPr>
        <w:tc>
          <w:tcPr>
            <w:tcW w:w="1546" w:type="dxa"/>
            <w:vMerge/>
            <w:hideMark/>
          </w:tcPr>
          <w:p w14:paraId="4EE3BC39"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11B8A709"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73ECACF4"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Nortriptyline</w:t>
            </w:r>
          </w:p>
        </w:tc>
        <w:tc>
          <w:tcPr>
            <w:tcW w:w="4336" w:type="dxa"/>
            <w:vMerge/>
            <w:hideMark/>
          </w:tcPr>
          <w:p w14:paraId="693E44BB"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14DFACE0"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SMD -1.14; 95% CI -2.02 to -0.25</w:t>
            </w:r>
          </w:p>
        </w:tc>
      </w:tr>
      <w:tr w:rsidR="005968BA" w:rsidRPr="001F74C9" w14:paraId="7B821F63" w14:textId="77777777" w:rsidTr="002C2967">
        <w:trPr>
          <w:trHeight w:val="97"/>
        </w:trPr>
        <w:tc>
          <w:tcPr>
            <w:tcW w:w="1546" w:type="dxa"/>
            <w:shd w:val="clear" w:color="auto" w:fill="auto"/>
            <w:hideMark/>
          </w:tcPr>
          <w:p w14:paraId="4FAC7F7D"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xml:space="preserve">Tolerability </w:t>
            </w:r>
          </w:p>
        </w:tc>
        <w:tc>
          <w:tcPr>
            <w:tcW w:w="2950" w:type="dxa"/>
            <w:shd w:val="clear" w:color="auto" w:fill="auto"/>
            <w:hideMark/>
          </w:tcPr>
          <w:p w14:paraId="27A3BC26"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1658" w:type="dxa"/>
            <w:gridSpan w:val="2"/>
            <w:shd w:val="clear" w:color="auto" w:fill="auto"/>
            <w:hideMark/>
          </w:tcPr>
          <w:p w14:paraId="4F75BA32"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4336" w:type="dxa"/>
            <w:shd w:val="clear" w:color="auto" w:fill="auto"/>
            <w:hideMark/>
          </w:tcPr>
          <w:p w14:paraId="0C921F66"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3572" w:type="dxa"/>
            <w:shd w:val="clear" w:color="auto" w:fill="auto"/>
            <w:hideMark/>
          </w:tcPr>
          <w:p w14:paraId="5CCB3A22"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r>
      <w:tr w:rsidR="005968BA" w:rsidRPr="001F74C9" w14:paraId="39305802" w14:textId="77777777" w:rsidTr="002C2967">
        <w:trPr>
          <w:trHeight w:val="257"/>
        </w:trPr>
        <w:tc>
          <w:tcPr>
            <w:tcW w:w="1546" w:type="dxa"/>
            <w:vMerge w:val="restart"/>
            <w:shd w:val="clear" w:color="auto" w:fill="auto"/>
            <w:hideMark/>
          </w:tcPr>
          <w:p w14:paraId="49FB0E87" w14:textId="10CC8600"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Cipriani et al (2016)</w:t>
            </w:r>
            <w:r w:rsidR="00857FD3" w:rsidRPr="009C48FB">
              <w:rPr>
                <w:rFonts w:cstheme="minorHAnsi"/>
                <w:color w:val="000000"/>
                <w:sz w:val="22"/>
                <w:szCs w:val="21"/>
                <w:vertAlign w:val="superscript"/>
              </w:rPr>
              <w:fldChar w:fldCharType="begin"/>
            </w:r>
            <w:r w:rsidR="00857FD3" w:rsidRPr="009C48FB">
              <w:rPr>
                <w:rFonts w:cstheme="minorHAnsi"/>
                <w:color w:val="000000"/>
                <w:sz w:val="22"/>
                <w:szCs w:val="21"/>
                <w:vertAlign w:val="superscript"/>
              </w:rPr>
              <w:instrText xml:space="preserve"> NOTEREF _Ref45745003 \h </w:instrText>
            </w:r>
            <w:r w:rsidR="00857FD3">
              <w:rPr>
                <w:rFonts w:cstheme="minorHAnsi"/>
                <w:color w:val="000000"/>
                <w:sz w:val="22"/>
                <w:szCs w:val="21"/>
                <w:vertAlign w:val="superscript"/>
              </w:rPr>
              <w:instrText xml:space="preserve"> \* MERGEFORMAT </w:instrText>
            </w:r>
            <w:r w:rsidR="00857FD3" w:rsidRPr="009C48FB">
              <w:rPr>
                <w:rFonts w:cstheme="minorHAnsi"/>
                <w:color w:val="000000"/>
                <w:sz w:val="22"/>
                <w:szCs w:val="21"/>
                <w:vertAlign w:val="superscript"/>
              </w:rPr>
            </w:r>
            <w:r w:rsidR="00857FD3" w:rsidRPr="009C48FB">
              <w:rPr>
                <w:rFonts w:cstheme="minorHAnsi"/>
                <w:color w:val="000000"/>
                <w:sz w:val="22"/>
                <w:szCs w:val="21"/>
                <w:vertAlign w:val="superscript"/>
              </w:rPr>
              <w:fldChar w:fldCharType="separate"/>
            </w:r>
            <w:r w:rsidR="00202932">
              <w:rPr>
                <w:rFonts w:cstheme="minorHAnsi"/>
                <w:color w:val="000000"/>
                <w:sz w:val="22"/>
                <w:szCs w:val="21"/>
                <w:vertAlign w:val="superscript"/>
              </w:rPr>
              <w:t>6</w:t>
            </w:r>
            <w:r w:rsidR="00857FD3" w:rsidRPr="009C48FB">
              <w:rPr>
                <w:rFonts w:cstheme="minorHAnsi"/>
                <w:color w:val="000000"/>
                <w:sz w:val="22"/>
                <w:szCs w:val="21"/>
                <w:vertAlign w:val="superscript"/>
              </w:rPr>
              <w:fldChar w:fldCharType="end"/>
            </w:r>
          </w:p>
        </w:tc>
        <w:tc>
          <w:tcPr>
            <w:tcW w:w="2950" w:type="dxa"/>
            <w:vMerge w:val="restart"/>
            <w:shd w:val="clear" w:color="auto" w:fill="auto"/>
            <w:hideMark/>
          </w:tcPr>
          <w:p w14:paraId="3F692ABC"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5260 children and adolescents (9-18 years) with a primary diagnosis of major depressive disorder according to standardised diagnostic criteria.</w:t>
            </w:r>
          </w:p>
        </w:tc>
        <w:tc>
          <w:tcPr>
            <w:tcW w:w="1658" w:type="dxa"/>
            <w:gridSpan w:val="2"/>
            <w:shd w:val="clear" w:color="auto" w:fill="auto"/>
            <w:hideMark/>
          </w:tcPr>
          <w:p w14:paraId="40993208"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Fluoxetine</w:t>
            </w:r>
          </w:p>
        </w:tc>
        <w:tc>
          <w:tcPr>
            <w:tcW w:w="4336" w:type="dxa"/>
            <w:vMerge w:val="restart"/>
            <w:shd w:val="clear" w:color="auto" w:fill="auto"/>
            <w:hideMark/>
          </w:tcPr>
          <w:p w14:paraId="2669019C"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Proportion of patients who discontinued treatment due to any adverse event</w:t>
            </w:r>
          </w:p>
          <w:p w14:paraId="256F9078"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44061A6B"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OR 1.03; 95% CI 0.50 to 2.70 </w:t>
            </w:r>
          </w:p>
        </w:tc>
      </w:tr>
      <w:tr w:rsidR="005968BA" w:rsidRPr="001F74C9" w14:paraId="5CBD02F3" w14:textId="77777777" w:rsidTr="002C2967">
        <w:trPr>
          <w:trHeight w:val="137"/>
        </w:trPr>
        <w:tc>
          <w:tcPr>
            <w:tcW w:w="1546" w:type="dxa"/>
            <w:vMerge/>
            <w:hideMark/>
          </w:tcPr>
          <w:p w14:paraId="0EAD161A"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2135A0F7"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216CDC14"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Desipramine</w:t>
            </w:r>
          </w:p>
        </w:tc>
        <w:tc>
          <w:tcPr>
            <w:tcW w:w="4336" w:type="dxa"/>
            <w:vMerge/>
            <w:hideMark/>
          </w:tcPr>
          <w:p w14:paraId="08978962"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387E34D1"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OR 2.85; 95% CI 0.83 to 21.80 </w:t>
            </w:r>
          </w:p>
        </w:tc>
      </w:tr>
      <w:tr w:rsidR="005968BA" w:rsidRPr="001F74C9" w14:paraId="6FD772A1" w14:textId="77777777" w:rsidTr="002C2967">
        <w:trPr>
          <w:trHeight w:val="97"/>
        </w:trPr>
        <w:tc>
          <w:tcPr>
            <w:tcW w:w="1546" w:type="dxa"/>
            <w:vMerge/>
            <w:hideMark/>
          </w:tcPr>
          <w:p w14:paraId="5A2719FD"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291CE676"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54C217C1"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Duloxetine</w:t>
            </w:r>
          </w:p>
        </w:tc>
        <w:tc>
          <w:tcPr>
            <w:tcW w:w="4336" w:type="dxa"/>
            <w:vMerge/>
            <w:hideMark/>
          </w:tcPr>
          <w:p w14:paraId="2EE0CC75"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011077FA"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OR 2.8; 95% CI 1.20 to 9.42</w:t>
            </w:r>
          </w:p>
        </w:tc>
      </w:tr>
      <w:tr w:rsidR="005968BA" w:rsidRPr="001F74C9" w14:paraId="0F4E2C4A" w14:textId="77777777" w:rsidTr="002C2967">
        <w:trPr>
          <w:trHeight w:val="121"/>
        </w:trPr>
        <w:tc>
          <w:tcPr>
            <w:tcW w:w="1546" w:type="dxa"/>
            <w:vMerge/>
            <w:hideMark/>
          </w:tcPr>
          <w:p w14:paraId="37558F43"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6865DD9F"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26F40643"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Venlafaxine</w:t>
            </w:r>
          </w:p>
        </w:tc>
        <w:tc>
          <w:tcPr>
            <w:tcW w:w="4336" w:type="dxa"/>
            <w:vMerge/>
            <w:hideMark/>
          </w:tcPr>
          <w:p w14:paraId="0ED350F1"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5BD4D722"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OR 3.19; 95% CI 1.01 to 18.70</w:t>
            </w:r>
          </w:p>
        </w:tc>
      </w:tr>
      <w:tr w:rsidR="005968BA" w:rsidRPr="001F74C9" w14:paraId="5152B483" w14:textId="77777777" w:rsidTr="002C2967">
        <w:trPr>
          <w:trHeight w:val="139"/>
        </w:trPr>
        <w:tc>
          <w:tcPr>
            <w:tcW w:w="1546" w:type="dxa"/>
            <w:vMerge/>
            <w:hideMark/>
          </w:tcPr>
          <w:p w14:paraId="4505CCCD"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0A8EBDFA"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211AC9B5"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Mirtazapine</w:t>
            </w:r>
          </w:p>
        </w:tc>
        <w:tc>
          <w:tcPr>
            <w:tcW w:w="4336" w:type="dxa"/>
            <w:vMerge/>
            <w:hideMark/>
          </w:tcPr>
          <w:p w14:paraId="20629D8B"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0242A222"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OR 1.36; 95% CI 0.41 to 10.99 </w:t>
            </w:r>
          </w:p>
        </w:tc>
      </w:tr>
      <w:tr w:rsidR="005968BA" w:rsidRPr="001F74C9" w14:paraId="32D32535" w14:textId="77777777" w:rsidTr="002C2967">
        <w:trPr>
          <w:trHeight w:val="162"/>
        </w:trPr>
        <w:tc>
          <w:tcPr>
            <w:tcW w:w="1546" w:type="dxa"/>
            <w:vMerge/>
            <w:hideMark/>
          </w:tcPr>
          <w:p w14:paraId="6CE3EE57"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7F3B6DE5"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25F3F8C8"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Sertraline</w:t>
            </w:r>
          </w:p>
        </w:tc>
        <w:tc>
          <w:tcPr>
            <w:tcW w:w="4336" w:type="dxa"/>
            <w:vMerge/>
            <w:hideMark/>
          </w:tcPr>
          <w:p w14:paraId="4591720D"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77D14864"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OR 2.94; 95% CI 0.94 to 17.19 </w:t>
            </w:r>
          </w:p>
        </w:tc>
      </w:tr>
      <w:tr w:rsidR="005968BA" w:rsidRPr="001F74C9" w14:paraId="5D1538DE" w14:textId="77777777" w:rsidTr="002C2967">
        <w:trPr>
          <w:trHeight w:val="97"/>
        </w:trPr>
        <w:tc>
          <w:tcPr>
            <w:tcW w:w="1546" w:type="dxa"/>
            <w:vMerge/>
            <w:hideMark/>
          </w:tcPr>
          <w:p w14:paraId="694725E9"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69865CAB"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629E0414"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Citalopram</w:t>
            </w:r>
          </w:p>
        </w:tc>
        <w:tc>
          <w:tcPr>
            <w:tcW w:w="4336" w:type="dxa"/>
            <w:vMerge/>
            <w:hideMark/>
          </w:tcPr>
          <w:p w14:paraId="61B10111"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5E82DAEA"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OR 1.13; 95% CI 0.45 to 3.66</w:t>
            </w:r>
          </w:p>
        </w:tc>
      </w:tr>
      <w:tr w:rsidR="005968BA" w:rsidRPr="001F74C9" w14:paraId="56F92372" w14:textId="77777777" w:rsidTr="002C2967">
        <w:trPr>
          <w:trHeight w:val="177"/>
        </w:trPr>
        <w:tc>
          <w:tcPr>
            <w:tcW w:w="1546" w:type="dxa"/>
            <w:vMerge/>
            <w:hideMark/>
          </w:tcPr>
          <w:p w14:paraId="12339224"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5F7A1B5C"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6A787FAC"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Escitalopram</w:t>
            </w:r>
          </w:p>
        </w:tc>
        <w:tc>
          <w:tcPr>
            <w:tcW w:w="4336" w:type="dxa"/>
            <w:vMerge/>
            <w:hideMark/>
          </w:tcPr>
          <w:p w14:paraId="04FAC4E9"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2360E335"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OR 1.64; 95% CI 0.46 to 13.49 </w:t>
            </w:r>
          </w:p>
        </w:tc>
      </w:tr>
      <w:tr w:rsidR="005968BA" w:rsidRPr="001F74C9" w14:paraId="5FBCBBD3" w14:textId="77777777" w:rsidTr="002C2967">
        <w:trPr>
          <w:trHeight w:val="97"/>
        </w:trPr>
        <w:tc>
          <w:tcPr>
            <w:tcW w:w="1546" w:type="dxa"/>
            <w:vMerge/>
            <w:hideMark/>
          </w:tcPr>
          <w:p w14:paraId="2ED1B949"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3EBDFC70"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198A2324"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Paroxetine</w:t>
            </w:r>
          </w:p>
        </w:tc>
        <w:tc>
          <w:tcPr>
            <w:tcW w:w="4336" w:type="dxa"/>
            <w:vMerge/>
            <w:hideMark/>
          </w:tcPr>
          <w:p w14:paraId="4796E07D"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022EFD6C"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OR 1.59; 95% CI 0.77 to 3.95 </w:t>
            </w:r>
          </w:p>
        </w:tc>
      </w:tr>
      <w:tr w:rsidR="005968BA" w:rsidRPr="001F74C9" w14:paraId="7E7DE9B1" w14:textId="77777777" w:rsidTr="002C2967">
        <w:trPr>
          <w:trHeight w:val="113"/>
        </w:trPr>
        <w:tc>
          <w:tcPr>
            <w:tcW w:w="1546" w:type="dxa"/>
            <w:vMerge/>
            <w:hideMark/>
          </w:tcPr>
          <w:p w14:paraId="667E7235"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1BF042F5"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6B457377"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Nefazodone</w:t>
            </w:r>
          </w:p>
        </w:tc>
        <w:tc>
          <w:tcPr>
            <w:tcW w:w="4336" w:type="dxa"/>
            <w:vMerge/>
            <w:hideMark/>
          </w:tcPr>
          <w:p w14:paraId="5046FABB"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4E0DB24C"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OR 1.29; 95% CI 0.30 to 21.89</w:t>
            </w:r>
          </w:p>
        </w:tc>
      </w:tr>
      <w:tr w:rsidR="005968BA" w:rsidRPr="001F74C9" w14:paraId="0B9F8B04" w14:textId="77777777" w:rsidTr="002C2967">
        <w:trPr>
          <w:trHeight w:val="97"/>
        </w:trPr>
        <w:tc>
          <w:tcPr>
            <w:tcW w:w="1546" w:type="dxa"/>
            <w:vMerge/>
            <w:hideMark/>
          </w:tcPr>
          <w:p w14:paraId="3F7B3492"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749C95E2"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362EFEEE"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Imipramine</w:t>
            </w:r>
          </w:p>
        </w:tc>
        <w:tc>
          <w:tcPr>
            <w:tcW w:w="4336" w:type="dxa"/>
            <w:vMerge/>
            <w:hideMark/>
          </w:tcPr>
          <w:p w14:paraId="6D0F4567"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7DE66AE3"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OR 5.49; 95% CI 1.96 to 20.86</w:t>
            </w:r>
          </w:p>
        </w:tc>
      </w:tr>
      <w:tr w:rsidR="005968BA" w:rsidRPr="001F74C9" w14:paraId="387728A5" w14:textId="77777777" w:rsidTr="002C2967">
        <w:trPr>
          <w:trHeight w:val="291"/>
        </w:trPr>
        <w:tc>
          <w:tcPr>
            <w:tcW w:w="1546" w:type="dxa"/>
            <w:vMerge/>
            <w:hideMark/>
          </w:tcPr>
          <w:p w14:paraId="02A4D85F"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090D65AB"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62020A97"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Amitriptyline</w:t>
            </w:r>
          </w:p>
        </w:tc>
        <w:tc>
          <w:tcPr>
            <w:tcW w:w="4336" w:type="dxa"/>
            <w:vMerge/>
            <w:hideMark/>
          </w:tcPr>
          <w:p w14:paraId="2B69518B"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026A060F"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OR 0.10; 95% CI 0.02 to 32.16 </w:t>
            </w:r>
          </w:p>
        </w:tc>
      </w:tr>
      <w:tr w:rsidR="005968BA" w:rsidRPr="001F74C9" w14:paraId="304FD335" w14:textId="77777777" w:rsidTr="002C2967">
        <w:trPr>
          <w:trHeight w:val="97"/>
        </w:trPr>
        <w:tc>
          <w:tcPr>
            <w:tcW w:w="1546" w:type="dxa"/>
            <w:vMerge/>
            <w:hideMark/>
          </w:tcPr>
          <w:p w14:paraId="4E5F0873"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2ED411B3"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18B7C56A"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Clomipramine</w:t>
            </w:r>
          </w:p>
        </w:tc>
        <w:tc>
          <w:tcPr>
            <w:tcW w:w="4336" w:type="dxa"/>
            <w:vMerge/>
            <w:hideMark/>
          </w:tcPr>
          <w:p w14:paraId="43929607"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69926594"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OR 0.79; 95% CI 0.12 to 2.75 </w:t>
            </w:r>
          </w:p>
        </w:tc>
      </w:tr>
      <w:tr w:rsidR="005968BA" w:rsidRPr="001F74C9" w14:paraId="1A4AE1D9" w14:textId="77777777" w:rsidTr="002C2967">
        <w:trPr>
          <w:trHeight w:val="97"/>
        </w:trPr>
        <w:tc>
          <w:tcPr>
            <w:tcW w:w="1546" w:type="dxa"/>
            <w:vMerge/>
            <w:hideMark/>
          </w:tcPr>
          <w:p w14:paraId="01665613"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4E00C4C2"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0E89269D"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Nortriptyline</w:t>
            </w:r>
          </w:p>
        </w:tc>
        <w:tc>
          <w:tcPr>
            <w:tcW w:w="4336" w:type="dxa"/>
            <w:vMerge/>
            <w:hideMark/>
          </w:tcPr>
          <w:p w14:paraId="5E9C4480"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2BFCBF7D"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OR -1.14; 95% CI -2.02 to -0.25</w:t>
            </w:r>
          </w:p>
        </w:tc>
      </w:tr>
      <w:tr w:rsidR="005968BA" w:rsidRPr="001F74C9" w14:paraId="5CAFA2D9" w14:textId="77777777" w:rsidTr="002C2967">
        <w:trPr>
          <w:trHeight w:val="97"/>
        </w:trPr>
        <w:tc>
          <w:tcPr>
            <w:tcW w:w="1546" w:type="dxa"/>
            <w:shd w:val="clear" w:color="auto" w:fill="auto"/>
            <w:hideMark/>
          </w:tcPr>
          <w:p w14:paraId="45C70797"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xml:space="preserve">Suicidality </w:t>
            </w:r>
          </w:p>
        </w:tc>
        <w:tc>
          <w:tcPr>
            <w:tcW w:w="2950" w:type="dxa"/>
            <w:shd w:val="clear" w:color="auto" w:fill="auto"/>
            <w:hideMark/>
          </w:tcPr>
          <w:p w14:paraId="7F7B09D0"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1658" w:type="dxa"/>
            <w:gridSpan w:val="2"/>
            <w:shd w:val="clear" w:color="auto" w:fill="auto"/>
            <w:hideMark/>
          </w:tcPr>
          <w:p w14:paraId="2E346839"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w:t>
            </w:r>
          </w:p>
        </w:tc>
        <w:tc>
          <w:tcPr>
            <w:tcW w:w="4336" w:type="dxa"/>
            <w:shd w:val="clear" w:color="auto" w:fill="auto"/>
            <w:hideMark/>
          </w:tcPr>
          <w:p w14:paraId="2F25831A"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3572" w:type="dxa"/>
            <w:shd w:val="clear" w:color="auto" w:fill="auto"/>
            <w:hideMark/>
          </w:tcPr>
          <w:p w14:paraId="4D234234"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r>
      <w:tr w:rsidR="005968BA" w:rsidRPr="001F74C9" w14:paraId="17320E85" w14:textId="77777777" w:rsidTr="002C2967">
        <w:trPr>
          <w:trHeight w:val="201"/>
        </w:trPr>
        <w:tc>
          <w:tcPr>
            <w:tcW w:w="1546" w:type="dxa"/>
            <w:vMerge w:val="restart"/>
            <w:shd w:val="clear" w:color="auto" w:fill="auto"/>
            <w:hideMark/>
          </w:tcPr>
          <w:p w14:paraId="5907567E" w14:textId="7AD716BB"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Cipriani et al (2016)</w:t>
            </w:r>
            <w:r w:rsidR="00857FD3" w:rsidRPr="009C48FB">
              <w:rPr>
                <w:rFonts w:cstheme="minorHAnsi"/>
                <w:color w:val="000000"/>
                <w:sz w:val="22"/>
                <w:szCs w:val="21"/>
                <w:vertAlign w:val="superscript"/>
              </w:rPr>
              <w:fldChar w:fldCharType="begin"/>
            </w:r>
            <w:r w:rsidR="00857FD3" w:rsidRPr="009C48FB">
              <w:rPr>
                <w:rFonts w:cstheme="minorHAnsi"/>
                <w:color w:val="000000"/>
                <w:sz w:val="22"/>
                <w:szCs w:val="21"/>
                <w:vertAlign w:val="superscript"/>
              </w:rPr>
              <w:instrText xml:space="preserve"> NOTEREF _Ref45745003 \h </w:instrText>
            </w:r>
            <w:r w:rsidR="00857FD3">
              <w:rPr>
                <w:rFonts w:cstheme="minorHAnsi"/>
                <w:color w:val="000000"/>
                <w:sz w:val="22"/>
                <w:szCs w:val="21"/>
                <w:vertAlign w:val="superscript"/>
              </w:rPr>
              <w:instrText xml:space="preserve"> \* MERGEFORMAT </w:instrText>
            </w:r>
            <w:r w:rsidR="00857FD3" w:rsidRPr="009C48FB">
              <w:rPr>
                <w:rFonts w:cstheme="minorHAnsi"/>
                <w:color w:val="000000"/>
                <w:sz w:val="22"/>
                <w:szCs w:val="21"/>
                <w:vertAlign w:val="superscript"/>
              </w:rPr>
            </w:r>
            <w:r w:rsidR="00857FD3" w:rsidRPr="009C48FB">
              <w:rPr>
                <w:rFonts w:cstheme="minorHAnsi"/>
                <w:color w:val="000000"/>
                <w:sz w:val="22"/>
                <w:szCs w:val="21"/>
                <w:vertAlign w:val="superscript"/>
              </w:rPr>
              <w:fldChar w:fldCharType="separate"/>
            </w:r>
            <w:r w:rsidR="00202932">
              <w:rPr>
                <w:rFonts w:cstheme="minorHAnsi"/>
                <w:color w:val="000000"/>
                <w:sz w:val="22"/>
                <w:szCs w:val="21"/>
                <w:vertAlign w:val="superscript"/>
              </w:rPr>
              <w:t>6</w:t>
            </w:r>
            <w:r w:rsidR="00857FD3" w:rsidRPr="009C48FB">
              <w:rPr>
                <w:rFonts w:cstheme="minorHAnsi"/>
                <w:color w:val="000000"/>
                <w:sz w:val="22"/>
                <w:szCs w:val="21"/>
                <w:vertAlign w:val="superscript"/>
              </w:rPr>
              <w:fldChar w:fldCharType="end"/>
            </w:r>
          </w:p>
        </w:tc>
        <w:tc>
          <w:tcPr>
            <w:tcW w:w="2950" w:type="dxa"/>
            <w:vMerge w:val="restart"/>
            <w:shd w:val="clear" w:color="auto" w:fill="auto"/>
            <w:hideMark/>
          </w:tcPr>
          <w:p w14:paraId="098DFCB0"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5260 children and adolescents (9-18 years) with a primary diagnosis of major depressive disorder according to </w:t>
            </w:r>
            <w:r w:rsidRPr="002C2967">
              <w:rPr>
                <w:rFonts w:cstheme="minorHAnsi"/>
                <w:color w:val="000000"/>
                <w:sz w:val="22"/>
                <w:szCs w:val="21"/>
              </w:rPr>
              <w:lastRenderedPageBreak/>
              <w:t>standardised diagnostic criteria.</w:t>
            </w:r>
          </w:p>
        </w:tc>
        <w:tc>
          <w:tcPr>
            <w:tcW w:w="1658" w:type="dxa"/>
            <w:gridSpan w:val="2"/>
            <w:shd w:val="clear" w:color="auto" w:fill="auto"/>
            <w:hideMark/>
          </w:tcPr>
          <w:p w14:paraId="2723A868"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lastRenderedPageBreak/>
              <w:t>Fluoxetine</w:t>
            </w:r>
          </w:p>
        </w:tc>
        <w:tc>
          <w:tcPr>
            <w:tcW w:w="4336" w:type="dxa"/>
            <w:vMerge w:val="restart"/>
            <w:shd w:val="clear" w:color="auto" w:fill="auto"/>
            <w:hideMark/>
          </w:tcPr>
          <w:p w14:paraId="10959BFC"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Rates of suicidal behavior or ideation</w:t>
            </w:r>
          </w:p>
        </w:tc>
        <w:tc>
          <w:tcPr>
            <w:tcW w:w="3572" w:type="dxa"/>
            <w:shd w:val="clear" w:color="auto" w:fill="auto"/>
            <w:hideMark/>
          </w:tcPr>
          <w:p w14:paraId="568DC100"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OR 0.90; 95% CI 0.49 to 1.49 </w:t>
            </w:r>
          </w:p>
        </w:tc>
      </w:tr>
      <w:tr w:rsidR="005968BA" w:rsidRPr="001F74C9" w14:paraId="2642CB35" w14:textId="77777777" w:rsidTr="002C2967">
        <w:trPr>
          <w:trHeight w:val="97"/>
        </w:trPr>
        <w:tc>
          <w:tcPr>
            <w:tcW w:w="1546" w:type="dxa"/>
            <w:vMerge/>
            <w:hideMark/>
          </w:tcPr>
          <w:p w14:paraId="7663BEE8"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6B9FCC21"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6C6705F2"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Desipramine</w:t>
            </w:r>
          </w:p>
        </w:tc>
        <w:tc>
          <w:tcPr>
            <w:tcW w:w="4336" w:type="dxa"/>
            <w:vMerge/>
            <w:hideMark/>
          </w:tcPr>
          <w:p w14:paraId="31893E52"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79289E03"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No data</w:t>
            </w:r>
          </w:p>
        </w:tc>
      </w:tr>
      <w:tr w:rsidR="005968BA" w:rsidRPr="001F74C9" w14:paraId="0C5A6AB1" w14:textId="77777777" w:rsidTr="002C2967">
        <w:trPr>
          <w:trHeight w:val="97"/>
        </w:trPr>
        <w:tc>
          <w:tcPr>
            <w:tcW w:w="1546" w:type="dxa"/>
            <w:vMerge/>
            <w:hideMark/>
          </w:tcPr>
          <w:p w14:paraId="6B7A7C4E"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54FFA430"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6E4A95FC"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Duloxetine</w:t>
            </w:r>
          </w:p>
        </w:tc>
        <w:tc>
          <w:tcPr>
            <w:tcW w:w="4336" w:type="dxa"/>
            <w:vMerge/>
            <w:hideMark/>
          </w:tcPr>
          <w:p w14:paraId="54E0BC54"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4CA5B696"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OR 1.07; 95% CI 0.51 to 2.0</w:t>
            </w:r>
          </w:p>
        </w:tc>
      </w:tr>
      <w:tr w:rsidR="005968BA" w:rsidRPr="001F74C9" w14:paraId="25E4E339" w14:textId="77777777" w:rsidTr="002C2967">
        <w:trPr>
          <w:trHeight w:val="97"/>
        </w:trPr>
        <w:tc>
          <w:tcPr>
            <w:tcW w:w="1546" w:type="dxa"/>
            <w:vMerge/>
            <w:hideMark/>
          </w:tcPr>
          <w:p w14:paraId="03BBC5BF"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559DE1C3"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24EAEA95"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Venlafaxine</w:t>
            </w:r>
          </w:p>
        </w:tc>
        <w:tc>
          <w:tcPr>
            <w:tcW w:w="4336" w:type="dxa"/>
            <w:vMerge/>
            <w:hideMark/>
          </w:tcPr>
          <w:p w14:paraId="2B15913E"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7571B2CA"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OR 0.13; 95% CI 0.00 to 0.55</w:t>
            </w:r>
          </w:p>
        </w:tc>
      </w:tr>
      <w:tr w:rsidR="005968BA" w:rsidRPr="001F74C9" w14:paraId="01B62AB6" w14:textId="77777777" w:rsidTr="002C2967">
        <w:trPr>
          <w:trHeight w:val="97"/>
        </w:trPr>
        <w:tc>
          <w:tcPr>
            <w:tcW w:w="1546" w:type="dxa"/>
            <w:vMerge/>
            <w:hideMark/>
          </w:tcPr>
          <w:p w14:paraId="58EDD4A7"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3703E76E"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2BD23BDB"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Mirtazapine</w:t>
            </w:r>
          </w:p>
        </w:tc>
        <w:tc>
          <w:tcPr>
            <w:tcW w:w="4336" w:type="dxa"/>
            <w:vMerge/>
            <w:hideMark/>
          </w:tcPr>
          <w:p w14:paraId="638C7A0C"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1F32FA39"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No data</w:t>
            </w:r>
          </w:p>
        </w:tc>
      </w:tr>
      <w:tr w:rsidR="005968BA" w:rsidRPr="001F74C9" w14:paraId="09F04745" w14:textId="77777777" w:rsidTr="002C2967">
        <w:trPr>
          <w:trHeight w:val="257"/>
        </w:trPr>
        <w:tc>
          <w:tcPr>
            <w:tcW w:w="1546" w:type="dxa"/>
            <w:vMerge/>
            <w:hideMark/>
          </w:tcPr>
          <w:p w14:paraId="44913EF7"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13296214"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35A4434D"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Sertraline</w:t>
            </w:r>
          </w:p>
        </w:tc>
        <w:tc>
          <w:tcPr>
            <w:tcW w:w="4336" w:type="dxa"/>
            <w:vMerge/>
            <w:hideMark/>
          </w:tcPr>
          <w:p w14:paraId="7196F5D4"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4761B1D6"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OR 0.57; 95% CI 0.06 to 2.05 </w:t>
            </w:r>
          </w:p>
        </w:tc>
      </w:tr>
      <w:tr w:rsidR="005968BA" w:rsidRPr="001F74C9" w14:paraId="6B9B318E" w14:textId="77777777" w:rsidTr="002C2967">
        <w:trPr>
          <w:trHeight w:val="123"/>
        </w:trPr>
        <w:tc>
          <w:tcPr>
            <w:tcW w:w="1546" w:type="dxa"/>
            <w:vMerge/>
            <w:hideMark/>
          </w:tcPr>
          <w:p w14:paraId="61EAE473"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0B4B0D70"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594F2640"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Citalopram</w:t>
            </w:r>
          </w:p>
        </w:tc>
        <w:tc>
          <w:tcPr>
            <w:tcW w:w="4336" w:type="dxa"/>
            <w:vMerge/>
            <w:hideMark/>
          </w:tcPr>
          <w:p w14:paraId="32DEFC9C"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2F8DBD12"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OR 0.89; 95% CI 0.22 to 2.53 </w:t>
            </w:r>
          </w:p>
        </w:tc>
      </w:tr>
      <w:tr w:rsidR="005968BA" w:rsidRPr="001F74C9" w14:paraId="20EB4D45" w14:textId="77777777" w:rsidTr="002C2967">
        <w:trPr>
          <w:trHeight w:val="97"/>
        </w:trPr>
        <w:tc>
          <w:tcPr>
            <w:tcW w:w="1546" w:type="dxa"/>
            <w:vMerge/>
            <w:hideMark/>
          </w:tcPr>
          <w:p w14:paraId="3BC90282"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2971FAB0"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14AAF407"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Escitalopram</w:t>
            </w:r>
          </w:p>
        </w:tc>
        <w:tc>
          <w:tcPr>
            <w:tcW w:w="4336" w:type="dxa"/>
            <w:vMerge/>
            <w:hideMark/>
          </w:tcPr>
          <w:p w14:paraId="771A97C7"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523D9E36"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OR 1.08; 95% CI 0.33 to 2.57 </w:t>
            </w:r>
          </w:p>
        </w:tc>
      </w:tr>
      <w:tr w:rsidR="005968BA" w:rsidRPr="001F74C9" w14:paraId="4B086ED5" w14:textId="77777777" w:rsidTr="002C2967">
        <w:trPr>
          <w:trHeight w:val="167"/>
        </w:trPr>
        <w:tc>
          <w:tcPr>
            <w:tcW w:w="1546" w:type="dxa"/>
            <w:vMerge/>
            <w:hideMark/>
          </w:tcPr>
          <w:p w14:paraId="7E0006C3"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6210579B"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27FDBD63"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Paroxetine</w:t>
            </w:r>
          </w:p>
        </w:tc>
        <w:tc>
          <w:tcPr>
            <w:tcW w:w="4336" w:type="dxa"/>
            <w:vMerge/>
            <w:hideMark/>
          </w:tcPr>
          <w:p w14:paraId="49EEB6EF"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65ECDDDE"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OR 0.89; 95% CI 0.22 to 2.17 </w:t>
            </w:r>
          </w:p>
        </w:tc>
      </w:tr>
      <w:tr w:rsidR="005968BA" w:rsidRPr="001F74C9" w14:paraId="19107020" w14:textId="77777777" w:rsidTr="002C2967">
        <w:trPr>
          <w:trHeight w:val="97"/>
        </w:trPr>
        <w:tc>
          <w:tcPr>
            <w:tcW w:w="1546" w:type="dxa"/>
            <w:vMerge/>
            <w:hideMark/>
          </w:tcPr>
          <w:p w14:paraId="1D90AB69"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520CA04D"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496E9CEA"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Nefazodone</w:t>
            </w:r>
          </w:p>
        </w:tc>
        <w:tc>
          <w:tcPr>
            <w:tcW w:w="4336" w:type="dxa"/>
            <w:vMerge/>
            <w:hideMark/>
          </w:tcPr>
          <w:p w14:paraId="4B3F2C8F"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519D4297"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No data </w:t>
            </w:r>
          </w:p>
        </w:tc>
      </w:tr>
      <w:tr w:rsidR="005968BA" w:rsidRPr="001F74C9" w14:paraId="662333CA" w14:textId="77777777" w:rsidTr="002C2967">
        <w:trPr>
          <w:trHeight w:val="97"/>
        </w:trPr>
        <w:tc>
          <w:tcPr>
            <w:tcW w:w="1546" w:type="dxa"/>
            <w:vMerge/>
            <w:hideMark/>
          </w:tcPr>
          <w:p w14:paraId="26AA4A3A"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6DEE5B4C"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6C3176B5"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Imipramine</w:t>
            </w:r>
          </w:p>
        </w:tc>
        <w:tc>
          <w:tcPr>
            <w:tcW w:w="4336" w:type="dxa"/>
            <w:vMerge/>
            <w:hideMark/>
          </w:tcPr>
          <w:p w14:paraId="69EBA472"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10108DF9"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OR 0.42; 95% CI 0.09 to 5.35 </w:t>
            </w:r>
          </w:p>
        </w:tc>
      </w:tr>
      <w:tr w:rsidR="005968BA" w:rsidRPr="001F74C9" w14:paraId="1A4A5CC4" w14:textId="77777777" w:rsidTr="002C2967">
        <w:trPr>
          <w:trHeight w:val="97"/>
        </w:trPr>
        <w:tc>
          <w:tcPr>
            <w:tcW w:w="1546" w:type="dxa"/>
            <w:vMerge/>
            <w:hideMark/>
          </w:tcPr>
          <w:p w14:paraId="6F86BE45"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1F3E60DE"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3716EB9B"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Amitriptyline</w:t>
            </w:r>
          </w:p>
        </w:tc>
        <w:tc>
          <w:tcPr>
            <w:tcW w:w="4336" w:type="dxa"/>
            <w:vMerge/>
            <w:hideMark/>
          </w:tcPr>
          <w:p w14:paraId="53B76992"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3E59E8F2"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No data</w:t>
            </w:r>
          </w:p>
        </w:tc>
      </w:tr>
      <w:tr w:rsidR="005968BA" w:rsidRPr="001F74C9" w14:paraId="11980678" w14:textId="77777777" w:rsidTr="002C2967">
        <w:trPr>
          <w:trHeight w:val="97"/>
        </w:trPr>
        <w:tc>
          <w:tcPr>
            <w:tcW w:w="1546" w:type="dxa"/>
            <w:vMerge/>
            <w:hideMark/>
          </w:tcPr>
          <w:p w14:paraId="31D57E4E"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665B4B87"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576D6809"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Clomipramine</w:t>
            </w:r>
          </w:p>
        </w:tc>
        <w:tc>
          <w:tcPr>
            <w:tcW w:w="4336" w:type="dxa"/>
            <w:vMerge/>
            <w:hideMark/>
          </w:tcPr>
          <w:p w14:paraId="113487E9"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274EB58F"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OR 1.41; 95% CI 0.18 to 5.33 </w:t>
            </w:r>
          </w:p>
        </w:tc>
      </w:tr>
      <w:tr w:rsidR="005968BA" w:rsidRPr="001F74C9" w14:paraId="5E394B5C" w14:textId="77777777" w:rsidTr="002C2967">
        <w:trPr>
          <w:trHeight w:val="97"/>
        </w:trPr>
        <w:tc>
          <w:tcPr>
            <w:tcW w:w="1546" w:type="dxa"/>
            <w:vMerge/>
            <w:tcBorders>
              <w:bottom w:val="single" w:sz="4" w:space="0" w:color="auto"/>
            </w:tcBorders>
            <w:hideMark/>
          </w:tcPr>
          <w:p w14:paraId="103CE311"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tcBorders>
              <w:bottom w:val="single" w:sz="4" w:space="0" w:color="auto"/>
            </w:tcBorders>
            <w:hideMark/>
          </w:tcPr>
          <w:p w14:paraId="0ADFC2DE"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tcBorders>
              <w:bottom w:val="single" w:sz="4" w:space="0" w:color="auto"/>
            </w:tcBorders>
            <w:shd w:val="clear" w:color="auto" w:fill="auto"/>
            <w:hideMark/>
          </w:tcPr>
          <w:p w14:paraId="45438142"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Nortriptyline</w:t>
            </w:r>
          </w:p>
        </w:tc>
        <w:tc>
          <w:tcPr>
            <w:tcW w:w="4336" w:type="dxa"/>
            <w:vMerge/>
            <w:tcBorders>
              <w:bottom w:val="single" w:sz="4" w:space="0" w:color="auto"/>
            </w:tcBorders>
            <w:hideMark/>
          </w:tcPr>
          <w:p w14:paraId="4C7A55EA" w14:textId="77777777" w:rsidR="001F74C9" w:rsidRPr="002C2967" w:rsidRDefault="001F74C9" w:rsidP="002C2967">
            <w:pPr>
              <w:spacing w:beforeLines="20" w:before="48" w:afterLines="20" w:after="48"/>
              <w:rPr>
                <w:rFonts w:cstheme="minorHAnsi"/>
                <w:color w:val="000000"/>
                <w:sz w:val="22"/>
                <w:szCs w:val="21"/>
              </w:rPr>
            </w:pPr>
          </w:p>
        </w:tc>
        <w:tc>
          <w:tcPr>
            <w:tcW w:w="3572" w:type="dxa"/>
            <w:tcBorders>
              <w:bottom w:val="single" w:sz="4" w:space="0" w:color="auto"/>
            </w:tcBorders>
            <w:shd w:val="clear" w:color="auto" w:fill="auto"/>
            <w:hideMark/>
          </w:tcPr>
          <w:p w14:paraId="0C3EBF30"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No data</w:t>
            </w:r>
          </w:p>
        </w:tc>
      </w:tr>
      <w:tr w:rsidR="005968BA" w:rsidRPr="001F74C9" w14:paraId="2DA55C24" w14:textId="77777777" w:rsidTr="002C2967">
        <w:trPr>
          <w:trHeight w:val="97"/>
        </w:trPr>
        <w:tc>
          <w:tcPr>
            <w:tcW w:w="1546" w:type="dxa"/>
            <w:shd w:val="pct5" w:color="auto" w:fill="auto"/>
            <w:hideMark/>
          </w:tcPr>
          <w:p w14:paraId="570CE7BB" w14:textId="41AAC799" w:rsidR="001F74C9" w:rsidRPr="002C2967" w:rsidRDefault="001F74C9" w:rsidP="002C2967">
            <w:pPr>
              <w:spacing w:beforeLines="20" w:before="48" w:afterLines="20" w:after="48"/>
              <w:rPr>
                <w:rFonts w:cstheme="minorHAnsi"/>
                <w:b/>
                <w:bCs/>
                <w:color w:val="000000"/>
                <w:sz w:val="22"/>
                <w:szCs w:val="21"/>
              </w:rPr>
            </w:pPr>
            <w:r w:rsidRPr="001F74C9">
              <w:rPr>
                <w:rFonts w:cstheme="minorHAnsi"/>
                <w:b/>
                <w:bCs/>
                <w:color w:val="000000"/>
                <w:sz w:val="22"/>
                <w:szCs w:val="21"/>
              </w:rPr>
              <w:t>ENURESIS</w:t>
            </w:r>
          </w:p>
        </w:tc>
        <w:tc>
          <w:tcPr>
            <w:tcW w:w="2950" w:type="dxa"/>
            <w:shd w:val="pct5" w:color="auto" w:fill="auto"/>
            <w:hideMark/>
          </w:tcPr>
          <w:p w14:paraId="2522CC93" w14:textId="61E71F14" w:rsidR="001F74C9" w:rsidRPr="002C2967" w:rsidRDefault="001F74C9" w:rsidP="002C2967">
            <w:pPr>
              <w:spacing w:beforeLines="20" w:before="48" w:afterLines="20" w:after="48"/>
              <w:rPr>
                <w:rFonts w:cstheme="minorHAnsi"/>
                <w:b/>
                <w:bCs/>
                <w:color w:val="000000"/>
                <w:sz w:val="22"/>
                <w:szCs w:val="21"/>
              </w:rPr>
            </w:pPr>
            <w:r w:rsidRPr="00563224">
              <w:rPr>
                <w:rFonts w:cstheme="minorHAnsi"/>
                <w:b/>
                <w:bCs/>
                <w:color w:val="000000"/>
                <w:sz w:val="22"/>
                <w:szCs w:val="21"/>
              </w:rPr>
              <w:t> </w:t>
            </w:r>
          </w:p>
        </w:tc>
        <w:tc>
          <w:tcPr>
            <w:tcW w:w="1658" w:type="dxa"/>
            <w:gridSpan w:val="2"/>
            <w:shd w:val="pct5" w:color="auto" w:fill="auto"/>
            <w:hideMark/>
          </w:tcPr>
          <w:p w14:paraId="430EDC7F" w14:textId="6FAD1813" w:rsidR="001F74C9" w:rsidRPr="002C2967" w:rsidRDefault="001F74C9" w:rsidP="002C2967">
            <w:pPr>
              <w:spacing w:beforeLines="20" w:before="48" w:afterLines="20" w:after="48"/>
              <w:rPr>
                <w:rFonts w:cstheme="minorHAnsi"/>
                <w:b/>
                <w:bCs/>
                <w:color w:val="000000"/>
                <w:sz w:val="22"/>
                <w:szCs w:val="21"/>
              </w:rPr>
            </w:pPr>
            <w:r w:rsidRPr="00563224">
              <w:rPr>
                <w:rFonts w:cstheme="minorHAnsi"/>
                <w:b/>
                <w:bCs/>
                <w:color w:val="000000"/>
                <w:sz w:val="22"/>
                <w:szCs w:val="21"/>
              </w:rPr>
              <w:t> </w:t>
            </w:r>
          </w:p>
        </w:tc>
        <w:tc>
          <w:tcPr>
            <w:tcW w:w="4336" w:type="dxa"/>
            <w:shd w:val="pct5" w:color="auto" w:fill="auto"/>
            <w:hideMark/>
          </w:tcPr>
          <w:p w14:paraId="769F6655" w14:textId="2B638DA9" w:rsidR="001F74C9" w:rsidRPr="002C2967" w:rsidRDefault="001F74C9" w:rsidP="002C2967">
            <w:pPr>
              <w:spacing w:beforeLines="20" w:before="48" w:afterLines="20" w:after="48"/>
              <w:rPr>
                <w:rFonts w:cstheme="minorHAnsi"/>
                <w:b/>
                <w:bCs/>
                <w:color w:val="000000"/>
                <w:sz w:val="22"/>
                <w:szCs w:val="21"/>
              </w:rPr>
            </w:pPr>
            <w:r w:rsidRPr="00563224">
              <w:rPr>
                <w:rFonts w:cstheme="minorHAnsi"/>
                <w:b/>
                <w:bCs/>
                <w:color w:val="000000"/>
                <w:sz w:val="22"/>
                <w:szCs w:val="21"/>
              </w:rPr>
              <w:t> </w:t>
            </w:r>
          </w:p>
        </w:tc>
        <w:tc>
          <w:tcPr>
            <w:tcW w:w="3572" w:type="dxa"/>
            <w:shd w:val="pct5" w:color="auto" w:fill="auto"/>
            <w:hideMark/>
          </w:tcPr>
          <w:p w14:paraId="5C25B533" w14:textId="64720E26" w:rsidR="001F74C9" w:rsidRPr="002C2967" w:rsidRDefault="001F74C9" w:rsidP="002C2967">
            <w:pPr>
              <w:spacing w:beforeLines="20" w:before="48" w:afterLines="20" w:after="48"/>
              <w:rPr>
                <w:rFonts w:cstheme="minorHAnsi"/>
                <w:b/>
                <w:bCs/>
                <w:color w:val="000000"/>
                <w:sz w:val="22"/>
                <w:szCs w:val="21"/>
              </w:rPr>
            </w:pPr>
            <w:r w:rsidRPr="00563224">
              <w:rPr>
                <w:rFonts w:cstheme="minorHAnsi"/>
                <w:b/>
                <w:bCs/>
                <w:color w:val="000000"/>
                <w:sz w:val="22"/>
                <w:szCs w:val="21"/>
              </w:rPr>
              <w:t> </w:t>
            </w:r>
          </w:p>
        </w:tc>
      </w:tr>
      <w:tr w:rsidR="005968BA" w:rsidRPr="001F74C9" w14:paraId="6B8FC497" w14:textId="77777777" w:rsidTr="002C2967">
        <w:trPr>
          <w:trHeight w:val="420"/>
        </w:trPr>
        <w:tc>
          <w:tcPr>
            <w:tcW w:w="1546" w:type="dxa"/>
            <w:shd w:val="clear" w:color="auto" w:fill="auto"/>
            <w:hideMark/>
          </w:tcPr>
          <w:p w14:paraId="3BCC9929"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Efficacy</w:t>
            </w:r>
          </w:p>
        </w:tc>
        <w:tc>
          <w:tcPr>
            <w:tcW w:w="2950" w:type="dxa"/>
            <w:shd w:val="clear" w:color="auto" w:fill="auto"/>
            <w:hideMark/>
          </w:tcPr>
          <w:p w14:paraId="331C89B2"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1658" w:type="dxa"/>
            <w:gridSpan w:val="2"/>
            <w:shd w:val="clear" w:color="auto" w:fill="auto"/>
            <w:hideMark/>
          </w:tcPr>
          <w:p w14:paraId="68DB364C"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4336" w:type="dxa"/>
            <w:shd w:val="clear" w:color="auto" w:fill="auto"/>
            <w:hideMark/>
          </w:tcPr>
          <w:p w14:paraId="0329031B"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3572" w:type="dxa"/>
            <w:shd w:val="clear" w:color="auto" w:fill="auto"/>
            <w:hideMark/>
          </w:tcPr>
          <w:p w14:paraId="5768D3BC"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r>
      <w:tr w:rsidR="005968BA" w:rsidRPr="001F74C9" w14:paraId="20809071" w14:textId="77777777" w:rsidTr="002C2967">
        <w:trPr>
          <w:trHeight w:val="416"/>
        </w:trPr>
        <w:tc>
          <w:tcPr>
            <w:tcW w:w="1546" w:type="dxa"/>
            <w:vMerge w:val="restart"/>
            <w:shd w:val="clear" w:color="auto" w:fill="auto"/>
            <w:hideMark/>
          </w:tcPr>
          <w:p w14:paraId="0575B7EA" w14:textId="20C3BAA8"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Meadow and Berg (1982)</w:t>
            </w:r>
            <w:r w:rsidR="001B6D74" w:rsidRPr="009C48FB">
              <w:rPr>
                <w:rFonts w:cstheme="minorHAnsi"/>
                <w:color w:val="000000"/>
                <w:sz w:val="22"/>
                <w:szCs w:val="21"/>
                <w:vertAlign w:val="superscript"/>
              </w:rPr>
              <w:fldChar w:fldCharType="begin"/>
            </w:r>
            <w:r w:rsidR="001B6D74" w:rsidRPr="009C48FB">
              <w:rPr>
                <w:rFonts w:cstheme="minorHAnsi"/>
                <w:color w:val="000000"/>
                <w:sz w:val="22"/>
                <w:szCs w:val="21"/>
                <w:vertAlign w:val="superscript"/>
              </w:rPr>
              <w:instrText xml:space="preserve"> NOTEREF _Ref45962114 \h </w:instrText>
            </w:r>
            <w:r w:rsidR="001B6D74">
              <w:rPr>
                <w:rFonts w:cstheme="minorHAnsi"/>
                <w:color w:val="000000"/>
                <w:sz w:val="22"/>
                <w:szCs w:val="21"/>
                <w:vertAlign w:val="superscript"/>
              </w:rPr>
              <w:instrText xml:space="preserve"> \* MERGEFORMAT </w:instrText>
            </w:r>
            <w:r w:rsidR="001B6D74" w:rsidRPr="009C48FB">
              <w:rPr>
                <w:rFonts w:cstheme="minorHAnsi"/>
                <w:color w:val="000000"/>
                <w:sz w:val="22"/>
                <w:szCs w:val="21"/>
                <w:vertAlign w:val="superscript"/>
              </w:rPr>
            </w:r>
            <w:r w:rsidR="001B6D74" w:rsidRPr="009C48FB">
              <w:rPr>
                <w:rFonts w:cstheme="minorHAnsi"/>
                <w:color w:val="000000"/>
                <w:sz w:val="22"/>
                <w:szCs w:val="21"/>
                <w:vertAlign w:val="superscript"/>
              </w:rPr>
              <w:fldChar w:fldCharType="separate"/>
            </w:r>
            <w:r w:rsidR="00202932">
              <w:rPr>
                <w:rFonts w:cstheme="minorHAnsi"/>
                <w:color w:val="000000"/>
                <w:sz w:val="22"/>
                <w:szCs w:val="21"/>
                <w:vertAlign w:val="superscript"/>
              </w:rPr>
              <w:t>20</w:t>
            </w:r>
            <w:r w:rsidR="001B6D74" w:rsidRPr="009C48FB">
              <w:rPr>
                <w:rFonts w:cstheme="minorHAnsi"/>
                <w:color w:val="000000"/>
                <w:sz w:val="22"/>
                <w:szCs w:val="21"/>
                <w:vertAlign w:val="superscript"/>
              </w:rPr>
              <w:fldChar w:fldCharType="end"/>
            </w:r>
            <w:r w:rsidRPr="002C2967">
              <w:rPr>
                <w:rFonts w:cstheme="minorHAnsi"/>
                <w:color w:val="000000"/>
                <w:sz w:val="22"/>
                <w:szCs w:val="21"/>
              </w:rPr>
              <w:t xml:space="preserve"> in Sureshkumar et al (2003)</w:t>
            </w:r>
            <w:r w:rsidR="00857FD3" w:rsidRPr="009C48FB">
              <w:rPr>
                <w:rFonts w:cstheme="minorHAnsi"/>
                <w:color w:val="000000"/>
                <w:sz w:val="22"/>
                <w:szCs w:val="21"/>
                <w:vertAlign w:val="superscript"/>
              </w:rPr>
              <w:fldChar w:fldCharType="begin"/>
            </w:r>
            <w:r w:rsidR="00857FD3" w:rsidRPr="009C48FB">
              <w:rPr>
                <w:rFonts w:cstheme="minorHAnsi"/>
                <w:color w:val="000000"/>
                <w:sz w:val="22"/>
                <w:szCs w:val="21"/>
                <w:vertAlign w:val="superscript"/>
              </w:rPr>
              <w:instrText xml:space="preserve"> NOTEREF _Ref45747376 \h </w:instrText>
            </w:r>
            <w:r w:rsidR="00857FD3">
              <w:rPr>
                <w:rFonts w:cstheme="minorHAnsi"/>
                <w:color w:val="000000"/>
                <w:sz w:val="22"/>
                <w:szCs w:val="21"/>
                <w:vertAlign w:val="superscript"/>
              </w:rPr>
              <w:instrText xml:space="preserve"> \* MERGEFORMAT </w:instrText>
            </w:r>
            <w:r w:rsidR="00857FD3" w:rsidRPr="009C48FB">
              <w:rPr>
                <w:rFonts w:cstheme="minorHAnsi"/>
                <w:color w:val="000000"/>
                <w:sz w:val="22"/>
                <w:szCs w:val="21"/>
                <w:vertAlign w:val="superscript"/>
              </w:rPr>
            </w:r>
            <w:r w:rsidR="00857FD3" w:rsidRPr="009C48FB">
              <w:rPr>
                <w:rFonts w:cstheme="minorHAnsi"/>
                <w:color w:val="000000"/>
                <w:sz w:val="22"/>
                <w:szCs w:val="21"/>
                <w:vertAlign w:val="superscript"/>
              </w:rPr>
              <w:fldChar w:fldCharType="separate"/>
            </w:r>
            <w:r w:rsidR="00202932">
              <w:rPr>
                <w:rFonts w:cstheme="minorHAnsi"/>
                <w:color w:val="000000"/>
                <w:sz w:val="22"/>
                <w:szCs w:val="21"/>
                <w:vertAlign w:val="superscript"/>
              </w:rPr>
              <w:t>14</w:t>
            </w:r>
            <w:r w:rsidR="00857FD3" w:rsidRPr="009C48FB">
              <w:rPr>
                <w:rFonts w:cstheme="minorHAnsi"/>
                <w:color w:val="000000"/>
                <w:sz w:val="22"/>
                <w:szCs w:val="21"/>
                <w:vertAlign w:val="superscript"/>
              </w:rPr>
              <w:fldChar w:fldCharType="end"/>
            </w:r>
            <w:r w:rsidRPr="009C48FB">
              <w:rPr>
                <w:rFonts w:cstheme="minorHAnsi"/>
                <w:color w:val="000000"/>
                <w:sz w:val="22"/>
                <w:szCs w:val="21"/>
                <w:vertAlign w:val="superscript"/>
              </w:rPr>
              <w:t xml:space="preserve"> </w:t>
            </w:r>
          </w:p>
        </w:tc>
        <w:tc>
          <w:tcPr>
            <w:tcW w:w="2950" w:type="dxa"/>
            <w:vMerge w:val="restart"/>
            <w:shd w:val="clear" w:color="auto" w:fill="auto"/>
            <w:hideMark/>
          </w:tcPr>
          <w:p w14:paraId="101D4495"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27 children and adolescents (5-13 years) with primary diagnosis of daytime urinary incontinence with or without the presence of nocturnal enuresis. </w:t>
            </w:r>
          </w:p>
        </w:tc>
        <w:tc>
          <w:tcPr>
            <w:tcW w:w="1658" w:type="dxa"/>
            <w:gridSpan w:val="2"/>
            <w:vMerge w:val="restart"/>
            <w:shd w:val="clear" w:color="auto" w:fill="auto"/>
            <w:hideMark/>
          </w:tcPr>
          <w:p w14:paraId="4DDCC0ED"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Imipramine</w:t>
            </w:r>
          </w:p>
        </w:tc>
        <w:tc>
          <w:tcPr>
            <w:tcW w:w="4336" w:type="dxa"/>
            <w:shd w:val="clear" w:color="auto" w:fill="auto"/>
            <w:hideMark/>
          </w:tcPr>
          <w:p w14:paraId="03D1A6D0"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Levels of dryness as measured by no. of completely dry days in a 4-week period and levels of wetness as measured by severity of wetness on a scale of 0 (none) to 3 (severe)</w:t>
            </w:r>
          </w:p>
        </w:tc>
        <w:tc>
          <w:tcPr>
            <w:tcW w:w="3572" w:type="dxa"/>
            <w:shd w:val="clear" w:color="auto" w:fill="auto"/>
            <w:hideMark/>
          </w:tcPr>
          <w:p w14:paraId="1CF93C07"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p &gt; 0.05</w:t>
            </w:r>
          </w:p>
        </w:tc>
      </w:tr>
      <w:tr w:rsidR="005968BA" w:rsidRPr="001F74C9" w14:paraId="4BCE0F47" w14:textId="77777777" w:rsidTr="002C2967">
        <w:trPr>
          <w:trHeight w:val="594"/>
        </w:trPr>
        <w:tc>
          <w:tcPr>
            <w:tcW w:w="1546" w:type="dxa"/>
            <w:vMerge/>
            <w:tcBorders>
              <w:bottom w:val="single" w:sz="4" w:space="0" w:color="auto"/>
            </w:tcBorders>
            <w:shd w:val="clear" w:color="auto" w:fill="auto"/>
          </w:tcPr>
          <w:p w14:paraId="7F3205DB"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tcBorders>
              <w:bottom w:val="single" w:sz="4" w:space="0" w:color="auto"/>
            </w:tcBorders>
            <w:shd w:val="clear" w:color="auto" w:fill="auto"/>
          </w:tcPr>
          <w:p w14:paraId="3D179559"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vMerge/>
            <w:tcBorders>
              <w:bottom w:val="single" w:sz="4" w:space="0" w:color="auto"/>
            </w:tcBorders>
            <w:shd w:val="clear" w:color="auto" w:fill="auto"/>
          </w:tcPr>
          <w:p w14:paraId="4CC95BA9" w14:textId="77777777" w:rsidR="001F74C9" w:rsidRPr="002C2967" w:rsidRDefault="001F74C9" w:rsidP="002C2967">
            <w:pPr>
              <w:spacing w:beforeLines="20" w:before="48" w:afterLines="20" w:after="48"/>
              <w:rPr>
                <w:rFonts w:cstheme="minorHAnsi"/>
                <w:color w:val="000000"/>
                <w:sz w:val="22"/>
                <w:szCs w:val="21"/>
              </w:rPr>
            </w:pPr>
          </w:p>
        </w:tc>
        <w:tc>
          <w:tcPr>
            <w:tcW w:w="4336" w:type="dxa"/>
            <w:tcBorders>
              <w:bottom w:val="single" w:sz="4" w:space="0" w:color="auto"/>
            </w:tcBorders>
            <w:shd w:val="clear" w:color="auto" w:fill="auto"/>
          </w:tcPr>
          <w:p w14:paraId="7B28AD1C"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Difference in maximum functional bladder capacity </w:t>
            </w:r>
          </w:p>
        </w:tc>
        <w:tc>
          <w:tcPr>
            <w:tcW w:w="3572" w:type="dxa"/>
            <w:tcBorders>
              <w:bottom w:val="single" w:sz="4" w:space="0" w:color="auto"/>
            </w:tcBorders>
            <w:shd w:val="clear" w:color="auto" w:fill="auto"/>
          </w:tcPr>
          <w:p w14:paraId="62860DD8"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p &gt; 0.05</w:t>
            </w:r>
          </w:p>
        </w:tc>
      </w:tr>
      <w:tr w:rsidR="005968BA" w:rsidRPr="001F74C9" w14:paraId="2493D4F7" w14:textId="77777777" w:rsidTr="002C2967">
        <w:trPr>
          <w:trHeight w:val="97"/>
        </w:trPr>
        <w:tc>
          <w:tcPr>
            <w:tcW w:w="1546" w:type="dxa"/>
            <w:shd w:val="pct5" w:color="auto" w:fill="auto"/>
            <w:hideMark/>
          </w:tcPr>
          <w:p w14:paraId="3B2D01A4"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OCD</w:t>
            </w:r>
          </w:p>
        </w:tc>
        <w:tc>
          <w:tcPr>
            <w:tcW w:w="2950" w:type="dxa"/>
            <w:shd w:val="pct5" w:color="auto" w:fill="auto"/>
            <w:hideMark/>
          </w:tcPr>
          <w:p w14:paraId="48A4CB2B"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1658" w:type="dxa"/>
            <w:gridSpan w:val="2"/>
            <w:shd w:val="pct5" w:color="auto" w:fill="auto"/>
            <w:hideMark/>
          </w:tcPr>
          <w:p w14:paraId="7512FB3F"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4336" w:type="dxa"/>
            <w:shd w:val="pct5" w:color="auto" w:fill="auto"/>
            <w:hideMark/>
          </w:tcPr>
          <w:p w14:paraId="7AB4E9CA"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3572" w:type="dxa"/>
            <w:shd w:val="pct5" w:color="auto" w:fill="auto"/>
            <w:hideMark/>
          </w:tcPr>
          <w:p w14:paraId="0979E6B1"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r>
      <w:tr w:rsidR="005968BA" w:rsidRPr="001F74C9" w14:paraId="51FCDC32" w14:textId="77777777" w:rsidTr="002C2967">
        <w:trPr>
          <w:trHeight w:val="97"/>
        </w:trPr>
        <w:tc>
          <w:tcPr>
            <w:tcW w:w="1546" w:type="dxa"/>
            <w:shd w:val="clear" w:color="auto" w:fill="auto"/>
            <w:hideMark/>
          </w:tcPr>
          <w:p w14:paraId="565DD834"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Efficacy</w:t>
            </w:r>
          </w:p>
        </w:tc>
        <w:tc>
          <w:tcPr>
            <w:tcW w:w="2950" w:type="dxa"/>
            <w:shd w:val="clear" w:color="auto" w:fill="auto"/>
            <w:hideMark/>
          </w:tcPr>
          <w:p w14:paraId="693C1FE0"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1658" w:type="dxa"/>
            <w:gridSpan w:val="2"/>
            <w:shd w:val="clear" w:color="auto" w:fill="auto"/>
            <w:hideMark/>
          </w:tcPr>
          <w:p w14:paraId="429FBE2D"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4336" w:type="dxa"/>
            <w:shd w:val="clear" w:color="auto" w:fill="auto"/>
            <w:hideMark/>
          </w:tcPr>
          <w:p w14:paraId="57720BC4"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3572" w:type="dxa"/>
            <w:shd w:val="clear" w:color="auto" w:fill="auto"/>
            <w:hideMark/>
          </w:tcPr>
          <w:p w14:paraId="4D3A55DD"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r>
      <w:tr w:rsidR="005968BA" w:rsidRPr="001F74C9" w14:paraId="3A001166" w14:textId="77777777" w:rsidTr="002C2967">
        <w:trPr>
          <w:trHeight w:val="97"/>
        </w:trPr>
        <w:tc>
          <w:tcPr>
            <w:tcW w:w="1546" w:type="dxa"/>
            <w:vMerge w:val="restart"/>
            <w:shd w:val="clear" w:color="auto" w:fill="auto"/>
            <w:hideMark/>
          </w:tcPr>
          <w:p w14:paraId="6C984CFE" w14:textId="18CE03A2"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Ipser et al (2009)</w:t>
            </w:r>
            <w:r w:rsidR="00857FD3" w:rsidRPr="009C48FB">
              <w:rPr>
                <w:rFonts w:cstheme="minorHAnsi"/>
                <w:color w:val="000000"/>
                <w:sz w:val="22"/>
                <w:szCs w:val="21"/>
                <w:vertAlign w:val="superscript"/>
              </w:rPr>
              <w:fldChar w:fldCharType="begin"/>
            </w:r>
            <w:r w:rsidR="00857FD3" w:rsidRPr="009C48FB">
              <w:rPr>
                <w:rFonts w:cstheme="minorHAnsi"/>
                <w:color w:val="000000"/>
                <w:sz w:val="22"/>
                <w:szCs w:val="21"/>
                <w:vertAlign w:val="superscript"/>
              </w:rPr>
              <w:instrText xml:space="preserve"> NOTEREF _Ref45746666 \h </w:instrText>
            </w:r>
            <w:r w:rsidR="00857FD3">
              <w:rPr>
                <w:rFonts w:cstheme="minorHAnsi"/>
                <w:color w:val="000000"/>
                <w:sz w:val="22"/>
                <w:szCs w:val="21"/>
                <w:vertAlign w:val="superscript"/>
              </w:rPr>
              <w:instrText xml:space="preserve"> \* MERGEFORMAT </w:instrText>
            </w:r>
            <w:r w:rsidR="00857FD3" w:rsidRPr="009C48FB">
              <w:rPr>
                <w:rFonts w:cstheme="minorHAnsi"/>
                <w:color w:val="000000"/>
                <w:sz w:val="22"/>
                <w:szCs w:val="21"/>
                <w:vertAlign w:val="superscript"/>
              </w:rPr>
            </w:r>
            <w:r w:rsidR="00857FD3" w:rsidRPr="009C48FB">
              <w:rPr>
                <w:rFonts w:cstheme="minorHAnsi"/>
                <w:color w:val="000000"/>
                <w:sz w:val="22"/>
                <w:szCs w:val="21"/>
                <w:vertAlign w:val="superscript"/>
              </w:rPr>
              <w:fldChar w:fldCharType="separate"/>
            </w:r>
            <w:r w:rsidR="00202932">
              <w:rPr>
                <w:rFonts w:cstheme="minorHAnsi"/>
                <w:color w:val="000000"/>
                <w:sz w:val="22"/>
                <w:szCs w:val="21"/>
                <w:vertAlign w:val="superscript"/>
              </w:rPr>
              <w:t>15</w:t>
            </w:r>
            <w:r w:rsidR="00857FD3" w:rsidRPr="009C48FB">
              <w:rPr>
                <w:rFonts w:cstheme="minorHAnsi"/>
                <w:color w:val="000000"/>
                <w:sz w:val="22"/>
                <w:szCs w:val="21"/>
                <w:vertAlign w:val="superscript"/>
              </w:rPr>
              <w:fldChar w:fldCharType="end"/>
            </w:r>
          </w:p>
        </w:tc>
        <w:tc>
          <w:tcPr>
            <w:tcW w:w="2950" w:type="dxa"/>
            <w:vMerge w:val="restart"/>
            <w:shd w:val="clear" w:color="auto" w:fill="auto"/>
            <w:hideMark/>
          </w:tcPr>
          <w:p w14:paraId="29CE9C85"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765 children and adolescents diagnosed with anxiety disorders (DSM-III. DSM-III-R, DSM-IV diagnostic criteria).</w:t>
            </w:r>
          </w:p>
        </w:tc>
        <w:tc>
          <w:tcPr>
            <w:tcW w:w="1658" w:type="dxa"/>
            <w:gridSpan w:val="2"/>
            <w:shd w:val="clear" w:color="auto" w:fill="auto"/>
            <w:hideMark/>
          </w:tcPr>
          <w:p w14:paraId="765751AF"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Fluoxetine</w:t>
            </w:r>
          </w:p>
        </w:tc>
        <w:tc>
          <w:tcPr>
            <w:tcW w:w="4336" w:type="dxa"/>
            <w:vMerge w:val="restart"/>
            <w:shd w:val="clear" w:color="auto" w:fill="auto"/>
            <w:hideMark/>
          </w:tcPr>
          <w:p w14:paraId="1C9202BA"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Treatment response for OCD as measured by CGI-I scores ≤ 2</w:t>
            </w:r>
          </w:p>
        </w:tc>
        <w:tc>
          <w:tcPr>
            <w:tcW w:w="3572" w:type="dxa"/>
            <w:shd w:val="clear" w:color="auto" w:fill="auto"/>
            <w:hideMark/>
          </w:tcPr>
          <w:p w14:paraId="287F62DA"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RR 2.27; 95% CI 1.35 to 3.80 </w:t>
            </w:r>
          </w:p>
        </w:tc>
      </w:tr>
      <w:tr w:rsidR="005968BA" w:rsidRPr="001F74C9" w14:paraId="3DE19024" w14:textId="77777777" w:rsidTr="002C2967">
        <w:trPr>
          <w:trHeight w:val="97"/>
        </w:trPr>
        <w:tc>
          <w:tcPr>
            <w:tcW w:w="1546" w:type="dxa"/>
            <w:vMerge/>
            <w:hideMark/>
          </w:tcPr>
          <w:p w14:paraId="2FA8457B"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657E47D6"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noWrap/>
            <w:hideMark/>
          </w:tcPr>
          <w:p w14:paraId="3896D9E0"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Fluvoxamine</w:t>
            </w:r>
          </w:p>
        </w:tc>
        <w:tc>
          <w:tcPr>
            <w:tcW w:w="4336" w:type="dxa"/>
            <w:vMerge/>
            <w:hideMark/>
          </w:tcPr>
          <w:p w14:paraId="0EADBB5E"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39F9C404"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RR 1.88; 95% CI 0.94 to 3.76 </w:t>
            </w:r>
          </w:p>
        </w:tc>
      </w:tr>
      <w:tr w:rsidR="005968BA" w:rsidRPr="001F74C9" w14:paraId="1EA75252" w14:textId="77777777" w:rsidTr="002C2967">
        <w:trPr>
          <w:trHeight w:val="97"/>
        </w:trPr>
        <w:tc>
          <w:tcPr>
            <w:tcW w:w="1546" w:type="dxa"/>
            <w:vMerge/>
            <w:hideMark/>
          </w:tcPr>
          <w:p w14:paraId="116381E2"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317A758C"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41FC4969"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Paroxetine</w:t>
            </w:r>
          </w:p>
        </w:tc>
        <w:tc>
          <w:tcPr>
            <w:tcW w:w="4336" w:type="dxa"/>
            <w:vMerge/>
            <w:hideMark/>
          </w:tcPr>
          <w:p w14:paraId="3AAA2759"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2CB45ED8"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RR 1.41; 95% CI 1.00 to 1.98 </w:t>
            </w:r>
          </w:p>
        </w:tc>
      </w:tr>
      <w:tr w:rsidR="005968BA" w:rsidRPr="001F74C9" w14:paraId="68793730" w14:textId="77777777" w:rsidTr="002C2967">
        <w:trPr>
          <w:trHeight w:val="139"/>
        </w:trPr>
        <w:tc>
          <w:tcPr>
            <w:tcW w:w="1546" w:type="dxa"/>
            <w:vMerge/>
            <w:hideMark/>
          </w:tcPr>
          <w:p w14:paraId="140DE311"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73CCBD64"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108AAAB4"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Sertraline</w:t>
            </w:r>
          </w:p>
        </w:tc>
        <w:tc>
          <w:tcPr>
            <w:tcW w:w="4336" w:type="dxa"/>
            <w:vMerge/>
            <w:hideMark/>
          </w:tcPr>
          <w:p w14:paraId="1058771D"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2CDE5540"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RR 1.61; 95% CI 1.07 to 2.43</w:t>
            </w:r>
          </w:p>
        </w:tc>
      </w:tr>
      <w:tr w:rsidR="005968BA" w:rsidRPr="001F74C9" w14:paraId="5709D31A" w14:textId="77777777" w:rsidTr="002C2967">
        <w:trPr>
          <w:trHeight w:val="97"/>
        </w:trPr>
        <w:tc>
          <w:tcPr>
            <w:tcW w:w="1546" w:type="dxa"/>
            <w:vMerge/>
            <w:hideMark/>
          </w:tcPr>
          <w:p w14:paraId="0D471C75"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7C1B7D2E"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459E5542"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Fluoxetine</w:t>
            </w:r>
          </w:p>
        </w:tc>
        <w:tc>
          <w:tcPr>
            <w:tcW w:w="4336" w:type="dxa"/>
            <w:vMerge w:val="restart"/>
            <w:shd w:val="clear" w:color="auto" w:fill="auto"/>
            <w:hideMark/>
          </w:tcPr>
          <w:p w14:paraId="4932E4C1"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Reduction in symptom severity for OCD as measured by the CY-BOCS</w:t>
            </w:r>
          </w:p>
        </w:tc>
        <w:tc>
          <w:tcPr>
            <w:tcW w:w="3572" w:type="dxa"/>
            <w:shd w:val="clear" w:color="auto" w:fill="auto"/>
            <w:hideMark/>
          </w:tcPr>
          <w:p w14:paraId="407EAEEF"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MD -5.49; 95% CI -8.63 to -2.36</w:t>
            </w:r>
          </w:p>
        </w:tc>
      </w:tr>
      <w:tr w:rsidR="005968BA" w:rsidRPr="001F74C9" w14:paraId="0A4B1E7A" w14:textId="77777777" w:rsidTr="002C2967">
        <w:trPr>
          <w:trHeight w:val="97"/>
        </w:trPr>
        <w:tc>
          <w:tcPr>
            <w:tcW w:w="1546" w:type="dxa"/>
            <w:vMerge/>
            <w:hideMark/>
          </w:tcPr>
          <w:p w14:paraId="2EF462D7"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70809623"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100CBA39"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Fluvoxamine</w:t>
            </w:r>
          </w:p>
        </w:tc>
        <w:tc>
          <w:tcPr>
            <w:tcW w:w="4336" w:type="dxa"/>
            <w:vMerge/>
            <w:hideMark/>
          </w:tcPr>
          <w:p w14:paraId="5FBF5C31"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4B40A6C8"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MD -2.7; 95% CI -5.76 to 0.36 </w:t>
            </w:r>
          </w:p>
        </w:tc>
      </w:tr>
      <w:tr w:rsidR="005968BA" w:rsidRPr="001F74C9" w14:paraId="1D87CAD8" w14:textId="77777777" w:rsidTr="002C2967">
        <w:trPr>
          <w:trHeight w:val="97"/>
        </w:trPr>
        <w:tc>
          <w:tcPr>
            <w:tcW w:w="1546" w:type="dxa"/>
            <w:vMerge/>
            <w:hideMark/>
          </w:tcPr>
          <w:p w14:paraId="7EDCDD4C"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7A22A88A"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1EA8A0C2"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Paroxetine</w:t>
            </w:r>
          </w:p>
        </w:tc>
        <w:tc>
          <w:tcPr>
            <w:tcW w:w="4336" w:type="dxa"/>
            <w:vMerge/>
            <w:hideMark/>
          </w:tcPr>
          <w:p w14:paraId="1FDEF3C2"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473A2AC6"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MD -3.44; 95% CI -5.65 to -1.23</w:t>
            </w:r>
          </w:p>
        </w:tc>
      </w:tr>
      <w:tr w:rsidR="005968BA" w:rsidRPr="001F74C9" w14:paraId="2EFDBC27" w14:textId="77777777" w:rsidTr="002C2967">
        <w:trPr>
          <w:trHeight w:val="177"/>
        </w:trPr>
        <w:tc>
          <w:tcPr>
            <w:tcW w:w="1546" w:type="dxa"/>
            <w:vMerge/>
            <w:hideMark/>
          </w:tcPr>
          <w:p w14:paraId="7D7D7CEF"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522ECD11"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shd w:val="clear" w:color="auto" w:fill="auto"/>
            <w:hideMark/>
          </w:tcPr>
          <w:p w14:paraId="687DE2E9"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Sertraline</w:t>
            </w:r>
          </w:p>
        </w:tc>
        <w:tc>
          <w:tcPr>
            <w:tcW w:w="4336" w:type="dxa"/>
            <w:vMerge/>
            <w:hideMark/>
          </w:tcPr>
          <w:p w14:paraId="2C981D55" w14:textId="77777777" w:rsidR="001F74C9" w:rsidRPr="002C2967" w:rsidRDefault="001F74C9" w:rsidP="002C2967">
            <w:pPr>
              <w:spacing w:beforeLines="20" w:before="48" w:afterLines="20" w:after="48"/>
              <w:rPr>
                <w:rFonts w:cstheme="minorHAnsi"/>
                <w:color w:val="000000"/>
                <w:sz w:val="22"/>
                <w:szCs w:val="21"/>
              </w:rPr>
            </w:pPr>
          </w:p>
        </w:tc>
        <w:tc>
          <w:tcPr>
            <w:tcW w:w="3572" w:type="dxa"/>
            <w:shd w:val="clear" w:color="auto" w:fill="auto"/>
            <w:hideMark/>
          </w:tcPr>
          <w:p w14:paraId="62AA0138"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MD -3.82; 95% CI -5.83 to -1.81</w:t>
            </w:r>
          </w:p>
        </w:tc>
      </w:tr>
      <w:tr w:rsidR="005968BA" w:rsidRPr="001F74C9" w14:paraId="19129F81" w14:textId="77777777" w:rsidTr="002C2967">
        <w:trPr>
          <w:trHeight w:val="97"/>
        </w:trPr>
        <w:tc>
          <w:tcPr>
            <w:tcW w:w="1546" w:type="dxa"/>
            <w:vMerge/>
            <w:tcBorders>
              <w:bottom w:val="single" w:sz="4" w:space="0" w:color="auto"/>
            </w:tcBorders>
            <w:hideMark/>
          </w:tcPr>
          <w:p w14:paraId="5727F2D7"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tcBorders>
              <w:bottom w:val="single" w:sz="4" w:space="0" w:color="auto"/>
            </w:tcBorders>
            <w:hideMark/>
          </w:tcPr>
          <w:p w14:paraId="329C17AB"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tcBorders>
              <w:bottom w:val="single" w:sz="4" w:space="0" w:color="auto"/>
            </w:tcBorders>
            <w:shd w:val="clear" w:color="auto" w:fill="auto"/>
            <w:hideMark/>
          </w:tcPr>
          <w:p w14:paraId="2944D4BD"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Clomipramine</w:t>
            </w:r>
          </w:p>
        </w:tc>
        <w:tc>
          <w:tcPr>
            <w:tcW w:w="4336" w:type="dxa"/>
            <w:vMerge/>
            <w:tcBorders>
              <w:bottom w:val="single" w:sz="4" w:space="0" w:color="auto"/>
            </w:tcBorders>
            <w:hideMark/>
          </w:tcPr>
          <w:p w14:paraId="74D02259" w14:textId="77777777" w:rsidR="001F74C9" w:rsidRPr="002C2967" w:rsidRDefault="001F74C9" w:rsidP="002C2967">
            <w:pPr>
              <w:spacing w:beforeLines="20" w:before="48" w:afterLines="20" w:after="48"/>
              <w:rPr>
                <w:rFonts w:cstheme="minorHAnsi"/>
                <w:color w:val="000000"/>
                <w:sz w:val="22"/>
                <w:szCs w:val="21"/>
              </w:rPr>
            </w:pPr>
          </w:p>
        </w:tc>
        <w:tc>
          <w:tcPr>
            <w:tcW w:w="3572" w:type="dxa"/>
            <w:tcBorders>
              <w:bottom w:val="single" w:sz="4" w:space="0" w:color="auto"/>
            </w:tcBorders>
            <w:shd w:val="clear" w:color="auto" w:fill="auto"/>
            <w:hideMark/>
          </w:tcPr>
          <w:p w14:paraId="6FC2A3CB"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MD -8.9; 95% CI -12.73 to -5.07</w:t>
            </w:r>
          </w:p>
        </w:tc>
      </w:tr>
      <w:tr w:rsidR="005968BA" w:rsidRPr="001F74C9" w14:paraId="681109CF" w14:textId="77777777" w:rsidTr="002C2967">
        <w:trPr>
          <w:trHeight w:val="97"/>
        </w:trPr>
        <w:tc>
          <w:tcPr>
            <w:tcW w:w="1546" w:type="dxa"/>
            <w:shd w:val="pct5" w:color="auto" w:fill="auto"/>
            <w:hideMark/>
          </w:tcPr>
          <w:p w14:paraId="7A7DDBF8"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PTSD</w:t>
            </w:r>
          </w:p>
        </w:tc>
        <w:tc>
          <w:tcPr>
            <w:tcW w:w="2950" w:type="dxa"/>
            <w:shd w:val="pct5" w:color="auto" w:fill="auto"/>
            <w:hideMark/>
          </w:tcPr>
          <w:p w14:paraId="496CBD91"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1658" w:type="dxa"/>
            <w:gridSpan w:val="2"/>
            <w:shd w:val="pct5" w:color="auto" w:fill="auto"/>
            <w:hideMark/>
          </w:tcPr>
          <w:p w14:paraId="6BB142E8"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4336" w:type="dxa"/>
            <w:shd w:val="pct5" w:color="auto" w:fill="auto"/>
            <w:hideMark/>
          </w:tcPr>
          <w:p w14:paraId="3BB215CB"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3572" w:type="dxa"/>
            <w:shd w:val="pct5" w:color="auto" w:fill="auto"/>
            <w:hideMark/>
          </w:tcPr>
          <w:p w14:paraId="39FADD85"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r>
      <w:tr w:rsidR="005968BA" w:rsidRPr="001F74C9" w14:paraId="1AF9F8EB" w14:textId="77777777" w:rsidTr="002C2967">
        <w:trPr>
          <w:trHeight w:val="97"/>
        </w:trPr>
        <w:tc>
          <w:tcPr>
            <w:tcW w:w="1546" w:type="dxa"/>
            <w:shd w:val="clear" w:color="auto" w:fill="auto"/>
            <w:hideMark/>
          </w:tcPr>
          <w:p w14:paraId="70B249E0"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Efficacy</w:t>
            </w:r>
          </w:p>
        </w:tc>
        <w:tc>
          <w:tcPr>
            <w:tcW w:w="2950" w:type="dxa"/>
            <w:shd w:val="clear" w:color="auto" w:fill="auto"/>
            <w:hideMark/>
          </w:tcPr>
          <w:p w14:paraId="02C90400"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1658" w:type="dxa"/>
            <w:gridSpan w:val="2"/>
            <w:shd w:val="clear" w:color="auto" w:fill="auto"/>
            <w:hideMark/>
          </w:tcPr>
          <w:p w14:paraId="74AB1D95"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4336" w:type="dxa"/>
            <w:shd w:val="clear" w:color="auto" w:fill="auto"/>
            <w:hideMark/>
          </w:tcPr>
          <w:p w14:paraId="46131B2C"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c>
          <w:tcPr>
            <w:tcW w:w="3572" w:type="dxa"/>
            <w:shd w:val="clear" w:color="auto" w:fill="auto"/>
            <w:hideMark/>
          </w:tcPr>
          <w:p w14:paraId="66064E62" w14:textId="77777777" w:rsidR="001F74C9" w:rsidRPr="002C2967" w:rsidRDefault="001F74C9" w:rsidP="002C2967">
            <w:pPr>
              <w:spacing w:beforeLines="20" w:before="48" w:afterLines="20" w:after="48"/>
              <w:rPr>
                <w:rFonts w:cstheme="minorHAnsi"/>
                <w:b/>
                <w:bCs/>
                <w:color w:val="000000"/>
                <w:sz w:val="22"/>
                <w:szCs w:val="21"/>
              </w:rPr>
            </w:pPr>
            <w:r w:rsidRPr="002C2967">
              <w:rPr>
                <w:rFonts w:cstheme="minorHAnsi"/>
                <w:b/>
                <w:bCs/>
                <w:color w:val="000000"/>
                <w:sz w:val="22"/>
                <w:szCs w:val="21"/>
              </w:rPr>
              <w:t> </w:t>
            </w:r>
          </w:p>
        </w:tc>
      </w:tr>
      <w:tr w:rsidR="005968BA" w:rsidRPr="001F74C9" w14:paraId="7FC60C8F" w14:textId="77777777" w:rsidTr="002C2967">
        <w:trPr>
          <w:trHeight w:val="207"/>
        </w:trPr>
        <w:tc>
          <w:tcPr>
            <w:tcW w:w="1546" w:type="dxa"/>
            <w:vMerge w:val="restart"/>
            <w:shd w:val="clear" w:color="auto" w:fill="auto"/>
            <w:hideMark/>
          </w:tcPr>
          <w:p w14:paraId="02CF17C2" w14:textId="6A6A606A" w:rsidR="001F74C9" w:rsidRPr="002C2967" w:rsidRDefault="001F74C9" w:rsidP="002C2967">
            <w:pPr>
              <w:spacing w:beforeLines="20" w:before="48" w:afterLines="20" w:after="48"/>
              <w:rPr>
                <w:rFonts w:cstheme="minorHAnsi"/>
                <w:color w:val="000000"/>
                <w:sz w:val="22"/>
                <w:szCs w:val="21"/>
                <w:lang w:val="it-IT"/>
              </w:rPr>
            </w:pPr>
            <w:r w:rsidRPr="002C2967">
              <w:rPr>
                <w:rFonts w:cstheme="minorHAnsi"/>
                <w:color w:val="000000"/>
                <w:sz w:val="22"/>
                <w:szCs w:val="21"/>
                <w:lang w:val="it-IT"/>
              </w:rPr>
              <w:t>Robb et al (2010)</w:t>
            </w:r>
            <w:r w:rsidR="001B6D74" w:rsidRPr="009C48FB">
              <w:rPr>
                <w:rFonts w:cstheme="minorHAnsi"/>
                <w:color w:val="000000"/>
                <w:sz w:val="22"/>
                <w:szCs w:val="21"/>
                <w:vertAlign w:val="superscript"/>
                <w:lang w:val="it-IT"/>
              </w:rPr>
              <w:fldChar w:fldCharType="begin"/>
            </w:r>
            <w:r w:rsidR="001B6D74" w:rsidRPr="009C48FB">
              <w:rPr>
                <w:rFonts w:cstheme="minorHAnsi"/>
                <w:color w:val="000000"/>
                <w:sz w:val="22"/>
                <w:szCs w:val="21"/>
                <w:vertAlign w:val="superscript"/>
                <w:lang w:val="it-IT"/>
              </w:rPr>
              <w:instrText xml:space="preserve"> NOTEREF _Ref45962157 \h </w:instrText>
            </w:r>
            <w:r w:rsidR="001B6D74">
              <w:rPr>
                <w:rFonts w:cstheme="minorHAnsi"/>
                <w:color w:val="000000"/>
                <w:sz w:val="22"/>
                <w:szCs w:val="21"/>
                <w:vertAlign w:val="superscript"/>
                <w:lang w:val="it-IT"/>
              </w:rPr>
              <w:instrText xml:space="preserve"> \* MERGEFORMAT </w:instrText>
            </w:r>
            <w:r w:rsidR="001B6D74" w:rsidRPr="009C48FB">
              <w:rPr>
                <w:rFonts w:cstheme="minorHAnsi"/>
                <w:color w:val="000000"/>
                <w:sz w:val="22"/>
                <w:szCs w:val="21"/>
                <w:vertAlign w:val="superscript"/>
                <w:lang w:val="it-IT"/>
              </w:rPr>
            </w:r>
            <w:r w:rsidR="001B6D74" w:rsidRPr="009C48FB">
              <w:rPr>
                <w:rFonts w:cstheme="minorHAnsi"/>
                <w:color w:val="000000"/>
                <w:sz w:val="22"/>
                <w:szCs w:val="21"/>
                <w:vertAlign w:val="superscript"/>
                <w:lang w:val="it-IT"/>
              </w:rPr>
              <w:fldChar w:fldCharType="separate"/>
            </w:r>
            <w:r w:rsidR="00202932">
              <w:rPr>
                <w:rFonts w:cstheme="minorHAnsi"/>
                <w:color w:val="000000"/>
                <w:sz w:val="22"/>
                <w:szCs w:val="21"/>
                <w:vertAlign w:val="superscript"/>
                <w:lang w:val="it-IT"/>
              </w:rPr>
              <w:t>21</w:t>
            </w:r>
            <w:r w:rsidR="001B6D74" w:rsidRPr="009C48FB">
              <w:rPr>
                <w:rFonts w:cstheme="minorHAnsi"/>
                <w:color w:val="000000"/>
                <w:sz w:val="22"/>
                <w:szCs w:val="21"/>
                <w:vertAlign w:val="superscript"/>
                <w:lang w:val="it-IT"/>
              </w:rPr>
              <w:fldChar w:fldCharType="end"/>
            </w:r>
            <w:r w:rsidRPr="002C2967">
              <w:rPr>
                <w:rFonts w:cstheme="minorHAnsi"/>
                <w:color w:val="000000"/>
                <w:sz w:val="22"/>
                <w:szCs w:val="21"/>
                <w:lang w:val="it-IT"/>
              </w:rPr>
              <w:t xml:space="preserve"> in Locher et al (2017)</w:t>
            </w:r>
            <w:r w:rsidR="00857FD3" w:rsidRPr="009C48FB">
              <w:rPr>
                <w:rFonts w:cstheme="minorHAnsi"/>
                <w:color w:val="000000"/>
                <w:sz w:val="22"/>
                <w:szCs w:val="21"/>
                <w:vertAlign w:val="superscript"/>
                <w:lang w:val="it-IT"/>
              </w:rPr>
              <w:fldChar w:fldCharType="begin"/>
            </w:r>
            <w:r w:rsidR="00857FD3" w:rsidRPr="009C48FB">
              <w:rPr>
                <w:rFonts w:cstheme="minorHAnsi"/>
                <w:color w:val="000000"/>
                <w:sz w:val="22"/>
                <w:szCs w:val="21"/>
                <w:vertAlign w:val="superscript"/>
                <w:lang w:val="it-IT"/>
              </w:rPr>
              <w:instrText xml:space="preserve"> NOTEREF _Ref45746736 \h </w:instrText>
            </w:r>
            <w:r w:rsidR="00857FD3">
              <w:rPr>
                <w:rFonts w:cstheme="minorHAnsi"/>
                <w:color w:val="000000"/>
                <w:sz w:val="22"/>
                <w:szCs w:val="21"/>
                <w:vertAlign w:val="superscript"/>
                <w:lang w:val="it-IT"/>
              </w:rPr>
              <w:instrText xml:space="preserve"> \* MERGEFORMAT </w:instrText>
            </w:r>
            <w:r w:rsidR="00857FD3" w:rsidRPr="009C48FB">
              <w:rPr>
                <w:rFonts w:cstheme="minorHAnsi"/>
                <w:color w:val="000000"/>
                <w:sz w:val="22"/>
                <w:szCs w:val="21"/>
                <w:vertAlign w:val="superscript"/>
                <w:lang w:val="it-IT"/>
              </w:rPr>
            </w:r>
            <w:r w:rsidR="00857FD3" w:rsidRPr="009C48FB">
              <w:rPr>
                <w:rFonts w:cstheme="minorHAnsi"/>
                <w:color w:val="000000"/>
                <w:sz w:val="22"/>
                <w:szCs w:val="21"/>
                <w:vertAlign w:val="superscript"/>
                <w:lang w:val="it-IT"/>
              </w:rPr>
              <w:fldChar w:fldCharType="separate"/>
            </w:r>
            <w:r w:rsidR="00202932">
              <w:rPr>
                <w:rFonts w:cstheme="minorHAnsi"/>
                <w:color w:val="000000"/>
                <w:sz w:val="22"/>
                <w:szCs w:val="21"/>
                <w:vertAlign w:val="superscript"/>
                <w:lang w:val="it-IT"/>
              </w:rPr>
              <w:t>16</w:t>
            </w:r>
            <w:r w:rsidR="00857FD3" w:rsidRPr="009C48FB">
              <w:rPr>
                <w:rFonts w:cstheme="minorHAnsi"/>
                <w:color w:val="000000"/>
                <w:sz w:val="22"/>
                <w:szCs w:val="21"/>
                <w:vertAlign w:val="superscript"/>
                <w:lang w:val="it-IT"/>
              </w:rPr>
              <w:fldChar w:fldCharType="end"/>
            </w:r>
          </w:p>
        </w:tc>
        <w:tc>
          <w:tcPr>
            <w:tcW w:w="2950" w:type="dxa"/>
            <w:vMerge w:val="restart"/>
            <w:shd w:val="clear" w:color="auto" w:fill="auto"/>
            <w:hideMark/>
          </w:tcPr>
          <w:p w14:paraId="5DCF0C6C"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131 children and adolescents (6-17 years) who met DSM-IV criteria for PTSD.</w:t>
            </w:r>
          </w:p>
        </w:tc>
        <w:tc>
          <w:tcPr>
            <w:tcW w:w="1658" w:type="dxa"/>
            <w:gridSpan w:val="2"/>
            <w:vMerge w:val="restart"/>
            <w:shd w:val="clear" w:color="auto" w:fill="auto"/>
            <w:hideMark/>
          </w:tcPr>
          <w:p w14:paraId="6B1C65BF"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Sertraline</w:t>
            </w:r>
          </w:p>
        </w:tc>
        <w:tc>
          <w:tcPr>
            <w:tcW w:w="4336" w:type="dxa"/>
            <w:shd w:val="clear" w:color="auto" w:fill="auto"/>
            <w:hideMark/>
          </w:tcPr>
          <w:p w14:paraId="11D82142"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Reduction in symptom severity as measured by end point change in the UCLA PTSD-I score</w:t>
            </w:r>
          </w:p>
        </w:tc>
        <w:tc>
          <w:tcPr>
            <w:tcW w:w="3572" w:type="dxa"/>
            <w:shd w:val="clear" w:color="auto" w:fill="auto"/>
            <w:hideMark/>
          </w:tcPr>
          <w:p w14:paraId="2B809AF9" w14:textId="6874F39E"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MD -3.1; 95% CI -7.9 to 1.7 p =</w:t>
            </w:r>
            <w:r>
              <w:rPr>
                <w:rFonts w:cstheme="minorHAnsi"/>
                <w:color w:val="000000"/>
                <w:sz w:val="22"/>
                <w:szCs w:val="21"/>
              </w:rPr>
              <w:t xml:space="preserve"> </w:t>
            </w:r>
            <w:r w:rsidRPr="002C2967">
              <w:rPr>
                <w:rFonts w:cstheme="minorHAnsi"/>
                <w:color w:val="000000"/>
                <w:sz w:val="22"/>
                <w:szCs w:val="21"/>
              </w:rPr>
              <w:t>0.20</w:t>
            </w:r>
          </w:p>
        </w:tc>
      </w:tr>
      <w:tr w:rsidR="005968BA" w:rsidRPr="001F74C9" w14:paraId="3DB0F128" w14:textId="77777777" w:rsidTr="002C2967">
        <w:trPr>
          <w:trHeight w:val="371"/>
        </w:trPr>
        <w:tc>
          <w:tcPr>
            <w:tcW w:w="1546" w:type="dxa"/>
            <w:vMerge/>
            <w:hideMark/>
          </w:tcPr>
          <w:p w14:paraId="6BDCBC70"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0E360383"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vMerge/>
            <w:hideMark/>
          </w:tcPr>
          <w:p w14:paraId="49315E94" w14:textId="77777777" w:rsidR="001F74C9" w:rsidRPr="002C2967" w:rsidRDefault="001F74C9" w:rsidP="002C2967">
            <w:pPr>
              <w:spacing w:beforeLines="20" w:before="48" w:afterLines="20" w:after="48"/>
              <w:rPr>
                <w:rFonts w:cstheme="minorHAnsi"/>
                <w:color w:val="000000"/>
                <w:sz w:val="22"/>
                <w:szCs w:val="21"/>
              </w:rPr>
            </w:pPr>
          </w:p>
        </w:tc>
        <w:tc>
          <w:tcPr>
            <w:tcW w:w="4336" w:type="dxa"/>
            <w:shd w:val="clear" w:color="auto" w:fill="auto"/>
            <w:hideMark/>
          </w:tcPr>
          <w:p w14:paraId="36977EE7"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 xml:space="preserve">Reduction in PTSD symptoms and functional impairment as measured by parent/guardian ratings using the Child Stress Disorders Checklist </w:t>
            </w:r>
          </w:p>
        </w:tc>
        <w:tc>
          <w:tcPr>
            <w:tcW w:w="3572" w:type="dxa"/>
            <w:shd w:val="clear" w:color="auto" w:fill="auto"/>
            <w:hideMark/>
          </w:tcPr>
          <w:p w14:paraId="6CEC3B6F"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Least squares mean change score: placebo -17.3, sertraline -12.4; p = 0.025</w:t>
            </w:r>
          </w:p>
        </w:tc>
      </w:tr>
      <w:tr w:rsidR="005968BA" w:rsidRPr="001F74C9" w14:paraId="410037DB" w14:textId="77777777" w:rsidTr="002C2967">
        <w:trPr>
          <w:trHeight w:val="945"/>
        </w:trPr>
        <w:tc>
          <w:tcPr>
            <w:tcW w:w="1546" w:type="dxa"/>
            <w:vMerge/>
            <w:hideMark/>
          </w:tcPr>
          <w:p w14:paraId="482071A9"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1FB529FA"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vMerge/>
            <w:hideMark/>
          </w:tcPr>
          <w:p w14:paraId="04181D89" w14:textId="77777777" w:rsidR="001F74C9" w:rsidRPr="002C2967" w:rsidRDefault="001F74C9" w:rsidP="002C2967">
            <w:pPr>
              <w:spacing w:beforeLines="20" w:before="48" w:afterLines="20" w:after="48"/>
              <w:rPr>
                <w:rFonts w:cstheme="minorHAnsi"/>
                <w:color w:val="000000"/>
                <w:sz w:val="22"/>
                <w:szCs w:val="21"/>
              </w:rPr>
            </w:pPr>
          </w:p>
        </w:tc>
        <w:tc>
          <w:tcPr>
            <w:tcW w:w="4336" w:type="dxa"/>
            <w:shd w:val="clear" w:color="auto" w:fill="auto"/>
            <w:hideMark/>
          </w:tcPr>
          <w:p w14:paraId="0DFA42C6" w14:textId="77777777" w:rsidR="001F74C9" w:rsidRPr="002C2967" w:rsidRDefault="001F74C9" w:rsidP="002C2967">
            <w:pPr>
              <w:spacing w:beforeLines="20" w:before="48" w:afterLines="20" w:after="48"/>
              <w:ind w:right="-108"/>
              <w:rPr>
                <w:rFonts w:cstheme="minorHAnsi"/>
                <w:color w:val="000000"/>
                <w:sz w:val="22"/>
                <w:szCs w:val="21"/>
              </w:rPr>
            </w:pPr>
            <w:r w:rsidRPr="002C2967">
              <w:rPr>
                <w:rFonts w:cstheme="minorHAnsi"/>
                <w:color w:val="000000"/>
                <w:sz w:val="22"/>
                <w:szCs w:val="21"/>
              </w:rPr>
              <w:t>Treatment response as measured by CGI-S scores ≤ 2</w:t>
            </w:r>
          </w:p>
        </w:tc>
        <w:tc>
          <w:tcPr>
            <w:tcW w:w="3572" w:type="dxa"/>
            <w:shd w:val="clear" w:color="auto" w:fill="auto"/>
            <w:hideMark/>
          </w:tcPr>
          <w:p w14:paraId="54E06E9C"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Least squares mean change score: placebo - 1.8, sertraline - 1.4; p = 0.031</w:t>
            </w:r>
          </w:p>
        </w:tc>
      </w:tr>
      <w:tr w:rsidR="005968BA" w:rsidRPr="001F74C9" w14:paraId="3D056806" w14:textId="77777777" w:rsidTr="002C2967">
        <w:trPr>
          <w:trHeight w:val="97"/>
        </w:trPr>
        <w:tc>
          <w:tcPr>
            <w:tcW w:w="1546" w:type="dxa"/>
            <w:vMerge/>
            <w:hideMark/>
          </w:tcPr>
          <w:p w14:paraId="406B9697" w14:textId="77777777" w:rsidR="001F74C9" w:rsidRPr="002C2967" w:rsidRDefault="001F74C9" w:rsidP="002C2967">
            <w:pPr>
              <w:spacing w:beforeLines="20" w:before="48" w:afterLines="20" w:after="48"/>
              <w:rPr>
                <w:rFonts w:cstheme="minorHAnsi"/>
                <w:color w:val="000000"/>
                <w:sz w:val="22"/>
                <w:szCs w:val="21"/>
              </w:rPr>
            </w:pPr>
          </w:p>
        </w:tc>
        <w:tc>
          <w:tcPr>
            <w:tcW w:w="2950" w:type="dxa"/>
            <w:vMerge/>
            <w:hideMark/>
          </w:tcPr>
          <w:p w14:paraId="7A7CE403" w14:textId="77777777" w:rsidR="001F74C9" w:rsidRPr="002C2967" w:rsidRDefault="001F74C9" w:rsidP="002C2967">
            <w:pPr>
              <w:spacing w:beforeLines="20" w:before="48" w:afterLines="20" w:after="48"/>
              <w:rPr>
                <w:rFonts w:cstheme="minorHAnsi"/>
                <w:color w:val="000000"/>
                <w:sz w:val="22"/>
                <w:szCs w:val="21"/>
              </w:rPr>
            </w:pPr>
          </w:p>
        </w:tc>
        <w:tc>
          <w:tcPr>
            <w:tcW w:w="1658" w:type="dxa"/>
            <w:gridSpan w:val="2"/>
            <w:vMerge/>
            <w:hideMark/>
          </w:tcPr>
          <w:p w14:paraId="24443A08" w14:textId="77777777" w:rsidR="001F74C9" w:rsidRPr="002C2967" w:rsidRDefault="001F74C9" w:rsidP="002C2967">
            <w:pPr>
              <w:spacing w:beforeLines="20" w:before="48" w:afterLines="20" w:after="48"/>
              <w:rPr>
                <w:rFonts w:cstheme="minorHAnsi"/>
                <w:color w:val="000000"/>
                <w:sz w:val="22"/>
                <w:szCs w:val="21"/>
              </w:rPr>
            </w:pPr>
          </w:p>
        </w:tc>
        <w:tc>
          <w:tcPr>
            <w:tcW w:w="4336" w:type="dxa"/>
            <w:shd w:val="clear" w:color="auto" w:fill="auto"/>
            <w:hideMark/>
          </w:tcPr>
          <w:p w14:paraId="215E6EDB"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Quality of life as measured by change in Paediatric Quality of Life Enjoyment and Satisfaction Questionnaire score</w:t>
            </w:r>
          </w:p>
        </w:tc>
        <w:tc>
          <w:tcPr>
            <w:tcW w:w="3572" w:type="dxa"/>
            <w:shd w:val="clear" w:color="auto" w:fill="auto"/>
            <w:hideMark/>
          </w:tcPr>
          <w:p w14:paraId="3ECF97F5" w14:textId="77777777" w:rsidR="001F74C9" w:rsidRPr="002C2967" w:rsidRDefault="001F74C9" w:rsidP="002C2967">
            <w:pPr>
              <w:spacing w:beforeLines="20" w:before="48" w:afterLines="20" w:after="48"/>
              <w:rPr>
                <w:rFonts w:cstheme="minorHAnsi"/>
                <w:color w:val="000000"/>
                <w:sz w:val="22"/>
                <w:szCs w:val="21"/>
              </w:rPr>
            </w:pPr>
            <w:r w:rsidRPr="002C2967">
              <w:rPr>
                <w:rFonts w:cstheme="minorHAnsi"/>
                <w:color w:val="000000"/>
                <w:sz w:val="22"/>
                <w:szCs w:val="21"/>
              </w:rPr>
              <w:t>Least squares mean change score: placebo 10.7, sertraline 7.2; p = 0.037</w:t>
            </w:r>
          </w:p>
        </w:tc>
      </w:tr>
    </w:tbl>
    <w:p w14:paraId="1C85027C" w14:textId="77777777" w:rsidR="005968BA" w:rsidRDefault="005968BA" w:rsidP="001F74C9">
      <w:pPr>
        <w:rPr>
          <w:rFonts w:cstheme="minorHAnsi"/>
          <w:color w:val="000000"/>
        </w:rPr>
      </w:pPr>
    </w:p>
    <w:p w14:paraId="1E5D1C7B" w14:textId="30620310" w:rsidR="001F74C9" w:rsidRPr="00563224" w:rsidRDefault="00731EC6" w:rsidP="001F74C9">
      <w:pPr>
        <w:rPr>
          <w:rFonts w:cstheme="minorHAnsi"/>
          <w:color w:val="000000"/>
        </w:rPr>
      </w:pPr>
      <w:r w:rsidRPr="002C2967">
        <w:rPr>
          <w:rFonts w:cstheme="minorHAnsi"/>
          <w:b/>
          <w:bCs/>
          <w:color w:val="000000"/>
          <w:sz w:val="22"/>
          <w:szCs w:val="21"/>
        </w:rPr>
        <w:t xml:space="preserve">Legend. </w:t>
      </w:r>
      <w:r w:rsidR="005968BA">
        <w:rPr>
          <w:rFonts w:cstheme="minorHAnsi"/>
          <w:color w:val="000000"/>
        </w:rPr>
        <w:t xml:space="preserve">* Indirect comparison derived from the Network (not pairwise) Meta-Analysis. </w:t>
      </w:r>
      <w:r w:rsidR="001F74C9" w:rsidRPr="002C2967">
        <w:rPr>
          <w:rFonts w:cstheme="minorHAnsi"/>
          <w:color w:val="000000"/>
          <w:sz w:val="22"/>
          <w:szCs w:val="21"/>
        </w:rPr>
        <w:t>ADHD = Attention Deficit Hyperactivity Disorder; ADHD-RS-IV = Attention Deficit/Hyperactivity Disorder Rating Scale Fourth Version; ADIR = Autism Diagnostic Interview Revised; ADOS = Autism Diagnostic Observation Schedule; AE = Adverse Events; ASD = Autism Spectrum Disorder; BDI = Beck Depression Inventory; CABRS = Conners Abbreviated Rating Scale; CARS = Childhood Autism Rating Scale; CDI = Children’s Depression Inventory; CDRS-R = Children’s Depression Rating Scale – Revised; CGI-I = Clinical Global Impression – Improvement; CI = Confidence Interval; CPRS = Comprehensive Psychopathological Rating Scale; CrI = Credible Interval; CY-BOCS = Children’s Yale-Brown Obsessive Compulsive Scale’ DISCO = Diagnostic Interview for Social and Communication Disorders; DSM= Diagnostic and Statistical Manual; DSM-IV-TR = Diagnostic and Statistical Manual Fourth Version-Text Revision; HAMD = Hamilton Depression Scale; HARS = Hamilton Anxiety Rating Scale; ICD = International Classification of Disease; LSAS-CA = Liebowitz Social Anxiety Scale for Children and Adolescent; MASC = Multidimensional Anxiety Scale for Children; MD = Mean Difference; OCD = Obsessive-Compulsive Disorder; OR = Odds Ratio; PARS = Paediatric Anxiety Rating Scale; PTSD = Post Traumatic Stress Disorder; RBS-R = Repetitive Behaviour Scale – Revised; RR = Risk Ratio; SAS-CA = Social Anxiety Scale for Children and Adolescents; SMD =  Standard Mean Difference; SPAI-C = Social Phobia and Anxiety Inventory for Children; UCLA PTSD-I = University of California at Los Angeles Post–Traumatic Stress Disorder Index</w:t>
      </w:r>
    </w:p>
    <w:p w14:paraId="0704CFCF" w14:textId="3F5002AF" w:rsidR="002211DD" w:rsidRDefault="002211DD" w:rsidP="002211DD">
      <w:pPr>
        <w:spacing w:line="480" w:lineRule="auto"/>
        <w:sectPr w:rsidR="002211DD" w:rsidSect="002211DD">
          <w:pgSz w:w="15840" w:h="12240" w:orient="landscape"/>
          <w:pgMar w:top="1179" w:right="1140" w:bottom="1281" w:left="1140" w:header="284" w:footer="510" w:gutter="0"/>
          <w:lnNumType w:countBy="1" w:restart="continuous"/>
          <w:cols w:space="720"/>
          <w:titlePg/>
          <w:docGrid w:linePitch="360"/>
        </w:sectPr>
      </w:pPr>
    </w:p>
    <w:p w14:paraId="5D82BFB2" w14:textId="1DD51578" w:rsidR="002211DD" w:rsidRPr="00717C2B" w:rsidRDefault="002211DD" w:rsidP="002211DD">
      <w:pPr>
        <w:spacing w:line="360" w:lineRule="auto"/>
        <w:rPr>
          <w:b/>
        </w:rPr>
      </w:pPr>
      <w:r w:rsidRPr="00717C2B">
        <w:rPr>
          <w:b/>
        </w:rPr>
        <w:lastRenderedPageBreak/>
        <w:t xml:space="preserve">Table </w:t>
      </w:r>
      <w:r>
        <w:rPr>
          <w:b/>
        </w:rPr>
        <w:t>2</w:t>
      </w:r>
      <w:r w:rsidRPr="00717C2B">
        <w:rPr>
          <w:b/>
        </w:rPr>
        <w:t xml:space="preserve">:  </w:t>
      </w:r>
      <w:r w:rsidRPr="002C2967">
        <w:rPr>
          <w:bCs/>
        </w:rPr>
        <w:t xml:space="preserve">Summary AMSTAR-2 ratings </w:t>
      </w:r>
      <w:r w:rsidR="00670966" w:rsidRPr="002C2967">
        <w:rPr>
          <w:bCs/>
        </w:rPr>
        <w:t>(A MeaSurement Tool to Assess systematic Reviews). See text and online appendix for details</w:t>
      </w:r>
      <w:r w:rsidR="00670966">
        <w:rPr>
          <w:b/>
        </w:rPr>
        <w:t>.</w:t>
      </w:r>
    </w:p>
    <w:tbl>
      <w:tblPr>
        <w:tblStyle w:val="TableGrid"/>
        <w:tblW w:w="830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387"/>
        <w:gridCol w:w="2916"/>
      </w:tblGrid>
      <w:tr w:rsidR="002211DD" w:rsidRPr="00815BC3" w14:paraId="1C5F65A7" w14:textId="77777777" w:rsidTr="002C2967">
        <w:trPr>
          <w:trHeight w:val="766"/>
        </w:trPr>
        <w:tc>
          <w:tcPr>
            <w:tcW w:w="5387" w:type="dxa"/>
            <w:vMerge w:val="restart"/>
            <w:shd w:val="pct15" w:color="auto" w:fill="auto"/>
            <w:vAlign w:val="center"/>
          </w:tcPr>
          <w:p w14:paraId="49CD6AB2" w14:textId="4A62ED01" w:rsidR="002211DD" w:rsidRPr="00081621" w:rsidRDefault="002211DD" w:rsidP="002C2967">
            <w:pPr>
              <w:jc w:val="center"/>
              <w:rPr>
                <w:b/>
              </w:rPr>
            </w:pPr>
            <w:r w:rsidRPr="006E2640">
              <w:rPr>
                <w:b/>
                <w:sz w:val="26"/>
                <w:szCs w:val="26"/>
              </w:rPr>
              <w:t>Systematic review/</w:t>
            </w:r>
            <w:r w:rsidR="00670966">
              <w:rPr>
                <w:b/>
                <w:sz w:val="26"/>
                <w:szCs w:val="26"/>
              </w:rPr>
              <w:t>m</w:t>
            </w:r>
            <w:r w:rsidRPr="006E2640">
              <w:rPr>
                <w:b/>
                <w:sz w:val="26"/>
                <w:szCs w:val="26"/>
              </w:rPr>
              <w:t>eta-analysis</w:t>
            </w:r>
          </w:p>
        </w:tc>
        <w:tc>
          <w:tcPr>
            <w:tcW w:w="2916" w:type="dxa"/>
            <w:vMerge w:val="restart"/>
            <w:shd w:val="pct15" w:color="auto" w:fill="auto"/>
            <w:vAlign w:val="center"/>
          </w:tcPr>
          <w:p w14:paraId="085412BC" w14:textId="77777777" w:rsidR="002211DD" w:rsidRPr="006E2640" w:rsidRDefault="002211DD" w:rsidP="002C2967">
            <w:pPr>
              <w:jc w:val="center"/>
              <w:rPr>
                <w:b/>
                <w:sz w:val="26"/>
                <w:szCs w:val="26"/>
              </w:rPr>
            </w:pPr>
            <w:r w:rsidRPr="006E2640">
              <w:rPr>
                <w:b/>
                <w:sz w:val="26"/>
                <w:szCs w:val="26"/>
              </w:rPr>
              <w:t>AMSTAR-2 Rating</w:t>
            </w:r>
          </w:p>
        </w:tc>
      </w:tr>
      <w:tr w:rsidR="002211DD" w:rsidRPr="00815BC3" w14:paraId="2F79C151" w14:textId="77777777" w:rsidTr="002C2967">
        <w:trPr>
          <w:trHeight w:val="276"/>
        </w:trPr>
        <w:tc>
          <w:tcPr>
            <w:tcW w:w="5387" w:type="dxa"/>
            <w:vMerge/>
            <w:shd w:val="pct15" w:color="auto" w:fill="auto"/>
          </w:tcPr>
          <w:p w14:paraId="12CB89B8" w14:textId="77777777" w:rsidR="002211DD" w:rsidRPr="00815BC3" w:rsidRDefault="002211DD" w:rsidP="002C2967"/>
        </w:tc>
        <w:tc>
          <w:tcPr>
            <w:tcW w:w="2916" w:type="dxa"/>
            <w:vMerge/>
            <w:shd w:val="pct15" w:color="auto" w:fill="auto"/>
          </w:tcPr>
          <w:p w14:paraId="256F075A" w14:textId="77777777" w:rsidR="002211DD" w:rsidRPr="00815BC3" w:rsidRDefault="002211DD" w:rsidP="002C2967"/>
        </w:tc>
      </w:tr>
      <w:tr w:rsidR="002211DD" w:rsidRPr="00815BC3" w14:paraId="4FF9E974" w14:textId="77777777" w:rsidTr="002C2967">
        <w:trPr>
          <w:trHeight w:val="619"/>
        </w:trPr>
        <w:tc>
          <w:tcPr>
            <w:tcW w:w="8303" w:type="dxa"/>
            <w:gridSpan w:val="2"/>
            <w:shd w:val="pct5" w:color="auto" w:fill="auto"/>
            <w:vAlign w:val="center"/>
          </w:tcPr>
          <w:p w14:paraId="6CFA0E0D" w14:textId="502B0C8A" w:rsidR="002211DD" w:rsidRPr="006E2640" w:rsidRDefault="002211DD" w:rsidP="002C2967">
            <w:pPr>
              <w:pStyle w:val="NormalWeb"/>
              <w:spacing w:before="0" w:beforeAutospacing="0" w:after="0" w:afterAutospacing="0"/>
              <w:rPr>
                <w:b/>
                <w:bCs/>
              </w:rPr>
            </w:pPr>
            <w:r w:rsidRPr="006E2640">
              <w:rPr>
                <w:b/>
                <w:bCs/>
              </w:rPr>
              <w:t>ATTENTION DEFICIT HYPERACTIVITY DISORDER</w:t>
            </w:r>
            <w:r>
              <w:rPr>
                <w:b/>
                <w:bCs/>
              </w:rPr>
              <w:t xml:space="preserve"> </w:t>
            </w:r>
          </w:p>
        </w:tc>
      </w:tr>
      <w:tr w:rsidR="002211DD" w:rsidRPr="00815BC3" w14:paraId="397264F5" w14:textId="77777777" w:rsidTr="002C2967">
        <w:trPr>
          <w:trHeight w:val="252"/>
        </w:trPr>
        <w:tc>
          <w:tcPr>
            <w:tcW w:w="5387" w:type="dxa"/>
          </w:tcPr>
          <w:p w14:paraId="417DF429" w14:textId="717B559C" w:rsidR="002211DD" w:rsidRPr="00815BC3" w:rsidRDefault="002211DD" w:rsidP="002C2967">
            <w:pPr>
              <w:ind w:firstLine="454"/>
            </w:pPr>
            <w:r>
              <w:t>Cortese et al (2018)</w:t>
            </w:r>
            <w:r w:rsidR="00857FD3" w:rsidRPr="009C48FB">
              <w:rPr>
                <w:vertAlign w:val="superscript"/>
              </w:rPr>
              <w:fldChar w:fldCharType="begin"/>
            </w:r>
            <w:r w:rsidR="00857FD3" w:rsidRPr="009C48FB">
              <w:rPr>
                <w:vertAlign w:val="superscript"/>
              </w:rPr>
              <w:instrText xml:space="preserve"> NOTEREF _Ref45746604 \h </w:instrText>
            </w:r>
            <w:r w:rsidR="00857FD3">
              <w:rPr>
                <w:vertAlign w:val="superscript"/>
              </w:rPr>
              <w:instrText xml:space="preserve"> \* MERGEFORMAT </w:instrText>
            </w:r>
            <w:r w:rsidR="00857FD3" w:rsidRPr="009C48FB">
              <w:rPr>
                <w:vertAlign w:val="superscript"/>
              </w:rPr>
            </w:r>
            <w:r w:rsidR="00857FD3" w:rsidRPr="009C48FB">
              <w:rPr>
                <w:vertAlign w:val="superscript"/>
              </w:rPr>
              <w:fldChar w:fldCharType="separate"/>
            </w:r>
            <w:r w:rsidR="00202932">
              <w:rPr>
                <w:vertAlign w:val="superscript"/>
              </w:rPr>
              <w:t>10</w:t>
            </w:r>
            <w:r w:rsidR="00857FD3" w:rsidRPr="009C48FB">
              <w:rPr>
                <w:vertAlign w:val="superscript"/>
              </w:rPr>
              <w:fldChar w:fldCharType="end"/>
            </w:r>
          </w:p>
        </w:tc>
        <w:tc>
          <w:tcPr>
            <w:tcW w:w="2916" w:type="dxa"/>
            <w:shd w:val="clear" w:color="auto" w:fill="auto"/>
          </w:tcPr>
          <w:p w14:paraId="180CADC0" w14:textId="77777777" w:rsidR="002211DD" w:rsidRPr="00815BC3" w:rsidRDefault="002211DD" w:rsidP="002C2967">
            <w:r>
              <w:t>High</w:t>
            </w:r>
          </w:p>
        </w:tc>
      </w:tr>
      <w:tr w:rsidR="002211DD" w:rsidRPr="00815BC3" w14:paraId="7BFA797F" w14:textId="77777777" w:rsidTr="002C2967">
        <w:trPr>
          <w:trHeight w:val="336"/>
        </w:trPr>
        <w:tc>
          <w:tcPr>
            <w:tcW w:w="5387" w:type="dxa"/>
            <w:shd w:val="clear" w:color="auto" w:fill="auto"/>
          </w:tcPr>
          <w:p w14:paraId="7497EC68" w14:textId="6EC370FC" w:rsidR="002211DD" w:rsidRPr="00815BC3" w:rsidRDefault="002211DD" w:rsidP="002C2967">
            <w:pPr>
              <w:ind w:firstLine="454"/>
            </w:pPr>
            <w:r>
              <w:t>Otasowie et al (2014)</w:t>
            </w:r>
            <w:r w:rsidR="00857FD3" w:rsidRPr="009C48FB">
              <w:rPr>
                <w:vertAlign w:val="superscript"/>
              </w:rPr>
              <w:fldChar w:fldCharType="begin"/>
            </w:r>
            <w:r w:rsidR="00857FD3" w:rsidRPr="009C48FB">
              <w:rPr>
                <w:vertAlign w:val="superscript"/>
              </w:rPr>
              <w:instrText xml:space="preserve"> NOTEREF _Ref45746688 \h </w:instrText>
            </w:r>
            <w:r w:rsidR="00857FD3">
              <w:rPr>
                <w:vertAlign w:val="superscript"/>
              </w:rPr>
              <w:instrText xml:space="preserve"> \* MERGEFORMAT </w:instrText>
            </w:r>
            <w:r w:rsidR="00857FD3" w:rsidRPr="009C48FB">
              <w:rPr>
                <w:vertAlign w:val="superscript"/>
              </w:rPr>
            </w:r>
            <w:r w:rsidR="00857FD3" w:rsidRPr="009C48FB">
              <w:rPr>
                <w:vertAlign w:val="superscript"/>
              </w:rPr>
              <w:fldChar w:fldCharType="separate"/>
            </w:r>
            <w:r w:rsidR="00202932">
              <w:rPr>
                <w:vertAlign w:val="superscript"/>
              </w:rPr>
              <w:t>9</w:t>
            </w:r>
            <w:r w:rsidR="00857FD3" w:rsidRPr="009C48FB">
              <w:rPr>
                <w:vertAlign w:val="superscript"/>
              </w:rPr>
              <w:fldChar w:fldCharType="end"/>
            </w:r>
          </w:p>
        </w:tc>
        <w:tc>
          <w:tcPr>
            <w:tcW w:w="2916" w:type="dxa"/>
            <w:shd w:val="clear" w:color="auto" w:fill="auto"/>
          </w:tcPr>
          <w:p w14:paraId="03555715" w14:textId="77777777" w:rsidR="002211DD" w:rsidRPr="00815BC3" w:rsidRDefault="002211DD" w:rsidP="002C2967">
            <w:r w:rsidRPr="00815BC3">
              <w:t>Moderate</w:t>
            </w:r>
          </w:p>
        </w:tc>
      </w:tr>
      <w:tr w:rsidR="002211DD" w:rsidRPr="00815BC3" w14:paraId="40248447" w14:textId="77777777" w:rsidTr="002C2967">
        <w:trPr>
          <w:trHeight w:val="619"/>
        </w:trPr>
        <w:tc>
          <w:tcPr>
            <w:tcW w:w="8303" w:type="dxa"/>
            <w:gridSpan w:val="2"/>
            <w:shd w:val="pct5" w:color="auto" w:fill="auto"/>
            <w:vAlign w:val="center"/>
          </w:tcPr>
          <w:p w14:paraId="5313F82C" w14:textId="1E8CE76C" w:rsidR="002211DD" w:rsidRPr="006E2640" w:rsidRDefault="002211DD" w:rsidP="002C2967">
            <w:pPr>
              <w:rPr>
                <w:b/>
                <w:bCs/>
              </w:rPr>
            </w:pPr>
            <w:r w:rsidRPr="006E2640">
              <w:rPr>
                <w:b/>
                <w:bCs/>
              </w:rPr>
              <w:t xml:space="preserve">ANXIETY DISORDERS </w:t>
            </w:r>
          </w:p>
        </w:tc>
      </w:tr>
      <w:tr w:rsidR="002211DD" w:rsidRPr="00815BC3" w14:paraId="2B6A95B8" w14:textId="77777777" w:rsidTr="002C2967">
        <w:trPr>
          <w:trHeight w:val="329"/>
        </w:trPr>
        <w:tc>
          <w:tcPr>
            <w:tcW w:w="5387" w:type="dxa"/>
            <w:shd w:val="clear" w:color="auto" w:fill="auto"/>
          </w:tcPr>
          <w:p w14:paraId="53F37EE5" w14:textId="57087A90" w:rsidR="002211DD" w:rsidRPr="00815BC3" w:rsidRDefault="002211DD" w:rsidP="002C2967">
            <w:pPr>
              <w:ind w:firstLine="454"/>
            </w:pPr>
            <w:r>
              <w:t>Dobson et al (2019)</w:t>
            </w:r>
            <w:r w:rsidR="00857FD3" w:rsidRPr="009C48FB">
              <w:rPr>
                <w:vertAlign w:val="superscript"/>
              </w:rPr>
              <w:fldChar w:fldCharType="begin"/>
            </w:r>
            <w:r w:rsidR="00857FD3" w:rsidRPr="009C48FB">
              <w:rPr>
                <w:vertAlign w:val="superscript"/>
              </w:rPr>
              <w:instrText xml:space="preserve"> NOTEREF _Ref45746788 \h </w:instrText>
            </w:r>
            <w:r w:rsidR="00857FD3">
              <w:rPr>
                <w:vertAlign w:val="superscript"/>
              </w:rPr>
              <w:instrText xml:space="preserve"> \* MERGEFORMAT </w:instrText>
            </w:r>
            <w:r w:rsidR="00857FD3" w:rsidRPr="009C48FB">
              <w:rPr>
                <w:vertAlign w:val="superscript"/>
              </w:rPr>
            </w:r>
            <w:r w:rsidR="00857FD3" w:rsidRPr="009C48FB">
              <w:rPr>
                <w:vertAlign w:val="superscript"/>
              </w:rPr>
              <w:fldChar w:fldCharType="separate"/>
            </w:r>
            <w:r w:rsidR="00202932">
              <w:rPr>
                <w:vertAlign w:val="superscript"/>
              </w:rPr>
              <w:t>11</w:t>
            </w:r>
            <w:r w:rsidR="00857FD3" w:rsidRPr="009C48FB">
              <w:rPr>
                <w:vertAlign w:val="superscript"/>
              </w:rPr>
              <w:fldChar w:fldCharType="end"/>
            </w:r>
          </w:p>
        </w:tc>
        <w:tc>
          <w:tcPr>
            <w:tcW w:w="2916" w:type="dxa"/>
            <w:shd w:val="clear" w:color="auto" w:fill="auto"/>
          </w:tcPr>
          <w:p w14:paraId="3F57EEA2" w14:textId="77777777" w:rsidR="002211DD" w:rsidRPr="00815BC3" w:rsidRDefault="002211DD" w:rsidP="002C2967">
            <w:r w:rsidRPr="00815BC3">
              <w:t>Critically Low</w:t>
            </w:r>
          </w:p>
        </w:tc>
      </w:tr>
      <w:tr w:rsidR="002211DD" w:rsidRPr="00815BC3" w14:paraId="67412A44" w14:textId="77777777" w:rsidTr="002C2967">
        <w:trPr>
          <w:trHeight w:val="619"/>
        </w:trPr>
        <w:tc>
          <w:tcPr>
            <w:tcW w:w="8303" w:type="dxa"/>
            <w:gridSpan w:val="2"/>
            <w:shd w:val="pct5" w:color="auto" w:fill="auto"/>
            <w:vAlign w:val="center"/>
          </w:tcPr>
          <w:p w14:paraId="32FE77A8" w14:textId="1E96D32F" w:rsidR="002211DD" w:rsidRPr="006E2640" w:rsidRDefault="002211DD" w:rsidP="002C2967">
            <w:pPr>
              <w:pStyle w:val="NormalWeb"/>
              <w:spacing w:before="0" w:beforeAutospacing="0" w:after="0" w:afterAutospacing="0"/>
              <w:rPr>
                <w:b/>
                <w:bCs/>
              </w:rPr>
            </w:pPr>
            <w:r w:rsidRPr="006E2640">
              <w:rPr>
                <w:b/>
                <w:bCs/>
              </w:rPr>
              <w:t>AUTISM SPECTRUM DISORDER</w:t>
            </w:r>
            <w:r>
              <w:rPr>
                <w:b/>
                <w:bCs/>
              </w:rPr>
              <w:t xml:space="preserve"> </w:t>
            </w:r>
          </w:p>
        </w:tc>
      </w:tr>
      <w:tr w:rsidR="002211DD" w:rsidRPr="00815BC3" w14:paraId="05D00D17" w14:textId="77777777" w:rsidTr="002C2967">
        <w:trPr>
          <w:trHeight w:val="336"/>
        </w:trPr>
        <w:tc>
          <w:tcPr>
            <w:tcW w:w="5387" w:type="dxa"/>
            <w:shd w:val="clear" w:color="auto" w:fill="auto"/>
          </w:tcPr>
          <w:p w14:paraId="49FF626C" w14:textId="63288096" w:rsidR="002211DD" w:rsidRPr="00815BC3" w:rsidRDefault="002211DD" w:rsidP="002C2967">
            <w:pPr>
              <w:ind w:firstLine="454"/>
            </w:pPr>
            <w:r>
              <w:t>Hurtwitz et al (2018)</w:t>
            </w:r>
            <w:r w:rsidR="00B70DDE" w:rsidRPr="00B70DDE">
              <w:rPr>
                <w:vertAlign w:val="superscript"/>
              </w:rPr>
              <w:fldChar w:fldCharType="begin"/>
            </w:r>
            <w:r w:rsidR="00B70DDE" w:rsidRPr="009C48FB">
              <w:rPr>
                <w:vertAlign w:val="superscript"/>
              </w:rPr>
              <w:instrText xml:space="preserve"> NOTEREF _Ref45967278 \h  \* MERGEFORMAT </w:instrText>
            </w:r>
            <w:r w:rsidR="00B70DDE" w:rsidRPr="00B70DDE">
              <w:rPr>
                <w:vertAlign w:val="superscript"/>
              </w:rPr>
            </w:r>
            <w:r w:rsidR="00B70DDE" w:rsidRPr="00B70DDE">
              <w:rPr>
                <w:vertAlign w:val="superscript"/>
              </w:rPr>
              <w:fldChar w:fldCharType="separate"/>
            </w:r>
            <w:r w:rsidR="00B70DDE" w:rsidRPr="009C48FB">
              <w:rPr>
                <w:vertAlign w:val="superscript"/>
              </w:rPr>
              <w:t>13</w:t>
            </w:r>
            <w:r w:rsidR="00B70DDE" w:rsidRPr="00B70DDE">
              <w:rPr>
                <w:vertAlign w:val="superscript"/>
              </w:rPr>
              <w:fldChar w:fldCharType="end"/>
            </w:r>
          </w:p>
        </w:tc>
        <w:tc>
          <w:tcPr>
            <w:tcW w:w="2916" w:type="dxa"/>
            <w:shd w:val="clear" w:color="auto" w:fill="auto"/>
          </w:tcPr>
          <w:p w14:paraId="656F9C67" w14:textId="77777777" w:rsidR="002211DD" w:rsidRPr="00815BC3" w:rsidRDefault="002211DD" w:rsidP="002C2967">
            <w:r w:rsidRPr="00815BC3">
              <w:t>Moderate</w:t>
            </w:r>
          </w:p>
        </w:tc>
      </w:tr>
      <w:tr w:rsidR="002211DD" w:rsidRPr="00815BC3" w14:paraId="410A365F" w14:textId="77777777" w:rsidTr="002C2967">
        <w:trPr>
          <w:trHeight w:val="313"/>
        </w:trPr>
        <w:tc>
          <w:tcPr>
            <w:tcW w:w="5387" w:type="dxa"/>
            <w:shd w:val="clear" w:color="auto" w:fill="auto"/>
          </w:tcPr>
          <w:p w14:paraId="1992CD87" w14:textId="65547034" w:rsidR="002211DD" w:rsidRPr="00815BC3" w:rsidRDefault="002211DD" w:rsidP="002C2967">
            <w:pPr>
              <w:ind w:firstLine="454"/>
            </w:pPr>
            <w:r>
              <w:t>Williams et al (2013)</w:t>
            </w:r>
            <w:r w:rsidR="00B70DDE" w:rsidRPr="009C48FB">
              <w:rPr>
                <w:vertAlign w:val="superscript"/>
              </w:rPr>
              <w:fldChar w:fldCharType="begin"/>
            </w:r>
            <w:r w:rsidR="00B70DDE" w:rsidRPr="009C48FB">
              <w:rPr>
                <w:vertAlign w:val="superscript"/>
              </w:rPr>
              <w:instrText xml:space="preserve"> NOTEREF _Ref45967260 \h </w:instrText>
            </w:r>
            <w:r w:rsidR="00B70DDE">
              <w:rPr>
                <w:vertAlign w:val="superscript"/>
              </w:rPr>
              <w:instrText xml:space="preserve"> \* MERGEFORMAT </w:instrText>
            </w:r>
            <w:r w:rsidR="00B70DDE" w:rsidRPr="009C48FB">
              <w:rPr>
                <w:vertAlign w:val="superscript"/>
              </w:rPr>
            </w:r>
            <w:r w:rsidR="00B70DDE" w:rsidRPr="009C48FB">
              <w:rPr>
                <w:vertAlign w:val="superscript"/>
              </w:rPr>
              <w:fldChar w:fldCharType="separate"/>
            </w:r>
            <w:r w:rsidR="00B70DDE" w:rsidRPr="009C48FB">
              <w:rPr>
                <w:vertAlign w:val="superscript"/>
              </w:rPr>
              <w:t>12</w:t>
            </w:r>
            <w:r w:rsidR="00B70DDE" w:rsidRPr="009C48FB">
              <w:rPr>
                <w:vertAlign w:val="superscript"/>
              </w:rPr>
              <w:fldChar w:fldCharType="end"/>
            </w:r>
            <w:r w:rsidR="00857FD3" w:rsidRPr="009C48FB">
              <w:rPr>
                <w:vertAlign w:val="superscript"/>
              </w:rPr>
              <w:fldChar w:fldCharType="begin"/>
            </w:r>
            <w:r w:rsidR="00857FD3" w:rsidRPr="009C48FB">
              <w:rPr>
                <w:vertAlign w:val="superscript"/>
              </w:rPr>
              <w:instrText xml:space="preserve"> NOTEREF _Ref45746714 \h </w:instrText>
            </w:r>
            <w:r w:rsidR="00857FD3" w:rsidRPr="00B70DDE">
              <w:rPr>
                <w:vertAlign w:val="superscript"/>
              </w:rPr>
              <w:instrText xml:space="preserve"> \* MERGEFORMAT </w:instrText>
            </w:r>
            <w:r w:rsidR="00857FD3" w:rsidRPr="009C48FB">
              <w:rPr>
                <w:vertAlign w:val="superscript"/>
              </w:rPr>
            </w:r>
            <w:r w:rsidR="00857FD3" w:rsidRPr="009C48FB">
              <w:rPr>
                <w:vertAlign w:val="superscript"/>
              </w:rPr>
              <w:fldChar w:fldCharType="end"/>
            </w:r>
            <w:r w:rsidR="00B70DDE" w:rsidRPr="009C48FB">
              <w:rPr>
                <w:vertAlign w:val="superscript"/>
              </w:rPr>
              <w:t xml:space="preserve"> </w:t>
            </w:r>
          </w:p>
        </w:tc>
        <w:tc>
          <w:tcPr>
            <w:tcW w:w="2916" w:type="dxa"/>
            <w:shd w:val="clear" w:color="auto" w:fill="auto"/>
          </w:tcPr>
          <w:p w14:paraId="2FE360ED" w14:textId="77777777" w:rsidR="002211DD" w:rsidRPr="00815BC3" w:rsidRDefault="002211DD" w:rsidP="002C2967">
            <w:r w:rsidRPr="00815BC3">
              <w:t>Moderate</w:t>
            </w:r>
          </w:p>
        </w:tc>
      </w:tr>
      <w:tr w:rsidR="002211DD" w:rsidRPr="00815BC3" w14:paraId="5AE1975A" w14:textId="77777777" w:rsidTr="002C2967">
        <w:trPr>
          <w:trHeight w:val="613"/>
        </w:trPr>
        <w:tc>
          <w:tcPr>
            <w:tcW w:w="8303" w:type="dxa"/>
            <w:gridSpan w:val="2"/>
            <w:shd w:val="pct5" w:color="auto" w:fill="auto"/>
            <w:vAlign w:val="center"/>
          </w:tcPr>
          <w:p w14:paraId="3FD49EEC" w14:textId="77777777" w:rsidR="002211DD" w:rsidRPr="006E2640" w:rsidRDefault="002211DD" w:rsidP="002C2967">
            <w:pPr>
              <w:rPr>
                <w:b/>
                <w:bCs/>
              </w:rPr>
            </w:pPr>
            <w:r w:rsidRPr="006E2640">
              <w:rPr>
                <w:b/>
                <w:bCs/>
              </w:rPr>
              <w:t>ENURESIS</w:t>
            </w:r>
          </w:p>
        </w:tc>
      </w:tr>
      <w:tr w:rsidR="002211DD" w:rsidRPr="00815BC3" w14:paraId="121B26A5" w14:textId="77777777" w:rsidTr="002C2967">
        <w:trPr>
          <w:trHeight w:val="352"/>
        </w:trPr>
        <w:tc>
          <w:tcPr>
            <w:tcW w:w="5387" w:type="dxa"/>
            <w:shd w:val="clear" w:color="auto" w:fill="auto"/>
          </w:tcPr>
          <w:p w14:paraId="1B784CD0" w14:textId="59522FC3" w:rsidR="002211DD" w:rsidRPr="00815BC3" w:rsidRDefault="002211DD" w:rsidP="002C2967">
            <w:pPr>
              <w:ind w:firstLine="454"/>
            </w:pPr>
            <w:r>
              <w:t>Sureshkumar et al (2003)</w:t>
            </w:r>
            <w:r w:rsidR="00857FD3" w:rsidRPr="009C48FB">
              <w:rPr>
                <w:vertAlign w:val="superscript"/>
              </w:rPr>
              <w:fldChar w:fldCharType="begin"/>
            </w:r>
            <w:r w:rsidR="00857FD3" w:rsidRPr="009C48FB">
              <w:rPr>
                <w:vertAlign w:val="superscript"/>
              </w:rPr>
              <w:instrText xml:space="preserve"> NOTEREF _Ref45747376 \h </w:instrText>
            </w:r>
            <w:r w:rsidR="00857FD3">
              <w:rPr>
                <w:vertAlign w:val="superscript"/>
              </w:rPr>
              <w:instrText xml:space="preserve"> \* MERGEFORMAT </w:instrText>
            </w:r>
            <w:r w:rsidR="00857FD3" w:rsidRPr="009C48FB">
              <w:rPr>
                <w:vertAlign w:val="superscript"/>
              </w:rPr>
            </w:r>
            <w:r w:rsidR="00857FD3" w:rsidRPr="009C48FB">
              <w:rPr>
                <w:vertAlign w:val="superscript"/>
              </w:rPr>
              <w:fldChar w:fldCharType="separate"/>
            </w:r>
            <w:r w:rsidR="00202932">
              <w:rPr>
                <w:vertAlign w:val="superscript"/>
              </w:rPr>
              <w:t>14</w:t>
            </w:r>
            <w:r w:rsidR="00857FD3" w:rsidRPr="009C48FB">
              <w:rPr>
                <w:vertAlign w:val="superscript"/>
              </w:rPr>
              <w:fldChar w:fldCharType="end"/>
            </w:r>
          </w:p>
        </w:tc>
        <w:tc>
          <w:tcPr>
            <w:tcW w:w="2916" w:type="dxa"/>
            <w:shd w:val="clear" w:color="auto" w:fill="auto"/>
          </w:tcPr>
          <w:p w14:paraId="7127775D" w14:textId="77777777" w:rsidR="002211DD" w:rsidRPr="00815BC3" w:rsidRDefault="002211DD" w:rsidP="002C2967">
            <w:r w:rsidRPr="00815BC3">
              <w:t>Critically Low</w:t>
            </w:r>
          </w:p>
        </w:tc>
      </w:tr>
      <w:tr w:rsidR="002211DD" w:rsidRPr="00815BC3" w14:paraId="23B7F8BC" w14:textId="77777777" w:rsidTr="002C2967">
        <w:trPr>
          <w:trHeight w:val="619"/>
        </w:trPr>
        <w:tc>
          <w:tcPr>
            <w:tcW w:w="8303" w:type="dxa"/>
            <w:gridSpan w:val="2"/>
            <w:shd w:val="pct5" w:color="auto" w:fill="auto"/>
            <w:vAlign w:val="center"/>
          </w:tcPr>
          <w:p w14:paraId="36A64529" w14:textId="459A4EF5" w:rsidR="002211DD" w:rsidRPr="006E2640" w:rsidRDefault="002211DD" w:rsidP="002C2967">
            <w:pPr>
              <w:rPr>
                <w:b/>
                <w:bCs/>
              </w:rPr>
            </w:pPr>
            <w:r>
              <w:rPr>
                <w:b/>
                <w:bCs/>
              </w:rPr>
              <w:t xml:space="preserve">MAJOR </w:t>
            </w:r>
            <w:r w:rsidRPr="006E2640">
              <w:rPr>
                <w:b/>
                <w:bCs/>
              </w:rPr>
              <w:t xml:space="preserve">DEPRESSIVE DISORDERS </w:t>
            </w:r>
          </w:p>
        </w:tc>
      </w:tr>
      <w:tr w:rsidR="002211DD" w:rsidRPr="00815BC3" w14:paraId="28803C06" w14:textId="77777777" w:rsidTr="002C2967">
        <w:trPr>
          <w:trHeight w:val="322"/>
        </w:trPr>
        <w:tc>
          <w:tcPr>
            <w:tcW w:w="5387" w:type="dxa"/>
            <w:shd w:val="clear" w:color="auto" w:fill="auto"/>
          </w:tcPr>
          <w:p w14:paraId="63CDF8AB" w14:textId="17D0F053" w:rsidR="002211DD" w:rsidRPr="00815BC3" w:rsidRDefault="002211DD" w:rsidP="002C2967">
            <w:pPr>
              <w:ind w:firstLine="454"/>
            </w:pPr>
            <w:r w:rsidRPr="00815BC3">
              <w:t xml:space="preserve">Cipriani </w:t>
            </w:r>
            <w:r>
              <w:t xml:space="preserve">et al </w:t>
            </w:r>
            <w:r w:rsidRPr="00815BC3">
              <w:t>(2016)</w:t>
            </w:r>
            <w:r w:rsidR="00857FD3" w:rsidRPr="009C48FB">
              <w:rPr>
                <w:vertAlign w:val="superscript"/>
              </w:rPr>
              <w:fldChar w:fldCharType="begin"/>
            </w:r>
            <w:r w:rsidR="00857FD3" w:rsidRPr="009C48FB">
              <w:rPr>
                <w:vertAlign w:val="superscript"/>
              </w:rPr>
              <w:instrText xml:space="preserve"> NOTEREF _Ref45745003 \h </w:instrText>
            </w:r>
            <w:r w:rsidR="00857FD3">
              <w:rPr>
                <w:vertAlign w:val="superscript"/>
              </w:rPr>
              <w:instrText xml:space="preserve"> \* MERGEFORMAT </w:instrText>
            </w:r>
            <w:r w:rsidR="00857FD3" w:rsidRPr="009C48FB">
              <w:rPr>
                <w:vertAlign w:val="superscript"/>
              </w:rPr>
            </w:r>
            <w:r w:rsidR="00857FD3" w:rsidRPr="009C48FB">
              <w:rPr>
                <w:vertAlign w:val="superscript"/>
              </w:rPr>
              <w:fldChar w:fldCharType="separate"/>
            </w:r>
            <w:r w:rsidR="00202932">
              <w:rPr>
                <w:vertAlign w:val="superscript"/>
              </w:rPr>
              <w:t>6</w:t>
            </w:r>
            <w:r w:rsidR="00857FD3" w:rsidRPr="009C48FB">
              <w:rPr>
                <w:vertAlign w:val="superscript"/>
              </w:rPr>
              <w:fldChar w:fldCharType="end"/>
            </w:r>
          </w:p>
        </w:tc>
        <w:tc>
          <w:tcPr>
            <w:tcW w:w="2916" w:type="dxa"/>
            <w:shd w:val="clear" w:color="auto" w:fill="auto"/>
          </w:tcPr>
          <w:p w14:paraId="6FC9B70C" w14:textId="77777777" w:rsidR="002211DD" w:rsidRPr="00815BC3" w:rsidRDefault="002211DD" w:rsidP="002C2967">
            <w:r w:rsidRPr="00815BC3">
              <w:t>Moderate</w:t>
            </w:r>
          </w:p>
        </w:tc>
      </w:tr>
      <w:tr w:rsidR="002211DD" w:rsidRPr="00815BC3" w14:paraId="357939A5" w14:textId="77777777" w:rsidTr="002C2967">
        <w:trPr>
          <w:trHeight w:val="619"/>
        </w:trPr>
        <w:tc>
          <w:tcPr>
            <w:tcW w:w="8303" w:type="dxa"/>
            <w:gridSpan w:val="2"/>
            <w:shd w:val="pct5" w:color="auto" w:fill="auto"/>
            <w:vAlign w:val="center"/>
          </w:tcPr>
          <w:p w14:paraId="5A8B84F9" w14:textId="62D51054" w:rsidR="002211DD" w:rsidRPr="006E2640" w:rsidRDefault="002211DD" w:rsidP="002C2967">
            <w:pPr>
              <w:rPr>
                <w:b/>
                <w:bCs/>
              </w:rPr>
            </w:pPr>
            <w:r w:rsidRPr="006E2640">
              <w:rPr>
                <w:b/>
                <w:bCs/>
              </w:rPr>
              <w:t>OBSESSIVE COMPU</w:t>
            </w:r>
            <w:r w:rsidR="0033050D">
              <w:rPr>
                <w:b/>
                <w:bCs/>
              </w:rPr>
              <w:t>L</w:t>
            </w:r>
            <w:r w:rsidRPr="006E2640">
              <w:rPr>
                <w:b/>
                <w:bCs/>
              </w:rPr>
              <w:t xml:space="preserve">SIVE DISORDER </w:t>
            </w:r>
          </w:p>
        </w:tc>
      </w:tr>
      <w:tr w:rsidR="002211DD" w:rsidRPr="00815BC3" w14:paraId="3DA88D18" w14:textId="77777777" w:rsidTr="002C2967">
        <w:trPr>
          <w:trHeight w:val="322"/>
        </w:trPr>
        <w:tc>
          <w:tcPr>
            <w:tcW w:w="5387" w:type="dxa"/>
            <w:shd w:val="clear" w:color="auto" w:fill="auto"/>
          </w:tcPr>
          <w:p w14:paraId="06A54C15" w14:textId="34D460B8" w:rsidR="002211DD" w:rsidRPr="00815BC3" w:rsidRDefault="002211DD" w:rsidP="002C2967">
            <w:pPr>
              <w:ind w:firstLine="454"/>
            </w:pPr>
            <w:r>
              <w:t>Ipser et al (2009)</w:t>
            </w:r>
            <w:r w:rsidR="00857FD3" w:rsidRPr="009C48FB">
              <w:rPr>
                <w:vertAlign w:val="superscript"/>
              </w:rPr>
              <w:fldChar w:fldCharType="begin"/>
            </w:r>
            <w:r w:rsidR="00857FD3" w:rsidRPr="009C48FB">
              <w:rPr>
                <w:vertAlign w:val="superscript"/>
              </w:rPr>
              <w:instrText xml:space="preserve"> NOTEREF _Ref45746666 \h </w:instrText>
            </w:r>
            <w:r w:rsidR="00857FD3">
              <w:rPr>
                <w:vertAlign w:val="superscript"/>
              </w:rPr>
              <w:instrText xml:space="preserve"> \* MERGEFORMAT </w:instrText>
            </w:r>
            <w:r w:rsidR="00857FD3" w:rsidRPr="009C48FB">
              <w:rPr>
                <w:vertAlign w:val="superscript"/>
              </w:rPr>
            </w:r>
            <w:r w:rsidR="00857FD3" w:rsidRPr="009C48FB">
              <w:rPr>
                <w:vertAlign w:val="superscript"/>
              </w:rPr>
              <w:fldChar w:fldCharType="separate"/>
            </w:r>
            <w:r w:rsidR="00202932">
              <w:rPr>
                <w:vertAlign w:val="superscript"/>
              </w:rPr>
              <w:t>15</w:t>
            </w:r>
            <w:r w:rsidR="00857FD3" w:rsidRPr="009C48FB">
              <w:rPr>
                <w:vertAlign w:val="superscript"/>
              </w:rPr>
              <w:fldChar w:fldCharType="end"/>
            </w:r>
          </w:p>
        </w:tc>
        <w:tc>
          <w:tcPr>
            <w:tcW w:w="2916" w:type="dxa"/>
            <w:shd w:val="clear" w:color="auto" w:fill="auto"/>
          </w:tcPr>
          <w:p w14:paraId="0E646CA4" w14:textId="77777777" w:rsidR="002211DD" w:rsidRPr="00815BC3" w:rsidRDefault="002211DD" w:rsidP="002C2967">
            <w:r w:rsidRPr="00815BC3">
              <w:t>Moderate</w:t>
            </w:r>
          </w:p>
        </w:tc>
      </w:tr>
      <w:tr w:rsidR="002211DD" w:rsidRPr="00815BC3" w14:paraId="6E323636" w14:textId="77777777" w:rsidTr="002C2967">
        <w:trPr>
          <w:trHeight w:val="619"/>
        </w:trPr>
        <w:tc>
          <w:tcPr>
            <w:tcW w:w="8303" w:type="dxa"/>
            <w:gridSpan w:val="2"/>
            <w:shd w:val="pct5" w:color="auto" w:fill="auto"/>
            <w:vAlign w:val="center"/>
          </w:tcPr>
          <w:p w14:paraId="0639B06F" w14:textId="1AE722AB" w:rsidR="002211DD" w:rsidRPr="006E2640" w:rsidRDefault="002211DD" w:rsidP="002C2967">
            <w:pPr>
              <w:pStyle w:val="NormalWeb"/>
              <w:spacing w:before="0" w:beforeAutospacing="0" w:after="0" w:afterAutospacing="0"/>
              <w:rPr>
                <w:b/>
                <w:bCs/>
              </w:rPr>
            </w:pPr>
            <w:r w:rsidRPr="006E2640">
              <w:rPr>
                <w:b/>
                <w:bCs/>
              </w:rPr>
              <w:t>POST-TRAUMATIC STRESS DISORDER</w:t>
            </w:r>
            <w:r>
              <w:rPr>
                <w:b/>
                <w:bCs/>
              </w:rPr>
              <w:t xml:space="preserve"> </w:t>
            </w:r>
          </w:p>
        </w:tc>
      </w:tr>
      <w:tr w:rsidR="002211DD" w:rsidRPr="00815BC3" w14:paraId="39AC562C" w14:textId="77777777" w:rsidTr="002C2967">
        <w:trPr>
          <w:trHeight w:val="336"/>
        </w:trPr>
        <w:tc>
          <w:tcPr>
            <w:tcW w:w="5387" w:type="dxa"/>
            <w:shd w:val="clear" w:color="auto" w:fill="auto"/>
          </w:tcPr>
          <w:p w14:paraId="1756B60C" w14:textId="5CAEDC11" w:rsidR="002211DD" w:rsidRPr="00815BC3" w:rsidRDefault="002211DD" w:rsidP="002C2967">
            <w:pPr>
              <w:ind w:firstLine="454"/>
            </w:pPr>
            <w:r>
              <w:t>Locher et al (2017)</w:t>
            </w:r>
            <w:r w:rsidR="00857FD3" w:rsidRPr="009C48FB">
              <w:rPr>
                <w:vertAlign w:val="superscript"/>
              </w:rPr>
              <w:fldChar w:fldCharType="begin"/>
            </w:r>
            <w:r w:rsidR="00857FD3" w:rsidRPr="009C48FB">
              <w:rPr>
                <w:vertAlign w:val="superscript"/>
              </w:rPr>
              <w:instrText xml:space="preserve"> NOTEREF _Ref45746736 \h </w:instrText>
            </w:r>
            <w:r w:rsidR="00857FD3">
              <w:rPr>
                <w:vertAlign w:val="superscript"/>
              </w:rPr>
              <w:instrText xml:space="preserve"> \* MERGEFORMAT </w:instrText>
            </w:r>
            <w:r w:rsidR="00857FD3" w:rsidRPr="009C48FB">
              <w:rPr>
                <w:vertAlign w:val="superscript"/>
              </w:rPr>
            </w:r>
            <w:r w:rsidR="00857FD3" w:rsidRPr="009C48FB">
              <w:rPr>
                <w:vertAlign w:val="superscript"/>
              </w:rPr>
              <w:fldChar w:fldCharType="separate"/>
            </w:r>
            <w:r w:rsidR="00202932">
              <w:rPr>
                <w:vertAlign w:val="superscript"/>
              </w:rPr>
              <w:t>16</w:t>
            </w:r>
            <w:r w:rsidR="00857FD3" w:rsidRPr="009C48FB">
              <w:rPr>
                <w:vertAlign w:val="superscript"/>
              </w:rPr>
              <w:fldChar w:fldCharType="end"/>
            </w:r>
          </w:p>
        </w:tc>
        <w:tc>
          <w:tcPr>
            <w:tcW w:w="2916" w:type="dxa"/>
            <w:shd w:val="clear" w:color="auto" w:fill="auto"/>
          </w:tcPr>
          <w:p w14:paraId="7492AAB8" w14:textId="77777777" w:rsidR="002211DD" w:rsidRPr="00815BC3" w:rsidRDefault="002211DD" w:rsidP="002C2967">
            <w:r w:rsidRPr="00815BC3">
              <w:t>Low</w:t>
            </w:r>
          </w:p>
        </w:tc>
      </w:tr>
    </w:tbl>
    <w:p w14:paraId="1A15CEBF" w14:textId="56A4B01B" w:rsidR="00393589" w:rsidRDefault="00393589" w:rsidP="002211DD">
      <w:pPr>
        <w:spacing w:line="480" w:lineRule="auto"/>
      </w:pPr>
    </w:p>
    <w:p w14:paraId="65C72709" w14:textId="65E7B872" w:rsidR="0088513A" w:rsidRDefault="0088513A" w:rsidP="00253C87">
      <w:pPr>
        <w:spacing w:line="480" w:lineRule="auto"/>
      </w:pPr>
    </w:p>
    <w:p w14:paraId="059BD5A5" w14:textId="30C75638" w:rsidR="001B6D74" w:rsidRDefault="001B6D74" w:rsidP="00253C87">
      <w:pPr>
        <w:spacing w:line="480" w:lineRule="auto"/>
      </w:pPr>
    </w:p>
    <w:p w14:paraId="6A436B66" w14:textId="4A7FE579" w:rsidR="001B6D74" w:rsidRDefault="001B6D74" w:rsidP="00253C87">
      <w:pPr>
        <w:spacing w:line="480" w:lineRule="auto"/>
      </w:pPr>
    </w:p>
    <w:p w14:paraId="2793363D" w14:textId="767F2C13" w:rsidR="001B6D74" w:rsidRDefault="001B6D74" w:rsidP="00253C87">
      <w:pPr>
        <w:spacing w:line="480" w:lineRule="auto"/>
      </w:pPr>
    </w:p>
    <w:p w14:paraId="07CABBA2" w14:textId="1ACD0E2F" w:rsidR="001B6D74" w:rsidRDefault="001B6D74" w:rsidP="00253C87">
      <w:pPr>
        <w:spacing w:line="480" w:lineRule="auto"/>
      </w:pPr>
    </w:p>
    <w:p w14:paraId="47A5D646" w14:textId="3FFF4A63" w:rsidR="001B6D74" w:rsidRDefault="001B6D74" w:rsidP="00253C87">
      <w:pPr>
        <w:spacing w:line="480" w:lineRule="auto"/>
      </w:pPr>
    </w:p>
    <w:p w14:paraId="3FD59DA5" w14:textId="1E10208D" w:rsidR="001B6D74" w:rsidRPr="009D385D" w:rsidRDefault="001B6D74" w:rsidP="009C48FB">
      <w:pPr>
        <w:pStyle w:val="Heading1"/>
        <w:numPr>
          <w:ilvl w:val="0"/>
          <w:numId w:val="0"/>
        </w:numPr>
        <w:spacing w:before="0" w:after="0" w:line="480" w:lineRule="auto"/>
        <w:ind w:left="567" w:hanging="567"/>
      </w:pPr>
      <w:r w:rsidRPr="00376CC5">
        <w:lastRenderedPageBreak/>
        <w:t>Reference</w:t>
      </w:r>
      <w:r>
        <w:t>s</w:t>
      </w:r>
    </w:p>
    <w:sectPr w:rsidR="001B6D74" w:rsidRPr="009D385D" w:rsidSect="002211DD">
      <w:pgSz w:w="12240" w:h="15840"/>
      <w:pgMar w:top="1140" w:right="1179" w:bottom="1140" w:left="1281" w:header="284" w:footer="51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7038F" w14:textId="77777777" w:rsidR="007B34FF" w:rsidRDefault="007B34FF" w:rsidP="00117666">
      <w:r>
        <w:separator/>
      </w:r>
    </w:p>
  </w:endnote>
  <w:endnote w:type="continuationSeparator" w:id="0">
    <w:p w14:paraId="4C823BF7" w14:textId="77777777" w:rsidR="007B34FF" w:rsidRDefault="007B34FF" w:rsidP="00117666">
      <w:r>
        <w:continuationSeparator/>
      </w:r>
    </w:p>
  </w:endnote>
  <w:endnote w:id="1">
    <w:p w14:paraId="435DF0BE" w14:textId="68B8FE2C" w:rsidR="004809E3" w:rsidRPr="009C41A6" w:rsidRDefault="004809E3" w:rsidP="009C41A6">
      <w:pPr>
        <w:spacing w:line="480" w:lineRule="auto"/>
      </w:pPr>
      <w:r w:rsidRPr="009C48FB">
        <w:rPr>
          <w:rStyle w:val="EndnoteReference"/>
          <w:vertAlign w:val="baseline"/>
        </w:rPr>
        <w:endnoteRef/>
      </w:r>
      <w:r w:rsidR="00345258" w:rsidRPr="009C41A6">
        <w:t>.</w:t>
      </w:r>
      <w:r w:rsidRPr="009C41A6">
        <w:t xml:space="preserve"> Bachmann CJ, Aagaard L, Burcu M, Glaeske G, Kalverdijk LJ, Petersen I, et al. Trends and patterns of antidepressant use in children and adolescents from five western countries, 2005-2012. Eur Neuropsychopharmacol (2016) 26(3):411-9. doi:10.1016/j.euroneuro.2016.02.001. </w:t>
      </w:r>
    </w:p>
    <w:p w14:paraId="755BBF33" w14:textId="62F2AF5A" w:rsidR="004809E3" w:rsidRPr="009C48FB" w:rsidRDefault="004809E3" w:rsidP="009C48FB">
      <w:pPr>
        <w:pStyle w:val="EndnoteText"/>
        <w:spacing w:line="480" w:lineRule="auto"/>
        <w:rPr>
          <w:sz w:val="24"/>
          <w:szCs w:val="24"/>
        </w:rPr>
      </w:pPr>
    </w:p>
  </w:endnote>
  <w:endnote w:id="2">
    <w:p w14:paraId="3C6C0734" w14:textId="0422F675" w:rsidR="004809E3" w:rsidRPr="009C41A6" w:rsidRDefault="004809E3" w:rsidP="009C41A6">
      <w:pPr>
        <w:spacing w:line="480" w:lineRule="auto"/>
      </w:pPr>
      <w:r w:rsidRPr="009C48FB">
        <w:rPr>
          <w:rStyle w:val="EndnoteReference"/>
          <w:vertAlign w:val="baseline"/>
        </w:rPr>
        <w:endnoteRef/>
      </w:r>
      <w:r w:rsidR="00345258" w:rsidRPr="009C41A6">
        <w:t>.</w:t>
      </w:r>
      <w:r w:rsidRPr="009C41A6">
        <w:t xml:space="preserve"> Meister R, Abbas M, Antel J, Peters T, Pan Y, Bingel U, et al. Placebo response rates and potential modifiers in double-blind randomized controlled trials of second and newer generation antidepressants for major depressive disorder in children and adolescents: a systematic review and meta-regression analysis. Eur Child Adolesc Psychiatry (2018) doi:10.1007/s00787-018-1244-7</w:t>
      </w:r>
    </w:p>
    <w:p w14:paraId="7352D0C3" w14:textId="1C59A95D" w:rsidR="004809E3" w:rsidRPr="009C48FB" w:rsidRDefault="004809E3" w:rsidP="009C48FB">
      <w:pPr>
        <w:pStyle w:val="EndnoteText"/>
        <w:spacing w:line="480" w:lineRule="auto"/>
        <w:rPr>
          <w:sz w:val="24"/>
          <w:szCs w:val="24"/>
        </w:rPr>
      </w:pPr>
    </w:p>
  </w:endnote>
  <w:endnote w:id="3">
    <w:p w14:paraId="61D1C8E0" w14:textId="4C559615" w:rsidR="004809E3" w:rsidRPr="009C41A6" w:rsidRDefault="004809E3" w:rsidP="009C41A6">
      <w:pPr>
        <w:spacing w:line="480" w:lineRule="auto"/>
      </w:pPr>
      <w:r w:rsidRPr="009C48FB">
        <w:rPr>
          <w:rStyle w:val="EndnoteReference"/>
          <w:vertAlign w:val="baseline"/>
        </w:rPr>
        <w:endnoteRef/>
      </w:r>
      <w:r w:rsidR="00345258" w:rsidRPr="009C41A6">
        <w:t xml:space="preserve">. </w:t>
      </w:r>
      <w:r w:rsidRPr="009C41A6">
        <w:t>Friedman R. Antidepressants' Black-Box Warning - 10 Years Later. N Engl J Med (2014) 371:1666-1668. doi:10.1056/NEJMp1408480</w:t>
      </w:r>
    </w:p>
    <w:p w14:paraId="10C00C56" w14:textId="2711E3D7" w:rsidR="004809E3" w:rsidRPr="009C48FB" w:rsidRDefault="004809E3" w:rsidP="009C48FB">
      <w:pPr>
        <w:pStyle w:val="EndnoteText"/>
        <w:spacing w:line="480" w:lineRule="auto"/>
        <w:rPr>
          <w:sz w:val="24"/>
          <w:szCs w:val="24"/>
        </w:rPr>
      </w:pPr>
    </w:p>
  </w:endnote>
  <w:endnote w:id="4">
    <w:p w14:paraId="398F2660" w14:textId="5AB03FA2" w:rsidR="004809E3" w:rsidRPr="009C41A6" w:rsidRDefault="004809E3" w:rsidP="009C41A6">
      <w:pPr>
        <w:spacing w:line="480" w:lineRule="auto"/>
      </w:pPr>
      <w:r w:rsidRPr="009C48FB">
        <w:rPr>
          <w:rStyle w:val="EndnoteReference"/>
          <w:vertAlign w:val="baseline"/>
        </w:rPr>
        <w:endnoteRef/>
      </w:r>
      <w:r w:rsidR="00345258" w:rsidRPr="009C41A6">
        <w:t xml:space="preserve">. </w:t>
      </w:r>
      <w:r w:rsidRPr="009C41A6">
        <w:rPr>
          <w:lang w:val="it-IT"/>
        </w:rPr>
        <w:t xml:space="preserve">Fornaro M, Anastasia A, Valchera A, Carano A, Orsolini, L, Vellante F. et al. </w:t>
      </w:r>
      <w:r w:rsidRPr="009C41A6">
        <w:t>The FDA “Black Box” Warning on Antidepressant Suicide Risk in Young Adults: More Harm Than Benefits? Front. Psychiatry (2019) 10:294. doi:10.3389/fpsyt.2019.00294</w:t>
      </w:r>
    </w:p>
    <w:p w14:paraId="6061CADD" w14:textId="6580ACA3" w:rsidR="004809E3" w:rsidRPr="009C48FB" w:rsidRDefault="004809E3" w:rsidP="009C48FB">
      <w:pPr>
        <w:pStyle w:val="EndnoteText"/>
        <w:spacing w:line="480" w:lineRule="auto"/>
        <w:rPr>
          <w:sz w:val="24"/>
          <w:szCs w:val="24"/>
        </w:rPr>
      </w:pPr>
    </w:p>
  </w:endnote>
  <w:endnote w:id="5">
    <w:p w14:paraId="20F9886D" w14:textId="4F5F426D" w:rsidR="004809E3" w:rsidRPr="009C41A6" w:rsidRDefault="004809E3" w:rsidP="009C41A6">
      <w:pPr>
        <w:spacing w:line="480" w:lineRule="auto"/>
      </w:pPr>
      <w:r w:rsidRPr="009C48FB">
        <w:rPr>
          <w:rStyle w:val="EndnoteReference"/>
          <w:vertAlign w:val="baseline"/>
        </w:rPr>
        <w:endnoteRef/>
      </w:r>
      <w:r w:rsidR="00345258" w:rsidRPr="009C41A6">
        <w:t xml:space="preserve">. </w:t>
      </w:r>
      <w:r w:rsidRPr="009C41A6">
        <w:t xml:space="preserve">Moher D, Liberati A, Tetzlaff J, &amp; Altman D.G. Preferred reporting items for systematic reviews and meta-analyses: the PRISMA statement. </w:t>
      </w:r>
      <w:r w:rsidRPr="009C41A6">
        <w:rPr>
          <w:iCs/>
        </w:rPr>
        <w:t>PLoS Med</w:t>
      </w:r>
      <w:r w:rsidRPr="009C41A6">
        <w:t xml:space="preserve"> (2009) </w:t>
      </w:r>
      <w:r w:rsidRPr="009C41A6">
        <w:rPr>
          <w:iCs/>
        </w:rPr>
        <w:t>6</w:t>
      </w:r>
      <w:r w:rsidRPr="009C41A6">
        <w:t>, e1000097.</w:t>
      </w:r>
      <w:r w:rsidR="00192E65" w:rsidRPr="009C41A6">
        <w:t xml:space="preserve"> doi: </w:t>
      </w:r>
      <w:hyperlink r:id="rId1" w:history="1">
        <w:r w:rsidR="00192E65" w:rsidRPr="009C41A6">
          <w:rPr>
            <w:rStyle w:val="Hyperlink"/>
          </w:rPr>
          <w:t>10.1136/bmj.b2535</w:t>
        </w:r>
      </w:hyperlink>
      <w:r w:rsidR="00192E65" w:rsidRPr="009C41A6">
        <w:t> </w:t>
      </w:r>
    </w:p>
    <w:p w14:paraId="183B48E4" w14:textId="74677D41" w:rsidR="004809E3" w:rsidRPr="009C48FB" w:rsidRDefault="004809E3" w:rsidP="009C48FB">
      <w:pPr>
        <w:pStyle w:val="EndnoteText"/>
        <w:spacing w:line="480" w:lineRule="auto"/>
        <w:rPr>
          <w:sz w:val="24"/>
          <w:szCs w:val="24"/>
        </w:rPr>
      </w:pPr>
    </w:p>
  </w:endnote>
  <w:endnote w:id="6">
    <w:p w14:paraId="0F70879A" w14:textId="307AF9BA" w:rsidR="004809E3" w:rsidRPr="009C41A6" w:rsidRDefault="004809E3" w:rsidP="009C41A6">
      <w:pPr>
        <w:spacing w:line="480" w:lineRule="auto"/>
      </w:pPr>
      <w:r w:rsidRPr="009C48FB">
        <w:rPr>
          <w:rStyle w:val="EndnoteReference"/>
          <w:vertAlign w:val="baseline"/>
        </w:rPr>
        <w:endnoteRef/>
      </w:r>
      <w:r w:rsidR="00345258" w:rsidRPr="009C41A6">
        <w:t xml:space="preserve">. </w:t>
      </w:r>
      <w:r w:rsidRPr="009C41A6">
        <w:rPr>
          <w:lang w:val="it-IT"/>
        </w:rPr>
        <w:t xml:space="preserve">Cipriani A, Zhou X, Del Giovane C, Hetrick S. E, Qin B, Whittington C, et al. </w:t>
      </w:r>
      <w:r w:rsidRPr="009C41A6">
        <w:t xml:space="preserve">Comparative efficacy and tolerability of antidepressants for major depressive disorder in children and adolescents: a network meta-analysis. </w:t>
      </w:r>
      <w:r w:rsidRPr="009C41A6">
        <w:rPr>
          <w:iCs/>
        </w:rPr>
        <w:t xml:space="preserve">Lancet </w:t>
      </w:r>
      <w:r w:rsidRPr="009C41A6">
        <w:t xml:space="preserve">(2016) </w:t>
      </w:r>
      <w:r w:rsidRPr="009C41A6">
        <w:rPr>
          <w:iCs/>
        </w:rPr>
        <w:t>388</w:t>
      </w:r>
      <w:r w:rsidRPr="009C41A6">
        <w:t>(10047):881-890.</w:t>
      </w:r>
      <w:r w:rsidR="00192E65" w:rsidRPr="009C41A6">
        <w:t xml:space="preserve"> doi: </w:t>
      </w:r>
      <w:hyperlink r:id="rId2" w:history="1">
        <w:r w:rsidR="00192E65" w:rsidRPr="009C41A6">
          <w:rPr>
            <w:rStyle w:val="Hyperlink"/>
          </w:rPr>
          <w:t>10.1016/S0140-6736(17)32802-7</w:t>
        </w:r>
      </w:hyperlink>
    </w:p>
    <w:p w14:paraId="779B1955" w14:textId="56C1A0A7" w:rsidR="004809E3" w:rsidRPr="009C48FB" w:rsidRDefault="004809E3" w:rsidP="009C48FB">
      <w:pPr>
        <w:pStyle w:val="EndnoteText"/>
        <w:spacing w:line="480" w:lineRule="auto"/>
        <w:rPr>
          <w:sz w:val="24"/>
          <w:szCs w:val="24"/>
        </w:rPr>
      </w:pPr>
    </w:p>
  </w:endnote>
  <w:endnote w:id="7">
    <w:p w14:paraId="74FFA313" w14:textId="78CB23FE" w:rsidR="004809E3" w:rsidRPr="009C48FB" w:rsidRDefault="004809E3" w:rsidP="009C41A6">
      <w:pPr>
        <w:spacing w:line="480" w:lineRule="auto"/>
      </w:pPr>
      <w:r w:rsidRPr="009C48FB">
        <w:rPr>
          <w:rStyle w:val="EndnoteReference"/>
          <w:vertAlign w:val="baseline"/>
        </w:rPr>
        <w:endnoteRef/>
      </w:r>
      <w:r w:rsidR="00345258" w:rsidRPr="009C41A6">
        <w:t xml:space="preserve">. </w:t>
      </w:r>
      <w:r w:rsidRPr="009C41A6">
        <w:t>Whittington C.J, Kendall T, Fonagy P, Cottrell D, Cotgrove A, Boddington E. Selective serotonin reuptake inhibitors in childhood depression: systematic review of published versus unpublished data. Lancet (2004) 363:1341-5.</w:t>
      </w:r>
      <w:r w:rsidR="00192E65" w:rsidRPr="009C41A6">
        <w:t xml:space="preserve"> doi: </w:t>
      </w:r>
      <w:hyperlink r:id="rId3" w:history="1">
        <w:r w:rsidR="00192E65" w:rsidRPr="009C41A6">
          <w:rPr>
            <w:rStyle w:val="Hyperlink"/>
          </w:rPr>
          <w:t>10.1016/S0140-6736(04)16043-1</w:t>
        </w:r>
      </w:hyperlink>
    </w:p>
    <w:p w14:paraId="2238A3FF" w14:textId="5A14E4EF" w:rsidR="004809E3" w:rsidRPr="009C48FB" w:rsidRDefault="004809E3" w:rsidP="009C48FB">
      <w:pPr>
        <w:pStyle w:val="EndnoteText"/>
        <w:spacing w:line="480" w:lineRule="auto"/>
        <w:rPr>
          <w:sz w:val="24"/>
          <w:szCs w:val="24"/>
        </w:rPr>
      </w:pPr>
    </w:p>
  </w:endnote>
  <w:endnote w:id="8">
    <w:p w14:paraId="1D9F8DA8" w14:textId="7BBB0396" w:rsidR="004809E3" w:rsidRPr="009C41A6" w:rsidRDefault="004809E3" w:rsidP="009C41A6">
      <w:pPr>
        <w:spacing w:line="480" w:lineRule="auto"/>
      </w:pPr>
      <w:r w:rsidRPr="009C48FB">
        <w:rPr>
          <w:rStyle w:val="EndnoteReference"/>
          <w:vertAlign w:val="baseline"/>
        </w:rPr>
        <w:endnoteRef/>
      </w:r>
      <w:r w:rsidR="00345258" w:rsidRPr="009C41A6">
        <w:t xml:space="preserve">. </w:t>
      </w:r>
      <w:r w:rsidRPr="009C41A6">
        <w:t>Shea, B. J, Reeves B.C, Wells G, Thuku M, Hamel C, Moran J, et al. Amstar 2: A critical appraisal tool for systematic reviews that include randomised or non-randomised studies of healthcare interventions, or both. British Medical Journal (2017). 358, j4008. </w:t>
      </w:r>
      <w:hyperlink r:id="rId4" w:tgtFrame="_blank" w:history="1">
        <w:r w:rsidRPr="009C41A6">
          <w:t>doi:10.1136/bmj.j4008</w:t>
        </w:r>
      </w:hyperlink>
      <w:r w:rsidRPr="009C41A6">
        <w:t>.</w:t>
      </w:r>
    </w:p>
    <w:p w14:paraId="782BA12B" w14:textId="049F3521" w:rsidR="004809E3" w:rsidRPr="009C48FB" w:rsidRDefault="004809E3" w:rsidP="009C48FB">
      <w:pPr>
        <w:pStyle w:val="EndnoteText"/>
        <w:spacing w:line="480" w:lineRule="auto"/>
        <w:rPr>
          <w:sz w:val="24"/>
          <w:szCs w:val="24"/>
        </w:rPr>
      </w:pPr>
    </w:p>
  </w:endnote>
  <w:endnote w:id="9">
    <w:p w14:paraId="74C36E63" w14:textId="2C72EB2C" w:rsidR="004809E3" w:rsidRPr="009C41A6" w:rsidRDefault="004809E3" w:rsidP="009C41A6">
      <w:pPr>
        <w:spacing w:line="480" w:lineRule="auto"/>
      </w:pPr>
      <w:r w:rsidRPr="009C48FB">
        <w:rPr>
          <w:rStyle w:val="EndnoteReference"/>
          <w:vertAlign w:val="baseline"/>
        </w:rPr>
        <w:endnoteRef/>
      </w:r>
      <w:r w:rsidR="00345258" w:rsidRPr="009C41A6">
        <w:t xml:space="preserve">. </w:t>
      </w:r>
      <w:r w:rsidRPr="009C41A6">
        <w:t xml:space="preserve">Otasowie J, Castells X, Ehimare U.P, &amp; Smith C.H. Tricyclic antidepressants for attention deficit hyperactivity disorder (ADHD) in children and adolescents. </w:t>
      </w:r>
      <w:r w:rsidRPr="009C41A6">
        <w:rPr>
          <w:iCs/>
        </w:rPr>
        <w:t xml:space="preserve">Cochrane Database Syst Rev </w:t>
      </w:r>
      <w:r w:rsidRPr="009C41A6">
        <w:t>(2014) (9), CD006997.</w:t>
      </w:r>
      <w:r w:rsidR="00192E65" w:rsidRPr="009C41A6">
        <w:t xml:space="preserve"> doi:</w:t>
      </w:r>
      <w:hyperlink r:id="rId5" w:tgtFrame="_blank" w:history="1">
        <w:r w:rsidR="00192E65" w:rsidRPr="009C41A6">
          <w:rPr>
            <w:rStyle w:val="Hyperlink"/>
          </w:rPr>
          <w:t>10.1002/14651858.CD006997.pub2</w:t>
        </w:r>
      </w:hyperlink>
    </w:p>
    <w:p w14:paraId="086EC9A0" w14:textId="77777777" w:rsidR="004809E3" w:rsidRPr="009C48FB" w:rsidRDefault="004809E3" w:rsidP="009C48FB">
      <w:pPr>
        <w:pStyle w:val="EndnoteText"/>
        <w:spacing w:line="480" w:lineRule="auto"/>
        <w:rPr>
          <w:sz w:val="24"/>
          <w:szCs w:val="24"/>
        </w:rPr>
      </w:pPr>
    </w:p>
  </w:endnote>
  <w:endnote w:id="10">
    <w:p w14:paraId="26B4BAA2" w14:textId="64D6362E" w:rsidR="004809E3" w:rsidRPr="009C41A6" w:rsidRDefault="004809E3" w:rsidP="009C41A6">
      <w:pPr>
        <w:spacing w:line="480" w:lineRule="auto"/>
      </w:pPr>
      <w:r w:rsidRPr="009C48FB">
        <w:rPr>
          <w:rStyle w:val="EndnoteReference"/>
          <w:vertAlign w:val="baseline"/>
        </w:rPr>
        <w:endnoteRef/>
      </w:r>
      <w:r w:rsidR="00345258" w:rsidRPr="009C41A6">
        <w:t xml:space="preserve">. </w:t>
      </w:r>
      <w:r w:rsidRPr="009C41A6">
        <w:t xml:space="preserve">Cortese S, Adamo N, Del Giovane C, Mohr-Jensen C, Hayes A. J, Carucci S, et al. Comparative efficacy and tolerability of medications for attention-deficit hyperactivity disorder in children, adolescents, and adults: a systematic review and network meta-analysis. </w:t>
      </w:r>
      <w:r w:rsidRPr="009C41A6">
        <w:rPr>
          <w:iCs/>
        </w:rPr>
        <w:t xml:space="preserve">Lancet Psychiatry </w:t>
      </w:r>
      <w:r w:rsidRPr="009C41A6">
        <w:t xml:space="preserve">(2018) </w:t>
      </w:r>
      <w:r w:rsidRPr="009C41A6">
        <w:rPr>
          <w:iCs/>
        </w:rPr>
        <w:t>5</w:t>
      </w:r>
      <w:r w:rsidRPr="009C41A6">
        <w:t>(9) 727-738.</w:t>
      </w:r>
      <w:r w:rsidR="00192E65" w:rsidRPr="009C41A6">
        <w:t xml:space="preserve"> doi:</w:t>
      </w:r>
      <w:hyperlink r:id="rId6" w:history="1">
        <w:r w:rsidR="00192E65" w:rsidRPr="009C41A6">
          <w:rPr>
            <w:rStyle w:val="Hyperlink"/>
          </w:rPr>
          <w:t>10.1016/S2215-0366(18)30269-4</w:t>
        </w:r>
      </w:hyperlink>
    </w:p>
    <w:p w14:paraId="7E68A9EC" w14:textId="77777777" w:rsidR="004809E3" w:rsidRPr="009C48FB" w:rsidRDefault="004809E3" w:rsidP="009C48FB">
      <w:pPr>
        <w:pStyle w:val="EndnoteText"/>
        <w:spacing w:line="480" w:lineRule="auto"/>
        <w:rPr>
          <w:sz w:val="24"/>
          <w:szCs w:val="24"/>
        </w:rPr>
      </w:pPr>
    </w:p>
  </w:endnote>
  <w:endnote w:id="11">
    <w:p w14:paraId="662188F9" w14:textId="08E96206" w:rsidR="00192E65" w:rsidRPr="009C41A6" w:rsidRDefault="004809E3" w:rsidP="009C48FB">
      <w:pPr>
        <w:spacing w:line="480" w:lineRule="auto"/>
      </w:pPr>
      <w:r w:rsidRPr="009C48FB">
        <w:rPr>
          <w:rStyle w:val="EndnoteReference"/>
          <w:vertAlign w:val="baseline"/>
        </w:rPr>
        <w:endnoteRef/>
      </w:r>
      <w:r w:rsidR="00345258" w:rsidRPr="009C41A6">
        <w:t xml:space="preserve">. </w:t>
      </w:r>
      <w:r w:rsidRPr="009C41A6">
        <w:t xml:space="preserve">Dobson E. T. Bloch M. H, &amp; Strawn J. R. Efficacy and Tolerability of Pharmacotherapy for Pediatric Anxiety Disorders: A Network Meta-Analysis. </w:t>
      </w:r>
      <w:r w:rsidRPr="009C41A6">
        <w:rPr>
          <w:iCs/>
        </w:rPr>
        <w:t xml:space="preserve">J Clin Psychiatry </w:t>
      </w:r>
      <w:r w:rsidRPr="009C41A6">
        <w:t xml:space="preserve">(2019) </w:t>
      </w:r>
      <w:r w:rsidRPr="009C41A6">
        <w:rPr>
          <w:iCs/>
        </w:rPr>
        <w:t>80</w:t>
      </w:r>
      <w:r w:rsidRPr="009C41A6">
        <w:t>(1), 29.</w:t>
      </w:r>
      <w:r w:rsidR="00192E65" w:rsidRPr="009C41A6">
        <w:t xml:space="preserve"> doi:</w:t>
      </w:r>
      <w:r w:rsidR="00192E65" w:rsidRPr="009C48FB">
        <w:rPr>
          <w:color w:val="212121"/>
          <w:lang w:eastAsia="en-US"/>
        </w:rPr>
        <w:t xml:space="preserve"> </w:t>
      </w:r>
      <w:hyperlink r:id="rId7" w:tgtFrame="_blank" w:history="1">
        <w:r w:rsidR="00192E65" w:rsidRPr="009C41A6">
          <w:rPr>
            <w:rStyle w:val="Hyperlink"/>
          </w:rPr>
          <w:t>10.4088/JCP.17r12064</w:t>
        </w:r>
      </w:hyperlink>
    </w:p>
    <w:p w14:paraId="319BD331" w14:textId="59A1F71D" w:rsidR="004809E3" w:rsidRPr="009C48FB" w:rsidRDefault="004809E3" w:rsidP="009C48FB">
      <w:pPr>
        <w:pStyle w:val="EndnoteText"/>
        <w:spacing w:line="480" w:lineRule="auto"/>
        <w:rPr>
          <w:sz w:val="24"/>
          <w:szCs w:val="24"/>
        </w:rPr>
      </w:pPr>
    </w:p>
  </w:endnote>
  <w:endnote w:id="12">
    <w:p w14:paraId="7847D6ED" w14:textId="7C623573" w:rsidR="004809E3" w:rsidRPr="009C41A6" w:rsidRDefault="004809E3" w:rsidP="009C41A6">
      <w:pPr>
        <w:spacing w:line="480" w:lineRule="auto"/>
      </w:pPr>
      <w:r w:rsidRPr="009C48FB">
        <w:rPr>
          <w:rStyle w:val="EndnoteReference"/>
          <w:vertAlign w:val="baseline"/>
        </w:rPr>
        <w:endnoteRef/>
      </w:r>
      <w:r w:rsidR="00345258" w:rsidRPr="009C41A6">
        <w:t xml:space="preserve">. </w:t>
      </w:r>
      <w:r w:rsidRPr="009C41A6">
        <w:t>Williams K, Brignell A, Randall M, Silove N, &amp; Hazell P. Selective serotonin reuptake inhibitors (SSRIs) for autism spectrum disorders (ASD). Cochrane Database Syst Rev (2013) (8), CD004677.</w:t>
      </w:r>
      <w:r w:rsidR="00BF28F4" w:rsidRPr="009C41A6">
        <w:t xml:space="preserve"> doi:</w:t>
      </w:r>
      <w:hyperlink r:id="rId8" w:tgtFrame="_blank" w:history="1">
        <w:r w:rsidR="00BF28F4" w:rsidRPr="009C41A6">
          <w:rPr>
            <w:rStyle w:val="Hyperlink"/>
          </w:rPr>
          <w:t>10.1002/14651858.CD004677.pub3</w:t>
        </w:r>
      </w:hyperlink>
    </w:p>
    <w:p w14:paraId="770D3B1B" w14:textId="77777777" w:rsidR="004809E3" w:rsidRPr="009C48FB" w:rsidRDefault="004809E3" w:rsidP="009C48FB">
      <w:pPr>
        <w:pStyle w:val="EndnoteText"/>
        <w:spacing w:line="480" w:lineRule="auto"/>
        <w:rPr>
          <w:sz w:val="24"/>
          <w:szCs w:val="24"/>
        </w:rPr>
      </w:pPr>
    </w:p>
  </w:endnote>
  <w:endnote w:id="13">
    <w:p w14:paraId="1955B146" w14:textId="5EA98299" w:rsidR="00037281" w:rsidRPr="009C41A6" w:rsidRDefault="004809E3" w:rsidP="009C48FB">
      <w:pPr>
        <w:spacing w:line="480" w:lineRule="auto"/>
      </w:pPr>
      <w:r w:rsidRPr="009C48FB">
        <w:rPr>
          <w:rStyle w:val="EndnoteReference"/>
          <w:vertAlign w:val="baseline"/>
        </w:rPr>
        <w:endnoteRef/>
      </w:r>
      <w:r w:rsidR="00345258" w:rsidRPr="009C41A6">
        <w:t xml:space="preserve">. </w:t>
      </w:r>
      <w:r w:rsidRPr="009C41A6">
        <w:t xml:space="preserve">Hurwitz R, Blackmore R, Hazell P, Williams, K, &amp; Woolfenden, S. Tricyclic antidepressants for autism spectrum disorders (ASD) in children and adolescents. </w:t>
      </w:r>
      <w:r w:rsidRPr="009C41A6">
        <w:rPr>
          <w:iCs/>
        </w:rPr>
        <w:t xml:space="preserve">Cochrane Database Syst Rev </w:t>
      </w:r>
      <w:r w:rsidRPr="009C41A6">
        <w:t>(2012) (3), CD008372.</w:t>
      </w:r>
      <w:r w:rsidR="00037281" w:rsidRPr="009C41A6">
        <w:t xml:space="preserve"> doi:</w:t>
      </w:r>
      <w:r w:rsidR="00037281" w:rsidRPr="009C48FB">
        <w:rPr>
          <w:color w:val="212121"/>
          <w:lang w:eastAsia="en-US"/>
        </w:rPr>
        <w:t xml:space="preserve"> </w:t>
      </w:r>
      <w:hyperlink r:id="rId9" w:tgtFrame="_blank" w:history="1">
        <w:r w:rsidR="00037281" w:rsidRPr="009C41A6">
          <w:rPr>
            <w:rStyle w:val="Hyperlink"/>
          </w:rPr>
          <w:t>10.1002/14651858.CD008372.pub2</w:t>
        </w:r>
      </w:hyperlink>
    </w:p>
    <w:p w14:paraId="7E7AD3C4" w14:textId="77777777" w:rsidR="004809E3" w:rsidRPr="009C48FB" w:rsidRDefault="004809E3" w:rsidP="009C48FB">
      <w:pPr>
        <w:pStyle w:val="EndnoteText"/>
        <w:spacing w:line="480" w:lineRule="auto"/>
        <w:rPr>
          <w:sz w:val="24"/>
          <w:szCs w:val="24"/>
        </w:rPr>
      </w:pPr>
    </w:p>
  </w:endnote>
  <w:endnote w:id="14">
    <w:p w14:paraId="2A39D4FC" w14:textId="2804114F" w:rsidR="004809E3" w:rsidRPr="009C41A6" w:rsidRDefault="004809E3" w:rsidP="009C41A6">
      <w:pPr>
        <w:spacing w:line="480" w:lineRule="auto"/>
      </w:pPr>
      <w:r w:rsidRPr="009C48FB">
        <w:rPr>
          <w:rStyle w:val="EndnoteReference"/>
          <w:vertAlign w:val="baseline"/>
        </w:rPr>
        <w:endnoteRef/>
      </w:r>
      <w:r w:rsidR="00345258" w:rsidRPr="009C41A6">
        <w:t>.</w:t>
      </w:r>
      <w:r w:rsidRPr="009C41A6">
        <w:t xml:space="preserve"> Sureshkumar P, Bower W, Craig J.C, &amp; Knight J.F. Treatment of daytime urinary incontinence in children: a systematic review of randomized controlled trials. </w:t>
      </w:r>
      <w:r w:rsidRPr="009C41A6">
        <w:rPr>
          <w:iCs/>
        </w:rPr>
        <w:t xml:space="preserve">J Urol </w:t>
      </w:r>
      <w:r w:rsidRPr="009C41A6">
        <w:t xml:space="preserve">(2003) </w:t>
      </w:r>
      <w:r w:rsidRPr="009C41A6">
        <w:rPr>
          <w:iCs/>
        </w:rPr>
        <w:t>170</w:t>
      </w:r>
      <w:r w:rsidRPr="009C41A6">
        <w:t>(1):196-200.</w:t>
      </w:r>
      <w:r w:rsidR="008E2A1C" w:rsidRPr="009C41A6">
        <w:t xml:space="preserve"> doi:</w:t>
      </w:r>
      <w:r w:rsidR="008E2A1C" w:rsidRPr="009C48FB">
        <w:rPr>
          <w:color w:val="212121"/>
          <w:lang w:eastAsia="en-US"/>
        </w:rPr>
        <w:t xml:space="preserve"> </w:t>
      </w:r>
      <w:hyperlink r:id="rId10" w:tgtFrame="_blank" w:history="1">
        <w:r w:rsidR="008E2A1C" w:rsidRPr="009C41A6">
          <w:rPr>
            <w:rStyle w:val="Hyperlink"/>
          </w:rPr>
          <w:t>10.1097/01.ju.0000072341.34333.43</w:t>
        </w:r>
      </w:hyperlink>
    </w:p>
    <w:p w14:paraId="4C0AB694" w14:textId="105E009B" w:rsidR="004809E3" w:rsidRPr="009C48FB" w:rsidRDefault="004809E3" w:rsidP="009C48FB">
      <w:pPr>
        <w:pStyle w:val="EndnoteText"/>
        <w:spacing w:line="480" w:lineRule="auto"/>
        <w:rPr>
          <w:sz w:val="24"/>
          <w:szCs w:val="24"/>
        </w:rPr>
      </w:pPr>
    </w:p>
  </w:endnote>
  <w:endnote w:id="15">
    <w:p w14:paraId="218878CC" w14:textId="3F18C27D" w:rsidR="004809E3" w:rsidRPr="009C41A6" w:rsidRDefault="004809E3" w:rsidP="009C41A6">
      <w:pPr>
        <w:spacing w:line="480" w:lineRule="auto"/>
      </w:pPr>
      <w:r w:rsidRPr="009C48FB">
        <w:rPr>
          <w:rStyle w:val="EndnoteReference"/>
          <w:vertAlign w:val="baseline"/>
        </w:rPr>
        <w:endnoteRef/>
      </w:r>
      <w:r w:rsidR="00345258" w:rsidRPr="009C41A6">
        <w:t>.</w:t>
      </w:r>
      <w:r w:rsidRPr="009C41A6">
        <w:t xml:space="preserve"> Ipser J.C, Stein D. J, Hawkridge S, &amp; Hoppe L. Pharmacotherapy for anxiety disorders in children and adolescents. </w:t>
      </w:r>
      <w:r w:rsidRPr="009C41A6">
        <w:rPr>
          <w:iCs/>
        </w:rPr>
        <w:t xml:space="preserve">Cochrane Database Syst Rev </w:t>
      </w:r>
      <w:r w:rsidRPr="009C41A6">
        <w:t>(2009) 3, CD005170.</w:t>
      </w:r>
      <w:r w:rsidR="008E2A1C" w:rsidRPr="009C41A6">
        <w:t xml:space="preserve"> doi:</w:t>
      </w:r>
      <w:hyperlink r:id="rId11" w:tgtFrame="_blank" w:history="1">
        <w:r w:rsidR="008E2A1C" w:rsidRPr="009C41A6">
          <w:rPr>
            <w:rStyle w:val="Hyperlink"/>
          </w:rPr>
          <w:t>10.1002/14651858.CD005170.pub2</w:t>
        </w:r>
      </w:hyperlink>
    </w:p>
    <w:p w14:paraId="1FCA2602" w14:textId="6D34144C" w:rsidR="004809E3" w:rsidRPr="009C48FB" w:rsidRDefault="004809E3" w:rsidP="009C48FB">
      <w:pPr>
        <w:pStyle w:val="EndnoteText"/>
        <w:spacing w:line="480" w:lineRule="auto"/>
        <w:rPr>
          <w:sz w:val="24"/>
          <w:szCs w:val="24"/>
        </w:rPr>
      </w:pPr>
    </w:p>
  </w:endnote>
  <w:endnote w:id="16">
    <w:p w14:paraId="6CC3B21F" w14:textId="33EA177E" w:rsidR="004809E3" w:rsidRPr="009C48FB" w:rsidRDefault="004809E3" w:rsidP="009C48FB">
      <w:pPr>
        <w:pStyle w:val="content-description-block-title"/>
        <w:shd w:val="clear" w:color="auto" w:fill="FFFFFF"/>
        <w:spacing w:before="0" w:beforeAutospacing="0" w:after="0" w:afterAutospacing="0" w:line="480" w:lineRule="auto"/>
      </w:pPr>
      <w:r w:rsidRPr="009C48FB">
        <w:rPr>
          <w:rStyle w:val="EndnoteReference"/>
          <w:vertAlign w:val="baseline"/>
        </w:rPr>
        <w:endnoteRef/>
      </w:r>
      <w:r w:rsidR="00345258" w:rsidRPr="009C41A6">
        <w:t>.</w:t>
      </w:r>
      <w:r w:rsidRPr="009C41A6">
        <w:t xml:space="preserve"> </w:t>
      </w:r>
      <w:r w:rsidRPr="009C41A6">
        <w:rPr>
          <w:lang w:val="en-US"/>
        </w:rPr>
        <w:t xml:space="preserve">Locher C, Koechlin H, Zion S. R, Werner C, Pine D.S, Kirsch I, et al. Efficacy and Safety of Selective Serotonin Reuptake Inhibitors, Serotonin-Norepinephrine Reuptake Inhibitors, and Placebo for Common Psychiatric Disorders Among Children and Adolescents: A Systematic Review and Meta-analysis. </w:t>
      </w:r>
      <w:r w:rsidRPr="009C41A6">
        <w:rPr>
          <w:iCs/>
          <w:lang w:val="en-US"/>
        </w:rPr>
        <w:t xml:space="preserve">JAMA Psychiatry </w:t>
      </w:r>
      <w:r w:rsidRPr="009C41A6">
        <w:rPr>
          <w:lang w:val="en-US"/>
        </w:rPr>
        <w:t xml:space="preserve">(2017) </w:t>
      </w:r>
      <w:r w:rsidRPr="009C41A6">
        <w:rPr>
          <w:iCs/>
          <w:lang w:val="en-US"/>
        </w:rPr>
        <w:t>74</w:t>
      </w:r>
      <w:r w:rsidRPr="009C41A6">
        <w:rPr>
          <w:lang w:val="en-US"/>
        </w:rPr>
        <w:t>(10):1011-1020</w:t>
      </w:r>
      <w:r w:rsidR="008E2A1C" w:rsidRPr="009C41A6">
        <w:rPr>
          <w:lang w:val="en-US"/>
        </w:rPr>
        <w:t>. doi:</w:t>
      </w:r>
      <w:r w:rsidR="008E2A1C" w:rsidRPr="009C41A6">
        <w:t>10.1001/jamapsychiatry.2017.2432.</w:t>
      </w:r>
    </w:p>
    <w:p w14:paraId="371EB9B7" w14:textId="6DFB5FAB" w:rsidR="004809E3" w:rsidRPr="009C48FB" w:rsidRDefault="004809E3" w:rsidP="009C48FB">
      <w:pPr>
        <w:pStyle w:val="EndnoteText"/>
        <w:spacing w:line="480" w:lineRule="auto"/>
        <w:rPr>
          <w:sz w:val="24"/>
          <w:szCs w:val="24"/>
        </w:rPr>
      </w:pPr>
    </w:p>
  </w:endnote>
  <w:endnote w:id="17">
    <w:p w14:paraId="2F7E4852" w14:textId="36940DB2" w:rsidR="004809E3" w:rsidRPr="009C41A6" w:rsidRDefault="004809E3" w:rsidP="009C41A6">
      <w:pPr>
        <w:spacing w:line="480" w:lineRule="auto"/>
      </w:pPr>
      <w:r w:rsidRPr="009C48FB">
        <w:rPr>
          <w:rStyle w:val="EndnoteReference"/>
          <w:vertAlign w:val="baseline"/>
        </w:rPr>
        <w:endnoteRef/>
      </w:r>
      <w:r w:rsidR="00345258" w:rsidRPr="009C41A6">
        <w:t>.</w:t>
      </w:r>
      <w:r w:rsidRPr="009C41A6">
        <w:t xml:space="preserve"> Tsapakis E.M, Soldani F, Tondo L, &amp; Baldessarini R.J. Efficacy of antidepressants in juvenile depression: meta-analysis. Br J Psychiatry (2008) 193(1):10-17.</w:t>
      </w:r>
      <w:r w:rsidR="008E2A1C" w:rsidRPr="009C41A6">
        <w:t xml:space="preserve"> doi:</w:t>
      </w:r>
      <w:hyperlink r:id="rId12" w:tgtFrame="_blank" w:history="1">
        <w:r w:rsidR="008E2A1C" w:rsidRPr="009C41A6">
          <w:rPr>
            <w:rStyle w:val="Hyperlink"/>
          </w:rPr>
          <w:t>10.1192/bjp.bp.106.031088</w:t>
        </w:r>
      </w:hyperlink>
    </w:p>
    <w:p w14:paraId="20858C1D" w14:textId="0D9F485E" w:rsidR="004809E3" w:rsidRPr="009C48FB" w:rsidRDefault="004809E3" w:rsidP="009C48FB">
      <w:pPr>
        <w:pStyle w:val="EndnoteText"/>
        <w:spacing w:line="480" w:lineRule="auto"/>
        <w:rPr>
          <w:sz w:val="24"/>
          <w:szCs w:val="24"/>
        </w:rPr>
      </w:pPr>
    </w:p>
  </w:endnote>
  <w:endnote w:id="18">
    <w:p w14:paraId="6F68E2C2" w14:textId="45603279" w:rsidR="004809E3" w:rsidRPr="009C41A6" w:rsidRDefault="004809E3" w:rsidP="009C41A6">
      <w:pPr>
        <w:spacing w:line="480" w:lineRule="auto"/>
      </w:pPr>
      <w:r w:rsidRPr="009C48FB">
        <w:rPr>
          <w:rStyle w:val="EndnoteReference"/>
          <w:vertAlign w:val="baseline"/>
        </w:rPr>
        <w:endnoteRef/>
      </w:r>
      <w:r w:rsidR="00345258" w:rsidRPr="009C41A6">
        <w:t>.</w:t>
      </w:r>
      <w:r w:rsidRPr="009C41A6">
        <w:t xml:space="preserve"> Avci A, Diler R.S, Kibar M, Sezgin F. Comparison of Moclobemide and Placebo in Young Adolescents with Major Depressive Disorder. Ann Med Sci (1999) 8:31-40.</w:t>
      </w:r>
    </w:p>
    <w:p w14:paraId="27513E7F" w14:textId="478CAF3E" w:rsidR="004809E3" w:rsidRPr="009C48FB" w:rsidRDefault="004809E3" w:rsidP="009C48FB">
      <w:pPr>
        <w:pStyle w:val="EndnoteText"/>
        <w:spacing w:line="480" w:lineRule="auto"/>
        <w:rPr>
          <w:sz w:val="24"/>
          <w:szCs w:val="24"/>
        </w:rPr>
      </w:pPr>
    </w:p>
  </w:endnote>
  <w:endnote w:id="19">
    <w:p w14:paraId="09C4ABE2" w14:textId="3EBD66DB" w:rsidR="008E2A1C" w:rsidRPr="009C41A6" w:rsidRDefault="004809E3" w:rsidP="009C41A6">
      <w:pPr>
        <w:spacing w:line="480" w:lineRule="auto"/>
      </w:pPr>
      <w:r w:rsidRPr="009C48FB">
        <w:rPr>
          <w:rStyle w:val="EndnoteReference"/>
          <w:vertAlign w:val="baseline"/>
        </w:rPr>
        <w:endnoteRef/>
      </w:r>
      <w:r w:rsidRPr="009C41A6">
        <w:t xml:space="preserve"> Simeon J.G, Dinicola V.F, Ferguson H.B, Copping W. Adolescent Depression: A Placebo-Controlled Fluoxetine Treatment Study and Follow-Up. Prog. Neuro-Psychopharmacol. &amp; Biol. Psychiat (1990) 14:791-795.</w:t>
      </w:r>
      <w:r w:rsidR="008E2A1C" w:rsidRPr="009C41A6">
        <w:t xml:space="preserve"> doi:10.1016/0278-5846(90)90050-q.</w:t>
      </w:r>
    </w:p>
    <w:p w14:paraId="2FDE12B2" w14:textId="485FEC13" w:rsidR="004809E3" w:rsidRPr="009C48FB" w:rsidRDefault="004809E3" w:rsidP="009C48FB">
      <w:pPr>
        <w:pStyle w:val="EndnoteText"/>
        <w:spacing w:line="480" w:lineRule="auto"/>
        <w:rPr>
          <w:sz w:val="24"/>
          <w:szCs w:val="24"/>
        </w:rPr>
      </w:pPr>
    </w:p>
  </w:endnote>
  <w:endnote w:id="20">
    <w:p w14:paraId="13A6EBE8" w14:textId="68DE4618" w:rsidR="009C41A6" w:rsidRPr="009C48FB" w:rsidRDefault="004809E3" w:rsidP="009C48FB">
      <w:pPr>
        <w:pStyle w:val="EndnoteText"/>
        <w:spacing w:line="480" w:lineRule="auto"/>
        <w:rPr>
          <w:sz w:val="24"/>
          <w:szCs w:val="24"/>
        </w:rPr>
      </w:pPr>
      <w:r w:rsidRPr="009C48FB">
        <w:rPr>
          <w:rStyle w:val="EndnoteReference"/>
          <w:sz w:val="24"/>
          <w:szCs w:val="24"/>
          <w:vertAlign w:val="baseline"/>
        </w:rPr>
        <w:endnoteRef/>
      </w:r>
      <w:r w:rsidRPr="009C48FB">
        <w:rPr>
          <w:sz w:val="24"/>
          <w:szCs w:val="24"/>
        </w:rPr>
        <w:t xml:space="preserve"> </w:t>
      </w:r>
      <w:r w:rsidRPr="009C41A6">
        <w:rPr>
          <w:sz w:val="24"/>
          <w:szCs w:val="24"/>
        </w:rPr>
        <w:t>Meadow</w:t>
      </w:r>
      <w:r w:rsidRPr="009C48FB">
        <w:rPr>
          <w:sz w:val="24"/>
          <w:szCs w:val="24"/>
        </w:rPr>
        <w:t xml:space="preserve"> R, Berg I. R</w:t>
      </w:r>
      <w:r w:rsidRPr="009C41A6">
        <w:rPr>
          <w:sz w:val="24"/>
          <w:szCs w:val="24"/>
        </w:rPr>
        <w:t xml:space="preserve">. </w:t>
      </w:r>
      <w:r w:rsidRPr="009C48FB">
        <w:rPr>
          <w:bCs/>
          <w:sz w:val="24"/>
          <w:szCs w:val="24"/>
        </w:rPr>
        <w:t>Controlled trial of imipramine in diurnal enuresis</w:t>
      </w:r>
      <w:r w:rsidRPr="009C41A6">
        <w:rPr>
          <w:sz w:val="24"/>
          <w:szCs w:val="24"/>
        </w:rPr>
        <w:t xml:space="preserve">. </w:t>
      </w:r>
      <w:r w:rsidRPr="009C48FB">
        <w:rPr>
          <w:sz w:val="24"/>
          <w:szCs w:val="24"/>
        </w:rPr>
        <w:t>Arch Dis Child</w:t>
      </w:r>
      <w:r w:rsidRPr="009C41A6">
        <w:rPr>
          <w:sz w:val="24"/>
          <w:szCs w:val="24"/>
        </w:rPr>
        <w:t xml:space="preserve"> (1982)</w:t>
      </w:r>
      <w:r w:rsidRPr="009C48FB">
        <w:rPr>
          <w:sz w:val="24"/>
          <w:szCs w:val="24"/>
        </w:rPr>
        <w:t xml:space="preserve"> 57</w:t>
      </w:r>
      <w:r w:rsidRPr="009C41A6">
        <w:rPr>
          <w:sz w:val="24"/>
          <w:szCs w:val="24"/>
        </w:rPr>
        <w:t>:</w:t>
      </w:r>
      <w:r w:rsidRPr="009C48FB">
        <w:rPr>
          <w:sz w:val="24"/>
          <w:szCs w:val="24"/>
        </w:rPr>
        <w:t>714</w:t>
      </w:r>
      <w:r w:rsidRPr="009C41A6">
        <w:rPr>
          <w:sz w:val="24"/>
          <w:szCs w:val="24"/>
        </w:rPr>
        <w:t>. doi:</w:t>
      </w:r>
      <w:hyperlink r:id="rId13" w:tgtFrame="_new" w:history="1">
        <w:r w:rsidRPr="009C48FB">
          <w:rPr>
            <w:rStyle w:val="Hyperlink"/>
            <w:sz w:val="24"/>
            <w:szCs w:val="24"/>
          </w:rPr>
          <w:t>10.1136/adc.57.9.714</w:t>
        </w:r>
      </w:hyperlink>
    </w:p>
    <w:p w14:paraId="52620151" w14:textId="71127841" w:rsidR="004809E3" w:rsidRPr="009C48FB" w:rsidRDefault="004809E3" w:rsidP="009C48FB">
      <w:pPr>
        <w:pStyle w:val="EndnoteText"/>
        <w:spacing w:line="480" w:lineRule="auto"/>
        <w:rPr>
          <w:sz w:val="24"/>
          <w:szCs w:val="24"/>
        </w:rPr>
      </w:pPr>
    </w:p>
  </w:endnote>
  <w:endnote w:id="21">
    <w:p w14:paraId="701DC5B2" w14:textId="0956B8C3" w:rsidR="0003020F" w:rsidRPr="009C41A6" w:rsidRDefault="0003020F" w:rsidP="009C48FB">
      <w:pPr>
        <w:pStyle w:val="EndnoteText"/>
        <w:spacing w:line="480" w:lineRule="auto"/>
        <w:rPr>
          <w:sz w:val="24"/>
          <w:szCs w:val="24"/>
        </w:rPr>
      </w:pPr>
      <w:r w:rsidRPr="009C48FB">
        <w:rPr>
          <w:rStyle w:val="EndnoteReference"/>
          <w:sz w:val="24"/>
          <w:szCs w:val="24"/>
          <w:vertAlign w:val="baseline"/>
        </w:rPr>
        <w:endnoteRef/>
      </w:r>
      <w:r w:rsidR="00345258" w:rsidRPr="009C48FB">
        <w:rPr>
          <w:sz w:val="24"/>
          <w:szCs w:val="24"/>
        </w:rPr>
        <w:t>.</w:t>
      </w:r>
      <w:r w:rsidRPr="009C48FB">
        <w:rPr>
          <w:sz w:val="24"/>
          <w:szCs w:val="24"/>
        </w:rPr>
        <w:t xml:space="preserve"> </w:t>
      </w:r>
      <w:r w:rsidRPr="009C41A6">
        <w:rPr>
          <w:sz w:val="24"/>
          <w:szCs w:val="24"/>
        </w:rPr>
        <w:t>Robb  A.S, Cueva  J.E, Sporn  J, Yang  R, Vanderburg  D.G.  Sertraline treatment of children and adolescents with post</w:t>
      </w:r>
      <w:r w:rsidR="00345258" w:rsidRPr="009C48FB">
        <w:rPr>
          <w:sz w:val="24"/>
          <w:szCs w:val="24"/>
        </w:rPr>
        <w:t>-</w:t>
      </w:r>
      <w:r w:rsidRPr="009C41A6">
        <w:rPr>
          <w:sz w:val="24"/>
          <w:szCs w:val="24"/>
        </w:rPr>
        <w:t>traumatic stress disorder: a double-blind, placebo-controlled trial. </w:t>
      </w:r>
      <w:r w:rsidRPr="009C41A6">
        <w:rPr>
          <w:i/>
          <w:iCs/>
          <w:sz w:val="24"/>
          <w:szCs w:val="24"/>
        </w:rPr>
        <w:t> </w:t>
      </w:r>
      <w:r w:rsidRPr="009C41A6">
        <w:rPr>
          <w:iCs/>
          <w:sz w:val="24"/>
          <w:szCs w:val="24"/>
        </w:rPr>
        <w:t>J Child Adolesc Psychopharmacol</w:t>
      </w:r>
      <w:r w:rsidRPr="009C41A6">
        <w:rPr>
          <w:sz w:val="24"/>
          <w:szCs w:val="24"/>
        </w:rPr>
        <w:t xml:space="preserve"> (2010) 20(6):463-471. doi:</w:t>
      </w:r>
      <w:hyperlink r:id="rId14" w:history="1">
        <w:r w:rsidRPr="009C41A6">
          <w:rPr>
            <w:rStyle w:val="Hyperlink"/>
            <w:sz w:val="24"/>
            <w:szCs w:val="24"/>
          </w:rPr>
          <w:t>10.1089/cap.2009.0115</w:t>
        </w:r>
      </w:hyperlink>
    </w:p>
    <w:p w14:paraId="5912BDD8" w14:textId="77777777" w:rsidR="0003020F" w:rsidRPr="009C48FB" w:rsidRDefault="0003020F" w:rsidP="009C48FB">
      <w:pPr>
        <w:pStyle w:val="EndnoteText"/>
        <w:spacing w:line="480" w:lineRule="auto"/>
        <w:rPr>
          <w:sz w:val="24"/>
          <w:szCs w:val="24"/>
        </w:rPr>
      </w:pPr>
    </w:p>
  </w:endnote>
  <w:endnote w:id="22">
    <w:p w14:paraId="0B3FDECE" w14:textId="77947B32" w:rsidR="004809E3" w:rsidRPr="009C41A6" w:rsidRDefault="004809E3" w:rsidP="009C41A6">
      <w:pPr>
        <w:spacing w:line="480" w:lineRule="auto"/>
      </w:pPr>
      <w:r w:rsidRPr="009C48FB">
        <w:rPr>
          <w:rStyle w:val="EndnoteReference"/>
          <w:vertAlign w:val="baseline"/>
        </w:rPr>
        <w:endnoteRef/>
      </w:r>
      <w:r w:rsidR="00345258" w:rsidRPr="009C41A6">
        <w:t>.</w:t>
      </w:r>
      <w:r w:rsidRPr="009C41A6">
        <w:t xml:space="preserve"> Caldwell PHY, Sureshkumar P, Wong WCF. Tricyclic and related drugs for nocturnal enuresis in children. </w:t>
      </w:r>
      <w:r w:rsidRPr="009C41A6">
        <w:rPr>
          <w:iCs/>
        </w:rPr>
        <w:t>Cochrane Database Syst Rev</w:t>
      </w:r>
      <w:r w:rsidRPr="009C48FB">
        <w:rPr>
          <w:iCs/>
        </w:rPr>
        <w:t xml:space="preserve"> (</w:t>
      </w:r>
      <w:r w:rsidRPr="009C41A6">
        <w:t>2016) Issue 1. Art. No.: CD002117. doi: 10.1002/14651858.CD002117.pub2</w:t>
      </w:r>
    </w:p>
    <w:p w14:paraId="4DB1D2A4" w14:textId="7A8BAC8F" w:rsidR="004809E3" w:rsidRPr="009C48FB" w:rsidRDefault="004809E3" w:rsidP="009C48FB">
      <w:pPr>
        <w:pStyle w:val="EndnoteText"/>
        <w:spacing w:line="480" w:lineRule="auto"/>
        <w:rPr>
          <w:sz w:val="24"/>
          <w:szCs w:val="24"/>
        </w:rPr>
      </w:pPr>
    </w:p>
  </w:endnote>
  <w:endnote w:id="23">
    <w:p w14:paraId="230DE70B" w14:textId="3BC0BA83" w:rsidR="004809E3" w:rsidRPr="009C41A6" w:rsidRDefault="004809E3" w:rsidP="009C41A6">
      <w:pPr>
        <w:spacing w:line="480" w:lineRule="auto"/>
      </w:pPr>
      <w:r w:rsidRPr="009C48FB">
        <w:rPr>
          <w:rStyle w:val="EndnoteReference"/>
          <w:vertAlign w:val="baseline"/>
        </w:rPr>
        <w:endnoteRef/>
      </w:r>
      <w:r w:rsidR="00345258" w:rsidRPr="009C41A6">
        <w:t>.</w:t>
      </w:r>
      <w:r w:rsidRPr="009C41A6">
        <w:t xml:space="preserve"> Benarous X, Cravero C, Cohen D. Prescription d'antidépresseurs chez les enfants et les adolescents [Prescription of antidepressants in children and adolescents]. EMC - Psychiatrie (2018) 15(3):1-11 [Article 37-209-A-30]. doi:10.1016 / S0246-1072(18):81439-0. </w:t>
      </w:r>
    </w:p>
    <w:p w14:paraId="0B8EE80B" w14:textId="3B8641F6" w:rsidR="004809E3" w:rsidRPr="009C48FB" w:rsidRDefault="004809E3" w:rsidP="009C48FB">
      <w:pPr>
        <w:pStyle w:val="EndnoteText"/>
        <w:spacing w:line="480" w:lineRule="auto"/>
        <w:rPr>
          <w:sz w:val="24"/>
          <w:szCs w:val="24"/>
        </w:rPr>
      </w:pPr>
    </w:p>
  </w:endnote>
  <w:endnote w:id="24">
    <w:p w14:paraId="43517C16" w14:textId="2E77A264" w:rsidR="004809E3" w:rsidRPr="009C41A6" w:rsidRDefault="004809E3" w:rsidP="009C41A6">
      <w:pPr>
        <w:spacing w:line="480" w:lineRule="auto"/>
        <w:rPr>
          <w:color w:val="000000" w:themeColor="text1"/>
        </w:rPr>
      </w:pPr>
      <w:r w:rsidRPr="009C48FB">
        <w:rPr>
          <w:rStyle w:val="EndnoteReference"/>
          <w:vertAlign w:val="baseline"/>
        </w:rPr>
        <w:endnoteRef/>
      </w:r>
      <w:r w:rsidR="00345258" w:rsidRPr="009C41A6">
        <w:t>.</w:t>
      </w:r>
      <w:r w:rsidRPr="009C41A6">
        <w:t xml:space="preserve"> Yan, J. FDA approves </w:t>
      </w:r>
      <w:r w:rsidRPr="009C41A6">
        <w:rPr>
          <w:color w:val="000000" w:themeColor="text1"/>
        </w:rPr>
        <w:t>antidepressant for use in adolescents. Psychiatric News (2009) 44(9):2.</w:t>
      </w:r>
      <w:r w:rsidR="008E2A1C" w:rsidRPr="009C41A6">
        <w:rPr>
          <w:color w:val="000000" w:themeColor="text1"/>
        </w:rPr>
        <w:t xml:space="preserve"> doi:</w:t>
      </w:r>
      <w:r w:rsidR="008E2A1C" w:rsidRPr="009C41A6">
        <w:rPr>
          <w:color w:val="000000"/>
          <w:lang w:eastAsia="en-US"/>
        </w:rPr>
        <w:t xml:space="preserve"> </w:t>
      </w:r>
      <w:hyperlink r:id="rId15" w:history="1">
        <w:r w:rsidR="008E2A1C" w:rsidRPr="009C41A6">
          <w:rPr>
            <w:rStyle w:val="Hyperlink"/>
          </w:rPr>
          <w:t>10.1176/pn.44.9.0002</w:t>
        </w:r>
      </w:hyperlink>
    </w:p>
    <w:p w14:paraId="1498B684" w14:textId="7E622C42" w:rsidR="004809E3" w:rsidRPr="009C48FB" w:rsidRDefault="004809E3" w:rsidP="009C48FB">
      <w:pPr>
        <w:pStyle w:val="EndnoteText"/>
        <w:spacing w:line="480" w:lineRule="auto"/>
        <w:rPr>
          <w:sz w:val="24"/>
          <w:szCs w:val="24"/>
        </w:rPr>
      </w:pPr>
    </w:p>
  </w:endnote>
  <w:endnote w:id="25">
    <w:p w14:paraId="4EBA9586" w14:textId="6416B27A" w:rsidR="004809E3" w:rsidRPr="009C41A6" w:rsidRDefault="004809E3" w:rsidP="009C41A6">
      <w:pPr>
        <w:spacing w:line="480" w:lineRule="auto"/>
      </w:pPr>
      <w:r w:rsidRPr="009C48FB">
        <w:rPr>
          <w:rStyle w:val="EndnoteReference"/>
          <w:vertAlign w:val="baseline"/>
        </w:rPr>
        <w:endnoteRef/>
      </w:r>
      <w:r w:rsidR="00345258" w:rsidRPr="009C41A6">
        <w:t>.</w:t>
      </w:r>
      <w:r w:rsidRPr="009C41A6">
        <w:t xml:space="preserve"> National Institute for Health and Care Excellence. Depression in children and young people: identification and management (NICE guideline No. 134). (2019) Available at: https://www.nice.org.uk/guidance/ng134 [Accessed 10 January 2020].</w:t>
      </w:r>
    </w:p>
    <w:p w14:paraId="15707BFE" w14:textId="2E9A1429" w:rsidR="004809E3" w:rsidRPr="009C48FB" w:rsidRDefault="004809E3" w:rsidP="009C48FB">
      <w:pPr>
        <w:pStyle w:val="EndnoteText"/>
        <w:spacing w:line="480" w:lineRule="auto"/>
        <w:rPr>
          <w:sz w:val="24"/>
          <w:szCs w:val="24"/>
        </w:rPr>
      </w:pPr>
    </w:p>
  </w:endnote>
  <w:endnote w:id="26">
    <w:p w14:paraId="3D0174A8" w14:textId="42D82F28" w:rsidR="004809E3" w:rsidRPr="009C41A6" w:rsidRDefault="004809E3" w:rsidP="009C41A6">
      <w:pPr>
        <w:spacing w:line="480" w:lineRule="auto"/>
      </w:pPr>
      <w:r w:rsidRPr="009C48FB">
        <w:rPr>
          <w:rStyle w:val="EndnoteReference"/>
          <w:vertAlign w:val="baseline"/>
        </w:rPr>
        <w:endnoteRef/>
      </w:r>
      <w:r w:rsidR="00345258" w:rsidRPr="009C41A6">
        <w:t>.</w:t>
      </w:r>
      <w:r w:rsidRPr="009C41A6">
        <w:t xml:space="preserve"> Caye A, Swanson J.M, Coghill D, Rohde L.A. Treatment strategies for ADHD: an evidence-based guide to select optimal treatment. Molecular Psychiatry (2019) 24(3):390-408. doi:10.1038/s41380-018-0116-3.</w:t>
      </w:r>
    </w:p>
    <w:p w14:paraId="50137ED2" w14:textId="554C48E8" w:rsidR="004809E3" w:rsidRPr="009C48FB" w:rsidRDefault="004809E3" w:rsidP="009C48FB">
      <w:pPr>
        <w:pStyle w:val="EndnoteText"/>
        <w:spacing w:line="480" w:lineRule="auto"/>
        <w:rPr>
          <w:sz w:val="24"/>
          <w:szCs w:val="24"/>
        </w:rPr>
      </w:pPr>
    </w:p>
  </w:endnote>
  <w:endnote w:id="27">
    <w:p w14:paraId="2B16C40D" w14:textId="3C2D2C49" w:rsidR="004809E3" w:rsidRPr="009C41A6" w:rsidRDefault="004809E3" w:rsidP="009C41A6">
      <w:pPr>
        <w:spacing w:line="480" w:lineRule="auto"/>
        <w:rPr>
          <w:color w:val="000000" w:themeColor="text1"/>
        </w:rPr>
      </w:pPr>
      <w:r w:rsidRPr="009C48FB">
        <w:rPr>
          <w:rStyle w:val="EndnoteReference"/>
          <w:vertAlign w:val="baseline"/>
        </w:rPr>
        <w:endnoteRef/>
      </w:r>
      <w:r w:rsidR="00345258" w:rsidRPr="009C41A6">
        <w:t>.</w:t>
      </w:r>
      <w:r w:rsidRPr="009C41A6">
        <w:t xml:space="preserve"> National Institute for Health </w:t>
      </w:r>
      <w:r w:rsidRPr="009C41A6">
        <w:rPr>
          <w:color w:val="000000" w:themeColor="text1"/>
        </w:rPr>
        <w:t>and Care Excellence. Post-traumatic stress disorder (NICE guideline No. 116). (2018) Available at: https://www.nice.org.uk/guidance/ng116 [Accessed 10 January 2020].</w:t>
      </w:r>
    </w:p>
    <w:p w14:paraId="170F20A4" w14:textId="2753025C" w:rsidR="004809E3" w:rsidRPr="009C48FB" w:rsidRDefault="004809E3" w:rsidP="009C48FB">
      <w:pPr>
        <w:pStyle w:val="EndnoteText"/>
        <w:spacing w:line="480" w:lineRule="auto"/>
        <w:rPr>
          <w:sz w:val="24"/>
          <w:szCs w:val="24"/>
        </w:rPr>
      </w:pPr>
    </w:p>
  </w:endnote>
  <w:endnote w:id="28">
    <w:p w14:paraId="26835CEE" w14:textId="61DE4AED" w:rsidR="004809E3" w:rsidRPr="009C41A6" w:rsidRDefault="004809E3" w:rsidP="009C48FB">
      <w:pPr>
        <w:pStyle w:val="content-description-block-title"/>
        <w:shd w:val="clear" w:color="auto" w:fill="FFFFFF"/>
        <w:spacing w:before="0" w:beforeAutospacing="0" w:after="0" w:afterAutospacing="0" w:line="480" w:lineRule="auto"/>
      </w:pPr>
      <w:r w:rsidRPr="009C48FB">
        <w:rPr>
          <w:rStyle w:val="EndnoteReference"/>
          <w:vertAlign w:val="baseline"/>
        </w:rPr>
        <w:endnoteRef/>
      </w:r>
      <w:r w:rsidR="00345258" w:rsidRPr="009C41A6">
        <w:t>.</w:t>
      </w:r>
      <w:r w:rsidRPr="009C41A6">
        <w:t xml:space="preserve"> Lord C, Elsabbagh M, Baird G, Veenstra-Vanderweele J. Autism spectrum disorder. Lancet (2018) 392(10146):508-520. doi:10.1016/S0140-6736(18)31129-2</w:t>
      </w:r>
    </w:p>
    <w:p w14:paraId="1CDB37A1" w14:textId="7AEAC561" w:rsidR="004809E3" w:rsidRPr="009C48FB" w:rsidRDefault="004809E3" w:rsidP="009C48FB">
      <w:pPr>
        <w:pStyle w:val="EndnoteText"/>
        <w:spacing w:line="480" w:lineRule="auto"/>
        <w:rPr>
          <w:sz w:val="24"/>
          <w:szCs w:val="24"/>
        </w:rPr>
      </w:pPr>
    </w:p>
  </w:endnote>
  <w:endnote w:id="29">
    <w:p w14:paraId="51C052C9" w14:textId="154B3164" w:rsidR="004809E3" w:rsidRPr="009C41A6" w:rsidRDefault="004809E3" w:rsidP="009C41A6">
      <w:pPr>
        <w:spacing w:line="480" w:lineRule="auto"/>
      </w:pPr>
      <w:r w:rsidRPr="009C48FB">
        <w:rPr>
          <w:rStyle w:val="EndnoteReference"/>
          <w:vertAlign w:val="baseline"/>
        </w:rPr>
        <w:endnoteRef/>
      </w:r>
      <w:r w:rsidR="00345258" w:rsidRPr="009C41A6">
        <w:t>.</w:t>
      </w:r>
      <w:r w:rsidRPr="009C41A6">
        <w:t xml:space="preserve"> Fritz G, Rockney R. Practice parameter for</w:t>
      </w:r>
      <w:r w:rsidR="00345258" w:rsidRPr="009C41A6">
        <w:t xml:space="preserve"> </w:t>
      </w:r>
      <w:r w:rsidRPr="009C41A6">
        <w:t>the assessment and treatment of children and adolescents with enuresis. J Am Acad Child Adolesc Psychiatry (2004) 43(12):1540-50. doi:10.1097/01.chi.0000142196.41215.cc</w:t>
      </w:r>
    </w:p>
    <w:p w14:paraId="26846510" w14:textId="0A406BD6" w:rsidR="004809E3" w:rsidRPr="009C48FB" w:rsidRDefault="004809E3" w:rsidP="009C48FB">
      <w:pPr>
        <w:pStyle w:val="EndnoteText"/>
        <w:spacing w:line="480" w:lineRule="auto"/>
        <w:rPr>
          <w:sz w:val="24"/>
          <w:szCs w:val="24"/>
        </w:rPr>
      </w:pPr>
    </w:p>
  </w:endnote>
  <w:endnote w:id="30">
    <w:p w14:paraId="4BBF1DD7" w14:textId="7B9B300C" w:rsidR="004809E3" w:rsidRPr="009C41A6" w:rsidRDefault="004809E3" w:rsidP="009C41A6">
      <w:pPr>
        <w:spacing w:line="480" w:lineRule="auto"/>
      </w:pPr>
      <w:r w:rsidRPr="009C48FB">
        <w:rPr>
          <w:rStyle w:val="EndnoteReference"/>
          <w:vertAlign w:val="baseline"/>
        </w:rPr>
        <w:endnoteRef/>
      </w:r>
      <w:r w:rsidR="00345258" w:rsidRPr="009C41A6">
        <w:t>.</w:t>
      </w:r>
      <w:r w:rsidRPr="009C41A6">
        <w:t xml:space="preserve"> Baldwin D, Anderson I, Nutt D, Allgulander C, Bandelow B, A den Boer J, et al.  Evidence-based pharmacological treatment of anxiety disorders, post-traumatic stress disorder and obsessive-compulsive disorder: A revision of the 2005 guidelines from the British Association for Psychopharmacology. J. Psychopharmacol (2014) 28(5):403-439 doi: org/10.1177/0269881114525674.</w:t>
      </w:r>
    </w:p>
    <w:p w14:paraId="72935D11" w14:textId="5F59E4DA" w:rsidR="004809E3" w:rsidRPr="009C48FB" w:rsidRDefault="004809E3" w:rsidP="009C48FB">
      <w:pPr>
        <w:pStyle w:val="EndnoteText"/>
        <w:spacing w:line="480" w:lineRule="auto"/>
        <w:rPr>
          <w:sz w:val="24"/>
          <w:szCs w:val="24"/>
        </w:rPr>
      </w:pPr>
    </w:p>
  </w:endnote>
  <w:endnote w:id="31">
    <w:p w14:paraId="2805464C" w14:textId="00B2837A" w:rsidR="004809E3" w:rsidRPr="009C41A6" w:rsidRDefault="004809E3" w:rsidP="009C41A6">
      <w:pPr>
        <w:spacing w:line="480" w:lineRule="auto"/>
        <w:rPr>
          <w:color w:val="000000" w:themeColor="text1"/>
        </w:rPr>
      </w:pPr>
      <w:r w:rsidRPr="009C48FB">
        <w:rPr>
          <w:rStyle w:val="EndnoteReference"/>
          <w:vertAlign w:val="baseline"/>
        </w:rPr>
        <w:endnoteRef/>
      </w:r>
      <w:r w:rsidR="00345258" w:rsidRPr="009C41A6">
        <w:t>.</w:t>
      </w:r>
      <w:r w:rsidRPr="009C41A6">
        <w:t xml:space="preserve"> </w:t>
      </w:r>
      <w:r w:rsidRPr="009C41A6">
        <w:rPr>
          <w:color w:val="000000" w:themeColor="text1"/>
        </w:rPr>
        <w:t xml:space="preserve">National Institute for Health and Care Excellence. Bedwetting in under 19s (NICE guideline No. 111). (2010) Available at: </w:t>
      </w:r>
      <w:hyperlink r:id="rId16" w:history="1">
        <w:r w:rsidRPr="009C41A6">
          <w:rPr>
            <w:rStyle w:val="Hyperlink"/>
            <w:color w:val="000000" w:themeColor="text1"/>
          </w:rPr>
          <w:t>https://www.nice.org.uk/guidance/cg111</w:t>
        </w:r>
      </w:hyperlink>
      <w:r w:rsidRPr="009C41A6">
        <w:rPr>
          <w:color w:val="000000" w:themeColor="text1"/>
        </w:rPr>
        <w:t xml:space="preserve"> [Accessed 10 January 2020].</w:t>
      </w:r>
    </w:p>
    <w:p w14:paraId="70D4AE21" w14:textId="05A78C31" w:rsidR="004809E3" w:rsidRPr="009C48FB" w:rsidRDefault="004809E3" w:rsidP="009C48FB">
      <w:pPr>
        <w:pStyle w:val="EndnoteText"/>
        <w:spacing w:line="480" w:lineRule="auto"/>
        <w:rPr>
          <w:sz w:val="24"/>
          <w:szCs w:val="24"/>
        </w:rPr>
      </w:pPr>
    </w:p>
  </w:endnote>
  <w:endnote w:id="32">
    <w:p w14:paraId="075881F8" w14:textId="61B82AA1" w:rsidR="004809E3" w:rsidRPr="009C41A6" w:rsidRDefault="004809E3" w:rsidP="009C41A6">
      <w:pPr>
        <w:spacing w:line="480" w:lineRule="auto"/>
        <w:rPr>
          <w:color w:val="000000" w:themeColor="text1"/>
        </w:rPr>
      </w:pPr>
      <w:r w:rsidRPr="009C48FB">
        <w:rPr>
          <w:rStyle w:val="EndnoteReference"/>
          <w:vertAlign w:val="baseline"/>
        </w:rPr>
        <w:endnoteRef/>
      </w:r>
      <w:r w:rsidR="00345258" w:rsidRPr="009C41A6">
        <w:t>.</w:t>
      </w:r>
      <w:r w:rsidRPr="009C41A6">
        <w:t xml:space="preserve"> </w:t>
      </w:r>
      <w:r w:rsidRPr="009C41A6">
        <w:rPr>
          <w:color w:val="000000" w:themeColor="text1"/>
        </w:rPr>
        <w:t>National Institute for Health and Care Excellence. Obsessive-compulsive disorder and body dysmorphic disorder: treatment (NICE guideline No. 31). (2005) Available at: https://www.nice.org.uk/guidance/cg31 [Accessed 10 January 2020].</w:t>
      </w:r>
    </w:p>
    <w:p w14:paraId="3B6566B0" w14:textId="65861B0C" w:rsidR="004809E3" w:rsidRPr="009C48FB" w:rsidRDefault="004809E3" w:rsidP="009C48FB">
      <w:pPr>
        <w:pStyle w:val="EndnoteText"/>
        <w:spacing w:line="480" w:lineRule="auto"/>
        <w:rPr>
          <w:sz w:val="24"/>
          <w:szCs w:val="24"/>
        </w:rPr>
      </w:pPr>
    </w:p>
  </w:endnote>
  <w:endnote w:id="33">
    <w:p w14:paraId="57B38B03" w14:textId="645666F1" w:rsidR="004809E3" w:rsidRPr="009C41A6" w:rsidRDefault="004809E3" w:rsidP="009C41A6">
      <w:pPr>
        <w:spacing w:line="480" w:lineRule="auto"/>
        <w:rPr>
          <w:color w:val="0000FF"/>
          <w:u w:val="single"/>
          <w:lang w:val="it-IT"/>
        </w:rPr>
      </w:pPr>
      <w:r w:rsidRPr="009C48FB">
        <w:rPr>
          <w:rStyle w:val="EndnoteReference"/>
          <w:vertAlign w:val="baseline"/>
        </w:rPr>
        <w:endnoteRef/>
      </w:r>
      <w:r w:rsidR="00345258" w:rsidRPr="009C41A6">
        <w:t>.</w:t>
      </w:r>
      <w:r w:rsidRPr="009C41A6">
        <w:t xml:space="preserve"> </w:t>
      </w:r>
      <w:r w:rsidRPr="009C41A6">
        <w:rPr>
          <w:color w:val="000000"/>
          <w:shd w:val="clear" w:color="auto" w:fill="FFFFFF"/>
        </w:rPr>
        <w:t xml:space="preserve">European Congress of Neuropsychopharmacology. Neuroscience-based Nomenclature. Viewed 10 January 2020. </w:t>
      </w:r>
      <w:r w:rsidRPr="009C41A6">
        <w:rPr>
          <w:color w:val="000000"/>
          <w:shd w:val="clear" w:color="auto" w:fill="FFFFFF"/>
          <w:lang w:val="it-IT"/>
        </w:rPr>
        <w:t>Available at: </w:t>
      </w:r>
      <w:hyperlink r:id="rId17" w:history="1">
        <w:r w:rsidRPr="009C41A6">
          <w:rPr>
            <w:color w:val="0000FF"/>
            <w:u w:val="single"/>
            <w:lang w:val="it-IT"/>
          </w:rPr>
          <w:t>https://nbn2r.com/</w:t>
        </w:r>
      </w:hyperlink>
    </w:p>
    <w:p w14:paraId="5CE5C2F7" w14:textId="3350FAD5" w:rsidR="004809E3" w:rsidRPr="009C48FB" w:rsidRDefault="004809E3" w:rsidP="009C48FB">
      <w:pPr>
        <w:pStyle w:val="EndnoteText"/>
        <w:spacing w:line="480" w:lineRule="auto"/>
        <w:rPr>
          <w:sz w:val="24"/>
          <w:szCs w:val="24"/>
        </w:rPr>
      </w:pPr>
    </w:p>
  </w:endnote>
  <w:endnote w:id="34">
    <w:p w14:paraId="5B57CA3C" w14:textId="5155D197" w:rsidR="004809E3" w:rsidRPr="009C41A6" w:rsidRDefault="004809E3" w:rsidP="009C41A6">
      <w:pPr>
        <w:spacing w:line="480" w:lineRule="auto"/>
      </w:pPr>
      <w:r w:rsidRPr="009C48FB">
        <w:rPr>
          <w:rStyle w:val="EndnoteReference"/>
          <w:vertAlign w:val="baseline"/>
        </w:rPr>
        <w:endnoteRef/>
      </w:r>
      <w:r w:rsidR="00345258" w:rsidRPr="009C41A6">
        <w:t>.</w:t>
      </w:r>
      <w:r w:rsidRPr="009C41A6">
        <w:t xml:space="preserve"> Sultan R.S, Correll C.U, Zohar J, Zalsman G, Veenstra-VanderWeele J. What's in a Name? Moving to Neuroscience-Based Nomenclature in Pediatric Psychopharmacology. J Am Acad Child Adolesc Psychiatry (2018) 57(10):719-721. doi:10.1016/j.jaac.2018.05.024.</w:t>
      </w:r>
    </w:p>
    <w:p w14:paraId="02F2B3BC" w14:textId="17A79687" w:rsidR="004809E3" w:rsidRPr="009C48FB" w:rsidRDefault="004809E3" w:rsidP="009C48FB">
      <w:pPr>
        <w:pStyle w:val="EndnoteText"/>
        <w:spacing w:line="480" w:lineRule="auto"/>
        <w:rPr>
          <w:sz w:val="24"/>
          <w:szCs w:val="24"/>
        </w:rPr>
      </w:pPr>
    </w:p>
  </w:endnote>
  <w:endnote w:id="35">
    <w:p w14:paraId="3D562442" w14:textId="4BE753BC" w:rsidR="004809E3" w:rsidRPr="009C41A6" w:rsidRDefault="004809E3" w:rsidP="009C41A6">
      <w:pPr>
        <w:spacing w:line="480" w:lineRule="auto"/>
        <w:rPr>
          <w:color w:val="000000" w:themeColor="text1"/>
        </w:rPr>
      </w:pPr>
      <w:r w:rsidRPr="009C48FB">
        <w:rPr>
          <w:rStyle w:val="EndnoteReference"/>
          <w:vertAlign w:val="baseline"/>
        </w:rPr>
        <w:endnoteRef/>
      </w:r>
      <w:r w:rsidR="00345258" w:rsidRPr="009C41A6">
        <w:t>.</w:t>
      </w:r>
      <w:r w:rsidRPr="009C41A6">
        <w:t xml:space="preserve"> </w:t>
      </w:r>
      <w:r w:rsidRPr="009C41A6">
        <w:rPr>
          <w:color w:val="000000" w:themeColor="text1"/>
        </w:rPr>
        <w:t xml:space="preserve">Vitiello B, Davico C. Twenty years of progress in paediatric psychopharmacology: accomplishments and unmet needs. Evid Based Ment Health (2018) 21(4):e10. doi: </w:t>
      </w:r>
      <w:r w:rsidRPr="009C48FB">
        <w:rPr>
          <w:color w:val="000000" w:themeColor="text1"/>
        </w:rPr>
        <w:t>10.1136/ebmental-2018-300040</w:t>
      </w:r>
    </w:p>
    <w:p w14:paraId="7F125D89" w14:textId="268F9CDD" w:rsidR="004809E3" w:rsidRPr="009C48FB" w:rsidRDefault="004809E3" w:rsidP="009C48FB">
      <w:pPr>
        <w:pStyle w:val="EndnoteText"/>
        <w:spacing w:line="480" w:lineRule="auto"/>
        <w:rPr>
          <w:sz w:val="24"/>
          <w:szCs w:val="24"/>
        </w:rPr>
      </w:pPr>
    </w:p>
  </w:endnote>
  <w:endnote w:id="36">
    <w:p w14:paraId="59BB5910" w14:textId="5EF23BCE" w:rsidR="004809E3" w:rsidRPr="009C41A6" w:rsidRDefault="004809E3" w:rsidP="009C41A6">
      <w:pPr>
        <w:spacing w:line="480" w:lineRule="auto"/>
        <w:rPr>
          <w:lang w:val="it-IT"/>
        </w:rPr>
      </w:pPr>
      <w:r w:rsidRPr="009C48FB">
        <w:rPr>
          <w:rStyle w:val="EndnoteReference"/>
          <w:vertAlign w:val="baseline"/>
        </w:rPr>
        <w:endnoteRef/>
      </w:r>
      <w:r w:rsidR="00345258" w:rsidRPr="009C41A6">
        <w:t>.</w:t>
      </w:r>
      <w:r w:rsidRPr="009C41A6">
        <w:t xml:space="preserve"> </w:t>
      </w:r>
      <w:r w:rsidRPr="009C41A6">
        <w:rPr>
          <w:lang w:val="it-IT"/>
        </w:rPr>
        <w:t>Cipriani A, Geddes JR, Furukawa TA, Barbui C. Metareview on short-term effectiveness and safety of antidepressants for depression: an evidence-based approach to inform clinical practice. Can J Psychiatry (2007) 52(9):553–562. doi:10.1177/070674370705200903.</w:t>
      </w:r>
    </w:p>
    <w:p w14:paraId="7CDE0E91" w14:textId="0C5BEACD" w:rsidR="004809E3" w:rsidRPr="009C48FB" w:rsidRDefault="004809E3" w:rsidP="009C48FB">
      <w:pPr>
        <w:pStyle w:val="EndnoteText"/>
        <w:spacing w:line="480" w:lineRule="auto"/>
        <w:rPr>
          <w:sz w:val="24"/>
          <w:szCs w:val="24"/>
        </w:rPr>
      </w:pPr>
    </w:p>
  </w:endnote>
  <w:endnote w:id="37">
    <w:p w14:paraId="202BA7B1" w14:textId="343E9305" w:rsidR="004809E3" w:rsidRPr="009C41A6" w:rsidRDefault="004809E3" w:rsidP="009C41A6">
      <w:pPr>
        <w:spacing w:line="480" w:lineRule="auto"/>
      </w:pPr>
      <w:r w:rsidRPr="009C48FB">
        <w:rPr>
          <w:rStyle w:val="EndnoteReference"/>
          <w:vertAlign w:val="baseline"/>
        </w:rPr>
        <w:endnoteRef/>
      </w:r>
      <w:r w:rsidR="00345258" w:rsidRPr="009C41A6">
        <w:t>.</w:t>
      </w:r>
      <w:r w:rsidRPr="009C41A6">
        <w:t xml:space="preserve"> Furukawa TA, Cipriani A, Atkinson LZ, Leucht S, Ogawa Y, Takeshima N, et al. Placebo response rates in antidepressant trials: a systematic review of published and unpublished double-blind randomised controlled studies. Lancet Psychiatry (2016) 3(11):1059-66.</w:t>
      </w:r>
      <w:r w:rsidR="008E2A1C" w:rsidRPr="009C41A6">
        <w:t xml:space="preserve"> doi: </w:t>
      </w:r>
      <w:hyperlink r:id="rId18" w:tgtFrame="_blank" w:history="1">
        <w:r w:rsidR="008E2A1C" w:rsidRPr="009C41A6">
          <w:rPr>
            <w:rStyle w:val="Hyperlink"/>
          </w:rPr>
          <w:t>10.1016/S2215-0366(16)30307-8</w:t>
        </w:r>
      </w:hyperlink>
    </w:p>
    <w:p w14:paraId="1F046F6B" w14:textId="2EDCE196" w:rsidR="004809E3" w:rsidRPr="009C48FB" w:rsidRDefault="004809E3" w:rsidP="009C48FB">
      <w:pPr>
        <w:pStyle w:val="EndnoteText"/>
        <w:spacing w:line="480" w:lineRule="auto"/>
        <w:rPr>
          <w:sz w:val="24"/>
          <w:szCs w:val="24"/>
        </w:rPr>
      </w:pPr>
    </w:p>
  </w:endnote>
  <w:endnote w:id="38">
    <w:p w14:paraId="12C33CAD" w14:textId="5419B0E1" w:rsidR="004809E3" w:rsidRPr="009C41A6" w:rsidRDefault="004809E3" w:rsidP="009C41A6">
      <w:pPr>
        <w:spacing w:line="480" w:lineRule="auto"/>
      </w:pPr>
      <w:r w:rsidRPr="009C48FB">
        <w:rPr>
          <w:rStyle w:val="EndnoteReference"/>
          <w:vertAlign w:val="baseline"/>
        </w:rPr>
        <w:endnoteRef/>
      </w:r>
      <w:r w:rsidR="00345258" w:rsidRPr="009C41A6">
        <w:t>.</w:t>
      </w:r>
      <w:r w:rsidRPr="009C41A6">
        <w:t xml:space="preserve"> Shinohara K, Tanaka S, Imai H, Noma H, Maruo K, Cipriani A, et al. Development and validation of a prediction model for the probability of responding to placebo in antidepressant trials: a pooled analysis of individual patient data. Evid Based Ment Health (2019) 22(1):10-16. doi: </w:t>
      </w:r>
      <w:hyperlink r:id="rId19" w:tgtFrame="_blank" w:history="1">
        <w:r w:rsidRPr="009C41A6">
          <w:rPr>
            <w:rStyle w:val="Hyperlink"/>
          </w:rPr>
          <w:t>10.1136/ebmental-2018-300073</w:t>
        </w:r>
      </w:hyperlink>
    </w:p>
    <w:p w14:paraId="3D6D49CF" w14:textId="5EBA3A92" w:rsidR="004809E3" w:rsidRPr="009C48FB" w:rsidRDefault="004809E3" w:rsidP="009C48FB">
      <w:pPr>
        <w:pStyle w:val="EndnoteText"/>
        <w:spacing w:line="480" w:lineRule="auto"/>
        <w:rPr>
          <w:sz w:val="24"/>
          <w:szCs w:val="24"/>
        </w:rPr>
      </w:pPr>
    </w:p>
  </w:endnote>
  <w:endnote w:id="39">
    <w:p w14:paraId="5735BC6F" w14:textId="78A39B33" w:rsidR="00345258" w:rsidRPr="009C41A6" w:rsidRDefault="004809E3" w:rsidP="009C48FB">
      <w:pPr>
        <w:spacing w:line="480" w:lineRule="auto"/>
      </w:pPr>
      <w:r w:rsidRPr="009C41A6">
        <w:rPr>
          <w:rStyle w:val="EndnoteReference"/>
          <w:vertAlign w:val="baseline"/>
        </w:rPr>
        <w:endnoteRef/>
      </w:r>
      <w:r w:rsidR="00345258" w:rsidRPr="009C41A6">
        <w:t>.</w:t>
      </w:r>
      <w:r w:rsidRPr="009C41A6">
        <w:t xml:space="preserve"> Cox G, Hetrick S. Psychosocial interventions for self-harm, suicidal ideation and suicide attempt in children and young people: What? How? Who? and Where? Evid Based Ment Health (2017) 20(2):35-40. doi:</w:t>
      </w:r>
      <w:hyperlink r:id="rId20" w:tgtFrame="_blank" w:history="1">
        <w:r w:rsidRPr="009C41A6">
          <w:rPr>
            <w:rStyle w:val="Hyperlink"/>
          </w:rPr>
          <w:t>10.1136/eb-2017-102667</w:t>
        </w:r>
      </w:hyperlink>
    </w:p>
    <w:p w14:paraId="08415DBA" w14:textId="6C02B93C" w:rsidR="004809E3" w:rsidRPr="00130358" w:rsidRDefault="004809E3" w:rsidP="009C48FB">
      <w:pPr>
        <w:spacing w:line="480" w:lineRule="auto"/>
      </w:pPr>
    </w:p>
  </w:endnote>
  <w:endnote w:id="40">
    <w:p w14:paraId="137F2FB5" w14:textId="1E535CBA" w:rsidR="004809E3" w:rsidRPr="00130358" w:rsidRDefault="004809E3" w:rsidP="009C48FB">
      <w:pPr>
        <w:spacing w:line="480" w:lineRule="auto"/>
      </w:pPr>
      <w:r w:rsidRPr="009C41A6">
        <w:rPr>
          <w:rStyle w:val="EndnoteReference"/>
          <w:vertAlign w:val="baseline"/>
        </w:rPr>
        <w:endnoteRef/>
      </w:r>
      <w:r w:rsidR="00345258" w:rsidRPr="009C41A6">
        <w:t>.</w:t>
      </w:r>
      <w:r w:rsidRPr="009C41A6">
        <w:t xml:space="preserve"> Spielmans GI, Spence-Sing T, Parry P. Duty to Warn: Antidepressant Black Box Suicidality Warning Is Empirically Justified. Front Psychiatry (2020) 11:18. doi:10.3389/fpsyt.2020.00018</w:t>
      </w:r>
    </w:p>
  </w:endnote>
  <w:endnote w:id="41">
    <w:p w14:paraId="79543315" w14:textId="36D0EC9C" w:rsidR="004809E3" w:rsidRPr="009C48FB" w:rsidRDefault="004809E3" w:rsidP="009C48FB">
      <w:pPr>
        <w:pStyle w:val="EndnoteText"/>
        <w:spacing w:line="480" w:lineRule="auto"/>
        <w:rPr>
          <w:sz w:val="24"/>
          <w:szCs w:val="24"/>
        </w:rPr>
      </w:pPr>
      <w:r w:rsidRPr="009C48FB">
        <w:rPr>
          <w:rStyle w:val="EndnoteReference"/>
          <w:sz w:val="24"/>
          <w:szCs w:val="24"/>
          <w:vertAlign w:val="baseline"/>
        </w:rPr>
        <w:endnoteRef/>
      </w:r>
      <w:r w:rsidR="00345258" w:rsidRPr="009C48FB">
        <w:rPr>
          <w:sz w:val="24"/>
          <w:szCs w:val="24"/>
        </w:rPr>
        <w:t>.</w:t>
      </w:r>
      <w:r w:rsidRPr="009C48FB">
        <w:rPr>
          <w:sz w:val="24"/>
          <w:szCs w:val="24"/>
        </w:rPr>
        <w:t xml:space="preserve"> Whiting D &amp; Fazel S. How accurate are suicide risk prediction models? Asking the right questions for clinical practice</w:t>
      </w:r>
      <w:r w:rsidRPr="009C41A6">
        <w:rPr>
          <w:sz w:val="24"/>
          <w:szCs w:val="24"/>
        </w:rPr>
        <w:t xml:space="preserve">. </w:t>
      </w:r>
      <w:r w:rsidRPr="009C48FB">
        <w:rPr>
          <w:iCs/>
          <w:sz w:val="24"/>
          <w:szCs w:val="24"/>
        </w:rPr>
        <w:t>Evid Based Ment Health</w:t>
      </w:r>
      <w:r w:rsidRPr="009C48FB">
        <w:rPr>
          <w:sz w:val="24"/>
          <w:szCs w:val="24"/>
        </w:rPr>
        <w:t xml:space="preserve"> (2019) </w:t>
      </w:r>
      <w:r w:rsidRPr="009C48FB">
        <w:rPr>
          <w:bCs/>
          <w:sz w:val="24"/>
          <w:szCs w:val="24"/>
        </w:rPr>
        <w:t>22:</w:t>
      </w:r>
      <w:r w:rsidRPr="009C48FB">
        <w:rPr>
          <w:sz w:val="24"/>
          <w:szCs w:val="24"/>
        </w:rPr>
        <w:t>125-128</w:t>
      </w:r>
      <w:r w:rsidR="0030200B" w:rsidRPr="009C41A6">
        <w:rPr>
          <w:sz w:val="24"/>
          <w:szCs w:val="24"/>
        </w:rPr>
        <w:t>. doi:</w:t>
      </w:r>
      <w:hyperlink r:id="rId21" w:tgtFrame="_new" w:history="1">
        <w:r w:rsidR="0030200B" w:rsidRPr="009C41A6">
          <w:rPr>
            <w:rStyle w:val="Hyperlink"/>
            <w:sz w:val="24"/>
            <w:szCs w:val="24"/>
          </w:rPr>
          <w:t>10.1136/ebmental-2019-300102</w:t>
        </w:r>
      </w:hyperlink>
    </w:p>
    <w:p w14:paraId="4D9FAB33" w14:textId="643CFD69" w:rsidR="004809E3" w:rsidRPr="009C48FB" w:rsidRDefault="004809E3" w:rsidP="009C48FB">
      <w:pPr>
        <w:pStyle w:val="EndnoteText"/>
        <w:spacing w:line="480" w:lineRule="auto"/>
        <w:rPr>
          <w:sz w:val="24"/>
          <w:szCs w:val="24"/>
        </w:rPr>
      </w:pPr>
    </w:p>
  </w:endnote>
  <w:endnote w:id="42">
    <w:p w14:paraId="03808D7C" w14:textId="7CAFA485" w:rsidR="004809E3" w:rsidRPr="00130358" w:rsidRDefault="004809E3" w:rsidP="009C48FB">
      <w:pPr>
        <w:spacing w:line="480" w:lineRule="auto"/>
      </w:pPr>
      <w:r w:rsidRPr="009C41A6">
        <w:rPr>
          <w:rStyle w:val="EndnoteReference"/>
          <w:vertAlign w:val="baseline"/>
        </w:rPr>
        <w:endnoteRef/>
      </w:r>
      <w:r w:rsidR="00345258" w:rsidRPr="009C41A6">
        <w:t xml:space="preserve">. </w:t>
      </w:r>
      <w:r w:rsidRPr="009C41A6">
        <w:t>Pollock M, Fernandes RM, Becker LA, Pieper D, Hartling L. Chapter V: Overviews of Reviews. In: Higgins JPT, Thomas J, Chandler J, Cumpston M, Li T, Page MJ, Welch VA (editors). Cochrane Handbook for Systematic Reviews of Interventions version 6.0 (updated March 2020). Cochrane, 2020. Available from www.training.cochrane.org/handbook</w:t>
      </w:r>
    </w:p>
  </w:endnote>
  <w:endnote w:id="43">
    <w:p w14:paraId="6E42FCC9" w14:textId="77777777" w:rsidR="008C4F8D" w:rsidRPr="009C41A6" w:rsidRDefault="008C4F8D" w:rsidP="009C41A6">
      <w:pPr>
        <w:spacing w:line="480" w:lineRule="auto"/>
      </w:pPr>
    </w:p>
    <w:p w14:paraId="48245292" w14:textId="46C6014E" w:rsidR="004809E3" w:rsidRPr="00130358" w:rsidRDefault="004809E3" w:rsidP="009C48FB">
      <w:pPr>
        <w:spacing w:line="480" w:lineRule="auto"/>
      </w:pPr>
      <w:r w:rsidRPr="009C41A6">
        <w:rPr>
          <w:rStyle w:val="EndnoteReference"/>
          <w:vertAlign w:val="baseline"/>
        </w:rPr>
        <w:endnoteRef/>
      </w:r>
      <w:r w:rsidR="00345258" w:rsidRPr="009C41A6">
        <w:t>.</w:t>
      </w:r>
      <w:r w:rsidRPr="009C41A6">
        <w:t xml:space="preserve"> Tiffin PA, Mediavilla JL, Close H, Kasim AS, Welsh P, Paton LW, et al. What were the impacts of the Committee on Safety of Medicines warning and publication of the NICE guidelines on trends in child and adolescent antidepressant prescribing in primary care? A population based study. BMJ Open (2019) 9:e028201. doi:10.1136/bmjopen-2018-028201.</w:t>
      </w:r>
    </w:p>
  </w:endnote>
  <w:endnote w:id="44">
    <w:p w14:paraId="4F921B6D" w14:textId="77777777" w:rsidR="009C41A6" w:rsidRPr="009C41A6" w:rsidRDefault="009C41A6" w:rsidP="009C41A6">
      <w:pPr>
        <w:spacing w:line="480" w:lineRule="auto"/>
      </w:pPr>
    </w:p>
    <w:p w14:paraId="37BF066A" w14:textId="17C16E9B" w:rsidR="004809E3" w:rsidRPr="00130358" w:rsidRDefault="004809E3" w:rsidP="009C48FB">
      <w:pPr>
        <w:spacing w:line="480" w:lineRule="auto"/>
      </w:pPr>
      <w:r w:rsidRPr="009C41A6">
        <w:rPr>
          <w:rStyle w:val="EndnoteReference"/>
          <w:vertAlign w:val="baseline"/>
        </w:rPr>
        <w:endnoteRef/>
      </w:r>
      <w:r w:rsidR="00345258" w:rsidRPr="009C41A6">
        <w:t>.</w:t>
      </w:r>
      <w:r w:rsidRPr="009C41A6">
        <w:t xml:space="preserve"> Turner EH, Matthews AM, Linardatos E, Tell RA, Rosenthal R. Selective publication of antidepressant trials and its influence on apparent efficacy. N Engl J Med. (2008) 358(3):252–260. doi:10.1056/NEJMsa065779.</w:t>
      </w:r>
    </w:p>
  </w:endnote>
  <w:endnote w:id="45">
    <w:p w14:paraId="54386335" w14:textId="77777777" w:rsidR="009C48FB" w:rsidRDefault="009C48FB" w:rsidP="009C48FB">
      <w:pPr>
        <w:pStyle w:val="content-description-block-title"/>
        <w:shd w:val="clear" w:color="auto" w:fill="FFFFFF"/>
        <w:spacing w:before="0" w:beforeAutospacing="0" w:after="0" w:afterAutospacing="0" w:line="480" w:lineRule="auto"/>
      </w:pPr>
    </w:p>
    <w:p w14:paraId="6A27786D" w14:textId="4D586C1D" w:rsidR="004809E3" w:rsidRPr="00130358" w:rsidRDefault="004809E3" w:rsidP="009C48FB">
      <w:pPr>
        <w:pStyle w:val="content-description-block-title"/>
        <w:shd w:val="clear" w:color="auto" w:fill="FFFFFF"/>
        <w:spacing w:before="0" w:beforeAutospacing="0" w:after="0" w:afterAutospacing="0" w:line="480" w:lineRule="auto"/>
      </w:pPr>
      <w:r w:rsidRPr="009C41A6">
        <w:rPr>
          <w:rStyle w:val="EndnoteReference"/>
          <w:vertAlign w:val="baseline"/>
        </w:rPr>
        <w:endnoteRef/>
      </w:r>
      <w:r w:rsidR="00345258" w:rsidRPr="009C41A6">
        <w:t>.</w:t>
      </w:r>
      <w:r w:rsidRPr="009C41A6">
        <w:t xml:space="preserve"> Le Noury J, Nardo JM, Healy D, Jureidini J, Raven M, Tufanaru C et al. </w:t>
      </w:r>
      <w:r w:rsidRPr="009C41A6">
        <w:rPr>
          <w:lang w:val="en-US"/>
        </w:rPr>
        <w:t>Restoring Study 329: efficacy and harms of paroxetine and imipramine in treatment of major depression in adolescence. BMJ (2015) 351:h4320. doi:10.1136/bmj.h4320.</w:t>
      </w:r>
    </w:p>
  </w:endnote>
  <w:endnote w:id="46">
    <w:p w14:paraId="2A44748B" w14:textId="77777777" w:rsidR="009C48FB" w:rsidRDefault="009C48FB" w:rsidP="009C48FB">
      <w:pPr>
        <w:spacing w:line="480" w:lineRule="auto"/>
      </w:pPr>
    </w:p>
    <w:p w14:paraId="6C96CC7D" w14:textId="1242DDD2" w:rsidR="008C4F8D" w:rsidRPr="009C41A6" w:rsidRDefault="004809E3" w:rsidP="009C48FB">
      <w:pPr>
        <w:spacing w:line="480" w:lineRule="auto"/>
      </w:pPr>
      <w:r w:rsidRPr="009C48FB">
        <w:rPr>
          <w:rStyle w:val="EndnoteReference"/>
          <w:vertAlign w:val="baseline"/>
        </w:rPr>
        <w:endnoteRef/>
      </w:r>
      <w:r w:rsidR="00345258" w:rsidRPr="009C41A6">
        <w:t>.</w:t>
      </w:r>
      <w:r w:rsidRPr="009C41A6">
        <w:t xml:space="preserve"> Emslie G.J, Heiligenstein J.H, Hoog S.L, Wagner K.D, Findling R.L, McCracken, J.T, et al. Fluoxetine treatment for prevention of relapse of depression in children and adolescents: a double-blind, placebo-controlled study. J Am Acad Child Adolesc Psychiatry (2004) 43(11):1397-405. doi:</w:t>
      </w:r>
      <w:r w:rsidR="008C4F8D" w:rsidRPr="009C48FB">
        <w:rPr>
          <w:color w:val="212121"/>
          <w:lang w:eastAsia="en-US"/>
        </w:rPr>
        <w:t xml:space="preserve"> </w:t>
      </w:r>
      <w:hyperlink r:id="rId22" w:tgtFrame="_blank" w:history="1">
        <w:r w:rsidR="008C4F8D" w:rsidRPr="009C41A6">
          <w:rPr>
            <w:rStyle w:val="Hyperlink"/>
          </w:rPr>
          <w:t>10.1097/01.chi.0000140453.89323.57</w:t>
        </w:r>
      </w:hyperlink>
    </w:p>
    <w:p w14:paraId="64B84516" w14:textId="72E79B5D" w:rsidR="004809E3" w:rsidRPr="009C48FB" w:rsidRDefault="004809E3" w:rsidP="009C48FB">
      <w:pPr>
        <w:pStyle w:val="EndnoteText"/>
        <w:spacing w:line="480" w:lineRule="auto"/>
        <w:rPr>
          <w:sz w:val="24"/>
          <w:szCs w:val="24"/>
        </w:rPr>
      </w:pPr>
    </w:p>
  </w:endnote>
  <w:endnote w:id="47">
    <w:p w14:paraId="02CF465C" w14:textId="36D14C51" w:rsidR="004809E3" w:rsidRPr="009C41A6" w:rsidRDefault="004809E3" w:rsidP="009C41A6">
      <w:pPr>
        <w:spacing w:line="480" w:lineRule="auto"/>
        <w:rPr>
          <w:lang w:val="it-IT"/>
        </w:rPr>
      </w:pPr>
      <w:r w:rsidRPr="009C48FB">
        <w:rPr>
          <w:rStyle w:val="EndnoteReference"/>
          <w:vertAlign w:val="baseline"/>
        </w:rPr>
        <w:endnoteRef/>
      </w:r>
      <w:r w:rsidR="009C41A6" w:rsidRPr="009C41A6">
        <w:t>.</w:t>
      </w:r>
      <w:r w:rsidRPr="009C41A6">
        <w:t xml:space="preserve"> Chang Z, Ghirardi L, Quinn P.D, Asherson, P, D'Onofrio B.M, Larsson H. Risks and Benefits of Attention-Deficit/Hyperactivity Disorder Medication on Behavioral and Neuropsychiatric Outcomes: A Qualitative Review of Pharmacoepidemiology Studies Using Linked Prescription Databases. </w:t>
      </w:r>
      <w:r w:rsidRPr="009C41A6">
        <w:rPr>
          <w:lang w:val="it-IT"/>
        </w:rPr>
        <w:t xml:space="preserve">Biol Psychiatry (2019) 1;86(5):335-343. doi:10.1016/j.biopsych.2019.04.009. </w:t>
      </w:r>
    </w:p>
    <w:p w14:paraId="1F941623" w14:textId="27B72F0E" w:rsidR="004809E3" w:rsidRPr="009C48FB" w:rsidRDefault="004809E3" w:rsidP="009C48FB">
      <w:pPr>
        <w:pStyle w:val="EndnoteText"/>
        <w:spacing w:line="480" w:lineRule="auto"/>
        <w:rPr>
          <w:sz w:val="24"/>
          <w:szCs w:val="24"/>
        </w:rPr>
      </w:pPr>
    </w:p>
  </w:endnote>
  <w:endnote w:id="48">
    <w:p w14:paraId="4B92C204" w14:textId="16699B4A" w:rsidR="004809E3" w:rsidRPr="009C41A6" w:rsidRDefault="004809E3" w:rsidP="009C41A6">
      <w:pPr>
        <w:spacing w:line="480" w:lineRule="auto"/>
      </w:pPr>
      <w:r w:rsidRPr="009C48FB">
        <w:rPr>
          <w:rStyle w:val="EndnoteReference"/>
          <w:vertAlign w:val="baseline"/>
        </w:rPr>
        <w:endnoteRef/>
      </w:r>
      <w:r w:rsidR="009C41A6" w:rsidRPr="009C41A6">
        <w:t>.</w:t>
      </w:r>
      <w:r w:rsidRPr="009C41A6">
        <w:t xml:space="preserve"> Tomlinson A, Efthimiou O , Boaden K , New E, Mather S, Salanti G, et al . Side effect profile and comparative tolerability of 21 antidepressants in the acute treatment of major depression in adults: protocol for a network meta-analysis. Evid Based Ment Health (2019a) 22:61–6. doi:10.1136/ebmental-2019-300087.</w:t>
      </w:r>
    </w:p>
    <w:p w14:paraId="05FB0DF2" w14:textId="00C6C12A" w:rsidR="004809E3" w:rsidRPr="009C48FB" w:rsidRDefault="004809E3" w:rsidP="009C48FB">
      <w:pPr>
        <w:pStyle w:val="EndnoteText"/>
        <w:spacing w:line="480" w:lineRule="auto"/>
        <w:rPr>
          <w:sz w:val="24"/>
          <w:szCs w:val="24"/>
        </w:rPr>
      </w:pPr>
    </w:p>
  </w:endnote>
  <w:endnote w:id="49">
    <w:p w14:paraId="715E57F2" w14:textId="6C7733E1" w:rsidR="004809E3" w:rsidRPr="009C41A6" w:rsidRDefault="004809E3" w:rsidP="009C41A6">
      <w:pPr>
        <w:spacing w:line="480" w:lineRule="auto"/>
      </w:pPr>
      <w:r w:rsidRPr="009C48FB">
        <w:rPr>
          <w:rStyle w:val="EndnoteReference"/>
          <w:vertAlign w:val="baseline"/>
        </w:rPr>
        <w:endnoteRef/>
      </w:r>
      <w:r w:rsidR="009C41A6" w:rsidRPr="009C41A6">
        <w:t>.</w:t>
      </w:r>
      <w:r w:rsidRPr="009C41A6">
        <w:t xml:space="preserve"> </w:t>
      </w:r>
      <w:r w:rsidRPr="009C41A6">
        <w:rPr>
          <w:color w:val="212121"/>
          <w:shd w:val="clear" w:color="auto" w:fill="FFFFFF"/>
        </w:rPr>
        <w:t>Tomlinson A, Boaden K, Cipriani A. Withdrawal, dependence and adverse events of antidepressants: lessons from patients and data. </w:t>
      </w:r>
      <w:r w:rsidRPr="009C48FB">
        <w:rPr>
          <w:iCs/>
          <w:color w:val="212121"/>
          <w:shd w:val="clear" w:color="auto" w:fill="FFFFFF"/>
        </w:rPr>
        <w:t>Evid Based Ment Health</w:t>
      </w:r>
      <w:r w:rsidRPr="009C41A6">
        <w:rPr>
          <w:color w:val="212121"/>
          <w:shd w:val="clear" w:color="auto" w:fill="FFFFFF"/>
        </w:rPr>
        <w:t>. (2019b) 22(4):137-138. doi:10.1136/ebmental-2019-300121.</w:t>
      </w:r>
    </w:p>
    <w:p w14:paraId="1C1E27E4" w14:textId="63A9B78B" w:rsidR="004809E3" w:rsidRPr="009C48FB" w:rsidRDefault="004809E3" w:rsidP="009C48FB">
      <w:pPr>
        <w:pStyle w:val="EndnoteText"/>
        <w:spacing w:line="480" w:lineRule="auto"/>
        <w:rPr>
          <w:sz w:val="24"/>
          <w:szCs w:val="24"/>
        </w:rPr>
      </w:pPr>
    </w:p>
  </w:endnote>
  <w:endnote w:id="50">
    <w:p w14:paraId="5DEFF46B" w14:textId="340E4250" w:rsidR="004809E3" w:rsidRPr="00130358" w:rsidRDefault="004809E3" w:rsidP="009C48FB">
      <w:pPr>
        <w:spacing w:line="480" w:lineRule="auto"/>
      </w:pPr>
      <w:r w:rsidRPr="009C41A6">
        <w:rPr>
          <w:rStyle w:val="EndnoteReference"/>
          <w:vertAlign w:val="baseline"/>
        </w:rPr>
        <w:endnoteRef/>
      </w:r>
      <w:r w:rsidR="009C41A6" w:rsidRPr="009C41A6">
        <w:t>.</w:t>
      </w:r>
      <w:r w:rsidRPr="009C41A6">
        <w:t xml:space="preserve"> Henshall C, Cipriani A, Ruvolo D, Macdonald O, Wolters L, Koychev I. Implementing a digital clinical decision support tool for side effects of antipsychotics: a focus group study. Evid Based Ment Health (2019) 22(2):56-60.</w:t>
      </w:r>
      <w:r w:rsidR="008C4F8D" w:rsidRPr="009C41A6">
        <w:t xml:space="preserve"> doi:</w:t>
      </w:r>
      <w:r w:rsidR="008C4F8D" w:rsidRPr="009C41A6">
        <w:rPr>
          <w:lang w:eastAsia="en-US"/>
        </w:rPr>
        <w:t xml:space="preserve"> </w:t>
      </w:r>
      <w:hyperlink r:id="rId23" w:tgtFrame="_new" w:history="1">
        <w:r w:rsidR="008C4F8D" w:rsidRPr="009C41A6">
          <w:rPr>
            <w:rStyle w:val="Hyperlink"/>
          </w:rPr>
          <w:t>10.1136/ebmental-2019-300086</w:t>
        </w:r>
      </w:hyperlink>
    </w:p>
  </w:endnote>
  <w:endnote w:id="51">
    <w:p w14:paraId="3731B118" w14:textId="77777777" w:rsidR="009C48FB" w:rsidRDefault="009C48FB" w:rsidP="009C48FB">
      <w:pPr>
        <w:pStyle w:val="content-description-block-title"/>
        <w:shd w:val="clear" w:color="auto" w:fill="FFFFFF"/>
        <w:spacing w:before="0" w:beforeAutospacing="0" w:after="0" w:afterAutospacing="0" w:line="480" w:lineRule="auto"/>
      </w:pPr>
    </w:p>
    <w:p w14:paraId="1C1CB413" w14:textId="1F37B544" w:rsidR="004809E3" w:rsidRPr="009C41A6" w:rsidRDefault="004809E3" w:rsidP="009C48FB">
      <w:pPr>
        <w:pStyle w:val="content-description-block-title"/>
        <w:shd w:val="clear" w:color="auto" w:fill="FFFFFF"/>
        <w:spacing w:before="0" w:beforeAutospacing="0" w:after="0" w:afterAutospacing="0" w:line="480" w:lineRule="auto"/>
      </w:pPr>
      <w:r w:rsidRPr="009C41A6">
        <w:rPr>
          <w:rStyle w:val="EndnoteReference"/>
          <w:vertAlign w:val="baseline"/>
        </w:rPr>
        <w:endnoteRef/>
      </w:r>
      <w:r w:rsidR="009C41A6" w:rsidRPr="009C41A6">
        <w:t>.</w:t>
      </w:r>
      <w:r w:rsidRPr="009C41A6">
        <w:t xml:space="preserve"> </w:t>
      </w:r>
      <w:r w:rsidRPr="009C41A6">
        <w:rPr>
          <w:lang w:val="en-US"/>
        </w:rPr>
        <w:t>Kernot C, Tomlinson A, Chevance A, Cipriani, A. One step closer to personalised prescribing of antidepressants: using real-world data together with patients and clinicians' preferences. Evid Based Ment Health (2019) 22:91-92. doi:</w:t>
      </w:r>
      <w:hyperlink r:id="rId24" w:tgtFrame="_new" w:history="1">
        <w:r w:rsidRPr="009C41A6">
          <w:rPr>
            <w:rStyle w:val="Hyperlink"/>
          </w:rPr>
          <w:t>10.1136/ebmental-2019-300105</w:t>
        </w:r>
      </w:hyperlink>
    </w:p>
  </w:endnote>
  <w:endnote w:id="52">
    <w:p w14:paraId="73CFF89B" w14:textId="77777777" w:rsidR="009C48FB" w:rsidRDefault="009C48FB" w:rsidP="009C41A6">
      <w:pPr>
        <w:spacing w:line="480" w:lineRule="auto"/>
      </w:pPr>
    </w:p>
    <w:p w14:paraId="154EC662" w14:textId="0863B2D3" w:rsidR="004809E3" w:rsidRPr="009C41A6" w:rsidRDefault="004809E3" w:rsidP="009C41A6">
      <w:pPr>
        <w:spacing w:line="480" w:lineRule="auto"/>
      </w:pPr>
      <w:r w:rsidRPr="009C48FB">
        <w:rPr>
          <w:rStyle w:val="EndnoteReference"/>
          <w:vertAlign w:val="baseline"/>
        </w:rPr>
        <w:endnoteRef/>
      </w:r>
      <w:r w:rsidR="009C41A6" w:rsidRPr="009C41A6">
        <w:t>.</w:t>
      </w:r>
      <w:r w:rsidRPr="009C41A6">
        <w:t xml:space="preserve"> Tomlinson A, Furukawa TA, Efthimiou O</w:t>
      </w:r>
      <w:r w:rsidRPr="009C41A6">
        <w:rPr>
          <w:iCs/>
        </w:rPr>
        <w:t>, Salanti, G, De Cresenzo F, Singh, I, et al.</w:t>
      </w:r>
      <w:r w:rsidRPr="009C41A6">
        <w:t xml:space="preserve"> Personalise antidepressant treatment for unipolar depression combining individual choices, risks and big data (PETRUSHKA): rationale and protocol. Evid Based Ment Health (2020) 23(2):52-56. doi:10.1136/ebmental-2019-300118.</w:t>
      </w:r>
    </w:p>
    <w:p w14:paraId="739B1CA7" w14:textId="469CE61C" w:rsidR="004809E3" w:rsidRPr="009C48FB" w:rsidRDefault="004809E3" w:rsidP="009C48FB">
      <w:pPr>
        <w:pStyle w:val="EndnoteText"/>
        <w:spacing w:line="480" w:lineRule="auto"/>
        <w:rPr>
          <w:sz w:val="24"/>
          <w:szCs w:val="24"/>
        </w:rPr>
      </w:pPr>
    </w:p>
  </w:endnote>
  <w:endnote w:id="53">
    <w:p w14:paraId="7EAB2119" w14:textId="54B7538E" w:rsidR="004809E3" w:rsidRPr="009C41A6" w:rsidRDefault="004809E3" w:rsidP="009C48FB">
      <w:pPr>
        <w:spacing w:line="480" w:lineRule="auto"/>
      </w:pPr>
      <w:r w:rsidRPr="009C48FB">
        <w:rPr>
          <w:rStyle w:val="EndnoteReference"/>
          <w:vertAlign w:val="baseline"/>
        </w:rPr>
        <w:endnoteRef/>
      </w:r>
      <w:r w:rsidR="009C41A6" w:rsidRPr="009C41A6">
        <w:t>.</w:t>
      </w:r>
      <w:r w:rsidRPr="009C41A6">
        <w:t xml:space="preserve"> Cipriani A, Tomlinson A. Providing the most appropriate care to our individual patients. Evid Based Ment Health (2019) 22(1):1-2. doi:</w:t>
      </w:r>
      <w:hyperlink r:id="rId25" w:tgtFrame="_blank" w:history="1">
        <w:r w:rsidRPr="009C41A6">
          <w:rPr>
            <w:rStyle w:val="Hyperlink"/>
          </w:rPr>
          <w:t>10.1136/ebmental-2019-300080</w:t>
        </w:r>
      </w:hyperlink>
    </w:p>
    <w:p w14:paraId="71272AF3" w14:textId="47CBFB96" w:rsidR="004809E3" w:rsidRPr="009C41A6" w:rsidRDefault="004809E3" w:rsidP="009C41A6">
      <w:pPr>
        <w:spacing w:line="480" w:lineRule="auto"/>
      </w:pPr>
    </w:p>
    <w:p w14:paraId="27FBCE4C" w14:textId="0715F35D" w:rsidR="004809E3" w:rsidRDefault="004809E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D3D87" w14:textId="11D13F46" w:rsidR="004809E3" w:rsidRPr="00577C4C" w:rsidRDefault="004809E3">
    <w:pPr>
      <w:pStyle w:val="Footer"/>
      <w:rPr>
        <w:color w:val="C00000"/>
        <w:szCs w:val="24"/>
      </w:rPr>
    </w:pPr>
    <w:r>
      <w:rPr>
        <w:noProof/>
        <w:lang w:val="en-GB" w:eastAsia="en-GB"/>
      </w:rPr>
      <mc:AlternateContent>
        <mc:Choice Requires="wps">
          <w:drawing>
            <wp:anchor distT="0" distB="0" distL="114300" distR="114300" simplePos="0" relativeHeight="251665408" behindDoc="0" locked="0" layoutInCell="1" allowOverlap="1" wp14:anchorId="51D4B8BD" wp14:editId="23752C42">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14951C5" w14:textId="77777777" w:rsidR="004809E3" w:rsidRPr="00577C4C" w:rsidRDefault="004809E3">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1D4B8BD" id="_x0000_t202" coordsize="21600,21600" o:spt="202" path="m,l,21600r21600,l21600,xe">
              <v:stroke joinstyle="miter"/>
              <v:path gradientshapeok="t" o:connecttype="rect"/>
            </v:shapetype>
            <v:shape id="Text Box 1" o:spid="_x0000_s1026" type="#_x0000_t202" style="position:absolute;margin-left:67.6pt;margin-top:0;width:118.8pt;height:31.1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" filled="f" stroked="f" strokeweight=".5pt">
              <v:textbox style="mso-fit-shape-to-text:t">
                <w:txbxContent>
                  <w:p w14:paraId="214951C5" w14:textId="77777777" w:rsidR="004809E3" w:rsidRPr="00577C4C" w:rsidRDefault="004809E3">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0BFF2" w14:textId="77777777" w:rsidR="004809E3" w:rsidRPr="00577C4C" w:rsidRDefault="004809E3">
    <w:pPr>
      <w:pStyle w:val="Foote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2C4AF3B6" wp14:editId="527467EE">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4D070C5" w14:textId="77777777" w:rsidR="004809E3" w:rsidRPr="00577C4C" w:rsidRDefault="004809E3">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2C4AF3B6"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" filled="f" stroked="f" strokeweight=".5pt">
              <v:textbox style="mso-fit-shape-to-text:t">
                <w:txbxContent>
                  <w:p w14:paraId="74D070C5" w14:textId="77777777" w:rsidR="004809E3" w:rsidRPr="00577C4C" w:rsidRDefault="004809E3">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8BFA9" w14:textId="77777777" w:rsidR="007B34FF" w:rsidRDefault="007B34FF" w:rsidP="00117666">
      <w:r>
        <w:separator/>
      </w:r>
    </w:p>
  </w:footnote>
  <w:footnote w:type="continuationSeparator" w:id="0">
    <w:p w14:paraId="7B8510FB" w14:textId="77777777" w:rsidR="007B34FF" w:rsidRDefault="007B34FF" w:rsidP="00117666">
      <w:r>
        <w:continuationSeparator/>
      </w:r>
    </w:p>
  </w:footnote>
  <w:footnote w:id="1">
    <w:p w14:paraId="6ED496B1" w14:textId="33C2A3F8" w:rsidR="00A4398A" w:rsidRPr="009C48FB" w:rsidRDefault="00A4398A">
      <w:pPr>
        <w:pStyle w:val="FootnoteText"/>
        <w:rPr>
          <w:lang w:val="en-GB"/>
        </w:rPr>
      </w:pPr>
      <w:r>
        <w:rPr>
          <w:rStyle w:val="FootnoteReference"/>
        </w:rPr>
        <w:footnoteRef/>
      </w:r>
      <w:r>
        <w:t xml:space="preserve"> </w:t>
      </w:r>
      <w:hyperlink r:id="rId1" w:history="1">
        <w:r w:rsidRPr="00384D2B">
          <w:rPr>
            <w:rStyle w:val="Hyperlink"/>
            <w:lang w:val="en-GB"/>
          </w:rPr>
          <w:t>www.fda.gov/</w:t>
        </w:r>
      </w:hyperlink>
    </w:p>
  </w:footnote>
  <w:footnote w:id="2">
    <w:p w14:paraId="34573FAD" w14:textId="56ECE59A" w:rsidR="0085679A" w:rsidRPr="009C48FB" w:rsidRDefault="0085679A">
      <w:pPr>
        <w:pStyle w:val="FootnoteText"/>
        <w:rPr>
          <w:lang w:val="en-GB"/>
        </w:rPr>
      </w:pPr>
      <w:r>
        <w:rPr>
          <w:rStyle w:val="FootnoteReference"/>
        </w:rPr>
        <w:footnoteRef/>
      </w:r>
      <w:r>
        <w:t xml:space="preserve"> </w:t>
      </w:r>
      <w:hyperlink r:id="rId2" w:history="1">
        <w:r w:rsidRPr="00F81A55">
          <w:rPr>
            <w:rStyle w:val="Hyperlink"/>
          </w:rPr>
          <w:t>www.medicinescomplete.com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13A34" w14:textId="035BFCBC" w:rsidR="004809E3" w:rsidRPr="005912AE" w:rsidRDefault="004809E3" w:rsidP="005912AE">
    <w:pPr>
      <w:pStyle w:val="Header"/>
      <w:jc w:val="right"/>
    </w:pPr>
    <w:r w:rsidRPr="00E84666">
      <w:rPr>
        <w:bCs/>
        <w:color w:val="000000" w:themeColor="text1"/>
      </w:rPr>
      <w:t xml:space="preserve">Meta-review </w:t>
    </w:r>
    <w:r>
      <w:rPr>
        <w:bCs/>
        <w:color w:val="000000" w:themeColor="text1"/>
      </w:rPr>
      <w:t>on</w:t>
    </w:r>
    <w:r w:rsidRPr="00E84666">
      <w:rPr>
        <w:bCs/>
        <w:color w:val="000000" w:themeColor="text1"/>
      </w:rPr>
      <w:t xml:space="preserve"> antidepressants in children and adolescents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8A4BC" w14:textId="412D8F17" w:rsidR="004809E3" w:rsidRPr="00EC6101" w:rsidRDefault="004809E3" w:rsidP="00EC6101">
    <w:pPr>
      <w:pStyle w:val="Header"/>
    </w:pPr>
    <w:r w:rsidRPr="00E84666">
      <w:rPr>
        <w:bCs/>
        <w:color w:val="000000" w:themeColor="text1"/>
      </w:rPr>
      <w:t xml:space="preserve">Meta-review </w:t>
    </w:r>
    <w:r>
      <w:rPr>
        <w:bCs/>
        <w:color w:val="000000" w:themeColor="text1"/>
      </w:rPr>
      <w:t>on</w:t>
    </w:r>
    <w:r w:rsidRPr="00E84666">
      <w:rPr>
        <w:bCs/>
        <w:color w:val="000000" w:themeColor="text1"/>
      </w:rPr>
      <w:t xml:space="preserve"> antidepressants in children and adolescents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F27F1" w14:textId="77777777" w:rsidR="004809E3" w:rsidRDefault="004809E3" w:rsidP="00A53000">
    <w:pPr>
      <w:pStyle w:val="Header"/>
    </w:pPr>
    <w:r w:rsidRPr="005A1D84">
      <w:rPr>
        <w:noProof/>
        <w:color w:val="A6A6A6" w:themeColor="background1" w:themeShade="A6"/>
        <w:lang w:val="en-GB" w:eastAsia="en-GB"/>
      </w:rPr>
      <w:drawing>
        <wp:inline distT="0" distB="0" distL="0" distR="0" wp14:anchorId="56C3F4FE" wp14:editId="369AA4D1">
          <wp:extent cx="1382534" cy="497091"/>
          <wp:effectExtent l="0" t="0" r="0" b="0"/>
          <wp:docPr id="2" name="Picture 2"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DC3ACC"/>
    <w:multiLevelType w:val="multilevel"/>
    <w:tmpl w:val="C1F8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437B8"/>
    <w:multiLevelType w:val="multilevel"/>
    <w:tmpl w:val="8408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15A6F"/>
    <w:multiLevelType w:val="multilevel"/>
    <w:tmpl w:val="1F9C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41F70"/>
    <w:multiLevelType w:val="hybridMultilevel"/>
    <w:tmpl w:val="B2AC09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F58E5"/>
    <w:multiLevelType w:val="multilevel"/>
    <w:tmpl w:val="0290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C53CB"/>
    <w:multiLevelType w:val="multilevel"/>
    <w:tmpl w:val="8FEC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0" w15:restartNumberingAfterBreak="0">
    <w:nsid w:val="1EF710DF"/>
    <w:multiLevelType w:val="multilevel"/>
    <w:tmpl w:val="D402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02A7CAC"/>
    <w:multiLevelType w:val="multilevel"/>
    <w:tmpl w:val="C6A8CCEA"/>
    <w:numStyleLink w:val="Headings"/>
  </w:abstractNum>
  <w:abstractNum w:abstractNumId="13"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C703D8"/>
    <w:multiLevelType w:val="multilevel"/>
    <w:tmpl w:val="4EDE0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83290D"/>
    <w:multiLevelType w:val="multilevel"/>
    <w:tmpl w:val="FF70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1753D6"/>
    <w:multiLevelType w:val="multilevel"/>
    <w:tmpl w:val="0C90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044843"/>
    <w:multiLevelType w:val="multilevel"/>
    <w:tmpl w:val="F800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C379B7"/>
    <w:multiLevelType w:val="multilevel"/>
    <w:tmpl w:val="772A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E80A65"/>
    <w:multiLevelType w:val="multilevel"/>
    <w:tmpl w:val="F168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5B16EB"/>
    <w:multiLevelType w:val="multilevel"/>
    <w:tmpl w:val="B37C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F052F"/>
    <w:multiLevelType w:val="multilevel"/>
    <w:tmpl w:val="FE10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A271D5"/>
    <w:multiLevelType w:val="multilevel"/>
    <w:tmpl w:val="94AE7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BC6F29"/>
    <w:multiLevelType w:val="multilevel"/>
    <w:tmpl w:val="C6A8CCEA"/>
    <w:numStyleLink w:val="Headings"/>
  </w:abstractNum>
  <w:abstractNum w:abstractNumId="33"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6"/>
  </w:num>
  <w:num w:numId="3">
    <w:abstractNumId w:val="5"/>
  </w:num>
  <w:num w:numId="4">
    <w:abstractNumId w:val="3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5"/>
  </w:num>
  <w:num w:numId="8">
    <w:abstractNumId w:val="13"/>
  </w:num>
  <w:num w:numId="9">
    <w:abstractNumId w:val="17"/>
  </w:num>
  <w:num w:numId="10">
    <w:abstractNumId w:val="14"/>
  </w:num>
  <w:num w:numId="11">
    <w:abstractNumId w:val="8"/>
  </w:num>
  <w:num w:numId="12">
    <w:abstractNumId w:val="33"/>
  </w:num>
  <w:num w:numId="13">
    <w:abstractNumId w:val="23"/>
  </w:num>
  <w:num w:numId="14">
    <w:abstractNumId w:val="11"/>
  </w:num>
  <w:num w:numId="15">
    <w:abstractNumId w:val="21"/>
  </w:num>
  <w:num w:numId="16">
    <w:abstractNumId w:val="29"/>
  </w:num>
  <w:num w:numId="17">
    <w:abstractNumId w:val="9"/>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2"/>
  </w:num>
  <w:num w:numId="21">
    <w:abstractNumId w:val="9"/>
  </w:num>
  <w:num w:numId="22">
    <w:abstractNumId w:val="9"/>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4"/>
  </w:num>
  <w:num w:numId="24">
    <w:abstractNumId w:val="31"/>
  </w:num>
  <w:num w:numId="25">
    <w:abstractNumId w:val="3"/>
  </w:num>
  <w:num w:numId="26">
    <w:abstractNumId w:val="19"/>
  </w:num>
  <w:num w:numId="27">
    <w:abstractNumId w:val="6"/>
  </w:num>
  <w:num w:numId="28">
    <w:abstractNumId w:val="25"/>
  </w:num>
  <w:num w:numId="29">
    <w:abstractNumId w:val="2"/>
  </w:num>
  <w:num w:numId="30">
    <w:abstractNumId w:val="28"/>
  </w:num>
  <w:num w:numId="31">
    <w:abstractNumId w:val="1"/>
  </w:num>
  <w:num w:numId="32">
    <w:abstractNumId w:val="27"/>
  </w:num>
  <w:num w:numId="33">
    <w:abstractNumId w:val="16"/>
  </w:num>
  <w:num w:numId="34">
    <w:abstractNumId w:val="10"/>
  </w:num>
  <w:num w:numId="35">
    <w:abstractNumId w:val="22"/>
  </w:num>
  <w:num w:numId="36">
    <w:abstractNumId w:val="7"/>
  </w:num>
  <w:num w:numId="37">
    <w:abstractNumId w:val="24"/>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20"/>
  <w:evenAndOddHeaders/>
  <w:characterSpacingControl w:val="doNotCompress"/>
  <w:hdrShapeDefaults>
    <o:shapedefaults v:ext="edit" spidmax="2049"/>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21"/>
    <w:rsid w:val="000173F8"/>
    <w:rsid w:val="00024C1F"/>
    <w:rsid w:val="0003020F"/>
    <w:rsid w:val="00030DCF"/>
    <w:rsid w:val="00034304"/>
    <w:rsid w:val="00035434"/>
    <w:rsid w:val="00037281"/>
    <w:rsid w:val="00044454"/>
    <w:rsid w:val="00045678"/>
    <w:rsid w:val="000458E4"/>
    <w:rsid w:val="00051090"/>
    <w:rsid w:val="000550E1"/>
    <w:rsid w:val="00063D84"/>
    <w:rsid w:val="0006636D"/>
    <w:rsid w:val="00077D53"/>
    <w:rsid w:val="00077D64"/>
    <w:rsid w:val="00081394"/>
    <w:rsid w:val="000868D1"/>
    <w:rsid w:val="000B13EF"/>
    <w:rsid w:val="000B34BD"/>
    <w:rsid w:val="000B7BDD"/>
    <w:rsid w:val="000B7DCB"/>
    <w:rsid w:val="000C1741"/>
    <w:rsid w:val="000C7E2A"/>
    <w:rsid w:val="000D0365"/>
    <w:rsid w:val="000D50D0"/>
    <w:rsid w:val="000F07B1"/>
    <w:rsid w:val="000F209B"/>
    <w:rsid w:val="000F4CFB"/>
    <w:rsid w:val="000F5A59"/>
    <w:rsid w:val="00107F90"/>
    <w:rsid w:val="00117666"/>
    <w:rsid w:val="001223A7"/>
    <w:rsid w:val="00122E5D"/>
    <w:rsid w:val="00130358"/>
    <w:rsid w:val="001338DB"/>
    <w:rsid w:val="00134256"/>
    <w:rsid w:val="001449F1"/>
    <w:rsid w:val="00147395"/>
    <w:rsid w:val="00147CF8"/>
    <w:rsid w:val="001552C9"/>
    <w:rsid w:val="00171B04"/>
    <w:rsid w:val="00177D84"/>
    <w:rsid w:val="00192E65"/>
    <w:rsid w:val="001964EF"/>
    <w:rsid w:val="0019771F"/>
    <w:rsid w:val="001A2E5D"/>
    <w:rsid w:val="001B1A2C"/>
    <w:rsid w:val="001B6D74"/>
    <w:rsid w:val="001C4FAA"/>
    <w:rsid w:val="001D5C23"/>
    <w:rsid w:val="001E2159"/>
    <w:rsid w:val="001E5836"/>
    <w:rsid w:val="001F4C07"/>
    <w:rsid w:val="001F6C89"/>
    <w:rsid w:val="001F74C9"/>
    <w:rsid w:val="00202932"/>
    <w:rsid w:val="002074A6"/>
    <w:rsid w:val="00220AEA"/>
    <w:rsid w:val="002211DD"/>
    <w:rsid w:val="00223153"/>
    <w:rsid w:val="0022426A"/>
    <w:rsid w:val="00226954"/>
    <w:rsid w:val="00243BCE"/>
    <w:rsid w:val="002448C2"/>
    <w:rsid w:val="00251D22"/>
    <w:rsid w:val="00253C87"/>
    <w:rsid w:val="002629A3"/>
    <w:rsid w:val="00265660"/>
    <w:rsid w:val="00267D18"/>
    <w:rsid w:val="00270448"/>
    <w:rsid w:val="00281806"/>
    <w:rsid w:val="00284A57"/>
    <w:rsid w:val="002868E2"/>
    <w:rsid w:val="002869C3"/>
    <w:rsid w:val="002936E4"/>
    <w:rsid w:val="0029691A"/>
    <w:rsid w:val="00296B88"/>
    <w:rsid w:val="00297E6E"/>
    <w:rsid w:val="002C2967"/>
    <w:rsid w:val="002C74CA"/>
    <w:rsid w:val="002D01E4"/>
    <w:rsid w:val="002D2103"/>
    <w:rsid w:val="002D36CB"/>
    <w:rsid w:val="002D71E4"/>
    <w:rsid w:val="002F3898"/>
    <w:rsid w:val="002F744D"/>
    <w:rsid w:val="0030200B"/>
    <w:rsid w:val="00303DE6"/>
    <w:rsid w:val="00304DF5"/>
    <w:rsid w:val="00310124"/>
    <w:rsid w:val="00320856"/>
    <w:rsid w:val="0033050D"/>
    <w:rsid w:val="00345258"/>
    <w:rsid w:val="003463BD"/>
    <w:rsid w:val="003544FB"/>
    <w:rsid w:val="00354B0D"/>
    <w:rsid w:val="00365D63"/>
    <w:rsid w:val="0036793B"/>
    <w:rsid w:val="00372682"/>
    <w:rsid w:val="00375C42"/>
    <w:rsid w:val="00376CC5"/>
    <w:rsid w:val="00385B66"/>
    <w:rsid w:val="0038748A"/>
    <w:rsid w:val="00393589"/>
    <w:rsid w:val="0039693B"/>
    <w:rsid w:val="003A2A92"/>
    <w:rsid w:val="003A6E0D"/>
    <w:rsid w:val="003B7636"/>
    <w:rsid w:val="003C287C"/>
    <w:rsid w:val="003C2C3E"/>
    <w:rsid w:val="003C4633"/>
    <w:rsid w:val="003D2F2D"/>
    <w:rsid w:val="003E6521"/>
    <w:rsid w:val="003E78CC"/>
    <w:rsid w:val="003F1EB4"/>
    <w:rsid w:val="003F3B6B"/>
    <w:rsid w:val="003F5096"/>
    <w:rsid w:val="00401590"/>
    <w:rsid w:val="00404A58"/>
    <w:rsid w:val="00422C94"/>
    <w:rsid w:val="004412F0"/>
    <w:rsid w:val="00444D7C"/>
    <w:rsid w:val="0045710E"/>
    <w:rsid w:val="00461E79"/>
    <w:rsid w:val="00463E3D"/>
    <w:rsid w:val="004645AE"/>
    <w:rsid w:val="004656F7"/>
    <w:rsid w:val="0047465C"/>
    <w:rsid w:val="004809E3"/>
    <w:rsid w:val="00485D1B"/>
    <w:rsid w:val="0049735B"/>
    <w:rsid w:val="004979A1"/>
    <w:rsid w:val="004B55EC"/>
    <w:rsid w:val="004B70FC"/>
    <w:rsid w:val="004D17DF"/>
    <w:rsid w:val="004D3E33"/>
    <w:rsid w:val="004D4C37"/>
    <w:rsid w:val="004E4618"/>
    <w:rsid w:val="00506A0B"/>
    <w:rsid w:val="0051770A"/>
    <w:rsid w:val="005250F2"/>
    <w:rsid w:val="0054670F"/>
    <w:rsid w:val="00555FF1"/>
    <w:rsid w:val="00563224"/>
    <w:rsid w:val="005645B5"/>
    <w:rsid w:val="005652CB"/>
    <w:rsid w:val="00570A1B"/>
    <w:rsid w:val="00572397"/>
    <w:rsid w:val="0057247A"/>
    <w:rsid w:val="00581566"/>
    <w:rsid w:val="005912AE"/>
    <w:rsid w:val="005968BA"/>
    <w:rsid w:val="005A1D84"/>
    <w:rsid w:val="005A70EA"/>
    <w:rsid w:val="005B3B7B"/>
    <w:rsid w:val="005B6649"/>
    <w:rsid w:val="005C3963"/>
    <w:rsid w:val="005C539B"/>
    <w:rsid w:val="005D1840"/>
    <w:rsid w:val="005D35E4"/>
    <w:rsid w:val="005D581A"/>
    <w:rsid w:val="005D7910"/>
    <w:rsid w:val="005E4005"/>
    <w:rsid w:val="0060710B"/>
    <w:rsid w:val="0061392F"/>
    <w:rsid w:val="0062154F"/>
    <w:rsid w:val="00631A8C"/>
    <w:rsid w:val="00632F20"/>
    <w:rsid w:val="00651CA2"/>
    <w:rsid w:val="00653D60"/>
    <w:rsid w:val="00660D05"/>
    <w:rsid w:val="00670966"/>
    <w:rsid w:val="00671D9A"/>
    <w:rsid w:val="00673952"/>
    <w:rsid w:val="00675058"/>
    <w:rsid w:val="00675B62"/>
    <w:rsid w:val="006764CE"/>
    <w:rsid w:val="00681821"/>
    <w:rsid w:val="00686C9D"/>
    <w:rsid w:val="006965B1"/>
    <w:rsid w:val="006A47F6"/>
    <w:rsid w:val="006B2D5B"/>
    <w:rsid w:val="006B7D14"/>
    <w:rsid w:val="006C24B7"/>
    <w:rsid w:val="006C2D06"/>
    <w:rsid w:val="006D2CD3"/>
    <w:rsid w:val="006D3FF4"/>
    <w:rsid w:val="006D5B93"/>
    <w:rsid w:val="006E13A3"/>
    <w:rsid w:val="006E2E8C"/>
    <w:rsid w:val="007050CE"/>
    <w:rsid w:val="00723D80"/>
    <w:rsid w:val="00725A7D"/>
    <w:rsid w:val="00727122"/>
    <w:rsid w:val="00730151"/>
    <w:rsid w:val="0073085C"/>
    <w:rsid w:val="00731EC6"/>
    <w:rsid w:val="00733784"/>
    <w:rsid w:val="00735554"/>
    <w:rsid w:val="0074464C"/>
    <w:rsid w:val="00746505"/>
    <w:rsid w:val="00757631"/>
    <w:rsid w:val="00765D1E"/>
    <w:rsid w:val="00790BB3"/>
    <w:rsid w:val="00792043"/>
    <w:rsid w:val="00797EDD"/>
    <w:rsid w:val="007B0322"/>
    <w:rsid w:val="007B34FF"/>
    <w:rsid w:val="007B66F8"/>
    <w:rsid w:val="007B67C4"/>
    <w:rsid w:val="007B7991"/>
    <w:rsid w:val="007C0E3F"/>
    <w:rsid w:val="007C206C"/>
    <w:rsid w:val="007C5729"/>
    <w:rsid w:val="007D2729"/>
    <w:rsid w:val="007E72AA"/>
    <w:rsid w:val="007E7D27"/>
    <w:rsid w:val="0080380E"/>
    <w:rsid w:val="008111E4"/>
    <w:rsid w:val="0081301C"/>
    <w:rsid w:val="00817DD6"/>
    <w:rsid w:val="00834DE7"/>
    <w:rsid w:val="0085679A"/>
    <w:rsid w:val="00857FD3"/>
    <w:rsid w:val="008629A9"/>
    <w:rsid w:val="0086780A"/>
    <w:rsid w:val="0088513A"/>
    <w:rsid w:val="00893C19"/>
    <w:rsid w:val="008A19FB"/>
    <w:rsid w:val="008B348D"/>
    <w:rsid w:val="008B5B7A"/>
    <w:rsid w:val="008C4F8D"/>
    <w:rsid w:val="008D6C8D"/>
    <w:rsid w:val="008E206A"/>
    <w:rsid w:val="008E2A1C"/>
    <w:rsid w:val="008E2B54"/>
    <w:rsid w:val="008E4404"/>
    <w:rsid w:val="008E58C7"/>
    <w:rsid w:val="008F5021"/>
    <w:rsid w:val="008F721C"/>
    <w:rsid w:val="0090128A"/>
    <w:rsid w:val="00914175"/>
    <w:rsid w:val="009200B7"/>
    <w:rsid w:val="009266A6"/>
    <w:rsid w:val="0093328D"/>
    <w:rsid w:val="0094022F"/>
    <w:rsid w:val="00943573"/>
    <w:rsid w:val="00961CE7"/>
    <w:rsid w:val="00971B61"/>
    <w:rsid w:val="00980C31"/>
    <w:rsid w:val="00986769"/>
    <w:rsid w:val="009934EE"/>
    <w:rsid w:val="009955FF"/>
    <w:rsid w:val="00997EA7"/>
    <w:rsid w:val="009B33D6"/>
    <w:rsid w:val="009C1365"/>
    <w:rsid w:val="009C210D"/>
    <w:rsid w:val="009C41A6"/>
    <w:rsid w:val="009C48FB"/>
    <w:rsid w:val="009D259D"/>
    <w:rsid w:val="009D27C3"/>
    <w:rsid w:val="009D385D"/>
    <w:rsid w:val="009D59A4"/>
    <w:rsid w:val="00A05B8E"/>
    <w:rsid w:val="00A37E0D"/>
    <w:rsid w:val="00A41241"/>
    <w:rsid w:val="00A4391F"/>
    <w:rsid w:val="00A4398A"/>
    <w:rsid w:val="00A50D9D"/>
    <w:rsid w:val="00A50DD9"/>
    <w:rsid w:val="00A51A74"/>
    <w:rsid w:val="00A53000"/>
    <w:rsid w:val="00A545C6"/>
    <w:rsid w:val="00A54649"/>
    <w:rsid w:val="00A652D0"/>
    <w:rsid w:val="00A71FCC"/>
    <w:rsid w:val="00A7485C"/>
    <w:rsid w:val="00A75F87"/>
    <w:rsid w:val="00A90808"/>
    <w:rsid w:val="00A9221B"/>
    <w:rsid w:val="00A9341C"/>
    <w:rsid w:val="00A95D8B"/>
    <w:rsid w:val="00A97C75"/>
    <w:rsid w:val="00AA0730"/>
    <w:rsid w:val="00AA32EB"/>
    <w:rsid w:val="00AB1B65"/>
    <w:rsid w:val="00AC0270"/>
    <w:rsid w:val="00AC3EA3"/>
    <w:rsid w:val="00AC792D"/>
    <w:rsid w:val="00AE6C6F"/>
    <w:rsid w:val="00AF2C55"/>
    <w:rsid w:val="00AF43D5"/>
    <w:rsid w:val="00AF595D"/>
    <w:rsid w:val="00B1059B"/>
    <w:rsid w:val="00B167E0"/>
    <w:rsid w:val="00B20CE6"/>
    <w:rsid w:val="00B33455"/>
    <w:rsid w:val="00B3536F"/>
    <w:rsid w:val="00B37DA7"/>
    <w:rsid w:val="00B56E8F"/>
    <w:rsid w:val="00B657B8"/>
    <w:rsid w:val="00B667DD"/>
    <w:rsid w:val="00B70DDE"/>
    <w:rsid w:val="00B7561D"/>
    <w:rsid w:val="00B84920"/>
    <w:rsid w:val="00B8556A"/>
    <w:rsid w:val="00BA3518"/>
    <w:rsid w:val="00BB133E"/>
    <w:rsid w:val="00BD66C5"/>
    <w:rsid w:val="00BF28F4"/>
    <w:rsid w:val="00BF462F"/>
    <w:rsid w:val="00C012A3"/>
    <w:rsid w:val="00C03FC2"/>
    <w:rsid w:val="00C04AB6"/>
    <w:rsid w:val="00C14EE2"/>
    <w:rsid w:val="00C1642A"/>
    <w:rsid w:val="00C16F19"/>
    <w:rsid w:val="00C35C8B"/>
    <w:rsid w:val="00C42A68"/>
    <w:rsid w:val="00C506C1"/>
    <w:rsid w:val="00C529DE"/>
    <w:rsid w:val="00C52A7B"/>
    <w:rsid w:val="00C54988"/>
    <w:rsid w:val="00C61CB8"/>
    <w:rsid w:val="00C6324C"/>
    <w:rsid w:val="00C679AA"/>
    <w:rsid w:val="00C724CF"/>
    <w:rsid w:val="00C737E6"/>
    <w:rsid w:val="00C75972"/>
    <w:rsid w:val="00C761A0"/>
    <w:rsid w:val="00C82792"/>
    <w:rsid w:val="00C837BB"/>
    <w:rsid w:val="00C8418F"/>
    <w:rsid w:val="00C90C9D"/>
    <w:rsid w:val="00C938DC"/>
    <w:rsid w:val="00C948FD"/>
    <w:rsid w:val="00CA1347"/>
    <w:rsid w:val="00CA70D7"/>
    <w:rsid w:val="00CB43D5"/>
    <w:rsid w:val="00CB57A5"/>
    <w:rsid w:val="00CC76F9"/>
    <w:rsid w:val="00CD066B"/>
    <w:rsid w:val="00CD46E2"/>
    <w:rsid w:val="00CE3E42"/>
    <w:rsid w:val="00CE6C17"/>
    <w:rsid w:val="00CF219E"/>
    <w:rsid w:val="00D00D0B"/>
    <w:rsid w:val="00D04B69"/>
    <w:rsid w:val="00D219B4"/>
    <w:rsid w:val="00D349AA"/>
    <w:rsid w:val="00D469DF"/>
    <w:rsid w:val="00D5275C"/>
    <w:rsid w:val="00D537FA"/>
    <w:rsid w:val="00D5408D"/>
    <w:rsid w:val="00D5547D"/>
    <w:rsid w:val="00D57EF5"/>
    <w:rsid w:val="00D62225"/>
    <w:rsid w:val="00D630B2"/>
    <w:rsid w:val="00D74B42"/>
    <w:rsid w:val="00D80D99"/>
    <w:rsid w:val="00D82D52"/>
    <w:rsid w:val="00D9503C"/>
    <w:rsid w:val="00DA0322"/>
    <w:rsid w:val="00DB5044"/>
    <w:rsid w:val="00DB7687"/>
    <w:rsid w:val="00DC6248"/>
    <w:rsid w:val="00DD73EF"/>
    <w:rsid w:val="00DE23E8"/>
    <w:rsid w:val="00DF681A"/>
    <w:rsid w:val="00E0128B"/>
    <w:rsid w:val="00E10EDB"/>
    <w:rsid w:val="00E329A4"/>
    <w:rsid w:val="00E57361"/>
    <w:rsid w:val="00E62B25"/>
    <w:rsid w:val="00E64E17"/>
    <w:rsid w:val="00E67F8D"/>
    <w:rsid w:val="00E71E91"/>
    <w:rsid w:val="00E9038D"/>
    <w:rsid w:val="00EA3D3C"/>
    <w:rsid w:val="00EB581E"/>
    <w:rsid w:val="00EC46EC"/>
    <w:rsid w:val="00EC6101"/>
    <w:rsid w:val="00EC7CC3"/>
    <w:rsid w:val="00ED7274"/>
    <w:rsid w:val="00EE60A4"/>
    <w:rsid w:val="00EE75E2"/>
    <w:rsid w:val="00F0186C"/>
    <w:rsid w:val="00F17F79"/>
    <w:rsid w:val="00F30CD2"/>
    <w:rsid w:val="00F31818"/>
    <w:rsid w:val="00F462E1"/>
    <w:rsid w:val="00F46494"/>
    <w:rsid w:val="00F558AB"/>
    <w:rsid w:val="00F61D89"/>
    <w:rsid w:val="00F6592B"/>
    <w:rsid w:val="00F6700A"/>
    <w:rsid w:val="00F81A55"/>
    <w:rsid w:val="00F84431"/>
    <w:rsid w:val="00F86ABB"/>
    <w:rsid w:val="00F94BB6"/>
    <w:rsid w:val="00FB3F04"/>
    <w:rsid w:val="00FD7648"/>
    <w:rsid w:val="00FE4F5D"/>
    <w:rsid w:val="00FF7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A59A7"/>
  <w15:docId w15:val="{B98209AD-3451-4824-82E1-1DFAFFB1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485C"/>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ListParagraph"/>
    <w:next w:val="Normal"/>
    <w:link w:val="Heading1Char"/>
    <w:uiPriority w:val="2"/>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lang w:val="en-US" w:eastAsia="en-US"/>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4"/>
    <w:qFormat/>
    <w:rsid w:val="00310124"/>
    <w:pPr>
      <w:numPr>
        <w:numId w:val="14"/>
      </w:numPr>
      <w:spacing w:before="120" w:after="240"/>
      <w:ind w:left="1434" w:hanging="357"/>
      <w:contextualSpacing/>
    </w:pPr>
    <w:rPr>
      <w:rFonts w:eastAsia="Cambria"/>
      <w:lang w:val="en-US" w:eastAsia="en-US"/>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lang w:val="en-US" w:eastAsia="en-US"/>
    </w:rPr>
  </w:style>
  <w:style w:type="paragraph" w:styleId="Header">
    <w:name w:val="header"/>
    <w:basedOn w:val="Normal"/>
    <w:link w:val="HeaderChar"/>
    <w:uiPriority w:val="99"/>
    <w:unhideWhenUsed/>
    <w:rsid w:val="00A53000"/>
    <w:pPr>
      <w:tabs>
        <w:tab w:val="center" w:pos="4844"/>
        <w:tab w:val="right" w:pos="9689"/>
      </w:tabs>
      <w:spacing w:before="120" w:after="240"/>
    </w:pPr>
    <w:rPr>
      <w:rFonts w:eastAsiaTheme="minorHAnsi" w:cstheme="minorBidi"/>
      <w:b/>
      <w:szCs w:val="22"/>
      <w:lang w:val="en-US" w:eastAsia="en-US"/>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before="120"/>
    </w:pPr>
    <w:rPr>
      <w:rFonts w:eastAsiaTheme="minorHAnsi" w:cstheme="minorBidi"/>
      <w:szCs w:val="22"/>
      <w:lang w:val="en-US" w:eastAsia="en-US"/>
    </w:r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before="120"/>
    </w:pPr>
    <w:rPr>
      <w:rFonts w:eastAsia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spacing w:before="120" w:after="240"/>
    </w:pPr>
    <w:rPr>
      <w:rFonts w:eastAsiaTheme="minorHAnsi"/>
      <w:b/>
      <w:bCs/>
      <w:lang w:val="en-US" w:eastAsia="en-US"/>
    </w:rPr>
  </w:style>
  <w:style w:type="paragraph" w:styleId="BalloonText">
    <w:name w:val="Balloon Text"/>
    <w:basedOn w:val="Normal"/>
    <w:link w:val="BalloonTextChar"/>
    <w:uiPriority w:val="99"/>
    <w:semiHidden/>
    <w:unhideWhenUsed/>
    <w:rsid w:val="00117666"/>
    <w:pPr>
      <w:spacing w:before="120"/>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semiHidden/>
    <w:unhideWhenUsed/>
    <w:rsid w:val="00725A7D"/>
    <w:rPr>
      <w:sz w:val="20"/>
      <w:szCs w:val="20"/>
    </w:rPr>
  </w:style>
  <w:style w:type="character" w:customStyle="1" w:styleId="CommentTextChar">
    <w:name w:val="Comment Text Char"/>
    <w:basedOn w:val="DefaultParagraphFont"/>
    <w:link w:val="CommentText"/>
    <w:uiPriority w:val="99"/>
    <w:semiHidden/>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eastAsiaTheme="minorHAnsi"/>
      <w:b/>
      <w:sz w:val="32"/>
      <w:szCs w:val="32"/>
      <w:lang w:val="en-US" w:eastAsia="en-US"/>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after="240"/>
    </w:pPr>
    <w:rPr>
      <w:rFonts w:eastAsiaTheme="minorHAnsi"/>
      <w:b/>
      <w:lang w:val="en-US" w:eastAsia="en-US"/>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rFonts w:eastAsiaTheme="minorHAnsi" w:cstheme="minorBidi"/>
      <w:i/>
      <w:iCs/>
      <w:color w:val="404040" w:themeColor="text1" w:themeTint="BF"/>
      <w:szCs w:val="22"/>
      <w:lang w:val="en-US" w:eastAsia="en-US"/>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paragraph" w:customStyle="1" w:styleId="content-description-block-title">
    <w:name w:val="content-description-block-title"/>
    <w:basedOn w:val="Normal"/>
    <w:rsid w:val="001E5836"/>
    <w:pPr>
      <w:spacing w:before="100" w:beforeAutospacing="1" w:after="100" w:afterAutospacing="1"/>
    </w:pPr>
    <w:rPr>
      <w:lang w:eastAsia="en-US"/>
    </w:rPr>
  </w:style>
  <w:style w:type="character" w:styleId="UnresolvedMention">
    <w:name w:val="Unresolved Mention"/>
    <w:basedOn w:val="DefaultParagraphFont"/>
    <w:uiPriority w:val="99"/>
    <w:semiHidden/>
    <w:unhideWhenUsed/>
    <w:rsid w:val="00441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9629">
      <w:bodyDiv w:val="1"/>
      <w:marLeft w:val="0"/>
      <w:marRight w:val="0"/>
      <w:marTop w:val="0"/>
      <w:marBottom w:val="0"/>
      <w:divBdr>
        <w:top w:val="none" w:sz="0" w:space="0" w:color="auto"/>
        <w:left w:val="none" w:sz="0" w:space="0" w:color="auto"/>
        <w:bottom w:val="none" w:sz="0" w:space="0" w:color="auto"/>
        <w:right w:val="none" w:sz="0" w:space="0" w:color="auto"/>
      </w:divBdr>
    </w:div>
    <w:div w:id="38284887">
      <w:bodyDiv w:val="1"/>
      <w:marLeft w:val="0"/>
      <w:marRight w:val="0"/>
      <w:marTop w:val="0"/>
      <w:marBottom w:val="0"/>
      <w:divBdr>
        <w:top w:val="none" w:sz="0" w:space="0" w:color="auto"/>
        <w:left w:val="none" w:sz="0" w:space="0" w:color="auto"/>
        <w:bottom w:val="none" w:sz="0" w:space="0" w:color="auto"/>
        <w:right w:val="none" w:sz="0" w:space="0" w:color="auto"/>
      </w:divBdr>
    </w:div>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44764759">
      <w:bodyDiv w:val="1"/>
      <w:marLeft w:val="0"/>
      <w:marRight w:val="0"/>
      <w:marTop w:val="0"/>
      <w:marBottom w:val="0"/>
      <w:divBdr>
        <w:top w:val="none" w:sz="0" w:space="0" w:color="auto"/>
        <w:left w:val="none" w:sz="0" w:space="0" w:color="auto"/>
        <w:bottom w:val="none" w:sz="0" w:space="0" w:color="auto"/>
        <w:right w:val="none" w:sz="0" w:space="0" w:color="auto"/>
      </w:divBdr>
    </w:div>
    <w:div w:id="47851143">
      <w:bodyDiv w:val="1"/>
      <w:marLeft w:val="0"/>
      <w:marRight w:val="0"/>
      <w:marTop w:val="0"/>
      <w:marBottom w:val="0"/>
      <w:divBdr>
        <w:top w:val="none" w:sz="0" w:space="0" w:color="auto"/>
        <w:left w:val="none" w:sz="0" w:space="0" w:color="auto"/>
        <w:bottom w:val="none" w:sz="0" w:space="0" w:color="auto"/>
        <w:right w:val="none" w:sz="0" w:space="0" w:color="auto"/>
      </w:divBdr>
    </w:div>
    <w:div w:id="64769603">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6687148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181167626">
      <w:bodyDiv w:val="1"/>
      <w:marLeft w:val="0"/>
      <w:marRight w:val="0"/>
      <w:marTop w:val="0"/>
      <w:marBottom w:val="0"/>
      <w:divBdr>
        <w:top w:val="none" w:sz="0" w:space="0" w:color="auto"/>
        <w:left w:val="none" w:sz="0" w:space="0" w:color="auto"/>
        <w:bottom w:val="none" w:sz="0" w:space="0" w:color="auto"/>
        <w:right w:val="none" w:sz="0" w:space="0" w:color="auto"/>
      </w:divBdr>
    </w:div>
    <w:div w:id="249969806">
      <w:bodyDiv w:val="1"/>
      <w:marLeft w:val="0"/>
      <w:marRight w:val="0"/>
      <w:marTop w:val="0"/>
      <w:marBottom w:val="0"/>
      <w:divBdr>
        <w:top w:val="none" w:sz="0" w:space="0" w:color="auto"/>
        <w:left w:val="none" w:sz="0" w:space="0" w:color="auto"/>
        <w:bottom w:val="none" w:sz="0" w:space="0" w:color="auto"/>
        <w:right w:val="none" w:sz="0" w:space="0" w:color="auto"/>
      </w:divBdr>
    </w:div>
    <w:div w:id="259685346">
      <w:bodyDiv w:val="1"/>
      <w:marLeft w:val="0"/>
      <w:marRight w:val="0"/>
      <w:marTop w:val="0"/>
      <w:marBottom w:val="0"/>
      <w:divBdr>
        <w:top w:val="none" w:sz="0" w:space="0" w:color="auto"/>
        <w:left w:val="none" w:sz="0" w:space="0" w:color="auto"/>
        <w:bottom w:val="none" w:sz="0" w:space="0" w:color="auto"/>
        <w:right w:val="none" w:sz="0" w:space="0" w:color="auto"/>
      </w:divBdr>
    </w:div>
    <w:div w:id="274948972">
      <w:bodyDiv w:val="1"/>
      <w:marLeft w:val="0"/>
      <w:marRight w:val="0"/>
      <w:marTop w:val="0"/>
      <w:marBottom w:val="0"/>
      <w:divBdr>
        <w:top w:val="none" w:sz="0" w:space="0" w:color="auto"/>
        <w:left w:val="none" w:sz="0" w:space="0" w:color="auto"/>
        <w:bottom w:val="none" w:sz="0" w:space="0" w:color="auto"/>
        <w:right w:val="none" w:sz="0" w:space="0" w:color="auto"/>
      </w:divBdr>
    </w:div>
    <w:div w:id="279725834">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399789892">
      <w:bodyDiv w:val="1"/>
      <w:marLeft w:val="0"/>
      <w:marRight w:val="0"/>
      <w:marTop w:val="0"/>
      <w:marBottom w:val="0"/>
      <w:divBdr>
        <w:top w:val="none" w:sz="0" w:space="0" w:color="auto"/>
        <w:left w:val="none" w:sz="0" w:space="0" w:color="auto"/>
        <w:bottom w:val="none" w:sz="0" w:space="0" w:color="auto"/>
        <w:right w:val="none" w:sz="0" w:space="0" w:color="auto"/>
      </w:divBdr>
    </w:div>
    <w:div w:id="436022138">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23709523">
      <w:bodyDiv w:val="1"/>
      <w:marLeft w:val="0"/>
      <w:marRight w:val="0"/>
      <w:marTop w:val="0"/>
      <w:marBottom w:val="0"/>
      <w:divBdr>
        <w:top w:val="none" w:sz="0" w:space="0" w:color="auto"/>
        <w:left w:val="none" w:sz="0" w:space="0" w:color="auto"/>
        <w:bottom w:val="none" w:sz="0" w:space="0" w:color="auto"/>
        <w:right w:val="none" w:sz="0" w:space="0" w:color="auto"/>
      </w:divBdr>
      <w:divsChild>
        <w:div w:id="330835691">
          <w:marLeft w:val="0"/>
          <w:marRight w:val="0"/>
          <w:marTop w:val="34"/>
          <w:marBottom w:val="34"/>
          <w:divBdr>
            <w:top w:val="none" w:sz="0" w:space="0" w:color="auto"/>
            <w:left w:val="none" w:sz="0" w:space="0" w:color="auto"/>
            <w:bottom w:val="none" w:sz="0" w:space="0" w:color="auto"/>
            <w:right w:val="none" w:sz="0" w:space="0" w:color="auto"/>
          </w:divBdr>
        </w:div>
      </w:divsChild>
    </w:div>
    <w:div w:id="551382275">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576061618">
      <w:bodyDiv w:val="1"/>
      <w:marLeft w:val="0"/>
      <w:marRight w:val="0"/>
      <w:marTop w:val="0"/>
      <w:marBottom w:val="0"/>
      <w:divBdr>
        <w:top w:val="none" w:sz="0" w:space="0" w:color="auto"/>
        <w:left w:val="none" w:sz="0" w:space="0" w:color="auto"/>
        <w:bottom w:val="none" w:sz="0" w:space="0" w:color="auto"/>
        <w:right w:val="none" w:sz="0" w:space="0" w:color="auto"/>
      </w:divBdr>
    </w:div>
    <w:div w:id="585576789">
      <w:bodyDiv w:val="1"/>
      <w:marLeft w:val="0"/>
      <w:marRight w:val="0"/>
      <w:marTop w:val="0"/>
      <w:marBottom w:val="0"/>
      <w:divBdr>
        <w:top w:val="none" w:sz="0" w:space="0" w:color="auto"/>
        <w:left w:val="none" w:sz="0" w:space="0" w:color="auto"/>
        <w:bottom w:val="none" w:sz="0" w:space="0" w:color="auto"/>
        <w:right w:val="none" w:sz="0" w:space="0" w:color="auto"/>
      </w:divBdr>
    </w:div>
    <w:div w:id="595016192">
      <w:bodyDiv w:val="1"/>
      <w:marLeft w:val="0"/>
      <w:marRight w:val="0"/>
      <w:marTop w:val="0"/>
      <w:marBottom w:val="0"/>
      <w:divBdr>
        <w:top w:val="none" w:sz="0" w:space="0" w:color="auto"/>
        <w:left w:val="none" w:sz="0" w:space="0" w:color="auto"/>
        <w:bottom w:val="none" w:sz="0" w:space="0" w:color="auto"/>
        <w:right w:val="none" w:sz="0" w:space="0" w:color="auto"/>
      </w:divBdr>
      <w:divsChild>
        <w:div w:id="2026590238">
          <w:marLeft w:val="0"/>
          <w:marRight w:val="0"/>
          <w:marTop w:val="34"/>
          <w:marBottom w:val="34"/>
          <w:divBdr>
            <w:top w:val="none" w:sz="0" w:space="0" w:color="auto"/>
            <w:left w:val="none" w:sz="0" w:space="0" w:color="auto"/>
            <w:bottom w:val="none" w:sz="0" w:space="0" w:color="auto"/>
            <w:right w:val="none" w:sz="0" w:space="0" w:color="auto"/>
          </w:divBdr>
        </w:div>
      </w:divsChild>
    </w:div>
    <w:div w:id="605310233">
      <w:bodyDiv w:val="1"/>
      <w:marLeft w:val="0"/>
      <w:marRight w:val="0"/>
      <w:marTop w:val="0"/>
      <w:marBottom w:val="0"/>
      <w:divBdr>
        <w:top w:val="none" w:sz="0" w:space="0" w:color="auto"/>
        <w:left w:val="none" w:sz="0" w:space="0" w:color="auto"/>
        <w:bottom w:val="none" w:sz="0" w:space="0" w:color="auto"/>
        <w:right w:val="none" w:sz="0" w:space="0" w:color="auto"/>
      </w:divBdr>
    </w:div>
    <w:div w:id="611978234">
      <w:bodyDiv w:val="1"/>
      <w:marLeft w:val="0"/>
      <w:marRight w:val="0"/>
      <w:marTop w:val="0"/>
      <w:marBottom w:val="0"/>
      <w:divBdr>
        <w:top w:val="none" w:sz="0" w:space="0" w:color="auto"/>
        <w:left w:val="none" w:sz="0" w:space="0" w:color="auto"/>
        <w:bottom w:val="none" w:sz="0" w:space="0" w:color="auto"/>
        <w:right w:val="none" w:sz="0" w:space="0" w:color="auto"/>
      </w:divBdr>
    </w:div>
    <w:div w:id="618223558">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668142580">
      <w:bodyDiv w:val="1"/>
      <w:marLeft w:val="0"/>
      <w:marRight w:val="0"/>
      <w:marTop w:val="0"/>
      <w:marBottom w:val="0"/>
      <w:divBdr>
        <w:top w:val="none" w:sz="0" w:space="0" w:color="auto"/>
        <w:left w:val="none" w:sz="0" w:space="0" w:color="auto"/>
        <w:bottom w:val="none" w:sz="0" w:space="0" w:color="auto"/>
        <w:right w:val="none" w:sz="0" w:space="0" w:color="auto"/>
      </w:divBdr>
    </w:div>
    <w:div w:id="695809631">
      <w:bodyDiv w:val="1"/>
      <w:marLeft w:val="0"/>
      <w:marRight w:val="0"/>
      <w:marTop w:val="0"/>
      <w:marBottom w:val="0"/>
      <w:divBdr>
        <w:top w:val="none" w:sz="0" w:space="0" w:color="auto"/>
        <w:left w:val="none" w:sz="0" w:space="0" w:color="auto"/>
        <w:bottom w:val="none" w:sz="0" w:space="0" w:color="auto"/>
        <w:right w:val="none" w:sz="0" w:space="0" w:color="auto"/>
      </w:divBdr>
    </w:div>
    <w:div w:id="702899142">
      <w:bodyDiv w:val="1"/>
      <w:marLeft w:val="0"/>
      <w:marRight w:val="0"/>
      <w:marTop w:val="0"/>
      <w:marBottom w:val="0"/>
      <w:divBdr>
        <w:top w:val="none" w:sz="0" w:space="0" w:color="auto"/>
        <w:left w:val="none" w:sz="0" w:space="0" w:color="auto"/>
        <w:bottom w:val="none" w:sz="0" w:space="0" w:color="auto"/>
        <w:right w:val="none" w:sz="0" w:space="0" w:color="auto"/>
      </w:divBdr>
    </w:div>
    <w:div w:id="707073176">
      <w:bodyDiv w:val="1"/>
      <w:marLeft w:val="0"/>
      <w:marRight w:val="0"/>
      <w:marTop w:val="0"/>
      <w:marBottom w:val="0"/>
      <w:divBdr>
        <w:top w:val="none" w:sz="0" w:space="0" w:color="auto"/>
        <w:left w:val="none" w:sz="0" w:space="0" w:color="auto"/>
        <w:bottom w:val="none" w:sz="0" w:space="0" w:color="auto"/>
        <w:right w:val="none" w:sz="0" w:space="0" w:color="auto"/>
      </w:divBdr>
    </w:div>
    <w:div w:id="718668799">
      <w:bodyDiv w:val="1"/>
      <w:marLeft w:val="0"/>
      <w:marRight w:val="0"/>
      <w:marTop w:val="0"/>
      <w:marBottom w:val="0"/>
      <w:divBdr>
        <w:top w:val="none" w:sz="0" w:space="0" w:color="auto"/>
        <w:left w:val="none" w:sz="0" w:space="0" w:color="auto"/>
        <w:bottom w:val="none" w:sz="0" w:space="0" w:color="auto"/>
        <w:right w:val="none" w:sz="0" w:space="0" w:color="auto"/>
      </w:divBdr>
    </w:div>
    <w:div w:id="736629140">
      <w:bodyDiv w:val="1"/>
      <w:marLeft w:val="0"/>
      <w:marRight w:val="0"/>
      <w:marTop w:val="0"/>
      <w:marBottom w:val="0"/>
      <w:divBdr>
        <w:top w:val="none" w:sz="0" w:space="0" w:color="auto"/>
        <w:left w:val="none" w:sz="0" w:space="0" w:color="auto"/>
        <w:bottom w:val="none" w:sz="0" w:space="0" w:color="auto"/>
        <w:right w:val="none" w:sz="0" w:space="0" w:color="auto"/>
      </w:divBdr>
    </w:div>
    <w:div w:id="744110589">
      <w:bodyDiv w:val="1"/>
      <w:marLeft w:val="0"/>
      <w:marRight w:val="0"/>
      <w:marTop w:val="0"/>
      <w:marBottom w:val="0"/>
      <w:divBdr>
        <w:top w:val="none" w:sz="0" w:space="0" w:color="auto"/>
        <w:left w:val="none" w:sz="0" w:space="0" w:color="auto"/>
        <w:bottom w:val="none" w:sz="0" w:space="0" w:color="auto"/>
        <w:right w:val="none" w:sz="0" w:space="0" w:color="auto"/>
      </w:divBdr>
    </w:div>
    <w:div w:id="754400008">
      <w:bodyDiv w:val="1"/>
      <w:marLeft w:val="0"/>
      <w:marRight w:val="0"/>
      <w:marTop w:val="0"/>
      <w:marBottom w:val="0"/>
      <w:divBdr>
        <w:top w:val="none" w:sz="0" w:space="0" w:color="auto"/>
        <w:left w:val="none" w:sz="0" w:space="0" w:color="auto"/>
        <w:bottom w:val="none" w:sz="0" w:space="0" w:color="auto"/>
        <w:right w:val="none" w:sz="0" w:space="0" w:color="auto"/>
      </w:divBdr>
    </w:div>
    <w:div w:id="777062902">
      <w:bodyDiv w:val="1"/>
      <w:marLeft w:val="0"/>
      <w:marRight w:val="0"/>
      <w:marTop w:val="0"/>
      <w:marBottom w:val="0"/>
      <w:divBdr>
        <w:top w:val="none" w:sz="0" w:space="0" w:color="auto"/>
        <w:left w:val="none" w:sz="0" w:space="0" w:color="auto"/>
        <w:bottom w:val="none" w:sz="0" w:space="0" w:color="auto"/>
        <w:right w:val="none" w:sz="0" w:space="0" w:color="auto"/>
      </w:divBdr>
      <w:divsChild>
        <w:div w:id="2080593335">
          <w:marLeft w:val="0"/>
          <w:marRight w:val="0"/>
          <w:marTop w:val="0"/>
          <w:marBottom w:val="0"/>
          <w:divBdr>
            <w:top w:val="none" w:sz="0" w:space="0" w:color="auto"/>
            <w:left w:val="none" w:sz="0" w:space="0" w:color="auto"/>
            <w:bottom w:val="none" w:sz="0" w:space="0" w:color="auto"/>
            <w:right w:val="none" w:sz="0" w:space="0" w:color="auto"/>
          </w:divBdr>
        </w:div>
        <w:div w:id="1940871247">
          <w:marLeft w:val="0"/>
          <w:marRight w:val="0"/>
          <w:marTop w:val="0"/>
          <w:marBottom w:val="0"/>
          <w:divBdr>
            <w:top w:val="none" w:sz="0" w:space="0" w:color="auto"/>
            <w:left w:val="none" w:sz="0" w:space="0" w:color="auto"/>
            <w:bottom w:val="none" w:sz="0" w:space="0" w:color="auto"/>
            <w:right w:val="none" w:sz="0" w:space="0" w:color="auto"/>
          </w:divBdr>
        </w:div>
        <w:div w:id="55320402">
          <w:marLeft w:val="0"/>
          <w:marRight w:val="0"/>
          <w:marTop w:val="0"/>
          <w:marBottom w:val="0"/>
          <w:divBdr>
            <w:top w:val="none" w:sz="0" w:space="0" w:color="auto"/>
            <w:left w:val="none" w:sz="0" w:space="0" w:color="auto"/>
            <w:bottom w:val="none" w:sz="0" w:space="0" w:color="auto"/>
            <w:right w:val="none" w:sz="0" w:space="0" w:color="auto"/>
          </w:divBdr>
        </w:div>
      </w:divsChild>
    </w:div>
    <w:div w:id="819619367">
      <w:bodyDiv w:val="1"/>
      <w:marLeft w:val="0"/>
      <w:marRight w:val="0"/>
      <w:marTop w:val="0"/>
      <w:marBottom w:val="0"/>
      <w:divBdr>
        <w:top w:val="none" w:sz="0" w:space="0" w:color="auto"/>
        <w:left w:val="none" w:sz="0" w:space="0" w:color="auto"/>
        <w:bottom w:val="none" w:sz="0" w:space="0" w:color="auto"/>
        <w:right w:val="none" w:sz="0" w:space="0" w:color="auto"/>
      </w:divBdr>
    </w:div>
    <w:div w:id="843252442">
      <w:bodyDiv w:val="1"/>
      <w:marLeft w:val="0"/>
      <w:marRight w:val="0"/>
      <w:marTop w:val="0"/>
      <w:marBottom w:val="0"/>
      <w:divBdr>
        <w:top w:val="none" w:sz="0" w:space="0" w:color="auto"/>
        <w:left w:val="none" w:sz="0" w:space="0" w:color="auto"/>
        <w:bottom w:val="none" w:sz="0" w:space="0" w:color="auto"/>
        <w:right w:val="none" w:sz="0" w:space="0" w:color="auto"/>
      </w:divBdr>
    </w:div>
    <w:div w:id="872959271">
      <w:bodyDiv w:val="1"/>
      <w:marLeft w:val="0"/>
      <w:marRight w:val="0"/>
      <w:marTop w:val="0"/>
      <w:marBottom w:val="0"/>
      <w:divBdr>
        <w:top w:val="none" w:sz="0" w:space="0" w:color="auto"/>
        <w:left w:val="none" w:sz="0" w:space="0" w:color="auto"/>
        <w:bottom w:val="none" w:sz="0" w:space="0" w:color="auto"/>
        <w:right w:val="none" w:sz="0" w:space="0" w:color="auto"/>
      </w:divBdr>
    </w:div>
    <w:div w:id="911357965">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952594926">
      <w:bodyDiv w:val="1"/>
      <w:marLeft w:val="0"/>
      <w:marRight w:val="0"/>
      <w:marTop w:val="0"/>
      <w:marBottom w:val="0"/>
      <w:divBdr>
        <w:top w:val="none" w:sz="0" w:space="0" w:color="auto"/>
        <w:left w:val="none" w:sz="0" w:space="0" w:color="auto"/>
        <w:bottom w:val="none" w:sz="0" w:space="0" w:color="auto"/>
        <w:right w:val="none" w:sz="0" w:space="0" w:color="auto"/>
      </w:divBdr>
    </w:div>
    <w:div w:id="957221267">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1016690624">
      <w:bodyDiv w:val="1"/>
      <w:marLeft w:val="0"/>
      <w:marRight w:val="0"/>
      <w:marTop w:val="0"/>
      <w:marBottom w:val="0"/>
      <w:divBdr>
        <w:top w:val="none" w:sz="0" w:space="0" w:color="auto"/>
        <w:left w:val="none" w:sz="0" w:space="0" w:color="auto"/>
        <w:bottom w:val="none" w:sz="0" w:space="0" w:color="auto"/>
        <w:right w:val="none" w:sz="0" w:space="0" w:color="auto"/>
      </w:divBdr>
    </w:div>
    <w:div w:id="1018192805">
      <w:bodyDiv w:val="1"/>
      <w:marLeft w:val="0"/>
      <w:marRight w:val="0"/>
      <w:marTop w:val="0"/>
      <w:marBottom w:val="0"/>
      <w:divBdr>
        <w:top w:val="none" w:sz="0" w:space="0" w:color="auto"/>
        <w:left w:val="none" w:sz="0" w:space="0" w:color="auto"/>
        <w:bottom w:val="none" w:sz="0" w:space="0" w:color="auto"/>
        <w:right w:val="none" w:sz="0" w:space="0" w:color="auto"/>
      </w:divBdr>
    </w:div>
    <w:div w:id="1054306148">
      <w:bodyDiv w:val="1"/>
      <w:marLeft w:val="0"/>
      <w:marRight w:val="0"/>
      <w:marTop w:val="0"/>
      <w:marBottom w:val="0"/>
      <w:divBdr>
        <w:top w:val="none" w:sz="0" w:space="0" w:color="auto"/>
        <w:left w:val="none" w:sz="0" w:space="0" w:color="auto"/>
        <w:bottom w:val="none" w:sz="0" w:space="0" w:color="auto"/>
        <w:right w:val="none" w:sz="0" w:space="0" w:color="auto"/>
      </w:divBdr>
    </w:div>
    <w:div w:id="1113747582">
      <w:bodyDiv w:val="1"/>
      <w:marLeft w:val="0"/>
      <w:marRight w:val="0"/>
      <w:marTop w:val="0"/>
      <w:marBottom w:val="0"/>
      <w:divBdr>
        <w:top w:val="none" w:sz="0" w:space="0" w:color="auto"/>
        <w:left w:val="none" w:sz="0" w:space="0" w:color="auto"/>
        <w:bottom w:val="none" w:sz="0" w:space="0" w:color="auto"/>
        <w:right w:val="none" w:sz="0" w:space="0" w:color="auto"/>
      </w:divBdr>
    </w:div>
    <w:div w:id="1159930824">
      <w:bodyDiv w:val="1"/>
      <w:marLeft w:val="0"/>
      <w:marRight w:val="0"/>
      <w:marTop w:val="0"/>
      <w:marBottom w:val="0"/>
      <w:divBdr>
        <w:top w:val="none" w:sz="0" w:space="0" w:color="auto"/>
        <w:left w:val="none" w:sz="0" w:space="0" w:color="auto"/>
        <w:bottom w:val="none" w:sz="0" w:space="0" w:color="auto"/>
        <w:right w:val="none" w:sz="0" w:space="0" w:color="auto"/>
      </w:divBdr>
    </w:div>
    <w:div w:id="1164004725">
      <w:bodyDiv w:val="1"/>
      <w:marLeft w:val="0"/>
      <w:marRight w:val="0"/>
      <w:marTop w:val="0"/>
      <w:marBottom w:val="0"/>
      <w:divBdr>
        <w:top w:val="none" w:sz="0" w:space="0" w:color="auto"/>
        <w:left w:val="none" w:sz="0" w:space="0" w:color="auto"/>
        <w:bottom w:val="none" w:sz="0" w:space="0" w:color="auto"/>
        <w:right w:val="none" w:sz="0" w:space="0" w:color="auto"/>
      </w:divBdr>
    </w:div>
    <w:div w:id="1169977194">
      <w:bodyDiv w:val="1"/>
      <w:marLeft w:val="0"/>
      <w:marRight w:val="0"/>
      <w:marTop w:val="0"/>
      <w:marBottom w:val="0"/>
      <w:divBdr>
        <w:top w:val="none" w:sz="0" w:space="0" w:color="auto"/>
        <w:left w:val="none" w:sz="0" w:space="0" w:color="auto"/>
        <w:bottom w:val="none" w:sz="0" w:space="0" w:color="auto"/>
        <w:right w:val="none" w:sz="0" w:space="0" w:color="auto"/>
      </w:divBdr>
    </w:div>
    <w:div w:id="1170177278">
      <w:bodyDiv w:val="1"/>
      <w:marLeft w:val="0"/>
      <w:marRight w:val="0"/>
      <w:marTop w:val="0"/>
      <w:marBottom w:val="0"/>
      <w:divBdr>
        <w:top w:val="none" w:sz="0" w:space="0" w:color="auto"/>
        <w:left w:val="none" w:sz="0" w:space="0" w:color="auto"/>
        <w:bottom w:val="none" w:sz="0" w:space="0" w:color="auto"/>
        <w:right w:val="none" w:sz="0" w:space="0" w:color="auto"/>
      </w:divBdr>
    </w:div>
    <w:div w:id="1233420057">
      <w:bodyDiv w:val="1"/>
      <w:marLeft w:val="0"/>
      <w:marRight w:val="0"/>
      <w:marTop w:val="0"/>
      <w:marBottom w:val="0"/>
      <w:divBdr>
        <w:top w:val="none" w:sz="0" w:space="0" w:color="auto"/>
        <w:left w:val="none" w:sz="0" w:space="0" w:color="auto"/>
        <w:bottom w:val="none" w:sz="0" w:space="0" w:color="auto"/>
        <w:right w:val="none" w:sz="0" w:space="0" w:color="auto"/>
      </w:divBdr>
    </w:div>
    <w:div w:id="1241137776">
      <w:bodyDiv w:val="1"/>
      <w:marLeft w:val="0"/>
      <w:marRight w:val="0"/>
      <w:marTop w:val="0"/>
      <w:marBottom w:val="0"/>
      <w:divBdr>
        <w:top w:val="none" w:sz="0" w:space="0" w:color="auto"/>
        <w:left w:val="none" w:sz="0" w:space="0" w:color="auto"/>
        <w:bottom w:val="none" w:sz="0" w:space="0" w:color="auto"/>
        <w:right w:val="none" w:sz="0" w:space="0" w:color="auto"/>
      </w:divBdr>
    </w:div>
    <w:div w:id="1251310520">
      <w:bodyDiv w:val="1"/>
      <w:marLeft w:val="0"/>
      <w:marRight w:val="0"/>
      <w:marTop w:val="0"/>
      <w:marBottom w:val="0"/>
      <w:divBdr>
        <w:top w:val="none" w:sz="0" w:space="0" w:color="auto"/>
        <w:left w:val="none" w:sz="0" w:space="0" w:color="auto"/>
        <w:bottom w:val="none" w:sz="0" w:space="0" w:color="auto"/>
        <w:right w:val="none" w:sz="0" w:space="0" w:color="auto"/>
      </w:divBdr>
    </w:div>
    <w:div w:id="1255897297">
      <w:bodyDiv w:val="1"/>
      <w:marLeft w:val="0"/>
      <w:marRight w:val="0"/>
      <w:marTop w:val="0"/>
      <w:marBottom w:val="0"/>
      <w:divBdr>
        <w:top w:val="none" w:sz="0" w:space="0" w:color="auto"/>
        <w:left w:val="none" w:sz="0" w:space="0" w:color="auto"/>
        <w:bottom w:val="none" w:sz="0" w:space="0" w:color="auto"/>
        <w:right w:val="none" w:sz="0" w:space="0" w:color="auto"/>
      </w:divBdr>
    </w:div>
    <w:div w:id="1269661687">
      <w:bodyDiv w:val="1"/>
      <w:marLeft w:val="0"/>
      <w:marRight w:val="0"/>
      <w:marTop w:val="0"/>
      <w:marBottom w:val="0"/>
      <w:divBdr>
        <w:top w:val="none" w:sz="0" w:space="0" w:color="auto"/>
        <w:left w:val="none" w:sz="0" w:space="0" w:color="auto"/>
        <w:bottom w:val="none" w:sz="0" w:space="0" w:color="auto"/>
        <w:right w:val="none" w:sz="0" w:space="0" w:color="auto"/>
      </w:divBdr>
    </w:div>
    <w:div w:id="1333220941">
      <w:bodyDiv w:val="1"/>
      <w:marLeft w:val="0"/>
      <w:marRight w:val="0"/>
      <w:marTop w:val="0"/>
      <w:marBottom w:val="0"/>
      <w:divBdr>
        <w:top w:val="none" w:sz="0" w:space="0" w:color="auto"/>
        <w:left w:val="none" w:sz="0" w:space="0" w:color="auto"/>
        <w:bottom w:val="none" w:sz="0" w:space="0" w:color="auto"/>
        <w:right w:val="none" w:sz="0" w:space="0" w:color="auto"/>
      </w:divBdr>
    </w:div>
    <w:div w:id="1337075283">
      <w:bodyDiv w:val="1"/>
      <w:marLeft w:val="0"/>
      <w:marRight w:val="0"/>
      <w:marTop w:val="0"/>
      <w:marBottom w:val="0"/>
      <w:divBdr>
        <w:top w:val="none" w:sz="0" w:space="0" w:color="auto"/>
        <w:left w:val="none" w:sz="0" w:space="0" w:color="auto"/>
        <w:bottom w:val="none" w:sz="0" w:space="0" w:color="auto"/>
        <w:right w:val="none" w:sz="0" w:space="0" w:color="auto"/>
      </w:divBdr>
    </w:div>
    <w:div w:id="1364474396">
      <w:bodyDiv w:val="1"/>
      <w:marLeft w:val="0"/>
      <w:marRight w:val="0"/>
      <w:marTop w:val="0"/>
      <w:marBottom w:val="0"/>
      <w:divBdr>
        <w:top w:val="none" w:sz="0" w:space="0" w:color="auto"/>
        <w:left w:val="none" w:sz="0" w:space="0" w:color="auto"/>
        <w:bottom w:val="none" w:sz="0" w:space="0" w:color="auto"/>
        <w:right w:val="none" w:sz="0" w:space="0" w:color="auto"/>
      </w:divBdr>
    </w:div>
    <w:div w:id="1396273987">
      <w:bodyDiv w:val="1"/>
      <w:marLeft w:val="0"/>
      <w:marRight w:val="0"/>
      <w:marTop w:val="0"/>
      <w:marBottom w:val="0"/>
      <w:divBdr>
        <w:top w:val="none" w:sz="0" w:space="0" w:color="auto"/>
        <w:left w:val="none" w:sz="0" w:space="0" w:color="auto"/>
        <w:bottom w:val="none" w:sz="0" w:space="0" w:color="auto"/>
        <w:right w:val="none" w:sz="0" w:space="0" w:color="auto"/>
      </w:divBdr>
      <w:divsChild>
        <w:div w:id="636304943">
          <w:marLeft w:val="0"/>
          <w:marRight w:val="0"/>
          <w:marTop w:val="225"/>
          <w:marBottom w:val="300"/>
          <w:divBdr>
            <w:top w:val="none" w:sz="0" w:space="0" w:color="auto"/>
            <w:left w:val="none" w:sz="0" w:space="0" w:color="auto"/>
            <w:bottom w:val="none" w:sz="0" w:space="0" w:color="auto"/>
            <w:right w:val="none" w:sz="0" w:space="0" w:color="auto"/>
          </w:divBdr>
        </w:div>
        <w:div w:id="777528731">
          <w:marLeft w:val="0"/>
          <w:marRight w:val="0"/>
          <w:marTop w:val="0"/>
          <w:marBottom w:val="0"/>
          <w:divBdr>
            <w:top w:val="none" w:sz="0" w:space="0" w:color="auto"/>
            <w:left w:val="none" w:sz="0" w:space="0" w:color="auto"/>
            <w:bottom w:val="none" w:sz="0" w:space="0" w:color="auto"/>
            <w:right w:val="none" w:sz="0" w:space="0" w:color="auto"/>
          </w:divBdr>
        </w:div>
        <w:div w:id="393282012">
          <w:marLeft w:val="0"/>
          <w:marRight w:val="0"/>
          <w:marTop w:val="0"/>
          <w:marBottom w:val="0"/>
          <w:divBdr>
            <w:top w:val="single" w:sz="6" w:space="0" w:color="E0E0E0"/>
            <w:left w:val="none" w:sz="0" w:space="0" w:color="auto"/>
            <w:bottom w:val="none" w:sz="0" w:space="0" w:color="auto"/>
            <w:right w:val="none" w:sz="0" w:space="0" w:color="auto"/>
          </w:divBdr>
          <w:divsChild>
            <w:div w:id="120914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83015">
      <w:bodyDiv w:val="1"/>
      <w:marLeft w:val="0"/>
      <w:marRight w:val="0"/>
      <w:marTop w:val="0"/>
      <w:marBottom w:val="0"/>
      <w:divBdr>
        <w:top w:val="none" w:sz="0" w:space="0" w:color="auto"/>
        <w:left w:val="none" w:sz="0" w:space="0" w:color="auto"/>
        <w:bottom w:val="none" w:sz="0" w:space="0" w:color="auto"/>
        <w:right w:val="none" w:sz="0" w:space="0" w:color="auto"/>
      </w:divBdr>
    </w:div>
    <w:div w:id="1460799889">
      <w:bodyDiv w:val="1"/>
      <w:marLeft w:val="0"/>
      <w:marRight w:val="0"/>
      <w:marTop w:val="0"/>
      <w:marBottom w:val="0"/>
      <w:divBdr>
        <w:top w:val="none" w:sz="0" w:space="0" w:color="auto"/>
        <w:left w:val="none" w:sz="0" w:space="0" w:color="auto"/>
        <w:bottom w:val="none" w:sz="0" w:space="0" w:color="auto"/>
        <w:right w:val="none" w:sz="0" w:space="0" w:color="auto"/>
      </w:divBdr>
      <w:divsChild>
        <w:div w:id="1429618987">
          <w:marLeft w:val="0"/>
          <w:marRight w:val="0"/>
          <w:marTop w:val="225"/>
          <w:marBottom w:val="300"/>
          <w:divBdr>
            <w:top w:val="none" w:sz="0" w:space="0" w:color="auto"/>
            <w:left w:val="none" w:sz="0" w:space="0" w:color="auto"/>
            <w:bottom w:val="none" w:sz="0" w:space="0" w:color="auto"/>
            <w:right w:val="none" w:sz="0" w:space="0" w:color="auto"/>
          </w:divBdr>
        </w:div>
        <w:div w:id="139546065">
          <w:marLeft w:val="0"/>
          <w:marRight w:val="0"/>
          <w:marTop w:val="0"/>
          <w:marBottom w:val="0"/>
          <w:divBdr>
            <w:top w:val="none" w:sz="0" w:space="0" w:color="auto"/>
            <w:left w:val="none" w:sz="0" w:space="0" w:color="auto"/>
            <w:bottom w:val="none" w:sz="0" w:space="0" w:color="auto"/>
            <w:right w:val="none" w:sz="0" w:space="0" w:color="auto"/>
          </w:divBdr>
        </w:div>
        <w:div w:id="123937383">
          <w:marLeft w:val="0"/>
          <w:marRight w:val="0"/>
          <w:marTop w:val="0"/>
          <w:marBottom w:val="0"/>
          <w:divBdr>
            <w:top w:val="single" w:sz="6" w:space="0" w:color="E0E0E0"/>
            <w:left w:val="none" w:sz="0" w:space="0" w:color="auto"/>
            <w:bottom w:val="none" w:sz="0" w:space="0" w:color="auto"/>
            <w:right w:val="none" w:sz="0" w:space="0" w:color="auto"/>
          </w:divBdr>
          <w:divsChild>
            <w:div w:id="151742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5344">
      <w:bodyDiv w:val="1"/>
      <w:marLeft w:val="0"/>
      <w:marRight w:val="0"/>
      <w:marTop w:val="0"/>
      <w:marBottom w:val="0"/>
      <w:divBdr>
        <w:top w:val="none" w:sz="0" w:space="0" w:color="auto"/>
        <w:left w:val="none" w:sz="0" w:space="0" w:color="auto"/>
        <w:bottom w:val="none" w:sz="0" w:space="0" w:color="auto"/>
        <w:right w:val="none" w:sz="0" w:space="0" w:color="auto"/>
      </w:divBdr>
    </w:div>
    <w:div w:id="1523015773">
      <w:bodyDiv w:val="1"/>
      <w:marLeft w:val="0"/>
      <w:marRight w:val="0"/>
      <w:marTop w:val="0"/>
      <w:marBottom w:val="0"/>
      <w:divBdr>
        <w:top w:val="none" w:sz="0" w:space="0" w:color="auto"/>
        <w:left w:val="none" w:sz="0" w:space="0" w:color="auto"/>
        <w:bottom w:val="none" w:sz="0" w:space="0" w:color="auto"/>
        <w:right w:val="none" w:sz="0" w:space="0" w:color="auto"/>
      </w:divBdr>
    </w:div>
    <w:div w:id="1593467013">
      <w:bodyDiv w:val="1"/>
      <w:marLeft w:val="0"/>
      <w:marRight w:val="0"/>
      <w:marTop w:val="0"/>
      <w:marBottom w:val="0"/>
      <w:divBdr>
        <w:top w:val="none" w:sz="0" w:space="0" w:color="auto"/>
        <w:left w:val="none" w:sz="0" w:space="0" w:color="auto"/>
        <w:bottom w:val="none" w:sz="0" w:space="0" w:color="auto"/>
        <w:right w:val="none" w:sz="0" w:space="0" w:color="auto"/>
      </w:divBdr>
    </w:div>
    <w:div w:id="1608342092">
      <w:bodyDiv w:val="1"/>
      <w:marLeft w:val="0"/>
      <w:marRight w:val="0"/>
      <w:marTop w:val="0"/>
      <w:marBottom w:val="0"/>
      <w:divBdr>
        <w:top w:val="none" w:sz="0" w:space="0" w:color="auto"/>
        <w:left w:val="none" w:sz="0" w:space="0" w:color="auto"/>
        <w:bottom w:val="none" w:sz="0" w:space="0" w:color="auto"/>
        <w:right w:val="none" w:sz="0" w:space="0" w:color="auto"/>
      </w:divBdr>
    </w:div>
    <w:div w:id="1626883651">
      <w:bodyDiv w:val="1"/>
      <w:marLeft w:val="0"/>
      <w:marRight w:val="0"/>
      <w:marTop w:val="0"/>
      <w:marBottom w:val="0"/>
      <w:divBdr>
        <w:top w:val="none" w:sz="0" w:space="0" w:color="auto"/>
        <w:left w:val="none" w:sz="0" w:space="0" w:color="auto"/>
        <w:bottom w:val="none" w:sz="0" w:space="0" w:color="auto"/>
        <w:right w:val="none" w:sz="0" w:space="0" w:color="auto"/>
      </w:divBdr>
    </w:div>
    <w:div w:id="1642922316">
      <w:bodyDiv w:val="1"/>
      <w:marLeft w:val="0"/>
      <w:marRight w:val="0"/>
      <w:marTop w:val="0"/>
      <w:marBottom w:val="0"/>
      <w:divBdr>
        <w:top w:val="none" w:sz="0" w:space="0" w:color="auto"/>
        <w:left w:val="none" w:sz="0" w:space="0" w:color="auto"/>
        <w:bottom w:val="none" w:sz="0" w:space="0" w:color="auto"/>
        <w:right w:val="none" w:sz="0" w:space="0" w:color="auto"/>
      </w:divBdr>
    </w:div>
    <w:div w:id="1738243154">
      <w:bodyDiv w:val="1"/>
      <w:marLeft w:val="0"/>
      <w:marRight w:val="0"/>
      <w:marTop w:val="0"/>
      <w:marBottom w:val="0"/>
      <w:divBdr>
        <w:top w:val="none" w:sz="0" w:space="0" w:color="auto"/>
        <w:left w:val="none" w:sz="0" w:space="0" w:color="auto"/>
        <w:bottom w:val="none" w:sz="0" w:space="0" w:color="auto"/>
        <w:right w:val="none" w:sz="0" w:space="0" w:color="auto"/>
      </w:divBdr>
      <w:divsChild>
        <w:div w:id="2132044019">
          <w:marLeft w:val="0"/>
          <w:marRight w:val="0"/>
          <w:marTop w:val="34"/>
          <w:marBottom w:val="34"/>
          <w:divBdr>
            <w:top w:val="none" w:sz="0" w:space="0" w:color="auto"/>
            <w:left w:val="none" w:sz="0" w:space="0" w:color="auto"/>
            <w:bottom w:val="none" w:sz="0" w:space="0" w:color="auto"/>
            <w:right w:val="none" w:sz="0" w:space="0" w:color="auto"/>
          </w:divBdr>
        </w:div>
      </w:divsChild>
    </w:div>
    <w:div w:id="1741554977">
      <w:bodyDiv w:val="1"/>
      <w:marLeft w:val="0"/>
      <w:marRight w:val="0"/>
      <w:marTop w:val="0"/>
      <w:marBottom w:val="0"/>
      <w:divBdr>
        <w:top w:val="none" w:sz="0" w:space="0" w:color="auto"/>
        <w:left w:val="none" w:sz="0" w:space="0" w:color="auto"/>
        <w:bottom w:val="none" w:sz="0" w:space="0" w:color="auto"/>
        <w:right w:val="none" w:sz="0" w:space="0" w:color="auto"/>
      </w:divBdr>
      <w:divsChild>
        <w:div w:id="1579712231">
          <w:marLeft w:val="0"/>
          <w:marRight w:val="0"/>
          <w:marTop w:val="0"/>
          <w:marBottom w:val="0"/>
          <w:divBdr>
            <w:top w:val="none" w:sz="0" w:space="0" w:color="auto"/>
            <w:left w:val="none" w:sz="0" w:space="0" w:color="auto"/>
            <w:bottom w:val="none" w:sz="0" w:space="0" w:color="auto"/>
            <w:right w:val="none" w:sz="0" w:space="0" w:color="auto"/>
          </w:divBdr>
        </w:div>
        <w:div w:id="349454944">
          <w:marLeft w:val="0"/>
          <w:marRight w:val="0"/>
          <w:marTop w:val="0"/>
          <w:marBottom w:val="0"/>
          <w:divBdr>
            <w:top w:val="none" w:sz="0" w:space="0" w:color="auto"/>
            <w:left w:val="none" w:sz="0" w:space="0" w:color="auto"/>
            <w:bottom w:val="none" w:sz="0" w:space="0" w:color="auto"/>
            <w:right w:val="none" w:sz="0" w:space="0" w:color="auto"/>
          </w:divBdr>
        </w:div>
      </w:divsChild>
    </w:div>
    <w:div w:id="1759642273">
      <w:bodyDiv w:val="1"/>
      <w:marLeft w:val="0"/>
      <w:marRight w:val="0"/>
      <w:marTop w:val="0"/>
      <w:marBottom w:val="0"/>
      <w:divBdr>
        <w:top w:val="none" w:sz="0" w:space="0" w:color="auto"/>
        <w:left w:val="none" w:sz="0" w:space="0" w:color="auto"/>
        <w:bottom w:val="none" w:sz="0" w:space="0" w:color="auto"/>
        <w:right w:val="none" w:sz="0" w:space="0" w:color="auto"/>
      </w:divBdr>
    </w:div>
    <w:div w:id="1767195200">
      <w:bodyDiv w:val="1"/>
      <w:marLeft w:val="0"/>
      <w:marRight w:val="0"/>
      <w:marTop w:val="0"/>
      <w:marBottom w:val="0"/>
      <w:divBdr>
        <w:top w:val="none" w:sz="0" w:space="0" w:color="auto"/>
        <w:left w:val="none" w:sz="0" w:space="0" w:color="auto"/>
        <w:bottom w:val="none" w:sz="0" w:space="0" w:color="auto"/>
        <w:right w:val="none" w:sz="0" w:space="0" w:color="auto"/>
      </w:divBdr>
    </w:div>
    <w:div w:id="1774544918">
      <w:bodyDiv w:val="1"/>
      <w:marLeft w:val="0"/>
      <w:marRight w:val="0"/>
      <w:marTop w:val="0"/>
      <w:marBottom w:val="0"/>
      <w:divBdr>
        <w:top w:val="none" w:sz="0" w:space="0" w:color="auto"/>
        <w:left w:val="none" w:sz="0" w:space="0" w:color="auto"/>
        <w:bottom w:val="none" w:sz="0" w:space="0" w:color="auto"/>
        <w:right w:val="none" w:sz="0" w:space="0" w:color="auto"/>
      </w:divBdr>
    </w:div>
    <w:div w:id="1783183006">
      <w:bodyDiv w:val="1"/>
      <w:marLeft w:val="0"/>
      <w:marRight w:val="0"/>
      <w:marTop w:val="0"/>
      <w:marBottom w:val="0"/>
      <w:divBdr>
        <w:top w:val="none" w:sz="0" w:space="0" w:color="auto"/>
        <w:left w:val="none" w:sz="0" w:space="0" w:color="auto"/>
        <w:bottom w:val="none" w:sz="0" w:space="0" w:color="auto"/>
        <w:right w:val="none" w:sz="0" w:space="0" w:color="auto"/>
      </w:divBdr>
    </w:div>
    <w:div w:id="1791584056">
      <w:bodyDiv w:val="1"/>
      <w:marLeft w:val="0"/>
      <w:marRight w:val="0"/>
      <w:marTop w:val="0"/>
      <w:marBottom w:val="0"/>
      <w:divBdr>
        <w:top w:val="none" w:sz="0" w:space="0" w:color="auto"/>
        <w:left w:val="none" w:sz="0" w:space="0" w:color="auto"/>
        <w:bottom w:val="none" w:sz="0" w:space="0" w:color="auto"/>
        <w:right w:val="none" w:sz="0" w:space="0" w:color="auto"/>
      </w:divBdr>
    </w:div>
    <w:div w:id="1792360551">
      <w:bodyDiv w:val="1"/>
      <w:marLeft w:val="0"/>
      <w:marRight w:val="0"/>
      <w:marTop w:val="0"/>
      <w:marBottom w:val="0"/>
      <w:divBdr>
        <w:top w:val="none" w:sz="0" w:space="0" w:color="auto"/>
        <w:left w:val="none" w:sz="0" w:space="0" w:color="auto"/>
        <w:bottom w:val="none" w:sz="0" w:space="0" w:color="auto"/>
        <w:right w:val="none" w:sz="0" w:space="0" w:color="auto"/>
      </w:divBdr>
    </w:div>
    <w:div w:id="1802722756">
      <w:bodyDiv w:val="1"/>
      <w:marLeft w:val="0"/>
      <w:marRight w:val="0"/>
      <w:marTop w:val="0"/>
      <w:marBottom w:val="0"/>
      <w:divBdr>
        <w:top w:val="none" w:sz="0" w:space="0" w:color="auto"/>
        <w:left w:val="none" w:sz="0" w:space="0" w:color="auto"/>
        <w:bottom w:val="none" w:sz="0" w:space="0" w:color="auto"/>
        <w:right w:val="none" w:sz="0" w:space="0" w:color="auto"/>
      </w:divBdr>
    </w:div>
    <w:div w:id="1827359081">
      <w:bodyDiv w:val="1"/>
      <w:marLeft w:val="0"/>
      <w:marRight w:val="0"/>
      <w:marTop w:val="0"/>
      <w:marBottom w:val="0"/>
      <w:divBdr>
        <w:top w:val="none" w:sz="0" w:space="0" w:color="auto"/>
        <w:left w:val="none" w:sz="0" w:space="0" w:color="auto"/>
        <w:bottom w:val="none" w:sz="0" w:space="0" w:color="auto"/>
        <w:right w:val="none" w:sz="0" w:space="0" w:color="auto"/>
      </w:divBdr>
      <w:divsChild>
        <w:div w:id="679280733">
          <w:marLeft w:val="0"/>
          <w:marRight w:val="0"/>
          <w:marTop w:val="0"/>
          <w:marBottom w:val="0"/>
          <w:divBdr>
            <w:top w:val="none" w:sz="0" w:space="0" w:color="auto"/>
            <w:left w:val="none" w:sz="0" w:space="0" w:color="auto"/>
            <w:bottom w:val="none" w:sz="0" w:space="0" w:color="auto"/>
            <w:right w:val="none" w:sz="0" w:space="0" w:color="auto"/>
          </w:divBdr>
        </w:div>
        <w:div w:id="2025012074">
          <w:marLeft w:val="0"/>
          <w:marRight w:val="0"/>
          <w:marTop w:val="0"/>
          <w:marBottom w:val="0"/>
          <w:divBdr>
            <w:top w:val="none" w:sz="0" w:space="0" w:color="auto"/>
            <w:left w:val="none" w:sz="0" w:space="0" w:color="auto"/>
            <w:bottom w:val="none" w:sz="0" w:space="0" w:color="auto"/>
            <w:right w:val="none" w:sz="0" w:space="0" w:color="auto"/>
          </w:divBdr>
        </w:div>
      </w:divsChild>
    </w:div>
    <w:div w:id="1867059983">
      <w:bodyDiv w:val="1"/>
      <w:marLeft w:val="0"/>
      <w:marRight w:val="0"/>
      <w:marTop w:val="0"/>
      <w:marBottom w:val="0"/>
      <w:divBdr>
        <w:top w:val="none" w:sz="0" w:space="0" w:color="auto"/>
        <w:left w:val="none" w:sz="0" w:space="0" w:color="auto"/>
        <w:bottom w:val="none" w:sz="0" w:space="0" w:color="auto"/>
        <w:right w:val="none" w:sz="0" w:space="0" w:color="auto"/>
      </w:divBdr>
    </w:div>
    <w:div w:id="1934164809">
      <w:bodyDiv w:val="1"/>
      <w:marLeft w:val="0"/>
      <w:marRight w:val="0"/>
      <w:marTop w:val="0"/>
      <w:marBottom w:val="0"/>
      <w:divBdr>
        <w:top w:val="none" w:sz="0" w:space="0" w:color="auto"/>
        <w:left w:val="none" w:sz="0" w:space="0" w:color="auto"/>
        <w:bottom w:val="none" w:sz="0" w:space="0" w:color="auto"/>
        <w:right w:val="none" w:sz="0" w:space="0" w:color="auto"/>
      </w:divBdr>
    </w:div>
    <w:div w:id="1941404078">
      <w:bodyDiv w:val="1"/>
      <w:marLeft w:val="0"/>
      <w:marRight w:val="0"/>
      <w:marTop w:val="0"/>
      <w:marBottom w:val="0"/>
      <w:divBdr>
        <w:top w:val="none" w:sz="0" w:space="0" w:color="auto"/>
        <w:left w:val="none" w:sz="0" w:space="0" w:color="auto"/>
        <w:bottom w:val="none" w:sz="0" w:space="0" w:color="auto"/>
        <w:right w:val="none" w:sz="0" w:space="0" w:color="auto"/>
      </w:divBdr>
      <w:divsChild>
        <w:div w:id="1455097693">
          <w:marLeft w:val="0"/>
          <w:marRight w:val="0"/>
          <w:marTop w:val="0"/>
          <w:marBottom w:val="0"/>
          <w:divBdr>
            <w:top w:val="none" w:sz="0" w:space="0" w:color="auto"/>
            <w:left w:val="none" w:sz="0" w:space="0" w:color="auto"/>
            <w:bottom w:val="none" w:sz="0" w:space="0" w:color="auto"/>
            <w:right w:val="none" w:sz="0" w:space="0" w:color="auto"/>
          </w:divBdr>
        </w:div>
        <w:div w:id="2144498759">
          <w:marLeft w:val="0"/>
          <w:marRight w:val="0"/>
          <w:marTop w:val="0"/>
          <w:marBottom w:val="0"/>
          <w:divBdr>
            <w:top w:val="none" w:sz="0" w:space="0" w:color="auto"/>
            <w:left w:val="none" w:sz="0" w:space="0" w:color="auto"/>
            <w:bottom w:val="none" w:sz="0" w:space="0" w:color="auto"/>
            <w:right w:val="none" w:sz="0" w:space="0" w:color="auto"/>
          </w:divBdr>
        </w:div>
        <w:div w:id="1842232724">
          <w:marLeft w:val="0"/>
          <w:marRight w:val="0"/>
          <w:marTop w:val="0"/>
          <w:marBottom w:val="0"/>
          <w:divBdr>
            <w:top w:val="none" w:sz="0" w:space="0" w:color="auto"/>
            <w:left w:val="none" w:sz="0" w:space="0" w:color="auto"/>
            <w:bottom w:val="none" w:sz="0" w:space="0" w:color="auto"/>
            <w:right w:val="none" w:sz="0" w:space="0" w:color="auto"/>
          </w:divBdr>
        </w:div>
      </w:divsChild>
    </w:div>
    <w:div w:id="1944455372">
      <w:bodyDiv w:val="1"/>
      <w:marLeft w:val="0"/>
      <w:marRight w:val="0"/>
      <w:marTop w:val="0"/>
      <w:marBottom w:val="0"/>
      <w:divBdr>
        <w:top w:val="none" w:sz="0" w:space="0" w:color="auto"/>
        <w:left w:val="none" w:sz="0" w:space="0" w:color="auto"/>
        <w:bottom w:val="none" w:sz="0" w:space="0" w:color="auto"/>
        <w:right w:val="none" w:sz="0" w:space="0" w:color="auto"/>
      </w:divBdr>
    </w:div>
    <w:div w:id="1962804159">
      <w:bodyDiv w:val="1"/>
      <w:marLeft w:val="0"/>
      <w:marRight w:val="0"/>
      <w:marTop w:val="0"/>
      <w:marBottom w:val="0"/>
      <w:divBdr>
        <w:top w:val="none" w:sz="0" w:space="0" w:color="auto"/>
        <w:left w:val="none" w:sz="0" w:space="0" w:color="auto"/>
        <w:bottom w:val="none" w:sz="0" w:space="0" w:color="auto"/>
        <w:right w:val="none" w:sz="0" w:space="0" w:color="auto"/>
      </w:divBdr>
    </w:div>
    <w:div w:id="1971814200">
      <w:bodyDiv w:val="1"/>
      <w:marLeft w:val="0"/>
      <w:marRight w:val="0"/>
      <w:marTop w:val="0"/>
      <w:marBottom w:val="0"/>
      <w:divBdr>
        <w:top w:val="none" w:sz="0" w:space="0" w:color="auto"/>
        <w:left w:val="none" w:sz="0" w:space="0" w:color="auto"/>
        <w:bottom w:val="none" w:sz="0" w:space="0" w:color="auto"/>
        <w:right w:val="none" w:sz="0" w:space="0" w:color="auto"/>
      </w:divBdr>
    </w:div>
    <w:div w:id="1980568963">
      <w:bodyDiv w:val="1"/>
      <w:marLeft w:val="0"/>
      <w:marRight w:val="0"/>
      <w:marTop w:val="0"/>
      <w:marBottom w:val="0"/>
      <w:divBdr>
        <w:top w:val="none" w:sz="0" w:space="0" w:color="auto"/>
        <w:left w:val="none" w:sz="0" w:space="0" w:color="auto"/>
        <w:bottom w:val="none" w:sz="0" w:space="0" w:color="auto"/>
        <w:right w:val="none" w:sz="0" w:space="0" w:color="auto"/>
      </w:divBdr>
    </w:div>
    <w:div w:id="1990163309">
      <w:bodyDiv w:val="1"/>
      <w:marLeft w:val="0"/>
      <w:marRight w:val="0"/>
      <w:marTop w:val="0"/>
      <w:marBottom w:val="0"/>
      <w:divBdr>
        <w:top w:val="none" w:sz="0" w:space="0" w:color="auto"/>
        <w:left w:val="none" w:sz="0" w:space="0" w:color="auto"/>
        <w:bottom w:val="none" w:sz="0" w:space="0" w:color="auto"/>
        <w:right w:val="none" w:sz="0" w:space="0" w:color="auto"/>
      </w:divBdr>
    </w:div>
    <w:div w:id="2002007363">
      <w:bodyDiv w:val="1"/>
      <w:marLeft w:val="0"/>
      <w:marRight w:val="0"/>
      <w:marTop w:val="0"/>
      <w:marBottom w:val="0"/>
      <w:divBdr>
        <w:top w:val="none" w:sz="0" w:space="0" w:color="auto"/>
        <w:left w:val="none" w:sz="0" w:space="0" w:color="auto"/>
        <w:bottom w:val="none" w:sz="0" w:space="0" w:color="auto"/>
        <w:right w:val="none" w:sz="0" w:space="0" w:color="auto"/>
      </w:divBdr>
      <w:divsChild>
        <w:div w:id="649404388">
          <w:marLeft w:val="0"/>
          <w:marRight w:val="0"/>
          <w:marTop w:val="34"/>
          <w:marBottom w:val="34"/>
          <w:divBdr>
            <w:top w:val="none" w:sz="0" w:space="0" w:color="auto"/>
            <w:left w:val="none" w:sz="0" w:space="0" w:color="auto"/>
            <w:bottom w:val="none" w:sz="0" w:space="0" w:color="auto"/>
            <w:right w:val="none" w:sz="0" w:space="0" w:color="auto"/>
          </w:divBdr>
        </w:div>
      </w:divsChild>
    </w:div>
    <w:div w:id="2004358975">
      <w:bodyDiv w:val="1"/>
      <w:marLeft w:val="0"/>
      <w:marRight w:val="0"/>
      <w:marTop w:val="0"/>
      <w:marBottom w:val="0"/>
      <w:divBdr>
        <w:top w:val="none" w:sz="0" w:space="0" w:color="auto"/>
        <w:left w:val="none" w:sz="0" w:space="0" w:color="auto"/>
        <w:bottom w:val="none" w:sz="0" w:space="0" w:color="auto"/>
        <w:right w:val="none" w:sz="0" w:space="0" w:color="auto"/>
      </w:divBdr>
    </w:div>
    <w:div w:id="2021278828">
      <w:bodyDiv w:val="1"/>
      <w:marLeft w:val="0"/>
      <w:marRight w:val="0"/>
      <w:marTop w:val="0"/>
      <w:marBottom w:val="0"/>
      <w:divBdr>
        <w:top w:val="none" w:sz="0" w:space="0" w:color="auto"/>
        <w:left w:val="none" w:sz="0" w:space="0" w:color="auto"/>
        <w:bottom w:val="none" w:sz="0" w:space="0" w:color="auto"/>
        <w:right w:val="none" w:sz="0" w:space="0" w:color="auto"/>
      </w:divBdr>
    </w:div>
    <w:div w:id="2032607661">
      <w:bodyDiv w:val="1"/>
      <w:marLeft w:val="0"/>
      <w:marRight w:val="0"/>
      <w:marTop w:val="0"/>
      <w:marBottom w:val="0"/>
      <w:divBdr>
        <w:top w:val="none" w:sz="0" w:space="0" w:color="auto"/>
        <w:left w:val="none" w:sz="0" w:space="0" w:color="auto"/>
        <w:bottom w:val="none" w:sz="0" w:space="0" w:color="auto"/>
        <w:right w:val="none" w:sz="0" w:space="0" w:color="auto"/>
      </w:divBdr>
      <w:divsChild>
        <w:div w:id="752163415">
          <w:marLeft w:val="0"/>
          <w:marRight w:val="0"/>
          <w:marTop w:val="34"/>
          <w:marBottom w:val="34"/>
          <w:divBdr>
            <w:top w:val="none" w:sz="0" w:space="0" w:color="auto"/>
            <w:left w:val="none" w:sz="0" w:space="0" w:color="auto"/>
            <w:bottom w:val="none" w:sz="0" w:space="0" w:color="auto"/>
            <w:right w:val="none" w:sz="0" w:space="0" w:color="auto"/>
          </w:divBdr>
        </w:div>
      </w:divsChild>
    </w:div>
    <w:div w:id="2051414312">
      <w:bodyDiv w:val="1"/>
      <w:marLeft w:val="0"/>
      <w:marRight w:val="0"/>
      <w:marTop w:val="0"/>
      <w:marBottom w:val="0"/>
      <w:divBdr>
        <w:top w:val="none" w:sz="0" w:space="0" w:color="auto"/>
        <w:left w:val="none" w:sz="0" w:space="0" w:color="auto"/>
        <w:bottom w:val="none" w:sz="0" w:space="0" w:color="auto"/>
        <w:right w:val="none" w:sz="0" w:space="0" w:color="auto"/>
      </w:divBdr>
    </w:div>
    <w:div w:id="2066907023">
      <w:bodyDiv w:val="1"/>
      <w:marLeft w:val="0"/>
      <w:marRight w:val="0"/>
      <w:marTop w:val="0"/>
      <w:marBottom w:val="0"/>
      <w:divBdr>
        <w:top w:val="none" w:sz="0" w:space="0" w:color="auto"/>
        <w:left w:val="none" w:sz="0" w:space="0" w:color="auto"/>
        <w:bottom w:val="none" w:sz="0" w:space="0" w:color="auto"/>
        <w:right w:val="none" w:sz="0" w:space="0" w:color="auto"/>
      </w:divBdr>
    </w:div>
    <w:div w:id="2079478748">
      <w:bodyDiv w:val="1"/>
      <w:marLeft w:val="0"/>
      <w:marRight w:val="0"/>
      <w:marTop w:val="0"/>
      <w:marBottom w:val="0"/>
      <w:divBdr>
        <w:top w:val="none" w:sz="0" w:space="0" w:color="auto"/>
        <w:left w:val="none" w:sz="0" w:space="0" w:color="auto"/>
        <w:bottom w:val="none" w:sz="0" w:space="0" w:color="auto"/>
        <w:right w:val="none" w:sz="0" w:space="0" w:color="auto"/>
      </w:divBdr>
    </w:div>
    <w:div w:id="2085295733">
      <w:bodyDiv w:val="1"/>
      <w:marLeft w:val="0"/>
      <w:marRight w:val="0"/>
      <w:marTop w:val="0"/>
      <w:marBottom w:val="0"/>
      <w:divBdr>
        <w:top w:val="none" w:sz="0" w:space="0" w:color="auto"/>
        <w:left w:val="none" w:sz="0" w:space="0" w:color="auto"/>
        <w:bottom w:val="none" w:sz="0" w:space="0" w:color="auto"/>
        <w:right w:val="none" w:sz="0" w:space="0" w:color="auto"/>
      </w:divBdr>
    </w:div>
    <w:div w:id="2094012665">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 w:id="2140145015">
      <w:bodyDiv w:val="1"/>
      <w:marLeft w:val="0"/>
      <w:marRight w:val="0"/>
      <w:marTop w:val="0"/>
      <w:marBottom w:val="0"/>
      <w:divBdr>
        <w:top w:val="none" w:sz="0" w:space="0" w:color="auto"/>
        <w:left w:val="none" w:sz="0" w:space="0" w:color="auto"/>
        <w:bottom w:val="none" w:sz="0" w:space="0" w:color="auto"/>
        <w:right w:val="none" w:sz="0" w:space="0" w:color="auto"/>
      </w:divBdr>
    </w:div>
    <w:div w:id="214507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iencedirect.com/topics/psychology/systematic-review"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ych.ox.ac.uk/team/andrea-ciprian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doi.org/10.1002/14651858.cd004677.pub3" TargetMode="External"/><Relationship Id="rId13" Type="http://schemas.openxmlformats.org/officeDocument/2006/relationships/hyperlink" Target="http://dx.doi.org/10.1136/adc.57.9.714" TargetMode="External"/><Relationship Id="rId18" Type="http://schemas.openxmlformats.org/officeDocument/2006/relationships/hyperlink" Target="https://doi.org/10.1016/s2215-0366(16)30307-8" TargetMode="External"/><Relationship Id="rId3" Type="http://schemas.openxmlformats.org/officeDocument/2006/relationships/hyperlink" Target="https://doi.org/10.1016/S0140-6736(04)16043-1" TargetMode="External"/><Relationship Id="rId21" Type="http://schemas.openxmlformats.org/officeDocument/2006/relationships/hyperlink" Target="http://dx.doi.org/10.1136/ebmental-2019-300102" TargetMode="External"/><Relationship Id="rId7" Type="http://schemas.openxmlformats.org/officeDocument/2006/relationships/hyperlink" Target="https://doi.org/10.4088/jcp.17r12064" TargetMode="External"/><Relationship Id="rId12" Type="http://schemas.openxmlformats.org/officeDocument/2006/relationships/hyperlink" Target="https://doi.org/10.1192/bjp.bp.106.031088" TargetMode="External"/><Relationship Id="rId17" Type="http://schemas.openxmlformats.org/officeDocument/2006/relationships/hyperlink" Target="https://nbn2r.com/" TargetMode="External"/><Relationship Id="rId25" Type="http://schemas.openxmlformats.org/officeDocument/2006/relationships/hyperlink" Target="https://doi.org/10.1136/ebmental-2019-300080" TargetMode="External"/><Relationship Id="rId2" Type="http://schemas.openxmlformats.org/officeDocument/2006/relationships/hyperlink" Target="https://doi.org/10.1016/S0140-6736(17)32802-7" TargetMode="External"/><Relationship Id="rId16" Type="http://schemas.openxmlformats.org/officeDocument/2006/relationships/hyperlink" Target="https://www.nice.org.uk/guidance/cg111" TargetMode="External"/><Relationship Id="rId20" Type="http://schemas.openxmlformats.org/officeDocument/2006/relationships/hyperlink" Target="https://doi.org/10.1136/eb-2017-102667" TargetMode="External"/><Relationship Id="rId1" Type="http://schemas.openxmlformats.org/officeDocument/2006/relationships/hyperlink" Target="https://doi.org/10.1136/bmj.b2535" TargetMode="External"/><Relationship Id="rId6" Type="http://schemas.openxmlformats.org/officeDocument/2006/relationships/hyperlink" Target="https://doi.org/10.1016/S2215-0366(18)30269-4" TargetMode="External"/><Relationship Id="rId11" Type="http://schemas.openxmlformats.org/officeDocument/2006/relationships/hyperlink" Target="https://doi.org/10.1002/14651858.cd005170.pub2" TargetMode="External"/><Relationship Id="rId24" Type="http://schemas.openxmlformats.org/officeDocument/2006/relationships/hyperlink" Target="http://dx.doi.org/10.1136/ebmental-2019-300105" TargetMode="External"/><Relationship Id="rId5" Type="http://schemas.openxmlformats.org/officeDocument/2006/relationships/hyperlink" Target="https://doi.org/10.1002/14651858.cd006997.pub2" TargetMode="External"/><Relationship Id="rId15" Type="http://schemas.openxmlformats.org/officeDocument/2006/relationships/hyperlink" Target="https://doi.org/10.1176/pn.44.9.0002" TargetMode="External"/><Relationship Id="rId23" Type="http://schemas.openxmlformats.org/officeDocument/2006/relationships/hyperlink" Target="http://dx.doi.org/10.1136/ebmental-2019-300086" TargetMode="External"/><Relationship Id="rId10" Type="http://schemas.openxmlformats.org/officeDocument/2006/relationships/hyperlink" Target="https://doi.org/10.1097/01.ju.0000072341.34333.43" TargetMode="External"/><Relationship Id="rId19" Type="http://schemas.openxmlformats.org/officeDocument/2006/relationships/hyperlink" Target="https://doi.org/10.1136/ebmental-2018-300073" TargetMode="External"/><Relationship Id="rId4" Type="http://schemas.openxmlformats.org/officeDocument/2006/relationships/hyperlink" Target="https://doi.org/10.1136/bmj.j4008" TargetMode="External"/><Relationship Id="rId9" Type="http://schemas.openxmlformats.org/officeDocument/2006/relationships/hyperlink" Target="https://doi.org/10.1002/14651858.cd008372.pub2" TargetMode="External"/><Relationship Id="rId14" Type="http://schemas.openxmlformats.org/officeDocument/2006/relationships/hyperlink" Target="https://doi.org/10.1089/cap.2009.0115" TargetMode="External"/><Relationship Id="rId22" Type="http://schemas.openxmlformats.org/officeDocument/2006/relationships/hyperlink" Target="https://doi.org/10.1097/01.chi.0000140453.89323.5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medicinescomplete.com" TargetMode="External"/><Relationship Id="rId1" Type="http://schemas.openxmlformats.org/officeDocument/2006/relationships/hyperlink" Target="http://www.fda.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8" ma:contentTypeDescription="Create a new document." ma:contentTypeScope="" ma:versionID="7c471af47f907c62e4200389466b5c8d">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eb0749f9718a1150b2e89071373677ad"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20394AD-9940-4B65-B25C-AFD05D0E6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D4117B-1B3E-41CF-9BC7-9B4EB4213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414402-279F-4D3E-A3F8-0147435DA61D}">
  <ds:schemaRefs>
    <ds:schemaRef ds:uri="http://schemas.microsoft.com/sharepoint/v3/contenttype/forms"/>
  </ds:schemaRefs>
</ds:datastoreItem>
</file>

<file path=customXml/itemProps4.xml><?xml version="1.0" encoding="utf-8"?>
<ds:datastoreItem xmlns:ds="http://schemas.openxmlformats.org/officeDocument/2006/customXml" ds:itemID="{90508595-6A2A-ED40-81D3-881FD5F98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C:\Users\joshua.stocco\Documents\Templates\Frontiers_Word_Templates\Frontiers_template.dotx</Template>
  <TotalTime>1</TotalTime>
  <Pages>39</Pages>
  <Words>8113</Words>
  <Characters>46246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Boaden</dc:creator>
  <cp:keywords/>
  <dc:description/>
  <cp:lastModifiedBy>Cortese S.</cp:lastModifiedBy>
  <cp:revision>2</cp:revision>
  <cp:lastPrinted>2020-03-05T20:44:00Z</cp:lastPrinted>
  <dcterms:created xsi:type="dcterms:W3CDTF">2020-08-03T08:26:00Z</dcterms:created>
  <dcterms:modified xsi:type="dcterms:W3CDTF">2020-08-03T08:26:00Z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