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4F659" w14:textId="0CB095D3" w:rsidR="00786583" w:rsidRPr="00B9449F" w:rsidRDefault="00166195" w:rsidP="00F92D10">
      <w:pPr>
        <w:rPr>
          <w:rFonts w:ascii="Palatino Linotype" w:hAnsi="Palatino Linotype"/>
          <w:b/>
          <w:bCs/>
          <w:caps/>
          <w:lang w:val="en-US"/>
        </w:rPr>
      </w:pPr>
      <w:bookmarkStart w:id="0" w:name="_Hlk45005781"/>
      <w:bookmarkStart w:id="1" w:name="_GoBack"/>
      <w:bookmarkEnd w:id="1"/>
      <w:r w:rsidRPr="00B9449F">
        <w:rPr>
          <w:rFonts w:ascii="Palatino Linotype" w:hAnsi="Palatino Linotype"/>
          <w:b/>
          <w:bCs/>
          <w:caps/>
          <w:lang w:val="en-US"/>
        </w:rPr>
        <w:t>Update on the ESCEO recommendation for the conduct of clinical trials for drugs aiming at the treatment of sarcopenia</w:t>
      </w:r>
      <w:r w:rsidR="009E5EA4">
        <w:rPr>
          <w:rFonts w:ascii="Palatino Linotype" w:hAnsi="Palatino Linotype"/>
          <w:b/>
          <w:bCs/>
          <w:caps/>
          <w:lang w:val="en-US"/>
        </w:rPr>
        <w:t xml:space="preserve"> in older adults</w:t>
      </w:r>
      <w:r w:rsidRPr="00B9449F">
        <w:rPr>
          <w:rFonts w:ascii="Palatino Linotype" w:hAnsi="Palatino Linotype"/>
          <w:b/>
          <w:bCs/>
          <w:caps/>
          <w:lang w:val="en-US"/>
        </w:rPr>
        <w:t>.</w:t>
      </w:r>
    </w:p>
    <w:bookmarkEnd w:id="0"/>
    <w:p w14:paraId="408E9F4C" w14:textId="5BD62128" w:rsidR="00EF31F3" w:rsidRPr="00FB716A" w:rsidRDefault="008D19B4" w:rsidP="00FB716A">
      <w:pPr>
        <w:jc w:val="both"/>
        <w:rPr>
          <w:rFonts w:ascii="Palatino Linotype" w:hAnsi="Palatino Linotype"/>
          <w:lang w:val="en-US"/>
        </w:rPr>
      </w:pPr>
      <w:r w:rsidRPr="00F82896">
        <w:rPr>
          <w:rFonts w:ascii="Palatino Linotype" w:hAnsi="Palatino Linotype"/>
          <w:lang w:val="en-US"/>
        </w:rPr>
        <w:t>Jean-Yves Reginster</w:t>
      </w:r>
      <w:r w:rsidR="00131B94" w:rsidRPr="00131B94">
        <w:rPr>
          <w:rFonts w:ascii="Palatino Linotype" w:hAnsi="Palatino Linotype"/>
          <w:vertAlign w:val="superscript"/>
          <w:lang w:val="en-US"/>
        </w:rPr>
        <w:t>1</w:t>
      </w:r>
      <w:r w:rsidRPr="00F82896">
        <w:rPr>
          <w:rFonts w:ascii="Palatino Linotype" w:hAnsi="Palatino Linotype"/>
          <w:lang w:val="en-US"/>
        </w:rPr>
        <w:t>, Charlotte Beaudart</w:t>
      </w:r>
      <w:r w:rsidR="00131B94" w:rsidRPr="00131B94">
        <w:rPr>
          <w:rFonts w:ascii="Palatino Linotype" w:hAnsi="Palatino Linotype"/>
          <w:vertAlign w:val="superscript"/>
          <w:lang w:val="en-US"/>
        </w:rPr>
        <w:t>1</w:t>
      </w:r>
      <w:r w:rsidRPr="00F82896">
        <w:rPr>
          <w:rFonts w:ascii="Palatino Linotype" w:hAnsi="Palatino Linotype"/>
          <w:lang w:val="en-US"/>
        </w:rPr>
        <w:t>, Nasser Al-Daghri</w:t>
      </w:r>
      <w:r w:rsidR="00131B94">
        <w:rPr>
          <w:rFonts w:ascii="Palatino Linotype" w:hAnsi="Palatino Linotype"/>
          <w:vertAlign w:val="superscript"/>
          <w:lang w:val="en-US"/>
        </w:rPr>
        <w:t>2</w:t>
      </w:r>
      <w:r w:rsidRPr="00F82896">
        <w:rPr>
          <w:rFonts w:ascii="Palatino Linotype" w:hAnsi="Palatino Linotype"/>
          <w:lang w:val="en-US"/>
        </w:rPr>
        <w:t>, Bernard Avouac</w:t>
      </w:r>
      <w:r w:rsidR="00131B94">
        <w:rPr>
          <w:rFonts w:ascii="Palatino Linotype" w:hAnsi="Palatino Linotype"/>
          <w:vertAlign w:val="superscript"/>
          <w:lang w:val="en-US"/>
        </w:rPr>
        <w:t>3</w:t>
      </w:r>
      <w:r w:rsidRPr="00F82896">
        <w:rPr>
          <w:rFonts w:ascii="Palatino Linotype" w:hAnsi="Palatino Linotype"/>
          <w:lang w:val="en-US"/>
        </w:rPr>
        <w:t>, Jürgen Bauer</w:t>
      </w:r>
      <w:r w:rsidR="00131B94">
        <w:rPr>
          <w:rFonts w:ascii="Palatino Linotype" w:hAnsi="Palatino Linotype"/>
          <w:vertAlign w:val="superscript"/>
          <w:lang w:val="en-US"/>
        </w:rPr>
        <w:t>4</w:t>
      </w:r>
      <w:r w:rsidRPr="00F82896">
        <w:rPr>
          <w:rFonts w:ascii="Palatino Linotype" w:hAnsi="Palatino Linotype"/>
          <w:lang w:val="en-US"/>
        </w:rPr>
        <w:t>, Nathalie Bere</w:t>
      </w:r>
      <w:r w:rsidR="00131B94">
        <w:rPr>
          <w:rFonts w:ascii="Palatino Linotype" w:hAnsi="Palatino Linotype"/>
          <w:vertAlign w:val="superscript"/>
          <w:lang w:val="en-US"/>
        </w:rPr>
        <w:t>5</w:t>
      </w:r>
      <w:r w:rsidRPr="00F82896">
        <w:rPr>
          <w:rFonts w:ascii="Palatino Linotype" w:hAnsi="Palatino Linotype"/>
          <w:lang w:val="en-US"/>
        </w:rPr>
        <w:t>, Olivier Bruyère</w:t>
      </w:r>
      <w:r w:rsidR="00131B94" w:rsidRPr="00131B94">
        <w:rPr>
          <w:rFonts w:ascii="Palatino Linotype" w:hAnsi="Palatino Linotype"/>
          <w:vertAlign w:val="superscript"/>
          <w:lang w:val="en-US"/>
        </w:rPr>
        <w:t>1</w:t>
      </w:r>
      <w:r w:rsidRPr="00F82896">
        <w:rPr>
          <w:rFonts w:ascii="Palatino Linotype" w:hAnsi="Palatino Linotype"/>
          <w:lang w:val="en-US"/>
        </w:rPr>
        <w:t>, Francesca Cerreta</w:t>
      </w:r>
      <w:r w:rsidR="00C76451">
        <w:rPr>
          <w:rFonts w:ascii="Palatino Linotype" w:hAnsi="Palatino Linotype"/>
          <w:vertAlign w:val="superscript"/>
          <w:lang w:val="en-US"/>
        </w:rPr>
        <w:t>5</w:t>
      </w:r>
      <w:r w:rsidRPr="00F82896">
        <w:rPr>
          <w:rFonts w:ascii="Palatino Linotype" w:hAnsi="Palatino Linotype"/>
          <w:lang w:val="en-US"/>
        </w:rPr>
        <w:t>, Matteo Cesari</w:t>
      </w:r>
      <w:r w:rsidR="00C76451">
        <w:rPr>
          <w:rFonts w:ascii="Palatino Linotype" w:hAnsi="Palatino Linotype"/>
          <w:vertAlign w:val="superscript"/>
          <w:lang w:val="en-US"/>
        </w:rPr>
        <w:t>6</w:t>
      </w:r>
      <w:r w:rsidR="00131B94">
        <w:rPr>
          <w:rFonts w:ascii="Palatino Linotype" w:hAnsi="Palatino Linotype"/>
          <w:vertAlign w:val="superscript"/>
          <w:lang w:val="en-US"/>
        </w:rPr>
        <w:t>&amp;</w:t>
      </w:r>
      <w:r w:rsidR="00C76451">
        <w:rPr>
          <w:rFonts w:ascii="Palatino Linotype" w:hAnsi="Palatino Linotype"/>
          <w:vertAlign w:val="superscript"/>
          <w:lang w:val="en-US"/>
        </w:rPr>
        <w:t>7</w:t>
      </w:r>
      <w:r w:rsidRPr="00F82896">
        <w:rPr>
          <w:rFonts w:ascii="Palatino Linotype" w:hAnsi="Palatino Linotype"/>
          <w:lang w:val="en-US"/>
        </w:rPr>
        <w:t>, Mario Miguel Rosa</w:t>
      </w:r>
      <w:r w:rsidR="00C76451">
        <w:rPr>
          <w:rFonts w:ascii="Palatino Linotype" w:hAnsi="Palatino Linotype"/>
          <w:vertAlign w:val="superscript"/>
          <w:lang w:val="en-US"/>
        </w:rPr>
        <w:t>8</w:t>
      </w:r>
      <w:r w:rsidRPr="00F82896">
        <w:rPr>
          <w:rFonts w:ascii="Palatino Linotype" w:hAnsi="Palatino Linotype"/>
          <w:lang w:val="en-US"/>
        </w:rPr>
        <w:t>, Cyrus Cooper</w:t>
      </w:r>
      <w:r w:rsidR="00C76451">
        <w:rPr>
          <w:rFonts w:ascii="Palatino Linotype" w:hAnsi="Palatino Linotype"/>
          <w:vertAlign w:val="superscript"/>
          <w:lang w:val="en-US"/>
        </w:rPr>
        <w:t>9</w:t>
      </w:r>
      <w:r w:rsidRPr="00F82896">
        <w:rPr>
          <w:rFonts w:ascii="Palatino Linotype" w:hAnsi="Palatino Linotype"/>
          <w:lang w:val="en-US"/>
        </w:rPr>
        <w:t>, Alfonso</w:t>
      </w:r>
      <w:r w:rsidR="00A7094A" w:rsidRPr="00F82896">
        <w:rPr>
          <w:rFonts w:ascii="Palatino Linotype" w:hAnsi="Palatino Linotype"/>
          <w:lang w:val="en-US"/>
        </w:rPr>
        <w:t xml:space="preserve"> J.</w:t>
      </w:r>
      <w:r w:rsidRPr="00F82896">
        <w:rPr>
          <w:rFonts w:ascii="Palatino Linotype" w:hAnsi="Palatino Linotype"/>
          <w:lang w:val="en-US"/>
        </w:rPr>
        <w:t xml:space="preserve"> Cruz Jentoft</w:t>
      </w:r>
      <w:r w:rsidR="00131B94">
        <w:rPr>
          <w:rFonts w:ascii="Palatino Linotype" w:hAnsi="Palatino Linotype"/>
          <w:vertAlign w:val="superscript"/>
          <w:lang w:val="en-US"/>
        </w:rPr>
        <w:t>1</w:t>
      </w:r>
      <w:r w:rsidR="00C76451">
        <w:rPr>
          <w:rFonts w:ascii="Palatino Linotype" w:hAnsi="Palatino Linotype"/>
          <w:vertAlign w:val="superscript"/>
          <w:lang w:val="en-US"/>
        </w:rPr>
        <w:t>0</w:t>
      </w:r>
      <w:r w:rsidRPr="00F82896">
        <w:rPr>
          <w:rFonts w:ascii="Palatino Linotype" w:hAnsi="Palatino Linotype"/>
          <w:lang w:val="en-US"/>
        </w:rPr>
        <w:t>, Elaine Dennison</w:t>
      </w:r>
      <w:r w:rsidR="0090052C">
        <w:rPr>
          <w:rFonts w:ascii="Palatino Linotype" w:hAnsi="Palatino Linotype"/>
          <w:vertAlign w:val="superscript"/>
          <w:lang w:val="en-US"/>
        </w:rPr>
        <w:t>9</w:t>
      </w:r>
      <w:r w:rsidRPr="00F82896">
        <w:rPr>
          <w:rFonts w:ascii="Palatino Linotype" w:hAnsi="Palatino Linotype"/>
          <w:lang w:val="en-US"/>
        </w:rPr>
        <w:t>, Anton Geerinck</w:t>
      </w:r>
      <w:r w:rsidR="00131B94">
        <w:rPr>
          <w:rFonts w:ascii="Palatino Linotype" w:hAnsi="Palatino Linotype"/>
          <w:vertAlign w:val="superscript"/>
          <w:lang w:val="en-US"/>
        </w:rPr>
        <w:t>1</w:t>
      </w:r>
      <w:r w:rsidRPr="00F82896">
        <w:rPr>
          <w:rFonts w:ascii="Palatino Linotype" w:hAnsi="Palatino Linotype"/>
          <w:lang w:val="en-US"/>
        </w:rPr>
        <w:t>, Evelien Gielen</w:t>
      </w:r>
      <w:r w:rsidR="00131B94">
        <w:rPr>
          <w:rFonts w:ascii="Palatino Linotype" w:hAnsi="Palatino Linotype"/>
          <w:vertAlign w:val="superscript"/>
          <w:lang w:val="en-US"/>
        </w:rPr>
        <w:t>1</w:t>
      </w:r>
      <w:r w:rsidR="0090052C">
        <w:rPr>
          <w:rFonts w:ascii="Palatino Linotype" w:hAnsi="Palatino Linotype"/>
          <w:vertAlign w:val="superscript"/>
          <w:lang w:val="en-US"/>
        </w:rPr>
        <w:t>1</w:t>
      </w:r>
      <w:r w:rsidRPr="00F82896">
        <w:rPr>
          <w:rFonts w:ascii="Palatino Linotype" w:hAnsi="Palatino Linotype"/>
          <w:lang w:val="en-US"/>
        </w:rPr>
        <w:t>, Francesco Landi</w:t>
      </w:r>
      <w:r w:rsidR="002D5005">
        <w:rPr>
          <w:rFonts w:ascii="Palatino Linotype" w:hAnsi="Palatino Linotype"/>
          <w:vertAlign w:val="superscript"/>
          <w:lang w:val="en-US"/>
        </w:rPr>
        <w:t>1</w:t>
      </w:r>
      <w:r w:rsidR="0090052C">
        <w:rPr>
          <w:rFonts w:ascii="Palatino Linotype" w:hAnsi="Palatino Linotype"/>
          <w:vertAlign w:val="superscript"/>
          <w:lang w:val="en-US"/>
        </w:rPr>
        <w:t>2</w:t>
      </w:r>
      <w:r w:rsidRPr="00F82896">
        <w:rPr>
          <w:rFonts w:ascii="Palatino Linotype" w:hAnsi="Palatino Linotype"/>
          <w:lang w:val="en-US"/>
        </w:rPr>
        <w:t>, Andrea Laslop</w:t>
      </w:r>
      <w:r w:rsidR="002D5005">
        <w:rPr>
          <w:rFonts w:ascii="Palatino Linotype" w:hAnsi="Palatino Linotype"/>
          <w:vertAlign w:val="superscript"/>
          <w:lang w:val="en-US"/>
        </w:rPr>
        <w:t>1</w:t>
      </w:r>
      <w:r w:rsidR="0090052C">
        <w:rPr>
          <w:rFonts w:ascii="Palatino Linotype" w:hAnsi="Palatino Linotype"/>
          <w:vertAlign w:val="superscript"/>
          <w:lang w:val="en-US"/>
        </w:rPr>
        <w:t>3</w:t>
      </w:r>
      <w:r w:rsidRPr="00F82896">
        <w:rPr>
          <w:rFonts w:ascii="Palatino Linotype" w:hAnsi="Palatino Linotype"/>
          <w:lang w:val="en-US"/>
        </w:rPr>
        <w:t>, Stefania Maggi</w:t>
      </w:r>
      <w:r w:rsidR="002D5005">
        <w:rPr>
          <w:rFonts w:ascii="Palatino Linotype" w:hAnsi="Palatino Linotype"/>
          <w:vertAlign w:val="superscript"/>
          <w:lang w:val="en-US"/>
        </w:rPr>
        <w:t>1</w:t>
      </w:r>
      <w:r w:rsidR="0090052C">
        <w:rPr>
          <w:rFonts w:ascii="Palatino Linotype" w:hAnsi="Palatino Linotype"/>
          <w:vertAlign w:val="superscript"/>
          <w:lang w:val="en-US"/>
        </w:rPr>
        <w:t>4</w:t>
      </w:r>
      <w:r w:rsidRPr="00F82896">
        <w:rPr>
          <w:rFonts w:ascii="Palatino Linotype" w:hAnsi="Palatino Linotype"/>
          <w:lang w:val="en-US"/>
        </w:rPr>
        <w:t xml:space="preserve">, </w:t>
      </w:r>
      <w:r w:rsidR="007F7AB9" w:rsidRPr="007F7AB9">
        <w:rPr>
          <w:color w:val="000000"/>
          <w:lang w:val="en-US"/>
        </w:rPr>
        <w:t>Mar</w:t>
      </w:r>
      <w:r w:rsidR="007F7AB9" w:rsidRPr="007F7AB9">
        <w:rPr>
          <w:rFonts w:ascii="Palatino Linotype" w:hAnsi="Palatino Linotype"/>
          <w:color w:val="000000"/>
          <w:shd w:val="clear" w:color="auto" w:fill="FDFCFA"/>
          <w:lang w:val="en-US"/>
        </w:rPr>
        <w:t>ía Concepción Prieto Yerro</w:t>
      </w:r>
      <w:r w:rsidR="002D5005">
        <w:rPr>
          <w:rFonts w:ascii="Palatino Linotype" w:hAnsi="Palatino Linotype"/>
          <w:vertAlign w:val="superscript"/>
          <w:lang w:val="en-US"/>
        </w:rPr>
        <w:t>1</w:t>
      </w:r>
      <w:r w:rsidR="0090052C">
        <w:rPr>
          <w:rFonts w:ascii="Palatino Linotype" w:hAnsi="Palatino Linotype"/>
          <w:vertAlign w:val="superscript"/>
          <w:lang w:val="en-US"/>
        </w:rPr>
        <w:t>5</w:t>
      </w:r>
      <w:r w:rsidRPr="00F82896">
        <w:rPr>
          <w:rFonts w:ascii="Palatino Linotype" w:hAnsi="Palatino Linotype"/>
          <w:lang w:val="en-US"/>
        </w:rPr>
        <w:t>, René Rizzoli</w:t>
      </w:r>
      <w:r w:rsidR="002D5005">
        <w:rPr>
          <w:rFonts w:ascii="Palatino Linotype" w:hAnsi="Palatino Linotype"/>
          <w:vertAlign w:val="superscript"/>
          <w:lang w:val="en-US"/>
        </w:rPr>
        <w:t>1</w:t>
      </w:r>
      <w:r w:rsidR="0090052C">
        <w:rPr>
          <w:rFonts w:ascii="Palatino Linotype" w:hAnsi="Palatino Linotype"/>
          <w:vertAlign w:val="superscript"/>
          <w:lang w:val="en-US"/>
        </w:rPr>
        <w:t>6</w:t>
      </w:r>
      <w:r w:rsidRPr="00F82896">
        <w:rPr>
          <w:rFonts w:ascii="Palatino Linotype" w:hAnsi="Palatino Linotype"/>
          <w:lang w:val="en-US"/>
        </w:rPr>
        <w:t xml:space="preserve">, </w:t>
      </w:r>
      <w:proofErr w:type="spellStart"/>
      <w:r w:rsidR="007C7753" w:rsidRPr="00F82896">
        <w:rPr>
          <w:rFonts w:ascii="Palatino Linotype" w:hAnsi="Palatino Linotype"/>
          <w:lang w:val="en-US"/>
        </w:rPr>
        <w:t>Hildrun</w:t>
      </w:r>
      <w:proofErr w:type="spellEnd"/>
      <w:r w:rsidR="007C7753" w:rsidRPr="00F82896">
        <w:rPr>
          <w:rFonts w:ascii="Palatino Linotype" w:hAnsi="Palatino Linotype"/>
          <w:lang w:val="en-US"/>
        </w:rPr>
        <w:t xml:space="preserve"> Sundseth</w:t>
      </w:r>
      <w:r w:rsidR="002D5005">
        <w:rPr>
          <w:rFonts w:ascii="Palatino Linotype" w:hAnsi="Palatino Linotype"/>
          <w:vertAlign w:val="superscript"/>
          <w:lang w:val="en-US"/>
        </w:rPr>
        <w:t>1</w:t>
      </w:r>
      <w:r w:rsidR="0090052C">
        <w:rPr>
          <w:rFonts w:ascii="Palatino Linotype" w:hAnsi="Palatino Linotype"/>
          <w:vertAlign w:val="superscript"/>
          <w:lang w:val="en-US"/>
        </w:rPr>
        <w:t>7</w:t>
      </w:r>
      <w:r w:rsidR="007C7753" w:rsidRPr="00F82896">
        <w:rPr>
          <w:rFonts w:ascii="Palatino Linotype" w:hAnsi="Palatino Linotype"/>
          <w:lang w:val="en-US"/>
        </w:rPr>
        <w:t>,</w:t>
      </w:r>
      <w:r w:rsidR="007C7753" w:rsidRPr="00F82896">
        <w:rPr>
          <w:rFonts w:ascii="Trebuchet MS" w:hAnsi="Trebuchet MS"/>
          <w:color w:val="000000"/>
          <w:sz w:val="20"/>
          <w:szCs w:val="20"/>
          <w:shd w:val="clear" w:color="auto" w:fill="FDFCFA"/>
          <w:lang w:val="en-US"/>
        </w:rPr>
        <w:t xml:space="preserve"> </w:t>
      </w:r>
      <w:r w:rsidRPr="00F82896">
        <w:rPr>
          <w:rFonts w:ascii="Palatino Linotype" w:hAnsi="Palatino Linotype"/>
          <w:lang w:val="en-US"/>
        </w:rPr>
        <w:t>Cornel Sieber</w:t>
      </w:r>
      <w:r w:rsidR="002D5005">
        <w:rPr>
          <w:rFonts w:ascii="Palatino Linotype" w:hAnsi="Palatino Linotype"/>
          <w:vertAlign w:val="superscript"/>
          <w:lang w:val="en-US"/>
        </w:rPr>
        <w:t>1</w:t>
      </w:r>
      <w:r w:rsidR="0090052C">
        <w:rPr>
          <w:rFonts w:ascii="Palatino Linotype" w:hAnsi="Palatino Linotype"/>
          <w:vertAlign w:val="superscript"/>
          <w:lang w:val="en-US"/>
        </w:rPr>
        <w:t>8</w:t>
      </w:r>
      <w:r w:rsidRPr="00F82896">
        <w:rPr>
          <w:rFonts w:ascii="Palatino Linotype" w:hAnsi="Palatino Linotype"/>
          <w:lang w:val="en-US"/>
        </w:rPr>
        <w:t>, Andrea Trombetti</w:t>
      </w:r>
      <w:r w:rsidR="0090052C">
        <w:rPr>
          <w:rFonts w:ascii="Palatino Linotype" w:hAnsi="Palatino Linotype"/>
          <w:vertAlign w:val="superscript"/>
          <w:lang w:val="en-US"/>
        </w:rPr>
        <w:t>1</w:t>
      </w:r>
      <w:r w:rsidR="00C37958">
        <w:rPr>
          <w:rFonts w:ascii="Palatino Linotype" w:hAnsi="Palatino Linotype"/>
          <w:vertAlign w:val="superscript"/>
          <w:lang w:val="en-US"/>
        </w:rPr>
        <w:t>6</w:t>
      </w:r>
      <w:r w:rsidRPr="00F82896">
        <w:rPr>
          <w:rFonts w:ascii="Palatino Linotype" w:hAnsi="Palatino Linotype"/>
          <w:lang w:val="en-US"/>
        </w:rPr>
        <w:t>, Bruno Vellas</w:t>
      </w:r>
      <w:r w:rsidR="00C37958">
        <w:rPr>
          <w:rFonts w:ascii="Palatino Linotype" w:hAnsi="Palatino Linotype"/>
          <w:vertAlign w:val="superscript"/>
          <w:lang w:val="en-US"/>
        </w:rPr>
        <w:t>19</w:t>
      </w:r>
      <w:r w:rsidRPr="00F82896">
        <w:rPr>
          <w:rFonts w:ascii="Palatino Linotype" w:hAnsi="Palatino Linotype"/>
          <w:lang w:val="en-US"/>
        </w:rPr>
        <w:t>, Nicola Veronese</w:t>
      </w:r>
      <w:r w:rsidR="002D5005">
        <w:rPr>
          <w:rFonts w:ascii="Palatino Linotype" w:hAnsi="Palatino Linotype"/>
          <w:vertAlign w:val="superscript"/>
          <w:lang w:val="en-US"/>
        </w:rPr>
        <w:t>2</w:t>
      </w:r>
      <w:r w:rsidR="00C37958">
        <w:rPr>
          <w:rFonts w:ascii="Palatino Linotype" w:hAnsi="Palatino Linotype"/>
          <w:vertAlign w:val="superscript"/>
          <w:lang w:val="en-US"/>
        </w:rPr>
        <w:t>0</w:t>
      </w:r>
      <w:r w:rsidRPr="00F82896">
        <w:rPr>
          <w:rFonts w:ascii="Palatino Linotype" w:hAnsi="Palatino Linotype"/>
          <w:lang w:val="en-US"/>
        </w:rPr>
        <w:t xml:space="preserve">, </w:t>
      </w:r>
      <w:proofErr w:type="spellStart"/>
      <w:r w:rsidRPr="00F82896">
        <w:rPr>
          <w:rFonts w:ascii="Palatino Linotype" w:hAnsi="Palatino Linotype"/>
          <w:lang w:val="en-US"/>
        </w:rPr>
        <w:t>Marjolein</w:t>
      </w:r>
      <w:proofErr w:type="spellEnd"/>
      <w:r w:rsidRPr="00F82896">
        <w:rPr>
          <w:rFonts w:ascii="Palatino Linotype" w:hAnsi="Palatino Linotype"/>
          <w:lang w:val="en-US"/>
        </w:rPr>
        <w:t xml:space="preserve"> Visser</w:t>
      </w:r>
      <w:r w:rsidR="002D5005">
        <w:rPr>
          <w:rFonts w:ascii="Palatino Linotype" w:hAnsi="Palatino Linotype"/>
          <w:vertAlign w:val="superscript"/>
          <w:lang w:val="en-US"/>
        </w:rPr>
        <w:t>2</w:t>
      </w:r>
      <w:r w:rsidR="00C37958">
        <w:rPr>
          <w:rFonts w:ascii="Palatino Linotype" w:hAnsi="Palatino Linotype"/>
          <w:vertAlign w:val="superscript"/>
          <w:lang w:val="en-US"/>
        </w:rPr>
        <w:t>1</w:t>
      </w:r>
      <w:r w:rsidRPr="00F82896">
        <w:rPr>
          <w:rFonts w:ascii="Palatino Linotype" w:hAnsi="Palatino Linotype"/>
          <w:lang w:val="en-US"/>
        </w:rPr>
        <w:t>, Mila Vlaskovka</w:t>
      </w:r>
      <w:r w:rsidR="002D5005">
        <w:rPr>
          <w:rFonts w:ascii="Palatino Linotype" w:hAnsi="Palatino Linotype"/>
          <w:vertAlign w:val="superscript"/>
          <w:lang w:val="en-US"/>
        </w:rPr>
        <w:t>2</w:t>
      </w:r>
      <w:r w:rsidR="00C37958">
        <w:rPr>
          <w:rFonts w:ascii="Palatino Linotype" w:hAnsi="Palatino Linotype"/>
          <w:vertAlign w:val="superscript"/>
          <w:lang w:val="en-US"/>
        </w:rPr>
        <w:t>2</w:t>
      </w:r>
      <w:r w:rsidRPr="00F82896">
        <w:rPr>
          <w:rFonts w:ascii="Palatino Linotype" w:hAnsi="Palatino Linotype"/>
          <w:lang w:val="en-US"/>
        </w:rPr>
        <w:t xml:space="preserve">, Roger </w:t>
      </w:r>
      <w:r w:rsidR="0042405C" w:rsidRPr="00F82896">
        <w:rPr>
          <w:rFonts w:ascii="Palatino Linotype" w:hAnsi="Palatino Linotype"/>
          <w:lang w:val="en-US"/>
        </w:rPr>
        <w:t xml:space="preserve">A. </w:t>
      </w:r>
      <w:r w:rsidRPr="00F82896">
        <w:rPr>
          <w:rFonts w:ascii="Palatino Linotype" w:hAnsi="Palatino Linotype"/>
          <w:lang w:val="en-US"/>
        </w:rPr>
        <w:t>Fielding</w:t>
      </w:r>
      <w:r w:rsidR="002D5005">
        <w:rPr>
          <w:rFonts w:ascii="Palatino Linotype" w:hAnsi="Palatino Linotype"/>
          <w:vertAlign w:val="superscript"/>
          <w:lang w:val="en-US"/>
        </w:rPr>
        <w:t>2</w:t>
      </w:r>
      <w:r w:rsidR="00C37958">
        <w:rPr>
          <w:rFonts w:ascii="Palatino Linotype" w:hAnsi="Palatino Linotype"/>
          <w:vertAlign w:val="superscript"/>
          <w:lang w:val="en-US"/>
        </w:rPr>
        <w:t>3</w:t>
      </w:r>
      <w:r w:rsidRPr="00F82896">
        <w:rPr>
          <w:rFonts w:ascii="Palatino Linotype" w:hAnsi="Palatino Linotype"/>
          <w:lang w:val="en-US"/>
        </w:rPr>
        <w:t>.</w:t>
      </w:r>
      <w:r w:rsidRPr="00FB716A">
        <w:rPr>
          <w:rFonts w:ascii="Palatino Linotype" w:hAnsi="Palatino Linotype"/>
          <w:lang w:val="en-US"/>
        </w:rPr>
        <w:t xml:space="preserve"> </w:t>
      </w:r>
    </w:p>
    <w:p w14:paraId="07800909" w14:textId="77777777" w:rsidR="00CE5542" w:rsidRDefault="00CE5542" w:rsidP="00D741A9">
      <w:pPr>
        <w:jc w:val="both"/>
        <w:rPr>
          <w:rFonts w:ascii="Palatino Linotype" w:hAnsi="Palatino Linotype"/>
          <w:b/>
          <w:bCs/>
          <w:smallCaps/>
          <w:sz w:val="24"/>
          <w:szCs w:val="24"/>
          <w:u w:val="single"/>
          <w:lang w:val="en-GB"/>
        </w:rPr>
      </w:pPr>
    </w:p>
    <w:p w14:paraId="2D25491B" w14:textId="27F1EF8F" w:rsidR="00863CA6" w:rsidRPr="00D741A9" w:rsidRDefault="00863CA6" w:rsidP="00D741A9">
      <w:pPr>
        <w:jc w:val="both"/>
        <w:rPr>
          <w:rFonts w:ascii="Palatino Linotype" w:hAnsi="Palatino Linotype"/>
          <w:lang w:val="en-US"/>
        </w:rPr>
      </w:pPr>
      <w:r w:rsidRPr="00D741A9">
        <w:rPr>
          <w:rFonts w:ascii="Palatino Linotype" w:hAnsi="Palatino Linotype"/>
          <w:b/>
          <w:bCs/>
          <w:smallCaps/>
          <w:sz w:val="24"/>
          <w:szCs w:val="24"/>
          <w:u w:val="single"/>
          <w:lang w:val="en-GB"/>
        </w:rPr>
        <w:t>Corresponding author</w:t>
      </w:r>
    </w:p>
    <w:p w14:paraId="2AE7D1D5" w14:textId="55E747B4" w:rsidR="00863CA6" w:rsidRDefault="00D741A9" w:rsidP="00D741A9">
      <w:pPr>
        <w:jc w:val="both"/>
        <w:rPr>
          <w:rFonts w:ascii="Palatino Linotype" w:hAnsi="Palatino Linotype"/>
          <w:lang w:val="en-US"/>
        </w:rPr>
      </w:pPr>
      <w:r w:rsidRPr="00D741A9">
        <w:rPr>
          <w:rFonts w:ascii="Palatino Linotype" w:hAnsi="Palatino Linotype"/>
          <w:lang w:val="en-US"/>
        </w:rPr>
        <w:t>Dr. Charlotte BEAUDART</w:t>
      </w:r>
    </w:p>
    <w:p w14:paraId="24B6AF64" w14:textId="668A4341" w:rsidR="00CE5542" w:rsidRPr="00D741A9" w:rsidRDefault="00CE5542" w:rsidP="00D741A9">
      <w:pPr>
        <w:jc w:val="both"/>
        <w:rPr>
          <w:rFonts w:ascii="Palatino Linotype" w:hAnsi="Palatino Linotype"/>
          <w:lang w:val="en-US"/>
        </w:rPr>
      </w:pPr>
      <w:r>
        <w:rPr>
          <w:rFonts w:ascii="Palatino Linotype" w:hAnsi="Palatino Linotype"/>
          <w:lang w:val="en-US"/>
        </w:rPr>
        <w:t xml:space="preserve">ORCID ID : </w:t>
      </w:r>
      <w:hyperlink r:id="rId8" w:history="1">
        <w:r w:rsidRPr="00CE5542">
          <w:rPr>
            <w:rFonts w:ascii="Palatino Linotype" w:hAnsi="Palatino Linotype"/>
            <w:lang w:val="en-US"/>
          </w:rPr>
          <w:t>0000-0002-0827-5303</w:t>
        </w:r>
      </w:hyperlink>
    </w:p>
    <w:p w14:paraId="4B9F2871" w14:textId="2A2E390C" w:rsidR="00D741A9" w:rsidRPr="000D7672" w:rsidRDefault="008D19B4" w:rsidP="008D19B4">
      <w:pPr>
        <w:jc w:val="both"/>
        <w:rPr>
          <w:rFonts w:ascii="Palatino Linotype" w:hAnsi="Palatino Linotype"/>
        </w:rPr>
      </w:pPr>
      <w:r w:rsidRPr="000D7672">
        <w:rPr>
          <w:rFonts w:ascii="Palatino Linotype" w:hAnsi="Palatino Linotype"/>
        </w:rPr>
        <w:t>Avenue Hippocrate 13, CHU B23, 4000 LIEGE</w:t>
      </w:r>
    </w:p>
    <w:p w14:paraId="4A4F57E7" w14:textId="041833A3" w:rsidR="008D19B4" w:rsidRPr="000D7672" w:rsidRDefault="007822B2" w:rsidP="008D19B4">
      <w:pPr>
        <w:jc w:val="both"/>
        <w:rPr>
          <w:rFonts w:ascii="Palatino Linotype" w:hAnsi="Palatino Linotype"/>
        </w:rPr>
      </w:pPr>
      <w:hyperlink r:id="rId9" w:history="1">
        <w:r w:rsidR="008D19B4" w:rsidRPr="000D7672">
          <w:rPr>
            <w:rFonts w:ascii="Palatino Linotype" w:hAnsi="Palatino Linotype"/>
          </w:rPr>
          <w:t>c.beaudart@uliege.be</w:t>
        </w:r>
      </w:hyperlink>
    </w:p>
    <w:p w14:paraId="1764E062" w14:textId="70F3731F" w:rsidR="008D19B4" w:rsidRPr="008D19B4" w:rsidRDefault="008D19B4" w:rsidP="008D19B4">
      <w:pPr>
        <w:jc w:val="both"/>
        <w:rPr>
          <w:rFonts w:ascii="Palatino Linotype" w:hAnsi="Palatino Linotype"/>
          <w:lang w:val="en-US"/>
        </w:rPr>
      </w:pPr>
      <w:r w:rsidRPr="008D19B4">
        <w:rPr>
          <w:rFonts w:ascii="Palatino Linotype" w:hAnsi="Palatino Linotype"/>
          <w:lang w:val="en-US"/>
        </w:rPr>
        <w:t>+3243662519</w:t>
      </w:r>
    </w:p>
    <w:p w14:paraId="0E089627" w14:textId="33A14993" w:rsidR="00EE3924" w:rsidRDefault="00EE3924">
      <w:pPr>
        <w:rPr>
          <w:rFonts w:ascii="Palatino Linotype" w:hAnsi="Palatino Linotype"/>
          <w:b/>
          <w:bCs/>
          <w:smallCaps/>
          <w:sz w:val="24"/>
          <w:szCs w:val="24"/>
          <w:u w:val="single"/>
          <w:lang w:val="en-GB"/>
        </w:rPr>
      </w:pPr>
    </w:p>
    <w:p w14:paraId="190AB8EC" w14:textId="45BD1B00" w:rsidR="00131B94" w:rsidRDefault="00131B94" w:rsidP="00131B94">
      <w:pPr>
        <w:jc w:val="both"/>
        <w:rPr>
          <w:rFonts w:ascii="Palatino Linotype" w:hAnsi="Palatino Linotype"/>
          <w:sz w:val="20"/>
          <w:szCs w:val="20"/>
          <w:lang w:val="en-US"/>
        </w:rPr>
      </w:pPr>
      <w:r w:rsidRPr="00131B94">
        <w:rPr>
          <w:rFonts w:ascii="Palatino Linotype" w:hAnsi="Palatino Linotype"/>
          <w:sz w:val="20"/>
          <w:szCs w:val="20"/>
          <w:lang w:val="en-US"/>
        </w:rPr>
        <w:t xml:space="preserve">1 WHO Collaborating Center for Public Health aspects of </w:t>
      </w:r>
      <w:proofErr w:type="spellStart"/>
      <w:r w:rsidRPr="00131B94">
        <w:rPr>
          <w:rFonts w:ascii="Palatino Linotype" w:hAnsi="Palatino Linotype"/>
          <w:sz w:val="20"/>
          <w:szCs w:val="20"/>
          <w:lang w:val="en-US"/>
        </w:rPr>
        <w:t>musculo</w:t>
      </w:r>
      <w:proofErr w:type="spellEnd"/>
      <w:r w:rsidRPr="00131B94">
        <w:rPr>
          <w:rFonts w:ascii="Palatino Linotype" w:hAnsi="Palatino Linotype"/>
          <w:sz w:val="20"/>
          <w:szCs w:val="20"/>
          <w:lang w:val="en-US"/>
        </w:rPr>
        <w:t>-skeletal health and ageing,</w:t>
      </w:r>
      <w:r>
        <w:rPr>
          <w:rFonts w:ascii="Palatino Linotype" w:hAnsi="Palatino Linotype"/>
          <w:sz w:val="20"/>
          <w:szCs w:val="20"/>
          <w:lang w:val="en-US"/>
        </w:rPr>
        <w:t xml:space="preserve"> </w:t>
      </w:r>
      <w:r w:rsidRPr="00131B94">
        <w:rPr>
          <w:rFonts w:ascii="Palatino Linotype" w:hAnsi="Palatino Linotype"/>
          <w:sz w:val="20"/>
          <w:szCs w:val="20"/>
          <w:lang w:val="en-US"/>
        </w:rPr>
        <w:t>Division of Public Health, Epidemiology and Health Economics, University of Liège, Belgium</w:t>
      </w:r>
    </w:p>
    <w:p w14:paraId="4CC0D5DF" w14:textId="0C20C1F3" w:rsidR="008B7769" w:rsidRPr="00425A05" w:rsidRDefault="00131B94" w:rsidP="00425A05">
      <w:pPr>
        <w:jc w:val="both"/>
        <w:rPr>
          <w:rFonts w:ascii="Palatino Linotype" w:hAnsi="Palatino Linotype"/>
          <w:sz w:val="20"/>
          <w:szCs w:val="20"/>
          <w:lang w:val="en-US"/>
        </w:rPr>
      </w:pPr>
      <w:r>
        <w:rPr>
          <w:rFonts w:ascii="Palatino Linotype" w:hAnsi="Palatino Linotype"/>
          <w:sz w:val="20"/>
          <w:szCs w:val="20"/>
          <w:lang w:val="en-US"/>
        </w:rPr>
        <w:t xml:space="preserve">2 </w:t>
      </w:r>
      <w:r w:rsidR="009B2278" w:rsidRPr="00425A05">
        <w:rPr>
          <w:rFonts w:ascii="Palatino Linotype" w:hAnsi="Palatino Linotype"/>
          <w:sz w:val="20"/>
          <w:szCs w:val="20"/>
          <w:lang w:val="en-US"/>
        </w:rPr>
        <w:t>Chair for Biomarkers of Chronic Diseases, Biochemistry Department, College of Science, King Saud University, Riyadh 11451, Saudi Arabia</w:t>
      </w:r>
    </w:p>
    <w:p w14:paraId="37A115D7" w14:textId="09E3F44F" w:rsidR="009660B5" w:rsidRDefault="00131B94" w:rsidP="00425A05">
      <w:pPr>
        <w:jc w:val="both"/>
        <w:rPr>
          <w:rFonts w:ascii="Palatino Linotype" w:hAnsi="Palatino Linotype"/>
          <w:sz w:val="20"/>
          <w:szCs w:val="20"/>
          <w:lang w:val="en-US"/>
        </w:rPr>
      </w:pPr>
      <w:r>
        <w:rPr>
          <w:rFonts w:ascii="Palatino Linotype" w:hAnsi="Palatino Linotype"/>
          <w:sz w:val="20"/>
          <w:szCs w:val="20"/>
          <w:lang w:val="en-US"/>
        </w:rPr>
        <w:t>3</w:t>
      </w:r>
      <w:r w:rsidR="009660B5" w:rsidRPr="00425A05">
        <w:rPr>
          <w:rFonts w:ascii="Palatino Linotype" w:hAnsi="Palatino Linotype"/>
          <w:sz w:val="20"/>
          <w:szCs w:val="20"/>
          <w:lang w:val="en-US"/>
        </w:rPr>
        <w:t xml:space="preserve"> </w:t>
      </w:r>
      <w:r w:rsidR="00CE5542" w:rsidRPr="00CE5542">
        <w:rPr>
          <w:rFonts w:ascii="Palatino Linotype" w:hAnsi="Palatino Linotype"/>
          <w:sz w:val="20"/>
          <w:szCs w:val="20"/>
          <w:lang w:val="en-US"/>
        </w:rPr>
        <w:t xml:space="preserve">Department of Rheumatology, CHU Henri </w:t>
      </w:r>
      <w:proofErr w:type="spellStart"/>
      <w:r w:rsidR="00CE5542" w:rsidRPr="00CE5542">
        <w:rPr>
          <w:rFonts w:ascii="Palatino Linotype" w:hAnsi="Palatino Linotype"/>
          <w:sz w:val="20"/>
          <w:szCs w:val="20"/>
          <w:lang w:val="en-US"/>
        </w:rPr>
        <w:t>Mondor</w:t>
      </w:r>
      <w:proofErr w:type="spellEnd"/>
      <w:r w:rsidR="00CE5542" w:rsidRPr="00CE5542">
        <w:rPr>
          <w:rFonts w:ascii="Palatino Linotype" w:hAnsi="Palatino Linotype"/>
          <w:sz w:val="20"/>
          <w:szCs w:val="20"/>
          <w:lang w:val="en-US"/>
        </w:rPr>
        <w:t xml:space="preserve">, </w:t>
      </w:r>
      <w:proofErr w:type="spellStart"/>
      <w:r w:rsidR="00CE5542" w:rsidRPr="00CE5542">
        <w:rPr>
          <w:rFonts w:ascii="Palatino Linotype" w:hAnsi="Palatino Linotype"/>
          <w:sz w:val="20"/>
          <w:szCs w:val="20"/>
          <w:lang w:val="en-US"/>
        </w:rPr>
        <w:t>Créteil</w:t>
      </w:r>
      <w:proofErr w:type="spellEnd"/>
      <w:r w:rsidR="00CE5542" w:rsidRPr="00CE5542">
        <w:rPr>
          <w:rFonts w:ascii="Palatino Linotype" w:hAnsi="Palatino Linotype"/>
          <w:sz w:val="20"/>
          <w:szCs w:val="20"/>
          <w:lang w:val="en-US"/>
        </w:rPr>
        <w:t>, France (currently: rheumatologist, consultant, Paris, France)</w:t>
      </w:r>
    </w:p>
    <w:p w14:paraId="7EBED8FE" w14:textId="587B21BC" w:rsidR="00131B94" w:rsidRPr="00ED0478" w:rsidRDefault="00131B94" w:rsidP="00131B94">
      <w:pPr>
        <w:jc w:val="both"/>
        <w:rPr>
          <w:rFonts w:ascii="Palatino Linotype" w:hAnsi="Palatino Linotype"/>
          <w:sz w:val="20"/>
          <w:szCs w:val="20"/>
          <w:lang w:val="en-US"/>
        </w:rPr>
      </w:pPr>
      <w:r w:rsidRPr="0090052C">
        <w:rPr>
          <w:rFonts w:ascii="Palatino Linotype" w:hAnsi="Palatino Linotype"/>
          <w:sz w:val="20"/>
          <w:szCs w:val="20"/>
          <w:lang w:val="en-US"/>
        </w:rPr>
        <w:t>4 Center for Geriatric Medicine and Network Aging Research, Heidelberg University, Germany</w:t>
      </w:r>
    </w:p>
    <w:p w14:paraId="088602C8" w14:textId="6679535B" w:rsidR="009660B5" w:rsidRDefault="00131B94" w:rsidP="00425A05">
      <w:pPr>
        <w:jc w:val="both"/>
        <w:rPr>
          <w:rFonts w:ascii="Palatino Linotype" w:hAnsi="Palatino Linotype"/>
          <w:sz w:val="20"/>
          <w:szCs w:val="20"/>
          <w:lang w:val="en-US"/>
        </w:rPr>
      </w:pPr>
      <w:r>
        <w:rPr>
          <w:rFonts w:ascii="Palatino Linotype" w:hAnsi="Palatino Linotype"/>
          <w:sz w:val="20"/>
          <w:szCs w:val="20"/>
          <w:lang w:val="en-US"/>
        </w:rPr>
        <w:t>5</w:t>
      </w:r>
      <w:r w:rsidR="008B7769" w:rsidRPr="00425A05">
        <w:rPr>
          <w:rFonts w:ascii="Palatino Linotype" w:hAnsi="Palatino Linotype"/>
          <w:sz w:val="20"/>
          <w:szCs w:val="20"/>
          <w:lang w:val="en-US"/>
        </w:rPr>
        <w:t xml:space="preserve"> European Medicines Agency</w:t>
      </w:r>
    </w:p>
    <w:p w14:paraId="4278D08D" w14:textId="53AFE60F" w:rsidR="00131B94" w:rsidRDefault="0090052C" w:rsidP="00425A05">
      <w:pPr>
        <w:jc w:val="both"/>
        <w:rPr>
          <w:rFonts w:ascii="Palatino Linotype" w:hAnsi="Palatino Linotype"/>
          <w:sz w:val="20"/>
          <w:szCs w:val="20"/>
          <w:lang w:val="en-US"/>
        </w:rPr>
      </w:pPr>
      <w:r>
        <w:rPr>
          <w:rFonts w:ascii="Palatino Linotype" w:hAnsi="Palatino Linotype"/>
          <w:sz w:val="20"/>
          <w:szCs w:val="20"/>
          <w:lang w:val="en-US"/>
        </w:rPr>
        <w:t>6</w:t>
      </w:r>
      <w:r w:rsidR="00131B94" w:rsidRPr="00131B94">
        <w:rPr>
          <w:rFonts w:ascii="Palatino Linotype" w:hAnsi="Palatino Linotype"/>
          <w:sz w:val="20"/>
          <w:szCs w:val="20"/>
          <w:lang w:val="en-US"/>
        </w:rPr>
        <w:t xml:space="preserve"> </w:t>
      </w:r>
      <w:r w:rsidR="00131B94" w:rsidRPr="00425A05">
        <w:rPr>
          <w:rFonts w:ascii="Palatino Linotype" w:hAnsi="Palatino Linotype"/>
          <w:sz w:val="20"/>
          <w:szCs w:val="20"/>
          <w:lang w:val="en-US"/>
        </w:rPr>
        <w:t>Department of Clinical Sciences and Community Health, University of Milan, Milan, Italy</w:t>
      </w:r>
    </w:p>
    <w:p w14:paraId="2F7286E2" w14:textId="367737AE" w:rsidR="00131B94" w:rsidRDefault="0090052C" w:rsidP="00131B94">
      <w:pPr>
        <w:jc w:val="both"/>
        <w:rPr>
          <w:rFonts w:ascii="Palatino Linotype" w:hAnsi="Palatino Linotype"/>
          <w:sz w:val="20"/>
          <w:szCs w:val="20"/>
          <w:lang w:val="en-US"/>
        </w:rPr>
      </w:pPr>
      <w:r>
        <w:rPr>
          <w:rFonts w:ascii="Palatino Linotype" w:hAnsi="Palatino Linotype"/>
          <w:sz w:val="20"/>
          <w:szCs w:val="20"/>
          <w:lang w:val="en-US"/>
        </w:rPr>
        <w:t>7</w:t>
      </w:r>
      <w:r w:rsidR="00131B94" w:rsidRPr="00131B94">
        <w:rPr>
          <w:rFonts w:ascii="Palatino Linotype" w:hAnsi="Palatino Linotype"/>
          <w:sz w:val="20"/>
          <w:szCs w:val="20"/>
          <w:lang w:val="en-US"/>
        </w:rPr>
        <w:t xml:space="preserve"> </w:t>
      </w:r>
      <w:r w:rsidR="00131B94" w:rsidRPr="00425A05">
        <w:rPr>
          <w:rFonts w:ascii="Palatino Linotype" w:hAnsi="Palatino Linotype"/>
          <w:sz w:val="20"/>
          <w:szCs w:val="20"/>
          <w:lang w:val="en-US"/>
        </w:rPr>
        <w:t xml:space="preserve">Geriatric Unit, Fondazione IRCCS Ca’ </w:t>
      </w:r>
      <w:proofErr w:type="spellStart"/>
      <w:r w:rsidR="00131B94" w:rsidRPr="00425A05">
        <w:rPr>
          <w:rFonts w:ascii="Palatino Linotype" w:hAnsi="Palatino Linotype"/>
          <w:sz w:val="20"/>
          <w:szCs w:val="20"/>
          <w:lang w:val="en-US"/>
        </w:rPr>
        <w:t>Granda</w:t>
      </w:r>
      <w:proofErr w:type="spellEnd"/>
      <w:r w:rsidR="00131B94" w:rsidRPr="00425A05">
        <w:rPr>
          <w:rFonts w:ascii="Palatino Linotype" w:hAnsi="Palatino Linotype"/>
          <w:sz w:val="20"/>
          <w:szCs w:val="20"/>
          <w:lang w:val="en-US"/>
        </w:rPr>
        <w:t xml:space="preserve"> </w:t>
      </w:r>
      <w:proofErr w:type="spellStart"/>
      <w:r w:rsidR="00131B94" w:rsidRPr="00425A05">
        <w:rPr>
          <w:rFonts w:ascii="Palatino Linotype" w:hAnsi="Palatino Linotype"/>
          <w:sz w:val="20"/>
          <w:szCs w:val="20"/>
          <w:lang w:val="en-US"/>
        </w:rPr>
        <w:t>Ospedale</w:t>
      </w:r>
      <w:proofErr w:type="spellEnd"/>
      <w:r w:rsidR="00131B94" w:rsidRPr="00425A05">
        <w:rPr>
          <w:rFonts w:ascii="Palatino Linotype" w:hAnsi="Palatino Linotype"/>
          <w:sz w:val="20"/>
          <w:szCs w:val="20"/>
          <w:lang w:val="en-US"/>
        </w:rPr>
        <w:t xml:space="preserve"> Maggiore </w:t>
      </w:r>
      <w:proofErr w:type="spellStart"/>
      <w:r w:rsidR="00131B94" w:rsidRPr="00425A05">
        <w:rPr>
          <w:rFonts w:ascii="Palatino Linotype" w:hAnsi="Palatino Linotype"/>
          <w:sz w:val="20"/>
          <w:szCs w:val="20"/>
          <w:lang w:val="en-US"/>
        </w:rPr>
        <w:t>Policlinico</w:t>
      </w:r>
      <w:proofErr w:type="spellEnd"/>
      <w:r w:rsidR="00131B94" w:rsidRPr="00425A05">
        <w:rPr>
          <w:rFonts w:ascii="Palatino Linotype" w:hAnsi="Palatino Linotype"/>
          <w:sz w:val="20"/>
          <w:szCs w:val="20"/>
          <w:lang w:val="en-US"/>
        </w:rPr>
        <w:t>, Milan, Italy</w:t>
      </w:r>
    </w:p>
    <w:p w14:paraId="169FE44E" w14:textId="13641371" w:rsidR="0090052C" w:rsidRPr="000D7672" w:rsidRDefault="0090052C" w:rsidP="00131B94">
      <w:pPr>
        <w:jc w:val="both"/>
        <w:rPr>
          <w:rFonts w:ascii="Palatino Linotype" w:hAnsi="Palatino Linotype"/>
          <w:sz w:val="20"/>
          <w:szCs w:val="20"/>
          <w:lang w:val="en-US"/>
        </w:rPr>
      </w:pPr>
      <w:r w:rsidRPr="000D7672">
        <w:rPr>
          <w:rFonts w:ascii="Palatino Linotype" w:hAnsi="Palatino Linotype"/>
          <w:sz w:val="20"/>
          <w:szCs w:val="20"/>
          <w:lang w:val="en-US"/>
        </w:rPr>
        <w:t xml:space="preserve">8 </w:t>
      </w:r>
      <w:proofErr w:type="spellStart"/>
      <w:r w:rsidR="000D7672" w:rsidRPr="000D7672">
        <w:rPr>
          <w:rFonts w:ascii="Palatino Linotype" w:hAnsi="Palatino Linotype"/>
          <w:color w:val="000000"/>
          <w:sz w:val="20"/>
          <w:szCs w:val="20"/>
          <w:shd w:val="clear" w:color="auto" w:fill="FDFCFA"/>
          <w:lang w:val="en-US"/>
        </w:rPr>
        <w:t>Departamento</w:t>
      </w:r>
      <w:proofErr w:type="spellEnd"/>
      <w:r w:rsidR="000D7672" w:rsidRPr="000D7672">
        <w:rPr>
          <w:rFonts w:ascii="Palatino Linotype" w:hAnsi="Palatino Linotype"/>
          <w:color w:val="000000"/>
          <w:sz w:val="20"/>
          <w:szCs w:val="20"/>
          <w:shd w:val="clear" w:color="auto" w:fill="FDFCFA"/>
          <w:lang w:val="en-US"/>
        </w:rPr>
        <w:t xml:space="preserve"> de </w:t>
      </w:r>
      <w:proofErr w:type="spellStart"/>
      <w:r w:rsidR="000D7672" w:rsidRPr="000D7672">
        <w:rPr>
          <w:rFonts w:ascii="Palatino Linotype" w:hAnsi="Palatino Linotype"/>
          <w:color w:val="000000"/>
          <w:sz w:val="20"/>
          <w:szCs w:val="20"/>
          <w:shd w:val="clear" w:color="auto" w:fill="FDFCFA"/>
          <w:lang w:val="en-US"/>
        </w:rPr>
        <w:t>Neurociências</w:t>
      </w:r>
      <w:proofErr w:type="spellEnd"/>
      <w:r w:rsidR="000D7672" w:rsidRPr="000D7672">
        <w:rPr>
          <w:rFonts w:ascii="Palatino Linotype" w:hAnsi="Palatino Linotype"/>
          <w:color w:val="000000"/>
          <w:sz w:val="20"/>
          <w:szCs w:val="20"/>
          <w:shd w:val="clear" w:color="auto" w:fill="FDFCFA"/>
          <w:lang w:val="en-US"/>
        </w:rPr>
        <w:t xml:space="preserve"> / </w:t>
      </w:r>
      <w:proofErr w:type="spellStart"/>
      <w:r w:rsidR="000D7672" w:rsidRPr="000D7672">
        <w:rPr>
          <w:rFonts w:ascii="Palatino Linotype" w:hAnsi="Palatino Linotype"/>
          <w:color w:val="000000"/>
          <w:sz w:val="20"/>
          <w:szCs w:val="20"/>
          <w:shd w:val="clear" w:color="auto" w:fill="FDFCFA"/>
          <w:lang w:val="en-US"/>
        </w:rPr>
        <w:t>Laboratório</w:t>
      </w:r>
      <w:proofErr w:type="spellEnd"/>
      <w:r w:rsidR="000D7672" w:rsidRPr="000D7672">
        <w:rPr>
          <w:rFonts w:ascii="Palatino Linotype" w:hAnsi="Palatino Linotype"/>
          <w:color w:val="000000"/>
          <w:sz w:val="20"/>
          <w:szCs w:val="20"/>
          <w:shd w:val="clear" w:color="auto" w:fill="FDFCFA"/>
          <w:lang w:val="en-US"/>
        </w:rPr>
        <w:t xml:space="preserve"> de </w:t>
      </w:r>
      <w:proofErr w:type="spellStart"/>
      <w:r w:rsidR="000D7672" w:rsidRPr="000D7672">
        <w:rPr>
          <w:rFonts w:ascii="Palatino Linotype" w:hAnsi="Palatino Linotype"/>
          <w:color w:val="000000"/>
          <w:sz w:val="20"/>
          <w:szCs w:val="20"/>
          <w:shd w:val="clear" w:color="auto" w:fill="FDFCFA"/>
          <w:lang w:val="en-US"/>
        </w:rPr>
        <w:t>Farmacologia</w:t>
      </w:r>
      <w:proofErr w:type="spellEnd"/>
      <w:r w:rsidR="000D7672" w:rsidRPr="000D7672">
        <w:rPr>
          <w:rFonts w:ascii="Palatino Linotype" w:hAnsi="Palatino Linotype"/>
          <w:color w:val="000000"/>
          <w:sz w:val="20"/>
          <w:szCs w:val="20"/>
          <w:shd w:val="clear" w:color="auto" w:fill="FDFCFA"/>
          <w:lang w:val="en-US"/>
        </w:rPr>
        <w:t xml:space="preserve"> </w:t>
      </w:r>
      <w:proofErr w:type="spellStart"/>
      <w:r w:rsidR="000D7672" w:rsidRPr="000D7672">
        <w:rPr>
          <w:rFonts w:ascii="Palatino Linotype" w:hAnsi="Palatino Linotype"/>
          <w:color w:val="000000"/>
          <w:sz w:val="20"/>
          <w:szCs w:val="20"/>
          <w:shd w:val="clear" w:color="auto" w:fill="FDFCFA"/>
          <w:lang w:val="en-US"/>
        </w:rPr>
        <w:t>Clínica</w:t>
      </w:r>
      <w:proofErr w:type="spellEnd"/>
      <w:r w:rsidR="000D7672" w:rsidRPr="000D7672">
        <w:rPr>
          <w:rFonts w:ascii="Palatino Linotype" w:hAnsi="Palatino Linotype"/>
          <w:color w:val="000000"/>
          <w:sz w:val="20"/>
          <w:szCs w:val="20"/>
          <w:shd w:val="clear" w:color="auto" w:fill="FDFCFA"/>
          <w:lang w:val="en-US"/>
        </w:rPr>
        <w:t xml:space="preserve"> e </w:t>
      </w:r>
      <w:proofErr w:type="spellStart"/>
      <w:r w:rsidR="000D7672" w:rsidRPr="000D7672">
        <w:rPr>
          <w:rFonts w:ascii="Palatino Linotype" w:hAnsi="Palatino Linotype"/>
          <w:color w:val="000000"/>
          <w:sz w:val="20"/>
          <w:szCs w:val="20"/>
          <w:shd w:val="clear" w:color="auto" w:fill="FDFCFA"/>
          <w:lang w:val="en-US"/>
        </w:rPr>
        <w:t>Terapêutica</w:t>
      </w:r>
      <w:proofErr w:type="spellEnd"/>
      <w:r w:rsidR="000D7672" w:rsidRPr="000D7672">
        <w:rPr>
          <w:rFonts w:ascii="Palatino Linotype" w:hAnsi="Palatino Linotype"/>
          <w:color w:val="000000"/>
          <w:sz w:val="20"/>
          <w:szCs w:val="20"/>
          <w:shd w:val="clear" w:color="auto" w:fill="FDFCFA"/>
          <w:lang w:val="en-US"/>
        </w:rPr>
        <w:t xml:space="preserve">, </w:t>
      </w:r>
      <w:proofErr w:type="spellStart"/>
      <w:r w:rsidR="000D7672" w:rsidRPr="000D7672">
        <w:rPr>
          <w:rFonts w:ascii="Palatino Linotype" w:hAnsi="Palatino Linotype"/>
          <w:color w:val="000000"/>
          <w:sz w:val="20"/>
          <w:szCs w:val="20"/>
          <w:shd w:val="clear" w:color="auto" w:fill="FDFCFA"/>
          <w:lang w:val="en-US"/>
        </w:rPr>
        <w:t>Faculdade</w:t>
      </w:r>
      <w:proofErr w:type="spellEnd"/>
      <w:r w:rsidR="000D7672" w:rsidRPr="000D7672">
        <w:rPr>
          <w:rFonts w:ascii="Palatino Linotype" w:hAnsi="Palatino Linotype"/>
          <w:color w:val="000000"/>
          <w:sz w:val="20"/>
          <w:szCs w:val="20"/>
          <w:shd w:val="clear" w:color="auto" w:fill="FDFCFA"/>
          <w:lang w:val="en-US"/>
        </w:rPr>
        <w:t xml:space="preserve"> de </w:t>
      </w:r>
      <w:proofErr w:type="spellStart"/>
      <w:r w:rsidR="000D7672" w:rsidRPr="000D7672">
        <w:rPr>
          <w:rFonts w:ascii="Palatino Linotype" w:hAnsi="Palatino Linotype"/>
          <w:color w:val="000000"/>
          <w:sz w:val="20"/>
          <w:szCs w:val="20"/>
          <w:shd w:val="clear" w:color="auto" w:fill="FDFCFA"/>
          <w:lang w:val="en-US"/>
        </w:rPr>
        <w:t>Medicina</w:t>
      </w:r>
      <w:proofErr w:type="spellEnd"/>
      <w:r w:rsidR="000D7672" w:rsidRPr="000D7672">
        <w:rPr>
          <w:rFonts w:ascii="Palatino Linotype" w:hAnsi="Palatino Linotype"/>
          <w:color w:val="000000"/>
          <w:sz w:val="20"/>
          <w:szCs w:val="20"/>
          <w:shd w:val="clear" w:color="auto" w:fill="FDFCFA"/>
          <w:lang w:val="en-US"/>
        </w:rPr>
        <w:t xml:space="preserve"> da </w:t>
      </w:r>
      <w:proofErr w:type="spellStart"/>
      <w:r w:rsidR="000D7672" w:rsidRPr="000D7672">
        <w:rPr>
          <w:rFonts w:ascii="Palatino Linotype" w:hAnsi="Palatino Linotype"/>
          <w:color w:val="000000"/>
          <w:sz w:val="20"/>
          <w:szCs w:val="20"/>
          <w:shd w:val="clear" w:color="auto" w:fill="FDFCFA"/>
          <w:lang w:val="en-US"/>
        </w:rPr>
        <w:t>Universidade</w:t>
      </w:r>
      <w:proofErr w:type="spellEnd"/>
      <w:r w:rsidR="000D7672" w:rsidRPr="000D7672">
        <w:rPr>
          <w:rFonts w:ascii="Palatino Linotype" w:hAnsi="Palatino Linotype"/>
          <w:color w:val="000000"/>
          <w:sz w:val="20"/>
          <w:szCs w:val="20"/>
          <w:shd w:val="clear" w:color="auto" w:fill="FDFCFA"/>
          <w:lang w:val="en-US"/>
        </w:rPr>
        <w:t xml:space="preserve"> de </w:t>
      </w:r>
      <w:proofErr w:type="spellStart"/>
      <w:r w:rsidR="000D7672" w:rsidRPr="000D7672">
        <w:rPr>
          <w:rFonts w:ascii="Palatino Linotype" w:hAnsi="Palatino Linotype"/>
          <w:color w:val="000000"/>
          <w:sz w:val="20"/>
          <w:szCs w:val="20"/>
          <w:shd w:val="clear" w:color="auto" w:fill="FDFCFA"/>
          <w:lang w:val="en-US"/>
        </w:rPr>
        <w:t>Lisboa</w:t>
      </w:r>
      <w:proofErr w:type="spellEnd"/>
      <w:r w:rsidR="000D7672" w:rsidRPr="000D7672">
        <w:rPr>
          <w:rFonts w:ascii="Palatino Linotype" w:hAnsi="Palatino Linotype"/>
          <w:color w:val="000000"/>
          <w:sz w:val="20"/>
          <w:szCs w:val="20"/>
          <w:shd w:val="clear" w:color="auto" w:fill="FDFCFA"/>
          <w:lang w:val="en-US"/>
        </w:rPr>
        <w:t>, Portugal</w:t>
      </w:r>
    </w:p>
    <w:p w14:paraId="345CA340" w14:textId="6BF1CB91" w:rsidR="00131B94" w:rsidRDefault="00131B94" w:rsidP="0090052C">
      <w:pPr>
        <w:jc w:val="both"/>
        <w:rPr>
          <w:rFonts w:ascii="Palatino Linotype" w:hAnsi="Palatino Linotype"/>
          <w:sz w:val="20"/>
          <w:szCs w:val="20"/>
          <w:lang w:val="en-US"/>
        </w:rPr>
      </w:pPr>
      <w:r>
        <w:rPr>
          <w:rFonts w:ascii="Palatino Linotype" w:hAnsi="Palatino Linotype"/>
          <w:sz w:val="20"/>
          <w:szCs w:val="20"/>
          <w:lang w:val="en-US"/>
        </w:rPr>
        <w:t>9</w:t>
      </w:r>
      <w:r w:rsidR="0090052C">
        <w:rPr>
          <w:rFonts w:ascii="Palatino Linotype" w:hAnsi="Palatino Linotype"/>
          <w:sz w:val="20"/>
          <w:szCs w:val="20"/>
          <w:lang w:val="en-US"/>
        </w:rPr>
        <w:t xml:space="preserve"> </w:t>
      </w:r>
      <w:r w:rsidRPr="00425A05">
        <w:rPr>
          <w:rFonts w:ascii="Palatino Linotype" w:hAnsi="Palatino Linotype"/>
          <w:sz w:val="20"/>
          <w:szCs w:val="20"/>
          <w:lang w:val="en-US"/>
        </w:rPr>
        <w:t xml:space="preserve">MRC </w:t>
      </w:r>
      <w:proofErr w:type="spellStart"/>
      <w:r w:rsidRPr="00425A05">
        <w:rPr>
          <w:rFonts w:ascii="Palatino Linotype" w:hAnsi="Palatino Linotype"/>
          <w:sz w:val="20"/>
          <w:szCs w:val="20"/>
          <w:lang w:val="en-US"/>
        </w:rPr>
        <w:t>Lifecourse</w:t>
      </w:r>
      <w:proofErr w:type="spellEnd"/>
      <w:r w:rsidRPr="00425A05">
        <w:rPr>
          <w:rFonts w:ascii="Palatino Linotype" w:hAnsi="Palatino Linotype"/>
          <w:sz w:val="20"/>
          <w:szCs w:val="20"/>
          <w:lang w:val="en-US"/>
        </w:rPr>
        <w:t xml:space="preserve"> Epidemiology Unit, University of Southampton UK </w:t>
      </w:r>
    </w:p>
    <w:p w14:paraId="03CA8AB2" w14:textId="42FA4964" w:rsidR="00131B94" w:rsidRDefault="00131B94" w:rsidP="00425A05">
      <w:pPr>
        <w:jc w:val="both"/>
        <w:rPr>
          <w:rFonts w:ascii="Palatino Linotype" w:hAnsi="Palatino Linotype"/>
          <w:sz w:val="20"/>
          <w:szCs w:val="20"/>
          <w:lang w:val="en-US"/>
        </w:rPr>
      </w:pPr>
      <w:r>
        <w:rPr>
          <w:rFonts w:ascii="Palatino Linotype" w:hAnsi="Palatino Linotype"/>
          <w:sz w:val="20"/>
          <w:szCs w:val="20"/>
          <w:lang w:val="en-US"/>
        </w:rPr>
        <w:t>1</w:t>
      </w:r>
      <w:r w:rsidR="0090052C">
        <w:rPr>
          <w:rFonts w:ascii="Palatino Linotype" w:hAnsi="Palatino Linotype"/>
          <w:sz w:val="20"/>
          <w:szCs w:val="20"/>
          <w:lang w:val="en-US"/>
        </w:rPr>
        <w:t>0</w:t>
      </w:r>
      <w:r w:rsidRPr="00131B94">
        <w:rPr>
          <w:rFonts w:ascii="Palatino Linotype" w:hAnsi="Palatino Linotype"/>
          <w:sz w:val="20"/>
          <w:szCs w:val="20"/>
          <w:lang w:val="en-US"/>
        </w:rPr>
        <w:t xml:space="preserve"> </w:t>
      </w:r>
      <w:r w:rsidRPr="00425A05">
        <w:rPr>
          <w:rFonts w:ascii="Palatino Linotype" w:hAnsi="Palatino Linotype"/>
          <w:sz w:val="20"/>
          <w:szCs w:val="20"/>
          <w:lang w:val="en-US"/>
        </w:rPr>
        <w:t xml:space="preserve">Hospital Universitario Ramón y </w:t>
      </w:r>
      <w:proofErr w:type="spellStart"/>
      <w:r w:rsidRPr="00425A05">
        <w:rPr>
          <w:rFonts w:ascii="Palatino Linotype" w:hAnsi="Palatino Linotype"/>
          <w:sz w:val="20"/>
          <w:szCs w:val="20"/>
          <w:lang w:val="en-US"/>
        </w:rPr>
        <w:t>Cajal</w:t>
      </w:r>
      <w:proofErr w:type="spellEnd"/>
      <w:r w:rsidRPr="00425A05">
        <w:rPr>
          <w:rFonts w:ascii="Palatino Linotype" w:hAnsi="Palatino Linotype"/>
          <w:sz w:val="20"/>
          <w:szCs w:val="20"/>
          <w:lang w:val="en-US"/>
        </w:rPr>
        <w:t xml:space="preserve"> (IRYCIS). Madrid, Spain</w:t>
      </w:r>
    </w:p>
    <w:p w14:paraId="06D67827" w14:textId="51C54288" w:rsidR="00131B94" w:rsidRDefault="00131B94" w:rsidP="00425A05">
      <w:pPr>
        <w:jc w:val="both"/>
        <w:rPr>
          <w:rFonts w:ascii="Palatino Linotype" w:hAnsi="Palatino Linotype"/>
          <w:sz w:val="20"/>
          <w:szCs w:val="20"/>
          <w:lang w:val="en-US"/>
        </w:rPr>
      </w:pPr>
      <w:r>
        <w:rPr>
          <w:rFonts w:ascii="Palatino Linotype" w:hAnsi="Palatino Linotype"/>
          <w:sz w:val="20"/>
          <w:szCs w:val="20"/>
          <w:lang w:val="en-US"/>
        </w:rPr>
        <w:t>1</w:t>
      </w:r>
      <w:r w:rsidR="0090052C">
        <w:rPr>
          <w:rFonts w:ascii="Palatino Linotype" w:hAnsi="Palatino Linotype"/>
          <w:sz w:val="20"/>
          <w:szCs w:val="20"/>
          <w:lang w:val="en-US"/>
        </w:rPr>
        <w:t>1</w:t>
      </w:r>
      <w:r w:rsidRPr="00131B94">
        <w:rPr>
          <w:rFonts w:ascii="Palatino Linotype" w:hAnsi="Palatino Linotype"/>
          <w:sz w:val="20"/>
          <w:szCs w:val="20"/>
          <w:lang w:val="en-US"/>
        </w:rPr>
        <w:t xml:space="preserve"> </w:t>
      </w:r>
      <w:r w:rsidRPr="00425A05">
        <w:rPr>
          <w:rFonts w:ascii="Palatino Linotype" w:hAnsi="Palatino Linotype"/>
          <w:sz w:val="20"/>
          <w:szCs w:val="20"/>
          <w:lang w:val="en-US"/>
        </w:rPr>
        <w:t xml:space="preserve">Division of Geriatrics, UZ Leuven, Leuven, Belgium; </w:t>
      </w:r>
      <w:hyperlink r:id="rId10" w:history="1">
        <w:r w:rsidRPr="00425A05">
          <w:rPr>
            <w:rFonts w:ascii="Palatino Linotype" w:hAnsi="Palatino Linotype"/>
            <w:sz w:val="20"/>
            <w:szCs w:val="20"/>
            <w:lang w:val="en-US"/>
          </w:rPr>
          <w:t>Gerontology and Geriatrics</w:t>
        </w:r>
      </w:hyperlink>
      <w:r w:rsidRPr="00425A05">
        <w:rPr>
          <w:rFonts w:ascii="Palatino Linotype" w:hAnsi="Palatino Linotype"/>
          <w:sz w:val="20"/>
          <w:szCs w:val="20"/>
          <w:lang w:val="en-US"/>
        </w:rPr>
        <w:t xml:space="preserve">, </w:t>
      </w:r>
      <w:hyperlink r:id="rId11" w:history="1">
        <w:r w:rsidRPr="00425A05">
          <w:rPr>
            <w:rFonts w:ascii="Palatino Linotype" w:hAnsi="Palatino Linotype"/>
            <w:sz w:val="20"/>
            <w:szCs w:val="20"/>
            <w:lang w:val="en-US"/>
          </w:rPr>
          <w:t>Department of Public Health and Primary Care</w:t>
        </w:r>
      </w:hyperlink>
      <w:r w:rsidRPr="00425A05">
        <w:rPr>
          <w:rFonts w:ascii="Palatino Linotype" w:hAnsi="Palatino Linotype"/>
          <w:sz w:val="20"/>
          <w:szCs w:val="20"/>
          <w:lang w:val="en-US"/>
        </w:rPr>
        <w:t>, KU Leuven, Leuven, Belgium</w:t>
      </w:r>
    </w:p>
    <w:p w14:paraId="1F102769" w14:textId="21BF9534" w:rsidR="00131B94" w:rsidRDefault="00131B94" w:rsidP="0090052C">
      <w:pPr>
        <w:jc w:val="both"/>
        <w:rPr>
          <w:rFonts w:ascii="Palatino Linotype" w:hAnsi="Palatino Linotype"/>
          <w:sz w:val="20"/>
          <w:szCs w:val="20"/>
          <w:lang w:val="en-US"/>
        </w:rPr>
      </w:pPr>
      <w:r>
        <w:rPr>
          <w:rFonts w:ascii="Palatino Linotype" w:hAnsi="Palatino Linotype"/>
          <w:sz w:val="20"/>
          <w:szCs w:val="20"/>
          <w:lang w:val="en-US"/>
        </w:rPr>
        <w:lastRenderedPageBreak/>
        <w:t>1</w:t>
      </w:r>
      <w:r w:rsidR="0090052C">
        <w:rPr>
          <w:rFonts w:ascii="Palatino Linotype" w:hAnsi="Palatino Linotype"/>
          <w:sz w:val="20"/>
          <w:szCs w:val="20"/>
          <w:lang w:val="en-US"/>
        </w:rPr>
        <w:t>2</w:t>
      </w:r>
      <w:r w:rsidR="0090052C" w:rsidRPr="0090052C">
        <w:rPr>
          <w:rFonts w:ascii="Palatino Linotype" w:hAnsi="Palatino Linotype"/>
          <w:sz w:val="20"/>
          <w:szCs w:val="20"/>
          <w:lang w:val="en-US"/>
        </w:rPr>
        <w:t xml:space="preserve"> Department of Geriatrics, Neurosciences and Orthopedics, Catholic University of the Sacred Heart Rome, Milan, Italy</w:t>
      </w:r>
    </w:p>
    <w:p w14:paraId="7BFA5058" w14:textId="1FC2A2F4" w:rsidR="0090052C" w:rsidRPr="00D70CD3" w:rsidRDefault="0090052C" w:rsidP="0090052C">
      <w:pPr>
        <w:jc w:val="both"/>
        <w:rPr>
          <w:rFonts w:ascii="Palatino Linotype" w:hAnsi="Palatino Linotype"/>
          <w:sz w:val="20"/>
          <w:szCs w:val="20"/>
          <w:lang w:val="en-US"/>
        </w:rPr>
      </w:pPr>
      <w:r>
        <w:rPr>
          <w:rFonts w:ascii="Palatino Linotype" w:hAnsi="Palatino Linotype"/>
          <w:sz w:val="20"/>
          <w:szCs w:val="20"/>
          <w:lang w:val="en-US"/>
        </w:rPr>
        <w:t>13</w:t>
      </w:r>
      <w:r w:rsidR="00D70CD3" w:rsidRPr="00D70CD3">
        <w:rPr>
          <w:rFonts w:ascii="Palatino Linotype" w:hAnsi="Palatino Linotype"/>
          <w:sz w:val="20"/>
          <w:szCs w:val="20"/>
          <w:lang w:val="en-US"/>
        </w:rPr>
        <w:t xml:space="preserve"> Scientific Office, Federal Office for Safety in Health Care, Vienna, Austria</w:t>
      </w:r>
    </w:p>
    <w:p w14:paraId="04A2E413" w14:textId="6EF66D47" w:rsidR="00B375E1" w:rsidRDefault="00B375E1" w:rsidP="00425A05">
      <w:pPr>
        <w:jc w:val="both"/>
        <w:rPr>
          <w:rFonts w:ascii="Palatino Linotype" w:hAnsi="Palatino Linotype"/>
          <w:sz w:val="20"/>
          <w:szCs w:val="20"/>
          <w:lang w:val="en-US"/>
        </w:rPr>
      </w:pPr>
      <w:r>
        <w:rPr>
          <w:rFonts w:ascii="Palatino Linotype" w:hAnsi="Palatino Linotype"/>
          <w:sz w:val="20"/>
          <w:szCs w:val="20"/>
          <w:lang w:val="en-US"/>
        </w:rPr>
        <w:t>14</w:t>
      </w:r>
      <w:r w:rsidR="0090052C" w:rsidRPr="0090052C">
        <w:rPr>
          <w:rFonts w:ascii="Palatino Linotype" w:hAnsi="Palatino Linotype"/>
          <w:sz w:val="20"/>
          <w:szCs w:val="20"/>
          <w:lang w:val="en-US"/>
        </w:rPr>
        <w:t xml:space="preserve"> </w:t>
      </w:r>
      <w:r w:rsidR="0090052C" w:rsidRPr="00425A05">
        <w:rPr>
          <w:rFonts w:ascii="Palatino Linotype" w:hAnsi="Palatino Linotype"/>
          <w:sz w:val="20"/>
          <w:szCs w:val="20"/>
          <w:lang w:val="en-US"/>
        </w:rPr>
        <w:t>CNR Aging Branch-IN, Padua</w:t>
      </w:r>
      <w:r w:rsidR="00C37958">
        <w:rPr>
          <w:rFonts w:ascii="Palatino Linotype" w:hAnsi="Palatino Linotype"/>
          <w:sz w:val="20"/>
          <w:szCs w:val="20"/>
          <w:lang w:val="en-US"/>
        </w:rPr>
        <w:t xml:space="preserve">, </w:t>
      </w:r>
      <w:r w:rsidR="0090052C" w:rsidRPr="00425A05">
        <w:rPr>
          <w:rFonts w:ascii="Palatino Linotype" w:hAnsi="Palatino Linotype"/>
          <w:sz w:val="20"/>
          <w:szCs w:val="20"/>
          <w:lang w:val="en-US"/>
        </w:rPr>
        <w:t>Italy</w:t>
      </w:r>
    </w:p>
    <w:p w14:paraId="00CD5435" w14:textId="00E2FFBD" w:rsidR="00B375E1" w:rsidRDefault="00B375E1" w:rsidP="00425A05">
      <w:pPr>
        <w:jc w:val="both"/>
        <w:rPr>
          <w:rFonts w:ascii="Palatino Linotype" w:hAnsi="Palatino Linotype"/>
          <w:sz w:val="20"/>
          <w:szCs w:val="20"/>
          <w:lang w:val="en-US"/>
        </w:rPr>
      </w:pPr>
      <w:r w:rsidRPr="00724301">
        <w:rPr>
          <w:rFonts w:ascii="Palatino Linotype" w:hAnsi="Palatino Linotype"/>
          <w:sz w:val="20"/>
          <w:szCs w:val="20"/>
        </w:rPr>
        <w:t xml:space="preserve">15 </w:t>
      </w:r>
      <w:proofErr w:type="spellStart"/>
      <w:r w:rsidR="00D70CD3" w:rsidRPr="00724301">
        <w:rPr>
          <w:rFonts w:ascii="Palatino Linotype" w:hAnsi="Palatino Linotype"/>
          <w:sz w:val="20"/>
          <w:szCs w:val="20"/>
        </w:rPr>
        <w:t>Agencia</w:t>
      </w:r>
      <w:proofErr w:type="spellEnd"/>
      <w:r w:rsidR="00D70CD3" w:rsidRPr="00724301">
        <w:rPr>
          <w:rFonts w:ascii="Palatino Linotype" w:hAnsi="Palatino Linotype"/>
          <w:sz w:val="20"/>
          <w:szCs w:val="20"/>
        </w:rPr>
        <w:t xml:space="preserve"> </w:t>
      </w:r>
      <w:proofErr w:type="spellStart"/>
      <w:r w:rsidR="00D70CD3" w:rsidRPr="00724301">
        <w:rPr>
          <w:rFonts w:ascii="Palatino Linotype" w:hAnsi="Palatino Linotype"/>
          <w:sz w:val="20"/>
          <w:szCs w:val="20"/>
        </w:rPr>
        <w:t>Española</w:t>
      </w:r>
      <w:proofErr w:type="spellEnd"/>
      <w:r w:rsidR="00D70CD3" w:rsidRPr="00724301">
        <w:rPr>
          <w:rFonts w:ascii="Palatino Linotype" w:hAnsi="Palatino Linotype"/>
          <w:sz w:val="20"/>
          <w:szCs w:val="20"/>
        </w:rPr>
        <w:t xml:space="preserve"> de </w:t>
      </w:r>
      <w:proofErr w:type="spellStart"/>
      <w:r w:rsidR="00D70CD3" w:rsidRPr="00724301">
        <w:rPr>
          <w:rFonts w:ascii="Palatino Linotype" w:hAnsi="Palatino Linotype"/>
          <w:sz w:val="20"/>
          <w:szCs w:val="20"/>
        </w:rPr>
        <w:t>Medicamentos</w:t>
      </w:r>
      <w:proofErr w:type="spellEnd"/>
      <w:r w:rsidR="00D70CD3" w:rsidRPr="00724301">
        <w:rPr>
          <w:rFonts w:ascii="Palatino Linotype" w:hAnsi="Palatino Linotype"/>
          <w:sz w:val="20"/>
          <w:szCs w:val="20"/>
        </w:rPr>
        <w:t xml:space="preserve"> y </w:t>
      </w:r>
      <w:proofErr w:type="spellStart"/>
      <w:r w:rsidR="00D70CD3" w:rsidRPr="00724301">
        <w:rPr>
          <w:rFonts w:ascii="Palatino Linotype" w:hAnsi="Palatino Linotype"/>
          <w:sz w:val="20"/>
          <w:szCs w:val="20"/>
        </w:rPr>
        <w:t>Productos</w:t>
      </w:r>
      <w:proofErr w:type="spellEnd"/>
      <w:r w:rsidR="00D70CD3" w:rsidRPr="00724301">
        <w:rPr>
          <w:rFonts w:ascii="Palatino Linotype" w:hAnsi="Palatino Linotype"/>
          <w:sz w:val="20"/>
          <w:szCs w:val="20"/>
        </w:rPr>
        <w:t xml:space="preserve"> </w:t>
      </w:r>
      <w:proofErr w:type="spellStart"/>
      <w:r w:rsidR="00D70CD3" w:rsidRPr="00724301">
        <w:rPr>
          <w:rFonts w:ascii="Palatino Linotype" w:hAnsi="Palatino Linotype"/>
          <w:sz w:val="20"/>
          <w:szCs w:val="20"/>
        </w:rPr>
        <w:t>Sanitarios</w:t>
      </w:r>
      <w:proofErr w:type="spellEnd"/>
      <w:r w:rsidR="00D70CD3" w:rsidRPr="00724301">
        <w:rPr>
          <w:rFonts w:ascii="Palatino Linotype" w:hAnsi="Palatino Linotype"/>
          <w:sz w:val="20"/>
          <w:szCs w:val="20"/>
        </w:rPr>
        <w:t xml:space="preserve">. </w:t>
      </w:r>
      <w:r w:rsidR="00D70CD3" w:rsidRPr="00D70CD3">
        <w:rPr>
          <w:rFonts w:ascii="Palatino Linotype" w:hAnsi="Palatino Linotype"/>
          <w:sz w:val="20"/>
          <w:szCs w:val="20"/>
          <w:lang w:val="en-US"/>
        </w:rPr>
        <w:t>Madrid. Spain</w:t>
      </w:r>
    </w:p>
    <w:p w14:paraId="283998DA" w14:textId="63784F4B" w:rsidR="00B375E1" w:rsidRPr="000D7672" w:rsidRDefault="00B375E1" w:rsidP="00D70CD3">
      <w:pPr>
        <w:jc w:val="both"/>
        <w:rPr>
          <w:rFonts w:ascii="Palatino Linotype" w:hAnsi="Palatino Linotype"/>
          <w:sz w:val="20"/>
          <w:szCs w:val="20"/>
          <w:lang w:val="en-GB"/>
        </w:rPr>
      </w:pPr>
      <w:r>
        <w:rPr>
          <w:rFonts w:ascii="Palatino Linotype" w:hAnsi="Palatino Linotype"/>
          <w:sz w:val="20"/>
          <w:szCs w:val="20"/>
          <w:lang w:val="en-US"/>
        </w:rPr>
        <w:t>16</w:t>
      </w:r>
      <w:r w:rsidR="00D70CD3" w:rsidRPr="00D70CD3">
        <w:rPr>
          <w:rFonts w:ascii="Palatino Linotype" w:hAnsi="Palatino Linotype"/>
          <w:sz w:val="20"/>
          <w:szCs w:val="20"/>
          <w:lang w:val="en-US"/>
        </w:rPr>
        <w:t xml:space="preserve"> </w:t>
      </w:r>
      <w:r w:rsidR="000D7672" w:rsidRPr="000D7672">
        <w:rPr>
          <w:rFonts w:ascii="Palatino Linotype" w:hAnsi="Palatino Linotype"/>
          <w:color w:val="000000"/>
          <w:sz w:val="20"/>
          <w:szCs w:val="20"/>
          <w:shd w:val="clear" w:color="auto" w:fill="FDFCFA"/>
          <w:lang w:val="en-GB"/>
        </w:rPr>
        <w:t>Division of Bone Diseases, Geneva University Hospitals and Faculty of Medicine, Geneva, Switzerland</w:t>
      </w:r>
    </w:p>
    <w:p w14:paraId="586E1B8F" w14:textId="582F1419" w:rsidR="00B375E1" w:rsidRDefault="00B375E1" w:rsidP="00425A05">
      <w:pPr>
        <w:jc w:val="both"/>
        <w:rPr>
          <w:rFonts w:ascii="Palatino Linotype" w:hAnsi="Palatino Linotype"/>
          <w:sz w:val="20"/>
          <w:szCs w:val="20"/>
          <w:lang w:val="en-US"/>
        </w:rPr>
      </w:pPr>
      <w:r>
        <w:rPr>
          <w:rFonts w:ascii="Palatino Linotype" w:hAnsi="Palatino Linotype"/>
          <w:sz w:val="20"/>
          <w:szCs w:val="20"/>
          <w:lang w:val="en-US"/>
        </w:rPr>
        <w:t>17</w:t>
      </w:r>
      <w:r w:rsidR="0090052C" w:rsidRPr="0090052C">
        <w:rPr>
          <w:rFonts w:ascii="Palatino Linotype" w:hAnsi="Palatino Linotype"/>
          <w:sz w:val="20"/>
          <w:szCs w:val="20"/>
          <w:lang w:val="en-US"/>
        </w:rPr>
        <w:t xml:space="preserve"> </w:t>
      </w:r>
      <w:r w:rsidR="0090052C">
        <w:rPr>
          <w:rFonts w:ascii="Palatino Linotype" w:hAnsi="Palatino Linotype"/>
          <w:sz w:val="20"/>
          <w:szCs w:val="20"/>
          <w:lang w:val="en-US"/>
        </w:rPr>
        <w:t>European Institute of Women’s health, Dublin, Ireland</w:t>
      </w:r>
    </w:p>
    <w:p w14:paraId="4FC13FFA" w14:textId="6F9B7CAD" w:rsidR="00B375E1" w:rsidRDefault="00B375E1" w:rsidP="00425A05">
      <w:pPr>
        <w:jc w:val="both"/>
        <w:rPr>
          <w:rFonts w:ascii="Palatino Linotype" w:hAnsi="Palatino Linotype"/>
          <w:sz w:val="20"/>
          <w:szCs w:val="20"/>
          <w:lang w:val="en-US"/>
        </w:rPr>
      </w:pPr>
      <w:r>
        <w:rPr>
          <w:rFonts w:ascii="Palatino Linotype" w:hAnsi="Palatino Linotype"/>
          <w:sz w:val="20"/>
          <w:szCs w:val="20"/>
          <w:lang w:val="en-US"/>
        </w:rPr>
        <w:t>18</w:t>
      </w:r>
      <w:r w:rsidR="00C76451">
        <w:rPr>
          <w:rFonts w:ascii="Palatino Linotype" w:hAnsi="Palatino Linotype"/>
          <w:sz w:val="20"/>
          <w:szCs w:val="20"/>
          <w:lang w:val="en-US"/>
        </w:rPr>
        <w:t xml:space="preserve"> </w:t>
      </w:r>
      <w:r w:rsidR="0090052C" w:rsidRPr="00425A05">
        <w:rPr>
          <w:rFonts w:ascii="Palatino Linotype" w:hAnsi="Palatino Linotype"/>
          <w:sz w:val="20"/>
          <w:szCs w:val="20"/>
          <w:lang w:val="en-US"/>
        </w:rPr>
        <w:t>Institute for Biomedicine of Aging Friedrich-Alexander University Erlangen-</w:t>
      </w:r>
      <w:proofErr w:type="spellStart"/>
      <w:r w:rsidR="0090052C" w:rsidRPr="00425A05">
        <w:rPr>
          <w:rFonts w:ascii="Palatino Linotype" w:hAnsi="Palatino Linotype"/>
          <w:sz w:val="20"/>
          <w:szCs w:val="20"/>
          <w:lang w:val="en-US"/>
        </w:rPr>
        <w:t>Nürnberg</w:t>
      </w:r>
      <w:proofErr w:type="spellEnd"/>
      <w:r w:rsidR="0090052C" w:rsidRPr="00425A05">
        <w:rPr>
          <w:rFonts w:ascii="Palatino Linotype" w:hAnsi="Palatino Linotype"/>
          <w:sz w:val="20"/>
          <w:szCs w:val="20"/>
          <w:lang w:val="en-US"/>
        </w:rPr>
        <w:t xml:space="preserve">, Germany ; </w:t>
      </w:r>
      <w:proofErr w:type="spellStart"/>
      <w:r w:rsidR="0090052C" w:rsidRPr="00425A05">
        <w:rPr>
          <w:rFonts w:ascii="Palatino Linotype" w:hAnsi="Palatino Linotype"/>
          <w:sz w:val="20"/>
          <w:szCs w:val="20"/>
          <w:lang w:val="en-US"/>
        </w:rPr>
        <w:t>Kantonsspital</w:t>
      </w:r>
      <w:proofErr w:type="spellEnd"/>
      <w:r w:rsidR="0090052C" w:rsidRPr="00425A05">
        <w:rPr>
          <w:rFonts w:ascii="Palatino Linotype" w:hAnsi="Palatino Linotype"/>
          <w:sz w:val="20"/>
          <w:szCs w:val="20"/>
          <w:lang w:val="en-US"/>
        </w:rPr>
        <w:t xml:space="preserve"> Winterthur, Switzerland</w:t>
      </w:r>
    </w:p>
    <w:p w14:paraId="089631E4" w14:textId="3FA94E2F" w:rsidR="00B375E1" w:rsidRPr="008023C7" w:rsidRDefault="00C37958" w:rsidP="00425A05">
      <w:pPr>
        <w:jc w:val="both"/>
        <w:rPr>
          <w:rFonts w:ascii="Palatino Linotype" w:hAnsi="Palatino Linotype"/>
          <w:sz w:val="20"/>
          <w:szCs w:val="20"/>
          <w:lang w:val="en-US"/>
        </w:rPr>
      </w:pPr>
      <w:r>
        <w:rPr>
          <w:rFonts w:ascii="Palatino Linotype" w:hAnsi="Palatino Linotype"/>
          <w:sz w:val="20"/>
          <w:szCs w:val="20"/>
          <w:lang w:val="en-US"/>
        </w:rPr>
        <w:t>19</w:t>
      </w:r>
      <w:r w:rsidR="008023C7">
        <w:rPr>
          <w:rFonts w:ascii="Palatino Linotype" w:hAnsi="Palatino Linotype"/>
          <w:sz w:val="20"/>
          <w:szCs w:val="20"/>
          <w:lang w:val="en-US"/>
        </w:rPr>
        <w:t xml:space="preserve"> </w:t>
      </w:r>
      <w:r w:rsidR="008023C7" w:rsidRPr="008023C7">
        <w:rPr>
          <w:rFonts w:ascii="Palatino Linotype" w:hAnsi="Palatino Linotype"/>
          <w:sz w:val="20"/>
          <w:szCs w:val="20"/>
          <w:lang w:val="en-US"/>
        </w:rPr>
        <w:t xml:space="preserve">Department of Internal and Geriatrics Medicine, </w:t>
      </w:r>
      <w:proofErr w:type="spellStart"/>
      <w:r w:rsidR="008023C7" w:rsidRPr="008023C7">
        <w:rPr>
          <w:rFonts w:ascii="Palatino Linotype" w:hAnsi="Palatino Linotype"/>
          <w:sz w:val="20"/>
          <w:szCs w:val="20"/>
          <w:lang w:val="en-US"/>
        </w:rPr>
        <w:t>Gerontopole</w:t>
      </w:r>
      <w:proofErr w:type="spellEnd"/>
      <w:r w:rsidR="008023C7" w:rsidRPr="008023C7">
        <w:rPr>
          <w:rFonts w:ascii="Palatino Linotype" w:hAnsi="Palatino Linotype"/>
          <w:sz w:val="20"/>
          <w:szCs w:val="20"/>
          <w:lang w:val="en-US"/>
        </w:rPr>
        <w:t>, CHU de Toulouse, UMR 1027 INSERM, University Toulouse III, Toulouse, France</w:t>
      </w:r>
    </w:p>
    <w:p w14:paraId="497BD9FC" w14:textId="12A62A98" w:rsidR="00B375E1" w:rsidRDefault="00B375E1" w:rsidP="00425A05">
      <w:pPr>
        <w:jc w:val="both"/>
        <w:rPr>
          <w:rFonts w:ascii="Palatino Linotype" w:hAnsi="Palatino Linotype"/>
          <w:sz w:val="20"/>
          <w:szCs w:val="20"/>
          <w:lang w:val="en-US"/>
        </w:rPr>
      </w:pPr>
      <w:r>
        <w:rPr>
          <w:rFonts w:ascii="Palatino Linotype" w:hAnsi="Palatino Linotype"/>
          <w:sz w:val="20"/>
          <w:szCs w:val="20"/>
          <w:lang w:val="en-US"/>
        </w:rPr>
        <w:t>2</w:t>
      </w:r>
      <w:r w:rsidR="00C37958">
        <w:rPr>
          <w:rFonts w:ascii="Palatino Linotype" w:hAnsi="Palatino Linotype"/>
          <w:sz w:val="20"/>
          <w:szCs w:val="20"/>
          <w:lang w:val="en-US"/>
        </w:rPr>
        <w:t>0</w:t>
      </w:r>
      <w:r w:rsidRPr="00B375E1">
        <w:rPr>
          <w:rFonts w:ascii="Palatino Linotype" w:hAnsi="Palatino Linotype"/>
          <w:sz w:val="20"/>
          <w:szCs w:val="20"/>
          <w:lang w:val="en-US"/>
        </w:rPr>
        <w:t xml:space="preserve"> </w:t>
      </w:r>
      <w:r w:rsidRPr="00425A05">
        <w:rPr>
          <w:rFonts w:ascii="Palatino Linotype" w:hAnsi="Palatino Linotype"/>
          <w:sz w:val="20"/>
          <w:szCs w:val="20"/>
          <w:lang w:val="en-US"/>
        </w:rPr>
        <w:t>University of Palermo, Department of internal medicine, Geriatrics section, Palermo.</w:t>
      </w:r>
    </w:p>
    <w:p w14:paraId="301F86A7" w14:textId="6620A1FC" w:rsidR="00B375E1" w:rsidRDefault="00B375E1" w:rsidP="00425A05">
      <w:pPr>
        <w:jc w:val="both"/>
        <w:rPr>
          <w:rFonts w:ascii="Palatino Linotype" w:hAnsi="Palatino Linotype"/>
          <w:sz w:val="20"/>
          <w:szCs w:val="20"/>
          <w:lang w:val="en-US"/>
        </w:rPr>
      </w:pPr>
      <w:r>
        <w:rPr>
          <w:rFonts w:ascii="Palatino Linotype" w:hAnsi="Palatino Linotype"/>
          <w:sz w:val="20"/>
          <w:szCs w:val="20"/>
          <w:lang w:val="en-US"/>
        </w:rPr>
        <w:t>2</w:t>
      </w:r>
      <w:r w:rsidR="00C37958">
        <w:rPr>
          <w:rFonts w:ascii="Palatino Linotype" w:hAnsi="Palatino Linotype"/>
          <w:sz w:val="20"/>
          <w:szCs w:val="20"/>
          <w:lang w:val="en-US"/>
        </w:rPr>
        <w:t>1</w:t>
      </w:r>
      <w:r w:rsidRPr="00B375E1">
        <w:rPr>
          <w:rFonts w:ascii="Palatino Linotype" w:hAnsi="Palatino Linotype"/>
          <w:sz w:val="20"/>
          <w:szCs w:val="20"/>
          <w:lang w:val="en-US"/>
        </w:rPr>
        <w:t xml:space="preserve"> </w:t>
      </w:r>
      <w:r w:rsidRPr="00425A05">
        <w:rPr>
          <w:rFonts w:ascii="Palatino Linotype" w:hAnsi="Palatino Linotype"/>
          <w:sz w:val="20"/>
          <w:szCs w:val="20"/>
          <w:lang w:val="en-US"/>
        </w:rPr>
        <w:t>Vrije Universiteit Amsterdam, Department of Health Sciences, Amsterdam, the Netherlands</w:t>
      </w:r>
    </w:p>
    <w:p w14:paraId="541F1DC3" w14:textId="3263BB2F" w:rsidR="00B375E1" w:rsidRPr="00217158" w:rsidRDefault="00B375E1" w:rsidP="00217158">
      <w:pPr>
        <w:jc w:val="both"/>
        <w:rPr>
          <w:rFonts w:ascii="Palatino Linotype" w:hAnsi="Palatino Linotype"/>
          <w:sz w:val="20"/>
          <w:szCs w:val="20"/>
          <w:lang w:val="en-US"/>
        </w:rPr>
      </w:pPr>
      <w:r>
        <w:rPr>
          <w:rFonts w:ascii="Palatino Linotype" w:hAnsi="Palatino Linotype"/>
          <w:sz w:val="20"/>
          <w:szCs w:val="20"/>
          <w:lang w:val="en-US"/>
        </w:rPr>
        <w:t>2</w:t>
      </w:r>
      <w:r w:rsidR="00C37958">
        <w:rPr>
          <w:rFonts w:ascii="Palatino Linotype" w:hAnsi="Palatino Linotype"/>
          <w:sz w:val="20"/>
          <w:szCs w:val="20"/>
          <w:lang w:val="en-US"/>
        </w:rPr>
        <w:t>2</w:t>
      </w:r>
      <w:r w:rsidR="00217158" w:rsidRPr="00217158">
        <w:rPr>
          <w:rFonts w:ascii="Palatino Linotype" w:hAnsi="Palatino Linotype"/>
          <w:sz w:val="20"/>
          <w:szCs w:val="20"/>
          <w:lang w:val="en-US"/>
        </w:rPr>
        <w:t xml:space="preserve"> Medical University Sofia, Medical </w:t>
      </w:r>
      <w:proofErr w:type="spellStart"/>
      <w:r w:rsidR="00217158" w:rsidRPr="00217158">
        <w:rPr>
          <w:rFonts w:ascii="Palatino Linotype" w:hAnsi="Palatino Linotype"/>
          <w:sz w:val="20"/>
          <w:szCs w:val="20"/>
          <w:lang w:val="en-US"/>
        </w:rPr>
        <w:t>Faculty,Department</w:t>
      </w:r>
      <w:proofErr w:type="spellEnd"/>
      <w:r w:rsidR="00217158" w:rsidRPr="00217158">
        <w:rPr>
          <w:rFonts w:ascii="Palatino Linotype" w:hAnsi="Palatino Linotype"/>
          <w:sz w:val="20"/>
          <w:szCs w:val="20"/>
          <w:lang w:val="en-US"/>
        </w:rPr>
        <w:t xml:space="preserve"> of Pharmacology and Toxicology</w:t>
      </w:r>
      <w:r w:rsidR="00C37958">
        <w:rPr>
          <w:rFonts w:ascii="Palatino Linotype" w:hAnsi="Palatino Linotype"/>
          <w:sz w:val="20"/>
          <w:szCs w:val="20"/>
          <w:lang w:val="en-US"/>
        </w:rPr>
        <w:t>, Bulgaria</w:t>
      </w:r>
    </w:p>
    <w:p w14:paraId="62213AD3" w14:textId="0546E89B" w:rsidR="00B375E1" w:rsidRPr="009830EB" w:rsidRDefault="00B375E1" w:rsidP="009830EB">
      <w:pPr>
        <w:jc w:val="both"/>
        <w:rPr>
          <w:rFonts w:ascii="Palatino Linotype" w:hAnsi="Palatino Linotype"/>
          <w:sz w:val="20"/>
          <w:szCs w:val="20"/>
          <w:lang w:val="en-US"/>
        </w:rPr>
      </w:pPr>
      <w:r>
        <w:rPr>
          <w:rFonts w:ascii="Palatino Linotype" w:hAnsi="Palatino Linotype"/>
          <w:sz w:val="20"/>
          <w:szCs w:val="20"/>
          <w:lang w:val="en-US"/>
        </w:rPr>
        <w:t>2</w:t>
      </w:r>
      <w:r w:rsidR="00C37958">
        <w:rPr>
          <w:rFonts w:ascii="Palatino Linotype" w:hAnsi="Palatino Linotype"/>
          <w:sz w:val="20"/>
          <w:szCs w:val="20"/>
          <w:lang w:val="en-US"/>
        </w:rPr>
        <w:t>3</w:t>
      </w:r>
      <w:r w:rsidR="009830EB" w:rsidRPr="009830EB">
        <w:rPr>
          <w:rFonts w:ascii="Palatino Linotype" w:hAnsi="Palatino Linotype"/>
          <w:sz w:val="20"/>
          <w:szCs w:val="20"/>
          <w:lang w:val="en-US"/>
        </w:rPr>
        <w:t xml:space="preserve"> Nutrition, Exercise Physiology and Sarcopenia Laboratory, Jean Mayer USDA Human Nutrition Research Center on Aging, Tufts University, Boston, USA</w:t>
      </w:r>
    </w:p>
    <w:p w14:paraId="0276EF32" w14:textId="1185B252" w:rsidR="006D50D1" w:rsidRPr="00264435" w:rsidRDefault="00A7094A" w:rsidP="00264435">
      <w:pPr>
        <w:jc w:val="both"/>
        <w:rPr>
          <w:rFonts w:ascii="Palatino Linotype" w:hAnsi="Palatino Linotype"/>
          <w:sz w:val="20"/>
          <w:szCs w:val="20"/>
          <w:lang w:val="en-US"/>
        </w:rPr>
      </w:pPr>
      <w:r w:rsidRPr="00425A05">
        <w:rPr>
          <w:rFonts w:ascii="Palatino Linotype" w:hAnsi="Palatino Linotype"/>
          <w:sz w:val="20"/>
          <w:szCs w:val="20"/>
          <w:lang w:val="en-US"/>
        </w:rPr>
        <w:br w:type="page"/>
      </w:r>
    </w:p>
    <w:p w14:paraId="2983A4C9" w14:textId="46946678" w:rsidR="00863CA6" w:rsidRPr="00D76C46" w:rsidRDefault="00863CA6" w:rsidP="00863CA6">
      <w:pPr>
        <w:rPr>
          <w:rFonts w:ascii="Palatino Linotype" w:hAnsi="Palatino Linotype"/>
          <w:b/>
          <w:bCs/>
          <w:smallCaps/>
          <w:sz w:val="24"/>
          <w:szCs w:val="24"/>
          <w:u w:val="single"/>
          <w:lang w:val="en-GB"/>
        </w:rPr>
      </w:pPr>
      <w:r w:rsidRPr="00D76C46">
        <w:rPr>
          <w:rFonts w:ascii="Palatino Linotype" w:hAnsi="Palatino Linotype"/>
          <w:b/>
          <w:bCs/>
          <w:smallCaps/>
          <w:sz w:val="24"/>
          <w:szCs w:val="24"/>
          <w:u w:val="single"/>
          <w:lang w:val="en-GB"/>
        </w:rPr>
        <w:lastRenderedPageBreak/>
        <w:t>Abstract</w:t>
      </w:r>
    </w:p>
    <w:p w14:paraId="48B4E3D8" w14:textId="03B97ACA" w:rsidR="00173426" w:rsidRPr="00173426" w:rsidRDefault="00173426" w:rsidP="00173426">
      <w:pPr>
        <w:jc w:val="both"/>
        <w:rPr>
          <w:rFonts w:ascii="Palatino Linotype" w:hAnsi="Palatino Linotype"/>
          <w:lang w:val="en-US"/>
        </w:rPr>
      </w:pPr>
      <w:bookmarkStart w:id="2" w:name="_Hlk41463980"/>
      <w:r w:rsidRPr="00173426">
        <w:rPr>
          <w:rFonts w:ascii="Palatino Linotype" w:hAnsi="Palatino Linotype"/>
          <w:lang w:val="en-US"/>
        </w:rPr>
        <w:t>Background: In 201</w:t>
      </w:r>
      <w:r w:rsidR="002A7EE5">
        <w:rPr>
          <w:rFonts w:ascii="Palatino Linotype" w:hAnsi="Palatino Linotype"/>
          <w:lang w:val="en-US"/>
        </w:rPr>
        <w:t>6</w:t>
      </w:r>
      <w:r w:rsidRPr="00173426">
        <w:rPr>
          <w:rFonts w:ascii="Palatino Linotype" w:hAnsi="Palatino Linotype"/>
          <w:lang w:val="en-US"/>
        </w:rPr>
        <w:t xml:space="preserve">, an expert working group was convened under the auspices of the European Society for Clinical and Economic Aspects of Osteoporosis and Osteoarthritis (ESCEO) </w:t>
      </w:r>
      <w:r w:rsidR="009660B5">
        <w:rPr>
          <w:rFonts w:ascii="Palatino Linotype" w:hAnsi="Palatino Linotype"/>
          <w:lang w:val="en-US"/>
        </w:rPr>
        <w:t>and</w:t>
      </w:r>
      <w:r w:rsidR="009660B5" w:rsidRPr="00173426">
        <w:rPr>
          <w:rFonts w:ascii="Palatino Linotype" w:hAnsi="Palatino Linotype"/>
          <w:lang w:val="en-US"/>
        </w:rPr>
        <w:t xml:space="preserve"> </w:t>
      </w:r>
      <w:r w:rsidRPr="00173426">
        <w:rPr>
          <w:rFonts w:ascii="Palatino Linotype" w:hAnsi="Palatino Linotype"/>
          <w:lang w:val="en-US"/>
        </w:rPr>
        <w:t>formulate</w:t>
      </w:r>
      <w:r w:rsidR="009660B5">
        <w:rPr>
          <w:rFonts w:ascii="Palatino Linotype" w:hAnsi="Palatino Linotype"/>
          <w:lang w:val="en-US"/>
        </w:rPr>
        <w:t>d</w:t>
      </w:r>
      <w:r w:rsidRPr="00173426">
        <w:rPr>
          <w:rFonts w:ascii="Palatino Linotype" w:hAnsi="Palatino Linotype"/>
          <w:lang w:val="en-US"/>
        </w:rPr>
        <w:t xml:space="preserve"> consensus recommendations for the conduct of clinical trials for drugs to prevent or treat sarcopenia</w:t>
      </w:r>
    </w:p>
    <w:p w14:paraId="5E95AEA2" w14:textId="2D9FA910" w:rsidR="00173426" w:rsidRPr="00173426" w:rsidRDefault="00173426" w:rsidP="00173426">
      <w:pPr>
        <w:jc w:val="both"/>
        <w:rPr>
          <w:rFonts w:ascii="Palatino Linotype" w:hAnsi="Palatino Linotype"/>
          <w:lang w:val="en-US"/>
        </w:rPr>
      </w:pPr>
      <w:r w:rsidRPr="00173426">
        <w:rPr>
          <w:rFonts w:ascii="Palatino Linotype" w:hAnsi="Palatino Linotype"/>
          <w:lang w:val="en-US"/>
        </w:rPr>
        <w:t xml:space="preserve">Aims: The objective of the current paper is to </w:t>
      </w:r>
      <w:r w:rsidR="009660B5">
        <w:rPr>
          <w:rFonts w:ascii="Palatino Linotype" w:hAnsi="Palatino Linotype"/>
          <w:lang w:val="en-US"/>
        </w:rPr>
        <w:t xml:space="preserve">provide a 2020 </w:t>
      </w:r>
      <w:r w:rsidRPr="00173426">
        <w:rPr>
          <w:rFonts w:ascii="Palatino Linotype" w:hAnsi="Palatino Linotype"/>
          <w:lang w:val="en-US"/>
        </w:rPr>
        <w:t xml:space="preserve">update </w:t>
      </w:r>
      <w:r w:rsidR="009660B5">
        <w:rPr>
          <w:rFonts w:ascii="Palatino Linotype" w:hAnsi="Palatino Linotype"/>
          <w:lang w:val="en-US"/>
        </w:rPr>
        <w:t xml:space="preserve">of </w:t>
      </w:r>
      <w:r w:rsidRPr="00173426">
        <w:rPr>
          <w:rFonts w:ascii="Palatino Linotype" w:hAnsi="Palatino Linotype"/>
          <w:lang w:val="en-US"/>
        </w:rPr>
        <w:t>the previous recommendations in accordance with the evidence that has become available</w:t>
      </w:r>
      <w:r w:rsidR="00F062A4">
        <w:rPr>
          <w:rFonts w:ascii="Palatino Linotype" w:hAnsi="Palatino Linotype"/>
          <w:lang w:val="en-US"/>
        </w:rPr>
        <w:t xml:space="preserve"> since our original recommendations</w:t>
      </w:r>
      <w:r w:rsidR="00AE4FF4">
        <w:rPr>
          <w:rFonts w:ascii="Palatino Linotype" w:hAnsi="Palatino Linotype"/>
          <w:lang w:val="en-US"/>
        </w:rPr>
        <w:t>.</w:t>
      </w:r>
    </w:p>
    <w:p w14:paraId="2F595C89" w14:textId="6125A09B" w:rsidR="00173426" w:rsidRPr="00173426" w:rsidRDefault="00173426" w:rsidP="00173426">
      <w:pPr>
        <w:jc w:val="both"/>
        <w:rPr>
          <w:rFonts w:ascii="Palatino Linotype" w:hAnsi="Palatino Linotype"/>
          <w:lang w:val="en-US"/>
        </w:rPr>
      </w:pPr>
      <w:r w:rsidRPr="00173426">
        <w:rPr>
          <w:rFonts w:ascii="Palatino Linotype" w:hAnsi="Palatino Linotype"/>
          <w:lang w:val="en-US"/>
        </w:rPr>
        <w:t xml:space="preserve">Methods: This paper is based on literature reviews performed by members </w:t>
      </w:r>
      <w:r w:rsidR="00515018">
        <w:rPr>
          <w:rFonts w:ascii="Palatino Linotype" w:hAnsi="Palatino Linotype"/>
          <w:lang w:val="en-US"/>
        </w:rPr>
        <w:t xml:space="preserve">of </w:t>
      </w:r>
      <w:r w:rsidRPr="00173426">
        <w:rPr>
          <w:rFonts w:ascii="Palatino Linotype" w:hAnsi="Palatino Linotype"/>
          <w:lang w:val="en-US"/>
        </w:rPr>
        <w:t>the ESCEO working group</w:t>
      </w:r>
      <w:r w:rsidR="007271C2">
        <w:rPr>
          <w:rFonts w:ascii="Palatino Linotype" w:hAnsi="Palatino Linotype"/>
          <w:lang w:val="en-US"/>
        </w:rPr>
        <w:t xml:space="preserve"> and followed up with face to</w:t>
      </w:r>
      <w:r w:rsidR="00A85197">
        <w:rPr>
          <w:rFonts w:ascii="Palatino Linotype" w:hAnsi="Palatino Linotype"/>
          <w:lang w:val="en-US"/>
        </w:rPr>
        <w:t xml:space="preserve"> </w:t>
      </w:r>
      <w:r w:rsidR="007271C2">
        <w:rPr>
          <w:rFonts w:ascii="Palatino Linotype" w:hAnsi="Palatino Linotype"/>
          <w:lang w:val="en-US"/>
        </w:rPr>
        <w:t>face meetings</w:t>
      </w:r>
      <w:r w:rsidRPr="00173426">
        <w:rPr>
          <w:rFonts w:ascii="Palatino Linotype" w:hAnsi="Palatino Linotype"/>
          <w:lang w:val="en-US"/>
        </w:rPr>
        <w:t xml:space="preserve"> organized for the whole group to make amendments and discuss further recommendations</w:t>
      </w:r>
      <w:r w:rsidR="00A53E73">
        <w:rPr>
          <w:rFonts w:ascii="Palatino Linotype" w:hAnsi="Palatino Linotype"/>
          <w:lang w:val="en-US"/>
        </w:rPr>
        <w:t>.</w:t>
      </w:r>
    </w:p>
    <w:p w14:paraId="123FCBE3" w14:textId="3FC45DFC" w:rsidR="00173426" w:rsidRPr="00173426" w:rsidRDefault="00173426" w:rsidP="00173426">
      <w:pPr>
        <w:jc w:val="both"/>
        <w:rPr>
          <w:rFonts w:ascii="Palatino Linotype" w:hAnsi="Palatino Linotype"/>
          <w:lang w:val="en-US"/>
        </w:rPr>
      </w:pPr>
      <w:r w:rsidRPr="00173426">
        <w:rPr>
          <w:rFonts w:ascii="Palatino Linotype" w:hAnsi="Palatino Linotype"/>
          <w:lang w:val="en-US"/>
        </w:rPr>
        <w:t xml:space="preserve">Results: The randomized placebo-controlled double-blind parallel-arm </w:t>
      </w:r>
      <w:r w:rsidR="006D50D1">
        <w:rPr>
          <w:rFonts w:ascii="Palatino Linotype" w:hAnsi="Palatino Linotype"/>
          <w:lang w:val="en-US"/>
        </w:rPr>
        <w:t xml:space="preserve">drug </w:t>
      </w:r>
      <w:r w:rsidRPr="00173426">
        <w:rPr>
          <w:rFonts w:ascii="Palatino Linotype" w:hAnsi="Palatino Linotype"/>
          <w:lang w:val="en-US"/>
        </w:rPr>
        <w:t>clinical trial</w:t>
      </w:r>
      <w:r w:rsidR="00FE008D">
        <w:rPr>
          <w:rFonts w:ascii="Palatino Linotype" w:hAnsi="Palatino Linotype"/>
          <w:lang w:val="en-US"/>
        </w:rPr>
        <w:t>s</w:t>
      </w:r>
      <w:r w:rsidRPr="00173426">
        <w:rPr>
          <w:rFonts w:ascii="Palatino Linotype" w:hAnsi="Palatino Linotype"/>
          <w:lang w:val="en-US"/>
        </w:rPr>
        <w:t xml:space="preserve"> should be the design</w:t>
      </w:r>
      <w:r w:rsidR="005F7F47">
        <w:rPr>
          <w:rFonts w:ascii="Palatino Linotype" w:hAnsi="Palatino Linotype"/>
          <w:lang w:val="en-US"/>
        </w:rPr>
        <w:t xml:space="preserve"> of choice</w:t>
      </w:r>
      <w:r w:rsidRPr="00173426">
        <w:rPr>
          <w:rFonts w:ascii="Palatino Linotype" w:hAnsi="Palatino Linotype"/>
          <w:lang w:val="en-US"/>
        </w:rPr>
        <w:t xml:space="preserve"> for both phase II and III trials. Treatment and follow-up should run at least 6 months for phase II and </w:t>
      </w:r>
      <w:r w:rsidR="009E5EA4">
        <w:rPr>
          <w:rFonts w:ascii="Palatino Linotype" w:hAnsi="Palatino Linotype"/>
          <w:lang w:val="en-US"/>
        </w:rPr>
        <w:t>12 months</w:t>
      </w:r>
      <w:r w:rsidRPr="00173426">
        <w:rPr>
          <w:rFonts w:ascii="Palatino Linotype" w:hAnsi="Palatino Linotype"/>
          <w:lang w:val="en-US"/>
        </w:rPr>
        <w:t xml:space="preserve"> for phase III trials. </w:t>
      </w:r>
      <w:r w:rsidR="003C5A15">
        <w:rPr>
          <w:rFonts w:ascii="Palatino Linotype" w:hAnsi="Palatino Linotype"/>
          <w:lang w:val="en-US"/>
        </w:rPr>
        <w:t>Overall physical activity</w:t>
      </w:r>
      <w:r w:rsidRPr="00173426">
        <w:rPr>
          <w:rFonts w:ascii="Palatino Linotype" w:hAnsi="Palatino Linotype"/>
          <w:lang w:val="en-US"/>
        </w:rPr>
        <w:t xml:space="preserve">, nutrition, </w:t>
      </w:r>
      <w:r w:rsidR="00457B1D">
        <w:rPr>
          <w:rFonts w:ascii="Palatino Linotype" w:hAnsi="Palatino Linotype"/>
          <w:lang w:val="en-US"/>
        </w:rPr>
        <w:t>co-prescriptions</w:t>
      </w:r>
      <w:r w:rsidR="00457B1D" w:rsidRPr="00173426">
        <w:rPr>
          <w:rFonts w:ascii="Palatino Linotype" w:hAnsi="Palatino Linotype"/>
          <w:lang w:val="en-US"/>
        </w:rPr>
        <w:t xml:space="preserve"> </w:t>
      </w:r>
      <w:r w:rsidRPr="00173426">
        <w:rPr>
          <w:rFonts w:ascii="Palatino Linotype" w:hAnsi="Palatino Linotype"/>
          <w:lang w:val="en-US"/>
        </w:rPr>
        <w:t xml:space="preserve">and comorbidity should </w:t>
      </w:r>
      <w:r w:rsidR="00457B1D">
        <w:rPr>
          <w:rFonts w:ascii="Palatino Linotype" w:hAnsi="Palatino Linotype"/>
          <w:lang w:val="en-US"/>
        </w:rPr>
        <w:t>be recorded</w:t>
      </w:r>
      <w:r w:rsidRPr="00173426">
        <w:rPr>
          <w:rFonts w:ascii="Palatino Linotype" w:hAnsi="Palatino Linotype"/>
          <w:lang w:val="en-US"/>
        </w:rPr>
        <w:t>. Participants in these trials should be at least 70 years old and present with a combination of low muscle strength and low physical performance. Severely malnourished individuals</w:t>
      </w:r>
      <w:r w:rsidR="00DE7FB6">
        <w:rPr>
          <w:rFonts w:ascii="Palatino Linotype" w:hAnsi="Palatino Linotype"/>
          <w:lang w:val="en-US"/>
        </w:rPr>
        <w:t>, as well as bedridden patients</w:t>
      </w:r>
      <w:r w:rsidR="00A35DB8">
        <w:rPr>
          <w:rFonts w:ascii="Palatino Linotype" w:hAnsi="Palatino Linotype"/>
          <w:lang w:val="en-US"/>
        </w:rPr>
        <w:t>,</w:t>
      </w:r>
      <w:r w:rsidR="00DE7FB6">
        <w:rPr>
          <w:rFonts w:ascii="Palatino Linotype" w:hAnsi="Palatino Linotype"/>
          <w:lang w:val="en-US"/>
        </w:rPr>
        <w:t xml:space="preserve"> patients with extremely limited mobility</w:t>
      </w:r>
      <w:r w:rsidR="00A35DB8">
        <w:rPr>
          <w:rFonts w:ascii="Palatino Linotype" w:hAnsi="Palatino Linotype"/>
          <w:lang w:val="en-US"/>
        </w:rPr>
        <w:t xml:space="preserve"> or individuals with physical limitations clearly attributable to the direct effect of a specific disease,</w:t>
      </w:r>
      <w:r w:rsidRPr="00173426">
        <w:rPr>
          <w:rFonts w:ascii="Palatino Linotype" w:hAnsi="Palatino Linotype"/>
          <w:lang w:val="en-US"/>
        </w:rPr>
        <w:t xml:space="preserve"> should be excluded. Multiple outcomes are proposed for phase II trials, including</w:t>
      </w:r>
      <w:r w:rsidR="00A35DB8">
        <w:rPr>
          <w:rFonts w:ascii="Palatino Linotype" w:hAnsi="Palatino Linotype"/>
          <w:lang w:val="en-US"/>
        </w:rPr>
        <w:t>, as example,</w:t>
      </w:r>
      <w:r w:rsidRPr="00173426">
        <w:rPr>
          <w:rFonts w:ascii="Palatino Linotype" w:hAnsi="Palatino Linotype"/>
          <w:lang w:val="en-US"/>
        </w:rPr>
        <w:t xml:space="preserve"> physical performance, muscle strength and mass, muscle metabolism and muscle-bone interaction. For phase III trials, we recommend a co-primary endpoint of a </w:t>
      </w:r>
      <w:r w:rsidR="00DE7FB6">
        <w:rPr>
          <w:rFonts w:ascii="Palatino Linotype" w:hAnsi="Palatino Linotype"/>
          <w:lang w:val="en-US"/>
        </w:rPr>
        <w:t xml:space="preserve">measure of </w:t>
      </w:r>
      <w:r w:rsidR="00A35DB8">
        <w:rPr>
          <w:rFonts w:ascii="Palatino Linotype" w:hAnsi="Palatino Linotype"/>
          <w:lang w:val="en-US"/>
        </w:rPr>
        <w:t>functional performance</w:t>
      </w:r>
      <w:r w:rsidRPr="00173426">
        <w:rPr>
          <w:rFonts w:ascii="Palatino Linotype" w:hAnsi="Palatino Linotype"/>
          <w:lang w:val="en-US"/>
        </w:rPr>
        <w:t xml:space="preserve"> and a </w:t>
      </w:r>
      <w:r w:rsidR="00DE7FB6">
        <w:rPr>
          <w:rFonts w:ascii="Palatino Linotype" w:hAnsi="Palatino Linotype"/>
          <w:lang w:val="en-US"/>
        </w:rPr>
        <w:t>Patient Reported Outcome Measure.</w:t>
      </w:r>
    </w:p>
    <w:p w14:paraId="347D8E52" w14:textId="1002FC58" w:rsidR="00173426" w:rsidRPr="00173426" w:rsidRDefault="00173426" w:rsidP="00173426">
      <w:pPr>
        <w:jc w:val="both"/>
        <w:rPr>
          <w:rFonts w:ascii="Palatino Linotype" w:hAnsi="Palatino Linotype"/>
          <w:lang w:val="en-US"/>
        </w:rPr>
      </w:pPr>
      <w:r w:rsidRPr="00173426">
        <w:rPr>
          <w:rFonts w:ascii="Palatino Linotype" w:hAnsi="Palatino Linotype"/>
          <w:lang w:val="en-US"/>
        </w:rPr>
        <w:t>Conclusion: The working group has formulated consensus recommendations on specific aspects of trial design, and in doing so hopes to contribute to an improvement of the methodological robustness and comparability of clinical trials.</w:t>
      </w:r>
      <w:r w:rsidR="00DE7FB6">
        <w:rPr>
          <w:rFonts w:ascii="Palatino Linotype" w:hAnsi="Palatino Linotype"/>
          <w:lang w:val="en-US"/>
        </w:rPr>
        <w:t xml:space="preserve"> </w:t>
      </w:r>
      <w:r w:rsidR="00DE7FB6" w:rsidRPr="009B2278">
        <w:rPr>
          <w:rFonts w:ascii="Palatino Linotype" w:hAnsi="Palatino Linotype"/>
          <w:lang w:val="en-US"/>
        </w:rPr>
        <w:t>Standardization of designs</w:t>
      </w:r>
      <w:r w:rsidR="00DE7FB6" w:rsidRPr="00DE7FB6">
        <w:rPr>
          <w:lang w:val="en-GB"/>
        </w:rPr>
        <w:t xml:space="preserve"> and </w:t>
      </w:r>
      <w:r w:rsidR="00DE7FB6" w:rsidRPr="00DE7FB6">
        <w:rPr>
          <w:rFonts w:ascii="Palatino Linotype" w:hAnsi="Palatino Linotype"/>
          <w:lang w:val="en-US"/>
        </w:rPr>
        <w:t>outcomes would advance the field by allowing better comparison across studies</w:t>
      </w:r>
      <w:r w:rsidR="00434FBF">
        <w:rPr>
          <w:rFonts w:ascii="Palatino Linotype" w:hAnsi="Palatino Linotype"/>
          <w:lang w:val="en-US"/>
        </w:rPr>
        <w:t xml:space="preserve">, </w:t>
      </w:r>
      <w:r w:rsidR="00434FBF" w:rsidRPr="00D67822">
        <w:rPr>
          <w:rFonts w:ascii="Palatino Linotype" w:hAnsi="Palatino Linotype"/>
          <w:lang w:val="en-US"/>
        </w:rPr>
        <w:t>including performing individual patient-data meta-analyses,</w:t>
      </w:r>
      <w:r w:rsidR="00A35DB8" w:rsidRPr="00D67822">
        <w:rPr>
          <w:rFonts w:ascii="Palatino Linotype" w:hAnsi="Palatino Linotype"/>
          <w:lang w:val="en-US"/>
        </w:rPr>
        <w:t xml:space="preserve"> </w:t>
      </w:r>
      <w:r w:rsidR="00DE7FB6" w:rsidRPr="00D67822">
        <w:rPr>
          <w:rFonts w:ascii="Palatino Linotype" w:hAnsi="Palatino Linotype"/>
          <w:lang w:val="en-US"/>
        </w:rPr>
        <w:t>and different pro-myogenic therapies.</w:t>
      </w:r>
    </w:p>
    <w:bookmarkEnd w:id="2"/>
    <w:p w14:paraId="4A14DE95" w14:textId="07A56DC1" w:rsidR="00863CA6" w:rsidRDefault="00863CA6" w:rsidP="00863CA6">
      <w:pPr>
        <w:rPr>
          <w:rFonts w:ascii="Palatino Linotype" w:hAnsi="Palatino Linotype"/>
          <w:b/>
          <w:bCs/>
          <w:smallCaps/>
          <w:sz w:val="24"/>
          <w:szCs w:val="24"/>
          <w:u w:val="single"/>
          <w:lang w:val="en-GB"/>
        </w:rPr>
      </w:pPr>
      <w:r>
        <w:rPr>
          <w:rFonts w:ascii="Palatino Linotype" w:hAnsi="Palatino Linotype"/>
          <w:b/>
          <w:bCs/>
          <w:smallCaps/>
          <w:sz w:val="24"/>
          <w:szCs w:val="24"/>
          <w:u w:val="single"/>
          <w:lang w:val="en-GB"/>
        </w:rPr>
        <w:t>Keywords</w:t>
      </w:r>
    </w:p>
    <w:p w14:paraId="7E2C4F8C" w14:textId="1A3542BA" w:rsidR="00863CA6" w:rsidRDefault="00D741A9" w:rsidP="00863CA6">
      <w:pPr>
        <w:rPr>
          <w:rFonts w:ascii="Palatino Linotype" w:hAnsi="Palatino Linotype"/>
          <w:lang w:val="en-US"/>
        </w:rPr>
      </w:pPr>
      <w:r w:rsidRPr="00D741A9">
        <w:rPr>
          <w:rFonts w:ascii="Palatino Linotype" w:hAnsi="Palatino Linotype"/>
          <w:lang w:val="en-US"/>
        </w:rPr>
        <w:t>Clinical trial, sarcopenia, guidelines, recommendations</w:t>
      </w:r>
      <w:r w:rsidR="008D19B4">
        <w:rPr>
          <w:rFonts w:ascii="Palatino Linotype" w:hAnsi="Palatino Linotype"/>
          <w:lang w:val="en-US"/>
        </w:rPr>
        <w:t>, drug registration, treatment</w:t>
      </w:r>
    </w:p>
    <w:p w14:paraId="084D9478" w14:textId="77777777" w:rsidR="008D19B4" w:rsidRPr="00D741A9" w:rsidRDefault="008D19B4" w:rsidP="00863CA6">
      <w:pPr>
        <w:rPr>
          <w:rFonts w:ascii="Palatino Linotype" w:hAnsi="Palatino Linotype"/>
          <w:lang w:val="en-US"/>
        </w:rPr>
      </w:pPr>
    </w:p>
    <w:p w14:paraId="69197974" w14:textId="77777777" w:rsidR="00D741A9" w:rsidRDefault="00D741A9">
      <w:pPr>
        <w:rPr>
          <w:rFonts w:ascii="Palatino Linotype" w:hAnsi="Palatino Linotype"/>
          <w:b/>
          <w:bCs/>
          <w:smallCaps/>
          <w:sz w:val="24"/>
          <w:szCs w:val="24"/>
          <w:u w:val="single"/>
          <w:lang w:val="en-GB"/>
        </w:rPr>
      </w:pPr>
      <w:r>
        <w:rPr>
          <w:rFonts w:ascii="Palatino Linotype" w:hAnsi="Palatino Linotype"/>
          <w:b/>
          <w:bCs/>
          <w:smallCaps/>
          <w:sz w:val="24"/>
          <w:szCs w:val="24"/>
          <w:u w:val="single"/>
          <w:lang w:val="en-GB"/>
        </w:rPr>
        <w:br w:type="page"/>
      </w:r>
    </w:p>
    <w:p w14:paraId="3B505995" w14:textId="475027F3" w:rsidR="00863CA6" w:rsidRPr="00863CA6" w:rsidRDefault="00863CA6" w:rsidP="00863CA6">
      <w:pPr>
        <w:rPr>
          <w:rFonts w:ascii="Palatino Linotype" w:hAnsi="Palatino Linotype"/>
          <w:b/>
          <w:bCs/>
          <w:smallCaps/>
          <w:sz w:val="24"/>
          <w:szCs w:val="24"/>
          <w:u w:val="single"/>
          <w:lang w:val="en-GB"/>
        </w:rPr>
      </w:pPr>
      <w:r w:rsidRPr="00863CA6">
        <w:rPr>
          <w:rFonts w:ascii="Palatino Linotype" w:hAnsi="Palatino Linotype"/>
          <w:b/>
          <w:bCs/>
          <w:smallCaps/>
          <w:sz w:val="24"/>
          <w:szCs w:val="24"/>
          <w:u w:val="single"/>
          <w:lang w:val="en-GB"/>
        </w:rPr>
        <w:lastRenderedPageBreak/>
        <w:t>Introduction</w:t>
      </w:r>
    </w:p>
    <w:p w14:paraId="148983F2" w14:textId="1C6928BC" w:rsidR="00863CA6" w:rsidRPr="00863CA6" w:rsidRDefault="009660B5" w:rsidP="00863CA6">
      <w:pPr>
        <w:jc w:val="both"/>
        <w:rPr>
          <w:rFonts w:ascii="Palatino Linotype" w:hAnsi="Palatino Linotype"/>
          <w:lang w:val="en-US"/>
        </w:rPr>
      </w:pPr>
      <w:r>
        <w:rPr>
          <w:rFonts w:ascii="Palatino Linotype" w:hAnsi="Palatino Linotype"/>
          <w:lang w:val="en-US"/>
        </w:rPr>
        <w:t xml:space="preserve">In 2016, a panel of  experts from different disciplines reviewed and discussed the evidence available at the time and formulated consensus recommendations for the conduct of clinical trials for drugs to prevent or treat sarcopenia, under the auspices of the European Society for Clinical and Economic Aspects of Osteoporosis and Osteoarthritis (ESCEO) </w:t>
      </w:r>
      <w:r>
        <w:rPr>
          <w:rFonts w:ascii="Palatino Linotype" w:hAnsi="Palatino Linotype"/>
          <w:lang w:val="en-US"/>
        </w:rPr>
        <w:fldChar w:fldCharType="begin" w:fldLock="1"/>
      </w:r>
      <w:r w:rsidR="001B65C6">
        <w:rPr>
          <w:rFonts w:ascii="Palatino Linotype" w:hAnsi="Palatino Linotype"/>
          <w:lang w:val="en-US"/>
        </w:rPr>
        <w:instrText>ADDIN CSL_CITATION {"citationItems":[{"id":"ITEM-1","itemData":{"DOI":"10.1007/s40520-015-0517-y","ISSN":"1720-8319","PMID":"26717937","abstract":"PURPOSE: Sarcopenia is an age-related muscle condition which is frequently a precursor of frailty, mobility disability and premature death. It has a high prevalence in older populations and presents a considerable social and economic burden. Potential treatments are under development but, as yet, no guidelines support regulatory studies for new drugs to manage sarcopenia. The objective of this position paper is therefore to suggest a set of potential endpoints and target population definitions to stimulate debate and progress within the medico-scientific and regulatory communities.\n\nMETHODS: A multidisciplinary expert working group was hosted by the European Society for Clinical and Economic Aspects of Osteoporosis and Osteoarthritis, which reviewed and discussed the recent literature from a perspective of clinical experience and guideline development. Relevant parallels were drawn from the development of definition of osteoporosis as a disease and clinical assessment of pharmaceutical treatments for that indication.\n\nRESULTS: A case-finding decision tree is briefly reviewed with a discussion of recent prevalence estimations of different relevant threshold values. The selection criteria for patients in regulatory studies are discussed according to the aims of the investigation (sarcopenia prevention or treatment) and the stage of project development. The possible endpoints of such studies are reviewed and a plea is made for the establishment of a core outcome set to be used in all clinical trials of sarcopenia.\n\nCONCLUSIONS: The current lack of guidelines for the assessment of new therapeutic treatments for sarcopenia could potentially hinder the delivery of effective medicines to patients at risk.","author":[{"dropping-particle":"","family":"Reginster","given":"Jean-Yves","non-dropping-particle":"","parse-names":false,"suffix":""},{"dropping-particle":"","family":"Cooper","given":"Cyrus","non-dropping-particle":"","parse-names":false,"suffix":""},{"dropping-particle":"","family":"Rizzoli","given":"René","non-dropping-particle":"","parse-names":false,"suffix":""},{"dropping-particle":"","family":"Kanis","given":"John A.","non-dropping-particle":"","parse-names":false,"suffix":""},{"dropping-particle":"","family":"Appelboom","given":"Geoff","non-dropping-particle":"","parse-names":false,"suffix":""},{"dropping-particle":"","family":"Bautmans","given":"Ivan","non-dropping-particle":"","parse-names":false,"suffix":""},{"dropping-particle":"","family":"Bischoff-Ferrari","given":"Heike A.","non-dropping-particle":"","parse-names":false,"suffix":""},{"dropping-particle":"","family":"Boers","given":"Maarten","non-dropping-particle":"","parse-names":false,"suffix":""},{"dropping-particle":"","family":"Brandi","given":"Maria Luisa","non-dropping-particle":"","parse-names":false,"suffix":""},{"dropping-particle":"","family":"Bruyè","given":"• Olivier","non-dropping-particle":"","parse-names":false,"suffix":""},{"dropping-particle":"","family":"Cherubini","given":"Antonio","non-dropping-particle":"","parse-names":false,"suffix":""},{"dropping-particle":"","family":"Flamion","given":"Bruno","non-dropping-particle":"","parse-names":false,"suffix":""},{"dropping-particle":"","family":"Roger","given":"•","non-dropping-particle":"","parse-names":false,"suffix":""},{"dropping-particle":"","family":"Fielding","given":"A","non-dropping-particle":"","parse-names":false,"suffix":""},{"dropping-particle":"","family":"Andrea","given":"•","non-dropping-particle":"","parse-names":false,"suffix":""},{"dropping-particle":"","family":"Gasparik","given":"Ildiko","non-dropping-particle":"","parse-names":false,"suffix":""},{"dropping-particle":"","family":"Luc","given":"•","non-dropping-particle":"","parse-names":false,"suffix":""},{"dropping-particle":"","family":"Loon","given":"Van","non-dropping-particle":"","parse-names":false,"suffix":""},{"dropping-particle":"","family":"Mccloskey","given":"• Eugene","non-dropping-particle":"","parse-names":false,"suffix":""},{"dropping-particle":"","family":"Bruce","given":"•","non-dropping-particle":"","parse-names":false,"suffix":""},{"dropping-particle":"","family":"Mitlak","given":"H","non-dropping-particle":"","parse-names":false,"suffix":""},{"dropping-particle":"","family":"Pilotto","given":"Alberto","non-dropping-particle":"","parse-names":false,"suffix":""},{"dropping-particle":"","family":"Reiter-Niesert","given":"Suzanne","non-dropping-particle":"","parse-names":false,"suffix":""},{"dropping-particle":"","family":"Rolland","given":"Yves","non-dropping-particle":"","parse-names":false,"suffix":""},{"dropping-particle":"","family":"Tsouderos","given":"Yannis","non-dropping-particle":"","parse-names":false,"suffix":""},{"dropping-particle":"","family":"Marjolein Visser","given":"•","non-dropping-particle":"","parse-names":false,"suffix":""},{"dropping-particle":"","family":"Alfonso","given":"•","non-dropping-particle":"","parse-names":false,"suffix":""},{"dropping-particle":"","family":"Cruz-Jentoft","given":"J","non-dropping-particle":"","parse-names":false,"suffix":""},{"dropping-particle":"","family":"Bruy?re","given":"Olivier","non-dropping-particle":"","parse-names":false,"suffix":""},{"dropping-particle":"","family":"Cherubini","given":"Antonio","non-dropping-particle":"","parse-names":false,"suffix":""},{"dropping-particle":"","family":"Flamion","given":"Bruno","non-dropping-particle":"","parse-names":false,"suffix":""},{"dropping-particle":"","family":"Fielding","given":"Roger A.","non-dropping-particle":"","parse-names":false,"suffix":""},{"dropping-particle":"","family":"Gasparik","given":"Andrea Ildiko","non-dropping-particle":"","parse-names":false,"suffix":""},{"dropping-particle":"","family":"Loon","given":"Luc","non-dropping-particle":"Van","parse-names":false,"suffix":""},{"dropping-particle":"","family":"McCloskey","given":"Eugene","non-dropping-particle":"","parse-names":false,"suffix":""},{"dropping-particle":"","family":"Mitlak","given":"Bruce H.","non-dropping-particle":"","parse-names":false,"suffix":""},{"dropping-particle":"","family":"Pilotto","given":"Alberto","non-dropping-particle":"","parse-names":false,"suffix":""},{"dropping-particle":"","family":"Reiter-Niesert","given":"Suzanne","non-dropping-particle":"","parse-names":false,"suffix":""},{"dropping-particle":"","family":"Rolland","given":"Yves","non-dropping-particle":"","parse-names":false,"suffix":""},{"dropping-particle":"","family":"Tsouderos","given":"Yannis","non-dropping-particle":"","parse-names":false,"suffix":""},{"dropping-particle":"","family":"Visser","given":"Marjolein","non-dropping-particle":"","parse-names":false,"suffix":""},{"dropping-particle":"","family":"Cruz-Jentoft","given":"Alfonso J.","non-dropping-particle":"","parse-names":false,"suffix":""},{"dropping-particle":"","family":"Bruyère","given":"Olivier","non-dropping-particle":"","parse-names":false,"suffix":""},{"dropping-particle":"","family":"Cherubini","given":"Antonio","non-dropping-particle":"","parse-names":false,"suffix":""},{"dropping-particle":"","family":"Flamion","given":"Bruno","non-dropping-particle":"","parse-names":false,"suffix":""},{"dropping-particle":"","family":"Fielding","given":"Roger A.","non-dropping-particle":"","parse-names":false,"suffix":""},{"dropping-particle":"","family":"Gasparik","given":"Andrea Ildiko","non-dropping-particle":"","parse-names":false,"suffix":""},{"dropping-particle":"","family":"Loon","given":"Luc","non-dropping-particle":"Van","parse-names":false,"suffix":""},{"dropping-particle":"","family":"McCloskey","given":"Eugene","non-dropping-particle":"","parse-names":false,"suffix":""},{"dropping-particle":"","family":"Mitlak","given":"Bruce H.","non-dropping-particle":"","parse-names":false,"suffix":""},{"dropping-particle":"","family":"Pilotto","given":"Alberto","non-dropping-particle":"","parse-names":false,"suffix":""},{"dropping-particle":"","family":"Reiter-Niesert","given":"Suzanne","non-dropping-particle":"","parse-names":false,"suffix":""},{"dropping-particle":"","family":"Rolland","given":"Yves","non-dropping-particle":"","parse-names":false,"suffix":""},{"dropping-particle":"","family":"Tsouderos","given":"Yannis","non-dropping-particle":"","parse-names":false,"suffix":""},{"dropping-particle":"","family":"Visser","given":"Marjolein","non-dropping-particle":"","parse-names":false,"suffix":""},{"dropping-particle":"","family":"Cruz-Jentoft","given":"Alfonso J.","non-dropping-particle":"","parse-names":false,"suffix":""}],"container-title":"Aging clinical and experimental research","id":"ITEM-1","issue":"1","issued":{"date-parts":[["2016","2"]]},"page":"47-58","title":"Recommendations for the conduct of clinical trials for drugs to treat or prevent sarcopenia.","type":"article-journal","volume":"28"},"uris":["http://www.mendeley.com/documents/?uuid=1c5c1d62-61af-44e1-ba8a-7479bc3344f8"]}],"mendeley":{"formattedCitation":"[1]","plainTextFormattedCitation":"[1]","previouslyFormattedCitation":"[1]"},"properties":{"noteIndex":0},"schema":"https://github.com/citation-style-language/schema/raw/master/csl-citation.json"}</w:instrText>
      </w:r>
      <w:r>
        <w:rPr>
          <w:rFonts w:ascii="Palatino Linotype" w:hAnsi="Palatino Linotype"/>
          <w:lang w:val="en-US"/>
        </w:rPr>
        <w:fldChar w:fldCharType="separate"/>
      </w:r>
      <w:r>
        <w:rPr>
          <w:rFonts w:ascii="Palatino Linotype" w:hAnsi="Palatino Linotype"/>
          <w:noProof/>
          <w:lang w:val="en-US"/>
        </w:rPr>
        <w:t>[1]</w:t>
      </w:r>
      <w:r>
        <w:rPr>
          <w:rFonts w:ascii="Palatino Linotype" w:hAnsi="Palatino Linotype"/>
          <w:lang w:val="en-US"/>
        </w:rPr>
        <w:fldChar w:fldCharType="end"/>
      </w:r>
      <w:r>
        <w:rPr>
          <w:rFonts w:ascii="Palatino Linotype" w:hAnsi="Palatino Linotype"/>
          <w:lang w:val="en-US"/>
        </w:rPr>
        <w:t xml:space="preserve">. </w:t>
      </w:r>
      <w:r w:rsidR="00863CA6" w:rsidRPr="00863CA6">
        <w:rPr>
          <w:rFonts w:ascii="Palatino Linotype" w:hAnsi="Palatino Linotype"/>
          <w:lang w:val="en-US"/>
        </w:rPr>
        <w:t xml:space="preserve">In the intervening years, important strides have been made in the field of sarcopenia, notably with regard to diagnostic criteria and its epidemiological characteristics </w:t>
      </w:r>
      <w:r w:rsidR="00863CA6" w:rsidRPr="00863CA6">
        <w:rPr>
          <w:rFonts w:ascii="Palatino Linotype" w:hAnsi="Palatino Linotype"/>
          <w:lang w:val="en-US"/>
        </w:rPr>
        <w:fldChar w:fldCharType="begin" w:fldLock="1"/>
      </w:r>
      <w:r w:rsidR="00361135">
        <w:rPr>
          <w:rFonts w:ascii="Palatino Linotype" w:hAnsi="Palatino Linotype"/>
          <w:lang w:val="en-US"/>
        </w:rPr>
        <w:instrText>ADDIN CSL_CITATION {"citationItems":[{"id":"ITEM-1","itemData":{"DOI":"10.1093/ageing/afy169","ISSN":"0002-0729","PMID":"30312372","abstract":"Background in 2010, the European Working Group on Sarcopenia in Older People (EWGSOP) published a sarcopenia definition that aimed to foster advances in identifying and caring for people with sarcopenia. In early 2018, the Working Group met again (EWGSOP2) to update the original definition in order to reflect scientific and clinical evidence that has built over the last decade. This paper presents our updated findings. Objectives to increase consistency of research design, clinical diagnoses and ultimately, care for people with sarcopenia. Recommendations sarcopenia is a muscle disease (muscle failure) rooted in adverse muscle changes that accrue across a lifetime; sarcopenia is common among adults of older age but can also occur earlier in life. In this updated consensus paper on sarcopenia, EWGSOP2: (1) focuses on low muscle strength as a key characteristic of sarcopenia, uses detection of low muscle quantity and quality to confirm the sarcopenia diagnosis, and identifies poor physical performance as indicative of severe sarcopenia; (2) updates the clinical algorithm that can be used for sarcopenia case-finding, diagnosis and confirmation, and severity determination and (3) provides clear cut-off points for measurements of variables that identify and characterise sarcopenia. Conclusions EWGSOP2's updated recommendations aim to increase awareness of sarcopenia and its risk. With these new recommendations, EWGSOP2 calls for healthcare professionals who treat patients at risk for sarcopenia to take actions that will promote early detection and treatment. We also encourage more research in the field of sarcopenia in order to prevent or delay adverse health outcomes that incur a heavy burden for patients and healthcare systems.","author":[{"dropping-particle":"","family":"Cruz-Jentoft","given":"Alfonso J","non-dropping-particle":"","parse-names":false,"suffix":""},{"dropping-particle":"","family":"Bahat","given":"Gülistan","non-dropping-particle":"","parse-names":false,"suffix":""},{"dropping-particle":"","family":"Bauer","given":"Jürgen","non-dropping-particle":"","parse-names":false,"suffix":""},{"dropping-particle":"","family":"Boirie","given":"Yves","non-dropping-particle":"","parse-names":false,"suffix":""},{"dropping-particle":"","family":"Bruyère","given":"Olivier","non-dropping-particle":"","parse-names":false,"suffix":""},{"dropping-particle":"","family":"Cederholm","given":"Tommy","non-dropping-particle":"","parse-names":false,"suffix":""},{"dropping-particle":"","family":"Cooper","given":"Cyrus","non-dropping-particle":"","parse-names":false,"suffix":""},{"dropping-particle":"","family":"Landi","given":"Francesco","non-dropping-particle":"","parse-names":false,"suffix":""},{"dropping-particle":"","family":"Rolland","given":"Yves","non-dropping-particle":"","parse-names":false,"suffix":""},{"dropping-particle":"","family":"Sayer","given":"Avan Aihie","non-dropping-particle":"","parse-names":false,"suffix":""},{"dropping-particle":"","family":"Schneider","given":"Stéphane M","non-dropping-particle":"","parse-names":false,"suffix":""},{"dropping-particle":"","family":"Sieber","given":"Cornel C","non-dropping-particle":"","parse-names":false,"suffix":""},{"dropping-particle":"","family":"Topinkova","given":"Eva","non-dropping-particle":"","parse-names":false,"suffix":""},{"dropping-particle":"","family":"Vandewoude","given":"Maurits","non-dropping-particle":"","parse-names":false,"suffix":""},{"dropping-particle":"","family":"Visser","given":"Marjolein","non-dropping-particle":"","parse-names":false,"suffix":""},{"dropping-particle":"","family":"Zamboni","given":"Mauro","non-dropping-particle":"","parse-names":false,"suffix":""},{"dropping-particle":"","family":"Bautmans","given":"Ivan","non-dropping-particle":"","parse-names":false,"suffix":""},{"dropping-particle":"","family":"Baeyens","given":"Jean-Pierre","non-dropping-particle":"","parse-names":false,"suffix":""},{"dropping-particle":"","family":"Cesari","given":"Matteo","non-dropping-particle":"","parse-names":false,"suffix":""},{"dropping-particle":"","family":"Cherubini","given":"Antonio","non-dropping-particle":"","parse-names":false,"suffix":""},{"dropping-particle":"","family":"Kanis","given":"John","non-dropping-particle":"","parse-names":false,"suffix":""},{"dropping-particle":"","family":"Maggio","given":"Marcello","non-dropping-particle":"","parse-names":false,"suffix":""},{"dropping-particle":"","family":"Martin","given":"Finbarr","non-dropping-particle":"","parse-names":false,"suffix":""},{"dropping-particle":"","family":"Michel","given":"Jean-Pierre","non-dropping-particle":"","parse-names":false,"suffix":""},{"dropping-particle":"","family":"Pitkala","given":"Kaisu","non-dropping-particle":"","parse-names":false,"suffix":""},{"dropping-particle":"","family":"Reginster","given":"Jean-Yves","non-dropping-particle":"","parse-names":false,"suffix":""},{"dropping-particle":"","family":"Rizzoli","given":"René","non-dropping-particle":"","parse-names":false,"suffix":""},{"dropping-particle":"","family":"Sánchez-Rodríguez","given":"Dolores","non-dropping-particle":"","parse-names":false,"suffix":""},{"dropping-particle":"","family":"Schols","given":"Jos","non-dropping-particle":"","parse-names":false,"suffix":""}],"container-title":"Age and Ageing","id":"ITEM-1","issue":"1","issued":{"date-parts":[["2019","1","1"]]},"page":"16-31","title":"Sarcopenia: revised European consensus on definition and diagnosis","type":"article-journal","volume":"48"},"uris":["http://www.mendeley.com/documents/?uuid=2f264983-39d6-4d93-921e-e3748277aa8f"]}],"mendeley":{"formattedCitation":"[2]","plainTextFormattedCitation":"[2]","previouslyFormattedCitation":"[2]"},"properties":{"noteIndex":0},"schema":"https://github.com/citation-style-language/schema/raw/master/csl-citation.json"}</w:instrText>
      </w:r>
      <w:r w:rsidR="00863CA6" w:rsidRPr="00863CA6">
        <w:rPr>
          <w:rFonts w:ascii="Palatino Linotype" w:hAnsi="Palatino Linotype"/>
          <w:lang w:val="en-US"/>
        </w:rPr>
        <w:fldChar w:fldCharType="separate"/>
      </w:r>
      <w:r w:rsidR="00863CA6" w:rsidRPr="00863CA6">
        <w:rPr>
          <w:rFonts w:ascii="Palatino Linotype" w:hAnsi="Palatino Linotype"/>
          <w:noProof/>
          <w:lang w:val="en-US"/>
        </w:rPr>
        <w:t>[2]</w:t>
      </w:r>
      <w:r w:rsidR="00863CA6" w:rsidRPr="00863CA6">
        <w:rPr>
          <w:rFonts w:ascii="Palatino Linotype" w:hAnsi="Palatino Linotype"/>
          <w:lang w:val="en-US"/>
        </w:rPr>
        <w:fldChar w:fldCharType="end"/>
      </w:r>
      <w:r w:rsidR="00863CA6" w:rsidRPr="00863CA6">
        <w:rPr>
          <w:rFonts w:ascii="Palatino Linotype" w:hAnsi="Palatino Linotype"/>
          <w:lang w:val="en-US"/>
        </w:rPr>
        <w:t>. The range of pharmacological t</w:t>
      </w:r>
      <w:r w:rsidR="00322BC4">
        <w:rPr>
          <w:rFonts w:ascii="Palatino Linotype" w:hAnsi="Palatino Linotype"/>
          <w:lang w:val="en-US"/>
        </w:rPr>
        <w:t>herapies</w:t>
      </w:r>
      <w:r w:rsidR="00863CA6" w:rsidRPr="00863CA6">
        <w:rPr>
          <w:rFonts w:ascii="Palatino Linotype" w:hAnsi="Palatino Linotype"/>
          <w:lang w:val="en-US"/>
        </w:rPr>
        <w:t xml:space="preserve"> under investigation has expanded, although the earlier flurry of </w:t>
      </w:r>
      <w:r w:rsidR="002D6C3E">
        <w:rPr>
          <w:rFonts w:ascii="Palatino Linotype" w:hAnsi="Palatino Linotype"/>
          <w:lang w:val="en-US"/>
        </w:rPr>
        <w:t>pharmacological therapies has subsided</w:t>
      </w:r>
      <w:r w:rsidR="00863CA6" w:rsidRPr="00863CA6">
        <w:rPr>
          <w:rFonts w:ascii="Palatino Linotype" w:hAnsi="Palatino Linotype"/>
          <w:lang w:val="en-US"/>
        </w:rPr>
        <w:t xml:space="preserve">. However, among the </w:t>
      </w:r>
      <w:r w:rsidR="00322BC4">
        <w:rPr>
          <w:rFonts w:ascii="Palatino Linotype" w:hAnsi="Palatino Linotype"/>
          <w:lang w:val="en-US"/>
        </w:rPr>
        <w:t xml:space="preserve">pharmacological </w:t>
      </w:r>
      <w:r w:rsidR="00863CA6" w:rsidRPr="00863CA6">
        <w:rPr>
          <w:rFonts w:ascii="Palatino Linotype" w:hAnsi="Palatino Linotype"/>
          <w:lang w:val="en-US"/>
        </w:rPr>
        <w:t>interventions that have been investigated few have shown positive results</w:t>
      </w:r>
      <w:r w:rsidR="00434FBF">
        <w:rPr>
          <w:rFonts w:ascii="Palatino Linotype" w:hAnsi="Palatino Linotype"/>
          <w:lang w:val="en-US"/>
        </w:rPr>
        <w:fldChar w:fldCharType="begin" w:fldLock="1"/>
      </w:r>
      <w:r w:rsidR="00386A09">
        <w:rPr>
          <w:rFonts w:ascii="Palatino Linotype" w:hAnsi="Palatino Linotype"/>
          <w:lang w:val="en-US"/>
        </w:rPr>
        <w:instrText>ADDIN CSL_CITATION {"citationItems":[{"id":"ITEM-1","itemData":{"DOI":"10.1007/s40266-017-0444-z","ISSN":"11791969","abstract":"Sarcopenia of age is prevalent and costly and proven pharmacological interventions are currently lacking. The pathophysiology of sarcopenia is incompletely understood but appears to involve multiple pathways, including inflammation, hormonal dysregulation, impaired regeneration, mitochondrial dysfunction and denervation. There are several ways in which we might select potential pharmacological interventions for testing in clinical trials. These include a ‘bottom-up’ approach using basic science to elucidate the molecular processes involved and identify potential targets from this knowledge—a strategy that has led to the development of myostatin inhibitors. A ‘top-down’ approach might use observational data to examine the association between physical function and use of certain medications, such as the association between angiotensin-converting enzyme inhibitors with slower decline in physical function. Once a pharmacological intervention has been proposed, efficacy must be demonstrated in this complex multi-morbid population. Both muscle mass and muscle function need to be measured as outcomes, but these outcomes require large sample sizes and sufficient follow-up to detect change. Biomarkers that can predict the response of sarcopenia to intervention after a short time would greatly assist our ability to select candidate interventions in short proof-of-concept trials. Further development of trial methods is required to accelerate progress in this important area of medicine for older people.","author":[{"dropping-particle":"","family":"Kilsby","given":"Amanda J.","non-dropping-particle":"","parse-names":false,"suffix":""},{"dropping-particle":"","family":"Sayer","given":"Avan A.","non-dropping-particle":"","parse-names":false,"suffix":""},{"dropping-particle":"","family":"Witham","given":"Miles D.","non-dropping-particle":"","parse-names":false,"suffix":""}],"container-title":"Drugs and Aging","id":"ITEM-1","issue":"4","issued":{"date-parts":[["2017","4","28"]]},"page":"233-240","title":"Selecting Potential Pharmacological Interventions in Sarcopenia","type":"article-journal","volume":"34"},"uris":["http://www.mendeley.com/documents/?uuid=eea9e303-d168-3d2d-b7f5-5daa6154bfe3"]}],"mendeley":{"formattedCitation":"[3]","plainTextFormattedCitation":"[3]","previouslyFormattedCitation":"[3]"},"properties":{"noteIndex":0},"schema":"https://github.com/citation-style-language/schema/raw/master/csl-citation.json"}</w:instrText>
      </w:r>
      <w:r w:rsidR="00434FBF">
        <w:rPr>
          <w:rFonts w:ascii="Palatino Linotype" w:hAnsi="Palatino Linotype"/>
          <w:lang w:val="en-US"/>
        </w:rPr>
        <w:fldChar w:fldCharType="separate"/>
      </w:r>
      <w:r w:rsidR="00434FBF" w:rsidRPr="00434FBF">
        <w:rPr>
          <w:rFonts w:ascii="Palatino Linotype" w:hAnsi="Palatino Linotype"/>
          <w:noProof/>
          <w:lang w:val="en-US"/>
        </w:rPr>
        <w:t>[3]</w:t>
      </w:r>
      <w:r w:rsidR="00434FBF">
        <w:rPr>
          <w:rFonts w:ascii="Palatino Linotype" w:hAnsi="Palatino Linotype"/>
          <w:lang w:val="en-US"/>
        </w:rPr>
        <w:fldChar w:fldCharType="end"/>
      </w:r>
      <w:r w:rsidR="00863CA6" w:rsidRPr="00863CA6">
        <w:rPr>
          <w:rFonts w:ascii="Palatino Linotype" w:hAnsi="Palatino Linotype"/>
          <w:lang w:val="en-US"/>
        </w:rPr>
        <w:t>, which has led researchers to ask whether we missed a drug because we did</w:t>
      </w:r>
      <w:r w:rsidR="00FB716A">
        <w:rPr>
          <w:rFonts w:ascii="Palatino Linotype" w:hAnsi="Palatino Linotype"/>
          <w:lang w:val="en-US"/>
        </w:rPr>
        <w:t xml:space="preserve"> not </w:t>
      </w:r>
      <w:r w:rsidR="00863CA6" w:rsidRPr="00863CA6">
        <w:rPr>
          <w:rFonts w:ascii="Palatino Linotype" w:hAnsi="Palatino Linotype"/>
          <w:lang w:val="en-US"/>
        </w:rPr>
        <w:t>design the right trial for it</w:t>
      </w:r>
      <w:r>
        <w:rPr>
          <w:rFonts w:ascii="Palatino Linotype" w:hAnsi="Palatino Linotype"/>
          <w:lang w:val="en-US"/>
        </w:rPr>
        <w:t>.</w:t>
      </w:r>
      <w:r w:rsidRPr="00863CA6">
        <w:rPr>
          <w:rFonts w:ascii="Palatino Linotype" w:hAnsi="Palatino Linotype"/>
          <w:lang w:val="en-US"/>
        </w:rPr>
        <w:t xml:space="preserve"> </w:t>
      </w:r>
      <w:r w:rsidR="003D2AA4" w:rsidRPr="003D2AA4">
        <w:rPr>
          <w:rFonts w:ascii="Palatino Linotype" w:hAnsi="Palatino Linotype"/>
          <w:lang w:val="en-US"/>
        </w:rPr>
        <w:t>Both the absence of shared procedures and outcomes between clinical trials,</w:t>
      </w:r>
      <w:r w:rsidR="00434FBF">
        <w:rPr>
          <w:rFonts w:ascii="Palatino Linotype" w:hAnsi="Palatino Linotype"/>
          <w:lang w:val="en-US"/>
        </w:rPr>
        <w:t xml:space="preserve"> differences in sample selection,</w:t>
      </w:r>
      <w:r w:rsidR="003D2AA4" w:rsidRPr="003D2AA4">
        <w:rPr>
          <w:rFonts w:ascii="Palatino Linotype" w:hAnsi="Palatino Linotype"/>
          <w:lang w:val="en-US"/>
        </w:rPr>
        <w:t xml:space="preserve"> as well as the uncertainty about the required duration of follow-up may have impacted results of previous clinical trials in sarcopenia</w:t>
      </w:r>
      <w:r w:rsidR="00863CA6" w:rsidRPr="00863CA6">
        <w:rPr>
          <w:rFonts w:ascii="Palatino Linotype" w:hAnsi="Palatino Linotype"/>
          <w:lang w:val="en-US"/>
        </w:rPr>
        <w:t xml:space="preserve">. Furthermore, the current literature is confusing, with studies using </w:t>
      </w:r>
      <w:r w:rsidR="00AE4FF4">
        <w:rPr>
          <w:rFonts w:ascii="Palatino Linotype" w:hAnsi="Palatino Linotype"/>
          <w:lang w:val="en-US"/>
        </w:rPr>
        <w:t>diverse</w:t>
      </w:r>
      <w:r w:rsidR="00AE4FF4" w:rsidRPr="000D175A">
        <w:rPr>
          <w:rFonts w:ascii="Palatino Linotype" w:hAnsi="Palatino Linotype"/>
          <w:lang w:val="en-US"/>
        </w:rPr>
        <w:t xml:space="preserve"> </w:t>
      </w:r>
      <w:r w:rsidR="000D175A" w:rsidRPr="000D175A">
        <w:rPr>
          <w:rFonts w:ascii="Palatino Linotype" w:hAnsi="Palatino Linotype"/>
          <w:lang w:val="en-US"/>
        </w:rPr>
        <w:t>inclusion/exclusion criteria, treatment durations, concomitant therapies (e</w:t>
      </w:r>
      <w:r w:rsidR="009E5EA4">
        <w:rPr>
          <w:rFonts w:ascii="Palatino Linotype" w:hAnsi="Palatino Linotype"/>
          <w:lang w:val="en-US"/>
        </w:rPr>
        <w:t>.</w:t>
      </w:r>
      <w:r w:rsidR="000D175A" w:rsidRPr="000D175A">
        <w:rPr>
          <w:rFonts w:ascii="Palatino Linotype" w:hAnsi="Palatino Linotype"/>
          <w:lang w:val="en-US"/>
        </w:rPr>
        <w:t>g</w:t>
      </w:r>
      <w:r w:rsidR="009E5EA4">
        <w:rPr>
          <w:rFonts w:ascii="Palatino Linotype" w:hAnsi="Palatino Linotype"/>
          <w:lang w:val="en-US"/>
        </w:rPr>
        <w:t>.</w:t>
      </w:r>
      <w:r w:rsidR="000D175A" w:rsidRPr="000D175A">
        <w:rPr>
          <w:rFonts w:ascii="Palatino Linotype" w:hAnsi="Palatino Linotype"/>
          <w:lang w:val="en-US"/>
        </w:rPr>
        <w:t> : exercise, nutrition interventions), and study outcome measures</w:t>
      </w:r>
      <w:r w:rsidR="00863CA6" w:rsidRPr="00863CA6">
        <w:rPr>
          <w:rFonts w:ascii="Palatino Linotype" w:hAnsi="Palatino Linotype"/>
          <w:lang w:val="en-US"/>
        </w:rPr>
        <w:t>, complicating comparison of results</w:t>
      </w:r>
      <w:r w:rsidR="00434FBF">
        <w:rPr>
          <w:rFonts w:ascii="Palatino Linotype" w:hAnsi="Palatino Linotype"/>
          <w:lang w:val="en-US"/>
        </w:rPr>
        <w:fldChar w:fldCharType="begin" w:fldLock="1"/>
      </w:r>
      <w:r w:rsidR="001B65C6">
        <w:rPr>
          <w:rFonts w:ascii="Palatino Linotype" w:hAnsi="Palatino Linotype"/>
          <w:lang w:val="en-US"/>
        </w:rPr>
        <w:instrText>ADDIN CSL_CITATION {"citationItems":[{"id":"ITEM-1","itemData":{"DOI":"10.1007/s40520-016-0610-x","ISSN":"17208319","PMID":"27481122","abstract":"Background: Sarcopenia research may be hampered by the heterogeneity of populations and outcome measures used in clinical studies. Aim: The aim of this study was to describe the inclusion/exclusion criteria and outcome measures used in ongoing research in sarcopenia. Methods: All active intervention studies registered in the World Health Organization with the keyword sarcopenia were included. Study design, type of intervention, inclusion/exclusion criteria and outcome measures were registered and classified. Results: In April 2014, 151 studies on sarcopenia were registered in the WHO database. One hundred twenty-three were intervention studies. Most trials (94.3 %) were single centre and randomized (93.5 %), 51.2 % were double blind. Nutritional interventions (36.6 %), physical exercise (12.2 %) or both (19.5 %) were the most common interventions tested. Only 54.4 % included subjects of both genders, and 46.3 % had an upper age limit. Definition of the target populations was heterogeneous, with 57.7 % including healthy subjects and none using recent definitions of sarcopenia. Lifestyle and the degree of physical activity of subjects were not described or considered in most cases (79.7 %). Subjects with cardiovascular, neuropsychiatric or metabolic disorders and those with physical disability were usually excluded. Muscle mass and muscle strength were the primary outcome variables in 28.5 and 29.5 % of studies and physical performance in 19.5 %, but only 4.1 % used the three variables used the three of them. An additional 26.8 % used biological outcome variables. Little information and agreement existed in the way muscle and physical performance parameters were measured. Conclusions: We found a large heterogeneity in trial design, definition of populations and outcome measures in present research.","author":[{"dropping-particle":"","family":"Peña Ordóñez","given":"Gloria Gabriela","non-dropping-particle":"","parse-names":false,"suffix":""},{"dropping-particle":"","family":"Bustamante Montes","given":"Lilia Patricia","non-dropping-particle":"","parse-names":false,"suffix":""},{"dropping-particle":"","family":"Ramírez Duran","given":"Ninfa","non-dropping-particle":"","parse-names":false,"suffix":""},{"dropping-particle":"","family":"Sánchez Castellano","given":"Carmen","non-dropping-particle":"","parse-names":false,"suffix":""},{"dropping-particle":"","family":"Cruz-Jentoft","given":"Alfonso J.","non-dropping-particle":"","parse-names":false,"suffix":""}],"container-title":"Aging Clinical and Experimental Research","id":"ITEM-1","issue":"4","issued":{"date-parts":[["2017","8","1"]]},"page":"695-700","title":"Populations and outcome measures used in ongoing research in sarcopenia","type":"article-journal","volume":"29"},"uris":["http://www.mendeley.com/documents/?uuid=3f9cfe16-651c-4cb7-90bb-b4971b1e8f8f"]}],"mendeley":{"formattedCitation":"[4]","plainTextFormattedCitation":"[4]","previouslyFormattedCitation":"[4]"},"properties":{"noteIndex":0},"schema":"https://github.com/citation-style-language/schema/raw/master/csl-citation.json"}</w:instrText>
      </w:r>
      <w:r w:rsidR="00434FBF">
        <w:rPr>
          <w:rFonts w:ascii="Palatino Linotype" w:hAnsi="Palatino Linotype"/>
          <w:lang w:val="en-US"/>
        </w:rPr>
        <w:fldChar w:fldCharType="separate"/>
      </w:r>
      <w:r w:rsidR="00434FBF" w:rsidRPr="00434FBF">
        <w:rPr>
          <w:rFonts w:ascii="Palatino Linotype" w:hAnsi="Palatino Linotype"/>
          <w:noProof/>
          <w:lang w:val="en-US"/>
        </w:rPr>
        <w:t>[4]</w:t>
      </w:r>
      <w:r w:rsidR="00434FBF">
        <w:rPr>
          <w:rFonts w:ascii="Palatino Linotype" w:hAnsi="Palatino Linotype"/>
          <w:lang w:val="en-US"/>
        </w:rPr>
        <w:fldChar w:fldCharType="end"/>
      </w:r>
      <w:r w:rsidR="00863CA6" w:rsidRPr="00863CA6">
        <w:rPr>
          <w:rFonts w:ascii="Palatino Linotype" w:hAnsi="Palatino Linotype"/>
          <w:lang w:val="en-US"/>
        </w:rPr>
        <w:t xml:space="preserve">.  </w:t>
      </w:r>
    </w:p>
    <w:p w14:paraId="7A979415" w14:textId="34AE1D28" w:rsidR="00863CA6" w:rsidRPr="00863CA6" w:rsidRDefault="00863CA6" w:rsidP="00863CA6">
      <w:pPr>
        <w:jc w:val="both"/>
        <w:rPr>
          <w:rFonts w:ascii="Palatino Linotype" w:hAnsi="Palatino Linotype"/>
          <w:lang w:val="en-US"/>
        </w:rPr>
      </w:pPr>
      <w:r w:rsidRPr="00863CA6">
        <w:rPr>
          <w:rFonts w:ascii="Palatino Linotype" w:hAnsi="Palatino Linotype"/>
          <w:lang w:val="en-GB"/>
        </w:rPr>
        <w:t>In the 201</w:t>
      </w:r>
      <w:r w:rsidR="002A7EE5">
        <w:rPr>
          <w:rFonts w:ascii="Palatino Linotype" w:hAnsi="Palatino Linotype"/>
          <w:lang w:val="en-GB"/>
        </w:rPr>
        <w:t>6</w:t>
      </w:r>
      <w:r w:rsidRPr="00863CA6">
        <w:rPr>
          <w:rFonts w:ascii="Palatino Linotype" w:hAnsi="Palatino Linotype"/>
          <w:lang w:val="en-GB"/>
        </w:rPr>
        <w:t xml:space="preserve"> recommendations, the working group members highlighted that a crucial next step in the evolution of sarcopenia research would be to find an agreement on an operational definition for sarcopenia, with accepted thresholds for abnormal muscle mass and muscle function </w:t>
      </w:r>
      <w:r w:rsidRPr="00863CA6">
        <w:rPr>
          <w:rFonts w:ascii="Palatino Linotype" w:hAnsi="Palatino Linotype"/>
          <w:lang w:val="en-GB"/>
        </w:rPr>
        <w:fldChar w:fldCharType="begin" w:fldLock="1"/>
      </w:r>
      <w:r w:rsidR="001B65C6">
        <w:rPr>
          <w:rFonts w:ascii="Palatino Linotype" w:hAnsi="Palatino Linotype"/>
          <w:lang w:val="en-GB"/>
        </w:rPr>
        <w:instrText>ADDIN CSL_CITATION {"citationItems":[{"id":"ITEM-1","itemData":{"DOI":"10.1007/s40520-015-0517-y","ISSN":"1720-8319","PMID":"26717937","abstract":"PURPOSE: Sarcopenia is an age-related muscle condition which is frequently a precursor of frailty, mobility disability and premature death. It has a high prevalence in older populations and presents a considerable social and economic burden. Potential treatments are under development but, as yet, no guidelines support regulatory studies for new drugs to manage sarcopenia. The objective of this position paper is therefore to suggest a set of potential endpoints and target population definitions to stimulate debate and progress within the medico-scientific and regulatory communities.\n\nMETHODS: A multidisciplinary expert working group was hosted by the European Society for Clinical and Economic Aspects of Osteoporosis and Osteoarthritis, which reviewed and discussed the recent literature from a perspective of clinical experience and guideline development. Relevant parallels were drawn from the development of definition of osteoporosis as a disease and clinical assessment of pharmaceutical treatments for that indication.\n\nRESULTS: A case-finding decision tree is briefly reviewed with a discussion of recent prevalence estimations of different relevant threshold values. The selection criteria for patients in regulatory studies are discussed according to the aims of the investigation (sarcopenia prevention or treatment) and the stage of project development. The possible endpoints of such studies are reviewed and a plea is made for the establishment of a core outcome set to be used in all clinical trials of sarcopenia.\n\nCONCLUSIONS: The current lack of guidelines for the assessment of new therapeutic treatments for sarcopenia could potentially hinder the delivery of effective medicines to patients at risk.","author":[{"dropping-particle":"","family":"Reginster","given":"Jean-Yves","non-dropping-particle":"","parse-names":false,"suffix":""},{"dropping-particle":"","family":"Cooper","given":"Cyrus","non-dropping-particle":"","parse-names":false,"suffix":""},{"dropping-particle":"","family":"Rizzoli","given":"René","non-dropping-particle":"","parse-names":false,"suffix":""},{"dropping-particle":"","family":"Kanis","given":"John A.","non-dropping-particle":"","parse-names":false,"suffix":""},{"dropping-particle":"","family":"Appelboom","given":"Geoff","non-dropping-particle":"","parse-names":false,"suffix":""},{"dropping-particle":"","family":"Bautmans","given":"Ivan","non-dropping-particle":"","parse-names":false,"suffix":""},{"dropping-particle":"","family":"Bischoff-Ferrari","given":"Heike A.","non-dropping-particle":"","parse-names":false,"suffix":""},{"dropping-particle":"","family":"Boers","given":"Maarten","non-dropping-particle":"","parse-names":false,"suffix":""},{"dropping-particle":"","family":"Brandi","given":"Maria Luisa","non-dropping-particle":"","parse-names":false,"suffix":""},{"dropping-particle":"","family":"Bruyè","given":"• Olivier","non-dropping-particle":"","parse-names":false,"suffix":""},{"dropping-particle":"","family":"Cherubini","given":"Antonio","non-dropping-particle":"","parse-names":false,"suffix":""},{"dropping-particle":"","family":"Flamion","given":"Bruno","non-dropping-particle":"","parse-names":false,"suffix":""},{"dropping-particle":"","family":"Roger","given":"•","non-dropping-particle":"","parse-names":false,"suffix":""},{"dropping-particle":"","family":"Fielding","given":"A","non-dropping-particle":"","parse-names":false,"suffix":""},{"dropping-particle":"","family":"Andrea","given":"•","non-dropping-particle":"","parse-names":false,"suffix":""},{"dropping-particle":"","family":"Gasparik","given":"Ildiko","non-dropping-particle":"","parse-names":false,"suffix":""},{"dropping-particle":"","family":"Luc","given":"•","non-dropping-particle":"","parse-names":false,"suffix":""},{"dropping-particle":"","family":"Loon","given":"Van","non-dropping-particle":"","parse-names":false,"suffix":""},{"dropping-particle":"","family":"Mccloskey","given":"• Eugene","non-dropping-particle":"","parse-names":false,"suffix":""},{"dropping-particle":"","family":"Bruce","given":"•","non-dropping-particle":"","parse-names":false,"suffix":""},{"dropping-particle":"","family":"Mitlak","given":"H","non-dropping-particle":"","parse-names":false,"suffix":""},{"dropping-particle":"","family":"Pilotto","given":"Alberto","non-dropping-particle":"","parse-names":false,"suffix":""},{"dropping-particle":"","family":"Reiter-Niesert","given":"Suzanne","non-dropping-particle":"","parse-names":false,"suffix":""},{"dropping-particle":"","family":"Rolland","given":"Yves","non-dropping-particle":"","parse-names":false,"suffix":""},{"dropping-particle":"","family":"Tsouderos","given":"Yannis","non-dropping-particle":"","parse-names":false,"suffix":""},{"dropping-particle":"","family":"Marjolein Visser","given":"•","non-dropping-particle":"","parse-names":false,"suffix":""},{"dropping-particle":"","family":"Alfonso","given":"•","non-dropping-particle":"","parse-names":false,"suffix":""},{"dropping-particle":"","family":"Cruz-Jentoft","given":"J","non-dropping-particle":"","parse-names":false,"suffix":""},{"dropping-particle":"","family":"Bruy?re","given":"Olivier","non-dropping-particle":"","parse-names":false,"suffix":""},{"dropping-particle":"","family":"Cherubini","given":"Antonio","non-dropping-particle":"","parse-names":false,"suffix":""},{"dropping-particle":"","family":"Flamion","given":"Bruno","non-dropping-particle":"","parse-names":false,"suffix":""},{"dropping-particle":"","family":"Fielding","given":"Roger A.","non-dropping-particle":"","parse-names":false,"suffix":""},{"dropping-particle":"","family":"Gasparik","given":"Andrea Ildiko","non-dropping-particle":"","parse-names":false,"suffix":""},{"dropping-particle":"","family":"Loon","given":"Luc","non-dropping-particle":"Van","parse-names":false,"suffix":""},{"dropping-particle":"","family":"McCloskey","given":"Eugene","non-dropping-particle":"","parse-names":false,"suffix":""},{"dropping-particle":"","family":"Mitlak","given":"Bruce H.","non-dropping-particle":"","parse-names":false,"suffix":""},{"dropping-particle":"","family":"Pilotto","given":"Alberto","non-dropping-particle":"","parse-names":false,"suffix":""},{"dropping-particle":"","family":"Reiter-Niesert","given":"Suzanne","non-dropping-particle":"","parse-names":false,"suffix":""},{"dropping-particle":"","family":"Rolland","given":"Yves","non-dropping-particle":"","parse-names":false,"suffix":""},{"dropping-particle":"","family":"Tsouderos","given":"Yannis","non-dropping-particle":"","parse-names":false,"suffix":""},{"dropping-particle":"","family":"Visser","given":"Marjolein","non-dropping-particle":"","parse-names":false,"suffix":""},{"dropping-particle":"","family":"Cruz-Jentoft","given":"Alfonso J.","non-dropping-particle":"","parse-names":false,"suffix":""},{"dropping-particle":"","family":"Bruyère","given":"Olivier","non-dropping-particle":"","parse-names":false,"suffix":""},{"dropping-particle":"","family":"Cherubini","given":"Antonio","non-dropping-particle":"","parse-names":false,"suffix":""},{"dropping-particle":"","family":"Flamion","given":"Bruno","non-dropping-particle":"","parse-names":false,"suffix":""},{"dropping-particle":"","family":"Fielding","given":"Roger A.","non-dropping-particle":"","parse-names":false,"suffix":""},{"dropping-particle":"","family":"Gasparik","given":"Andrea Ildiko","non-dropping-particle":"","parse-names":false,"suffix":""},{"dropping-particle":"","family":"Loon","given":"Luc","non-dropping-particle":"Van","parse-names":false,"suffix":""},{"dropping-particle":"","family":"McCloskey","given":"Eugene","non-dropping-particle":"","parse-names":false,"suffix":""},{"dropping-particle":"","family":"Mitlak","given":"Bruce H.","non-dropping-particle":"","parse-names":false,"suffix":""},{"dropping-particle":"","family":"Pilotto","given":"Alberto","non-dropping-particle":"","parse-names":false,"suffix":""},{"dropping-particle":"","family":"Reiter-Niesert","given":"Suzanne","non-dropping-particle":"","parse-names":false,"suffix":""},{"dropping-particle":"","family":"Rolland","given":"Yves","non-dropping-particle":"","parse-names":false,"suffix":""},{"dropping-particle":"","family":"Tsouderos","given":"Yannis","non-dropping-particle":"","parse-names":false,"suffix":""},{"dropping-particle":"","family":"Visser","given":"Marjolein","non-dropping-particle":"","parse-names":false,"suffix":""},{"dropping-particle":"","family":"Cruz-Jentoft","given":"Alfonso J.","non-dropping-particle":"","parse-names":false,"suffix":""}],"container-title":"Aging clinical and experimental research","id":"ITEM-1","issue":"1","issued":{"date-parts":[["2016","2"]]},"page":"47-58","title":"Recommendations for the conduct of clinical trials for drugs to treat or prevent sarcopenia.","type":"article-journal","volume":"28"},"uris":["http://www.mendeley.com/documents/?uuid=1c5c1d62-61af-44e1-ba8a-7479bc3344f8"]}],"mendeley":{"formattedCitation":"[1]","plainTextFormattedCitation":"[1]","previouslyFormattedCitation":"[1]"},"properties":{"noteIndex":0},"schema":"https://github.com/citation-style-language/schema/raw/master/csl-citation.json"}</w:instrText>
      </w:r>
      <w:r w:rsidRPr="00863CA6">
        <w:rPr>
          <w:rFonts w:ascii="Palatino Linotype" w:hAnsi="Palatino Linotype"/>
          <w:lang w:val="en-GB"/>
        </w:rPr>
        <w:fldChar w:fldCharType="separate"/>
      </w:r>
      <w:r w:rsidRPr="00863CA6">
        <w:rPr>
          <w:rFonts w:ascii="Palatino Linotype" w:hAnsi="Palatino Linotype"/>
          <w:noProof/>
          <w:lang w:val="en-GB"/>
        </w:rPr>
        <w:t>[1]</w:t>
      </w:r>
      <w:r w:rsidRPr="00863CA6">
        <w:rPr>
          <w:rFonts w:ascii="Palatino Linotype" w:hAnsi="Palatino Linotype"/>
          <w:lang w:val="en-GB"/>
        </w:rPr>
        <w:fldChar w:fldCharType="end"/>
      </w:r>
      <w:r w:rsidRPr="00863CA6">
        <w:rPr>
          <w:rFonts w:ascii="Palatino Linotype" w:hAnsi="Palatino Linotype"/>
          <w:lang w:val="en-GB"/>
        </w:rPr>
        <w:t xml:space="preserve">. In recent years, consensus has </w:t>
      </w:r>
      <w:r w:rsidR="00AE4FF4">
        <w:rPr>
          <w:rFonts w:ascii="Palatino Linotype" w:hAnsi="Palatino Linotype"/>
          <w:lang w:val="en-GB"/>
        </w:rPr>
        <w:t>consolidated upon</w:t>
      </w:r>
      <w:r w:rsidRPr="00863CA6">
        <w:rPr>
          <w:rFonts w:ascii="Palatino Linotype" w:hAnsi="Palatino Linotype"/>
          <w:lang w:val="en-GB"/>
        </w:rPr>
        <w:t xml:space="preserve"> three consensus definitions, one European</w:t>
      </w:r>
      <w:r w:rsidR="00FF6C80">
        <w:rPr>
          <w:rFonts w:ascii="Palatino Linotype" w:hAnsi="Palatino Linotype"/>
          <w:lang w:val="en-GB"/>
        </w:rPr>
        <w:t xml:space="preserve"> (</w:t>
      </w:r>
      <w:r w:rsidR="00A35DB8">
        <w:rPr>
          <w:rFonts w:ascii="Palatino Linotype" w:hAnsi="Palatino Linotype"/>
          <w:lang w:val="en-GB"/>
        </w:rPr>
        <w:t>European Working Group on Sarcopenia in Older People (</w:t>
      </w:r>
      <w:r w:rsidR="00FF6C80">
        <w:rPr>
          <w:rFonts w:ascii="Palatino Linotype" w:hAnsi="Palatino Linotype"/>
          <w:lang w:val="en-GB"/>
        </w:rPr>
        <w:t>EWGSOP</w:t>
      </w:r>
      <w:r w:rsidR="00A35DB8">
        <w:rPr>
          <w:rFonts w:ascii="Palatino Linotype" w:hAnsi="Palatino Linotype"/>
          <w:lang w:val="en-GB"/>
        </w:rPr>
        <w:t>)</w:t>
      </w:r>
      <w:r w:rsidR="00FF6C80">
        <w:rPr>
          <w:rFonts w:ascii="Palatino Linotype" w:hAnsi="Palatino Linotype"/>
          <w:lang w:val="en-GB"/>
        </w:rPr>
        <w:t>)</w:t>
      </w:r>
      <w:r w:rsidRPr="00863CA6">
        <w:rPr>
          <w:rFonts w:ascii="Palatino Linotype" w:hAnsi="Palatino Linotype"/>
          <w:lang w:val="en-GB"/>
        </w:rPr>
        <w:t>, one Asian</w:t>
      </w:r>
      <w:r w:rsidR="00FF6C80">
        <w:rPr>
          <w:rFonts w:ascii="Palatino Linotype" w:hAnsi="Palatino Linotype"/>
          <w:lang w:val="en-GB"/>
        </w:rPr>
        <w:t xml:space="preserve"> (</w:t>
      </w:r>
      <w:r w:rsidR="00A35DB8">
        <w:rPr>
          <w:rFonts w:ascii="Palatino Linotype" w:hAnsi="Palatino Linotype"/>
          <w:lang w:val="en-GB"/>
        </w:rPr>
        <w:t>Asian Working Group on Sarcopenia (</w:t>
      </w:r>
      <w:r w:rsidR="00FF6C80">
        <w:rPr>
          <w:rFonts w:ascii="Palatino Linotype" w:hAnsi="Palatino Linotype"/>
          <w:lang w:val="en-GB"/>
        </w:rPr>
        <w:t>AWGS</w:t>
      </w:r>
      <w:r w:rsidR="00A35DB8">
        <w:rPr>
          <w:rFonts w:ascii="Palatino Linotype" w:hAnsi="Palatino Linotype"/>
          <w:lang w:val="en-GB"/>
        </w:rPr>
        <w:t>)</w:t>
      </w:r>
      <w:r w:rsidR="00FF6C80">
        <w:rPr>
          <w:rFonts w:ascii="Palatino Linotype" w:hAnsi="Palatino Linotype"/>
          <w:lang w:val="en-GB"/>
        </w:rPr>
        <w:t>)</w:t>
      </w:r>
      <w:r w:rsidRPr="00863CA6">
        <w:rPr>
          <w:rFonts w:ascii="Palatino Linotype" w:hAnsi="Palatino Linotype"/>
          <w:lang w:val="en-GB"/>
        </w:rPr>
        <w:t xml:space="preserve"> and one American</w:t>
      </w:r>
      <w:r w:rsidR="00FF6C80">
        <w:rPr>
          <w:rFonts w:ascii="Palatino Linotype" w:hAnsi="Palatino Linotype"/>
          <w:lang w:val="en-GB"/>
        </w:rPr>
        <w:t xml:space="preserve"> (</w:t>
      </w:r>
      <w:r w:rsidR="00A35DB8">
        <w:rPr>
          <w:rFonts w:ascii="Palatino Linotype" w:hAnsi="Palatino Linotype"/>
          <w:lang w:val="en-GB"/>
        </w:rPr>
        <w:t>Sarcopenia Definitions and Outcome Consortium (</w:t>
      </w:r>
      <w:r w:rsidR="00FF6C80">
        <w:rPr>
          <w:rFonts w:ascii="Palatino Linotype" w:hAnsi="Palatino Linotype"/>
          <w:lang w:val="en-GB"/>
        </w:rPr>
        <w:t>SDOC</w:t>
      </w:r>
      <w:r w:rsidR="00A35DB8">
        <w:rPr>
          <w:rFonts w:ascii="Palatino Linotype" w:hAnsi="Palatino Linotype"/>
          <w:lang w:val="en-GB"/>
        </w:rPr>
        <w:t>)</w:t>
      </w:r>
      <w:r w:rsidR="00FF6C80">
        <w:rPr>
          <w:rFonts w:ascii="Palatino Linotype" w:hAnsi="Palatino Linotype"/>
          <w:lang w:val="en-GB"/>
        </w:rPr>
        <w:t>)</w:t>
      </w:r>
      <w:r w:rsidRPr="00863CA6">
        <w:rPr>
          <w:rFonts w:ascii="Palatino Linotype" w:hAnsi="Palatino Linotype"/>
          <w:lang w:val="en-GB"/>
        </w:rPr>
        <w:t xml:space="preserve"> </w:t>
      </w:r>
      <w:r w:rsidRPr="00863CA6">
        <w:rPr>
          <w:rFonts w:ascii="Palatino Linotype" w:hAnsi="Palatino Linotype"/>
          <w:lang w:val="en-GB"/>
        </w:rPr>
        <w:fldChar w:fldCharType="begin" w:fldLock="1"/>
      </w:r>
      <w:r w:rsidR="00333318">
        <w:rPr>
          <w:rFonts w:ascii="Palatino Linotype" w:hAnsi="Palatino Linotype"/>
          <w:lang w:val="en-GB"/>
        </w:rPr>
        <w:instrText>ADDIN CSL_CITATION {"citationItems":[{"id":"ITEM-1","itemData":{"DOI":"10.1016/j.jamda.2019.12.012","ISSN":"15389375","abstract":"Clinical and research interest in sarcopenia has burgeoned internationally, Asia included. The Asian Working Group for Sarcopenia (AWGS) 2014 consensus defined sarcopenia as “age-related loss of muscle mass, plus low muscle strength, and/or low physical performance” and specified cutoffs for each diagnostic component; research in Asia consequently flourished, prompting this update. AWGS 2019 retains the previous definition of sarcopenia but revises the diagnostic algorithm, protocols, and some criteria: low muscle strength is defined as handgrip strength &lt;28 kg for men and &lt;18 kg for women; criteria for low physical performance are 6-m walk &lt;1.0 m/s, Short Physical Performance Battery score ≤9, or 5-time chair stand test ≥12 seconds. AWGS 2019 retains the original cutoffs for height-adjusted muscle mass: dual-energy X-ray absorptiometry, &lt;7.0 kg/m2 in men and &lt;5.4 kg/m2 in women; and bioimpedance, &lt;7.0 kg/m2 in men and &lt;5.7 kg/m2 in women. In addition, the AWGS 2019 update proposes separate algorithms for community vs hospital settings, which both begin by screening either calf circumference (&lt;34 cm in men, &lt;33 cm in women), SARC-F (≥4), or SARC-CalF (≥11), to facilitate earlier identification of people at risk for sarcopenia. Although skeletal muscle strength and mass are both still considered fundamental to a definitive clinical diagnosis, AWGS 2019 also introduces “possible sarcopenia,” defined by either low muscle strength or low physical performance only, specifically for use in primary health care or community-based health promotion, to enable earlier lifestyle interventions. Although defining sarcopenia by body mass index–adjusted muscle mass instead of height-adjusted muscle mass may predict adverse outcomes better, more evidence is needed before changing current recommendations. Lifestyle interventions, especially exercise and nutritional supplementation, prevail as mainstays of treatment. Further research is needed to investigate potential long-term benefits of lifestyle interventions, nutritional supplements, or pharmacotherapy for sarcopenia in Asians.","author":[{"dropping-particle":"","family":"Chen","given":"Liang Kung","non-dropping-particle":"","parse-names":false,"suffix":""},{"dropping-particle":"","family":"Woo","given":"Jean","non-dropping-particle":"","parse-names":false,"suffix":""},{"dropping-particle":"","family":"Assantachai","given":"Prasert","non-dropping-particle":"","parse-names":false,"suffix":""},{"dropping-particle":"","family":"Auyeung","given":"Tung Wai","non-dropping-particle":"","parse-names":false,"suffix":""},{"dropping-particle":"","family":"Chou","given":"Ming Yueh","non-dropping-particle":"","parse-names":false,"suffix":""},{"dropping-particle":"","family":"Iijima","given":"Katsuya","non-dropping-particle":"","parse-names":false,"suffix":""},{"dropping-particle":"","family":"Jang","given":"Hak Chul","non-dropping-particle":"","parse-names":false,"suffix":""},{"dropping-particle":"","family":"Kang","given":"Lin","non-dropping-particle":"","parse-names":false,"suffix":""},{"dropping-particle":"","family":"Kim","given":"Miji","non-dropping-particle":"","parse-names":false,"suffix":""},{"dropping-particle":"","family":"Kim","given":"Sunyoung","non-dropping-particle":"","parse-names":false,"suffix":""},{"dropping-particle":"","family":"Kojima","given":"Taro","non-dropping-particle":"","parse-names":false,"suffix":""},{"dropping-particle":"","family":"Kuzuya","given":"Masafumi","non-dropping-particle":"","parse-names":false,"suffix":""},{"dropping-particle":"","family":"Lee","given":"Jenny S.W.","non-dropping-particle":"","parse-names":false,"suffix":""},{"dropping-particle":"","family":"Lee","given":"Sang Yoon","non-dropping-particle":"","parse-names":false,"suffix":""},{"dropping-particle":"","family":"Lee","given":"Wei Ju","non-dropping-particle":"","parse-names":false,"suffix":""},{"dropping-particle":"","family":"Lee","given":"Yunhwan","non-dropping-particle":"","parse-names":false,"suffix":""},{"dropping-particle":"","family":"Liang","given":"Chih Kuang","non-dropping-particle":"","parse-names":false,"suffix":""},{"dropping-particle":"","family":"Lim","given":"Jae Young","non-dropping-particle":"","parse-names":false,"suffix":""},{"dropping-particle":"","family":"Lim","given":"Wee Shiong","non-dropping-particle":"","parse-names":false,"suffix":""},{"dropping-particle":"","family":"Peng","given":"Li Ning","non-dropping-particle":"","parse-names":false,"suffix":""},{"dropping-particle":"","family":"Sugimoto","given":"Ken","non-dropping-particle":"","parse-names":false,"suffix":""},{"dropping-particle":"","family":"Tanaka","given":"Tomoki","non-dropping-particle":"","parse-names":false,"suffix":""},{"dropping-particle":"","family":"Won","given":"Chang Won","non-dropping-particle":"","parse-names":false,"suffix":""},{"dropping-particle":"","family":"Yamada","given":"Minoru","non-dropping-particle":"","parse-names":false,"suffix":""},{"dropping-particle":"","family":"Zhang","given":"Teimei","non-dropping-particle":"","parse-names":false,"suffix":""},{"dropping-particle":"","family":"Akishita","given":"Masahiro","non-dropping-particle":"","parse-names":false,"suffix":""},{"dropping-particle":"","family":"Arai","given":"Hidenori","non-dropping-particle":"","parse-names":false,"suffix":""}],"container-title":"Journal of the American Medical Directors Association","id":"ITEM-1","issue":"3","issued":{"date-parts":[["2020"]]},"page":"300-307.e2","publisher":"Elsevier Inc.","title":"Asian Working Group for Sarcopenia: 2019 Consensus Update on Sarcopenia Diagnosis and Treatment","type":"article-journal","volume":"21"},"uris":["http://www.mendeley.com/documents/?uuid=cc5e6b1f-4536-46c1-81be-a139604cfe3e"]},{"id":"ITEM-2","itemData":{"DOI":"10.1111/jgs.16372","ISSN":"15325415","abstract":"OBJECTIVES: To develop an evidence-based definition of sarcopenia that can facilitate identification of older adults at risk for clinically relevant outcomes (eg, self-reported mobility limitation, falls, fractures, and mortality), the Sarcopenia Definition and Outcomes Consortium (SDOC) crafted a set of position statements informed by a literature review and SDOC's analyses of eight epidemiologic studies, six randomized clinical trials, four cohort studies of special populations, and two nationally representative population-based studies. METHODS: Thirteen position statements related to the putative components of a sarcopenia definition, informed by the SDOC analyses and literature synthesis, were reviewed by an independent international expert panel (panel) iteratively and voted on by the panel during the Sarcopenia Position Statement Conference. Four position statements related to grip strength, three to lean mass derived from dual-energy x-ray absorptiometry (DXA), and four to gait speed; two were summary statements. RESULTS: The SDOC analyses identified grip strength, either absolute or scaled to measures of body size, as an important discriminator of slowness. Both low grip strength and low usual gait speed independently predicted falls, self-reported mobility limitation, hip fractures, and mortality in community-dwelling older adults. Lean mass measured by DXA was not associated with incident adverse health-related outcomes in community-dwelling older adults with or without adjustment for body size. CONCLUSION: The panel agreed that both weakness defined by low grip strength and slowness defined by low usual gait speed should be included in the definition of sarcopenia. These position statements offer a rational basis for an evidence-based definition of sarcopenia. The analyses that informed these position statements are summarized in this article and discussed in accompanying articles in this issue of the journal.","author":[{"dropping-particle":"","family":"Bhasin","given":"Shalender","non-dropping-particle":"","parse-names":false,"suffix":""},{"dropping-particle":"","family":"Travison","given":"Thomas G.","non-dropping-particle":"","parse-names":false,"suffix":""},{"dropping-particle":"","family":"Manini","given":"Todd M.","non-dropping-particle":"","parse-names":false,"suffix":""},{"dropping-particle":"","family":"Patel","given":"Sheena","non-dropping-particle":"","parse-names":false,"suffix":""},{"dropping-particle":"","family":"Pencina","given":"Karol M.","non-dropping-particle":"","parse-names":false,"suffix":""},{"dropping-particle":"","family":"Fielding","given":"Roger A.","non-dropping-particle":"","parse-names":false,"suffix":""},{"dropping-particle":"","family":"Magaziner","given":"Jay M.","non-dropping-particle":"","parse-names":false,"suffix":""},{"dropping-particle":"","family":"Newman","given":"Anne B.","non-dropping-particle":"","parse-names":false,"suffix":""},{"dropping-particle":"","family":"Kiel","given":"Douglas P.","non-dropping-particle":"","parse-names":false,"suffix":""},{"dropping-particle":"","family":"Cooper","given":"Cyrus","non-dropping-particle":"","parse-names":false,"suffix":""},{"dropping-particle":"","family":"Guralnik","given":"Jack M.","non-dropping-particle":"","parse-names":false,"suffix":""},{"dropping-particle":"","family":"Cauley","given":"Jane A.","non-dropping-particle":"","parse-names":false,"suffix":""},{"dropping-particle":"","family":"Arai","given":"Hidenori","non-dropping-particle":"","parse-names":false,"suffix":""},{"dropping-particle":"","family":"Clark","given":"Brian C.","non-dropping-particle":"","parse-names":false,"suffix":""},{"dropping-particle":"","family":"Landi","given":"Francesco","non-dropping-particle":"","parse-names":false,"suffix":""},{"dropping-particle":"","family":"Schaap","given":"Laura A.","non-dropping-particle":"","parse-names":false,"suffix":""},{"dropping-particle":"","family":"Pereira","given":"Suzette L.","non-dropping-particle":"","parse-names":false,"suffix":""},{"dropping-particle":"","family":"Rooks","given":"Daniel","non-dropping-particle":"","parse-names":false,"suffix":""},{"dropping-particle":"","family":"Woo","given":"Jean","non-dropping-particle":"","parse-names":false,"suffix":""},{"dropping-particle":"","family":"Woodhouse","given":"Linda J.","non-dropping-particle":"","parse-names":false,"suffix":""},{"dropping-particle":"","family":"Binder","given":"Ellen","non-dropping-particle":"","parse-names":false,"suffix":""},{"dropping-particle":"","family":"Brown","given":"Todd","non-dropping-particle":"","parse-names":false,"suffix":""},{"dropping-particle":"","family":"Shardell","given":"Michelle","non-dropping-particle":"","parse-names":false,"suffix":""},{"dropping-particle":"","family":"Xue","given":"Quian Li","non-dropping-particle":"","parse-names":false,"suffix":""},{"dropping-particle":"","family":"D</w:instrText>
      </w:r>
      <w:r w:rsidR="00333318">
        <w:rPr>
          <w:rFonts w:ascii="Times New Roman" w:hAnsi="Times New Roman" w:cs="Times New Roman"/>
          <w:lang w:val="en-GB"/>
        </w:rPr>
        <w:instrText>ʼ</w:instrText>
      </w:r>
      <w:r w:rsidR="00333318">
        <w:rPr>
          <w:rFonts w:ascii="Palatino Linotype" w:hAnsi="Palatino Linotype"/>
          <w:lang w:val="en-GB"/>
        </w:rPr>
        <w:instrText>Agostino","given":"Ralph B.","non-dropping-particle":"","parse-names":false,"suffix":""},{"dropping-particle":"","family":"Orwig","given":"Denise","non-dropping-particle":"","parse-names":false,"suffix":""},{"dropping-particle":"","family":"Gorsicki","given":"Greg","non-dropping-particle":"","parse-names":false,"suffix":""},{"dropping-particle":"","family":"Correa-De-Araujo","given":"Rosaly","non-dropping-particle":"","parse-names":false,"suffix":""},{"dropping-particle":"","family":"Cawthon","given":"Peggy M.","non-dropping-particle":"","parse-names":false,"suffix":""}],"container-title":"Journal of the American Geriatrics Society","id":"ITEM-2","issued":{"date-parts":[["2020","3","9"]]},"publisher":"Blackwell Publishing Inc.","title":"Sarcopenia Definition: The Position Statements of the Sarcopenia Definition and Outcomes Consortium","type":"article-journal"},"uris":["http://www.mendeley.com/documents/?uuid=390a8b8d-f2a0-3c17-b35b-24ec13931657"]},{"id":"ITEM-3","itemData":{"DOI":"10.1093/ageing/afy169","ISSN":"0002-0729","PMID":"30312372","abstract":"Background in 2010, the European Working Group on Sarcopenia in Older People (EWGSOP) published a sarcopenia definition that aimed to foster advances in identifying and caring for people with sarcopenia. In early 2018, the Working Group met again (EWGSOP2) to update the original definition in order to reflect scientific and clinical evidence that has built over the last decade. This paper presents our updated findings. Objectives to increase consistency of research design, clinical diagnoses and ultimately, care for people with sarcopenia. Recommendations sarcopenia is a muscle disease (muscle failure) rooted in adverse muscle changes that accrue across a lifetime; sarcopenia is common among adults of older age but can also occur earlier in life. In this updated consensus paper on sarcopenia, EWGSOP2: (1) focuses on low muscle strength as a key characteristic of sarcopenia, uses detection of low muscle quantity and quality to confirm the sarcopenia diagnosis, and identifies poor physical performance as indicative of severe sarcopenia; (2) updates the clinical algorithm that can be used for sarcopenia case-finding, diagnosis and confirmation, and severity determination and (3) provides clear cut-off points for measurements of variables that identify and characterise sarcopenia. Conclusions EWGSOP2's updated recommendations aim to increase awareness of sarcopenia and its risk. With these new recommendations, EWGSOP2 calls for healthcare professionals who treat patients at risk for sarcopenia to take actions that will promote early detection and treatment. We also encourage more research in the field of sarcopenia in order to prevent or delay adverse health outcomes that incur a heavy burden for patients and healthcare systems.","author":[{"dropping-particle":"","family":"Cruz-Jentoft","given":"Alfonso J","non-dropping-particle":"","parse-names":false,"suffix":""},{"dropping-particle":"","family":"Bahat","given":"Gülistan","non-dropping-particle":"","parse-names":false,"suffix":""},{"dropping-particle":"","family":"Bauer","given":"Jürgen","non-dropping-particle":"","parse-names":false,"suffix":""},{"dropping-particle":"","family":"Boirie","given":"Yves","non-dropping-particle":"","parse-names":false,"suffix":""},{"dropping-particle":"","family":"Bruyère","given":"Olivier","non-dropping-particle":"","parse-names":false,"suffix":""},{"dropping-particle":"","family":"Cederholm","given":"Tommy","non-dropping-particle":"","parse-names":false,"suffix":""},{"dropping-particle":"","family":"Cooper","given":"Cyrus","non-dropping-particle":"","parse-names":false,"suffix":""},{"dropping-particle":"","family":"Landi","given":"Francesco","non-dropping-particle":"","parse-names":false,"suffix":""},{"dropping-particle":"","family":"Rolland","given":"Yves","non-dropping-particle":"","parse-names":false,"suffix":""},{"dropping-particle":"","family":"Sayer","given":"Avan Aihie","non-dropping-particle":"","parse-names":false,"suffix":""},{"dropping-particle":"","family":"Schneider","given":"Stéphane M","non-dropping-particle":"","parse-names":false,"suffix":""},{"dropping-particle":"","family":"Sieber","given":"Cornel C","non-dropping-particle":"","parse-names":false,"suffix":""},{"dropping-particle":"","family":"Topinkova","given":"Eva","non-dropping-particle":"","parse-names":false,"suffix":""},{"dropping-particle":"","family":"Vandewoude","given":"Maurits","non-dropping-particle":"","parse-names":false,"suffix":""},{"dropping-particle":"","family":"Visser","given":"Marjolein","non-dropping-particle":"","parse-names":false,"suffix":""},{"dropping-particle":"","family":"Zamboni","given":"Mauro","non-dropping-particle":"","parse-names":false,"suffix":""},{"dropping-particle":"","family":"Bautmans","given":"Ivan","non-dropping-particle":"","parse-names":false,"suffix":""},{"dropping-particle":"","family":"Baeyens","given":"Jean-Pierre","non-dropping-particle":"","parse-names":false,"suffix":""},{"dropping-particle":"","family":"Cesari","given":"Matteo","non-dropping-particle":"","parse-names":false,"suffix":""},{"dropping-particle":"","family":"Cherubini","given":"Antonio","non-dropping-particle":"","parse-names":false,"suffix":""},{"dropping-particle":"","family":"Kanis","given":"John","non-dropping-particle":"","parse-names":false,"suffix":""},{"dropping-particle":"","family":"Maggio","given":"Marcello","non-dropping-particle":"","parse-names":false,"suffix":""},{"dropping-particle":"","family":"Martin","given":"Finbarr","non-dropping-particle":"","parse-names":false,"suffix":""},{"dropping-particle":"","family":"Michel","given":"Jean-Pierre","non-dropping-particle":"","parse-names":false,"suffix":""},{"dropping-particle":"","family":"Pitkala","given":"Kaisu","non-dropping-particle":"","parse-names":false,"suffix":""},{"dropping-particle":"","family":"Reginster","given":"Jean-Yves","non-dropping-particle":"","parse-names":false,"suffix":""},{"dropping-particle":"","family":"Rizzoli","given":"René","non-dropping-particle":"","parse-names":false,"suffix":""},{"dropping-particle":"","family":"Sánchez-Rodríguez","given":"Dolores","non-dropping-particle":"","parse-names":false,"suffix":""},{"dropping-particle":"","family":"Schols","given":"Jos","non-dropping-particle":"","parse-names":false,"suffix":""}],"container-title":"Age and Ageing","id":"ITEM-3","issue":"1","issued":{"date-parts":[["2019","1","1"]]},"page":"16-31","title":"Sarcopenia: revised European consensus on definition and diagnosis","type":"article-journal","volume":"48"},"uris":["http://www.mendeley.com/documents/?uuid=2f264983-39d6-4d93-921e-e3748277aa8f"]}],"mendeley":{"formattedCitation":"[2, 5, 6]","plainTextFormattedCitation":"[2, 5, 6]","previouslyFormattedCitation":"[2, 5, 6]"},"properties":{"noteIndex":0},"schema":"https://github.com/citation-style-language/schema/raw/master/csl-citation.json"}</w:instrText>
      </w:r>
      <w:r w:rsidRPr="00863CA6">
        <w:rPr>
          <w:rFonts w:ascii="Palatino Linotype" w:hAnsi="Palatino Linotype"/>
          <w:lang w:val="en-GB"/>
        </w:rPr>
        <w:fldChar w:fldCharType="separate"/>
      </w:r>
      <w:r w:rsidR="00434FBF" w:rsidRPr="00434FBF">
        <w:rPr>
          <w:rFonts w:ascii="Palatino Linotype" w:hAnsi="Palatino Linotype"/>
          <w:noProof/>
          <w:lang w:val="en-GB"/>
        </w:rPr>
        <w:t>[2, 5, 6]</w:t>
      </w:r>
      <w:r w:rsidRPr="00863CA6">
        <w:rPr>
          <w:rFonts w:ascii="Palatino Linotype" w:hAnsi="Palatino Linotype"/>
          <w:lang w:val="en-GB"/>
        </w:rPr>
        <w:fldChar w:fldCharType="end"/>
      </w:r>
      <w:r w:rsidRPr="00863CA6">
        <w:rPr>
          <w:rFonts w:ascii="Palatino Linotype" w:hAnsi="Palatino Linotype"/>
          <w:lang w:val="en-GB"/>
        </w:rPr>
        <w:t xml:space="preserve">. </w:t>
      </w:r>
      <w:r w:rsidRPr="00863CA6">
        <w:rPr>
          <w:rFonts w:ascii="Palatino Linotype" w:hAnsi="Palatino Linotype"/>
          <w:lang w:val="en-US"/>
        </w:rPr>
        <w:t xml:space="preserve">The </w:t>
      </w:r>
      <w:r w:rsidR="00A35DB8">
        <w:rPr>
          <w:rFonts w:ascii="Palatino Linotype" w:hAnsi="Palatino Linotype"/>
          <w:lang w:val="en-US"/>
        </w:rPr>
        <w:t>EWGSOP</w:t>
      </w:r>
      <w:r w:rsidRPr="00863CA6">
        <w:rPr>
          <w:rFonts w:ascii="Palatino Linotype" w:hAnsi="Palatino Linotype"/>
          <w:lang w:val="en-US"/>
        </w:rPr>
        <w:t xml:space="preserve"> published its revised consensus statement in </w:t>
      </w:r>
      <w:r w:rsidR="006D50D1" w:rsidRPr="00863CA6">
        <w:rPr>
          <w:rFonts w:ascii="Palatino Linotype" w:hAnsi="Palatino Linotype"/>
          <w:lang w:val="en-US"/>
        </w:rPr>
        <w:t>201</w:t>
      </w:r>
      <w:r w:rsidR="006D50D1">
        <w:rPr>
          <w:rFonts w:ascii="Palatino Linotype" w:hAnsi="Palatino Linotype"/>
          <w:lang w:val="en-US"/>
        </w:rPr>
        <w:t>9</w:t>
      </w:r>
      <w:r w:rsidRPr="00863CA6">
        <w:rPr>
          <w:rFonts w:ascii="Palatino Linotype" w:hAnsi="Palatino Linotype"/>
          <w:lang w:val="en-US"/>
        </w:rPr>
        <w:t xml:space="preserve">, wherein they refined their previous diagnostic criteria and proposed an algorithm for case-finding. This group defined </w:t>
      </w:r>
      <w:r w:rsidR="000A17BD" w:rsidRPr="000A17BD">
        <w:rPr>
          <w:rFonts w:ascii="Palatino Linotype" w:hAnsi="Palatino Linotype"/>
          <w:highlight w:val="yellow"/>
          <w:lang w:val="en-US"/>
        </w:rPr>
        <w:t>age-related sarcopenia,</w:t>
      </w:r>
      <w:r w:rsidRPr="00863CA6">
        <w:rPr>
          <w:rFonts w:ascii="Palatino Linotype" w:hAnsi="Palatino Linotype"/>
          <w:lang w:val="en-US"/>
        </w:rPr>
        <w:t xml:space="preserve"> as </w:t>
      </w:r>
      <w:r w:rsidRPr="00863CA6">
        <w:rPr>
          <w:rFonts w:ascii="Palatino Linotype" w:hAnsi="Palatino Linotype"/>
          <w:i/>
          <w:iCs/>
          <w:lang w:val="en-US"/>
        </w:rPr>
        <w:t xml:space="preserve">“a progressive and </w:t>
      </w:r>
      <w:r w:rsidR="00FB716A" w:rsidRPr="00863CA6">
        <w:rPr>
          <w:rFonts w:ascii="Palatino Linotype" w:hAnsi="Palatino Linotype"/>
          <w:i/>
          <w:iCs/>
          <w:lang w:val="en-US"/>
        </w:rPr>
        <w:t>generalized</w:t>
      </w:r>
      <w:r w:rsidRPr="00863CA6">
        <w:rPr>
          <w:rFonts w:ascii="Palatino Linotype" w:hAnsi="Palatino Linotype"/>
          <w:i/>
          <w:iCs/>
          <w:lang w:val="en-US"/>
        </w:rPr>
        <w:t xml:space="preserve"> skeletal muscle disorder that is associated with increased likelihood of adverse outcomes including falls, fractures, physical disability and mortality”</w:t>
      </w:r>
      <w:r w:rsidRPr="00863CA6">
        <w:rPr>
          <w:rFonts w:ascii="Palatino Linotype" w:hAnsi="Palatino Linotype"/>
          <w:lang w:val="en-US"/>
        </w:rPr>
        <w:t xml:space="preserve"> </w:t>
      </w:r>
      <w:r w:rsidRPr="00863CA6">
        <w:rPr>
          <w:rFonts w:ascii="Palatino Linotype" w:hAnsi="Palatino Linotype"/>
          <w:lang w:val="en-US"/>
        </w:rPr>
        <w:fldChar w:fldCharType="begin" w:fldLock="1"/>
      </w:r>
      <w:r w:rsidR="00361135">
        <w:rPr>
          <w:rFonts w:ascii="Palatino Linotype" w:hAnsi="Palatino Linotype"/>
          <w:lang w:val="en-US"/>
        </w:rPr>
        <w:instrText>ADDIN CSL_CITATION {"citationItems":[{"id":"ITEM-1","itemData":{"DOI":"10.1093/ageing/afy169","ISSN":"0002-0729","PMID":"30312372","abstract":"Background in 2010, the European Working Group on Sarcopenia in Older People (EWGSOP) published a sarcopenia definition that aimed to foster advances in identifying and caring for people with sarcopenia. In early 2018, the Working Group met again (EWGSOP2) to update the original definition in order to reflect scientific and clinical evidence that has built over the last decade. This paper presents our updated findings. Objectives to increase consistency of research design, clinical diagnoses and ultimately, care for people with sarcopenia. Recommendations sarcopenia is a muscle disease (muscle failure) rooted in adverse muscle changes that accrue across a lifetime; sarcopenia is common among adults of older age but can also occur earlier in life. In this updated consensus paper on sarcopenia, EWGSOP2: (1) focuses on low muscle strength as a key characteristic of sarcopenia, uses detection of low muscle quantity and quality to confirm the sarcopenia diagnosis, and identifies poor physical performance as indicative of severe sarcopenia; (2) updates the clinical algorithm that can be used for sarcopenia case-finding, diagnosis and confirmation, and severity determination and (3) provides clear cut-off points for measurements of variables that identify and characterise sarcopenia. Conclusions EWGSOP2's updated recommendations aim to increase awareness of sarcopenia and its risk. With these new recommendations, EWGSOP2 calls for healthcare professionals who treat patients at risk for sarcopenia to take actions that will promote early detection and treatment. We also encourage more research in the field of sarcopenia in order to prevent or delay adverse health outcomes that incur a heavy burden for patients and healthcare systems.","author":[{"dropping-particle":"","family":"Cruz-Jentoft","given":"Alfonso J","non-dropping-particle":"","parse-names":false,"suffix":""},{"dropping-particle":"","family":"Bahat","given":"Gülistan","non-dropping-particle":"","parse-names":false,"suffix":""},{"dropping-particle":"","family":"Bauer","given":"Jürgen","non-dropping-particle":"","parse-names":false,"suffix":""},{"dropping-particle":"","family":"Boirie","given":"Yves","non-dropping-particle":"","parse-names":false,"suffix":""},{"dropping-particle":"","family":"Bruyère","given":"Olivier","non-dropping-particle":"","parse-names":false,"suffix":""},{"dropping-particle":"","family":"Cederholm","given":"Tommy","non-dropping-particle":"","parse-names":false,"suffix":""},{"dropping-particle":"","family":"Cooper","given":"Cyrus","non-dropping-particle":"","parse-names":false,"suffix":""},{"dropping-particle":"","family":"Landi","given":"Francesco","non-dropping-particle":"","parse-names":false,"suffix":""},{"dropping-particle":"","family":"Rolland","given":"Yves","non-dropping-particle":"","parse-names":false,"suffix":""},{"dropping-particle":"","family":"Sayer","given":"Avan Aihie","non-dropping-particle":"","parse-names":false,"suffix":""},{"dropping-particle":"","family":"Schneider","given":"Stéphane M","non-dropping-particle":"","parse-names":false,"suffix":""},{"dropping-particle":"","family":"Sieber","given":"Cornel C","non-dropping-particle":"","parse-names":false,"suffix":""},{"dropping-particle":"","family":"Topinkova","given":"Eva","non-dropping-particle":"","parse-names":false,"suffix":""},{"dropping-particle":"","family":"Vandewoude","given":"Maurits","non-dropping-particle":"","parse-names":false,"suffix":""},{"dropping-particle":"","family":"Visser","given":"Marjolein","non-dropping-particle":"","parse-names":false,"suffix":""},{"dropping-particle":"","family":"Zamboni","given":"Mauro","non-dropping-particle":"","parse-names":false,"suffix":""},{"dropping-particle":"","family":"Bautmans","given":"Ivan","non-dropping-particle":"","parse-names":false,"suffix":""},{"dropping-particle":"","family":"Baeyens","given":"Jean-Pierre","non-dropping-particle":"","parse-names":false,"suffix":""},{"dropping-particle":"","family":"Cesari","given":"Matteo","non-dropping-particle":"","parse-names":false,"suffix":""},{"dropping-particle":"","family":"Cherubini","given":"Antonio","non-dropping-particle":"","parse-names":false,"suffix":""},{"dropping-particle":"","family":"Kanis","given":"John","non-dropping-particle":"","parse-names":false,"suffix":""},{"dropping-particle":"","family":"Maggio","given":"Marcello","non-dropping-particle":"","parse-names":false,"suffix":""},{"dropping-particle":"","family":"Martin","given":"Finbarr","non-dropping-particle":"","parse-names":false,"suffix":""},{"dropping-particle":"","family":"Michel","given":"Jean-Pierre","non-dropping-particle":"","parse-names":false,"suffix":""},{"dropping-particle":"","family":"Pitkala","given":"Kaisu","non-dropping-particle":"","parse-names":false,"suffix":""},{"dropping-particle":"","family":"Reginster","given":"Jean-Yves","non-dropping-particle":"","parse-names":false,"suffix":""},{"dropping-particle":"","family":"Rizzoli","given":"René","non-dropping-particle":"","parse-names":false,"suffix":""},{"dropping-particle":"","family":"Sánchez-Rodríguez","given":"Dolores","non-dropping-particle":"","parse-names":false,"suffix":""},{"dropping-particle":"","family":"Schols","given":"Jos","non-dropping-particle":"","parse-names":false,"suffix":""}],"container-title":"Age and Ageing","id":"ITEM-1","issue":"1","issued":{"date-parts":[["2019","1","1"]]},"page":"16-31","title":"Sarcopenia: revised European consensus on definition and diagnosis","type":"article-journal","volume":"48"},"uris":["http://www.mendeley.com/documents/?uuid=2f264983-39d6-4d93-921e-e3748277aa8f"]}],"mendeley":{"formattedCitation":"[2]","plainTextFormattedCitation":"[2]","previouslyFormattedCitation":"[2]"},"properties":{"noteIndex":0},"schema":"https://github.com/citation-style-language/schema/raw/master/csl-citation.json"}</w:instrText>
      </w:r>
      <w:r w:rsidRPr="00863CA6">
        <w:rPr>
          <w:rFonts w:ascii="Palatino Linotype" w:hAnsi="Palatino Linotype"/>
          <w:lang w:val="en-US"/>
        </w:rPr>
        <w:fldChar w:fldCharType="separate"/>
      </w:r>
      <w:r w:rsidRPr="00863CA6">
        <w:rPr>
          <w:rFonts w:ascii="Palatino Linotype" w:hAnsi="Palatino Linotype"/>
          <w:noProof/>
          <w:lang w:val="en-US"/>
        </w:rPr>
        <w:t>[2]</w:t>
      </w:r>
      <w:r w:rsidRPr="00863CA6">
        <w:rPr>
          <w:rFonts w:ascii="Palatino Linotype" w:hAnsi="Palatino Linotype"/>
          <w:lang w:val="en-US"/>
        </w:rPr>
        <w:fldChar w:fldCharType="end"/>
      </w:r>
      <w:r w:rsidRPr="00863CA6">
        <w:rPr>
          <w:rFonts w:ascii="Palatino Linotype" w:hAnsi="Palatino Linotype"/>
          <w:lang w:val="en-US"/>
        </w:rPr>
        <w:t xml:space="preserve">. </w:t>
      </w:r>
      <w:r w:rsidR="00FF6C80">
        <w:rPr>
          <w:rFonts w:ascii="Palatino Linotype" w:hAnsi="Palatino Linotype"/>
          <w:lang w:val="en-US"/>
        </w:rPr>
        <w:t xml:space="preserve">The diagnosis </w:t>
      </w:r>
      <w:r w:rsidRPr="00863CA6">
        <w:rPr>
          <w:rFonts w:ascii="Palatino Linotype" w:hAnsi="Palatino Linotype"/>
          <w:lang w:val="en-US"/>
        </w:rPr>
        <w:t xml:space="preserve">of sarcopenia in </w:t>
      </w:r>
      <w:r w:rsidR="00FF6C80">
        <w:rPr>
          <w:rFonts w:ascii="Palatino Linotype" w:hAnsi="Palatino Linotype"/>
          <w:lang w:val="en-US"/>
        </w:rPr>
        <w:t>the EWGSOP</w:t>
      </w:r>
      <w:r w:rsidR="00333318">
        <w:rPr>
          <w:rFonts w:ascii="Palatino Linotype" w:hAnsi="Palatino Linotype"/>
          <w:lang w:val="en-US"/>
        </w:rPr>
        <w:t>2</w:t>
      </w:r>
      <w:r w:rsidR="00FF6C80">
        <w:rPr>
          <w:rFonts w:ascii="Palatino Linotype" w:hAnsi="Palatino Linotype"/>
          <w:lang w:val="en-US"/>
        </w:rPr>
        <w:t xml:space="preserve"> and AWGS definitions</w:t>
      </w:r>
      <w:r w:rsidRPr="00863CA6">
        <w:rPr>
          <w:rFonts w:ascii="Palatino Linotype" w:hAnsi="Palatino Linotype"/>
          <w:lang w:val="en-US"/>
        </w:rPr>
        <w:t xml:space="preserve"> established through a combination of low muscle mass and low muscle function (strength and/or physical performance), but cut-off values and proposed tests and instruments differ betw</w:t>
      </w:r>
      <w:r w:rsidR="00FF6C80">
        <w:rPr>
          <w:rFonts w:ascii="Palatino Linotype" w:hAnsi="Palatino Linotype"/>
          <w:lang w:val="en-US"/>
        </w:rPr>
        <w:t>een them</w:t>
      </w:r>
      <w:r w:rsidRPr="00863CA6">
        <w:rPr>
          <w:rFonts w:ascii="Palatino Linotype" w:hAnsi="Palatino Linotype"/>
          <w:lang w:val="en-US"/>
        </w:rPr>
        <w:t xml:space="preserve"> </w:t>
      </w:r>
      <w:r w:rsidRPr="00863CA6">
        <w:rPr>
          <w:rFonts w:ascii="Palatino Linotype" w:hAnsi="Palatino Linotype"/>
          <w:lang w:val="en-US"/>
        </w:rPr>
        <w:fldChar w:fldCharType="begin" w:fldLock="1"/>
      </w:r>
      <w:r w:rsidR="00434FBF">
        <w:rPr>
          <w:rFonts w:ascii="Palatino Linotype" w:hAnsi="Palatino Linotype"/>
          <w:lang w:val="en-US"/>
        </w:rPr>
        <w:instrText>ADDIN CSL_CITATION {"citationItems":[{"id":"ITEM-1","itemData":{"DOI":"10.1093/ageing/afy169","ISSN":"0002-0729","PMID":"30312372","abstract":"Background in 2010, the European Working Group on Sarcopenia in Older People (EWGSOP) published a sarcopenia definition that aimed to foster advances in identifying and caring for people with sarcopenia. In early 2018, the Working Group met again (EWGSOP2) to update the original definition in order to reflect scientific and clinical evidence that has built over the last decade. This paper presents our updated findings. Objectives to increase consistency of research design, clinical diagnoses and ultimately, care for people with sarcopenia. Recommendations sarcopenia is a muscle disease (muscle failure) rooted in adverse muscle changes that accrue across a lifetime; sarcopenia is common among adults of older age but can also occur earlier in life. In this updated consensus paper on sarcopenia, EWGSOP2: (1) focuses on low muscle strength as a key characteristic of sarcopenia, uses detection of low muscle quantity and quality to confirm the sarcopenia diagnosis, and identifies poor physical performance as indicative of severe sarcopenia; (2) updates the clinical algorithm that can be used for sarcopenia case-finding, diagnosis and confirmation, and severity determination and (3) provides clear cut-off points for measurements of variables that identify and characterise sarcopenia. Conclusions EWGSOP2's updated recommendations aim to increase awareness of sarcopenia and its risk. With these new recommendations, EWGSOP2 calls for healthcare professionals who treat patients at risk for sarcopenia to take actions that will promote early detection and treatment. We also encourage more research in the field of sarcopenia in order to prevent or delay adverse health outcomes that incur a heavy burden for patients and healthcare systems.","author":[{"dropping-particle":"","family":"Cruz-Jentoft","given":"Alfonso J","non-dropping-particle":"","parse-names":false,"suffix":""},{"dropping-particle":"","family":"Bahat","given":"Gülistan","non-dropping-particle":"","parse-names":false,"suffix":""},{"dropping-particle":"","family":"Bauer","given":"Jürgen","non-dropping-particle":"","parse-names":false,"suffix":""},{"dropping-particle":"","family":"Boirie","given":"Yves","non-dropping-particle":"","parse-names":false,"suffix":""},{"dropping-particle":"","family":"Bruyère","given":"Olivier","non-dropping-particle":"","parse-names":false,"suffix":""},{"dropping-particle":"","family":"Cederholm","given":"Tommy","non-dropping-particle":"","parse-names":false,"suffix":""},{"dropping-particle":"","family":"Cooper","given":"Cyrus","non-dropping-particle":"","parse-names":false,"suffix":""},{"dropping-particle":"","family":"Landi","given":"Francesco","non-dropping-particle":"","parse-names":false,"suffix":""},{"dropping-particle":"","family":"Rolland","given":"Yves","non-dropping-particle":"","parse-names":false,"suffix":""},{"dropping-particle":"","family":"Sayer","given":"Avan Aihie","non-dropping-particle":"","parse-names":false,"suffix":""},{"dropping-particle":"","family":"Schneider","given":"Stéphane M","non-dropping-particle":"","parse-names":false,"suffix":""},{"dropping-particle":"","family":"Sieber","given":"Cornel C","non-dropping-particle":"","parse-names":false,"suffix":""},{"dropping-particle":"","family":"Topinkova","given":"Eva","non-dropping-particle":"","parse-names":false,"suffix":""},{"dropping-particle":"","family":"Vandewoude","given":"Maurits","non-dropping-particle":"","parse-names":false,"suffix":""},{"dropping-particle":"","family":"Visser","given":"Marjolein","non-dropping-particle":"","parse-names":false,"suffix":""},{"dropping-particle":"","family":"Zamboni","given":"Mauro","non-dropping-particle":"","parse-names":false,"suffix":""},{"dropping-particle":"","family":"Bautmans","given":"Ivan","non-dropping-particle":"","parse-names":false,"suffix":""},{"dropping-particle":"","family":"Baeyens","given":"Jean-Pierre","non-dropping-particle":"","parse-names":false,"suffix":""},{"dropping-particle":"","family":"Cesari","given":"Matteo","non-dropping-particle":"","parse-names":false,"suffix":""},{"dropping-particle":"","family":"Cherubini","given":"Antonio","non-dropping-particle":"","parse-names":false,"suffix":""},{"dropping-particle":"","family":"Kanis","given":"John","non-dropping-particle":"","parse-names":false,"suffix":""},{"dropping-particle":"","family":"Maggio","given":"Marcello","non-dropping-particle":"","parse-names":false,"suffix":""},{"dropping-particle":"","family":"Martin","given":"Finbarr","non-dropping-particle":"","parse-names":false,"suffix":""},{"dropping-particle":"","family":"Michel","given":"Jean-Pierre","non-dropping-particle":"","parse-names":false,"suffix":""},{"dropping-particle":"","family":"Pitkala","given":"Kaisu","non-dropping-particle":"","parse-names":false,"suffix":""},{"dropping-particle":"","family":"Reginster","given":"Jean-Yves","non-dropping-particle":"","parse-names":false,"suffix":""},{"dropping-particle":"","family":"Rizzoli","given":"René","non-dropping-particle":"","parse-names":false,"suffix":""},{"dropping-particle":"","family":"Sánchez-Rodríguez","given":"Dolores","non-dropping-particle":"","parse-names":false,"suffix":""},{"dropping-particle":"","family":"Schols","given":"Jos","non-dropping-particle":"","parse-names":false,"suffix":""}],"container-title":"Age and Ageing","id":"ITEM-1","issue":"1","issued":{"date-parts":[["2019","1","1"]]},"page":"16-31","title":"Sarcopenia: revised European consensus on definition and diagnosis","type":"article-journal","volume":"48"},"uris":["http://www.mendeley.com/documents/?uuid=2f264983-39d6-4d93-921e-e3748277aa8f"]},{"id":"ITEM-2","itemData":{"DOI":"10.1016/j.jamda.2019.12.012","ISSN":"15389375","abstract":"Clinical and research interest in sarcopenia has burgeoned internationally, Asia included. The Asian Working Group for Sarcopenia (AWGS) 2014 consensus defined sarcopenia as “age-related loss of muscle mass, plus low muscle strength, and/or low physical performance” and specified cutoffs for each diagnostic component; research in Asia consequently flourished, prompting this update. AWGS 2019 retains the previous definition of sarcopenia but revises the diagnostic algorithm, protocols, and some criteria: low muscle strength is defined as handgrip strength &lt;28 kg for men and &lt;18 kg for women; criteria for low physical performance are 6-m walk &lt;1.0 m/s, Short Physical Performance Battery score ≤9, or 5-time chair stand test ≥12 seconds. AWGS 2019 retains the original cutoffs for height-adjusted muscle mass: dual-energy X-ray absorptiometry, &lt;7.0 kg/m2 in men and &lt;5.4 kg/m2 in women; and bioimpedance, &lt;7.0 kg/m2 in men and &lt;5.7 kg/m2 in women. In addition, the AWGS 2019 update proposes separate algorithms for community vs hospital settings, which both begin by screening either calf circumference (&lt;34 cm in men, &lt;33 cm in women), SARC-F (≥4), or SARC-CalF (≥11), to facilitate earlier identification of people at risk for sarcopenia. Although skeletal muscle strength and mass are both still considered fundamental to a definitive clinical diagnosis, AWGS 2019 also introduces “possible sarcopenia,” defined by either low muscle strength or low physical performance only, specifically for use in primary health care or community-based health promotion, to enable earlier lifestyle interventions. Although defining sarcopenia by body mass index–adjusted muscle mass instead of height-adjusted muscle mass may predict adverse outcomes better, more evidence is needed before changing current recommendations. Lifestyle interventions, especially exercise and nutritional supplementation, prevail as mainstays of treatment. Further research is needed to investigate potential long-term benefits of lifestyle interventions, nutritional supplements, or pharmacotherapy for sarcopenia in Asians.","author":[{"dropping-particle":"","family":"Chen","given":"Liang Kung","non-dropping-particle":"","parse-names":false,"suffix":""},{"dropping-particle":"","family":"Woo","given":"Jean","non-dropping-particle":"","parse-names":false,"suffix":""},{"dropping-particle":"","family":"Assantachai","given":"Prasert","non-dropping-particle":"","parse-names":false,"suffix":""},{"dropping-particle":"","family":"Auyeung","given":"Tung Wai","non-dropping-particle":"","parse-names":false,"suffix":""},{"dropping-particle":"","family":"Chou","given":"Ming Yueh","non-dropping-particle":"","parse-names":false,"suffix":""},{"dropping-particle":"","family":"Iijima","given":"Katsuya","non-dropping-particle":"","parse-names":false,"suffix":""},{"dropping-particle":"","family":"Jang","given":"Hak Chul","non-dropping-particle":"","parse-names":false,"suffix":""},{"dropping-particle":"","family":"Kang","given":"Lin","non-dropping-particle":"","parse-names":false,"suffix":""},{"dropping-particle":"","family":"Kim","given":"Miji","non-dropping-particle":"","parse-names":false,"suffix":""},{"dropping-particle":"","family":"Kim","given":"Sunyoung","non-dropping-particle":"","parse-names":false,"suffix":""},{"dropping-particle":"","family":"Kojima","given":"Taro","non-dropping-particle":"","parse-names":false,"suffix":""},{"dropping-particle":"","family":"Kuzuya","given":"Masafumi","non-dropping-particle":"","parse-names":false,"suffix":""},{"dropping-particle":"","family":"Lee","given":"Jenny S.W.","non-dropping-particle":"","parse-names":false,"suffix":""},{"dropping-particle":"","family":"Lee","given":"Sang Yoon","non-dropping-particle":"","parse-names":false,"suffix":""},{"dropping-particle":"","family":"Lee","given":"Wei Ju","non-dropping-particle":"","parse-names":false,"suffix":""},{"dropping-particle":"","family":"Lee","given":"Yunhwan","non-dropping-particle":"","parse-names":false,"suffix":""},{"dropping-particle":"","family":"Liang","given":"Chih Kuang","non-dropping-particle":"","parse-names":false,"suffix":""},{"dropping-particle":"","family":"Lim","given":"Jae Young","non-dropping-particle":"","parse-names":false,"suffix":""},{"dropping-particle":"","family":"Lim","given":"Wee Shiong","non-dropping-particle":"","parse-names":false,"suffix":""},{"dropping-particle":"","family":"Peng","given":"Li Ning","non-dropping-particle":"","parse-names":false,"suffix":""},{"dropping-particle":"","family":"Sugimoto","given":"Ken","non-dropping-particle":"","parse-names":false,"suffix":""},{"dropping-particle":"","family":"Tanaka","given":"Tomoki","non-dropping-particle":"","parse-names":false,"suffix":""},{"dropping-particle":"","family":"Won","given":"Chang Won","non-dropping-particle":"","parse-names":false,"suffix":""},{"dropping-particle":"","family":"Yamada","given":"Minoru","non-dropping-particle":"","parse-names":false,"suffix":""},{"dropping-particle":"","family":"Zhang","given":"Teimei","non-dropping-particle":"","parse-names":false,"suffix":""},{"dropping-particle":"","family":"Akishita","given":"Masahiro","non-dropping-particle":"","parse-names":false,"suffix":""},{"dropping-particle":"","family":"Arai","given":"Hidenori","non-dropping-particle":"","parse-names":false,"suffix":""}],"container-title":"Journal of the American Medical Directors Association","id":"ITEM-2","issue":"3","issued":{"date-parts":[["2020"]]},"page":"300-307.e2","publisher":"Elsevier Inc.","title":"Asian Working Group for Sarcopenia: 2019 Consensus Update on Sarcopenia Diagnosis and Treatment","type":"article-journal","volume":"21"},"uris":["http://www.mendeley.com/documents/?uuid=cc5e6b1f-4536-46c1-81be-a139604cfe3e"]}],"mendeley":{"formattedCitation":"[2, 5]","plainTextFormattedCitation":"[2, 5]","previouslyFormattedCitation":"[2, 5]"},"properties":{"noteIndex":0},"schema":"https://github.com/citation-style-language/schema/raw/master/csl-citation.json"}</w:instrText>
      </w:r>
      <w:r w:rsidRPr="00863CA6">
        <w:rPr>
          <w:rFonts w:ascii="Palatino Linotype" w:hAnsi="Palatino Linotype"/>
          <w:lang w:val="en-US"/>
        </w:rPr>
        <w:fldChar w:fldCharType="separate"/>
      </w:r>
      <w:r w:rsidR="00434FBF" w:rsidRPr="00434FBF">
        <w:rPr>
          <w:rFonts w:ascii="Palatino Linotype" w:hAnsi="Palatino Linotype"/>
          <w:noProof/>
          <w:lang w:val="en-US"/>
        </w:rPr>
        <w:t>[2, 5]</w:t>
      </w:r>
      <w:r w:rsidRPr="00863CA6">
        <w:rPr>
          <w:rFonts w:ascii="Palatino Linotype" w:hAnsi="Palatino Linotype"/>
          <w:lang w:val="en-US"/>
        </w:rPr>
        <w:fldChar w:fldCharType="end"/>
      </w:r>
      <w:r w:rsidRPr="00863CA6">
        <w:rPr>
          <w:rFonts w:ascii="Palatino Linotype" w:hAnsi="Palatino Linotype"/>
          <w:lang w:val="en-US"/>
        </w:rPr>
        <w:t>.</w:t>
      </w:r>
      <w:r w:rsidR="00FF6C80">
        <w:rPr>
          <w:rFonts w:ascii="Palatino Linotype" w:hAnsi="Palatino Linotype"/>
          <w:lang w:val="en-US"/>
        </w:rPr>
        <w:t xml:space="preserve"> The recent definition from the SDOC</w:t>
      </w:r>
      <w:r w:rsidR="0088671C">
        <w:rPr>
          <w:rFonts w:ascii="Palatino Linotype" w:hAnsi="Palatino Linotype"/>
          <w:lang w:val="en-US"/>
        </w:rPr>
        <w:t xml:space="preserve"> </w:t>
      </w:r>
      <w:r w:rsidR="0088671C">
        <w:rPr>
          <w:rFonts w:ascii="Palatino Linotype" w:hAnsi="Palatino Linotype"/>
          <w:lang w:val="en-US"/>
        </w:rPr>
        <w:fldChar w:fldCharType="begin" w:fldLock="1"/>
      </w:r>
      <w:r w:rsidR="00333318">
        <w:rPr>
          <w:rFonts w:ascii="Palatino Linotype" w:hAnsi="Palatino Linotype"/>
          <w:lang w:val="en-US"/>
        </w:rPr>
        <w:instrText>ADDIN CSL_CITATION {"citationItems":[{"id":"ITEM-1","itemData":{"DOI":"10.1111/jgs.16372","ISSN":"15325415","abstract":"OBJECTIVES: To develop an evidence-based definition of sarcopenia that can facilitate identification of older adults at risk for clinically relevant outcomes (eg, self-reported mobility limitation, falls, fractures, and mortality), the Sarcopenia Definition and Outcomes Consortium (SDOC) crafted a set of position statements informed by a literature review and SDOC's analyses of eight epidemiologic studies, six randomized clinical trials, four cohort studies of special populations, and two nationally representative population-based studies. METHODS: Thirteen position statements related to the putative components of a sarcopenia definition, informed by the SDOC analyses and literature synthesis, were reviewed by an independent international expert panel (panel) iteratively and voted on by the panel during the Sarcopenia Position Statement Conference. Four position statements related to grip strength, three to lean mass derived from dual-energy x-ray absorptiometry (DXA), and four to gait speed; two were summary statements. RESULTS: The SDOC analyses identified grip strength, either absolute or scaled to measures of body size, as an important discriminator of slowness. Both low grip strength and low usual gait speed independently predicted falls, self-reported mobility limitation, hip fractures, and mortality in community-dwelling older adults. Lean mass measured by DXA was not associated with incident adverse health-related outcomes in community-dwelling older adults with or without adjustment for body size. CONCLUSION: The panel agreed that both weakness defined by low grip strength and slowness defined by low usual gait speed should be included in the definition of sarcopenia. These position statements offer a rational basis for an evidence-based definition of sarcopenia. The analyses that informed these position statements are summarized in this article and discussed in accompanying articles in this issue of the journal.","author":[{"dropping-particle":"","family":"Bhasin","given":"Shalender","non-dropping-particle":"","parse-names":false,"suffix":""},{"dropping-particle":"","family":"Travison","given":"Thomas G.","non-dropping-particle":"","parse-names":false,"suffix":""},{"dropping-particle":"","family":"Manini","given":"Todd M.","non-dropping-particle":"","parse-names":false,"suffix":""},{"dropping-particle":"","family":"Patel","given":"Sheena","non-dropping-particle":"","parse-names":false,"suffix":""},{"dropping-particle":"","family":"Pencina","given":"Karol M.","non-dropping-particle":"","parse-names":false,"suffix":""},{"dropping-particle":"","family":"Fielding","given":"Roger A.","non-dropping-particle":"","parse-names":false,"suffix":""},{"dropping-particle":"","family":"Magaziner","given":"Jay M.","non-dropping-particle":"","parse-names":false,"suffix":""},{"dropping-particle":"","family":"Newman","given":"Anne B.","non-dropping-particle":"","parse-names":false,"suffix":""},{"dropping-particle":"","family":"Kiel","given":"Douglas P.","non-dropping-particle":"","parse-names":false,"suffix":""},{"dropping-particle":"","family":"Cooper","given":"Cyrus","non-dropping-particle":"","parse-names":false,"suffix":""},{"dropping-particle":"","family":"Guralnik","given":"Jack M.","non-dropping-particle":"","parse-names":false,"suffix":""},{"dropping-particle":"","family":"Cauley","given":"Jane A.","non-dropping-particle":"","parse-names":false,"suffix":""},{"dropping-particle":"","family":"Arai","given":"Hidenori","non-dropping-particle":"","parse-names":false,"suffix":""},{"dropping-particle":"","family":"Clark","given":"Brian C.","non-dropping-particle":"","parse-names":false,"suffix":""},{"dropping-particle":"","family":"Landi","given":"Francesco","non-dropping-particle":"","parse-names":false,"suffix":""},{"dropping-particle":"","family":"Schaap","given":"Laura A.","non-dropping-particle":"","parse-names":false,"suffix":""},{"dropping-particle":"","family":"Pereira","given":"Suzette L.","non-dropping-particle":"","parse-names":false,"suffix":""},{"dropping-particle":"","family":"Rooks","given":"Daniel","non-dropping-particle":"","parse-names":false,"suffix":""},{"dropping-particle":"","family":"Woo","given":"Jean","non-dropping-particle":"","parse-names":false,"suffix":""},{"dropping-particle":"","family":"Woodhouse","given":"Linda J.","non-dropping-particle":"","parse-names":false,"suffix":""},{"dropping-particle":"","family":"Binder","given":"Ellen","non-dropping-particle":"","parse-names":false,"suffix":""},{"dropping-particle":"","family":"Brown","given":"Todd","non-dropping-particle":"","parse-names":false,"suffix":""},{"dropping-particle":"","family":"Shardell","given":"Michelle","non-dropping-particle":"","parse-names":false,"suffix":""},{"dropping-particle":"","family":"Xue","given":"Quian Li","non-dropping-particle":"","parse-names":false,"suffix":""},{"dropping-particle":"","family":"D</w:instrText>
      </w:r>
      <w:r w:rsidR="00333318">
        <w:rPr>
          <w:rFonts w:ascii="Times New Roman" w:hAnsi="Times New Roman" w:cs="Times New Roman"/>
          <w:lang w:val="en-US"/>
        </w:rPr>
        <w:instrText>ʼ</w:instrText>
      </w:r>
      <w:r w:rsidR="00333318">
        <w:rPr>
          <w:rFonts w:ascii="Palatino Linotype" w:hAnsi="Palatino Linotype"/>
          <w:lang w:val="en-US"/>
        </w:rPr>
        <w:instrText>Agostino","given":"Ralph B.","non-dropping-particle":"","parse-names":false,"suffix":""},{"dropping-particle":"","family":"Orwig","given":"Denise","non-dropping-particle":"","parse-names":false,"suffix":""},{"dropping-particle":"","family":"Gorsicki","given":"Greg","non-dropping-particle":"","parse-names":false,"suffix":""},{"dropping-particle":"","family":"Correa-De-Araujo","given":"Rosaly","non-dropping-particle":"","parse-names":false,"suffix":""},{"dropping-particle":"","family":"Cawthon","given":"Peggy M.","non-dropping-particle":"","parse-names":false,"suffix":""}],"container-title":"Journal of the American Geriatrics Society","id":"ITEM-1","issued":{"date-parts":[["2020","3","9"]]},"publisher":"Blackwell Publishing Inc.","title":"Sarcopenia Definition: The Position Statements of the Sarcopenia Definition and Outcomes Consortium","type":"article-journal"},"uris":["http://www.mendeley.com/documents/?uuid=390a8b8d-f2a0-3c17-b35b-24ec13931657"]}],"mendeley":{"formattedCitation":"[6]","plainTextFormattedCitation":"[6]","previouslyFormattedCitation":"[6]"},"properties":{"noteIndex":0},"schema":"https://github.com/citation-style-language/schema/raw/master/csl-citation.json"}</w:instrText>
      </w:r>
      <w:r w:rsidR="0088671C">
        <w:rPr>
          <w:rFonts w:ascii="Palatino Linotype" w:hAnsi="Palatino Linotype"/>
          <w:lang w:val="en-US"/>
        </w:rPr>
        <w:fldChar w:fldCharType="separate"/>
      </w:r>
      <w:r w:rsidR="00434FBF" w:rsidRPr="00434FBF">
        <w:rPr>
          <w:rFonts w:ascii="Palatino Linotype" w:hAnsi="Palatino Linotype"/>
          <w:noProof/>
          <w:lang w:val="en-US"/>
        </w:rPr>
        <w:t>[6]</w:t>
      </w:r>
      <w:r w:rsidR="0088671C">
        <w:rPr>
          <w:rFonts w:ascii="Palatino Linotype" w:hAnsi="Palatino Linotype"/>
          <w:lang w:val="en-US"/>
        </w:rPr>
        <w:fldChar w:fldCharType="end"/>
      </w:r>
      <w:r w:rsidR="00FF6C80">
        <w:rPr>
          <w:rFonts w:ascii="Palatino Linotype" w:hAnsi="Palatino Linotype"/>
          <w:lang w:val="en-US"/>
        </w:rPr>
        <w:t xml:space="preserve"> takes a different approach to the diagnosis of sarcopenia. An international expert panel, guided by findings from </w:t>
      </w:r>
      <w:r w:rsidR="002331C5">
        <w:rPr>
          <w:rFonts w:ascii="Palatino Linotype" w:hAnsi="Palatino Linotype"/>
          <w:lang w:val="en-US"/>
        </w:rPr>
        <w:t xml:space="preserve">18 studies and literature reviews, voted on 13 position statements on grip strength, lean mass measured by </w:t>
      </w:r>
      <w:r w:rsidR="00A35DB8">
        <w:rPr>
          <w:rFonts w:ascii="Palatino Linotype" w:hAnsi="Palatino Linotype"/>
          <w:lang w:val="en-US"/>
        </w:rPr>
        <w:t>Dual Energy X-ray absorptiometry (</w:t>
      </w:r>
      <w:r w:rsidR="002331C5">
        <w:rPr>
          <w:rFonts w:ascii="Palatino Linotype" w:hAnsi="Palatino Linotype"/>
          <w:lang w:val="en-US"/>
        </w:rPr>
        <w:t>DXA</w:t>
      </w:r>
      <w:r w:rsidR="00A35DB8">
        <w:rPr>
          <w:rFonts w:ascii="Palatino Linotype" w:hAnsi="Palatino Linotype"/>
          <w:lang w:val="en-US"/>
        </w:rPr>
        <w:t>)</w:t>
      </w:r>
      <w:r w:rsidR="002331C5">
        <w:rPr>
          <w:rFonts w:ascii="Palatino Linotype" w:hAnsi="Palatino Linotype"/>
          <w:lang w:val="en-US"/>
        </w:rPr>
        <w:t xml:space="preserve">, gait speed, and </w:t>
      </w:r>
      <w:r w:rsidR="00333318">
        <w:rPr>
          <w:rFonts w:ascii="Palatino Linotype" w:hAnsi="Palatino Linotype"/>
          <w:lang w:val="en-US"/>
        </w:rPr>
        <w:t xml:space="preserve">two </w:t>
      </w:r>
      <w:r w:rsidR="002331C5">
        <w:rPr>
          <w:rFonts w:ascii="Palatino Linotype" w:hAnsi="Palatino Linotype"/>
          <w:lang w:val="en-US"/>
        </w:rPr>
        <w:t>summary statements. The panel strongly agreed that both low grip strength and lo</w:t>
      </w:r>
      <w:r w:rsidR="00515018">
        <w:rPr>
          <w:rFonts w:ascii="Palatino Linotype" w:hAnsi="Palatino Linotype"/>
          <w:lang w:val="en-US"/>
        </w:rPr>
        <w:t>w</w:t>
      </w:r>
      <w:r w:rsidR="002331C5">
        <w:rPr>
          <w:rFonts w:ascii="Palatino Linotype" w:hAnsi="Palatino Linotype"/>
          <w:lang w:val="en-US"/>
        </w:rPr>
        <w:t xml:space="preserve"> usual gait speed should be included in the definition of sarcopenia, and that these two indicators independently predict adverse outcomes in community-dwelling older people</w:t>
      </w:r>
      <w:r w:rsidR="00322BC4">
        <w:rPr>
          <w:rFonts w:ascii="Palatino Linotype" w:hAnsi="Palatino Linotype"/>
          <w:lang w:val="en-US"/>
        </w:rPr>
        <w:t xml:space="preserve"> </w:t>
      </w:r>
      <w:r w:rsidR="00322BC4">
        <w:rPr>
          <w:rFonts w:ascii="Palatino Linotype" w:hAnsi="Palatino Linotype"/>
          <w:lang w:val="en-US"/>
        </w:rPr>
        <w:fldChar w:fldCharType="begin" w:fldLock="1"/>
      </w:r>
      <w:r w:rsidR="00333318">
        <w:rPr>
          <w:rFonts w:ascii="Palatino Linotype" w:hAnsi="Palatino Linotype"/>
          <w:lang w:val="en-US"/>
        </w:rPr>
        <w:instrText>ADDIN CSL_CITATION {"citationItems":[{"id":"ITEM-1","itemData":{"DOI":"10.1111/jgs.16372","ISSN":"15325415","abstract":"OBJECTIVES: To develop an evidence-based definition of sarcopenia that can facilitate identification of older adults at risk for clinically relevant outcomes (eg, self-reported mobility limitation, falls, fractures, and mortality), the Sarcopenia Definition and Outcomes Consortium (SDOC) crafted a set of position statements informed by a literature review and SDOC's analyses of eight epidemiologic studies, six randomized clinical trials, four cohort studies of special populations, and two nationally representative population-based studies. METHODS: Thirteen position statements related to the putative components of a sarcopenia definition, informed by the SDOC analyses and literature synthesis, were reviewed by an independent international expert panel (panel) iteratively and voted on by the panel during the Sarcopenia Position Statement Conference. Four position statements related to grip strength, three to lean mass derived from dual-energy x-ray absorptiometry (DXA), and four to gait speed; two were summary statements. RESULTS: The SDOC analyses identified grip strength, either absolute or scaled to measures of body size, as an important discriminator of slowness. Both low grip strength and low usual gait speed independently predicted falls, self-reported mobility limitation, hip fractures, and mortality in community-dwelling older adults. Lean mass measured by DXA was not associated with incident adverse health-related outcomes in community-dwelling older adults with or without adjustment for body size. CONCLUSION: The panel agreed that both weakness defined by low grip strength and slowness defined by low usual gait speed should be included in the definition of sarcopenia. These position statements offer a rational basis for an evidence-based definition of sarcopenia. The analyses that informed these position statements are summarized in this article and discussed in accompanying articles in this issue of the journal.","author":[{"dropping-particle":"","family":"Bhasin","given":"Shalender","non-dropping-particle":"","parse-names":false,"suffix":""},{"dropping-particle":"","family":"Travison","given":"Thomas G.","non-dropping-particle":"","parse-names":false,"suffix":""},{"dropping-particle":"","family":"Manini","given":"Todd M.","non-dropping-particle":"","parse-names":false,"suffix":""},{"dropping-particle":"","family":"Patel","given":"Sheena","non-dropping-particle":"","parse-names":false,"suffix":""},{"dropping-particle":"","family":"Pencina","given":"Karol M.","non-dropping-particle":"","parse-names":false,"suffix":""},{"dropping-particle":"","family":"Fielding","given":"Roger A.","non-dropping-particle":"","parse-names":false,"suffix":""},{"dropping-particle":"","family":"Magaziner","given":"Jay M.","non-dropping-particle":"","parse-names":false,"suffix":""},{"dropping-particle":"","family":"Newman","given":"Anne B.","non-dropping-particle":"","parse-names":false,"suffix":""},{"dropping-particle":"","family":"Kiel","given":"Douglas P.","non-dropping-particle":"","parse-names":false,"suffix":""},{"dropping-particle":"","family":"Cooper","given":"Cyrus","non-dropping-particle":"","parse-names":false,"suffix":""},{"dropping-particle":"","family":"Guralnik","given":"Jack M.","non-dropping-particle":"","parse-names":false,"suffix":""},{"dropping-particle":"","family":"Cauley","given":"Jane A.","non-dropping-particle":"","parse-names":false,"suffix":""},{"dropping-particle":"","family":"Arai","given":"Hidenori","non-dropping-particle":"","parse-names":false,"suffix":""},{"dropping-particle":"","family":"Clark","given":"Brian C.","non-dropping-particle":"","parse-names":false,"suffix":""},{"dropping-particle":"","family":"Landi","given":"Francesco","non-dropping-particle":"","parse-names":false,"suffix":""},{"dropping-particle":"","family":"Schaap","given":"Laura A.","non-dropping-particle":"","parse-names":false,"suffix":""},{"dropping-particle":"","family":"Pereira","given":"Suzette L.","non-dropping-particle":"","parse-names":false,"suffix":""},{"dropping-particle":"","family":"Rooks","given":"Daniel","non-dropping-particle":"","parse-names":false,"suffix":""},{"dropping-particle":"","family":"Woo","given":"Jean","non-dropping-particle":"","parse-names":false,"suffix":""},{"dropping-particle":"","family":"Woodhouse","given":"Linda J.","non-dropping-particle":"","parse-names":false,"suffix":""},{"dropping-particle":"","family":"Binder","given":"Ellen","non-dropping-particle":"","parse-names":false,"suffix":""},{"dropping-particle":"","family":"Brown","given":"Todd","non-dropping-particle":"","parse-names":false,"suffix":""},{"dropping-particle":"","family":"Shardell","given":"Michelle","non-dropping-particle":"","parse-names":false,"suffix":""},{"dropping-particle":"","family":"Xue","given":"Quian Li","non-dropping-particle":"","parse-names":false,"suffix":""},{"dropping-particle":"","family":"D</w:instrText>
      </w:r>
      <w:r w:rsidR="00333318">
        <w:rPr>
          <w:rFonts w:ascii="Times New Roman" w:hAnsi="Times New Roman" w:cs="Times New Roman"/>
          <w:lang w:val="en-US"/>
        </w:rPr>
        <w:instrText>ʼ</w:instrText>
      </w:r>
      <w:r w:rsidR="00333318">
        <w:rPr>
          <w:rFonts w:ascii="Palatino Linotype" w:hAnsi="Palatino Linotype"/>
          <w:lang w:val="en-US"/>
        </w:rPr>
        <w:instrText>Agostino","given":"Ralph B.","non-dropping-particle":"","parse-names":false,"suffix":""},{"dropping-particle":"","family":"Orwig","given":"Denise","non-dropping-particle":"","parse-names":false,"suffix":""},{"dropping-particle":"","family":"Gorsicki","given":"Greg","non-dropping-particle":"","parse-names":false,"suffix":""},{"dropping-particle":"","family":"Correa-De-Araujo","given":"Rosaly","non-dropping-particle":"","parse-names":false,"suffix":""},{"dropping-particle":"","family":"Cawthon","given":"Peggy M.","non-dropping-particle":"","parse-names":false,"suffix":""}],"container-title":"Journal of the American Geriatrics Society","id":"ITEM-1","issued":{"date-parts":[["2020","3","9"]]},"publisher":"Blackwell Publishing Inc.","title":"Sarcopenia Definition: The Position Statements of the Sarcopenia Definition and Outcomes Consortium","type":"article-journal"},"uris":["http://www.mendeley.com/documents/?uuid=390a8b8d-f2a0-3c17-b35b-24ec13931657"]}],"mendeley":{"formattedCitation":"[6]","plainTextFormattedCitation":"[6]","previouslyFormattedCitation":"[6]"},"properties":{"noteIndex":0},"schema":"https://github.com/citation-style-language/schema/raw/master/csl-citation.json"}</w:instrText>
      </w:r>
      <w:r w:rsidR="00322BC4">
        <w:rPr>
          <w:rFonts w:ascii="Palatino Linotype" w:hAnsi="Palatino Linotype"/>
          <w:lang w:val="en-US"/>
        </w:rPr>
        <w:fldChar w:fldCharType="separate"/>
      </w:r>
      <w:r w:rsidR="00434FBF" w:rsidRPr="00434FBF">
        <w:rPr>
          <w:rFonts w:ascii="Palatino Linotype" w:hAnsi="Palatino Linotype"/>
          <w:noProof/>
          <w:lang w:val="en-US"/>
        </w:rPr>
        <w:t>[6]</w:t>
      </w:r>
      <w:r w:rsidR="00322BC4">
        <w:rPr>
          <w:rFonts w:ascii="Palatino Linotype" w:hAnsi="Palatino Linotype"/>
          <w:lang w:val="en-US"/>
        </w:rPr>
        <w:fldChar w:fldCharType="end"/>
      </w:r>
      <w:r w:rsidR="002331C5">
        <w:rPr>
          <w:rFonts w:ascii="Palatino Linotype" w:hAnsi="Palatino Linotype"/>
          <w:lang w:val="en-US"/>
        </w:rPr>
        <w:t>.</w:t>
      </w:r>
      <w:r w:rsidRPr="00863CA6">
        <w:rPr>
          <w:rFonts w:ascii="Palatino Linotype" w:hAnsi="Palatino Linotype"/>
          <w:lang w:val="en-US"/>
        </w:rPr>
        <w:t xml:space="preserve">  Although most efforts have been focused on age-related sarcopenia, </w:t>
      </w:r>
      <w:r w:rsidR="000A17BD" w:rsidRPr="000A17BD">
        <w:rPr>
          <w:rFonts w:ascii="Palatino Linotype" w:hAnsi="Palatino Linotype"/>
          <w:highlight w:val="yellow"/>
          <w:lang w:val="en-US"/>
        </w:rPr>
        <w:t>also called primary sarcopenia</w:t>
      </w:r>
      <w:r w:rsidR="000A17BD">
        <w:rPr>
          <w:rFonts w:ascii="Palatino Linotype" w:hAnsi="Palatino Linotype"/>
          <w:lang w:val="en-US"/>
        </w:rPr>
        <w:t xml:space="preserve">, </w:t>
      </w:r>
      <w:r w:rsidRPr="00863CA6">
        <w:rPr>
          <w:rFonts w:ascii="Palatino Linotype" w:hAnsi="Palatino Linotype"/>
          <w:lang w:val="en-US"/>
        </w:rPr>
        <w:t>there is increasing awareness of the different clinical situations in w</w:t>
      </w:r>
      <w:r w:rsidR="00D104B3">
        <w:rPr>
          <w:rFonts w:ascii="Palatino Linotype" w:hAnsi="Palatino Linotype"/>
          <w:lang w:val="en-US"/>
        </w:rPr>
        <w:t>h</w:t>
      </w:r>
      <w:r w:rsidRPr="00863CA6">
        <w:rPr>
          <w:rFonts w:ascii="Palatino Linotype" w:hAnsi="Palatino Linotype"/>
          <w:lang w:val="en-US"/>
        </w:rPr>
        <w:t>i</w:t>
      </w:r>
      <w:r w:rsidR="00D104B3">
        <w:rPr>
          <w:rFonts w:ascii="Palatino Linotype" w:hAnsi="Palatino Linotype"/>
          <w:lang w:val="en-US"/>
        </w:rPr>
        <w:t>c</w:t>
      </w:r>
      <w:r w:rsidRPr="00863CA6">
        <w:rPr>
          <w:rFonts w:ascii="Palatino Linotype" w:hAnsi="Palatino Linotype"/>
          <w:lang w:val="en-US"/>
        </w:rPr>
        <w:t>h sarcopenia can present in an acute</w:t>
      </w:r>
      <w:r w:rsidR="006D50D1">
        <w:rPr>
          <w:rFonts w:ascii="Palatino Linotype" w:hAnsi="Palatino Linotype"/>
          <w:lang w:val="en-US"/>
        </w:rPr>
        <w:t xml:space="preserve"> form</w:t>
      </w:r>
      <w:r w:rsidRPr="00863CA6">
        <w:rPr>
          <w:rFonts w:ascii="Palatino Linotype" w:hAnsi="Palatino Linotype"/>
          <w:lang w:val="en-US"/>
        </w:rPr>
        <w:t xml:space="preserve">, such as bedbound patients in hospital settings. </w:t>
      </w:r>
      <w:r w:rsidR="00D104B3">
        <w:rPr>
          <w:rFonts w:ascii="Palatino Linotype" w:hAnsi="Palatino Linotype"/>
          <w:lang w:val="en-US"/>
        </w:rPr>
        <w:t xml:space="preserve">Secondary sarcopenia occurs when other causal factors (in combination with or besides ageing) are at the source of the observed muscle wasting. Among these factors are comorbidities such as organ failure, </w:t>
      </w:r>
      <w:r w:rsidR="00D104B3">
        <w:rPr>
          <w:rFonts w:ascii="Palatino Linotype" w:hAnsi="Palatino Linotype"/>
          <w:lang w:val="en-US"/>
        </w:rPr>
        <w:lastRenderedPageBreak/>
        <w:t xml:space="preserve">inflammatory diseases, cancer and endocrine diseases; malnutrition, possibly due to gastrointestinal disorders, anorexia or psychosocial disorders; </w:t>
      </w:r>
      <w:r w:rsidR="003C5A15">
        <w:rPr>
          <w:rFonts w:ascii="Palatino Linotype" w:hAnsi="Palatino Linotype"/>
          <w:lang w:val="en-US"/>
        </w:rPr>
        <w:t>and inactivity due to a multitude of reasons</w:t>
      </w:r>
      <w:r w:rsidR="00D104B3">
        <w:rPr>
          <w:rFonts w:ascii="Palatino Linotype" w:hAnsi="Palatino Linotype"/>
          <w:lang w:val="en-US"/>
        </w:rPr>
        <w:t xml:space="preserve"> </w:t>
      </w:r>
      <w:r w:rsidR="00D104B3">
        <w:rPr>
          <w:rFonts w:ascii="Palatino Linotype" w:hAnsi="Palatino Linotype"/>
          <w:lang w:val="en-US"/>
        </w:rPr>
        <w:fldChar w:fldCharType="begin" w:fldLock="1"/>
      </w:r>
      <w:r w:rsidR="00333318">
        <w:rPr>
          <w:rFonts w:ascii="Palatino Linotype" w:hAnsi="Palatino Linotype"/>
          <w:lang w:val="en-US"/>
        </w:rPr>
        <w:instrText>ADDIN CSL_CITATION {"citationItems":[{"id":"ITEM-1","itemData":{"DOI":"10.1016/j.colsurfa.2011.12.014","ISSN":"18734359","abstract":"Abstract Long-haul travel does not constitute an obstacle for tourists to travel and is fast gaining the attention of tourists in new and unique experiences. This study was conducted to identify the long-haul travel motivation by international tourists to Penang. A total of 400 respondents participated in this survey, conducted around the tourist attractions in Penang, using cluster random sampling. However, only 370 questionnaires were only used for this research. Data were analysed using SPSS software 22 version. The findings, ‘knowledge and novelty seeking’ were the main push factors that drove long-haul travel by international tourists to Penang. Meanwhile, the main pull factor that attracts long- haul travel by international tourists to Penang was its ‘culture and history’. Additionally, there were partly direct and significant relationships between socio-demographic, trip characteristics and travel motivation (push factors and pull factors). Overall, this study identified the long-haul travel motivations by international tourists to Penang based on socio-demographic, trip characteristics and travel motivation and has indirectly helped in understanding the long-haul travel market particularly for Penang and Southeast Asia. This research also suggested for an effective marketing and promotion strategy in pro- viding useful information that is the key to attract international tourists to travel long distances. Keywords:","author":[{"dropping-particle":"","family":"Saggini","given":"R","non-dropping-particle":"","parse-names":false,"suffix":""},{"dropping-particle":"","family":"Carmignano","given":"S","non-dropping-particle":"","parse-names":false,"suffix":""},{"dropping-particle":"","family":"Cosenza","given":"L","non-dropping-particle":"","parse-names":false,"suffix":""},{"dropping-particle":"","family":"Palermo","given":"T","non-dropping-particle":"","parse-names":false,"suffix":""},{"dropping-particle":"","family":"Bellomo","given":"R","non-dropping-particle":"","parse-names":false,"suffix":""}],"container-title":"Frailty and Sarcopenia: Onset, development and clinical challenges","editor":[{"dropping-particle":"","family":"Dionyssiotis","given":"Yannis","non-dropping-particle":"","parse-names":false,"suffix":""}],"id":"ITEM-1","issued":{"date-parts":[["2017"]]},"publisher":"InTechOpen","title":"Sarcopenia in Chronic Illness and Rehabilitative Approaches","type":"chapter"},"uris":["http://www.mendeley.com/documents/?uuid=e71748e4-7750-477d-8b20-5883b939984c","http://www.mendeley.com/documents/?uuid=cd7a184a-f4f3-4691-ab37-8aea29deb2ae"]}],"mendeley":{"formattedCitation":"[7]","plainTextFormattedCitation":"[7]","previouslyFormattedCitation":"[7]"},"properties":{"noteIndex":0},"schema":"https://github.com/citation-style-language/schema/raw/master/csl-citation.json"}</w:instrText>
      </w:r>
      <w:r w:rsidR="00D104B3">
        <w:rPr>
          <w:rFonts w:ascii="Palatino Linotype" w:hAnsi="Palatino Linotype"/>
          <w:lang w:val="en-US"/>
        </w:rPr>
        <w:fldChar w:fldCharType="separate"/>
      </w:r>
      <w:r w:rsidR="00434FBF" w:rsidRPr="00434FBF">
        <w:rPr>
          <w:rFonts w:ascii="Palatino Linotype" w:hAnsi="Palatino Linotype"/>
          <w:noProof/>
          <w:lang w:val="en-US"/>
        </w:rPr>
        <w:t>[7]</w:t>
      </w:r>
      <w:r w:rsidR="00D104B3">
        <w:rPr>
          <w:rFonts w:ascii="Palatino Linotype" w:hAnsi="Palatino Linotype"/>
          <w:lang w:val="en-US"/>
        </w:rPr>
        <w:fldChar w:fldCharType="end"/>
      </w:r>
      <w:r w:rsidR="00AD129C">
        <w:rPr>
          <w:rFonts w:ascii="Palatino Linotype" w:hAnsi="Palatino Linotype"/>
          <w:lang w:val="en-US"/>
        </w:rPr>
        <w:t>.</w:t>
      </w:r>
      <w:r w:rsidR="00D104B3">
        <w:rPr>
          <w:rFonts w:ascii="Palatino Linotype" w:hAnsi="Palatino Linotype"/>
          <w:lang w:val="en-US"/>
        </w:rPr>
        <w:t xml:space="preserve">  </w:t>
      </w:r>
    </w:p>
    <w:p w14:paraId="2418DA2C" w14:textId="4859CDE6" w:rsidR="00863CA6" w:rsidRPr="00863CA6" w:rsidRDefault="00863CA6" w:rsidP="00863CA6">
      <w:pPr>
        <w:jc w:val="both"/>
        <w:rPr>
          <w:rFonts w:ascii="Palatino Linotype" w:hAnsi="Palatino Linotype"/>
          <w:lang w:val="en-US"/>
        </w:rPr>
      </w:pPr>
      <w:r w:rsidRPr="00863CA6">
        <w:rPr>
          <w:rFonts w:ascii="Palatino Linotype" w:hAnsi="Palatino Linotype"/>
          <w:lang w:val="en-US"/>
        </w:rPr>
        <w:t xml:space="preserve">Since 2016, age-related sarcopenia has been recognized as a muscle </w:t>
      </w:r>
      <w:r w:rsidR="006D50D1">
        <w:rPr>
          <w:rFonts w:ascii="Palatino Linotype" w:hAnsi="Palatino Linotype"/>
          <w:lang w:val="en-US"/>
        </w:rPr>
        <w:t>disease</w:t>
      </w:r>
      <w:r w:rsidR="006D50D1" w:rsidRPr="00863CA6">
        <w:rPr>
          <w:rFonts w:ascii="Palatino Linotype" w:hAnsi="Palatino Linotype"/>
          <w:lang w:val="en-US"/>
        </w:rPr>
        <w:t xml:space="preserve"> </w:t>
      </w:r>
      <w:r w:rsidRPr="00863CA6">
        <w:rPr>
          <w:rFonts w:ascii="Palatino Linotype" w:hAnsi="Palatino Linotype"/>
          <w:lang w:val="en-US"/>
        </w:rPr>
        <w:t>through an ICD-10-C</w:t>
      </w:r>
      <w:r w:rsidR="005D5DB4">
        <w:rPr>
          <w:rFonts w:ascii="Palatino Linotype" w:hAnsi="Palatino Linotype"/>
          <w:lang w:val="en-US"/>
        </w:rPr>
        <w:t>linical Modification</w:t>
      </w:r>
      <w:r w:rsidRPr="00863CA6">
        <w:rPr>
          <w:rFonts w:ascii="Palatino Linotype" w:hAnsi="Palatino Linotype"/>
          <w:lang w:val="en-US"/>
        </w:rPr>
        <w:t xml:space="preserve"> code (M62.84) </w:t>
      </w:r>
      <w:r w:rsidRPr="00863CA6">
        <w:rPr>
          <w:rFonts w:ascii="Palatino Linotype" w:hAnsi="Palatino Linotype"/>
          <w:lang w:val="en-US"/>
        </w:rPr>
        <w:fldChar w:fldCharType="begin" w:fldLock="1"/>
      </w:r>
      <w:r w:rsidR="00333318">
        <w:rPr>
          <w:rFonts w:ascii="Palatino Linotype" w:hAnsi="Palatino Linotype"/>
          <w:lang w:val="en-US"/>
        </w:rPr>
        <w:instrText>ADDIN CSL_CITATION {"citationItems":[{"id":"ITEM-1","itemData":{"DOI":"10.1002/jcsm.12147","ISSN":"21906009","abstract":"The new ICD-10-CM (M62.84) code for sarcopenia represents a major step forward in recognizing sarcopenia as a disease. This should lead to an increase in availability of diagnostic tools and the enthusiasm for pharmacological companies to develop drugs for sarcopenia.","author":[{"dropping-particle":"","family":"Anker","given":"Stefan D.","non-dropping-particle":"","parse-names":false,"suffix":""},{"dropping-particle":"","family":"Morley","given":"John E.","non-dropping-particle":"","parse-names":false,"suffix":""},{"dropping-particle":"","family":"Haehling","given":"Stephan","non-dropping-particle":"von","parse-names":false,"suffix":""}],"container-title":"Journal of Cachexia, Sarcopenia and Muscle","id":"ITEM-1","issue":"5","issued":{"date-parts":[["2016"]]},"page":"512-514","title":"Welcome to the ICD-10 code for sarcopenia","type":"article-journal","volume":"7"},"uris":["http://www.mendeley.com/documents/?uuid=dd0f74b4-a00a-484e-aebc-1cd138c730b4"]}],"mendeley":{"formattedCitation":"[8]","plainTextFormattedCitation":"[8]","previouslyFormattedCitation":"[8]"},"properties":{"noteIndex":0},"schema":"https://github.com/citation-style-language/schema/raw/master/csl-citation.json"}</w:instrText>
      </w:r>
      <w:r w:rsidRPr="00863CA6">
        <w:rPr>
          <w:rFonts w:ascii="Palatino Linotype" w:hAnsi="Palatino Linotype"/>
          <w:lang w:val="en-US"/>
        </w:rPr>
        <w:fldChar w:fldCharType="separate"/>
      </w:r>
      <w:r w:rsidR="00434FBF" w:rsidRPr="00434FBF">
        <w:rPr>
          <w:rFonts w:ascii="Palatino Linotype" w:hAnsi="Palatino Linotype"/>
          <w:noProof/>
          <w:lang w:val="en-US"/>
        </w:rPr>
        <w:t>[8]</w:t>
      </w:r>
      <w:r w:rsidRPr="00863CA6">
        <w:rPr>
          <w:rFonts w:ascii="Palatino Linotype" w:hAnsi="Palatino Linotype"/>
          <w:lang w:val="en-US"/>
        </w:rPr>
        <w:fldChar w:fldCharType="end"/>
      </w:r>
      <w:r w:rsidRPr="00863CA6">
        <w:rPr>
          <w:rFonts w:ascii="Palatino Linotype" w:hAnsi="Palatino Linotype"/>
          <w:lang w:val="en-US"/>
        </w:rPr>
        <w:t xml:space="preserve">. This code allows for sarcopenia to be recognized as a reportable condition by the US Food and Drug Administration (FDA) and the European Medicines Agency (EMA), and provides an additional argument for increased investment by industry and non-profit </w:t>
      </w:r>
      <w:r w:rsidR="00AE4FF4">
        <w:rPr>
          <w:rFonts w:ascii="Palatino Linotype" w:hAnsi="Palatino Linotype"/>
          <w:lang w:val="en-US"/>
        </w:rPr>
        <w:t>organizations</w:t>
      </w:r>
      <w:r w:rsidR="00AE4FF4" w:rsidRPr="00863CA6">
        <w:rPr>
          <w:rFonts w:ascii="Palatino Linotype" w:hAnsi="Palatino Linotype"/>
          <w:lang w:val="en-US"/>
        </w:rPr>
        <w:t xml:space="preserve"> </w:t>
      </w:r>
      <w:r w:rsidRPr="00863CA6">
        <w:rPr>
          <w:rFonts w:ascii="Palatino Linotype" w:hAnsi="Palatino Linotype"/>
          <w:lang w:val="en-US"/>
        </w:rPr>
        <w:t xml:space="preserve">into </w:t>
      </w:r>
      <w:r w:rsidR="00322BC4">
        <w:rPr>
          <w:rFonts w:ascii="Palatino Linotype" w:hAnsi="Palatino Linotype"/>
          <w:lang w:val="en-US"/>
        </w:rPr>
        <w:t xml:space="preserve">pharmacological </w:t>
      </w:r>
      <w:r w:rsidRPr="00863CA6">
        <w:rPr>
          <w:rFonts w:ascii="Palatino Linotype" w:hAnsi="Palatino Linotype"/>
          <w:lang w:val="en-US"/>
        </w:rPr>
        <w:t xml:space="preserve">interventions designed to improve sarcopenia-related outcomes </w:t>
      </w:r>
      <w:r w:rsidRPr="00863CA6">
        <w:rPr>
          <w:rFonts w:ascii="Palatino Linotype" w:hAnsi="Palatino Linotype"/>
          <w:lang w:val="en-US"/>
        </w:rPr>
        <w:fldChar w:fldCharType="begin" w:fldLock="1"/>
      </w:r>
      <w:r w:rsidR="00333318">
        <w:rPr>
          <w:rFonts w:ascii="Palatino Linotype" w:hAnsi="Palatino Linotype"/>
          <w:lang w:val="en-US"/>
        </w:rPr>
        <w:instrText>ADDIN CSL_CITATION {"citationItems":[{"id":"ITEM-1","itemData":{"DOI":"10.14283/jfa.2017.30","ISSN":"2260-1341","PMID":"29412436","abstract":"Establishment of an ICD-10-CM code for sarcopenia in 2016 was an important step towards reaching international consensus on the need for a nosological framework of age-related skeletal muscle decline. The International Conference on Frailty and Sarcopenia Research Task Force met in April 2017 to discuss the meaning, significance, and barriers to the implementation of the new code as well as strategies to accelerate development of new therapies. Analyses by the Sarcopenia Definitions and Outcomes Consortium are underway to develop quantitative definitions of sarcopenia. A consensus conference is planned to evaluate this analysis. The Task Force also discussed lessons learned from sarcopenia trials that could be applied to future trials, as well as lessons from the osteoporosis field, a clinical condition with many constructs similar to sarcopenia and for which ad hoc treatments have been developed and approved by regulatory agencies.","author":[{"dropping-particle":"","family":"Vellas","given":"B","non-dropping-particle":"","parse-names":false,"suffix":""},{"dropping-particle":"","family":"Fielding","given":"R A","non-dropping-particle":"","parse-names":false,"suffix":""},{"dropping-particle":"","family":"Bens","given":"C","non-dropping-particle":"","parse-names":false,"suffix":""},{"dropping-particle":"","family":"Bernabei","given":"R","non-dropping-particle":"","parse-names":false,"suffix":""},{"dropping-particle":"","family":"Cawthon","given":"P M","non-dropping-particle":"","parse-names":false,"suffix":""},{"dropping-particle":"","family":"Cederholm","given":"T","non-dropping-particle":"","parse-names":false,"suffix":""},{"dropping-particle":"","family":"Cruz-Jentoft","given":"A J","non-dropping-particle":"","parse-names":false,"suffix":""},{"dropping-particle":"","family":"Signore","given":"S","non-dropping-particle":"Del","parse-names":false,"suffix":""},{"dropping-particle":"","family":"Donahue","given":"S","non-dropping-particle":"","parse-names":false,"suffix":""},{"dropping-particle":"","family":"Morley","given":"J","non-dropping-particle":"","parse-names":false,"suffix":""},{"dropping-particle":"","family":"Pahor","given":"M","non-dropping-particle":"","parse-names":false,"suffix":""},{"dropping-particle":"","family":"Reginster","given":"J-Y","non-dropping-particle":"","parse-names":false,"suffix":""},{"dropping-particle":"","family":"Rodriguez Mañas","given":"L","non-dropping-particle":"","parse-names":false,"suffix":""},{"dropping-particle":"","family":"Rolland","given":"Y","non-dropping-particle":"","parse-names":false,"suffix":""},{"dropping-particle":"","family":"Roubenoff","given":"R","non-dropping-particle":"","parse-names":false,"suffix":""},{"dropping-particle":"","family":"Sinclair","given":"A","non-dropping-particle":"","parse-names":false,"suffix":""},{"dropping-particle":"","family":"Cesari","given":"M","non-dropping-particle":"","parse-names":false,"suffix":""}],"container-title":"The Journal of frailty &amp; aging","id":"ITEM-1","issue":"1","issued":{"date-parts":[["2018"]]},"page":"2-9","title":"Implications of ICD-10 for Sarcopenia Clinical Practice and Clinical Trials: Report by the International Conference on Frailty and Sarcopenia Research Task Force.","type":"article-journal","volume":"7"},"uris":["http://www.mendeley.com/documents/?uuid=6b83ff8a-5cd0-4153-8f99-3c8d093f7b57"]}],"mendeley":{"formattedCitation":"[9]","plainTextFormattedCitation":"[9]","previouslyFormattedCitation":"[9]"},"properties":{"noteIndex":0},"schema":"https://github.com/citation-style-language/schema/raw/master/csl-citation.json"}</w:instrText>
      </w:r>
      <w:r w:rsidRPr="00863CA6">
        <w:rPr>
          <w:rFonts w:ascii="Palatino Linotype" w:hAnsi="Palatino Linotype"/>
          <w:lang w:val="en-US"/>
        </w:rPr>
        <w:fldChar w:fldCharType="separate"/>
      </w:r>
      <w:r w:rsidR="00434FBF" w:rsidRPr="00434FBF">
        <w:rPr>
          <w:rFonts w:ascii="Palatino Linotype" w:hAnsi="Palatino Linotype"/>
          <w:noProof/>
          <w:lang w:val="en-US"/>
        </w:rPr>
        <w:t>[9]</w:t>
      </w:r>
      <w:r w:rsidRPr="00863CA6">
        <w:rPr>
          <w:rFonts w:ascii="Palatino Linotype" w:hAnsi="Palatino Linotype"/>
          <w:lang w:val="en-US"/>
        </w:rPr>
        <w:fldChar w:fldCharType="end"/>
      </w:r>
      <w:r w:rsidRPr="00863CA6">
        <w:rPr>
          <w:rFonts w:ascii="Palatino Linotype" w:hAnsi="Palatino Linotype"/>
          <w:lang w:val="en-US"/>
        </w:rPr>
        <w:t xml:space="preserve">. </w:t>
      </w:r>
    </w:p>
    <w:p w14:paraId="68769D3A" w14:textId="3C76B43E" w:rsidR="00863CA6" w:rsidRPr="00863CA6" w:rsidRDefault="00863CA6" w:rsidP="00863CA6">
      <w:pPr>
        <w:jc w:val="both"/>
        <w:rPr>
          <w:rFonts w:ascii="Palatino Linotype" w:hAnsi="Palatino Linotype"/>
          <w:lang w:val="en-US"/>
        </w:rPr>
      </w:pPr>
      <w:r w:rsidRPr="00863CA6">
        <w:rPr>
          <w:rFonts w:ascii="Palatino Linotype" w:hAnsi="Palatino Linotype"/>
          <w:lang w:val="en-US"/>
        </w:rPr>
        <w:t xml:space="preserve">In the past few years, a number of </w:t>
      </w:r>
      <w:r w:rsidR="00322BC4">
        <w:rPr>
          <w:rFonts w:ascii="Palatino Linotype" w:hAnsi="Palatino Linotype"/>
          <w:lang w:val="en-US"/>
        </w:rPr>
        <w:t>pharmacological</w:t>
      </w:r>
      <w:r w:rsidRPr="00863CA6">
        <w:rPr>
          <w:rFonts w:ascii="Palatino Linotype" w:hAnsi="Palatino Linotype"/>
          <w:lang w:val="en-US"/>
        </w:rPr>
        <w:t xml:space="preserve"> interventions have been </w:t>
      </w:r>
      <w:r w:rsidR="00AE4FF4">
        <w:rPr>
          <w:rFonts w:ascii="Palatino Linotype" w:hAnsi="Palatino Linotype"/>
          <w:lang w:val="en-US"/>
        </w:rPr>
        <w:t>studie</w:t>
      </w:r>
      <w:r w:rsidR="00AE4FF4" w:rsidRPr="00863CA6">
        <w:rPr>
          <w:rFonts w:ascii="Palatino Linotype" w:hAnsi="Palatino Linotype"/>
          <w:lang w:val="en-US"/>
        </w:rPr>
        <w:t xml:space="preserve">d </w:t>
      </w:r>
      <w:r w:rsidRPr="00863CA6">
        <w:rPr>
          <w:rFonts w:ascii="Palatino Linotype" w:hAnsi="Palatino Linotype"/>
          <w:lang w:val="en-US"/>
        </w:rPr>
        <w:t xml:space="preserve">in clinical trials to </w:t>
      </w:r>
      <w:r w:rsidR="00AE4FF4">
        <w:rPr>
          <w:rFonts w:ascii="Palatino Linotype" w:hAnsi="Palatino Linotype"/>
          <w:lang w:val="en-US"/>
        </w:rPr>
        <w:t>understand</w:t>
      </w:r>
      <w:r w:rsidR="00AE4FF4" w:rsidRPr="00863CA6">
        <w:rPr>
          <w:rFonts w:ascii="Palatino Linotype" w:hAnsi="Palatino Linotype"/>
          <w:lang w:val="en-US"/>
        </w:rPr>
        <w:t xml:space="preserve"> </w:t>
      </w:r>
      <w:r w:rsidRPr="00863CA6">
        <w:rPr>
          <w:rFonts w:ascii="Palatino Linotype" w:hAnsi="Palatino Linotype"/>
          <w:lang w:val="en-US"/>
        </w:rPr>
        <w:t xml:space="preserve">whether they might prove to be effective in reducing or reversing the loss of muscle mass, muscle strength and physical function that characterizes sarcopenia </w:t>
      </w:r>
      <w:r w:rsidRPr="00863CA6">
        <w:rPr>
          <w:rFonts w:ascii="Palatino Linotype" w:hAnsi="Palatino Linotype"/>
          <w:lang w:val="en-US"/>
        </w:rPr>
        <w:fldChar w:fldCharType="begin" w:fldLock="1"/>
      </w:r>
      <w:r w:rsidR="00333318">
        <w:rPr>
          <w:rFonts w:ascii="Palatino Linotype" w:hAnsi="Palatino Linotype"/>
          <w:lang w:val="en-US"/>
        </w:rPr>
        <w:instrText>ADDIN CSL_CITATION {"citationItems":[{"id":"ITEM-1","itemData":{"DOI":"10.1080/14656566.2019.1622093","ISSN":"17447666","abstract":"Introduction: Sarcopenia, the age-related loss of skeletal muscle mass and function, is a global health problem that contributes to the development of physical disability, morbidity and mortality in the ageing population. Sarcopenia is now recognised in many countries as a muscle disease with an ICD-10-CM Diagnosis Code for billing care related to this condition, despite no FDA-approved treatments being currently available. Areas covered: This review highlights the current state of knowledge regarding the biological mechanisms contributing to the age-related loss of muscle mass and function and provides a summary of existing and emerging pharmacotherapies in clinical trials for sarcopenia. Expert opinion: While understanding of the pathophysiology of sarcopenia has progressed, rigorous preclinical studies that better inform clinical trials are needed to accelerate drug discovery and identify safe and effective treatments. Few drugs have been developed specifically for sarcopenia and many have failed to meet clinically relevant outcomes related to strength and physical performance. The multifactorial complexity of sarcopenia means that tailored, personalised treatments are more likely to be required than just a single intervention.","author":[{"dropping-particle":"","family":"Hardee","given":"Justin P.","non-dropping-particle":"","parse-names":false,"suffix":""},{"dropping-particle":"","family":"Lynch","given":"Gordon S.","non-dropping-particle":"","parse-names":false,"suffix":""}],"container-title":"Expert Opinion on Pharmacotherapy","id":"ITEM-1","issue":"13","issued":{"date-parts":[["2019"]]},"page":"1645-1657","publisher":"Taylor &amp; Francis","title":"Current pharmacotherapies for sarcopenia","type":"article-journal","volume":"20"},"uris":["http://www.mendeley.com/documents/?uuid=17ca53e4-77ac-483b-ade7-9b238cfa00d1"]},{"id":"ITEM-2","itemData":{"DOI":"10.1007/s00223-015-0022-5","ISBN":"0022301500225","ISSN":"14320827","abstract":"Sarcopenia is now clinically defined as a loss of muscle mass coupled with functional deterioration (either walking speed or distance or grip strength). Based on the FRAX studies suggesting that the questions without bone mineral density can be used to screen for osteoporosis, there is now a valid simple questionnaire to screen for sarcopenia, i.e., the SARC-F. Numerous factors have been implicated in the pathophysiology of sarcopenia. These include genetic factors, mitochondrial defects, decreased anabolic hormones (e.g., testosterone, vitamin D, growth hormone and insulin growth hormone-1), inflammatory cytokine excess, insulin resistance, decreased protein intake and activity, poor blood flow to muscle and deficiency of growth derived factor-11. Over the last decade, there has been a remarkable increase in our understanding of the molecular biology of muscle, resulting in a marked increase in potential future targets for the treatment of sarcopenia. At present, resistance exercise, protein supplementation, and vitamin D have been established as the basic treatment of sarcopenia. High-dose testosterone increases muscle power and function, but has a number of potentially limiting side effects. Other drugs in clinical development include selective androgen receptor molecules, ghrelin agonists, myostatin antibodies, activin IIR antagonists, angiotensin converting enzyme inhibitors, beta antagonists, and fast skeletal muscle troponin activators. As sarcopenia is a major predictor of frailty, hip fracture, disability, and mortality in older persons, the development of drugs to treat it is eagerly awaited.","author":[{"dropping-particle":"","family":"Morley","given":"John E.","non-dropping-particle":"","parse-names":false,"suffix":""}],"container-title":"Calcified Tissue International","id":"ITEM-2","issue":"4","issued":{"date-parts":[["2016"]]},"page":"319-333","publisher":"Springer US","title":"Pharmacologic Options for the Treatment of Sarcopenia","type":"article-journal","volume":"98"},"uris":["http://www.mendeley.com/documents/?uuid=03e4c404-261b-468b-b580-27e3a25fac5a"]}],"mendeley":{"formattedCitation":"[10, 11]","plainTextFormattedCitation":"[10, 11]","previouslyFormattedCitation":"[10, 11]"},"properties":{"noteIndex":0},"schema":"https://github.com/citation-style-language/schema/raw/master/csl-citation.json"}</w:instrText>
      </w:r>
      <w:r w:rsidRPr="00863CA6">
        <w:rPr>
          <w:rFonts w:ascii="Palatino Linotype" w:hAnsi="Palatino Linotype"/>
          <w:lang w:val="en-US"/>
        </w:rPr>
        <w:fldChar w:fldCharType="separate"/>
      </w:r>
      <w:r w:rsidR="00434FBF" w:rsidRPr="00434FBF">
        <w:rPr>
          <w:rFonts w:ascii="Palatino Linotype" w:hAnsi="Palatino Linotype"/>
          <w:noProof/>
          <w:lang w:val="en-US"/>
        </w:rPr>
        <w:t>[10, 11]</w:t>
      </w:r>
      <w:r w:rsidRPr="00863CA6">
        <w:rPr>
          <w:rFonts w:ascii="Palatino Linotype" w:hAnsi="Palatino Linotype"/>
          <w:lang w:val="en-US"/>
        </w:rPr>
        <w:fldChar w:fldCharType="end"/>
      </w:r>
      <w:r w:rsidRPr="00863CA6">
        <w:rPr>
          <w:rFonts w:ascii="Palatino Linotype" w:hAnsi="Palatino Linotype"/>
          <w:lang w:val="en-US"/>
        </w:rPr>
        <w:t xml:space="preserve">. Although a pharmacological </w:t>
      </w:r>
      <w:r w:rsidR="002D019B">
        <w:rPr>
          <w:rFonts w:ascii="Palatino Linotype" w:hAnsi="Palatino Linotype"/>
          <w:lang w:val="en-US"/>
        </w:rPr>
        <w:t>agent has not been authorized yet</w:t>
      </w:r>
      <w:r w:rsidRPr="00863CA6">
        <w:rPr>
          <w:rFonts w:ascii="Palatino Linotype" w:hAnsi="Palatino Linotype"/>
          <w:lang w:val="en-US"/>
        </w:rPr>
        <w:t xml:space="preserve">, several pharmacologic agents have been reported to be under investigation. </w:t>
      </w:r>
      <w:r w:rsidR="00962803">
        <w:rPr>
          <w:rFonts w:ascii="Palatino Linotype" w:hAnsi="Palatino Linotype"/>
          <w:lang w:val="en-US"/>
        </w:rPr>
        <w:t xml:space="preserve">Rooks and </w:t>
      </w:r>
      <w:proofErr w:type="spellStart"/>
      <w:r w:rsidR="00962803">
        <w:rPr>
          <w:rFonts w:ascii="Palatino Linotype" w:hAnsi="Palatino Linotype"/>
          <w:lang w:val="en-US"/>
        </w:rPr>
        <w:t>Roubenoff</w:t>
      </w:r>
      <w:proofErr w:type="spellEnd"/>
      <w:r w:rsidR="00962803">
        <w:rPr>
          <w:rFonts w:ascii="Palatino Linotype" w:hAnsi="Palatino Linotype"/>
          <w:lang w:val="en-US"/>
        </w:rPr>
        <w:t xml:space="preserve"> provided an overview of the pharmacological approaches as of the end of 2018, detailing the different mechanisms of action</w:t>
      </w:r>
      <w:r w:rsidR="00B46B65">
        <w:rPr>
          <w:rFonts w:ascii="Palatino Linotype" w:hAnsi="Palatino Linotype"/>
          <w:lang w:val="en-US"/>
        </w:rPr>
        <w:t xml:space="preserve"> such as</w:t>
      </w:r>
      <w:r w:rsidR="00962803">
        <w:rPr>
          <w:rFonts w:ascii="Palatino Linotype" w:hAnsi="Palatino Linotype"/>
          <w:lang w:val="en-US"/>
        </w:rPr>
        <w:t xml:space="preserve"> </w:t>
      </w:r>
      <w:r w:rsidRPr="00863CA6">
        <w:rPr>
          <w:rFonts w:ascii="Palatino Linotype" w:hAnsi="Palatino Linotype"/>
          <w:lang w:val="en-US"/>
        </w:rPr>
        <w:t>the selective androgen receptor modulators (SARMS)</w:t>
      </w:r>
      <w:r w:rsidR="00B46B65">
        <w:rPr>
          <w:rFonts w:ascii="Palatino Linotype" w:hAnsi="Palatino Linotype"/>
          <w:lang w:val="en-US"/>
        </w:rPr>
        <w:t xml:space="preserve"> and drugs that target </w:t>
      </w:r>
      <w:r w:rsidRPr="00863CA6">
        <w:rPr>
          <w:rFonts w:ascii="Palatino Linotype" w:hAnsi="Palatino Linotype"/>
          <w:lang w:val="en-US"/>
        </w:rPr>
        <w:t>the myostatin</w:t>
      </w:r>
      <w:r w:rsidR="00962803">
        <w:rPr>
          <w:rFonts w:ascii="Palatino Linotype" w:hAnsi="Palatino Linotype"/>
          <w:lang w:val="en-US"/>
        </w:rPr>
        <w:t xml:space="preserve"> activin</w:t>
      </w:r>
      <w:r w:rsidR="00B46B65">
        <w:rPr>
          <w:rFonts w:ascii="Palatino Linotype" w:hAnsi="Palatino Linotype"/>
          <w:lang w:val="en-US"/>
        </w:rPr>
        <w:t xml:space="preserve"> pathway</w:t>
      </w:r>
      <w:r w:rsidR="00962803">
        <w:rPr>
          <w:rFonts w:ascii="Palatino Linotype" w:hAnsi="Palatino Linotype"/>
          <w:lang w:val="en-US"/>
        </w:rPr>
        <w:t xml:space="preserve">. </w:t>
      </w:r>
      <w:r w:rsidR="000C0D32">
        <w:rPr>
          <w:rFonts w:ascii="Palatino Linotype" w:hAnsi="Palatino Linotype"/>
          <w:lang w:val="en-US"/>
        </w:rPr>
        <w:t xml:space="preserve">They list selective androgen receptor </w:t>
      </w:r>
      <w:r w:rsidRPr="00863CA6">
        <w:rPr>
          <w:rFonts w:ascii="Palatino Linotype" w:hAnsi="Palatino Linotype"/>
          <w:lang w:val="en-US"/>
        </w:rPr>
        <w:t>modulators,</w:t>
      </w:r>
      <w:r w:rsidR="000C0D32">
        <w:rPr>
          <w:rFonts w:ascii="Palatino Linotype" w:hAnsi="Palatino Linotype"/>
          <w:lang w:val="en-US"/>
        </w:rPr>
        <w:t xml:space="preserve"> activin receptor agonists, myostatin or activin inhibitors fast skeletal muscle </w:t>
      </w:r>
      <w:r w:rsidR="00B46B65">
        <w:rPr>
          <w:rFonts w:ascii="Palatino Linotype" w:hAnsi="Palatino Linotype"/>
          <w:lang w:val="en-US"/>
        </w:rPr>
        <w:t xml:space="preserve">troponin activators </w:t>
      </w:r>
      <w:r w:rsidR="000C0D32">
        <w:rPr>
          <w:rFonts w:ascii="Palatino Linotype" w:hAnsi="Palatino Linotype"/>
          <w:lang w:val="en-US"/>
        </w:rPr>
        <w:t xml:space="preserve">and the Mas-receptor in the renin-angiotensin system </w:t>
      </w:r>
      <w:r w:rsidR="000C0D32">
        <w:rPr>
          <w:rFonts w:ascii="Palatino Linotype" w:hAnsi="Palatino Linotype"/>
          <w:lang w:val="en-US"/>
        </w:rPr>
        <w:fldChar w:fldCharType="begin" w:fldLock="1"/>
      </w:r>
      <w:r w:rsidR="00386A09">
        <w:rPr>
          <w:rFonts w:ascii="Palatino Linotype" w:hAnsi="Palatino Linotype"/>
          <w:lang w:val="en-US"/>
        </w:rPr>
        <w:instrText>ADDIN CSL_CITATION {"citationItems":[{"id":"ITEM-1","itemData":{"DOI":"10.14283/jfa.2019.11","ISSN":"22601341","abstract":"Sarcopenia, the associated loss of skeletal muscle mass and strength and impaired physical function seen with aging, is a growing, global public health challenge in need of accepted, proven treatments that address the needs of a broad range of older adults. While exercise, primarily resistance training, and increased dietary protein have been shown to delay and even reverse losses in muscle mass, strength and physical function seen with aging, proven treatments that are accessible globally, cost effective and sustainable by patients are needed. While no drug has yet demonstrated the substantial safety and clinical value needed to be the first pharmacological therapy registered for muscle wasting or sarcopenia, the field is active. Several approaches to treating the muscle loss and subsequent functional decline are being studied in a variety of patient populations across every continent. We provide a review of the leading programs and approaches and available findings from recent studies. In addition, we briefly discuss several related issues needed to facilitate the development of a safe and efficacious pharmacotherapeutic that could be used as part of a treatment plan for older men and women with sarcopenia.","author":[{"dropping-particle":"","family":"Rooks","given":"D.","non-dropping-particle":"","parse-names":false,"suffix":""},{"dropping-particle":"","family":"Roubenoff","given":"R.","non-dropping-particle":"","parse-names":false,"suffix":""}],"container-title":"The Journal of frailty &amp; aging","id":"ITEM-1","issue":"3","issued":{"date-parts":[["2019"]]},"page":"120-130","title":"Development of Pharmacotherapies for the Treatment of Sarcopenia","type":"article","volume":"8"},"uris":["http://www.mendeley.com/documents/?uuid=71265eb3-ff7b-4dd5-8c12-3fe04aa18f83","http://www.mendeley.com/documents/?uuid=9560da64-6dbe-42c4-a77a-2c7cb21537d8"]}],"mendeley":{"formattedCitation":"[12]","plainTextFormattedCitation":"[12]","previouslyFormattedCitation":"[12]"},"properties":{"noteIndex":0},"schema":"https://github.com/citation-style-language/schema/raw/master/csl-citation.json"}</w:instrText>
      </w:r>
      <w:r w:rsidR="000C0D32">
        <w:rPr>
          <w:rFonts w:ascii="Palatino Linotype" w:hAnsi="Palatino Linotype"/>
          <w:lang w:val="en-US"/>
        </w:rPr>
        <w:fldChar w:fldCharType="separate"/>
      </w:r>
      <w:r w:rsidR="00434FBF" w:rsidRPr="00434FBF">
        <w:rPr>
          <w:rFonts w:ascii="Palatino Linotype" w:hAnsi="Palatino Linotype"/>
          <w:noProof/>
          <w:lang w:val="en-US"/>
        </w:rPr>
        <w:t>[12]</w:t>
      </w:r>
      <w:r w:rsidR="000C0D32">
        <w:rPr>
          <w:rFonts w:ascii="Palatino Linotype" w:hAnsi="Palatino Linotype"/>
          <w:lang w:val="en-US"/>
        </w:rPr>
        <w:fldChar w:fldCharType="end"/>
      </w:r>
      <w:r w:rsidR="000C0D32">
        <w:rPr>
          <w:rFonts w:ascii="Palatino Linotype" w:hAnsi="Palatino Linotype"/>
          <w:lang w:val="en-US"/>
        </w:rPr>
        <w:t xml:space="preserve">. </w:t>
      </w:r>
      <w:r w:rsidR="0059149C">
        <w:rPr>
          <w:rFonts w:ascii="Palatino Linotype" w:hAnsi="Palatino Linotype"/>
          <w:lang w:val="en-US"/>
        </w:rPr>
        <w:t xml:space="preserve">In </w:t>
      </w:r>
      <w:r w:rsidR="00E4172E">
        <w:rPr>
          <w:rFonts w:ascii="Palatino Linotype" w:hAnsi="Palatino Linotype"/>
          <w:lang w:val="en-US"/>
        </w:rPr>
        <w:t>April</w:t>
      </w:r>
      <w:r w:rsidR="0059149C">
        <w:rPr>
          <w:rFonts w:ascii="Palatino Linotype" w:hAnsi="Palatino Linotype"/>
          <w:lang w:val="en-US"/>
        </w:rPr>
        <w:t xml:space="preserve"> 2020, </w:t>
      </w:r>
      <w:r w:rsidR="00AE4FF4">
        <w:rPr>
          <w:rFonts w:ascii="Palatino Linotype" w:hAnsi="Palatino Linotype"/>
          <w:lang w:val="en-US"/>
        </w:rPr>
        <w:t xml:space="preserve">a </w:t>
      </w:r>
      <w:r w:rsidR="0059149C">
        <w:rPr>
          <w:rFonts w:ascii="Palatino Linotype" w:hAnsi="Palatino Linotype"/>
          <w:lang w:val="en-US"/>
        </w:rPr>
        <w:t xml:space="preserve">search </w:t>
      </w:r>
      <w:r w:rsidR="00AE4FF4">
        <w:rPr>
          <w:rFonts w:ascii="Palatino Linotype" w:hAnsi="Palatino Linotype"/>
          <w:lang w:val="en-US"/>
        </w:rPr>
        <w:t xml:space="preserve">on </w:t>
      </w:r>
      <w:r w:rsidR="0059149C">
        <w:rPr>
          <w:rFonts w:ascii="Palatino Linotype" w:hAnsi="Palatino Linotype"/>
          <w:lang w:val="en-US"/>
        </w:rPr>
        <w:t xml:space="preserve">clinicaltrials.gov database for all clinical trials that listed sarcopenia </w:t>
      </w:r>
      <w:r w:rsidR="00AE4FF4">
        <w:rPr>
          <w:rFonts w:ascii="Palatino Linotype" w:hAnsi="Palatino Linotype"/>
          <w:lang w:val="en-US"/>
        </w:rPr>
        <w:t>as one</w:t>
      </w:r>
      <w:r w:rsidR="0059149C">
        <w:rPr>
          <w:rFonts w:ascii="Palatino Linotype" w:hAnsi="Palatino Linotype"/>
          <w:lang w:val="en-US"/>
        </w:rPr>
        <w:t xml:space="preserve"> target condition</w:t>
      </w:r>
      <w:r w:rsidR="00AE4FF4">
        <w:rPr>
          <w:rFonts w:ascii="Palatino Linotype" w:hAnsi="Palatino Linotype"/>
          <w:lang w:val="en-US"/>
        </w:rPr>
        <w:t>, yielded</w:t>
      </w:r>
      <w:r w:rsidR="0059149C">
        <w:rPr>
          <w:rFonts w:ascii="Palatino Linotype" w:hAnsi="Palatino Linotype"/>
          <w:lang w:val="en-US"/>
        </w:rPr>
        <w:t xml:space="preserve"> 461 study protocol</w:t>
      </w:r>
      <w:r w:rsidR="009E5EA4">
        <w:rPr>
          <w:rFonts w:ascii="Palatino Linotype" w:hAnsi="Palatino Linotype"/>
          <w:lang w:val="en-US"/>
        </w:rPr>
        <w:t>s</w:t>
      </w:r>
      <w:r w:rsidR="0059149C">
        <w:rPr>
          <w:rFonts w:ascii="Palatino Linotype" w:hAnsi="Palatino Linotype"/>
          <w:lang w:val="en-US"/>
        </w:rPr>
        <w:t xml:space="preserve">. After manual selection, </w:t>
      </w:r>
      <w:r w:rsidR="00E4172E">
        <w:rPr>
          <w:rFonts w:ascii="Palatino Linotype" w:hAnsi="Palatino Linotype"/>
          <w:lang w:val="en-US"/>
        </w:rPr>
        <w:t>44 interventional trials studying pharmacological interventions were withheld, the details of which can be found in appendix 1.</w:t>
      </w:r>
    </w:p>
    <w:p w14:paraId="064621E5" w14:textId="6937E598" w:rsidR="009660B5" w:rsidRDefault="009660B5" w:rsidP="009660B5">
      <w:pPr>
        <w:jc w:val="both"/>
        <w:rPr>
          <w:rFonts w:ascii="Palatino Linotype" w:hAnsi="Palatino Linotype"/>
          <w:lang w:val="en-US"/>
        </w:rPr>
      </w:pPr>
      <w:r>
        <w:rPr>
          <w:rFonts w:ascii="Palatino Linotype" w:hAnsi="Palatino Linotype"/>
          <w:lang w:val="en-US"/>
        </w:rPr>
        <w:t xml:space="preserve">A second expert working group composed of clinicians, researchers, representatives of the regulatory bodies and a patient advocate was convened in February of 2020 under the auspices of ESCEO. The present paper provides an update of the previous recommendations in accordance with the evidence that has become available in the meantime, in order to stimulate the debate about the design of phase II and phase III clinical trials in sarcopenia taking into account </w:t>
      </w:r>
      <w:r w:rsidR="00AE4FF4">
        <w:rPr>
          <w:rFonts w:ascii="Palatino Linotype" w:hAnsi="Palatino Linotype"/>
          <w:lang w:val="en-US"/>
        </w:rPr>
        <w:t>knowledge obtained</w:t>
      </w:r>
      <w:r>
        <w:rPr>
          <w:rFonts w:ascii="Palatino Linotype" w:hAnsi="Palatino Linotype"/>
          <w:lang w:val="en-US"/>
        </w:rPr>
        <w:t xml:space="preserve"> in the last years.</w:t>
      </w:r>
    </w:p>
    <w:p w14:paraId="63268E29" w14:textId="77777777" w:rsidR="00863CA6" w:rsidRPr="00863CA6" w:rsidRDefault="00863CA6" w:rsidP="00863CA6">
      <w:pPr>
        <w:jc w:val="both"/>
        <w:rPr>
          <w:rFonts w:ascii="Palatino Linotype" w:hAnsi="Palatino Linotype"/>
          <w:lang w:val="en-US"/>
        </w:rPr>
      </w:pPr>
    </w:p>
    <w:p w14:paraId="5928B4E0" w14:textId="77777777" w:rsidR="00863CA6" w:rsidRPr="00863CA6" w:rsidRDefault="00863CA6" w:rsidP="00863CA6">
      <w:pPr>
        <w:rPr>
          <w:rFonts w:ascii="Palatino Linotype" w:hAnsi="Palatino Linotype"/>
          <w:b/>
          <w:bCs/>
          <w:smallCaps/>
          <w:sz w:val="24"/>
          <w:szCs w:val="24"/>
          <w:u w:val="single"/>
          <w:lang w:val="en-GB"/>
        </w:rPr>
      </w:pPr>
      <w:r w:rsidRPr="00863CA6">
        <w:rPr>
          <w:rFonts w:ascii="Palatino Linotype" w:hAnsi="Palatino Linotype"/>
          <w:b/>
          <w:bCs/>
          <w:smallCaps/>
          <w:sz w:val="24"/>
          <w:szCs w:val="24"/>
          <w:u w:val="single"/>
          <w:lang w:val="en-GB"/>
        </w:rPr>
        <w:t>Methods</w:t>
      </w:r>
    </w:p>
    <w:p w14:paraId="434D7BBD" w14:textId="1C2A7625" w:rsidR="00863CA6" w:rsidRPr="00863CA6" w:rsidRDefault="00863CA6" w:rsidP="00863CA6">
      <w:pPr>
        <w:jc w:val="both"/>
        <w:rPr>
          <w:lang w:val="en-US"/>
        </w:rPr>
      </w:pPr>
      <w:r w:rsidRPr="00863CA6">
        <w:rPr>
          <w:rFonts w:ascii="Palatino Linotype" w:hAnsi="Palatino Linotype"/>
          <w:lang w:val="en-US"/>
        </w:rPr>
        <w:t>In light of the evolution in pharmacological treatment options since 201</w:t>
      </w:r>
      <w:r w:rsidR="002A7EE5">
        <w:rPr>
          <w:rFonts w:ascii="Palatino Linotype" w:hAnsi="Palatino Linotype"/>
          <w:lang w:val="en-US"/>
        </w:rPr>
        <w:t>6</w:t>
      </w:r>
      <w:r w:rsidRPr="00863CA6">
        <w:rPr>
          <w:rFonts w:ascii="Palatino Linotype" w:hAnsi="Palatino Linotype"/>
          <w:lang w:val="en-US"/>
        </w:rPr>
        <w:t xml:space="preserve">, and the need to link the current academic and regulatory perspectives, a second expert working group was convened in February of 2020 under the direction of ESCEO. This group assembled clinicians and researchers, as well as representatives of the regulatory bodies and a </w:t>
      </w:r>
      <w:r w:rsidRPr="005A243F">
        <w:rPr>
          <w:rFonts w:ascii="Palatino Linotype" w:hAnsi="Palatino Linotype"/>
          <w:lang w:val="en-US"/>
        </w:rPr>
        <w:t>patient advocate</w:t>
      </w:r>
      <w:r w:rsidRPr="00863CA6">
        <w:rPr>
          <w:rFonts w:ascii="Palatino Linotype" w:hAnsi="Palatino Linotype"/>
          <w:lang w:val="en-US"/>
        </w:rPr>
        <w:t xml:space="preserve">. Certain members of the core writing group were asked to review the literature and/or to present the current state of the art on the following topics: (1) current status of sarcopenia drug development (FC); (2) did clinical trials in sarcopenia fail because of inappropriate design? (RF); (3) the impact of the EWGSOP2 sarcopenia definition on the selection of target populations for phase II and III trials (AC-J); (4) the identification of secondary endpoints (MC &amp; FL); (5) patient-reported outcome measures in sarcopenia (CB); and (6) specific design </w:t>
      </w:r>
      <w:r w:rsidRPr="00863CA6">
        <w:rPr>
          <w:rFonts w:ascii="Palatino Linotype" w:hAnsi="Palatino Linotype"/>
          <w:lang w:val="en-US"/>
        </w:rPr>
        <w:lastRenderedPageBreak/>
        <w:t>aspects for clinical trials in sarcopenia (JB). The core writing group participated in presentations and discussion rounds,</w:t>
      </w:r>
      <w:r w:rsidR="00C9431F">
        <w:rPr>
          <w:rFonts w:ascii="Palatino Linotype" w:hAnsi="Palatino Linotype"/>
          <w:lang w:val="en-US"/>
        </w:rPr>
        <w:t xml:space="preserve"> </w:t>
      </w:r>
      <w:r w:rsidRPr="00863CA6">
        <w:rPr>
          <w:rFonts w:ascii="Palatino Linotype" w:hAnsi="Palatino Linotype"/>
          <w:lang w:val="en-US"/>
        </w:rPr>
        <w:t>and created the preliminary version of these recommendations. A larger consensus</w:t>
      </w:r>
      <w:r w:rsidRPr="00DD3F57">
        <w:rPr>
          <w:rFonts w:ascii="Palatino Linotype" w:hAnsi="Palatino Linotype"/>
          <w:lang w:val="en-US"/>
        </w:rPr>
        <w:t xml:space="preserve"> group was solicited to provide written comments via email on the preliminary recommendations, which ultimately led to the consensus described in this article.</w:t>
      </w:r>
    </w:p>
    <w:p w14:paraId="3750D9DE" w14:textId="77777777" w:rsidR="00863CA6" w:rsidRDefault="00863CA6" w:rsidP="00B35C96">
      <w:pPr>
        <w:rPr>
          <w:rFonts w:ascii="Palatino Linotype" w:hAnsi="Palatino Linotype"/>
          <w:b/>
          <w:bCs/>
          <w:smallCaps/>
          <w:sz w:val="24"/>
          <w:szCs w:val="24"/>
          <w:u w:val="single"/>
          <w:lang w:val="en-GB"/>
        </w:rPr>
      </w:pPr>
    </w:p>
    <w:p w14:paraId="15466657" w14:textId="61F2B684" w:rsidR="00B35C96" w:rsidRPr="00B9449F" w:rsidRDefault="00B35C96" w:rsidP="00B35C96">
      <w:pPr>
        <w:rPr>
          <w:rFonts w:ascii="Palatino Linotype" w:hAnsi="Palatino Linotype"/>
          <w:b/>
          <w:bCs/>
          <w:smallCaps/>
          <w:sz w:val="24"/>
          <w:szCs w:val="24"/>
          <w:u w:val="single"/>
          <w:lang w:val="en-GB"/>
        </w:rPr>
      </w:pPr>
      <w:r w:rsidRPr="00B9449F">
        <w:rPr>
          <w:rFonts w:ascii="Palatino Linotype" w:hAnsi="Palatino Linotype"/>
          <w:b/>
          <w:bCs/>
          <w:smallCaps/>
          <w:sz w:val="24"/>
          <w:szCs w:val="24"/>
          <w:u w:val="single"/>
          <w:lang w:val="en-GB"/>
        </w:rPr>
        <w:t>Results</w:t>
      </w:r>
    </w:p>
    <w:p w14:paraId="07F35865" w14:textId="48230038" w:rsidR="000E0598" w:rsidRPr="00B9449F" w:rsidRDefault="00B35C96" w:rsidP="00B35C96">
      <w:pPr>
        <w:rPr>
          <w:rFonts w:ascii="Palatino Linotype" w:hAnsi="Palatino Linotype"/>
          <w:b/>
          <w:bCs/>
          <w:smallCaps/>
          <w:sz w:val="24"/>
          <w:szCs w:val="24"/>
          <w:u w:val="single"/>
          <w:lang w:val="en-GB"/>
        </w:rPr>
      </w:pPr>
      <w:r w:rsidRPr="00B9449F">
        <w:rPr>
          <w:rFonts w:ascii="Palatino Linotype" w:hAnsi="Palatino Linotype"/>
          <w:b/>
          <w:bCs/>
          <w:smallCaps/>
          <w:sz w:val="24"/>
          <w:szCs w:val="24"/>
          <w:u w:val="single"/>
          <w:lang w:val="en-GB"/>
        </w:rPr>
        <w:t>Target population for pharmacological treatment RCTs in sarcopenia</w:t>
      </w:r>
    </w:p>
    <w:p w14:paraId="0D39B43C" w14:textId="4EE024DF" w:rsidR="00B35C96" w:rsidRPr="00B9449F" w:rsidRDefault="00B35C96" w:rsidP="00B35C96">
      <w:pPr>
        <w:rPr>
          <w:rFonts w:ascii="Palatino Linotype" w:hAnsi="Palatino Linotype"/>
          <w:b/>
          <w:bCs/>
          <w:lang w:val="en-GB"/>
        </w:rPr>
      </w:pPr>
      <w:r w:rsidRPr="00B9449F">
        <w:rPr>
          <w:rFonts w:ascii="Palatino Linotype" w:hAnsi="Palatino Linotype"/>
          <w:b/>
          <w:bCs/>
          <w:lang w:val="en-GB"/>
        </w:rPr>
        <w:t>Inclusion criteria</w:t>
      </w:r>
    </w:p>
    <w:p w14:paraId="4ACFBAD3" w14:textId="57AB10CA" w:rsidR="00096A6B" w:rsidRPr="00B9449F" w:rsidRDefault="00223EE1" w:rsidP="00C4703E">
      <w:pPr>
        <w:jc w:val="both"/>
        <w:rPr>
          <w:rFonts w:ascii="Palatino Linotype" w:hAnsi="Palatino Linotype"/>
          <w:lang w:val="en-GB"/>
        </w:rPr>
      </w:pPr>
      <w:r w:rsidRPr="00B9449F">
        <w:rPr>
          <w:rFonts w:ascii="Palatino Linotype" w:hAnsi="Palatino Linotype"/>
          <w:lang w:val="en-GB"/>
        </w:rPr>
        <w:t>Potential t</w:t>
      </w:r>
      <w:r w:rsidR="00096A6B" w:rsidRPr="00B9449F">
        <w:rPr>
          <w:rFonts w:ascii="Palatino Linotype" w:hAnsi="Palatino Linotype"/>
          <w:lang w:val="en-GB"/>
        </w:rPr>
        <w:t>arget population</w:t>
      </w:r>
      <w:r w:rsidR="00432506">
        <w:rPr>
          <w:rFonts w:ascii="Palatino Linotype" w:hAnsi="Palatino Linotype"/>
          <w:lang w:val="en-GB"/>
        </w:rPr>
        <w:t>s</w:t>
      </w:r>
      <w:r w:rsidR="00096A6B" w:rsidRPr="00B9449F">
        <w:rPr>
          <w:rFonts w:ascii="Palatino Linotype" w:hAnsi="Palatino Linotype"/>
          <w:lang w:val="en-GB"/>
        </w:rPr>
        <w:t xml:space="preserve"> that should be included in pharmaceutical trials</w:t>
      </w:r>
      <w:r w:rsidR="00C0056D">
        <w:rPr>
          <w:rFonts w:ascii="Palatino Linotype" w:hAnsi="Palatino Linotype"/>
          <w:lang w:val="en-GB"/>
        </w:rPr>
        <w:t xml:space="preserve"> </w:t>
      </w:r>
      <w:r w:rsidR="00C0056D" w:rsidRPr="00B9449F">
        <w:rPr>
          <w:rFonts w:ascii="Palatino Linotype" w:hAnsi="Palatino Linotype"/>
          <w:lang w:val="en-GB"/>
        </w:rPr>
        <w:t>in sarcopenia</w:t>
      </w:r>
      <w:r w:rsidR="00C0056D">
        <w:rPr>
          <w:rFonts w:ascii="Palatino Linotype" w:hAnsi="Palatino Linotype"/>
          <w:lang w:val="en-GB"/>
        </w:rPr>
        <w:t xml:space="preserve"> </w:t>
      </w:r>
      <w:r w:rsidR="00096A6B" w:rsidRPr="00B9449F">
        <w:rPr>
          <w:rFonts w:ascii="Palatino Linotype" w:hAnsi="Palatino Linotype"/>
          <w:lang w:val="en-GB"/>
        </w:rPr>
        <w:t xml:space="preserve">have </w:t>
      </w:r>
      <w:r w:rsidR="00C4703E" w:rsidRPr="00B9449F">
        <w:rPr>
          <w:rFonts w:ascii="Palatino Linotype" w:hAnsi="Palatino Linotype"/>
          <w:lang w:val="en-GB"/>
        </w:rPr>
        <w:t>already be</w:t>
      </w:r>
      <w:r w:rsidR="00432506">
        <w:rPr>
          <w:rFonts w:ascii="Palatino Linotype" w:hAnsi="Palatino Linotype"/>
          <w:lang w:val="en-GB"/>
        </w:rPr>
        <w:t>en</w:t>
      </w:r>
      <w:r w:rsidR="00C4703E" w:rsidRPr="00B9449F">
        <w:rPr>
          <w:rFonts w:ascii="Palatino Linotype" w:hAnsi="Palatino Linotype"/>
          <w:lang w:val="en-GB"/>
        </w:rPr>
        <w:t xml:space="preserve"> discussed in past publications</w:t>
      </w:r>
      <w:r w:rsidR="006D50D1">
        <w:rPr>
          <w:rFonts w:ascii="Palatino Linotype" w:hAnsi="Palatino Linotype"/>
          <w:lang w:val="en-GB"/>
        </w:rPr>
        <w:t xml:space="preserve"> </w:t>
      </w:r>
      <w:r w:rsidR="00C4703E" w:rsidRPr="00B9449F">
        <w:rPr>
          <w:rFonts w:ascii="Palatino Linotype" w:hAnsi="Palatino Linotype"/>
          <w:lang w:val="en-GB"/>
        </w:rPr>
        <w:fldChar w:fldCharType="begin" w:fldLock="1"/>
      </w:r>
      <w:r w:rsidR="001B65C6">
        <w:rPr>
          <w:rFonts w:ascii="Palatino Linotype" w:hAnsi="Palatino Linotype"/>
          <w:lang w:val="en-GB"/>
        </w:rPr>
        <w:instrText>ADDIN CSL_CITATION {"citationItems":[{"id":"ITEM-1","itemData":{"ISSN":"1760-4788","PMID":"21623466","abstract":"Sarcopenia is the age-related involuntary loss of skeletal muscle mass and functionality that can lead to the development of disability, frailty and increased health care costs. The development of interventions aimed at preventing and/or treating sarcopenia is complex, requiring the adoption of assumptions and standards that are not well established scientifically or clinically. A number of investigators and clinicians (both from academia and industry) met in Rome (Italy) in 2009 to develop a consensus definition of sarcopenia. Subsequently, in Albuquerque (New Mexico, USA) in 2010, the same group met again to consider the complex issues necessary for designing Phase II clinical trials for sarcopenia. Current clinical trial data indicate that fat-free mass (FFM) parameters are responsive to physical activity/nutritional treatment modalities over short time periods, but pharmacological trials of sarcopenia have yet to show significant efficacy. In order to conduct a clinical trial within a reasonable time frame, groups that model or display accelerated aging and loss of FFM are necessary. Few studies have used acceptable designs for testing treatment effects, sample sizes or primary outcomes that could provide interpretable findings or effects across studies. Dual energy x-ray absorptiometry (DXA) is the measure of choice for assessing FFM, but sufficient time is needed for changes to be detected accurately and reliably. A tool set that would allow clinical, basic and epidemiological research on sarcopenia to advance rapidly toward diagnosis and treatment phases should be those reflecting function and strength.","author":[{"dropping-particle":"","family":"Chumlea","given":"Wm C","non-dropping-particle":"","parse-names":false,"suffix":""},{"dropping-particle":"","family":"Cesari","given":"M","non-dropping-particle":"","parse-names":false,"suffix":""},{"dropping-particle":"","family":"Evans","given":"W J","non-dropping-particle":"","parse-names":false,"suffix":""},{"dropping-particle":"","family":"Ferrucci","given":"L","non-dropping-particle":"","parse-names":false,"suffix":""},{"dropping-particle":"","family":"Fielding","given":"R A","non-dropping-particle":"","parse-names":false,"suffix":""},{"dropping-particle":"","family":"Pahor","given":"M","non-dropping-particle":"","parse-names":false,"suffix":""},{"dropping-particle":"","family":"Studenski","given":"S","non-dropping-particle":"","parse-names":false,"suffix":""},{"dropping-particle":"","family":"Vellas","given":"B","non-dropping-particle":"","parse-names":false,"suffix":""},{"dropping-particle":"","family":"International Working Group on Sarcopenia Task Force Members","given":"","non-dropping-particle":"","parse-names":false,"suffix":""}],"container-title":"The journal of nutrition, health &amp; aging","id":"ITEM-1","issue":"6","issued":{"date-parts":[["2011","6"]]},"page":"450-5","title":"Sarcopenia: designing phase IIB trials.","type":"article-journal","volume":"15"},"uris":["http://www.mendeley.com/documents/?uuid=f965d7b5-7f52-38c3-942b-4d58bebc22da","http://www.mendeley.com/documents/?uuid=6b24cacd-6da1-48a5-b40a-1d498cb452c5"]},{"id":"ITEM-2","itemData":{"DOI":"10.1093/ageing/afu115","ISBN":"1468-2834 (Electronic)\r0002-0729 (Linking)","ISSN":"1468-2834","PMID":"25241753","abstract":"OBJECTIVE: to examine the clinical evidence reporting the prevalence of sarcopenia and the effect of nutrition and exercise interventions from studies using the consensus definition of sarcopenia proposed by the European Working Group on Sarcopenia in Older People (EWGSOP). METHODS: PubMed and Dialog databases were searched (January 2000-October 2013) using pre-defined search terms. Prevalence studies and intervention studies investigating muscle mass plus strength or function outcome measures using the EWGSOP definition of sarcopenia, in well-defined populations of adults aged &gt;/=50 years were selected. RESULTS: prevalence of sarcopenia was, with regional and age-related variations, 1-29% in community-dwelling populations, 14-33% in long-term care populations and 10% in the only acute hospital-care population examined. Moderate quality evidence suggests that exercise interventions improve muscle strength and physical performance. The results of nutrition interventions are equivocal due to the low number of studies and heterogeneous study design. Essential amino acid (EAA) supplements, including approximately 2.5 g of leucine, and beta-hydroxy beta-methylbutyric acid (HMB) supplements, show some effects in improving muscle mass and function parameters. Protein supplements have not shown consistent benefits on muscle mass and function. CONCLUSION: prevalence of sarcopenia is substantial in most geriatric settings. Well-designed, standardised studies evaluating exercise or nutrition interventions are needed before treatment guidelines can be developed. Physicians should screen for sarcopenia in both community and geriatric settings, with diagnosis based on muscle mass and function. Supervised resistance exercise is recommended for individuals with sarcopenia. EAA (with leucine) and HMB may improve muscle outcomes.","author":[{"dropping-particle":"","family":"Cruz-Jentoft","given":"Alfonso J","non-dropping-particle":"","parse-names":false,"suffix":""},{"dropping-particle":"","family":"Landi","given":"Francesco","non-dropping-particle":"","parse-names":false,"suffix":""},{"dropping-particle":"","family":"Schneider","given":"Stéphane M","non-dropping-particle":"","parse-names":false,"suffix":""},{"dropping-particle":"","family":"Zúñiga","given":"Clemente","non-dropping-particle":"","parse-names":false,"suffix":""},{"dropping-particle":"","family":"Arai","given":"Hidenori","non-dropping-particle":"","parse-names":false,"suffix":""},{"dropping-particle":"","family":"Boirie","given":"Yves","non-dropping-particle":"","parse-names":false,"suffix":""},{"dropping-particle":"","family":"Chen","given":"Liang-Kung K","non-dropping-particle":"","parse-names":false,"suffix":""},{"dropping-particle":"","family":"Fielding","given":"Roger A","non-dropping-particle":"","parse-names":false,"suffix":""},{"dropping-particle":"","family":"Martin","given":"Finbarr C","non-dropping-particle":"","parse-names":false,"suffix":""},{"dropping-particle":"","family":"Michel","given":"Jean-Pierre P","non-dropping-particle":"","parse-names":false,"suffix":""},{"dropping-particle":"","family":"Sieber","given":"Cornel","non-dropping-particle":"","parse-names":false,"suffix":""},{"dropping-particle":"","family":"Stout","given":"Jeffrey R","non-dropping-particle":"","parse-names":false,"suffix":""},{"dropping-particle":"","family":"Studenski","given":"Stephanie A","non-dropping-particle":"","parse-names":false,"suffix":""},{"dropping-particle":"","family":"Vellas","given":"Bruno","non-dropping-particle":"","parse-names":false,"suffix":""},{"dropping-particle":"","family":"Woo","given":"Jean","non-dropping-particle":"","parse-names":false,"suffix":""},{"dropping-particle":"","family":"Zamboni","given":"Mauro","non-dropping-particle":"","parse-names":false,"suffix":""},{"dropping-particle":"","family":"Cederholm","given":"Tommy","non-dropping-particle":"","parse-names":false,"suffix":""},{"dropping-particle":"","family":"Zuniga","given":"C","non-dropping-particle":"","parse-names":false,"suffix":""},{"dropping-particle":"","family":"Arai","given":"Hidenori","non-dropping-particle":"","parse-names":false,"suffix":""},{"dropping-particle":"","family":"Boirie","given":"Yves","non-dropping-particle":"","parse-names":false,"suffix":""},{"dropping-particle":"","family":"Chen","given":"Liang-Kung K","non-dropping-particle":"","parse-names":false,"suffix":""},{"dropping-particle":"","family":"Fielding","given":"Roger A","non-dropping-particle":"","parse-names":false,"suffix":""},{"dropping-particle":"","family":"Martin","given":"Finbarr C","non-dropping-particle":"","parse-names":false,"suffix":""},{"dropping-particle":"","family":"Michel","given":"Jean-Pierre P","non-dropping-particle":"","parse-names":false,"suffix":""},{"dropping-particle":"","family":"Sieber","given":"Cornel","non-dropping-particle":"","parse-names":false,"suffix":""},{"dropping-particle":"","family":"Stout","given":"Jeffrey R","non-dropping-particle":"","parse-names":false,"suffix":""},{"dropping-particle":"","family":"Studenski","given":"Stephanie A","non-dropping-particle":"","parse-names":false,"suffix":""},{"dropping-particle":"","family":"Vellas","given":"Bruno","non-dropping-particle":"","parse-names":false,"suffix":""},{"dropping-particle":"","family":"Woo","given":"Jean","non-dropping-particle":"","parse-names":false,"suffix":""},{"dropping-particle":"","family":"Zamboni","given":"Mauro","non-dropping-particle":"","parse-names":false,"suffix":""},{"dropping-particle":"","family":"Cederholm","given":"Tommy","non-dropping-particle":"","parse-names":false,"suffix":""}],"container-title":"Age and ageing","edition":"2014/09/23","id":"ITEM-2","issue":"6","issued":{"date-parts":[["2014","11"]]},"language":"Eng","note":"From Duplicate 2 (Prevalence of and interventions for sarcopenia in ageing adults: a systematic review. Report of the International Sarcopenia Initiative (EWGSOP and IWGS) - Cruz-Jentoft, Alfonso J; Landi, Francesco; Schneider, Stéphane M; Zúñiga, Clemente; Arai, Hidenori; Boirie, Yves; Chen, Liang-Kung K; Fielding, Roger A; Martin, Finbarr C; Michel, Jean-Pierre P; Sieber, Cornel; Stout, Jeffrey R; Studenski, Stephanie A; Vellas, Bruno; Woo, Jean; Zamboni, Mauro; Cederholm, Tommy; Zuniga, C; Arai, Hidenori; Boirie, Yves; Chen, Liang-Kung K; Fielding, Roger A; Martin, Finbarr C; Michel, Jean-Pierre P; Sieber, Cornel; Stout, Jeffrey R; Studenski, Stephanie A; Vellas, Bruno; Woo, Jean; Zamboni, Mauro; Cederholm, Tommy)\n\nFrom Duplicate 1 (Prevalence of and interventions for sarcopenia in ageing adults: a systematic review. Report of the International Sarcopenia Initiative (EWGSOP and IWGS) - Cruz-Jentoft, A J; Landi, F; Schneider, S M; Zuniga, C; Arai, H; Boirie, Y; Chen, L K; Fielding, R A; Martin, F C; Michel, J P; Sieber, C; Stout, J R; Studenski, S A; Vellas, B; Woo, J; Zamboni, M; Cederholm, T)\nAnd Duplicate 2 (Prevalence of and interventions for sarcopenia in ageing adults: a systematic review. Report of the International Sarcopenia Initiative (EWGSOP and IWGS) - Cruz-Jentoft, A J; Landi, F; Schneider, S M; Zuniga, C; Arai, H; Boirie, Y; Chen, L K; Fielding, R A; Martin, F C; Michel, J P; Sieber, C; Stout, J R; Studenski, S A; Vellas, B; Woo, J; Zamboni, M; Cederholm, T)\nAnd Duplicate 3 (Prevalence of and interventions for sarcopenia in ageing adults: a systematic review. Report of the International Sarcopenia Initiative (EWGSOP and IWGS) - Cruz-Jentoft, A J; Landi, F; Schneider, S M; Zuniga, C; Arai, H; Boirie, Y; Chen, L K; Fielding, R A; Martin, F C; Michel, J P; Sieber, C; Stout, J R; Studenski, S A; Vellas, B; Woo, J; Zamboni, M; Cederholm, T)\n\nCruz-Jentoft, Alfonso J\nLandi, Francesco\nSchneider, Stephane M\nZuniga, Clemente\nArai, Hidenori\nBoirie, Yves\nChen, Liang-Kung\nFielding, Roger A\nMartin, Finbarr C\nMichel, Jean-Pierre\nSieber, Cornel\nStout, Jeffrey R\nStudenski, Stephanie A\nVellas, Bruno\nWoo, Jean\nZamboni, Mauro\nCederholm, Tommy\nAge Ageing. 2014 Sep 21. pii: afu115.","page":"748-59","title":"Prevalence of and interventions for sarcopenia in ageing adults: a systematic review. Report of the International Sarcopenia Initiative (EWGSOP and IWGS)","type":"article-journal","volume":"43"},"uris":["http://www.mendeley.com/documents/?uuid=c932a0b0-1e67-4ab7-82a4-2fa81615faf5"]},{"id":"ITEM-3","itemData":{"DOI":"10.1016/j.cger.2011.03.010","abstract":"Sarcopenia was initially defined as an age-related loss of muscle mass 1 but this definition and the biological and clinical concept of sarcopenia have dramatically evolved to try to address a broader perspective on this important part of the aging process. However, current research on the plausible mechanistic pathways leading to sarcopenia and the functional consequences of sarcopenia are hampered by a lack of a consensus definition and a standardized assessment methodology. 2,3 This issue is currently addressed by numerous international scientific and clinical groups with limited success. 4 The lack of a clear definition of sarcopenia and an assessment methodology results in a variation in the reported prevalence across available representative epidemiologic cohorts of between 8% and 40%. 2 This broad range in prevalence and the absence of consensus criteria make the performance and outcomes of phase 3 clinical trials challenging. A large variability in the target population, if uncontrolled, increases the uncertainty in possible drug effects by inflating the confidence intervals, and attempts to control the variability by using a homogeneous less-representative study population reduces the generalizability of the drug effects, thus questioning the clinical efficacy of these trials. It is noteworthy to state that the challenges to conduct phase 3 trials in the elderly should not offset the opportunities for the development of new strategies to counteract sarcopenia and prevent late-life disability. This article comprehensively reviews the methodological issues of conducting phase 3 clinical trials for sarcopenia. The current sarcopenia definition, body composition","author":[{"dropping-particle":"","family":"Abellan Van Kan","given":"Gabor","non-dropping-particle":"","parse-names":false,"suffix":""},{"dropping-particle":"","family":"Cameron Chumlea","given":"Wm","non-dropping-particle":"","parse-names":false,"suffix":""},{"dropping-particle":"","family":"Gillette-Guyonet","given":"Sophie","non-dropping-particle":"","parse-names":false,"suffix":""},{"dropping-particle":"","family":"Houles","given":"Mathieu","non-dropping-particle":"","parse-names":false,"suffix":""},{"dropping-particle":"","family":"Dupuy","given":"Charlotte","non-dropping-particle":"","parse-names":false,"suffix":""},{"dropping-particle":"","family":"Rolland","given":"Yves","non-dropping-particle":"","parse-names":false,"suffix":""},{"dropping-particle":"","family":"Vellas","given":"Bruno","non-dropping-particle":"","parse-names":false,"suffix":""}],"container-title":"Clin Geriatr Med","id":"ITEM-3","issue":"3","issued":{"date-parts":[["2011"]]},"page":"471-482","title":"Clinical Trials on Sarcopenia: Methodological Issues Regarding Phase 3 Trials NIH Public Access","type":"article-journal","volume":"27"},"uris":["http://www.mendeley.com/documents/?uuid=78854743-c5da-390f-aa35-98044b5142eb","http://www.mendeley.com/documents/?uuid=1c20daae-0183-420f-93a9-97977b426a4c"]},{"id":"ITEM-4","itemData":{"ISSN":"1079-5006","PMID":"15860469","abstract":"BACKGROUND: Lower muscle mass has been correlated with poor physical function; however, no studies have examined this relationship prospectively. This study aims to investigate whether low muscle mass, low muscle strength, and greater fat infiltration into the muscle predict incident mobility limitation.\n\nMETHODS: Our study cohort included 3075 well-functioning black and white men and women aged 70-79 years participating in the Health, Aging, and Body Composition study. Participants were followed for 2.5 years. Muscle cross-sectional area and muscle tissue attenuation (a measure of fat infiltration) were measured by computed tomography at the mid-thigh, and knee extensor strength by using a KinCom dynamometer. Incident mobility limitation was defined as two consecutive self-reports of any difficulty walking one-quarter mile or climbing 10 steps.\n\nRESULTS: Mobility limitations were developed by 22.3% of the men and by 31.8% of the women. Cox's proportional hazards models, adjusting for demographic, lifestyle, and health factors, showed a hazard ratio of 1.90 [95% confidence interval (CI), 1.27-2.84] in men and 1.68 (95% CI, 1.23-2.31) in women for the lowest compared to the highest quartile of muscle area (p &lt;.01 for trend). Results for muscle strength were 2.02 (95% CI, 1.39-2.94) and 1.91 (95% CI, 1.41-2.58), p &lt;.001 trend, and for muscle attenuation were 1.91 (95% CI, 1.31-2.83) and 1.68 (95% CI, 1.20-2.35), p &lt;.01 for trend. When included in one model, only muscle attenuation and muscle strength independently predicted mobility limitation (p &lt; .05). Among men and women, associations were similar for blacks and whites.\n\nCONCLUSION: Lower muscle mass (smaller cross-sectional thigh muscle area), greater fat infiltration into the muscle, and lower knee extensor muscle strength are associated with increased risk of mobility loss in older men and women. The association between low muscle mass and functional decline seems to be a function of underlying muscle strength.","author":[{"dropping-particle":"","family":"Visser","given":"Marjolein","non-dropping-particle":"","parse-names":false,"suffix":""},{"dropping-particle":"","family":"Goodpaster","given":"Bret H","non-dropping-particle":"","parse-names":false,"suffix":""},{"dropping-particle":"","family":"Kritchevsky","given":"Stephen B","non-dropping-particle":"","parse-names":false,"suffix":""},{"dropping-particle":"","family":"Newman","given":"Anne B","non-dropping-particle":"","parse-names":false,"suffix":""},{"dropping-particle":"","family":"Nevitt","given":"Michael","non-dropping-particle":"","parse-names":false,"suffix":""},{"dropping-particle":"","family":"Rubin","given":"Susan M","non-dropping-particle":"","parse-names":false,"suffix":""},{"dropping-particle":"","family":"Simonsick","given":"Eleanor M","non-dropping-particle":"","parse-names":false,"suffix":""},{"dropping-particle":"","family":"Harris","given":"Tamara B","non-dropping-particle":"","parse-names":false,"suffix":""}],"container-title":"The journals of gerontology. Series A, Biological sciences and medical sciences","id":"ITEM-4","issue":"3","issued":{"date-parts":[["2005","3"]]},"page":"324-33","title":"Muscle mass, muscle strength, and muscle fat infiltration as predictors of incident mobility limitations in well-functioning older persons.","type":"article-journal","volume":"60"},"uris":["http://www.mendeley.com/documents/?uuid=aafd258d-9bfd-47f2-9bf2-992c339f44e0"]},{"id":"ITEM-5","itemData":{"DOI":"10.1007/s40520-015-0517-y","ISSN":"1720-8319","PMID":"26717937","abstract":"PURPOSE: Sarcopenia is an age-related muscle condition which is frequently a precursor of frailty, mobility disability and premature death. It has a high prevalence in older populations and presents a considerable social and economic burden. Potential treatments are under development but, as yet, no guidelines support regulatory studies for new drugs to manage sarcopenia. The objective of this position paper is therefore to suggest a set of potential endpoints and target population definitions to stimulate debate and progress within the medico-scientific and regulatory communities.\n\nMETHODS: A multidisciplinary expert working group was hosted by the European Society for Clinical and Economic Aspects of Osteoporosis and Osteoarthritis, which reviewed and discussed the recent literature from a perspective of clinical experience and guideline development. Relevant parallels were drawn from the development of definition of osteoporosis as a disease and clinical assessment of pharmaceutical treatments for that indication.\n\nRESULTS: A case-finding decision tree is briefly reviewed with a discussion of recent prevalence estimations of different relevant threshold values. The selection criteria for patients in regulatory studies are discussed according to the aims of the investigation (sarcopenia prevention or treatment) and the stage of project development. The possible endpoints of such studies are reviewed and a plea is made for the establishment of a core outcome set to be used in all clinical trials of sarcopenia.\n\nCONCLUSIONS: The current lack of guidelines for the assessment of new therapeutic treatments for sarcopenia could potentially hinder the delivery of effective medicines to patients at risk.","author":[{"dropping-particle":"","family":"Reginster","given":"Jean-Yves","non-dropping-particle":"","parse-names":false,"suffix":""},{"dropping-particle":"","family":"Cooper","given":"Cyrus","non-dropping-particle":"","parse-names":false,"suffix":""},{"dropping-particle":"","family":"Rizzoli","given":"René","non-dropping-particle":"","parse-names":false,"suffix":""},{"dropping-particle":"","family":"Kanis","given":"John A.","non-dropping-particle":"","parse-names":false,"suffix":""},{"dropping-particle":"","family":"Appelboom","given":"Geoff","non-dropping-particle":"","parse-names":false,"suffix":""},{"dropping-particle":"","family":"Bautmans","given":"Ivan","non-dropping-particle":"","parse-names":false,"suffix":""},{"dropping-particle":"","family":"Bischoff-Ferrari","given":"Heike A.","non-dropping-particle":"","parse-names":false,"suffix":""},{"dropping-particle":"","family":"Boers","given":"Maarten","non-dropping-particle":"","parse-names":false,"suffix":""},{"dropping-particle":"","family":"Brandi","given":"Maria Luisa","non-dropping-particle":"","parse-names":false,"suffix":""},{"dropping-particle":"","family":"Bruyè","given":"• Olivier","non-dropping-particle":"","parse-names":false,"suffix":""},{"dropping-particle":"","family":"Cherubini","given":"Antonio","non-dropping-particle":"","parse-names":false,"suffix":""},{"dropping-particle":"","family":"Flamion","given":"Bruno","non-dropping-particle":"","parse-names":false,"suffix":""},{"dropping-particle":"","family":"Roger","given":"•","non-dropping-particle":"","parse-names":false,"suffix":""},{"dropping-particle":"","family":"Fielding","given":"A","non-dropping-particle":"","parse-names":false,"suffix":""},{"dropping-particle":"","family":"Andrea","given":"•","non-dropping-particle":"","parse-names":false,"suffix":""},{"dropping-particle":"","family":"Gasparik","given":"Ildiko","non-dropping-particle":"","parse-names":false,"suffix":""},{"dropping-particle":"","family":"Luc","given":"•","non-dropping-particle":"","parse-names":false,"suffix":""},{"dropping-particle":"","family":"Loon","given":"Van","non-dropping-particle":"","parse-names":false,"suffix":""},{"dropping-particle":"","family":"Mccloskey","given":"• Eugene","non-dropping-particle":"","parse-names":false,"suffix":""},{"dropping-particle":"","family":"Bruce","given":"•","non-dropping-particle":"","parse-names":false,"suffix":""},{"dropping-particle":"","family":"Mitlak","given":"H","non-dropping-particle":"","parse-names":false,"suffix":""},{"dropping-particle":"","family":"Pilotto","given":"Alberto","non-dropping-particle":"","parse-names":false,"suffix":""},{"dropping-particle":"","family":"Reiter-Niesert","given":"Suzanne","non-dropping-particle":"","parse-names":false,"suffix":""},{"dropping-particle":"","family":"Rolland","given":"Yves","non-dropping-particle":"","parse-names":false,"suffix":""},{"dropping-particle":"","family":"Tsouderos","given":"Yannis","non-dropping-particle":"","parse-names":false,"suffix":""},{"dropping-particle":"","family":"Marjolein Visser","given":"•","non-dropping-particle":"","parse-names":false,"suffix":""},{"dropping-particle":"","family":"Alfonso","given":"•","non-dropping-particle":"","parse-names":false,"suffix":""},{"dropping-particle":"","family":"Cruz-Jentoft","given":"J","non-dropping-particle":"","parse-names":false,"suffix":""},{"dropping-particle":"","family":"Bruy?re","given":"Olivier","non-dropping-particle":"","parse-names":false,"suffix":""},{"dropping-particle":"","family":"Cherubini","given":"Antonio","non-dropping-particle":"","parse-names":false,"suffix":""},{"dropping-particle":"","family":"Flamion","given":"Bruno","non-dropping-particle":"","parse-names":false,"suffix":""},{"dropping-particle":"","family":"Fielding","given":"Roger A.","non-dropping-particle":"","parse-names":false,"suffix":""},{"dropping-particle":"","family":"Gasparik","given":"Andrea Ildiko","non-dropping-particle":"","parse-names":false,"suffix":""},{"dropping-particle":"","family":"Loon","given":"Luc","non-dropping-particle":"Van","parse-names":false,"suffix":""},{"dropping-particle":"","family":"McCloskey","given":"Eugene","non-dropping-particle":"","parse-names":false,"suffix":""},{"dropping-particle":"","family":"Mitlak","given":"Bruce H.","non-dropping-particle":"","parse-names":false,"suffix":""},{"dropping-particle":"","family":"Pilotto","given":"Alberto","non-dropping-particle":"","parse-names":false,"suffix":""},{"dropping-particle":"","family":"Reiter-Niesert","given":"Suzanne","non-dropping-particle":"","parse-names":false,"suffix":""},{"dropping-particle":"","family":"Rolland","given":"Yves","non-dropping-particle":"","parse-names":false,"suffix":""},{"dropping-particle":"","family":"Tsouderos","given":"Yannis","non-dropping-particle":"","parse-names":false,"suffix":""},{"dropping-particle":"","family":"Visser","given":"Marjolein","non-dropping-particle":"","parse-names":false,"suffix":""},{"dropping-particle":"","family":"Cruz-Jentoft","given":"Alfonso J.","non-dropping-particle":"","parse-names":false,"suffix":""},{"dropping-particle":"","family":"Bruyère","given":"Olivier","non-dropping-particle":"","parse-names":false,"suffix":""},{"dropping-particle":"","family":"Cherubini","given":"Antonio","non-dropping-particle":"","parse-names":false,"suffix":""},{"dropping-particle":"","family":"Flamion","given":"Bruno","non-dropping-particle":"","parse-names":false,"suffix":""},{"dropping-particle":"","family":"Fielding","given":"Roger A.","non-dropping-particle":"","parse-names":false,"suffix":""},{"dropping-particle":"","family":"Gasparik","given":"Andrea Ildiko","non-dropping-particle":"","parse-names":false,"suffix":""},{"dropping-particle":"","family":"Loon","given":"Luc","non-dropping-particle":"Van","parse-names":false,"suffix":""},{"dropping-particle":"","family":"McCloskey","given":"Eugene","non-dropping-particle":"","parse-names":false,"suffix":""},{"dropping-particle":"","family":"Mitlak","given":"Bruce H.","non-dropping-particle":"","parse-names":false,"suffix":""},{"dropping-particle":"","family":"Pilotto","given":"Alberto","non-dropping-particle":"","parse-names":false,"suffix":""},{"dropping-particle":"","family":"Reiter-Niesert","given":"Suzanne","non-dropping-particle":"","parse-names":false,"suffix":""},{"dropping-particle":"","family":"Rolland","given":"Yves","non-dropping-particle":"","parse-names":false,"suffix":""},{"dropping-particle":"","family":"Tsouderos","given":"Yannis","non-dropping-particle":"","parse-names":false,"suffix":""},{"dropping-particle":"","family":"Visser","given":"Marjolein","non-dropping-particle":"","parse-names":false,"suffix":""},{"dropping-particle":"","family":"Cruz-Jentoft","given":"Alfonso J.","non-dropping-particle":"","parse-names":false,"suffix":""}],"container-title":"Aging clinical and experimental research","id":"ITEM-5","issue":"1","issued":{"date-parts":[["2016","2"]]},"page":"47-58","title":"Recommendations for the conduct of clinical trials for drugs to treat or prevent sarcopenia.","type":"article-journal","volume":"28"},"uris":["http://www.mendeley.com/documents/?uuid=1c5c1d62-61af-44e1-ba8a-7479bc3344f8"]}],"mendeley":{"formattedCitation":"[1, 13–16]","plainTextFormattedCitation":"[1, 13–16]","previouslyFormattedCitation":"[1, 13–16]"},"properties":{"noteIndex":0},"schema":"https://github.com/citation-style-language/schema/raw/master/csl-citation.json"}</w:instrText>
      </w:r>
      <w:r w:rsidR="00C4703E" w:rsidRPr="00B9449F">
        <w:rPr>
          <w:rFonts w:ascii="Palatino Linotype" w:hAnsi="Palatino Linotype"/>
          <w:lang w:val="en-GB"/>
        </w:rPr>
        <w:fldChar w:fldCharType="separate"/>
      </w:r>
      <w:r w:rsidR="00434FBF" w:rsidRPr="00434FBF">
        <w:rPr>
          <w:rFonts w:ascii="Palatino Linotype" w:hAnsi="Palatino Linotype"/>
          <w:noProof/>
          <w:lang w:val="en-GB"/>
        </w:rPr>
        <w:t>[1, 13–16]</w:t>
      </w:r>
      <w:r w:rsidR="00C4703E" w:rsidRPr="00B9449F">
        <w:rPr>
          <w:rFonts w:ascii="Palatino Linotype" w:hAnsi="Palatino Linotype"/>
          <w:lang w:val="en-GB"/>
        </w:rPr>
        <w:fldChar w:fldCharType="end"/>
      </w:r>
      <w:r w:rsidR="00C4703E" w:rsidRPr="00B9449F">
        <w:rPr>
          <w:rFonts w:ascii="Palatino Linotype" w:hAnsi="Palatino Linotype"/>
          <w:lang w:val="en-GB"/>
        </w:rPr>
        <w:t xml:space="preserve">. Based </w:t>
      </w:r>
      <w:r w:rsidR="00096A6B" w:rsidRPr="00B9449F">
        <w:rPr>
          <w:rFonts w:ascii="Palatino Linotype" w:hAnsi="Palatino Linotype"/>
          <w:lang w:val="en-GB"/>
        </w:rPr>
        <w:t>on these previous publications</w:t>
      </w:r>
      <w:r w:rsidR="00E54C3F" w:rsidRPr="00B9449F">
        <w:rPr>
          <w:rFonts w:ascii="Palatino Linotype" w:hAnsi="Palatino Linotype"/>
          <w:lang w:val="en-GB"/>
        </w:rPr>
        <w:t xml:space="preserve">, </w:t>
      </w:r>
      <w:r w:rsidR="00432506">
        <w:rPr>
          <w:rFonts w:ascii="Palatino Linotype" w:hAnsi="Palatino Linotype"/>
          <w:lang w:val="en-GB"/>
        </w:rPr>
        <w:t xml:space="preserve">as well as on </w:t>
      </w:r>
      <w:r w:rsidR="00E54C3F" w:rsidRPr="00B9449F">
        <w:rPr>
          <w:rFonts w:ascii="Palatino Linotype" w:hAnsi="Palatino Linotype"/>
          <w:lang w:val="en-GB"/>
        </w:rPr>
        <w:t>the experience acquired in the field of sarcopenia since</w:t>
      </w:r>
      <w:r w:rsidR="00096A6B" w:rsidRPr="00B9449F">
        <w:rPr>
          <w:rFonts w:ascii="Palatino Linotype" w:hAnsi="Palatino Linotype"/>
          <w:lang w:val="en-GB"/>
        </w:rPr>
        <w:t xml:space="preserve"> and ESCEO expert’s opinion,</w:t>
      </w:r>
      <w:r w:rsidR="00C4703E" w:rsidRPr="00B9449F">
        <w:rPr>
          <w:rFonts w:ascii="Palatino Linotype" w:hAnsi="Palatino Linotype"/>
          <w:lang w:val="en-GB"/>
        </w:rPr>
        <w:t xml:space="preserve"> we advocate</w:t>
      </w:r>
      <w:r w:rsidR="009F342B">
        <w:rPr>
          <w:rFonts w:ascii="Palatino Linotype" w:hAnsi="Palatino Linotype"/>
          <w:lang w:val="en-GB"/>
        </w:rPr>
        <w:t xml:space="preserve"> </w:t>
      </w:r>
      <w:r w:rsidR="00096A6B" w:rsidRPr="00B9449F">
        <w:rPr>
          <w:rFonts w:ascii="Palatino Linotype" w:hAnsi="Palatino Linotype"/>
          <w:lang w:val="en-GB"/>
        </w:rPr>
        <w:t>to recruit patients</w:t>
      </w:r>
      <w:r w:rsidR="00C0056D">
        <w:rPr>
          <w:rFonts w:ascii="Palatino Linotype" w:hAnsi="Palatino Linotype"/>
          <w:lang w:val="en-GB"/>
        </w:rPr>
        <w:t>, both for phase II or phase III trials,</w:t>
      </w:r>
      <w:r w:rsidR="00C0056D" w:rsidRPr="00B9449F">
        <w:rPr>
          <w:rFonts w:ascii="Palatino Linotype" w:hAnsi="Palatino Linotype"/>
          <w:lang w:val="en-GB"/>
        </w:rPr>
        <w:t xml:space="preserve"> </w:t>
      </w:r>
      <w:r w:rsidR="00AE4FF4">
        <w:rPr>
          <w:rFonts w:ascii="Palatino Linotype" w:hAnsi="Palatino Linotype"/>
          <w:lang w:val="en-GB"/>
        </w:rPr>
        <w:t>fulfilling</w:t>
      </w:r>
      <w:r w:rsidR="00096A6B" w:rsidRPr="00B9449F">
        <w:rPr>
          <w:rFonts w:ascii="Palatino Linotype" w:hAnsi="Palatino Linotype"/>
          <w:lang w:val="en-GB"/>
        </w:rPr>
        <w:t xml:space="preserve"> the following criteria: </w:t>
      </w:r>
    </w:p>
    <w:p w14:paraId="1EB7C16E" w14:textId="2177F713" w:rsidR="00F45717" w:rsidRPr="00B9449F" w:rsidRDefault="00F45717" w:rsidP="00C4703E">
      <w:pPr>
        <w:pStyle w:val="ListParagraph"/>
        <w:numPr>
          <w:ilvl w:val="0"/>
          <w:numId w:val="3"/>
        </w:numPr>
        <w:jc w:val="both"/>
        <w:rPr>
          <w:rFonts w:ascii="Palatino Linotype" w:hAnsi="Palatino Linotype"/>
          <w:bCs/>
          <w:color w:val="000000" w:themeColor="text1"/>
          <w:lang w:val="en-GB"/>
        </w:rPr>
      </w:pPr>
      <w:r w:rsidRPr="00B9449F">
        <w:rPr>
          <w:rFonts w:ascii="Palatino Linotype" w:hAnsi="Palatino Linotype"/>
          <w:bCs/>
          <w:color w:val="000000" w:themeColor="text1"/>
          <w:lang w:val="en-GB"/>
        </w:rPr>
        <w:t>Sex: both</w:t>
      </w:r>
    </w:p>
    <w:p w14:paraId="014BB128" w14:textId="2803B20B" w:rsidR="000B2444" w:rsidRPr="00B9449F" w:rsidRDefault="000B2444" w:rsidP="00C4703E">
      <w:pPr>
        <w:pStyle w:val="ListParagraph"/>
        <w:numPr>
          <w:ilvl w:val="0"/>
          <w:numId w:val="3"/>
        </w:numPr>
        <w:jc w:val="both"/>
        <w:rPr>
          <w:rFonts w:ascii="Palatino Linotype" w:hAnsi="Palatino Linotype"/>
          <w:bCs/>
          <w:color w:val="000000" w:themeColor="text1"/>
          <w:lang w:val="en-GB"/>
        </w:rPr>
      </w:pPr>
      <w:r w:rsidRPr="00B9449F">
        <w:rPr>
          <w:rFonts w:ascii="Palatino Linotype" w:hAnsi="Palatino Linotype"/>
          <w:bCs/>
          <w:color w:val="000000" w:themeColor="text1"/>
          <w:lang w:val="en-GB"/>
        </w:rPr>
        <w:t>Age</w:t>
      </w:r>
      <w:r w:rsidRPr="00B9449F">
        <w:rPr>
          <w:rFonts w:ascii="Palatino Linotype" w:hAnsi="Palatino Linotype"/>
          <w:bCs/>
          <w:i/>
          <w:iCs/>
          <w:color w:val="000000" w:themeColor="text1"/>
          <w:lang w:val="en-GB"/>
        </w:rPr>
        <w:t xml:space="preserve">: 70 years and </w:t>
      </w:r>
      <w:r w:rsidR="00B46B65">
        <w:rPr>
          <w:rFonts w:ascii="Palatino Linotype" w:hAnsi="Palatino Linotype"/>
          <w:bCs/>
          <w:i/>
          <w:iCs/>
          <w:color w:val="000000" w:themeColor="text1"/>
          <w:lang w:val="en-GB"/>
        </w:rPr>
        <w:t>older</w:t>
      </w:r>
      <w:r w:rsidR="00B46B65" w:rsidRPr="00B9449F">
        <w:rPr>
          <w:rFonts w:ascii="Palatino Linotype" w:hAnsi="Palatino Linotype"/>
          <w:bCs/>
          <w:color w:val="000000" w:themeColor="text1"/>
          <w:lang w:val="en-GB"/>
        </w:rPr>
        <w:t xml:space="preserve"> </w:t>
      </w:r>
      <w:r w:rsidR="00860402" w:rsidRPr="00B9449F">
        <w:rPr>
          <w:rFonts w:ascii="Palatino Linotype" w:hAnsi="Palatino Linotype"/>
          <w:bCs/>
          <w:color w:val="000000" w:themeColor="text1"/>
          <w:lang w:val="en-GB"/>
        </w:rPr>
        <w:t>with no upper age limit</w:t>
      </w:r>
      <w:r w:rsidR="00E54C3F" w:rsidRPr="00B9449F">
        <w:rPr>
          <w:rFonts w:ascii="Palatino Linotype" w:hAnsi="Palatino Linotype"/>
          <w:bCs/>
          <w:color w:val="000000" w:themeColor="text1"/>
          <w:lang w:val="en-GB"/>
        </w:rPr>
        <w:t xml:space="preserve">. </w:t>
      </w:r>
      <w:r w:rsidR="00E54C3F" w:rsidRPr="00B9449F">
        <w:rPr>
          <w:rFonts w:ascii="Palatino Linotype" w:hAnsi="Palatino Linotype"/>
          <w:lang w:val="en-GB"/>
        </w:rPr>
        <w:t xml:space="preserve">Even if traditionally, 65 has been taken as the entry point into old age, working patterns are shifting and, in </w:t>
      </w:r>
      <w:r w:rsidR="0062564C">
        <w:rPr>
          <w:rFonts w:ascii="Palatino Linotype" w:hAnsi="Palatino Linotype"/>
          <w:lang w:val="en-GB"/>
        </w:rPr>
        <w:t>Western</w:t>
      </w:r>
      <w:r w:rsidR="0062564C" w:rsidRPr="00B9449F">
        <w:rPr>
          <w:rFonts w:ascii="Palatino Linotype" w:hAnsi="Palatino Linotype"/>
          <w:lang w:val="en-GB"/>
        </w:rPr>
        <w:t xml:space="preserve"> </w:t>
      </w:r>
      <w:r w:rsidR="00E54C3F" w:rsidRPr="00B9449F">
        <w:rPr>
          <w:rFonts w:ascii="Palatino Linotype" w:hAnsi="Palatino Linotype"/>
          <w:lang w:val="en-GB"/>
        </w:rPr>
        <w:t xml:space="preserve">countries, it is often 70 years that is now considered as </w:t>
      </w:r>
      <w:r w:rsidR="009F7238">
        <w:rPr>
          <w:rFonts w:ascii="Palatino Linotype" w:hAnsi="Palatino Linotype"/>
          <w:lang w:val="en-GB"/>
        </w:rPr>
        <w:t xml:space="preserve">a threshold for old age. </w:t>
      </w:r>
      <w:r w:rsidR="007D3F6B">
        <w:rPr>
          <w:rFonts w:ascii="Palatino Linotype" w:hAnsi="Palatino Linotype"/>
          <w:lang w:val="en-GB"/>
        </w:rPr>
        <w:t xml:space="preserve">Moreover, the purpose of a clinical trial is obviously to obtain a benefit for the participants; in order to evaluate whether an intervention is beneficial, sarcopenia-related impairments must therefore be present </w:t>
      </w:r>
      <w:r w:rsidR="009F7238">
        <w:rPr>
          <w:rFonts w:ascii="Palatino Linotype" w:hAnsi="Palatino Linotype"/>
          <w:lang w:val="en-GB"/>
        </w:rPr>
        <w:t xml:space="preserve">to a relevant degree </w:t>
      </w:r>
      <w:r w:rsidR="007D3F6B">
        <w:rPr>
          <w:rFonts w:ascii="Palatino Linotype" w:hAnsi="Palatino Linotype"/>
          <w:lang w:val="en-GB"/>
        </w:rPr>
        <w:t xml:space="preserve">in the included population. </w:t>
      </w:r>
      <w:r w:rsidR="007608F9">
        <w:rPr>
          <w:rFonts w:ascii="Palatino Linotype" w:hAnsi="Palatino Linotype"/>
          <w:lang w:val="en-GB"/>
        </w:rPr>
        <w:t>Considering</w:t>
      </w:r>
      <w:r w:rsidR="007D3F6B">
        <w:rPr>
          <w:rFonts w:ascii="Palatino Linotype" w:hAnsi="Palatino Linotype"/>
          <w:lang w:val="en-GB"/>
        </w:rPr>
        <w:t xml:space="preserve"> that the prevalence of sarcopenia has been shown to increase with age, the</w:t>
      </w:r>
      <w:r w:rsidR="00E54C3F" w:rsidRPr="00B9449F">
        <w:rPr>
          <w:rFonts w:ascii="Palatino Linotype" w:hAnsi="Palatino Linotype"/>
          <w:lang w:val="en-GB"/>
        </w:rPr>
        <w:t xml:space="preserve"> ESCEO working group recommends the inclusion of individuals with a minimal age limit of 70 years</w:t>
      </w:r>
      <w:r w:rsidR="00333318">
        <w:rPr>
          <w:rFonts w:ascii="Palatino Linotype" w:hAnsi="Palatino Linotype"/>
          <w:lang w:val="en-GB"/>
        </w:rPr>
        <w:fldChar w:fldCharType="begin" w:fldLock="1"/>
      </w:r>
      <w:r w:rsidR="00333318">
        <w:rPr>
          <w:rFonts w:ascii="Palatino Linotype" w:hAnsi="Palatino Linotype"/>
          <w:lang w:val="en-GB"/>
        </w:rPr>
        <w:instrText>ADDIN CSL_CITATION {"citationItems":[{"id":"ITEM-1","itemData":{"DOI":"10.1007/s40520-016-0715-2","ISSN":"1720-8319","PMID":"28144914","abstract":"The sustainability of health and social care systems is threatened by a growing population of older persons with heterogeneous needs related to multimorbidity, frailty, and increased risk of functional impairment. Since disability is difficult to reverse in old age and is extremely burdensome for individuals and society, novel strategies should be devised to preserve adequate levels of function and independence in late life. The development of mobility disability, an early event in the disablement process, precedes and predicts more severe forms of inability. Its prevention is, therefore, critical to impede the transition to overt disability. For this reason, the Sarcopenia and Physical fRailty IN older people: multi-componenT Treatment strategies (SPRINTT) project is conducting a randomized controlled trial (RCT) to test a multicomponent intervention (MCI) specifically designed to prevent mobility disability in high-risk older persons. SPRINTT is a phase III, multicenter RCT aimed at comparing the efficacy of a MCI, based on long-term structured physical activity, nutritional counseling/dietary intervention, and an information and communication technology intervention, versus a healthy aging lifestyle education program designed to prevent mobility disability in 1500 older persons with physical frailty and sarcopenia who will be followed for up to 36 months. The primary outcome of the SPRINTT trial is mobility disability, operationalized as the inability to walk for 400 m within 15 min, without sitting, help of another person, or the use of a walker. Secondary outcomes include changes in muscle mass and strength, persistent mobility disability, falls and injurious falls, disability in activities of daily living, nutritional status, cognition, mood, the use of healthcare resources, cost-effectiveness analysis, quality of life, and mortality rate. SPRINTT results are expected to promote significant advancements in the management of frail older persons at high risk of disability from both clinical and regulatory perspectives. The findings are also projected to pave the way for major investments in the field of disability prevention in old age.","author":[{"dropping-particle":"","family":"Landi","given":"Francesco","non-dropping-particle":"","parse-names":false,"suffix":""},{"dropping-particle":"","family":"Cesari","given":"Matteo","non-dropping-particle":"","parse-names":false,"suffix":""},{"dropping-particle":"","family":"Calvani","given":"Riccardo","non-dropping-particle":"","parse-names":false,"suffix":""},{"dropping-particle":"","family":"Cherubini","given":"Antonio","non-dropping-particle":"","parse-names":false,"suffix":""},{"dropping-particle":"","family":"Bari","given":"Mauro","non-dropping-particle":"Di","parse-names":false,"suffix":""},{"dropping-particle":"","family":"Bejuit","given":"Raphael","non-dropping-particle":"","parse-names":false,"suffix":""},{"dropping-particle":"","family":"Mshid","given":"Jerome","non-dropping-particle":"","parse-names":false,"suffix":""},{"dropping-particle":"","family":"Andrieu","given":"Sandrine","non-dropping-particle":"","parse-names":false,"suffix":""},{"dropping-particle":"","family":"Sinclair","given":"Alan J.","non-dropping-particle":"","parse-names":false,"suffix":""},{"dropping-particle":"","family":"Sieber","given":"Cornel C.","non-dropping-particle":"","parse-names":false,"suffix":""},{"dropping-particle":"","family":"Vellas","given":"Bruno","non-dropping-particle":"","parse-names":false,"suffix":""},{"dropping-particle":"","family":"Topinkova","given":"Eva","non-dropping-particle":"","parse-names":false,"suffix":""},{"dropping-particle":"","family":"Strandberg","given":"Timo","non-dropping-particle":"","parse-names":false,"suffix":""},{"dropping-particle":"","family":"Rodriguez-Manas","given":"Leocadio","non-dropping-particle":"","parse-names":false,"suffix":""},{"dropping-particle":"","family":"Lattanzio","given":"Fabrizia","non-dropping-particle":"","parse-names":false,"suffix":""},{"dropping-particle":"","family":"Pahor","given":"Marco","non-dropping-particle":"","parse-names":false,"suffix":""},{"dropping-particle":"","family":"Roubenoff","given":"Ronenn","non-dropping-particle":"","parse-names":false,"suffix":""},{"dropping-particle":"","family":"Cruz-Jentoft","given":"Alfonso J.","non-dropping-particle":"","parse-names":false,"suffix":""},{"dropping-particle":"","family":"Bernabei","given":"Roberto","non-dropping-particle":"","parse-names":false,"suffix":""},{"dropping-particle":"","family":"Marzetti","given":"Emanuele","non-dropping-particle":"","parse-names":false,"suffix":""},{"dropping-particle":"","family":"SPRINTT Consortium","given":"","non-dropping-particle":"","parse-names":false,"suffix":""}],"container-title":"Aging Clinical and Experimental Research","id":"ITEM-1","issue":"1","issued":{"date-parts":[["2017","2"]]},"page":"89-100","title":"The “Sarcopenia and Physical fRailty IN older people: multi-componenT Treatment strategies” (SPRINTT) randomized controlled trial: design and methods","type":"article-journal","volume":"29"},"uris":["http://www.mendeley.com/documents/?uuid=fc2fc988-cce7-34fc-b5a4-4f1fd0678516"]},{"id":"ITEM-2","itemData":{"DOI":"10.1001/jama.2014.5616","ISSN":"1538-3598","PMID":"24866862","abstract":"IMPORTANCE In older adults reduced mobility is common and is an independent risk factor for morbidity, hospitalization, disability, and mortality. Limited evidence suggests that physical activity may help prevent mobility disability; however, there are no definitive clinical trials examining whether physical activity prevents or delays mobility disability. OBJECTIVE To test the hypothesis that a long-term structured physical activity program is more effective than a health education program (also referred to as a successful aging program) in reducing the risk of major mobility disability. DESIGN, SETTING, AND PARTICIPANTS The Lifestyle Interventions and Independence for Elders (LIFE) study was a multicenter, randomized trial that enrolled participants between February 2010 and December 2011, who participated for an average of 2.6 years. Follow-up ended in December 2013. Outcome assessors were blinded to the intervention assignment. Participants were recruited from urban, suburban, and rural communities at 8 centers throughout the United States. We randomized a volunteer sample of 1635 sedentary men and women aged 70 to 89 years who had physical limitations, defined as a score on the Short Physical Performance Battery of 9 or below, but were able to walk 400 m. INTERVENTIONS Participants were randomized to a structured, moderate-intensity physical activity program (n = 818) conducted in a center (twice/wk) and at home (3-4 times/wk) that included aerobic, resistance, and flexibility training activities or to a health education program (n = 817) consisting of workshops on topics relevant to older adults and upper extremity stretching exercises. MAIN OUTCOMES AND MEASURES The primary outcome was major mobility disability objectively defined by loss of ability to walk 400 m. RESULTS Incident major mobility disability occurred in 30.1% (246 participants) of the physical activity group and 35.5% (290 participants) of the health education group (hazard ratio [HR], 0.82 [95% CI, 0.69-0.98], P = .03).Persistent mobility disability was experienced by 120 participants (14.7%) in the physical activity group and 162 participants (19.8%) in the health education group (HR, 0.72 [95% CI, 0.57-0.91]; P = .006). Serious adverse events were reported by 404 participants (49.4%) in the physical activity group and 373 participants (45.7%) in the health education group (risk ratio, 1.08 [95% CI, 0.98-1.20]). CONCLUSIONS AND RELEVANCE A structured, moderate-intensity physical …","author":[{"dropping-particle":"","family":"Pahor","given":"Marco","non-dropping-particle":"","parse-names":false,"suffix":""},{"dropping-particle":"","family":"Guralnik","given":"Jack M","non-dropping-particle":"","parse-names":false,"suffix":""},{"dropping-particle":"","family":"Ambrosius","given":"Walter T","non-dropping-particle":"","parse-names":false,"suffix":""},{"dropping-particle":"","family":"Blair","given":"Steven","non-dropping-particle":"","parse-names":false,"suffix":""},{"dropping-particle":"","family":"Bonds","given":"Denise E","non-dropping-particle":"","parse-names":false,"suffix":""},{"dropping-particle":"","family":"Church","given":"Timothy S","non-dropping-particle":"","parse-names":false,"suffix":""},{"dropping-particle":"","family":"Espeland","given":"Mark A","non-dropping-particle":"","parse-names":false,"suffix":""},{"dropping-particle":"","family":"Fielding","given":"Roger A","non-dropping-particle":"","parse-names":false,"suffix":""},{"dropping-particle":"","family":"Gill","given":"Thomas M","non-dropping-particle":"","parse-names":false,"suffix":""},{"dropping-particle":"","family":"Groessl","given":"Erik J","non-dropping-particle":"","parse-names":false,"suffix":""},{"dropping-particle":"","family":"King","given":"Abby C","non-dropping-particle":"","parse-names":false,"suffix":""},{"dropping-particle":"","family":"Kritchevsky","given":"Stephen B","non-dropping-particle":"","parse-names":false,"suffix":""},{"dropping-particle":"","family":"Manini","given":"Todd M","non-dropping-particle":"","parse-names":false,"suffix":""},{"dropping-particle":"","family":"McDermott","given":"Mary M","non-dropping-particle":"","parse-names":false,"suffix":""},{"dropping-particle":"","family":"Miller","given":"Michael E","non-dropping-particle":"","parse-names":false,"suffix":""},{"dropping-particle":"","family":"Newman","given":"Anne B","non-dropping-particle":"","parse-names":false,"suffix":""},{"dropping-particle":"","family":"Rejeski","given":"W Jack","non-dropping-particle":"","parse-names":false,"suffix":""},{"dropping-particle":"","family":"Sink","given":"Kaycee M","non-dropping-particle":"","parse-names":false,"suffix":""},{"dropping-particle":"","family":"Williamson","given":"Jeff D","non-dropping-particle":"","parse-names":false,"suffix":""},{"dropping-particle":"","family":"LIFE study investigators","given":"","non-dropping-particle":"","parse-names":false,"suffix":""}],"container-title":"JAMA","id":"ITEM-2","issue":"23","issued":{"date-parts":[["2014","6","18"]]},"page":"2387-96","publisher":"NIH Public Access","title":"Effect of structured physical activity on prevention of major mobility disability in older adults: the LIFE study randomized clinical trial.","type":"article-journal","volume":"311"},"uris":["http://www.mendeley.com/documents/?uuid=d227bdbb-f4f9-3650-82d2-c79e360b1b70"]}],"mendeley":{"formattedCitation":"[17, 18]","plainTextFormattedCitation":"[17, 18]","previouslyFormattedCitation":"[17, 18]"},"properties":{"noteIndex":0},"schema":"https://github.com/citation-style-language/schema/raw/master/csl-citation.json"}</w:instrText>
      </w:r>
      <w:r w:rsidR="00333318">
        <w:rPr>
          <w:rFonts w:ascii="Palatino Linotype" w:hAnsi="Palatino Linotype"/>
          <w:lang w:val="en-GB"/>
        </w:rPr>
        <w:fldChar w:fldCharType="separate"/>
      </w:r>
      <w:r w:rsidR="00333318" w:rsidRPr="00333318">
        <w:rPr>
          <w:rFonts w:ascii="Palatino Linotype" w:hAnsi="Palatino Linotype"/>
          <w:noProof/>
          <w:lang w:val="en-GB"/>
        </w:rPr>
        <w:t>[17, 18]</w:t>
      </w:r>
      <w:r w:rsidR="00333318">
        <w:rPr>
          <w:rFonts w:ascii="Palatino Linotype" w:hAnsi="Palatino Linotype"/>
          <w:lang w:val="en-GB"/>
        </w:rPr>
        <w:fldChar w:fldCharType="end"/>
      </w:r>
      <w:r w:rsidR="007D3F6B">
        <w:rPr>
          <w:rFonts w:ascii="Palatino Linotype" w:hAnsi="Palatino Linotype"/>
          <w:lang w:val="en-GB"/>
        </w:rPr>
        <w:t>.</w:t>
      </w:r>
      <w:r w:rsidR="00333318">
        <w:rPr>
          <w:rFonts w:ascii="Palatino Linotype" w:hAnsi="Palatino Linotype"/>
          <w:lang w:val="en-GB"/>
        </w:rPr>
        <w:t xml:space="preserve"> </w:t>
      </w:r>
    </w:p>
    <w:p w14:paraId="0C923969" w14:textId="77777777" w:rsidR="000B2444" w:rsidRPr="00B9449F" w:rsidRDefault="000B2444" w:rsidP="00C4703E">
      <w:pPr>
        <w:pStyle w:val="ListParagraph"/>
        <w:numPr>
          <w:ilvl w:val="0"/>
          <w:numId w:val="3"/>
        </w:numPr>
        <w:jc w:val="both"/>
        <w:rPr>
          <w:rFonts w:ascii="Palatino Linotype" w:hAnsi="Palatino Linotype"/>
          <w:bCs/>
          <w:color w:val="000000" w:themeColor="text1"/>
          <w:lang w:val="en-GB"/>
        </w:rPr>
      </w:pPr>
      <w:r w:rsidRPr="00B9449F">
        <w:rPr>
          <w:rFonts w:ascii="Palatino Linotype" w:hAnsi="Palatino Linotype"/>
          <w:bCs/>
          <w:color w:val="000000" w:themeColor="text1"/>
          <w:lang w:val="en-GB"/>
        </w:rPr>
        <w:t xml:space="preserve">Physical abilities: </w:t>
      </w:r>
    </w:p>
    <w:p w14:paraId="21FE212B" w14:textId="01E3D6BA" w:rsidR="000B2444" w:rsidRPr="00B9449F" w:rsidRDefault="000B2444" w:rsidP="00C4703E">
      <w:pPr>
        <w:pStyle w:val="ListParagraph"/>
        <w:numPr>
          <w:ilvl w:val="1"/>
          <w:numId w:val="3"/>
        </w:numPr>
        <w:jc w:val="both"/>
        <w:rPr>
          <w:rFonts w:ascii="Palatino Linotype" w:hAnsi="Palatino Linotype"/>
          <w:bCs/>
          <w:color w:val="000000" w:themeColor="text1"/>
          <w:lang w:val="en-GB"/>
        </w:rPr>
      </w:pPr>
      <w:r w:rsidRPr="00B9449F">
        <w:rPr>
          <w:rFonts w:ascii="Palatino Linotype" w:hAnsi="Palatino Linotype"/>
          <w:bCs/>
          <w:i/>
          <w:iCs/>
          <w:color w:val="000000" w:themeColor="text1"/>
          <w:lang w:val="en-GB"/>
        </w:rPr>
        <w:t>Able to walk</w:t>
      </w:r>
      <w:r w:rsidR="00096A6B" w:rsidRPr="00B9449F">
        <w:rPr>
          <w:rFonts w:ascii="Palatino Linotype" w:hAnsi="Palatino Linotype"/>
          <w:bCs/>
          <w:color w:val="000000" w:themeColor="text1"/>
          <w:lang w:val="en-GB"/>
        </w:rPr>
        <w:t xml:space="preserve">, and preferably able </w:t>
      </w:r>
      <w:r w:rsidR="00C519BF">
        <w:rPr>
          <w:rFonts w:ascii="Palatino Linotype" w:hAnsi="Palatino Linotype"/>
          <w:bCs/>
          <w:color w:val="000000" w:themeColor="text1"/>
          <w:lang w:val="en-GB"/>
        </w:rPr>
        <w:t>to perform the 400-meter walk test</w:t>
      </w:r>
      <w:r w:rsidR="006D50D1">
        <w:rPr>
          <w:rFonts w:ascii="Palatino Linotype" w:hAnsi="Palatino Linotype"/>
          <w:bCs/>
          <w:color w:val="000000" w:themeColor="text1"/>
          <w:lang w:val="en-GB"/>
        </w:rPr>
        <w:t xml:space="preserve"> </w:t>
      </w:r>
      <w:r w:rsidR="00B46B65">
        <w:rPr>
          <w:rFonts w:ascii="Palatino Linotype" w:hAnsi="Palatino Linotype"/>
          <w:bCs/>
          <w:color w:val="000000" w:themeColor="text1"/>
          <w:lang w:val="en-GB"/>
        </w:rPr>
        <w:t xml:space="preserve">within 15 minutes and </w:t>
      </w:r>
      <w:r w:rsidR="006D50D1">
        <w:rPr>
          <w:rFonts w:ascii="Palatino Linotype" w:hAnsi="Palatino Linotype"/>
          <w:bCs/>
          <w:color w:val="000000" w:themeColor="text1"/>
          <w:lang w:val="en-GB"/>
        </w:rPr>
        <w:t>without sitting, leaning or the help of another person or walker</w:t>
      </w:r>
      <w:r w:rsidR="00E54C3F" w:rsidRPr="00B9449F">
        <w:rPr>
          <w:rFonts w:ascii="Palatino Linotype" w:hAnsi="Palatino Linotype"/>
          <w:bCs/>
          <w:color w:val="000000" w:themeColor="text1"/>
          <w:lang w:val="en-GB"/>
        </w:rPr>
        <w:t xml:space="preserve">. </w:t>
      </w:r>
      <w:r w:rsidR="00080530" w:rsidRPr="00B9449F">
        <w:rPr>
          <w:rFonts w:ascii="Palatino Linotype" w:hAnsi="Palatino Linotype"/>
          <w:lang w:val="en-GB"/>
        </w:rPr>
        <w:t>This inclusion criteri</w:t>
      </w:r>
      <w:r w:rsidR="00080530">
        <w:rPr>
          <w:rFonts w:ascii="Palatino Linotype" w:hAnsi="Palatino Linotype"/>
          <w:lang w:val="en-GB"/>
        </w:rPr>
        <w:t>on</w:t>
      </w:r>
      <w:r w:rsidR="00080530" w:rsidRPr="00B9449F">
        <w:rPr>
          <w:rFonts w:ascii="Palatino Linotype" w:hAnsi="Palatino Linotype"/>
          <w:lang w:val="en-GB"/>
        </w:rPr>
        <w:t xml:space="preserve"> </w:t>
      </w:r>
      <w:r w:rsidR="00080530">
        <w:rPr>
          <w:rFonts w:ascii="Palatino Linotype" w:hAnsi="Palatino Linotype"/>
          <w:lang w:val="en-GB"/>
        </w:rPr>
        <w:t>is</w:t>
      </w:r>
      <w:r w:rsidR="00080530" w:rsidRPr="00B9449F">
        <w:rPr>
          <w:rFonts w:ascii="Palatino Linotype" w:hAnsi="Palatino Linotype"/>
          <w:lang w:val="en-GB"/>
        </w:rPr>
        <w:t xml:space="preserve"> </w:t>
      </w:r>
      <w:r w:rsidR="00080530">
        <w:rPr>
          <w:rFonts w:ascii="Palatino Linotype" w:hAnsi="Palatino Linotype"/>
          <w:lang w:val="en-GB"/>
        </w:rPr>
        <w:t xml:space="preserve">important as many events results from </w:t>
      </w:r>
      <w:proofErr w:type="spellStart"/>
      <w:r w:rsidR="00080530">
        <w:rPr>
          <w:rFonts w:ascii="Palatino Linotype" w:hAnsi="Palatino Linotype"/>
          <w:lang w:val="en-GB"/>
        </w:rPr>
        <w:t>deambulation</w:t>
      </w:r>
      <w:proofErr w:type="spellEnd"/>
      <w:r w:rsidR="00080530">
        <w:rPr>
          <w:rFonts w:ascii="Palatino Linotype" w:hAnsi="Palatino Linotype"/>
          <w:lang w:val="en-GB"/>
        </w:rPr>
        <w:t xml:space="preserve"> (falls, fractures, pain) and may be of high relevance in the context of</w:t>
      </w:r>
      <w:r w:rsidR="00080530" w:rsidRPr="00B9449F">
        <w:rPr>
          <w:rFonts w:ascii="Palatino Linotype" w:hAnsi="Palatino Linotype"/>
          <w:lang w:val="en-GB"/>
        </w:rPr>
        <w:t xml:space="preserve"> primary and secondary outcome measurements.</w:t>
      </w:r>
    </w:p>
    <w:p w14:paraId="599830CE" w14:textId="77777777" w:rsidR="008A61D1" w:rsidRDefault="000B2444" w:rsidP="008A61D1">
      <w:pPr>
        <w:pStyle w:val="ListParagraph"/>
        <w:numPr>
          <w:ilvl w:val="1"/>
          <w:numId w:val="3"/>
        </w:numPr>
        <w:jc w:val="both"/>
        <w:rPr>
          <w:rFonts w:ascii="Palatino Linotype" w:hAnsi="Palatino Linotype"/>
          <w:bCs/>
          <w:color w:val="000000" w:themeColor="text1"/>
          <w:lang w:val="en-GB"/>
        </w:rPr>
      </w:pPr>
      <w:r w:rsidRPr="00B9449F">
        <w:rPr>
          <w:rFonts w:ascii="Palatino Linotype" w:hAnsi="Palatino Linotype"/>
          <w:bCs/>
          <w:i/>
          <w:iCs/>
          <w:color w:val="000000" w:themeColor="text1"/>
          <w:lang w:val="en-GB"/>
        </w:rPr>
        <w:t>Presenting a combination of a low grip strength + low physical performance</w:t>
      </w:r>
      <w:r w:rsidR="00E54C3F" w:rsidRPr="00B9449F">
        <w:rPr>
          <w:rFonts w:ascii="Palatino Linotype" w:hAnsi="Palatino Linotype"/>
          <w:bCs/>
          <w:color w:val="000000" w:themeColor="text1"/>
          <w:lang w:val="en-GB"/>
        </w:rPr>
        <w:t xml:space="preserve">. </w:t>
      </w:r>
    </w:p>
    <w:p w14:paraId="455B8D96" w14:textId="5D7E0548" w:rsidR="008A61D1" w:rsidRPr="008A61D1" w:rsidRDefault="008A61D1" w:rsidP="008A61D1">
      <w:pPr>
        <w:pStyle w:val="ListParagraph"/>
        <w:ind w:left="1080"/>
        <w:jc w:val="both"/>
        <w:rPr>
          <w:rFonts w:ascii="Palatino Linotype" w:hAnsi="Palatino Linotype"/>
          <w:bCs/>
          <w:color w:val="000000" w:themeColor="text1"/>
          <w:lang w:val="en-GB"/>
        </w:rPr>
      </w:pPr>
      <w:r>
        <w:rPr>
          <w:rFonts w:ascii="Palatino Linotype" w:hAnsi="Palatino Linotype"/>
          <w:lang w:val="en-GB"/>
        </w:rPr>
        <w:t>W</w:t>
      </w:r>
      <w:r w:rsidRPr="008A61D1">
        <w:rPr>
          <w:rFonts w:ascii="Palatino Linotype" w:hAnsi="Palatino Linotype"/>
          <w:lang w:val="en-GB"/>
        </w:rPr>
        <w:t>e recommend identifying the target population through objective measure</w:t>
      </w:r>
      <w:r w:rsidR="009F7238">
        <w:rPr>
          <w:rFonts w:ascii="Palatino Linotype" w:hAnsi="Palatino Linotype"/>
          <w:lang w:val="en-GB"/>
        </w:rPr>
        <w:t>s</w:t>
      </w:r>
      <w:r w:rsidRPr="008A61D1">
        <w:rPr>
          <w:rFonts w:ascii="Palatino Linotype" w:hAnsi="Palatino Linotype"/>
          <w:lang w:val="en-GB"/>
        </w:rPr>
        <w:t xml:space="preserve"> of muscle strength and physical performance. Participants could be enrolled in </w:t>
      </w:r>
      <w:r w:rsidR="009F7238">
        <w:rPr>
          <w:rFonts w:ascii="Palatino Linotype" w:hAnsi="Palatino Linotype"/>
          <w:lang w:val="en-GB"/>
        </w:rPr>
        <w:t>a</w:t>
      </w:r>
      <w:r w:rsidRPr="008A61D1">
        <w:rPr>
          <w:rFonts w:ascii="Palatino Linotype" w:hAnsi="Palatino Linotype"/>
          <w:lang w:val="en-GB"/>
        </w:rPr>
        <w:t xml:space="preserve"> trial if they present both a reduction of their muscle strength capacities and of their physical performance capacities</w:t>
      </w:r>
      <w:r w:rsidR="00333318">
        <w:rPr>
          <w:rFonts w:ascii="Palatino Linotype" w:hAnsi="Palatino Linotype"/>
          <w:lang w:val="en-GB"/>
        </w:rPr>
        <w:fldChar w:fldCharType="begin" w:fldLock="1"/>
      </w:r>
      <w:r w:rsidR="001B65C6">
        <w:rPr>
          <w:rFonts w:ascii="Palatino Linotype" w:hAnsi="Palatino Linotype"/>
          <w:lang w:val="en-GB"/>
        </w:rPr>
        <w:instrText>ADDIN CSL_CITATION {"citationItems":[{"id":"ITEM-1","itemData":{"ISSN":"1079-5006","PMID":"15860469","abstract":"BACKGROUND: Lower muscle mass has been correlated with poor physical function; however, no studies have examined this relationship prospectively. This study aims to investigate whether low muscle mass, low muscle strength, and greater fat infiltration into the muscle predict incident mobility limitation.\n\nMETHODS: Our study cohort included 3075 well-functioning black and white men and women aged 70-79 years participating in the Health, Aging, and Body Composition study. Participants were followed for 2.5 years. Muscle cross-sectional area and muscle tissue attenuation (a measure of fat infiltration) were measured by computed tomography at the mid-thigh, and knee extensor strength by using a KinCom dynamometer. Incident mobility limitation was defined as two consecutive self-reports of any difficulty walking one-quarter mile or climbing 10 steps.\n\nRESULTS: Mobility limitations were developed by 22.3% of the men and by 31.8% of the women. Cox's proportional hazards models, adjusting for demographic, lifestyle, and health factors, showed a hazard ratio of 1.90 [95% confidence interval (CI), 1.27-2.84] in men and 1.68 (95% CI, 1.23-2.31) in women for the lowest compared to the highest quartile of muscle area (p &lt;.01 for trend). Results for muscle strength were 2.02 (95% CI, 1.39-2.94) and 1.91 (95% CI, 1.41-2.58), p &lt;.001 trend, and for muscle attenuation were 1.91 (95% CI, 1.31-2.83) and 1.68 (95% CI, 1.20-2.35), p &lt;.01 for trend. When included in one model, only muscle attenuation and muscle strength independently predicted mobility limitation (p &lt; .05). Among men and women, associations were similar for blacks and whites.\n\nCONCLUSION: Lower muscle mass (smaller cross-sectional thigh muscle area), greater fat infiltration into the muscle, and lower knee extensor muscle strength are associated with increased risk of mobility loss in older men and women. The association between low muscle mass and functional decline seems to be a function of underlying muscle strength.","author":[{"dropping-particle":"","family":"Visser","given":"Marjolein","non-dropping-particle":"","parse-names":false,"suffix":""},{"dropping-particle":"","family":"Goodpaster","given":"Bret H","non-dropping-particle":"","parse-names":false,"suffix":""},{"dropping-particle":"","family":"Kritchevsky","given":"Stephen B","non-dropping-particle":"","parse-names":false,"suffix":""},{"dropping-particle":"","family":"Newman","given":"Anne B","non-dropping-particle":"","parse-names":false,"suffix":""},{"dropping-particle":"","family":"Nevitt","given":"Michael","non-dropping-particle":"","parse-names":false,"suffix":""},{"dropping-particle":"","family":"Rubin","given":"Susan M","non-dropping-particle":"","parse-names":false,"suffix":""},{"dropping-particle":"","family":"Simonsick","given":"Eleanor M","non-dropping-particle":"","parse-names":false,"suffix":""},{"dropping-particle":"","family":"Harris","given":"Tamara B","non-dropping-particle":"","parse-names":false,"suffix":""}],"container-title":"The journals of gerontology. Series A, Biological sciences and medical sciences","id":"ITEM-1","issue":"3","issued":{"date-parts":[["2005","3"]]},"page":"324-33","title":"Muscle mass, muscle strength, and muscle fat infiltration as predictors of incident mobility limitations in well-functioning older persons.","type":"article-journal","volume":"60"},"uris":["http://www.mendeley.com/documents/?uuid=aafd258d-9bfd-47f2-9bf2-992c339f44e0"]},{"id":"ITEM-2","itemData":{"DOI":"10.1111/jgs.16372","ISSN":"15325415","abstract":"OBJECTIVES: To develop an evidence-based definition of sarcopenia that can facilitate identification of older adults at risk for clinically relevant outcomes (eg, self-reported mobility limitation, falls, fractures, and mortality), the Sarcopenia Definition and Outcomes Consortium (SDOC) crafted a set of position statements informed by a literature review and SDOC's analyses of eight epidemiologic studies, six randomized clinical trials, four cohort studies of special populations, and two nationally representative population-based studies. METHODS: Thirteen position statements related to the putative components of a sarcopenia definition, informed by the SDOC analyses and literature synthesis, were reviewed by an independent international expert panel (panel) iteratively and voted on by the panel during the Sarcopenia Position Statement Conference. Four position statements related to grip strength, three to lean mass derived from dual-energy x-ray absorptiometry (DXA), and four to gait speed; two were summary statements. RESULTS: The SDOC analyses identified grip strength, either absolute or scaled to measures of body size, as an important discriminator of slowness. Both low grip strength and low usual gait speed independently predicted falls, self-reported mobility limitation, hip fractures, and mortality in community-dwelling older adults. Lean mass measured by DXA was not associated with incident adverse health-related outcomes in community-dwelling older adults with or without adjustment for body size. CONCLUSION: The panel agreed that both weakness defined by low grip strength and slowness defined by low usual gait speed should be included in the definition of sarcopenia. These position statements offer a rational basis for an evidence-based definition of sarcopenia. The analyses that informed these position statements are summarized in this article and discussed in accompanying articles in this issue of the journal.","author":[{"dropping-particle":"","family":"Bhasin","given":"Shalender","non-dropping-particle":"","parse-names":false,"suffix":""},{"dropping-particle":"","family":"Travison","given":"Thomas G.","non-dropping-particle":"","parse-names":false,"suffix":""},{"dropping-particle":"","family":"Manini","given":"Todd M.","non-dropping-particle":"","parse-names":false,"suffix":""},{"dropping-particle":"","family":"Patel","given":"Sheena","non-dropping-particle":"","parse-names":false,"suffix":""},{"dropping-particle":"","family":"Pencina","given":"Karol M.","non-dropping-particle":"","parse-names":false,"suffix":""},{"dropping-particle":"","family":"Fielding","given":"Roger A.","non-dropping-particle":"","parse-names":false,"suffix":""},{"dropping-particle":"","family":"Magaziner","given":"Jay M.","non-dropping-particle":"","parse-names":false,"suffix":""},{"dropping-particle":"","family":"Newman","given":"Anne B.","non-dropping-particle":"","parse-names":false,"suffix":""},{"dropping-particle":"","family":"Kiel","given":"Douglas P.","non-dropping-particle":"","parse-names":false,"suffix":""},{"dropping-particle":"","family":"Cooper","given":"Cyrus","non-dropping-particle":"","parse-names":false,"suffix":""},{"dropping-particle":"","family":"Guralnik","given":"Jack M.","non-dropping-particle":"","parse-names":false,"suffix":""},{"dropping-particle":"","family":"Cauley","given":"Jane A.","non-dropping-particle":"","parse-names":false,"suffix":""},{"dropping-particle":"","family":"Arai","given":"Hidenori","non-dropping-particle":"","parse-names":false,"suffix":""},{"dropping-particle":"","family":"Clark","given":"Brian C.","non-dropping-particle":"","parse-names":false,"suffix":""},{"dropping-particle":"","family":"Landi","given":"Francesco","non-dropping-particle":"","parse-names":false,"suffix":""},{"dropping-particle":"","family":"Schaap","given":"Laura A.","non-dropping-particle":"","parse-names":false,"suffix":""},{"dropping-particle":"","family":"Pereira","given":"Suzette L.","non-dropping-particle":"","parse-names":false,"suffix":""},{"dropping-particle":"","family":"Rooks","given":"Daniel","non-dropping-particle":"","parse-names":false,"suffix":""},{"dropping-particle":"","family":"Woo","given":"Jean","non-dropping-particle":"","parse-names":false,"suffix":""},{"dropping-particle":"","family":"Woodhouse","given":"Linda J.","non-dropping-particle":"","parse-names":false,"suffix":""},{"dropping-particle":"","family":"Binder","given":"Ellen","non-dropping-particle":"","parse-names":false,"suffix":""},{"dropping-particle":"","family":"Brown","given":"Todd","non-dropping-particle":"","parse-names":false,"suffix":""},{"dropping-particle":"","family":"Shardell","given":"Michelle","non-dropping-particle":"","parse-names":false,"suffix":""},{"dropping-particle":"","family":"Xue","given":"Quian Li","non-dropping-particle":"","parse-names":false,"suffix":""},{"dropping-particle":"","family":"D</w:instrText>
      </w:r>
      <w:r w:rsidR="001B65C6">
        <w:rPr>
          <w:rFonts w:ascii="Times New Roman" w:hAnsi="Times New Roman" w:cs="Times New Roman"/>
          <w:lang w:val="en-GB"/>
        </w:rPr>
        <w:instrText>ʼ</w:instrText>
      </w:r>
      <w:r w:rsidR="001B65C6">
        <w:rPr>
          <w:rFonts w:ascii="Palatino Linotype" w:hAnsi="Palatino Linotype"/>
          <w:lang w:val="en-GB"/>
        </w:rPr>
        <w:instrText>Agostino","given":"Ralph B.","non-dropping-particle":"","parse-names":false,"suffix":""},{"dropping-particle":"","family":"Orwig","given":"Denise","non-dropping-particle":"","parse-names":false,"suffix":""},{"dropping-particle":"","family":"Gorsicki","given":"Greg","non-dropping-particle":"","parse-names":false,"suffix":""},{"dropping-particle":"","family":"Correa-De-Araujo","given":"Rosaly","non-dropping-particle":"","parse-names":false,"suffix":""},{"dropping-particle":"","family":"Cawthon","given":"Peggy M.","non-dropping-particle":"","parse-names":false,"suffix":""}],"container-title":"Journal of the American Geriatrics Society","id":"ITEM-2","issued":{"date-parts":[["2020","3","9"]]},"publisher":"Blackwell Publishing Inc.","title":"Sarcopenia Definition: The Position Statements of the Sarcopenia Definition and Outcomes Consortium","type":"article-journal"},"uris":["http://www.mendeley.com/documents/?uuid=390a8b8d-f2a0-3c17-b35b-24ec13931657"]}],"mendeley":{"formattedCitation":"[6, 16]","plainTextFormattedCitation":"[6, 16]","previouslyFormattedCitation":"[6, 16]"},"properties":{"noteIndex":0},"schema":"https://github.com/citation-style-language/schema/raw/master/csl-citation.json"}</w:instrText>
      </w:r>
      <w:r w:rsidR="00333318">
        <w:rPr>
          <w:rFonts w:ascii="Palatino Linotype" w:hAnsi="Palatino Linotype"/>
          <w:lang w:val="en-GB"/>
        </w:rPr>
        <w:fldChar w:fldCharType="separate"/>
      </w:r>
      <w:r w:rsidR="0038101C" w:rsidRPr="0038101C">
        <w:rPr>
          <w:rFonts w:ascii="Palatino Linotype" w:hAnsi="Palatino Linotype"/>
          <w:noProof/>
          <w:lang w:val="en-GB"/>
        </w:rPr>
        <w:t>[6, 16]</w:t>
      </w:r>
      <w:r w:rsidR="00333318">
        <w:rPr>
          <w:rFonts w:ascii="Palatino Linotype" w:hAnsi="Palatino Linotype"/>
          <w:lang w:val="en-GB"/>
        </w:rPr>
        <w:fldChar w:fldCharType="end"/>
      </w:r>
      <w:r w:rsidRPr="008A61D1">
        <w:rPr>
          <w:rFonts w:ascii="Palatino Linotype" w:hAnsi="Palatino Linotype"/>
          <w:lang w:val="en-GB"/>
        </w:rPr>
        <w:t xml:space="preserve">. This “sarcopenia risk profile” could optimize the </w:t>
      </w:r>
      <w:r w:rsidR="009F7238">
        <w:rPr>
          <w:rFonts w:ascii="Palatino Linotype" w:hAnsi="Palatino Linotype"/>
          <w:lang w:val="en-GB"/>
        </w:rPr>
        <w:t>probability</w:t>
      </w:r>
      <w:r w:rsidRPr="008A61D1">
        <w:rPr>
          <w:rFonts w:ascii="Palatino Linotype" w:hAnsi="Palatino Linotype"/>
          <w:lang w:val="en-GB"/>
        </w:rPr>
        <w:t xml:space="preserve"> to detect a meaningful difference between intervention and control group.</w:t>
      </w:r>
    </w:p>
    <w:p w14:paraId="270E2DB6" w14:textId="1D8F3903" w:rsidR="00F6786D" w:rsidRPr="008B7FA3" w:rsidRDefault="008A61D1" w:rsidP="008B7FA3">
      <w:pPr>
        <w:pStyle w:val="ListParagraph"/>
        <w:ind w:left="1080"/>
        <w:jc w:val="both"/>
        <w:rPr>
          <w:rFonts w:ascii="Palatino Linotype" w:hAnsi="Palatino Linotype"/>
          <w:lang w:val="en-GB"/>
        </w:rPr>
      </w:pPr>
      <w:r>
        <w:rPr>
          <w:rFonts w:ascii="Palatino Linotype" w:hAnsi="Palatino Linotype"/>
          <w:lang w:val="en-GB"/>
        </w:rPr>
        <w:t xml:space="preserve">We acknowledge that muscle mass </w:t>
      </w:r>
      <w:r w:rsidR="009F7238">
        <w:rPr>
          <w:rFonts w:ascii="Palatino Linotype" w:hAnsi="Palatino Linotype"/>
          <w:lang w:val="en-GB"/>
        </w:rPr>
        <w:t>has been</w:t>
      </w:r>
      <w:r>
        <w:rPr>
          <w:rFonts w:ascii="Palatino Linotype" w:hAnsi="Palatino Linotype"/>
          <w:lang w:val="en-GB"/>
        </w:rPr>
        <w:t xml:space="preserve"> an </w:t>
      </w:r>
      <w:r w:rsidR="004565D1">
        <w:rPr>
          <w:rFonts w:ascii="Palatino Linotype" w:hAnsi="Palatino Linotype"/>
          <w:lang w:val="en-GB"/>
        </w:rPr>
        <w:t xml:space="preserve">important </w:t>
      </w:r>
      <w:r w:rsidR="00B46B65">
        <w:rPr>
          <w:rFonts w:ascii="Palatino Linotype" w:hAnsi="Palatino Linotype"/>
          <w:lang w:val="en-GB"/>
        </w:rPr>
        <w:t xml:space="preserve">diagnostic </w:t>
      </w:r>
      <w:r w:rsidR="004565D1">
        <w:rPr>
          <w:rFonts w:ascii="Palatino Linotype" w:hAnsi="Palatino Linotype"/>
          <w:lang w:val="en-GB"/>
        </w:rPr>
        <w:t>criterion</w:t>
      </w:r>
      <w:r w:rsidR="008B7FA3">
        <w:rPr>
          <w:rFonts w:ascii="Palatino Linotype" w:hAnsi="Palatino Linotype"/>
          <w:lang w:val="en-GB"/>
        </w:rPr>
        <w:t xml:space="preserve"> for sarcopenia. But, so far,</w:t>
      </w:r>
      <w:r w:rsidR="008B7FA3" w:rsidRPr="008B7FA3">
        <w:rPr>
          <w:rFonts w:ascii="Palatino Linotype" w:hAnsi="Palatino Linotype"/>
          <w:lang w:val="en-GB"/>
        </w:rPr>
        <w:t xml:space="preserve"> </w:t>
      </w:r>
      <w:r w:rsidR="009F7238">
        <w:rPr>
          <w:rFonts w:ascii="Palatino Linotype" w:hAnsi="Palatino Linotype"/>
          <w:lang w:val="en-GB"/>
        </w:rPr>
        <w:t>low</w:t>
      </w:r>
      <w:r w:rsidR="008B7FA3" w:rsidRPr="00B9449F">
        <w:rPr>
          <w:rFonts w:ascii="Palatino Linotype" w:hAnsi="Palatino Linotype"/>
          <w:lang w:val="en-GB"/>
        </w:rPr>
        <w:t xml:space="preserve"> muscle mass has been shown to be less related to health-related outcomes, as compared with other sarcopenia </w:t>
      </w:r>
      <w:r w:rsidR="009E5EA4" w:rsidRPr="00B9449F">
        <w:rPr>
          <w:rFonts w:ascii="Palatino Linotype" w:hAnsi="Palatino Linotype"/>
          <w:lang w:val="en-GB"/>
        </w:rPr>
        <w:t>criteri</w:t>
      </w:r>
      <w:r w:rsidR="009E5EA4">
        <w:rPr>
          <w:rFonts w:ascii="Palatino Linotype" w:hAnsi="Palatino Linotype"/>
          <w:lang w:val="en-GB"/>
        </w:rPr>
        <w:t>a</w:t>
      </w:r>
      <w:r w:rsidR="008B7FA3" w:rsidRPr="00B9449F">
        <w:rPr>
          <w:rFonts w:ascii="Palatino Linotype" w:hAnsi="Palatino Linotype"/>
          <w:lang w:val="en-GB"/>
        </w:rPr>
        <w:t xml:space="preserve">. Moreover, there are still important methodological issues </w:t>
      </w:r>
      <w:r w:rsidR="009F7238">
        <w:rPr>
          <w:rFonts w:ascii="Palatino Linotype" w:hAnsi="Palatino Linotype"/>
          <w:lang w:val="en-GB"/>
        </w:rPr>
        <w:t>with</w:t>
      </w:r>
      <w:r w:rsidR="008B7FA3" w:rsidRPr="00B9449F">
        <w:rPr>
          <w:rFonts w:ascii="Palatino Linotype" w:hAnsi="Palatino Linotype"/>
          <w:lang w:val="en-GB"/>
        </w:rPr>
        <w:t xml:space="preserve"> regard </w:t>
      </w:r>
      <w:r w:rsidR="009F7238">
        <w:rPr>
          <w:rFonts w:ascii="Palatino Linotype" w:hAnsi="Palatino Linotype"/>
          <w:lang w:val="en-GB"/>
        </w:rPr>
        <w:t>to</w:t>
      </w:r>
      <w:r w:rsidR="008B7FA3" w:rsidRPr="00B9449F">
        <w:rPr>
          <w:rFonts w:ascii="Palatino Linotype" w:hAnsi="Palatino Linotype"/>
          <w:lang w:val="en-GB"/>
        </w:rPr>
        <w:t xml:space="preserve"> the measurement</w:t>
      </w:r>
      <w:r w:rsidR="009F7238">
        <w:rPr>
          <w:rFonts w:ascii="Palatino Linotype" w:hAnsi="Palatino Linotype"/>
          <w:lang w:val="en-GB"/>
        </w:rPr>
        <w:t xml:space="preserve"> </w:t>
      </w:r>
      <w:r w:rsidR="008B7FA3" w:rsidRPr="00B9449F">
        <w:rPr>
          <w:rFonts w:ascii="Palatino Linotype" w:hAnsi="Palatino Linotype"/>
          <w:lang w:val="en-GB"/>
        </w:rPr>
        <w:t xml:space="preserve">of muscle </w:t>
      </w:r>
      <w:r w:rsidR="008B7FA3" w:rsidRPr="00B9449F">
        <w:rPr>
          <w:rFonts w:ascii="Palatino Linotype" w:hAnsi="Palatino Linotype"/>
          <w:lang w:val="en-GB"/>
        </w:rPr>
        <w:lastRenderedPageBreak/>
        <w:t>mas</w:t>
      </w:r>
      <w:r w:rsidR="009F7238">
        <w:rPr>
          <w:rFonts w:ascii="Palatino Linotype" w:hAnsi="Palatino Linotype"/>
          <w:lang w:val="en-GB"/>
        </w:rPr>
        <w:t>s</w:t>
      </w:r>
      <w:r w:rsidR="008B7FA3" w:rsidRPr="00B9449F">
        <w:rPr>
          <w:rFonts w:ascii="Palatino Linotype" w:hAnsi="Palatino Linotype"/>
          <w:lang w:val="en-GB"/>
        </w:rPr>
        <w:t xml:space="preserve">. </w:t>
      </w:r>
      <w:r w:rsidR="008B7FA3">
        <w:rPr>
          <w:rFonts w:ascii="Palatino Linotype" w:hAnsi="Palatino Linotype"/>
          <w:lang w:val="en-GB"/>
        </w:rPr>
        <w:t>Therefore, i</w:t>
      </w:r>
      <w:r w:rsidR="003B37AF" w:rsidRPr="008B7FA3">
        <w:rPr>
          <w:rFonts w:ascii="Palatino Linotype" w:hAnsi="Palatino Linotype"/>
          <w:lang w:val="en-GB"/>
        </w:rPr>
        <w:t>ntervention</w:t>
      </w:r>
      <w:r w:rsidR="00AF08CB" w:rsidRPr="008B7FA3">
        <w:rPr>
          <w:rFonts w:ascii="Palatino Linotype" w:hAnsi="Palatino Linotype"/>
          <w:lang w:val="en-GB"/>
        </w:rPr>
        <w:t>s</w:t>
      </w:r>
      <w:r w:rsidR="003B37AF" w:rsidRPr="008B7FA3">
        <w:rPr>
          <w:rFonts w:ascii="Palatino Linotype" w:hAnsi="Palatino Linotype"/>
          <w:lang w:val="en-GB"/>
        </w:rPr>
        <w:t xml:space="preserve"> for sarcopenia should not be restricted to sarcopenic patients, </w:t>
      </w:r>
      <w:r w:rsidR="00B46B65">
        <w:rPr>
          <w:rFonts w:ascii="Palatino Linotype" w:hAnsi="Palatino Linotype"/>
          <w:lang w:val="en-GB"/>
        </w:rPr>
        <w:t>thus not be limited to</w:t>
      </w:r>
      <w:r w:rsidR="003B37AF" w:rsidRPr="008B7FA3">
        <w:rPr>
          <w:rFonts w:ascii="Palatino Linotype" w:hAnsi="Palatino Linotype"/>
          <w:lang w:val="en-GB"/>
        </w:rPr>
        <w:t xml:space="preserve"> participants presenting </w:t>
      </w:r>
      <w:r w:rsidR="00061138">
        <w:rPr>
          <w:rFonts w:ascii="Palatino Linotype" w:hAnsi="Palatino Linotype"/>
          <w:lang w:val="en-GB"/>
        </w:rPr>
        <w:t>with</w:t>
      </w:r>
      <w:r w:rsidR="003B37AF" w:rsidRPr="008B7FA3">
        <w:rPr>
          <w:rFonts w:ascii="Palatino Linotype" w:hAnsi="Palatino Linotype"/>
          <w:lang w:val="en-GB"/>
        </w:rPr>
        <w:t xml:space="preserve"> low muscle mass </w:t>
      </w:r>
      <w:r w:rsidR="00E54C3F" w:rsidRPr="008B7FA3">
        <w:rPr>
          <w:rFonts w:ascii="Palatino Linotype" w:hAnsi="Palatino Linotype"/>
          <w:lang w:val="en-GB"/>
        </w:rPr>
        <w:t>combined with</w:t>
      </w:r>
      <w:r w:rsidR="003B37AF" w:rsidRPr="008B7FA3">
        <w:rPr>
          <w:rFonts w:ascii="Palatino Linotype" w:hAnsi="Palatino Linotype"/>
          <w:lang w:val="en-GB"/>
        </w:rPr>
        <w:t xml:space="preserve"> low muscle strength. To enlarge inclusion criteria, it has been decided to leave out muscle mass as inclusion </w:t>
      </w:r>
      <w:r w:rsidR="009E5EA4" w:rsidRPr="008B7FA3">
        <w:rPr>
          <w:rFonts w:ascii="Palatino Linotype" w:hAnsi="Palatino Linotype"/>
          <w:lang w:val="en-GB"/>
        </w:rPr>
        <w:t>criteri</w:t>
      </w:r>
      <w:r w:rsidR="009E5EA4">
        <w:rPr>
          <w:rFonts w:ascii="Palatino Linotype" w:hAnsi="Palatino Linotype"/>
          <w:lang w:val="en-GB"/>
        </w:rPr>
        <w:t>on (at least, to date)</w:t>
      </w:r>
      <w:r w:rsidR="004565D1" w:rsidRPr="008B7FA3">
        <w:rPr>
          <w:rFonts w:ascii="Palatino Linotype" w:hAnsi="Palatino Linotype"/>
          <w:lang w:val="en-GB"/>
        </w:rPr>
        <w:t>,</w:t>
      </w:r>
      <w:r w:rsidR="002B13F7" w:rsidRPr="008B7FA3">
        <w:rPr>
          <w:rFonts w:ascii="Palatino Linotype" w:hAnsi="Palatino Linotype"/>
          <w:lang w:val="en-GB"/>
        </w:rPr>
        <w:t xml:space="preserve"> but we </w:t>
      </w:r>
      <w:r w:rsidR="009E1CEE">
        <w:rPr>
          <w:rFonts w:ascii="Palatino Linotype" w:hAnsi="Palatino Linotype"/>
          <w:lang w:val="en-GB"/>
        </w:rPr>
        <w:t>underline</w:t>
      </w:r>
      <w:r w:rsidR="009E1CEE" w:rsidRPr="008B7FA3">
        <w:rPr>
          <w:rFonts w:ascii="Palatino Linotype" w:hAnsi="Palatino Linotype"/>
          <w:lang w:val="en-GB"/>
        </w:rPr>
        <w:t xml:space="preserve"> </w:t>
      </w:r>
      <w:r w:rsidR="002B13F7" w:rsidRPr="008B7FA3">
        <w:rPr>
          <w:rFonts w:ascii="Palatino Linotype" w:hAnsi="Palatino Linotype"/>
          <w:lang w:val="en-GB"/>
        </w:rPr>
        <w:t>that this</w:t>
      </w:r>
      <w:r w:rsidR="009F342B" w:rsidRPr="008B7FA3">
        <w:rPr>
          <w:rFonts w:ascii="Palatino Linotype" w:hAnsi="Palatino Linotype"/>
          <w:lang w:val="en-GB"/>
        </w:rPr>
        <w:t xml:space="preserve"> proposal only applies to inclusion criteria</w:t>
      </w:r>
      <w:r w:rsidR="002B13F7" w:rsidRPr="008B7FA3">
        <w:rPr>
          <w:rFonts w:ascii="Palatino Linotype" w:hAnsi="Palatino Linotype"/>
          <w:lang w:val="en-GB"/>
        </w:rPr>
        <w:t xml:space="preserve"> and not to outcome measurement</w:t>
      </w:r>
      <w:r w:rsidR="009F342B" w:rsidRPr="008B7FA3">
        <w:rPr>
          <w:rFonts w:ascii="Palatino Linotype" w:hAnsi="Palatino Linotype"/>
          <w:lang w:val="en-GB"/>
        </w:rPr>
        <w:t xml:space="preserve">. </w:t>
      </w:r>
    </w:p>
    <w:p w14:paraId="3C191FB7" w14:textId="127B2220" w:rsidR="000B2444" w:rsidRPr="00B9449F" w:rsidRDefault="003B37AF" w:rsidP="00E54C3F">
      <w:pPr>
        <w:pStyle w:val="ListParagraph"/>
        <w:ind w:left="1080"/>
        <w:jc w:val="both"/>
        <w:rPr>
          <w:rFonts w:ascii="Palatino Linotype" w:hAnsi="Palatino Linotype"/>
          <w:bCs/>
          <w:color w:val="000000" w:themeColor="text1"/>
          <w:lang w:val="en-GB"/>
        </w:rPr>
      </w:pPr>
      <w:r w:rsidRPr="00B9449F">
        <w:rPr>
          <w:rFonts w:ascii="Palatino Linotype" w:hAnsi="Palatino Linotype"/>
          <w:lang w:val="en-GB"/>
        </w:rPr>
        <w:t xml:space="preserve">The </w:t>
      </w:r>
      <w:r w:rsidR="00B4316F" w:rsidRPr="00B9449F">
        <w:rPr>
          <w:rFonts w:ascii="Palatino Linotype" w:hAnsi="Palatino Linotype"/>
          <w:lang w:val="en-GB"/>
        </w:rPr>
        <w:t xml:space="preserve">validated </w:t>
      </w:r>
      <w:r w:rsidRPr="00B9449F">
        <w:rPr>
          <w:rFonts w:ascii="Palatino Linotype" w:hAnsi="Palatino Linotype"/>
          <w:lang w:val="en-GB"/>
        </w:rPr>
        <w:t>cut-offs proposed for the criteria</w:t>
      </w:r>
      <w:r w:rsidR="00675C57">
        <w:rPr>
          <w:rFonts w:ascii="Palatino Linotype" w:hAnsi="Palatino Linotype"/>
          <w:lang w:val="en-GB"/>
        </w:rPr>
        <w:t xml:space="preserve"> </w:t>
      </w:r>
      <w:r w:rsidR="00675C57" w:rsidRPr="001E3E68">
        <w:rPr>
          <w:rFonts w:ascii="Palatino Linotype" w:hAnsi="Palatino Linotype"/>
          <w:i/>
          <w:iCs/>
          <w:lang w:val="en-GB"/>
        </w:rPr>
        <w:t>low grip strength</w:t>
      </w:r>
      <w:r w:rsidR="00675C57">
        <w:rPr>
          <w:rFonts w:ascii="Palatino Linotype" w:hAnsi="Palatino Linotype"/>
          <w:lang w:val="en-GB"/>
        </w:rPr>
        <w:t xml:space="preserve"> and </w:t>
      </w:r>
      <w:r w:rsidR="00675C57" w:rsidRPr="001E3E68">
        <w:rPr>
          <w:rFonts w:ascii="Palatino Linotype" w:hAnsi="Palatino Linotype"/>
          <w:i/>
          <w:iCs/>
          <w:lang w:val="en-GB"/>
        </w:rPr>
        <w:t>low physical performance</w:t>
      </w:r>
      <w:r w:rsidRPr="00B9449F">
        <w:rPr>
          <w:rFonts w:ascii="Palatino Linotype" w:hAnsi="Palatino Linotype"/>
          <w:lang w:val="en-GB"/>
        </w:rPr>
        <w:t xml:space="preserve"> are available in table 1. </w:t>
      </w:r>
      <w:r w:rsidR="00F403FC" w:rsidRPr="00B9449F">
        <w:rPr>
          <w:rFonts w:ascii="Palatino Linotype" w:hAnsi="Palatino Linotype"/>
          <w:lang w:val="en-GB"/>
        </w:rPr>
        <w:t>Any of the proposed tools could be used without restriction</w:t>
      </w:r>
      <w:r w:rsidR="002A1335" w:rsidRPr="00B9449F">
        <w:rPr>
          <w:rFonts w:ascii="Palatino Linotype" w:hAnsi="Palatino Linotype"/>
          <w:lang w:val="en-GB"/>
        </w:rPr>
        <w:t xml:space="preserve">, depending </w:t>
      </w:r>
      <w:r w:rsidR="00AF08CB">
        <w:rPr>
          <w:rFonts w:ascii="Palatino Linotype" w:hAnsi="Palatino Linotype"/>
          <w:lang w:val="en-GB"/>
        </w:rPr>
        <w:t>on</w:t>
      </w:r>
      <w:r w:rsidR="002A1335" w:rsidRPr="00B9449F">
        <w:rPr>
          <w:rFonts w:ascii="Palatino Linotype" w:hAnsi="Palatino Linotype"/>
          <w:lang w:val="en-GB"/>
        </w:rPr>
        <w:t xml:space="preserve"> the logistic capacities of the recruitment centre</w:t>
      </w:r>
      <w:r w:rsidR="00F403FC" w:rsidRPr="00B9449F">
        <w:rPr>
          <w:rFonts w:ascii="Palatino Linotype" w:hAnsi="Palatino Linotype"/>
          <w:lang w:val="en-GB"/>
        </w:rPr>
        <w:t xml:space="preserve">. </w:t>
      </w:r>
      <w:r w:rsidR="00D76FF4" w:rsidRPr="00B9449F">
        <w:rPr>
          <w:rFonts w:ascii="Palatino Linotype" w:hAnsi="Palatino Linotype"/>
          <w:lang w:val="en-GB"/>
        </w:rPr>
        <w:t xml:space="preserve">The </w:t>
      </w:r>
      <w:r w:rsidR="004D5605">
        <w:rPr>
          <w:rFonts w:ascii="Palatino Linotype" w:hAnsi="Palatino Linotype"/>
          <w:lang w:val="en-GB"/>
        </w:rPr>
        <w:t xml:space="preserve">most appropriate </w:t>
      </w:r>
      <w:r w:rsidR="00D76FF4" w:rsidRPr="00B9449F">
        <w:rPr>
          <w:rFonts w:ascii="Palatino Linotype" w:hAnsi="Palatino Linotype"/>
          <w:lang w:val="en-GB"/>
        </w:rPr>
        <w:t>procedure</w:t>
      </w:r>
      <w:r w:rsidR="00F50493" w:rsidRPr="00B9449F">
        <w:rPr>
          <w:rFonts w:ascii="Palatino Linotype" w:hAnsi="Palatino Linotype"/>
          <w:lang w:val="en-GB"/>
        </w:rPr>
        <w:t xml:space="preserve"> of administration</w:t>
      </w:r>
      <w:r w:rsidR="00D76FF4" w:rsidRPr="00B9449F">
        <w:rPr>
          <w:rFonts w:ascii="Palatino Linotype" w:hAnsi="Palatino Linotype"/>
          <w:lang w:val="en-GB"/>
        </w:rPr>
        <w:t>, equipment, performance (</w:t>
      </w:r>
      <w:r w:rsidR="009E5EA4">
        <w:rPr>
          <w:rFonts w:ascii="Palatino Linotype" w:hAnsi="Palatino Linotype"/>
          <w:lang w:val="en-GB"/>
        </w:rPr>
        <w:t xml:space="preserve">i.e. </w:t>
      </w:r>
      <w:r w:rsidR="00D76FF4" w:rsidRPr="00B9449F">
        <w:rPr>
          <w:rFonts w:ascii="Palatino Linotype" w:hAnsi="Palatino Linotype"/>
          <w:lang w:val="en-GB"/>
        </w:rPr>
        <w:t>feasibility, reliability</w:t>
      </w:r>
      <w:r w:rsidR="0062564C">
        <w:rPr>
          <w:rFonts w:ascii="Palatino Linotype" w:hAnsi="Palatino Linotype"/>
          <w:lang w:val="en-GB"/>
        </w:rPr>
        <w:t xml:space="preserve"> and</w:t>
      </w:r>
      <w:r w:rsidR="00D76FF4" w:rsidRPr="00B9449F">
        <w:rPr>
          <w:rFonts w:ascii="Palatino Linotype" w:hAnsi="Palatino Linotype"/>
          <w:lang w:val="en-GB"/>
        </w:rPr>
        <w:t xml:space="preserve"> floor/ceiling effects) and well as the references range of each of these t</w:t>
      </w:r>
      <w:r w:rsidR="00C7341F" w:rsidRPr="00B9449F">
        <w:rPr>
          <w:rFonts w:ascii="Palatino Linotype" w:hAnsi="Palatino Linotype"/>
          <w:lang w:val="en-GB"/>
        </w:rPr>
        <w:t xml:space="preserve">ools </w:t>
      </w:r>
      <w:r w:rsidR="00D76FF4" w:rsidRPr="00B9449F">
        <w:rPr>
          <w:rFonts w:ascii="Palatino Linotype" w:hAnsi="Palatino Linotype"/>
          <w:lang w:val="en-GB"/>
        </w:rPr>
        <w:t>have already been described in a previous publication endorsed by ESCEO</w:t>
      </w:r>
      <w:r w:rsidR="00D76FF4" w:rsidRPr="00B9449F">
        <w:rPr>
          <w:rFonts w:ascii="Palatino Linotype" w:hAnsi="Palatino Linotype"/>
          <w:lang w:val="en-GB"/>
        </w:rPr>
        <w:fldChar w:fldCharType="begin" w:fldLock="1"/>
      </w:r>
      <w:r w:rsidR="001B65C6">
        <w:rPr>
          <w:rFonts w:ascii="Palatino Linotype" w:hAnsi="Palatino Linotype"/>
          <w:lang w:val="en-GB"/>
        </w:rPr>
        <w:instrText>ADDIN CSL_CITATION {"citationItems":[{"id":"ITEM-1","itemData":{"DOI":"10.1007/s00223-019-00545-w","ISSN":"1432-0827","PMID":"30972475","abstract":"It is well recognized that poor muscle function and poor physical performance are strong predictors of clinically relevant adverse events in older people. Given the large number of approaches to measure muscle function and physical performance, clinicians often struggle to choose a tool that is appropriate and validated for the population of older people they deal with. In this paper, an overview of different methods available and applicable in clinical settings is proposed. This paper is based on literature reviews performed by members of the European Society for Clinical and Economic Aspects of Osteoporosis and Osteoarthritis (ESCEO) working group on frailty and sarcopenia. Face-to-face meetings were organized afterwards where the whole group could amend and discuss the recommendations further. Several characteristics should be considered when choosing a tool: (1) purpose of the assessment (intervention, screening, diagnosis); (2) patient characteristics (population, settings, functional ability, etc.); (3) psychometric properties of the tool (test-retest reliability, inter-rater reliability, responsiveness, floor and ceiling effects, etc.); (4) applicability of the tool in clinical settings (overall cost, time required for the examination, level of training, equipment, patient acceptance, etc.); (5) prognostic reliability for relevant clinical outcomes. Based on these criteria and the available evidence, the expert group advises the use of grip strength to measure muscle strength and the use of 4-m gait speed or the Short Physical Performance Battery test to measure physical performance in daily practice. The tools proposed are relevant for the assessment of muscle weakness and physical performance. Subjects with low values should receive additional diagnostic workups to achieve a full diagnosis of the underlying condition responsible (sarcopenia, frailty or other).","author":[{"dropping-particle":"","family":"Beaudart","given":"Charlotte","non-dropping-particle":"","parse-names":false,"suffix":""},{"dropping-particle":"","family":"Rolland","given":"Yves","non-dropping-particle":"","parse-names":false,"suffix":""},{"dropping-particle":"","family":"Cruz-Jentoft","given":"Alfonso J.","non-dropping-particle":"","parse-names":false,"suffix":""},{"dropping-particle":"","family":"Bauer","given":"Jürgen M.","non-dropping-particle":"","parse-names":false,"suffix":""},{"dropping-particle":"","family":"Sieber","given":"Cornel","non-dropping-particle":"","parse-names":false,"suffix":""},{"dropping-particle":"","family":"Cooper","given":"Cyrus","non-dropping-particle":"","parse-names":false,"suffix":""},{"dropping-particle":"","family":"Al-Daghri","given":"Nasser","non-dropping-particle":"","parse-names":false,"suffix":""},{"dropping-particle":"","family":"Araujo de Carvalho","given":"Islene","non-dropping-particle":"","parse-names":false,"suffix":""},{"dropping-particle":"","family":"Bautmans","given":"Ivan","non-dropping-particle":"","parse-names":false,"suffix":""},{"dropping-particle":"","family":"Bernabei","given":"Roberto","non-dropping-particle":"","parse-names":false,"suffix":""},{"dropping-particle":"","family":"Bruyère","given":"Olivier","non-dropping-particle":"","parse-names":false,"suffix":""},{"dropping-particle":"","family":"Cesari","given":"Matteo","non-dropping-particle":"","parse-names":false,"suffix":""},{"dropping-particle":"","family":"Cherubini","given":"Antonio","non-dropping-particle":"","parse-names":false,"suffix":""},{"dropping-particle":"","family":"Dawson-Hughes","given":"Bess","non-dropping-particle":"","parse-names":false,"suffix":""},{"dropping-particle":"","family":"Kanis","given":"John A.","non-dropping-particle":"","parse-names":false,"suffix":""},{"dropping-particle":"","family":"Kaufman","given":"Jean-Marc","non-dropping-particle":"","parse-names":false,"suffix":""},{"dropping-particle":"","family":"Landi","given":"Francesco","non-dropping-particle":"","parse-names":false,"suffix":""},{"dropping-particle":"","family":"Maggi","given":"Stefania","non-dropping-particle":"","parse-names":false,"suffix":""},{"dropping-particle":"","family":"McCloskey","given":"Eugene","non-dropping-particle":"","parse-names":false,"suffix":""},{"dropping-particle":"","family":"Petermans","given":"Jean","non-dropping-particle":"","parse-names":false,"suffix":""},{"dropping-particle":"","family":"Rodriguez Mañas","given":"Leocadio","non-dropping-particle":"","parse-names":false,"suffix":""},{"dropping-particle":"","family":"Reginster","given":"Jean-Yves","non-dropping-particle":"","parse-names":false,"suffix":""},{"dropping-particle":"","family":"Roller-Wirnsberger","given":"Regina","non-dropping-particle":"","parse-names":false,"suffix":""},{"dropping-particle":"","family":"Schaap","given":"Laura A.","non-dropping-particle":"","parse-names":false,"suffix":""},{"dropping-particle":"","family":"Uebelhart","given":"Daniel","non-dropping-particle":"","parse-names":false,"suffix":""},{"dropping-particle":"","family":"Rizzoli","given":"René","non-dropping-particle":"","parse-names":false,"suffix":""},{"dropping-particle":"","family":"Fielding","given":"Roger A.","non-dropping-particle":"","parse-names":false,"suffix":""}],"container-title":"Calcified tissue international","id":"ITEM-1","issue":"1","issued":{"date-parts":[["2019","7"]]},"page":"1-14","title":"Assessment of Muscle Function and Physical Performance in Daily Clinical Practice : A position paper endorsed by the European Society for Clinical and Economic Aspects of Osteoporosis, Osteoarthritis and Musculoskeletal Diseases (ESCEO).","type":"article-journal","volume":"105"},"uris":["http://www.mendeley.com/documents/?uuid=8562e020-7797-4934-aff9-2549a8956327"]}],"mendeley":{"formattedCitation":"[19]","plainTextFormattedCitation":"[19]","previouslyFormattedCitation":"[19]"},"properties":{"noteIndex":0},"schema":"https://github.com/citation-style-language/schema/raw/master/csl-citation.json"}</w:instrText>
      </w:r>
      <w:r w:rsidR="00D76FF4" w:rsidRPr="00B9449F">
        <w:rPr>
          <w:rFonts w:ascii="Palatino Linotype" w:hAnsi="Palatino Linotype"/>
          <w:lang w:val="en-GB"/>
        </w:rPr>
        <w:fldChar w:fldCharType="separate"/>
      </w:r>
      <w:r w:rsidR="0038101C" w:rsidRPr="0038101C">
        <w:rPr>
          <w:rFonts w:ascii="Palatino Linotype" w:hAnsi="Palatino Linotype"/>
          <w:noProof/>
          <w:lang w:val="en-GB"/>
        </w:rPr>
        <w:t>[19]</w:t>
      </w:r>
      <w:r w:rsidR="00D76FF4" w:rsidRPr="00B9449F">
        <w:rPr>
          <w:rFonts w:ascii="Palatino Linotype" w:hAnsi="Palatino Linotype"/>
          <w:lang w:val="en-GB"/>
        </w:rPr>
        <w:fldChar w:fldCharType="end"/>
      </w:r>
      <w:r w:rsidR="00D76FF4" w:rsidRPr="00B9449F">
        <w:rPr>
          <w:rFonts w:ascii="Palatino Linotype" w:hAnsi="Palatino Linotype"/>
          <w:lang w:val="en-G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0"/>
      </w:tblGrid>
      <w:tr w:rsidR="003B37AF" w:rsidRPr="00B9449F" w14:paraId="08885957" w14:textId="77777777" w:rsidTr="00CB5B85">
        <w:tc>
          <w:tcPr>
            <w:tcW w:w="3020" w:type="dxa"/>
            <w:tcBorders>
              <w:top w:val="single" w:sz="4" w:space="0" w:color="auto"/>
              <w:bottom w:val="single" w:sz="4" w:space="0" w:color="auto"/>
            </w:tcBorders>
          </w:tcPr>
          <w:p w14:paraId="097F0282" w14:textId="77777777" w:rsidR="003B37AF" w:rsidRPr="00B9449F" w:rsidRDefault="003B37AF" w:rsidP="000B2444">
            <w:pPr>
              <w:rPr>
                <w:rFonts w:ascii="Palatino Linotype" w:hAnsi="Palatino Linotype"/>
                <w:lang w:val="en-GB"/>
              </w:rPr>
            </w:pPr>
          </w:p>
        </w:tc>
        <w:tc>
          <w:tcPr>
            <w:tcW w:w="3020" w:type="dxa"/>
            <w:tcBorders>
              <w:top w:val="single" w:sz="4" w:space="0" w:color="auto"/>
              <w:bottom w:val="single" w:sz="4" w:space="0" w:color="auto"/>
            </w:tcBorders>
          </w:tcPr>
          <w:p w14:paraId="688FFC7B" w14:textId="5B1486AC" w:rsidR="003B37AF" w:rsidRPr="00B9449F" w:rsidRDefault="003B37AF" w:rsidP="000B2444">
            <w:pPr>
              <w:rPr>
                <w:rFonts w:ascii="Palatino Linotype" w:hAnsi="Palatino Linotype"/>
                <w:lang w:val="en-GB"/>
              </w:rPr>
            </w:pPr>
            <w:r w:rsidRPr="00B9449F">
              <w:rPr>
                <w:rFonts w:ascii="Palatino Linotype" w:hAnsi="Palatino Linotype"/>
                <w:lang w:val="en-GB"/>
              </w:rPr>
              <w:t>Tool proposed</w:t>
            </w:r>
          </w:p>
        </w:tc>
        <w:tc>
          <w:tcPr>
            <w:tcW w:w="3020" w:type="dxa"/>
            <w:tcBorders>
              <w:top w:val="single" w:sz="4" w:space="0" w:color="auto"/>
              <w:bottom w:val="single" w:sz="4" w:space="0" w:color="auto"/>
            </w:tcBorders>
          </w:tcPr>
          <w:p w14:paraId="76D5F0EB" w14:textId="3B4E5A9A" w:rsidR="003B37AF" w:rsidRPr="00B9449F" w:rsidRDefault="003B37AF" w:rsidP="000B2444">
            <w:pPr>
              <w:rPr>
                <w:rFonts w:ascii="Palatino Linotype" w:hAnsi="Palatino Linotype"/>
                <w:lang w:val="en-GB"/>
              </w:rPr>
            </w:pPr>
            <w:r w:rsidRPr="00B9449F">
              <w:rPr>
                <w:rFonts w:ascii="Palatino Linotype" w:hAnsi="Palatino Linotype"/>
                <w:lang w:val="en-GB"/>
              </w:rPr>
              <w:t xml:space="preserve">Cut-offs proposed </w:t>
            </w:r>
          </w:p>
        </w:tc>
      </w:tr>
      <w:tr w:rsidR="003B37AF" w:rsidRPr="00B9449F" w14:paraId="15297ACE" w14:textId="77777777" w:rsidTr="00CB5B85">
        <w:tc>
          <w:tcPr>
            <w:tcW w:w="3020" w:type="dxa"/>
            <w:tcBorders>
              <w:top w:val="single" w:sz="4" w:space="0" w:color="auto"/>
            </w:tcBorders>
          </w:tcPr>
          <w:p w14:paraId="71D81CB8" w14:textId="1E1CB99A" w:rsidR="003B37AF" w:rsidRPr="00B9449F" w:rsidRDefault="00675C57" w:rsidP="000B2444">
            <w:pPr>
              <w:rPr>
                <w:rFonts w:ascii="Palatino Linotype" w:hAnsi="Palatino Linotype"/>
                <w:lang w:val="en-GB"/>
              </w:rPr>
            </w:pPr>
            <w:r>
              <w:rPr>
                <w:rFonts w:ascii="Palatino Linotype" w:hAnsi="Palatino Linotype"/>
                <w:lang w:val="en-GB"/>
              </w:rPr>
              <w:t>Low</w:t>
            </w:r>
            <w:r w:rsidRPr="00B9449F">
              <w:rPr>
                <w:rFonts w:ascii="Palatino Linotype" w:hAnsi="Palatino Linotype"/>
                <w:lang w:val="en-GB"/>
              </w:rPr>
              <w:t xml:space="preserve"> </w:t>
            </w:r>
            <w:r w:rsidR="003B37AF" w:rsidRPr="00B9449F">
              <w:rPr>
                <w:rFonts w:ascii="Palatino Linotype" w:hAnsi="Palatino Linotype"/>
                <w:lang w:val="en-GB"/>
              </w:rPr>
              <w:t>muscle strength</w:t>
            </w:r>
          </w:p>
        </w:tc>
        <w:tc>
          <w:tcPr>
            <w:tcW w:w="3020" w:type="dxa"/>
            <w:tcBorders>
              <w:top w:val="single" w:sz="4" w:space="0" w:color="auto"/>
              <w:bottom w:val="dotted" w:sz="4" w:space="0" w:color="auto"/>
            </w:tcBorders>
          </w:tcPr>
          <w:p w14:paraId="0AD2AEF1" w14:textId="17338B57" w:rsidR="003B37AF" w:rsidRPr="00B9449F" w:rsidRDefault="00BC1A75" w:rsidP="000B2444">
            <w:pPr>
              <w:rPr>
                <w:rFonts w:ascii="Palatino Linotype" w:hAnsi="Palatino Linotype"/>
                <w:lang w:val="en-GB"/>
              </w:rPr>
            </w:pPr>
            <w:r w:rsidRPr="00B9449F">
              <w:rPr>
                <w:rFonts w:ascii="Palatino Linotype" w:hAnsi="Palatino Linotype"/>
                <w:lang w:val="en-GB"/>
              </w:rPr>
              <w:t>Hydraulic h</w:t>
            </w:r>
            <w:r w:rsidR="003B37AF" w:rsidRPr="00B9449F">
              <w:rPr>
                <w:rFonts w:ascii="Palatino Linotype" w:hAnsi="Palatino Linotype"/>
                <w:lang w:val="en-GB"/>
              </w:rPr>
              <w:t xml:space="preserve">andheld </w:t>
            </w:r>
            <w:r w:rsidR="006D50D1">
              <w:rPr>
                <w:rFonts w:ascii="Palatino Linotype" w:hAnsi="Palatino Linotype"/>
                <w:lang w:val="en-GB"/>
              </w:rPr>
              <w:t xml:space="preserve">isometric </w:t>
            </w:r>
            <w:r w:rsidR="003B37AF" w:rsidRPr="00B9449F">
              <w:rPr>
                <w:rFonts w:ascii="Palatino Linotype" w:hAnsi="Palatino Linotype"/>
                <w:lang w:val="en-GB"/>
              </w:rPr>
              <w:t>dynamometer</w:t>
            </w:r>
            <w:r w:rsidRPr="00B9449F">
              <w:rPr>
                <w:rFonts w:ascii="Palatino Linotype" w:hAnsi="Palatino Linotype"/>
                <w:lang w:val="en-GB"/>
              </w:rPr>
              <w:t xml:space="preserve"> (i.e. JAMAR or similar)</w:t>
            </w:r>
          </w:p>
        </w:tc>
        <w:tc>
          <w:tcPr>
            <w:tcW w:w="3020" w:type="dxa"/>
            <w:tcBorders>
              <w:top w:val="single" w:sz="4" w:space="0" w:color="auto"/>
              <w:bottom w:val="dotted" w:sz="4" w:space="0" w:color="auto"/>
            </w:tcBorders>
          </w:tcPr>
          <w:p w14:paraId="4F8DFCD6" w14:textId="00DC74E9" w:rsidR="003B37AF" w:rsidRPr="00B9449F" w:rsidRDefault="00BC1A75" w:rsidP="000B2444">
            <w:pPr>
              <w:rPr>
                <w:rFonts w:ascii="Palatino Linotype" w:hAnsi="Palatino Linotype"/>
                <w:lang w:val="en-GB"/>
              </w:rPr>
            </w:pPr>
            <w:r w:rsidRPr="00B9449F">
              <w:rPr>
                <w:rFonts w:ascii="Palatino Linotype" w:hAnsi="Palatino Linotype"/>
                <w:lang w:val="en-GB"/>
              </w:rPr>
              <w:t>Maximal value from 3 attempts for each hands</w:t>
            </w:r>
            <w:r w:rsidR="00AC553E">
              <w:rPr>
                <w:rFonts w:ascii="Palatino Linotype" w:hAnsi="Palatino Linotype"/>
                <w:lang w:val="en-GB"/>
              </w:rPr>
              <w:fldChar w:fldCharType="begin" w:fldLock="1"/>
            </w:r>
            <w:r w:rsidR="001B65C6">
              <w:rPr>
                <w:rFonts w:ascii="Palatino Linotype" w:hAnsi="Palatino Linotype"/>
                <w:lang w:val="en-GB"/>
              </w:rPr>
              <w:instrText>ADDIN CSL_CITATION {"citationItems":[{"id":"ITEM-1","itemData":{"DOI":"10.1016/j.eurger.2015.11.012","ISSN":"18787649","abstract":"© 2015 Elsevier Masson SAS and European Union Geriatric Medicine Society. All rights reserved. Introduction: Grip strength is a well-accepted measure of muscle strength. A standardized protocol for the measurement of grip strength has been proposed in 2011 to enable consistent measurement of grip strength and comparisons between studies. It is unknown whether this protocol has been adopted in sarcopenia research and practice. The aim of the study was to provide insight into current measurement practice, including the use of cut-off values for low muscle strength. Methods: A systematic review of the literature was conducted, followed by a methodological quality assessment and extraction of relevant data. Inclusion criteria included a description of the grip strength protocol, EWGSOP standards were used to define sarcopenia, data was collected after 2010 and participants were 65 years and older. Results: Twenty-seven observational papers were included in the review. The methodological quality was acceptable/good. Overall, information about the protocol was limited with a large variability in measurement approach. Most non-Asian studies used cut-off values for low grip strength of 30 kg for men and 20 kg for women. Asian studies showed more variability in choice of cut-off values. Discussion: The proposed grip strength measurement protocol has been poorly adopted since its publication. Although there seems to be some agreement on cut-off values in non-Asian studies, proposed cut-off values need to be evaluated in specific diseases and settings and its predictive abilities regarding outcomes such as mobility limitations and falls needs to be determined. Asian research on cut-off values is still ongoing.","author":[{"dropping-particle":"","family":"Schaap","given":"L.A.","non-dropping-particle":"","parse-names":false,"suffix":""},{"dropping-particle":"","family":"Fox","given":"B.","non-dropping-particle":"","parse-names":false,"suffix":""},{"dropping-particle":"","family":"Henwood","given":"T.","non-dropping-particle":"","parse-names":false,"suffix":""},{"dropping-particle":"","family":"Bruyère","given":"O.","non-dropping-particle":"","parse-names":false,"suffix":""},{"dropping-particle":"","family":"Reginster","given":"J.-Y.","non-dropping-particle":"","parse-names":false,"suffix":""},{"dropping-particle":"","family":"Beaudart","given":"C.","non-dropping-particle":"","parse-names":false,"suffix":""},{"dropping-particle":"","family":"Buckinx","given":"F.","non-dropping-particle":"","parse-names":false,"suffix":""},{"dropping-particle":"","family":"Roberts","given":"H.","non-dropping-particle":"","parse-names":false,"suffix":""},{"dropping-particle":"","family":"Cooper","given":"C.","non-dropping-particle":"","parse-names":false,"suffix":""},{"dropping-particle":"","family":"Cherubini","given":"A.","non-dropping-particle":"","parse-names":false,"suffix":""},{"dropping-particle":"","family":"Dell'Aquilla","given":"G.","non-dropping-particle":"","parse-names":false,"suffix":""},{"dropping-particle":"","family":"Maggio","given":"M.","non-dropping-particle":"","parse-names":false,"suffix":""},{"dropping-particle":"","family":"Volpato","given":"S.","non-dropping-particle":"","parse-names":false,"suffix":""}],"container-title":"European Geriatric Medicine","id":"ITEM-1","issue":"3","issued":{"date-parts":[["2016"]]},"title":"Grip strength measurement: Towards a standardized approach in sarcopenia research and practice","type":"article-journal","volume":"7"},"uris":["http://www.mendeley.com/documents/?uuid=6449c05c-d539-3953-ad46-3ee0cab05006","http://www.mendeley.com/documents/?uuid=0c6aac39-6c51-4c08-ac78-f8ebfd1815b5"]}],"mendeley":{"formattedCitation":"[20]","plainTextFormattedCitation":"[20]","previouslyFormattedCitation":"[20]"},"properties":{"noteIndex":0},"schema":"https://github.com/citation-style-language/schema/raw/master/csl-citation.json"}</w:instrText>
            </w:r>
            <w:r w:rsidR="00AC553E">
              <w:rPr>
                <w:rFonts w:ascii="Palatino Linotype" w:hAnsi="Palatino Linotype"/>
                <w:lang w:val="en-GB"/>
              </w:rPr>
              <w:fldChar w:fldCharType="separate"/>
            </w:r>
            <w:r w:rsidR="0038101C" w:rsidRPr="0038101C">
              <w:rPr>
                <w:rFonts w:ascii="Palatino Linotype" w:hAnsi="Palatino Linotype"/>
                <w:noProof/>
                <w:lang w:val="en-GB"/>
              </w:rPr>
              <w:t>[20]</w:t>
            </w:r>
            <w:r w:rsidR="00AC553E">
              <w:rPr>
                <w:rFonts w:ascii="Palatino Linotype" w:hAnsi="Palatino Linotype"/>
                <w:lang w:val="en-GB"/>
              </w:rPr>
              <w:fldChar w:fldCharType="end"/>
            </w:r>
            <w:r w:rsidRPr="00B9449F">
              <w:rPr>
                <w:rFonts w:ascii="Palatino Linotype" w:hAnsi="Palatino Linotype"/>
                <w:lang w:val="en-GB"/>
              </w:rPr>
              <w:t xml:space="preserve"> : </w:t>
            </w:r>
            <w:r w:rsidR="00527185" w:rsidRPr="00B9449F">
              <w:rPr>
                <w:rFonts w:ascii="Palatino Linotype" w:hAnsi="Palatino Linotype"/>
                <w:lang w:val="en-GB"/>
              </w:rPr>
              <w:t>&lt;27 kg for men ; &lt;16 kg for women</w:t>
            </w:r>
            <w:r w:rsidR="00554443" w:rsidRPr="00B9449F">
              <w:rPr>
                <w:rFonts w:ascii="Palatino Linotype" w:hAnsi="Palatino Linotype"/>
                <w:lang w:val="en-GB"/>
              </w:rPr>
              <w:fldChar w:fldCharType="begin" w:fldLock="1"/>
            </w:r>
            <w:r w:rsidR="001B65C6">
              <w:rPr>
                <w:rFonts w:ascii="Palatino Linotype" w:hAnsi="Palatino Linotype"/>
                <w:lang w:val="en-GB"/>
              </w:rPr>
              <w:instrText>ADDIN CSL_CITATION {"citationItems":[{"id":"ITEM-1","itemData":{"DOI":"10.1371/journal.pone.0113637","ISSN":"1932-6203","PMID":"25474696","abstract":"INTRODUCTION: Epidemiological studies have shown that weaker grip strength in later life is associated with disability, morbidity, and mortality. Grip strength is a key component of the sarcopenia and frailty phenotypes and yet it is unclear how individual measurements should be interpreted. Our objective was to produce cross-sectional centile values for grip strength across the life course. A secondary objective was to examine the impact of different aspects of measurement protocol.\n\nMETHODS: We combined 60,803 observations from 49,964 participants (26,687 female) of 12 general population studies in Great Britain. We produced centile curves for ages 4 to 90 and investigated the prevalence of weak grip, defined as strength at least 2.5 SDs below the gender-specific peak mean. We carried out a series of sensitivity analyses to assess the impact of dynamometer type and measurement position (seated or standing).\n\nRESULTS: Our results suggested three overall periods: an increase to peak in early adult life, maintenance through to midlife, and decline from midlife onwards. Males were on average stronger than females from adolescence onwards: males' peak median grip was 51 kg between ages 29 and 39, compared to 31 kg in females between ages 26 and 42. Weak grip strength, defined as strength at least 2.5 SDs below the gender-specific peak mean, increased sharply with age, reaching a prevalence of 23% in males and 27% in females by age 80. Sensitivity analyses suggested our findings were robust to differences in dynamometer type and measurement position.\n\nCONCLUSION: This is the first study to provide normative data for grip strength across the life course. These centile values have the potential to inform the clinical assessment of grip strength which is recognised as an important part of the identification of people with sarcopenia and frailty.","author":[{"dropping-particle":"","family":"Dodds","given":"Richard M.","non-dropping-particle":"","parse-names":false,"suffix":""},{"dropping-particle":"","family":"Syddall","given":"HE Holly E.","non-dropping-particle":"","parse-names":false,"suffix":""},{"dropping-particle":"","family":"Cooper","given":"Rachel","non-dropping-particle":"","parse-names":false,"suffix":""},{"dropping-particle":"","family":"Benzeval","given":"Michaela","non-dropping-particle":"","parse-names":false,"suffix":""},{"dropping-particle":"","family":"Deary","given":"Ian J IJ Ian J.","non-dropping-particle":"","parse-names":false,"suffix":""},{"dropping-particle":"","family":"Dennison","given":"Elaine M. EM","non-dropping-particle":"","parse-names":false,"suffix":""},{"dropping-particle":"","family":"Der","given":"Geoff","non-dropping-particle":"","parse-names":false,"suffix":""},{"dropping-particle":"","family":"Gale","given":"CR Catharine R.","non-dropping-particle":"","parse-names":false,"suffix":""},{"dropping-particle":"","family":"Inskip","given":"Hazel M. HM","non-dropping-particle":"","parse-names":false,"suffix":""},{"dropping-particle":"","family":"Jagger","given":"Carol","non-dropping-particle":"","parse-names":false,"suffix":""},{"dropping-particle":"","family":"Kirkwood","given":"Thomas B. TBL Thomas B","non-dropping-particle":"","parse-names":false,"suffix":""},{"dropping-particle":"","family":"Lawlor","given":"DA Debbie A.","non-dropping-particle":"","parse-names":false,"suffix":""},{"dropping-particle":"","family":"Robinson","given":"Sian M. SM Sian M","non-dropping-particle":"","parse-names":false,"suffix":""},{"dropping-particle":"","family":"Starr","given":"John M. JM","non-dropping-particle":"","parse-names":false,"suffix":""},{"dropping-particle":"","family":"Steptoe","given":"Andrew","non-dropping-particle":"","parse-names":false,"suffix":""},{"dropping-particle":"","family":"Tilling","given":"Kate","non-dropping-particle":"","parse-names":false,"suffix":""},{"dropping-particle":"","family":"Kuh","given":"Diana","non-dropping-particle":"","parse-names":false,"suffix":""},{"dropping-particle":"","family":"Cooper","given":"Cyrus","non-dropping-particle":"","parse-names":false,"suffix":""},{"dropping-particle":"","family":"Sayer","given":"Avan Aihie","non-dropping-particle":"","parse-names":false,"suffix":""},{"dropping-particle":"","family":"Rantanen","given":"T","non-dropping-particle":"","parse-names":false,"suffix":""},{"dropping-particle":"","family":"Guralnik","given":"JM","non-dropping-particle":"","parse-names":false,"suffix":""},{"dropping-particle":"","family":"Foley","given":"D","non-dropping-particle":"","parse-names":false,"suffix":""},{"dropping-particle":"","family":"Masaki","given":"K","non-dropping-particle":"","parse-names":false,"suffix":""},{"dropping-particle":"","family":"Leveille","given":"S","non-dropping-particle":"","parse-names":false,"suffix":""},{"dropping-particle":"","family":"Cooper","given":"Rachel","non-dropping-particle":"","parse-names":false,"suffix":""},{"dropping-particle":"","family":"Kuh","given":"Diana","non-dropping-particle":"","parse-names":false,"suffix":""},{"dropping-particle":"","family":"Cooper","given":"Cyrus","non-dropping-particle":"","parse-names":false,"suffix":""},{"dropping-particle":"","family":"Gale","given":"CR Catharine R.","non-dropping-particle":"","parse-names":false,"suffix":""},{"dropping-particle":"","family":"Lawlor","given":"DA Debbie A.","non-dropping-particle":"","parse-names":false,"suffix":""},{"dropping-particle":"","family":"Cooper","given":"Rachel","non-dropping-particle":"","parse-names":false,"suffix":""},{"dropping-particle":"","family":"Kuh","given":"Diana","non-dropping-particle":"","parse-names":false,"suffix":""},{"dropping-particle":"","family":"Hardy","given":"R","non-dropping-particle":"","parse-names":false,"suffix":""},{"dropping-particle":"","family":"Sayer","given":"Avan Aihie","non-dropping-particle":"","parse-names":false,"suffix":""},{"dropping-particle":"","family":"Robinson","given":"Sian M. SM Sian M","non-dropping-particle":"","parse-names":false,"suffix":""},{"dropping-particle":"","family":"Patel","given":"HP","non-dropping-particle":"","parse-names":false,"suffix":""},{"dropping-particle":"","family":"Shavlakadze","given":"T","non-dropping-particle":"","parse-names":false,"suffix":""},{"dropping-particle":"","family":"Cooper","given":"Cyrus","non-dropping-particle":"","parse-names":false,"suffix":""},{"dropping-particle":"","family":"Fried","given":"LP","non-dropping-particle":"","parse-names":false,"suffix":""},{"dropping-particle":"","family":"Tangen","given":"CM","non-dropping-particle":"","parse-names":false,"suffix":""},{"dropping-particle":"","family":"Walston","given":"J","non-dropping-particle":"","parse-names":false,"suffix":""},{"dropping-particle":"","family":"Newman","given":"AB","non-dropping-particle":"","parse-names":false,"suffix":""},{"dropping-particle":"","family":"Hirsch","given":"C","non-dropping-particle":"","parse-names":false,"suffix":""},{"dropping-particle":"","family":"Clegg","given":"A","non-dropping-particle":"","parse-names":false,"suffix":""},{"dropping-particle":"","family":"Young","given":"J","non-dropping-particle":"","parse-names":false,"suffix":""},{"dropping-particle":"","family":"Iliffe","given":"S","non-dropping-particle":"","parse-names":false,"suffix":""},{"dropping-particle":"","family":"Rikkert","given":"MO","non-dropping-particle":"","parse-names":false,"suffix":""},{"dropping-particle":"","family":"Rockwood","given":"K","non-dropping-particle":"","parse-names":false,"suffix":""},{"dropping-particle":"","family":"Cooper","given":"Cyrus","non-dropping-particle":"","parse-names":false,"suffix":""},{"dropping-particle":"","family":"Fielding","given":"R","non-dropping-particle":"","parse-names":false,"suffix":""},{"dropping-particle":"","family":"Visser","given":"M","non-dropping-particle":"","parse-names":false,"suffix":""},{"dropping-particle":"van","family":"Loon","given":"LJ","non-dropping-particle":"","parse-names":false,"suffix":""},{"dropping-particle":"","family":"Rolland","given":"Y","non-dropping-particle":"","parse-names":false,"suffix":""},{"dropping-particle":"","family":"García-Peña","given":"C","non-dropping-particle":"","parse-names":false,"suffix":""},{"dropping-particle":"","family":"García-Fabela","given":"LC","non-dropping-particle":"","parse-names":false,"suffix":""},{"dropping-particle":"","family":"Gutiérrez-Robledo","given":"LM","non-dropping-particle":"","parse-names":false,"suffix":""},{"dropping-particle":"","family":"García-González","given":"JJ","non-dropping-particle":"","parse-names":false,"suffix":""},{"dropping-particle":"","family":"Arango-Lopera","given":"VE","non-dropping-particle":"","parse-names":false,"suffix":""},{"dropping-particle":"","family":"Sallinen","given":"J","non-dropping-particle":"","parse-names":false,"suffix":""},{"dropping-particle":"","family":"Stenholm","given":"S","non-dropping-particle":"","parse-names":false,"suffix":""},{"dropping-particle":"","family":"Rantanen","given":"T","non-dropping-particle":"","parse-names":false,"suffix":""},{"dropping-particle":"","family":"Heliövaara","given":"M","non-dropping-particle":"","parse-names":false,"suffix":""},{"dropping-particle":"","family":"Sainio","given":"P","non-dropping-particle":"","parse-names":false,"suffix":""},{"dropping-particle":"","family":"Kenny","given":"RA","non-dropping-particle":"","parse-names":false,"suffix":""},{"dropping-particle":"","family":"Coen","given":"RF","non-dropping-particle":"","parse-names":false,"suffix":""},{"dropping-particle":"","family":"Frewen","given":"J","non-dropping-particle":"","parse-names":false,"suffix":""},{"dropping-particle":"","family":"Donoghue","given":"OA","non-dropping-particle":"","parse-names":false,"suffix":""},{"dropping-particle":"","family":"Cronin","given":"H","non-dropping-particle":"","parse-names":false,"suffix":""},{"dropping-particle":"","family":"Bohannon","given":"RW","non-dropping-particle":"","parse-names":false,"suffix":""},{"dropping-particle":"","family":"Peolsson","given":"A","non-dropping-particle":"","parse-names":false,"suffix":""},{"dropping-particle":"","family":"Massy-Westropp","given":"N","non-dropping-particle":"","parse-names":false,"suffix":""},{"dropping-particle":"","family":"Desrosiers","given":"J","non-dropping-particle":"","parse-names":false,"suffix":""},{"dropping-particle":"","family":"Bear-Lehman","given":"J","non-dropping-particle":"","parse-names":false,"suffix":""},{"dropping-particle":"","family":"Inskip","given":"Hazel M. HM","non-dropping-particle":"","parse-names":false,"suffix":""},{"dropping-particle":"","family":"Godfrey","given":"KM","non-dropping-particle":"","parse-names":false,"suffix":""},{"dropping-particle":"","family":"Robinson","given":"Sian M. SM Sian M","non-dropping-particle":"","parse-names":false,"suffix":""},{"dropping-particle":"","family":"Law","given":"CM","non-dropping-particle":"","parse-names":false,"suffix":""},{"dropping-particle":"","family":"Barker","given":"DJP","non-dropping-particle":"","parse-names":false,"suffix":""},{"dropping-particle":"","family":"Boyd","given":"A","non-dropping-particle":"","parse-names":false,"suffix":""},{"dropping-particle":"","family":"Golding","given":"J","non-dropping-particle":"","parse-names":false,"suffix":""},{"dropping-particle":"","family":"Macleod","given":"J","non-dropping-particle":"","parse-names":false,"suffix":""},{"dropping-particle":"","family":"Lawlor","given":"DA Debbie A.","non-dropping-particle":"","parse-names":false,"suffix":""},{"dropping-particle":"","family":"Fraser","given":"A","non-dropping-particle":"","parse-names":false,"suffix":""},{"dropping-particle":"","family":"Benzeval","given":"Michaela","non-dropping-particle":"","parse-names":false,"suffix":""},{"dropping-particle":"","family":"Der","given":"Geoff","non-dropping-particle":"","parse-names":false,"suffix":""},{"dropping-particle":"","family":"Ellaway","given":"A","non-dropping-particle":"","parse-names":false,"suffix":""},{"dropping-particle":"","family":"Hunt","given":"K","non-dropping-particle":"","parse-names":false,"suffix":""},{"dropping-particle":"","family":"Sweeting","given":"H","non-dropping-particle":"","parse-names":false,"suffix":""},{"dropping-particle":"","family":"Syddall","given":"HE Holly E.","non-dropping-particle":"","parse-names":false,"suffix":""},{"dropping-particle":"","family":"Sayer","given":"Avan Aihie","non-dropping-particle":"","parse-names":false,"suffix":""},{"dropping-particle":"","family":"Dennison","given":"Elaine M. EM","non-dropping-particle":"","parse-names":false,"suffix":""},{"dropping-particle":"","family":"Martin","given":"HJ","non-dropping-particle":"","parse-names":false,"suffix":""},{"dropping-particle":"","family":"Barker","given":"DJP","non-dropping-particle":"","parse-names":false,"suffix":""},{"dropping-particle":"","family":"Syddall","given":"HE Holly E.","non-dropping-particle":"","parse-names":false,"suffix":""},{"dropping-particle":"","family":"Simmonds","given":"SJ","non-dropping-particle":"","parse-names":false,"suffix":""},{"dropping-particle":"","family":"Martin","given":"HJ","non-dropping-particle":"","parse-names":false,"suffix":""},{"dropping-particle":"","family":"Watson","given":"C","non-dropping-particle":"","parse-names":false,"suffix":""},{"dropping-particle":"","family":"Dennison","given":"Elaine M. EM","non-dropping-particle":"","parse-names":false,"suffix":""},{"dropping-particle":"","family":"Deary","given":"Ian J IJ Ian J.","non-dropping-particle":"","parse-names":false,"suffix":""},{"dropping-particle":"","family":"Gow","given":"AJ","non-dropping-particle":"","parse-names":false,"suffix":""},{"dropping-particle":"","family":"Pattie","given":"A","non-dropping-particle":"","parse-names":false,"suffix":""},{"dropping-particle":"","family":"Starr","given":"John M. JM","non-dropping-particle":"","parse-names":false,"suffix":""},{"dropping-particle":"","family":"Collerton","given":"J","non-dropping-particle":"","parse-names":false,"suffix":""},{"dropping-particle":"","family":"Davies","given":"K","non-dropping-particle":"","parse-names":false,"suffix":""},{"dropping-particle":"","family":"Jagger","given":"Carol","non-dropping-particle":"","parse-names":false,"suffix":""},{"dropping-particle":"","family":"Kingston","given":"A","non-dropping-particle":"","parse-names":false,"suffix":""},{"dropping-particle":"","family":"Bond","given":"J","non-dropping-particle":"","parse-names":false,"suffix":""},{"dropping-particle":"","family":"Wadsworth","given":"M","non-dropping-particle":"","parse-names":false,"suffix":""},{"dropping-particle":"","family":"Kuh","given":"Diana","non-dropping-particle":"","parse-names":false,"suffix":""},{"dropping-particle":"","family":"Richards","given":"M","non-dropping-particle":"","parse-names":false,"suffix":""},{"dropping-particle":"","family":"Hardy","given":"R","non-dropping-particle":"","parse-names":false,"suffix":""},{"dropping-particle":"","family":"Kuh","given":"Diana","non-dropping-particle":"","parse-names":false,"suffix":""},{"dropping-particle":"","family":"Pierce","given":"M","non-dropping-particle":"","parse-names":false,"suffix":""},{"dropping-particle":"","family":"Adams","given":"J","non-dropping-particle":"","parse-names":false,"suffix":""},{"dropping-particle":"","family":"Deanfield","given":"J","non-dropping-particle":"","parse-names":false,"suffix":""},{"dropping-particle":"","family":"Ekelund","given":"U","non-dropping-particle":"","parse-names":false,"suffix":""},{"dropping-particle":"","family":"Roberts","given":"HC","non-dropping-particle":"","parse-names":false,"suffix":""},{"dropping-particle":"","family":"Denison","given":"HJ","non-dropping-particle":"","parse-names":false,"suffix":""},{"dropping-particle":"","family":"Martin","given":"HJ","non-dropping-particle":"","parse-names":false,"suffix":""},{"dropping-particle":"","family":"Patel","given":"HP","non-dropping-particle":"","parse-names":false,"suffix":""},{"dropping-particle":"","family":"Syddall","given":"HE Holly E.","non-dropping-particle":"","parse-names":false,"suffix":""},{"dropping-particle":"","family":"Cole","given":"TJ","non-dropping-particle":"","parse-names":false,"suffix":""},{"dropping-particle":"","family":"Green","given":"PJ","non-dropping-particle":"","parse-names":false,"suffix":""},{"dropping-particle":"","family":"Kanis","given":"J","non-dropping-particle":"","parse-names":false,"suffix":""},{"dropping-particle":"","family":"Lauretani","given":"F","non-dropping-particle":"","parse-names":false,"suffix":""},{"dropping-particle":"","family":"Russo","given":"CR","non-dropping-particle":"","parse-names":false,"suffix":""},{"dropping-particle":"","family":"Bandinelli","given":"S","non-dropping-particle":"","parse-names":false,"suffix":""},{"dropping-particle":"","family":"Bartali","given":"B","non-dropping-particle":"","parse-names":false,"suffix":""},{"dropping-particle":"","family":"Cavazzini","given":"C","non-dropping-particle":"","parse-names":false,"suffix":""},{"dropping-particle":"","family":"Molenaar","given":"HMT","non-dropping-particle":"","parse-names":false,"suffix":""},{"dropping-particle":"","family":"Selles","given":"RW","non-dropping-particle":"","parse-names":false,"suffix":""},{"dropping-particle":"","family":"Zuidam","given":"JM","non-dropping-particle":"","parse-names":false,"suffix":""},{"dropping-particle":"","family":"Willemsen","given":"SP","non-dropping-particle":"","parse-names":false,"suffix":""},{"dropping-particle":"","family":"Stam","given":"HJ","non-dropping-particle":"","parse-names":false,"suffix":""},{"dropping-particle":"","family":"Mathiowetz","given":"V","non-dropping-particle":"","parse-names":false,"suffix":""},{"dropping-particle":"","family":"Wiemer","given":"DM","non-dropping-particle":"","parse-names":false,"suffix":""},{"dropping-particle":"","family":"Federman","given":"SM","non-dropping-particle":"","parse-names":false,"suffix":""},{"dropping-particle":"De","family":"Smet","given":"L","non-dropping-particle":"","parse-names":false,"suffix":""},{"dropping-particle":"","family":"Vercammen","given":"A","non-dropping-particle":"","parse-names":false,"suffix":""},{"dropping-particle":"","family":"Nevill","given":"AM","non-dropping-particle":"","parse-names":false,"suffix":""},{"dropping-particle":"","family":"Holder","given":"RL","non-dropping-particle":"","parse-names":false,"suffix":""},{"dropping-particle":"","family":"Kallman","given":"D","non-dropping-particle":"","parse-names":false,"suffix":""},{"dropping-particle":"","family":"Plato","given":"C","non-dropping-particle":"","parse-names":false,"suffix":""},{"dropping-particle":"","family":"Tobin","given":"J","non-dropping-particle":"","parse-names":false,"suffix":""},{"dropping-particle":"","family":"Werle","given":"S","non-dropping-particle":"","parse-names":false,"suffix":""},{"dropping-particle":"","family":"Goldhahn","given":"J","non-dropping-particle":"","parse-names":false,"suffix":""},{"dropping-particle":"","family":"Drerup","given":"S","non-dropping-particle":"","parse-names":false,"suffix":""},{"dropping-particle":"","family":"Simmen","given":"BR","non-dropping-particle":"","parse-names":false,"suffix":""},{"dropping-particle":"","family":"Sprott","given":"H","non-dropping-particle":"","parse-names":false,"suffix":""},{"dropping-particle":"","family":"Spruit","given":"MA","non-dropping-particle":"","parse-names":false,"suffix":""},{"dropping-particle":"","family":"Sillen","given":"MJH","non-dropping-particle":"","parse-names":false,"suffix":""},{"dropping-particle":"","family":"Groenen","given":"MTJ","non-dropping-particle":"","parse-names":false,"suffix":""},{"dropping-particle":"","family":"Wouters","given":"EFM","non-dropping-particle":"","parse-names":false,"suffix":""},{"dropping-particle":"","family":"Franssen","given":"FME","non-dropping-particle":"","parse-names":false,"suffix":""},{"dropping-particle":"","family":"Frederiksen","given":"H","non-dropping-particle":"","parse-names":false,"suffix":""},{"dropping-particle":"","family":"Hjelmborg","given":"J","non-dropping-particle":"","parse-names":false,"suffix":""},{"dropping-particle":"","family":"Mortensen","given":"J","non-dropping-particle":"","parse-names":false,"suffix":""},{"dropping-particle":"","family":"McGue","given":"M","non-dropping-particle":"","parse-names":false,"suffix":""},{"dropping-particle":"","family":"Vaupel","given":"JW","non-dropping-particle":"","parse-names":false,"suffix":""},{"dropping-particle":"","family":"Amaral","given":"JF","non-dropping-particle":"","parse-names":false,"suffix":""},{"dropping-particle":"","family":"Mancini","given":"M","non-dropping-particle":"","parse-names":false,"suffix":""},{"dropping-particle":"","family":"Júnior","given":"JM Novo","non-dropping-particle":"","parse-names":false,"suffix":""},{"dropping-particle":"","family":"Beaton","given":"DE","non-dropping-particle":"","parse-names":false,"suffix":""},{"dropping-particle":"","family":"Driscoll","given":"SWO","non-dropping-particle":"","parse-names":false,"suffix":""},{"dropping-particle":"","family":"Richards","given":"RR","non-dropping-particle":"","parse-names":false,"suffix":""},{"dropping-particle":"","family":"Mathiowetz","given":"V","non-dropping-particle":"","parse-names":false,"suffix":""},{"dropping-particle":"","family":"Shechtman","given":"O","non-dropping-particle":"","parse-names":false,"suffix":""},{"dropping-particle":"","family":"Gestewitz","given":"L","non-dropping-particle":"","parse-names":false,"suffix":""},{"dropping-particle":"","family":"Kimble","given":"C","non-dropping-particle":"","parse-names":false,"suffix":""},{"dropping-particle":"","family":"Nahhas","given":"RW","non-dropping-particle":"","parse-names":false,"suffix":""},{"dropping-particle":"","family":"Choh","given":"AC","non-dropping-particle":"","parse-names":false,"suffix":""},{"dropping-particle":"","family":"Lee","given":"M","non-dropping-particle":"","parse-names":false,"suffix":""},{"dropping-particle":"","family":"Chumlea","given":"WMC","non-dropping-particle":"","parse-names":false,"suffix":""},{"dropping-particle":"","family":"Duren","given":"DL","non-dropping-particle":"","parse-names":false,"suffix":""},{"dropping-particle":"","family":"Guerra","given":"RS","non-dropping-particle":"","parse-names":false,"suffix":""},{"dropping-particle":"","family":"Amaral","given":"TF","non-dropping-particle":"","parse-names":false,"suffix":""},{"dropping-particle":"","family":"Shechtman","given":"O","non-dropping-particle":"","parse-names":false,"suffix":""},{"dropping-particle":"","family":"Mackinnon","given":"L","non-dropping-particle":"","parse-names":false,"suffix":""},{"dropping-particle":"","family":"Locklear","given":"C","non-dropping-particle":"","parse-names":false,"suffix":""},{"dropping-particle":"","family":"Balogun","given":"J","non-dropping-particle":"","parse-names":false,"suffix":""},{"dropping-particle":"","family":"Akomolafe","given":"C","non-dropping-particle":"","parse-names":false,"suffix":""},{"dropping-particle":"","family":"Amusa","given":"L","non-dropping-particle":"","parse-names":false,"suffix":""},{"dropping-particle":"","family":"Reuben","given":"DB","non-dropping-particle":"","parse-names":false,"suffix":""},{"dropping-particle":"","family":"Magasi","given":"S","non-dropping-particle":"","parse-names":false,"suffix":""},{"dropping-particle":"","family":"McCreath","given":"HE","non-dropping-particle":"","parse-names":false,"suffix":""},{"dropping-particle":"","family":"Bohannon","given":"RW","non-dropping-particle":"","parse-names":false,"suffix":""},{"dropping-particle":"","family":"Wang","given":"Y-C","non-dropping-particle":"","parse-names":false,"suffix":""},{"dropping-particle":"","family":"Desrosiers","given":"J","non-dropping-particle":"","parse-names":false,"suffix":""},{"dropping-particle":"","family":"Hébert","given":"R","non-dropping-particle":"","parse-names":false,"suffix":""},{"dropping-particle":"","family":"Bravo","given":"G","non-dropping-particle":"","parse-names":false,"suffix":""},{"dropping-particle":"","family":"Rochette","given":"A","non-dropping-particle":"","parse-names":false,"suffix":""},{"dropping-particle":"","family":"Kirkwood","given":"Thomas B. TBL Thomas B","non-dropping-particle":"","parse-names":false,"suffix":""},{"dropping-particle":"","family":"Dodds","given":"Richard M.","non-dropping-particle":"","parse-names":false,"suffix":""},{"dropping-particle":"","family":"Macdonald-Wallis","given":"C","non-dropping-particle":"","parse-names":false,"suffix":""},{"dropping-particle":"","family":"Kapasi","given":"T","non-dropping-particle":"","parse-names":false,"suffix":""},{"dropping-particle":"","family":"Sayer","given":"Avan Aihie","non-dropping-particle":"","parse-names":false,"suffix":""},{"dropping-particle":"","family":"Robinson","given":"Sian M. SM Sian M","non-dropping-particle":"","parse-names":false,"suffix":""},{"dropping-particle":"","family":"Der","given":"Geoff","non-dropping-particle":"","parse-names":false,"suffix":""},{"dropping-particle":"","family":"Batty","given":"GD","non-dropping-particle":"","parse-names":false,"suffix":""},{"dropping-particle":"","family":"Benzeval","given":"Michaela","non-dropping-particle":"","parse-names":false,"suffix":""},{"dropping-particle":"","family":"Deary","given":"Ian J IJ Ian J.","non-dropping-particle":"","parse-names":false,"suffix":""},{"dropping-particle":"","family":"Green","given":"MJ","non-dropping-particle":"","parse-names":false,"suffix":""},{"dropping-particle":"","family":"Kuh","given":"Diana","non-dropping-particle":"","parse-names":false,"suffix":""},{"dropping-particle":"","family":"Bassey","given":"J","non-dropping-particle":"","parse-names":false,"suffix":""},{"dropping-particle":"","family":"Hardy","given":"R","non-dropping-particle":"","parse-names":false,"suffix":""},{"dropping-particle":"","family":"Sayer","given":"Avan Aihie","non-dropping-particle":"","parse-names":false,"suffix":""},{"dropping-particle":"","family":"Wadsworth","given":"M","non-dropping-particle":"","parse-names":false,"suffix":""},{"dropping-particle":"","family":"Deary","given":"Ian J IJ Ian J.","non-dropping-particle":"","parse-names":false,"suffix":""},{"dropping-particle":"","family":"Johnson","given":"W","non-dropping-particle":"","parse-names":false,"suffix":""}],"container-title":"PloS one","editor":[{"dropping-particle":"","family":"Vina","given":"Jose","non-dropping-particle":"","parse-names":false,"suffix":""}],"id":"ITEM-1","issue":"12","issued":{"date-parts":[["2014","1","4"]]},"page":"e113637","publisher":"Public Library of Science","title":"Grip strength across the life course: normative data from twelve British studies.","type":"article-journal","volume":"9"},"uris":["http://www.mendeley.com/documents/?uuid=77350c84-7300-40b8-a8ba-f87cde582b65","http://www.mendeley.com/documents/?uuid=fb12e71f-e06c-45f3-a07e-2afb08b107ce"]}],"mendeley":{"formattedCitation":"[21]","plainTextFormattedCitation":"[21]","previouslyFormattedCitation":"[21]"},"properties":{"noteIndex":0},"schema":"https://github.com/citation-style-language/schema/raw/master/csl-citation.json"}</w:instrText>
            </w:r>
            <w:r w:rsidR="00554443" w:rsidRPr="00B9449F">
              <w:rPr>
                <w:rFonts w:ascii="Palatino Linotype" w:hAnsi="Palatino Linotype"/>
                <w:lang w:val="en-GB"/>
              </w:rPr>
              <w:fldChar w:fldCharType="separate"/>
            </w:r>
            <w:r w:rsidR="0038101C" w:rsidRPr="0038101C">
              <w:rPr>
                <w:rFonts w:ascii="Palatino Linotype" w:hAnsi="Palatino Linotype"/>
                <w:noProof/>
                <w:lang w:val="en-GB"/>
              </w:rPr>
              <w:t>[21]</w:t>
            </w:r>
            <w:r w:rsidR="00554443" w:rsidRPr="00B9449F">
              <w:rPr>
                <w:rFonts w:ascii="Palatino Linotype" w:hAnsi="Palatino Linotype"/>
                <w:lang w:val="en-GB"/>
              </w:rPr>
              <w:fldChar w:fldCharType="end"/>
            </w:r>
          </w:p>
        </w:tc>
      </w:tr>
      <w:tr w:rsidR="00AF68BB" w:rsidRPr="00B9449F" w14:paraId="2054DD0B" w14:textId="77777777" w:rsidTr="00CB5B85">
        <w:tc>
          <w:tcPr>
            <w:tcW w:w="3020" w:type="dxa"/>
            <w:tcBorders>
              <w:bottom w:val="dotted" w:sz="4" w:space="0" w:color="auto"/>
            </w:tcBorders>
          </w:tcPr>
          <w:p w14:paraId="7FD51D9E" w14:textId="77777777" w:rsidR="00AF68BB" w:rsidRPr="00B9449F" w:rsidRDefault="00AF68BB" w:rsidP="000B2444">
            <w:pPr>
              <w:rPr>
                <w:rFonts w:ascii="Palatino Linotype" w:hAnsi="Palatino Linotype"/>
                <w:lang w:val="en-GB"/>
              </w:rPr>
            </w:pPr>
          </w:p>
        </w:tc>
        <w:tc>
          <w:tcPr>
            <w:tcW w:w="3020" w:type="dxa"/>
            <w:tcBorders>
              <w:top w:val="dotted" w:sz="4" w:space="0" w:color="auto"/>
              <w:bottom w:val="dotted" w:sz="4" w:space="0" w:color="auto"/>
            </w:tcBorders>
          </w:tcPr>
          <w:p w14:paraId="2DDE41FE" w14:textId="3244F22F" w:rsidR="00AF68BB" w:rsidRPr="00B9449F" w:rsidRDefault="00E26F96" w:rsidP="000B2444">
            <w:pPr>
              <w:rPr>
                <w:rFonts w:ascii="Palatino Linotype" w:hAnsi="Palatino Linotype"/>
                <w:lang w:val="en-GB"/>
              </w:rPr>
            </w:pPr>
            <w:r w:rsidRPr="00B9449F">
              <w:rPr>
                <w:rFonts w:ascii="Palatino Linotype" w:hAnsi="Palatino Linotype"/>
                <w:lang w:val="en-GB"/>
              </w:rPr>
              <w:t>Chair stand test</w:t>
            </w:r>
          </w:p>
        </w:tc>
        <w:tc>
          <w:tcPr>
            <w:tcW w:w="3020" w:type="dxa"/>
            <w:tcBorders>
              <w:top w:val="dotted" w:sz="4" w:space="0" w:color="auto"/>
              <w:bottom w:val="dotted" w:sz="4" w:space="0" w:color="auto"/>
            </w:tcBorders>
          </w:tcPr>
          <w:p w14:paraId="42967009" w14:textId="4D14C439" w:rsidR="00AF68BB" w:rsidRPr="00B9449F" w:rsidRDefault="00681DC3" w:rsidP="00681DC3">
            <w:pPr>
              <w:rPr>
                <w:rFonts w:ascii="Palatino Linotype" w:hAnsi="Palatino Linotype"/>
                <w:lang w:val="en-GB"/>
              </w:rPr>
            </w:pPr>
            <w:r w:rsidRPr="00B9449F">
              <w:rPr>
                <w:rFonts w:ascii="Palatino Linotype" w:hAnsi="Palatino Linotype"/>
                <w:lang w:val="en-GB"/>
              </w:rPr>
              <w:t>&gt;15 seconds for 5 rises</w:t>
            </w:r>
            <w:r w:rsidRPr="00B9449F">
              <w:rPr>
                <w:rFonts w:ascii="Palatino Linotype" w:hAnsi="Palatino Linotype"/>
                <w:lang w:val="en-GB"/>
              </w:rPr>
              <w:fldChar w:fldCharType="begin" w:fldLock="1"/>
            </w:r>
            <w:r w:rsidR="001B65C6">
              <w:rPr>
                <w:rFonts w:ascii="Palatino Linotype" w:hAnsi="Palatino Linotype"/>
                <w:lang w:val="en-GB"/>
              </w:rPr>
              <w:instrText>ADDIN CSL_CITATION {"citationItems":[{"id":"ITEM-1","itemData":{"DOI":"10.1111/j.1532-5415.2008.02126.x","ISBN":"1532-5415 (Electronic)\r0002-8614 (Linking)","ISSN":"1532-5415","PMID":"19207142","abstract":"OBJECTIVES: To determine how three different physical performance measures (PPMs) combine for added utility in predicting adverse health events in elders. DESIGN: Prospective cohort study. SETTING: Health, Aging and Body Composition Study. PARTICIPANTS: Three thousand twenty-four well-functioning older persons (mean age 73.6). MEASUREMENTS: Timed gait, repeated chair stands, and balance (semi- and full-tandem, and single leg stands each held for 30 seconds) tests were administered at baseline. Usual gait speed was categorized to distinguish high- and low-risk participants using the previously established 1-m/s cutpoint. The same population-percentile (21.3%) was used to identify cutpoints for the repeated chair stands (17.1 seconds) and balance (53.0 seconds) tests. Cox proportional hazard analyses were performed to evaluate the added value of PPMs in predicting mortality, hospitalization, and (severe) mobility limitation events over 6.9 years of follow-up. RESULTS: Risk estimates for developing adverse health-related events were similarly large for each of the three high-risk groups considered separately. Having more PPM scores at the high-risk level was associated with a greater risk of developing adverse health-related events. When all three PPMs were considered, having only one poor performance was sufficient to indicate a highly significantly higher risk of (severe) lower extremity and mortality events. CONCLUSION: Although gait speed is considered to be the most important predictor of adverse health events, these findings demonstrate that poor performance on other tests of lower extremity function are equally prognostic. This suggests that chair stand and standing balance performance may be adequate substitutes when gait speed is unavailable.","author":[{"dropping-particle":"","family":"Cesari","given":"Matteo","non-dropping-particle":"","parse-names":false,"suffix":""},{"dropping-particle":"","family":"Kritchevsky","given":"Stephen B","non-dropping-particle":"","parse-names":false,"suffix":""},{"dropping-particle":"","family":"Newman","given":"Anne B","non-dropping-particle":"","parse-names":false,"suffix":""},{"dropping-particle":"","family":"Simonsick","given":"Eleanor M","non-dropping-particle":"","parse-names":false,"suffix":""},{"dropping-particle":"","family":"Harris","given":"Tamara B","non-dropping-particle":"","parse-names":false,"suffix":""},{"dropping-particle":"","family":"Penninx","given":"Brenda W","non-dropping-particle":"","parse-names":false,"suffix":""},{"dropping-particle":"","family":"Brach","given":"Jennifer S","non-dropping-particle":"","parse-names":false,"suffix":""},{"dropping-particle":"","family":"Tylavsky","given":"Frances A","non-dropping-particle":"","parse-names":false,"suffix":""},{"dropping-particle":"","family":"Satterfield","given":"Suzanne","non-dropping-particle":"","parse-names":false,"suffix":""},{"dropping-particle":"","family":"Bauer","given":"Doug C","non-dropping-particle":"","parse-names":false,"suffix":""},{"dropping-particle":"","family":"Rubin","given":"Susan M","non-dropping-particle":"","parse-names":false,"suffix":""},{"dropping-particle":"","family":"Visser","given":"Marjolein","non-dropping-particle":"","parse-names":false,"suffix":""},{"dropping-particle":"","family":"Pahor","given":"Marco","non-dropping-particle":"","parse-names":false,"suffix":""},{"dropping-particle":"","family":"Health, Aging and Body Composition Study","given":"","non-dropping-particle":"","parse-names":false,"suffix":""}],"container-title":"J Am Geriatr Soc","edition":"2009/02/12","id":"ITEM-1","issue":"2","issued":{"date-parts":[["2009","2"]]},"language":"eng","note":"From Duplicate 1 (Added value of physical performance measures in predicting adverse health-related events: results from the Health, Aging And Body Composition Study - Cesari, Matteo; Kritchevsky, Stephen B; Newman, Anne B; Simonsick, Eleanor M; Harris, Tamara B; Penninx, Brenda W; Brach, Jennifer S; Tylavsky, Frances A; Satterfield, Suzanne; Bauer, Doug C; Rubin, Susan M; Visser, Marjolein; Pahor, Marco; Health, Aging and Body Composition Study)\n\nFrom Duplicate 2 (Added value of physical performance measures in predicting adverse health-related events: results from the Health, Aging And Body Composition Study - Cesari, M; Kritchevsky, S B; Newman, A B; Simonsick, E M; Harris, T B; Penninx, B W; Brach, J S; Tylavsky, F A; Satterfield, S; Bauer, D C; Rubin, S M; Visser, M; Pahor, M)\n\nCesari, Matteo\nKritchevsky, Stephen B\nNewman, Anne B\nSimonsick, Eleanor M\nHarris, Tamara B\nPenninx, Brenda W\nBrach, Jennifer S\nTylavsky, Frances A\nSatterfield, Suzanne\nBauer, Doug C\nRubin, Susan M\nVisser, Marjolein\nPahor, Marco\nHealth, Aging and Body Composition Study\n1P30AG028740/AG/NIA NIH HHS/\nN01-AG-6-2101/AG/NIA NIH HHS/\nN01-AG-6-2103/AG/NIA NIH HHS/\nN01-AG-6-2106/AG/NIA NIH HHS/\nP30 AG024827/AG/NIA NIH HHS/\nT32 AG021885-06/AG/NIA NIH HHS/\nJ Am Geriatr Soc. 2009 Feb;57(2):251-9. doi: 10.1111/j.1532-5415.2008.02126.x.","page":"251-259","publisher":"NIH Public Access","title":"Added value of physical performance measures in predicting adverse health-related events: results from the Health, Aging And Body Composition Study","type":"article-journal","volume":"57"},"uris":["http://www.mendeley.com/documents/?uuid=6acee270-a264-4b27-b577-7877c5343b7f","http://www.mendeley.com/documents/?uuid=3afcd8c5-0ab1-43be-aefd-212d880389be"]}],"mendeley":{"formattedCitation":"[22]","plainTextFormattedCitation":"[22]","previouslyFormattedCitation":"[22]"},"properties":{"noteIndex":0},"schema":"https://github.com/citation-style-language/schema/raw/master/csl-citation.json"}</w:instrText>
            </w:r>
            <w:r w:rsidRPr="00B9449F">
              <w:rPr>
                <w:rFonts w:ascii="Palatino Linotype" w:hAnsi="Palatino Linotype"/>
                <w:lang w:val="en-GB"/>
              </w:rPr>
              <w:fldChar w:fldCharType="separate"/>
            </w:r>
            <w:r w:rsidR="0038101C" w:rsidRPr="0038101C">
              <w:rPr>
                <w:rFonts w:ascii="Palatino Linotype" w:hAnsi="Palatino Linotype"/>
                <w:noProof/>
                <w:lang w:val="en-GB"/>
              </w:rPr>
              <w:t>[22]</w:t>
            </w:r>
            <w:r w:rsidRPr="00B9449F">
              <w:rPr>
                <w:rFonts w:ascii="Palatino Linotype" w:hAnsi="Palatino Linotype"/>
                <w:lang w:val="en-GB"/>
              </w:rPr>
              <w:fldChar w:fldCharType="end"/>
            </w:r>
          </w:p>
        </w:tc>
      </w:tr>
      <w:tr w:rsidR="003B37AF" w:rsidRPr="00B9449F" w14:paraId="68700F35" w14:textId="77777777" w:rsidTr="00CB5B85">
        <w:tc>
          <w:tcPr>
            <w:tcW w:w="3020" w:type="dxa"/>
            <w:tcBorders>
              <w:top w:val="dotted" w:sz="4" w:space="0" w:color="auto"/>
            </w:tcBorders>
          </w:tcPr>
          <w:p w14:paraId="7358FB3D" w14:textId="4F09051D" w:rsidR="003B37AF" w:rsidRPr="00B9449F" w:rsidRDefault="00675C57" w:rsidP="000B2444">
            <w:pPr>
              <w:rPr>
                <w:rFonts w:ascii="Palatino Linotype" w:hAnsi="Palatino Linotype"/>
                <w:lang w:val="en-GB"/>
              </w:rPr>
            </w:pPr>
            <w:r>
              <w:rPr>
                <w:rFonts w:ascii="Palatino Linotype" w:hAnsi="Palatino Linotype"/>
                <w:lang w:val="en-GB"/>
              </w:rPr>
              <w:t xml:space="preserve">Low </w:t>
            </w:r>
            <w:r w:rsidR="003B37AF" w:rsidRPr="00B9449F">
              <w:rPr>
                <w:rFonts w:ascii="Palatino Linotype" w:hAnsi="Palatino Linotype"/>
                <w:lang w:val="en-GB"/>
              </w:rPr>
              <w:t>physical performance</w:t>
            </w:r>
          </w:p>
        </w:tc>
        <w:tc>
          <w:tcPr>
            <w:tcW w:w="3020" w:type="dxa"/>
            <w:tcBorders>
              <w:top w:val="dotted" w:sz="4" w:space="0" w:color="auto"/>
              <w:bottom w:val="dotted" w:sz="4" w:space="0" w:color="auto"/>
            </w:tcBorders>
          </w:tcPr>
          <w:p w14:paraId="37AB3B29" w14:textId="4F38E5C7" w:rsidR="003B37AF" w:rsidRPr="00B9449F" w:rsidRDefault="003B37AF" w:rsidP="000B2444">
            <w:pPr>
              <w:rPr>
                <w:rFonts w:ascii="Palatino Linotype" w:hAnsi="Palatino Linotype"/>
                <w:lang w:val="en-GB"/>
              </w:rPr>
            </w:pPr>
            <w:r w:rsidRPr="00B9449F">
              <w:rPr>
                <w:rFonts w:ascii="Palatino Linotype" w:hAnsi="Palatino Linotype"/>
                <w:lang w:val="en-GB"/>
              </w:rPr>
              <w:t>SPBB test</w:t>
            </w:r>
          </w:p>
        </w:tc>
        <w:tc>
          <w:tcPr>
            <w:tcW w:w="3020" w:type="dxa"/>
            <w:tcBorders>
              <w:top w:val="dotted" w:sz="4" w:space="0" w:color="auto"/>
              <w:bottom w:val="dotted" w:sz="4" w:space="0" w:color="auto"/>
            </w:tcBorders>
          </w:tcPr>
          <w:p w14:paraId="3F09723B" w14:textId="1C791F82" w:rsidR="003B37AF" w:rsidRPr="00B9449F" w:rsidRDefault="00554443" w:rsidP="000B2444">
            <w:pPr>
              <w:rPr>
                <w:rFonts w:ascii="Palatino Linotype" w:hAnsi="Palatino Linotype"/>
                <w:lang w:val="en-GB"/>
              </w:rPr>
            </w:pPr>
            <w:r w:rsidRPr="00B9449F">
              <w:rPr>
                <w:rFonts w:ascii="Palatino Linotype" w:hAnsi="Palatino Linotype"/>
                <w:lang w:val="en-GB"/>
              </w:rPr>
              <w:t>≤8 points</w:t>
            </w:r>
            <w:r w:rsidRPr="00B9449F">
              <w:rPr>
                <w:rFonts w:ascii="Palatino Linotype" w:hAnsi="Palatino Linotype"/>
                <w:lang w:val="en-GB"/>
              </w:rPr>
              <w:fldChar w:fldCharType="begin" w:fldLock="1"/>
            </w:r>
            <w:r w:rsidR="001B65C6">
              <w:rPr>
                <w:rFonts w:ascii="Palatino Linotype" w:hAnsi="Palatino Linotype"/>
                <w:lang w:val="en-GB"/>
              </w:rPr>
              <w:instrText>ADDIN CSL_CITATION {"citationItems":[{"id":"ITEM-1","itemData":{"DOI":"10.1186/s12916-016-0763-7","ISSN":"1741-7015","PMID":"28003033","abstract":"BACKGROUND The Short Physical Performance Battery (SPPB) is a well-established tool to assess lower extremity physical performance status. Its predictive ability for all-cause mortality has been sparsely reported, but with conflicting results in different subsets of participants. The aim of this study was to perform a meta-analysis investigating the relationship between SPPB score and all-cause mortality. METHODS Articles were searched in MEDLINE, the Cochrane Library, Google Scholar, and BioMed Central between July and September 2015 and updated in January 2016. Inclusion criteria were observational studies; &gt;50 participants; stratification of population according to SPPB value; data on all-cause mortality; English language publications. Twenty-four articles were selected from available evidence. Data of interest (i.e., clinical characteristics, information after stratification of the sample into four SPPB groups [0-3, 4-6, 7-9, 10-12]) were retrieved from the articles and/or obtained by the study authors. The odds ratio (OR) and/or hazard ratio (HR) was obtained for all-cause mortality according to SPPB category (with SPPB scores 10-12 considered as reference) with adjustment for age, sex, and body mass index. RESULTS Standardized data were obtained for 17 studies (n = 16,534, mean age 76 ± 3 years). As compared to SPPB scores 10-12, values of 0-3 (OR 3.25, 95%CI 2.86-3.79), 4-6 (OR 2.14, 95%CI 1.92-2.39), and 7-9 (OR 1.50, 95%CI 1.32-1.71) were each associated with an increased risk of all-cause mortality. The association between poor performance on SPPB and all-cause mortality remained highly consistent independent of follow-up length, subsets of participants, geographic area, and age of the population. Random effects meta-regression showed that OR for all-cause mortality with SPPB values 7-9 was higher in the younger population, diabetics, and men. CONCLUSIONS An SPPB score lower than 10 is predictive of all-cause mortality. The systematic implementation of the SPPB in clinical practice settings may provide useful prognostic information about the risk of all-cause mortality. Moreover, the SPPB could be used as a surrogate endpoint of all-cause mortality in trials needing to quantify benefit and health improvements of specific treatments or rehabilitation programs. The study protocol was published on PROSPERO (CRD42015024916).","author":[{"dropping-particle":"","family":"Pavasini","given":"Rita","non-dropping-particle":"","parse-names":false,"suffix":""},{"dropping-particle":"","family":"Guralnik","given":"Jack","non-dropping-particle":"","parse-names":false,"suffix":""},{"dropping-particle":"","family":"Brown","given":"Justin C","non-dropping-particle":"","parse-names":false,"suffix":""},{"dropping-particle":"","family":"Bari","given":"Mauro","non-dropping-particle":"di","parse-names":false,"suffix":""},{"dropping-particle":"","family":"Cesari","given":"Matteo","non-dropping-particle":"","parse-names":false,"suffix":""},{"dropping-particle":"","family":"Landi","given":"Francesco","non-dropping-particle":"","parse-names":false,"suffix":""},{"dropping-particle":"","family":"Vaes","given":"Bert","non-dropping-particle":"","parse-names":false,"suffix":""},{"dropping-particle":"","family":"Legrand","given":"Delphine","non-dropping-particle":"","parse-names":false,"suffix":""},{"dropping-particle":"","family":"Verghese","given":"Joe","non-dropping-particle":"","parse-names":false,"suffix":""},{"dropping-particle":"","family":"Wang","given":"Cuiling","non-dropping-particle":"","parse-names":false,"suffix":""},{"dropping-particle":"","family":"Stenholm","given":"Sari","non-dropping-particle":"","parse-names":false,"suffix":""},{"dropping-particle":"","family":"Ferrucci","given":"Luigi","non-dropping-particle":"","parse-names":false,"suffix":""},{"dropping-particle":"","family":"Lai","given":"Jennifer C","non-dropping-particle":"","parse-names":false,"suffix":""},{"dropping-particle":"","family":"Bartes","given":"Anna Arnau","non-dropping-particle":"","parse-names":false,"suffix":""},{"dropping-particle":"","family":"Espaulella","given":"Joan","non-dropping-particle":"","parse-names":false,"suffix":""},{"dropping-particle":"","family":"Ferrer","given":"Montserrat","non-dropping-particle":"","parse-names":false,"suffix":""},{"dropping-particle":"","family":"Lim","given":"Jae-Young","non-dropping-particle":"","parse-names":false,"suffix":""},{"dropping-particle":"","family":"Ensrud","given":"Kristine E","non-dropping-particle":"","parse-names":false,"suffix":""},{"dropping-particle":"","family":"Cawthon","given":"Peggy","non-dropping-particle":"","parse-names":false,"suffix":""},{"dropping-particle":"","family":"Turusheva","given":"Anna","non-dropping-particle":"","parse-names":false,"suffix":""},{"dropping-particle":"","family":"Frolova","given":"Elena","non-dropping-particle":"","parse-names":false,"suffix":""},{"dropping-particle":"","family":"Rolland","given":"Yves","non-dropping-particle":"","parse-names":false,"suffix":""},{"dropping-particle":"","family":"Lauwers","given":"Valerie","non-dropping-particle":"","parse-names":false,"suffix":""},{"dropping-particle":"","family":"Corsonello","given":"Andrea","non-dropping-particle":"","parse-names":false,"suffix":""},{"dropping-particle":"","family":"Kirk","given":"Gregory D","non-dropping-particle":"","parse-names":false,"suffix":""},{"dropping-particle":"","family":"Ferrari","given":"Roberto","non-dropping-particle":"","parse-names":false,"suffix":""},{"dropping-particle":"","family":"Volpato","given":"Stefano","non-dropping-particle":"","parse-names":false,"suffix":""},{"dropping-particle":"","family":"Campo","given":"Gianluca","non-dropping-particle":"","parse-names":false,"suffix":""}],"container-title":"BMC medicine","id":"ITEM-1","issue":"1","issued":{"date-parts":[["2016","12","22"]]},"page":"215","publisher":"BioMed Central","title":"Short Physical Performance Battery and all-cause mortality: systematic review and meta-analysis.","type":"article-journal","volume":"14"},"uris":["http://www.mendeley.com/documents/?uuid=a8aacb47-38be-3ed9-abc6-0de4396ff2c0","http://www.mendeley.com/documents/?uuid=f681a6fb-cda8-4505-83bd-66552d4e9ab0"]}],"mendeley":{"formattedCitation":"[23]","plainTextFormattedCitation":"[23]","previouslyFormattedCitation":"[23]"},"properties":{"noteIndex":0},"schema":"https://github.com/citation-style-language/schema/raw/master/csl-citation.json"}</w:instrText>
            </w:r>
            <w:r w:rsidRPr="00B9449F">
              <w:rPr>
                <w:rFonts w:ascii="Palatino Linotype" w:hAnsi="Palatino Linotype"/>
                <w:lang w:val="en-GB"/>
              </w:rPr>
              <w:fldChar w:fldCharType="separate"/>
            </w:r>
            <w:r w:rsidR="0038101C" w:rsidRPr="0038101C">
              <w:rPr>
                <w:rFonts w:ascii="Palatino Linotype" w:hAnsi="Palatino Linotype"/>
                <w:noProof/>
                <w:lang w:val="en-GB"/>
              </w:rPr>
              <w:t>[23]</w:t>
            </w:r>
            <w:r w:rsidRPr="00B9449F">
              <w:rPr>
                <w:rFonts w:ascii="Palatino Linotype" w:hAnsi="Palatino Linotype"/>
                <w:lang w:val="en-GB"/>
              </w:rPr>
              <w:fldChar w:fldCharType="end"/>
            </w:r>
          </w:p>
        </w:tc>
      </w:tr>
      <w:tr w:rsidR="003B37AF" w:rsidRPr="00B9449F" w14:paraId="13D0E4B6" w14:textId="77777777" w:rsidTr="00CB5B85">
        <w:tc>
          <w:tcPr>
            <w:tcW w:w="3020" w:type="dxa"/>
          </w:tcPr>
          <w:p w14:paraId="61DA6CB6" w14:textId="77777777" w:rsidR="003B37AF" w:rsidRPr="00B9449F" w:rsidRDefault="003B37AF" w:rsidP="000B2444">
            <w:pPr>
              <w:rPr>
                <w:rFonts w:ascii="Palatino Linotype" w:hAnsi="Palatino Linotype"/>
                <w:lang w:val="en-GB"/>
              </w:rPr>
            </w:pPr>
          </w:p>
        </w:tc>
        <w:tc>
          <w:tcPr>
            <w:tcW w:w="3020" w:type="dxa"/>
            <w:tcBorders>
              <w:top w:val="dotted" w:sz="4" w:space="0" w:color="auto"/>
              <w:bottom w:val="dotted" w:sz="4" w:space="0" w:color="auto"/>
            </w:tcBorders>
          </w:tcPr>
          <w:p w14:paraId="138961CE" w14:textId="63BC62BB" w:rsidR="003B37AF" w:rsidRPr="00B9449F" w:rsidRDefault="003B37AF" w:rsidP="000B2444">
            <w:pPr>
              <w:rPr>
                <w:rFonts w:ascii="Palatino Linotype" w:hAnsi="Palatino Linotype"/>
                <w:lang w:val="en-GB"/>
              </w:rPr>
            </w:pPr>
            <w:r w:rsidRPr="00B9449F">
              <w:rPr>
                <w:rFonts w:ascii="Palatino Linotype" w:hAnsi="Palatino Linotype"/>
                <w:lang w:val="en-GB"/>
              </w:rPr>
              <w:t>Gait speed (4-meter)</w:t>
            </w:r>
          </w:p>
        </w:tc>
        <w:tc>
          <w:tcPr>
            <w:tcW w:w="3020" w:type="dxa"/>
            <w:tcBorders>
              <w:top w:val="dotted" w:sz="4" w:space="0" w:color="auto"/>
              <w:bottom w:val="dotted" w:sz="4" w:space="0" w:color="auto"/>
            </w:tcBorders>
          </w:tcPr>
          <w:p w14:paraId="1879CD97" w14:textId="3305CAAD" w:rsidR="003B37AF" w:rsidRPr="00B9449F" w:rsidRDefault="00554443" w:rsidP="000B2444">
            <w:pPr>
              <w:rPr>
                <w:rFonts w:ascii="Palatino Linotype" w:hAnsi="Palatino Linotype"/>
                <w:lang w:val="en-GB"/>
              </w:rPr>
            </w:pPr>
            <w:r w:rsidRPr="00B9449F">
              <w:rPr>
                <w:rFonts w:ascii="Palatino Linotype" w:hAnsi="Palatino Linotype"/>
                <w:lang w:val="en-GB"/>
              </w:rPr>
              <w:t>≤0.8 meter/seconds</w:t>
            </w:r>
            <w:r w:rsidR="00066507" w:rsidRPr="00B9449F">
              <w:rPr>
                <w:rFonts w:ascii="Palatino Linotype" w:hAnsi="Palatino Linotype"/>
                <w:lang w:val="en-GB"/>
              </w:rPr>
              <w:fldChar w:fldCharType="begin" w:fldLock="1"/>
            </w:r>
            <w:r w:rsidR="001B65C6">
              <w:rPr>
                <w:rFonts w:ascii="Palatino Linotype" w:hAnsi="Palatino Linotype"/>
                <w:lang w:val="en-GB"/>
              </w:rPr>
              <w:instrText>ADDIN CSL_CITATION {"citationItems":[{"id":"ITEM-1","itemData":{"DOI":"10.1001/jama.2010.1923","ISBN":"1538-3598 (Electronic)\r0098-7484 (Linking)","ISSN":"1538-3598","PMID":"21205966","abstract":"CONTEXT: Survival estimates help individualize goals of care for geriatric patients, but life tables fail to account for the great variability in survival. Physical performance measures, such as gait speed, might help account for variability, allowing clinicians to make more individualized estimates. OBJECTIVE: To evaluate the relationship between gait speed and survival. DESIGN, SETTING, AND PARTICIPANTS: Pooled analysis of 9 cohort studies (collected between 1986 and 2000), using individual data from 34,485 community-dwelling older adults aged 65 years or older with baseline gait speed data, followed up for 6 to 21 years. Participants were a mean (SD) age of 73.5 (5.9) years; 59.6%, women; and 79.8%, white; and had a mean (SD) gait speed of 0.92 (0.27) m/s. MAIN OUTCOME MEASURES: Survival rates and life expectancy. RESULTS: There were 17,528 deaths; the overall 5-year survival rate was 84.8% (confidence interval [CI], 79.6%-88.8%) and 10-year survival rate was 59.7% (95% CI, 46.5%-70.6%). Gait speed was associated with survival in all studies (pooled hazard ratio per 0.1 m/s, 0.88; 95% CI, 0.87-0.90; P &lt; .001). Survival increased across the full range of gait speeds, with significant increments per 0.1 m/s. At age 75, predicted 10-year survival across the range of gait speeds ranged from 19% to 87% in men and from 35% to 91% in women. Predicted survival based on age, sex, and gait speed was as accurate as predicted based on age, sex, use of mobility aids, and self-reported function or as age, sex, chronic conditions, smoking history, blood pressure, body mass index, and hospitalization. CONCLUSION: In this pooled analysis of individual data from 9 selected cohorts, gait speed was associated with survival in older adults.","author":[{"dropping-particle":"","family":"Studenski","given":"Stephanie","non-dropping-particle":"","parse-names":false,"suffix":""},{"dropping-particle":"","family":"Perera","given":"Subashan","non-dropping-particle":"","parse-names":false,"suffix":""},{"dropping-particle":"","family":"Patel","given":"Kushang","non-dropping-particle":"","parse-names":false,"suffix":""},{"dropping-particle":"","family":"Rosano","given":"Caterina","non-dropping-particle":"","parse-names":false,"suffix":""},{"dropping-particle":"","family":"Faulkner","given":"Kimberly","non-dropping-particle":"","parse-names":false,"suffix":""},{"dropping-particle":"","family":"Inzitari","given":"Marco","non-dropping-particle":"","parse-names":false,"suffix":""},{"dropping-particle":"","family":"Brach","given":"Jennifer","non-dropping-particle":"","parse-names":false,"suffix":""},{"dropping-particle":"","family":"Chandler","given":"Julie","non-dropping-particle":"","parse-names":false,"suffix":""},{"dropping-particle":"","family":"Cawthon","given":"Peggy","non-dropping-particle":"","parse-names":false,"suffix":""},{"dropping-particle":"","family":"Connor","given":"Elizabeth Barrett","non-dropping-particle":"","parse-names":false,"suffix":""},{"dropping-particle":"","family":"Nevitt","given":"Michael","non-dropping-particle":"","parse-names":false,"suffix":""},{"dropping-particle":"","family":"Visser","given":"Marjolein","non-dropping-particle":"","parse-names":false,"suffix":""},{"dropping-particle":"","family":"Kritchevsky","given":"Stephen","non-dropping-particle":"","parse-names":false,"suffix":""},{"dropping-particle":"","family":"Badinelli","given":"Stefania","non-dropping-particle":"","parse-names":false,"suffix":""},{"dropping-particle":"","family":"Harris","given":"Tamara","non-dropping-particle":"","parse-names":false,"suffix":""},{"dropping-particle":"","family":"Newman","given":"Anne B","non-dropping-particle":"","parse-names":false,"suffix":""},{"dropping-particle":"","family":"Cauley","given":"Jane","non-dropping-particle":"","parse-names":false,"suffix":""},{"dropping-particle":"","family":"Ferrucci","given":"Luigi","non-dropping-particle":"","parse-names":false,"suffix":""},{"dropping-particle":"","family":"Guralnik","given":"Jack","non-dropping-particle":"","parse-names":false,"suffix":""}],"container-title":"JAMA","edition":"2011/01/06","id":"ITEM-1","issue":"1","issued":{"date-parts":[["2011","1","5"]]},"language":"eng","note":"From Duplicate 1 (Gait speed and survival in older adults. - Studenski, Stephanie; Perera, Subashan; Patel, Kushang; Rosano, Caterina; Faulkner, Kimberly; Inzitari, Marco; Brach, Jennifer; Chandler, Julie; Cawthon, Peggy; Connor, Elizabeth Barrett; Nevitt, Michael; Visser, Marjolein; Kritchevsky, Stephen; Badinelli, Stefania; Harris, Tamara; Newman, Anne B; Cauley, Jane; Ferrucci, Luigi; Guralnik, Jack)\n\nFrom Duplicate 1 (Gait speed and survival in older adults - Studenski, S; Perera, S; Patel, K; Rosano, C; Faulkner, K; Inzitari, M; Brach, J; Chandler, J; Cawthon, P; Connor, E B; Nevitt, M; Visser, M; Kritchevsky, S; Badinelli, S; Harris, T; Newman, A B; Cauley, J; Ferrucci, L; Guralnik, J)\n\nStudenski, Stephanie\nPerera, Subashan\nPatel, Kushang\nRosano, Caterina\nFaulkner, Kimberly\nInzitari, Marco\nBrach, Jennifer\nChandler, Julie\nCawthon, Peggy\nConnor, Elizabeth Barrett\nNevitt, Michael\nVisser, Marjolein\nKritchevsky, Stephen\nBadinelli, Stefania\nHarris, Tamara\nNewman, Anne B\nCauley, Jane\nFerrucci, Luigi\nGuralnik, Jack\nAG023641/AG/NIA NIH HHS/\nAG024827/AG/NIA NIH HHS/\nK07 AG023641-05/AG/NIA NIH HHS/\nP30 AG024827/AG/NIA NIH HHS/\nP30 AG024827-08/AG/NIA NIH HHS/\nJAMA. 2011 Jan 5;305(1):50-8. doi: 10.1001/jama.2010.1923.","page":"50-8","publisher":"NIH Public Access","title":"Gait speed and survival in older adults.","type":"article-journal","volume":"305"},"uris":["http://www.mendeley.com/documents/?uuid=d9569c26-29cb-48ed-a8bc-cc040f66ac25","http://www.mendeley.com/documents/?uuid=bd563cd6-d761-4200-95e7-1d482466a886"]}],"mendeley":{"formattedCitation":"[24]","plainTextFormattedCitation":"[24]","previouslyFormattedCitation":"[24]"},"properties":{"noteIndex":0},"schema":"https://github.com/citation-style-language/schema/raw/master/csl-citation.json"}</w:instrText>
            </w:r>
            <w:r w:rsidR="00066507" w:rsidRPr="00B9449F">
              <w:rPr>
                <w:rFonts w:ascii="Palatino Linotype" w:hAnsi="Palatino Linotype"/>
                <w:lang w:val="en-GB"/>
              </w:rPr>
              <w:fldChar w:fldCharType="separate"/>
            </w:r>
            <w:r w:rsidR="0038101C" w:rsidRPr="0038101C">
              <w:rPr>
                <w:rFonts w:ascii="Palatino Linotype" w:hAnsi="Palatino Linotype"/>
                <w:noProof/>
                <w:lang w:val="en-GB"/>
              </w:rPr>
              <w:t>[24]</w:t>
            </w:r>
            <w:r w:rsidR="00066507" w:rsidRPr="00B9449F">
              <w:rPr>
                <w:rFonts w:ascii="Palatino Linotype" w:hAnsi="Palatino Linotype"/>
                <w:lang w:val="en-GB"/>
              </w:rPr>
              <w:fldChar w:fldCharType="end"/>
            </w:r>
          </w:p>
        </w:tc>
      </w:tr>
      <w:tr w:rsidR="003B37AF" w:rsidRPr="007274EE" w14:paraId="2C090077" w14:textId="77777777" w:rsidTr="001E3E68">
        <w:tc>
          <w:tcPr>
            <w:tcW w:w="3020" w:type="dxa"/>
            <w:tcBorders>
              <w:bottom w:val="single" w:sz="4" w:space="0" w:color="auto"/>
            </w:tcBorders>
          </w:tcPr>
          <w:p w14:paraId="318F9F38" w14:textId="1A28821D" w:rsidR="003B37AF" w:rsidRPr="00B9449F" w:rsidRDefault="003B37AF" w:rsidP="000B2444">
            <w:pPr>
              <w:rPr>
                <w:rFonts w:ascii="Palatino Linotype" w:hAnsi="Palatino Linotype"/>
                <w:lang w:val="en-GB"/>
              </w:rPr>
            </w:pPr>
          </w:p>
        </w:tc>
        <w:tc>
          <w:tcPr>
            <w:tcW w:w="3020" w:type="dxa"/>
            <w:tcBorders>
              <w:top w:val="dotted" w:sz="4" w:space="0" w:color="auto"/>
              <w:bottom w:val="single" w:sz="4" w:space="0" w:color="auto"/>
            </w:tcBorders>
          </w:tcPr>
          <w:p w14:paraId="6DDC0381" w14:textId="3C6C6058" w:rsidR="003B37AF" w:rsidRPr="00B9449F" w:rsidRDefault="00554443" w:rsidP="000B2444">
            <w:pPr>
              <w:rPr>
                <w:rFonts w:ascii="Palatino Linotype" w:hAnsi="Palatino Linotype"/>
                <w:lang w:val="en-GB"/>
              </w:rPr>
            </w:pPr>
            <w:r w:rsidRPr="00B9449F">
              <w:rPr>
                <w:rFonts w:ascii="Palatino Linotype" w:hAnsi="Palatino Linotype"/>
                <w:lang w:val="en-GB"/>
              </w:rPr>
              <w:t>T</w:t>
            </w:r>
            <w:r w:rsidR="00AA26E6">
              <w:rPr>
                <w:rFonts w:ascii="Palatino Linotype" w:hAnsi="Palatino Linotype"/>
                <w:lang w:val="en-GB"/>
              </w:rPr>
              <w:t>imed up and go</w:t>
            </w:r>
          </w:p>
        </w:tc>
        <w:tc>
          <w:tcPr>
            <w:tcW w:w="3020" w:type="dxa"/>
            <w:tcBorders>
              <w:top w:val="dotted" w:sz="4" w:space="0" w:color="auto"/>
              <w:bottom w:val="single" w:sz="4" w:space="0" w:color="auto"/>
            </w:tcBorders>
          </w:tcPr>
          <w:p w14:paraId="2C7F55BD" w14:textId="3016680B" w:rsidR="003B37AF" w:rsidRPr="00B9449F" w:rsidRDefault="00554443" w:rsidP="000B2444">
            <w:pPr>
              <w:rPr>
                <w:rFonts w:ascii="Palatino Linotype" w:hAnsi="Palatino Linotype"/>
                <w:lang w:val="en-GB"/>
              </w:rPr>
            </w:pPr>
            <w:r w:rsidRPr="00B9449F">
              <w:rPr>
                <w:rFonts w:ascii="Palatino Linotype" w:hAnsi="Palatino Linotype"/>
                <w:lang w:val="en-GB"/>
              </w:rPr>
              <w:t>≥ 20 seconds</w:t>
            </w:r>
            <w:r w:rsidR="00AF68BB" w:rsidRPr="00B9449F">
              <w:rPr>
                <w:rFonts w:ascii="Palatino Linotype" w:hAnsi="Palatino Linotype"/>
                <w:lang w:val="en-GB"/>
              </w:rPr>
              <w:fldChar w:fldCharType="begin" w:fldLock="1"/>
            </w:r>
            <w:r w:rsidR="001B65C6">
              <w:rPr>
                <w:rFonts w:ascii="Palatino Linotype" w:hAnsi="Palatino Linotype"/>
                <w:lang w:val="en-GB"/>
              </w:rPr>
              <w:instrText>ADDIN CSL_CITATION {"citationItems":[{"id":"ITEM-1","itemData":{"DOI":"10.1093/ageing/32.3.315","ISSN":"00020729","PMID":"12720619","abstract":"Background: physical mobility testing is an essential component of the geriatric assessment. The timed up and go test measures basic mobility skills including a sequence of functional manoeuvres used in everyday life. Objectives: to create a practical cut-off value to indicate normal versus below normal timed up and go test performance by comparing test performance of community-dwelling and institutionalised elderly women. Setting and participants: 413 community-dwelling and 78 institutionalised mobile elderly women (age range 65-85 years) were enrolled in a cross-sectional study. Measurements: timed up and go test duration, residential and mobility status, age, height, weight and body mass index were documented. Results: 92% of community-dwelling elderly women performed the timed up and go test in less than 12 seconds and all community-dwelling women had times below 20 seconds. In contrast only 9% of institutionalised elderly women performed the timed up and go test in less than 12 seconds, 42% were below 20 seconds, 32% had results between 20 and 30 seconds and 26% were above 30 seconds. The 10th-90th percentiles for timed up and go test performance were 6.0-11.2 seconds for community-dwelling and 12.7-50.1 seconds for institutionalised elderly women. When stratifying participants according to mobility status, the timed up and go test duration increased significantly with decreasing mobility (Kruskall-Wallis-test: p&lt;0.0001). Linear regression modelling identified residential status (p&lt;0.0001) and physical mobility status (p&lt;0.0001) as significant predictors of timed up and go performance. This model predicted 54% of total variation of timed up and go test performance. Conclusion: residential and mobility status were identified as the strongest predictors of timed up and go test performance. We recommend the timed up and go test as a screening tool to determine whether an in-depth mobility assessment and early intervention, such as prescription of a walking aid, home visit or physiotherapy, is necessary. Community-dwelling elderly women between 65 and 85 years of age should be able to perform the timed up and go test in 12 seconds or less.","author":[{"dropping-particle":"","family":"Bischoff","given":"Heike A.","non-dropping-particle":"","parse-names":false,"suffix":""},{"dropping-particle":"","family":"Stähelin","given":"Hannes B.","non-dropping-particle":"","parse-names":false,"suffix":""},{"dropping-particle":"","family":"Monsch","given":"Andreas U.","non-dropping-particle":"","parse-names":false,"suffix":""},{"dropping-particle":"","family":"Iversen","given":"Maura D.","non-dropping-particle":"","parse-names":false,"suffix":""},{"dropping-particle":"","family":"Weyh","given":"Antje","non-dropping-particle":"","parse-names":false,"suffix":""},{"dropping-particle":"","family":"Dechend","given":"Margot","non-dropping-particle":"von","parse-names":false,"suffix":""},{"dropping-particle":"","family":"Akos","given":"Regula","non-dropping-particle":"","parse-names":false,"suffix":""},{"dropping-particle":"","family":"Conzelmann","given":"Martin","non-dropping-particle":"","parse-names":false,"suffix":""},{"dropping-particle":"","family":"Dick","given":"Walter","non-dropping-particle":"","parse-names":false,"suffix":""},{"dropping-particle":"","family":"Theiler","given":"Robert","non-dropping-particle":"","parse-names":false,"suffix":""}],"container-title":"Age and Ageing","id":"ITEM-1","issue":"3","issued":{"date-parts":[["2003","5"]]},"page":"315-320","title":"Identifying a cut-off point for normal mobility: A comparison of the timed 'up and go' test in community-dwelling and institutionalised elderly women","type":"article-journal","volume":"32"},"uris":["http://www.mendeley.com/documents/?uuid=162fea8c-2554-39d0-bae1-24110de2304b","http://www.mendeley.com/documents/?uuid=d1633620-276a-48c0-acbf-14a2640e49b9"]}],"mendeley":{"formattedCitation":"[25]","plainTextFormattedCitation":"[25]","previouslyFormattedCitation":"[25]"},"properties":{"noteIndex":0},"schema":"https://github.com/citation-style-language/schema/raw/master/csl-citation.json"}</w:instrText>
            </w:r>
            <w:r w:rsidR="00AF68BB" w:rsidRPr="00B9449F">
              <w:rPr>
                <w:rFonts w:ascii="Palatino Linotype" w:hAnsi="Palatino Linotype"/>
                <w:lang w:val="en-GB"/>
              </w:rPr>
              <w:fldChar w:fldCharType="separate"/>
            </w:r>
            <w:r w:rsidR="0038101C" w:rsidRPr="0038101C">
              <w:rPr>
                <w:rFonts w:ascii="Palatino Linotype" w:hAnsi="Palatino Linotype"/>
                <w:noProof/>
                <w:lang w:val="en-GB"/>
              </w:rPr>
              <w:t>[25]</w:t>
            </w:r>
            <w:r w:rsidR="00AF68BB" w:rsidRPr="00B9449F">
              <w:rPr>
                <w:rFonts w:ascii="Palatino Linotype" w:hAnsi="Palatino Linotype"/>
                <w:lang w:val="en-GB"/>
              </w:rPr>
              <w:fldChar w:fldCharType="end"/>
            </w:r>
          </w:p>
        </w:tc>
      </w:tr>
    </w:tbl>
    <w:p w14:paraId="625705FD" w14:textId="6DCB32CB" w:rsidR="003B37AF" w:rsidRPr="00B9449F" w:rsidRDefault="00681DC3" w:rsidP="000B2444">
      <w:pPr>
        <w:rPr>
          <w:rFonts w:ascii="Palatino Linotype" w:hAnsi="Palatino Linotype"/>
          <w:lang w:val="en-GB"/>
        </w:rPr>
      </w:pPr>
      <w:r w:rsidRPr="00B9449F">
        <w:rPr>
          <w:rFonts w:ascii="Palatino Linotype" w:hAnsi="Palatino Linotype"/>
          <w:lang w:val="en-GB"/>
        </w:rPr>
        <w:t>Table 1. Inclusion criteria related to muscle strength and physical performance</w:t>
      </w:r>
      <w:r w:rsidR="009E5EA4">
        <w:rPr>
          <w:rFonts w:ascii="Palatino Linotype" w:hAnsi="Palatino Linotype"/>
          <w:lang w:val="en-GB"/>
        </w:rPr>
        <w:t xml:space="preserve">. SPPB: Short Physical Performance Battery. </w:t>
      </w:r>
    </w:p>
    <w:p w14:paraId="5C6FCFA3" w14:textId="77777777" w:rsidR="00B35C96" w:rsidRPr="00B9449F" w:rsidRDefault="00B35C96" w:rsidP="00B35C96">
      <w:pPr>
        <w:rPr>
          <w:rFonts w:ascii="Palatino Linotype" w:hAnsi="Palatino Linotype"/>
          <w:b/>
          <w:bCs/>
          <w:lang w:val="en-GB"/>
        </w:rPr>
      </w:pPr>
      <w:r w:rsidRPr="00B9449F">
        <w:rPr>
          <w:rFonts w:ascii="Palatino Linotype" w:hAnsi="Palatino Linotype"/>
          <w:b/>
          <w:bCs/>
          <w:lang w:val="en-GB"/>
        </w:rPr>
        <w:t>Exclusion criteria</w:t>
      </w:r>
    </w:p>
    <w:p w14:paraId="1321A158" w14:textId="6F36D0B8" w:rsidR="00B35C96" w:rsidRPr="001E3E68" w:rsidRDefault="004933CD" w:rsidP="001E3E68">
      <w:pPr>
        <w:pStyle w:val="ListParagraph"/>
        <w:numPr>
          <w:ilvl w:val="0"/>
          <w:numId w:val="10"/>
        </w:numPr>
        <w:jc w:val="both"/>
        <w:rPr>
          <w:rFonts w:ascii="Palatino Linotype" w:hAnsi="Palatino Linotype"/>
          <w:lang w:val="en-US"/>
        </w:rPr>
      </w:pPr>
      <w:r w:rsidRPr="001E3E68">
        <w:rPr>
          <w:rFonts w:ascii="Palatino Linotype" w:hAnsi="Palatino Linotype"/>
          <w:lang w:val="en-US"/>
        </w:rPr>
        <w:t>Nutritional status of all participants should be evaluated during the recruitment stage, and those</w:t>
      </w:r>
      <w:r w:rsidR="00B35C96" w:rsidRPr="001E3E68">
        <w:rPr>
          <w:rFonts w:ascii="Palatino Linotype" w:hAnsi="Palatino Linotype"/>
          <w:lang w:val="en-US"/>
        </w:rPr>
        <w:t xml:space="preserve"> who are severely malnourished should not be included in the trial.</w:t>
      </w:r>
      <w:r w:rsidR="00202111" w:rsidRPr="001E3E68">
        <w:rPr>
          <w:rFonts w:ascii="Palatino Linotype" w:hAnsi="Palatino Linotype"/>
          <w:lang w:val="en-US"/>
        </w:rPr>
        <w:t xml:space="preserve"> Malnutrition could be measured using one of the several available diagnostic tool; Mini-Nutritional assessment tool</w:t>
      </w:r>
      <w:r w:rsidR="00AC553E" w:rsidRPr="001E3E68">
        <w:rPr>
          <w:rFonts w:ascii="Palatino Linotype" w:hAnsi="Palatino Linotype"/>
          <w:lang w:val="en-US"/>
        </w:rPr>
        <w:t xml:space="preserve">, </w:t>
      </w:r>
      <w:r w:rsidR="005D5DB4" w:rsidRPr="001E3E68">
        <w:rPr>
          <w:rFonts w:ascii="Palatino Linotype" w:hAnsi="Palatino Linotype"/>
          <w:lang w:val="en-US"/>
        </w:rPr>
        <w:t>European Society of Clinical Nutrition and Metabolism (</w:t>
      </w:r>
      <w:r w:rsidR="00AC553E" w:rsidRPr="001E3E68">
        <w:rPr>
          <w:rFonts w:ascii="Palatino Linotype" w:hAnsi="Palatino Linotype"/>
          <w:lang w:val="en-US"/>
        </w:rPr>
        <w:t>ESPEN</w:t>
      </w:r>
      <w:r w:rsidR="005D5DB4" w:rsidRPr="001E3E68">
        <w:rPr>
          <w:rFonts w:ascii="Palatino Linotype" w:hAnsi="Palatino Linotype"/>
          <w:lang w:val="en-US"/>
        </w:rPr>
        <w:t>)</w:t>
      </w:r>
      <w:r w:rsidR="00AC553E" w:rsidRPr="001E3E68">
        <w:rPr>
          <w:rFonts w:ascii="Palatino Linotype" w:hAnsi="Palatino Linotype"/>
          <w:lang w:val="en-US"/>
        </w:rPr>
        <w:t xml:space="preserve"> criteria, </w:t>
      </w:r>
      <w:r w:rsidR="005D5DB4" w:rsidRPr="001E3E68">
        <w:rPr>
          <w:rFonts w:ascii="Palatino Linotype" w:hAnsi="Palatino Linotype"/>
          <w:lang w:val="en-US"/>
        </w:rPr>
        <w:t>Global Leadership Initiative of Malnutrition (</w:t>
      </w:r>
      <w:r w:rsidR="00AC553E" w:rsidRPr="001E3E68">
        <w:rPr>
          <w:rFonts w:ascii="Palatino Linotype" w:hAnsi="Palatino Linotype"/>
          <w:lang w:val="en-US"/>
        </w:rPr>
        <w:t>GLIM</w:t>
      </w:r>
      <w:r w:rsidR="005D5DB4" w:rsidRPr="001E3E68">
        <w:rPr>
          <w:rFonts w:ascii="Palatino Linotype" w:hAnsi="Palatino Linotype"/>
          <w:lang w:val="en-US"/>
        </w:rPr>
        <w:t>)</w:t>
      </w:r>
      <w:r w:rsidR="00AC553E" w:rsidRPr="001E3E68">
        <w:rPr>
          <w:rFonts w:ascii="Palatino Linotype" w:hAnsi="Palatino Linotype"/>
          <w:lang w:val="en-US"/>
        </w:rPr>
        <w:t xml:space="preserve"> criteria, etc. </w:t>
      </w:r>
      <w:r w:rsidR="00AC553E" w:rsidRPr="001E3E68">
        <w:rPr>
          <w:rFonts w:ascii="Palatino Linotype" w:hAnsi="Palatino Linotype"/>
          <w:lang w:val="en-US"/>
        </w:rPr>
        <w:fldChar w:fldCharType="begin" w:fldLock="1"/>
      </w:r>
      <w:r w:rsidR="001B65C6">
        <w:rPr>
          <w:rFonts w:ascii="Palatino Linotype" w:hAnsi="Palatino Linotype"/>
          <w:lang w:val="en-US"/>
        </w:rPr>
        <w:instrText>ADDIN CSL_CITATION {"citationItems":[{"id":"ITEM-1","itemData":{"ISBN":"0029-6643 (Print)\r0029-6643 (Linking)","PMID":"8919685","author":[{"dropping-particle":"","family":"Guigoz","given":"Y","non-dropping-particle":"","parse-names":false,"suffix":""},{"dropping-particle":"","family":"Vellas","given":"B","non-dropping-particle":"","parse-names":false,"suffix":""},{"dropping-particle":"","family":"Garry","given":"P J","non-dropping-particle":"","parse-names":false,"suffix":""}],"container-title":"Nutr Rev","edition":"1996/01/01","id":"ITEM-1","issue":"1 Pt 2","issued":{"date-parts":[["1996"]]},"language":"eng","note":"Guigoz, Y\nVellas, B\nGarry, P J\nNutr Rev. 1996 Jan;54(1 Pt 2):S59-65.","page":"S59-65","title":"Assessing the nutritional status of the elderly: The Mini Nutritional Assessment as part of the geriatric evaluation","type":"article-journal","volume":"54"},"uris":["http://www.mendeley.com/documents/?uuid=0b28aa39-d8d5-4b04-9ac7-fc82269fefb5","http://www.mendeley.com/documents/?uuid=357f7be6-bd43-42d4-9e8d-073b78d68aed"]},{"id":"ITEM-2","itemData":{"DOI":"10.1016/j.clnu.2016.12.001","ISSN":"02615614","PMID":"28034565","abstract":"During the ESPEN Congress in Copenhagen, Denmark (September 2016) representatives of the 4 largest global PEN-societies from Europe (ESPEN), USA (ASPEN), Asia (PENSA) and Latin America (FELANPE), and from national PEN-societies around the world met to continue the conversation on how to diagnose malnutrition that started during the Clinical Nutrition Week, Austin, USA (February 2016). Current thinking on diagnostic approaches was shared; ESPEN suggested a grading approach that could encompass various types of signs, symptoms and etiologies to support diagnosis. ASPEN emphasized where the parties agree; i.e. that the three major published approaches (ESPEN, ASPEN/AND and Subjective Global Assessment (SGA)) all propose weight loss as a key indicator for malnutrition. FELANPE suggested that the anticipated consensus approach needs to prioritize a diagnostic methodology that is available for everybody since resources differ globally. PENSA highlighted that BMI varies by ethnicity/race, and that sarcopenia/muscle mass evaluation is important for the diagnosis of malnutrition. A Core Working Committee of the Global Leadership Initiative on Malnutrition (GLIM) has been established (comprised of two representatives each from the 4 largest PEN-societies) that will lead consensus development in collaboration with a larger Working Group with broad global representation, using e-mail, telephone conferences, and face-to-face meetings during the up-coming ASPEN and ESPEN Congresses. Transparency and external input will be sought. Objectives include: 1. Consensus development around evidence-based criteria for broad application. 2. Promotion of global dissemination of the consensus criteria. 3. Seeking adoption by the World Health Organization (WHO) and the International Classification of Diseases (ICD).","author":[{"dropping-particle":"","family":"Cederholm","given":"Tommy","non-dropping-particle":"","parse-names":false,"suffix":""},{"dropping-particle":"","family":"Jensen","given":"Gordon L.","non-dropping-particle":"","parse-names":false,"suffix":""}],"container-title":"Clinical Nutrition","id":"ITEM-2","issue":"1","issued":{"date-parts":[["2017","2"]]},"page":"7-10","title":"To create a consensus on malnutrition diagnostic criteria: A report from the Global Leadership Initiative on Malnutrition (GLIM) meeting at the ESPEN Congress 2016","type":"article-journal","volume":"36"},"uris":["http://www.mendeley.com/documents/?uuid=fbfbebf6-52f3-4074-b7fd-a8930195033e","http://www.mendeley.com/documents/?uuid=9413aea9-7ac1-4266-ada7-102281f97fef"]},{"id":"ITEM-3","itemData":{"DOI":"10.1016/j.clnu.2018.08.002","ISSN":"21906009","PMID":"30181091","abstract":"Rationale: This initiative is focused on building a global consensus around core diagnostic criteria for malnutrition in adults in clinical settings. Methods: In January 2016, the Global Leadership Initiative on Malnutrition (GLIM) was convened by several of the major global clinical nutrition societies. GLIM appointed a core leadership committee and a supporting working group with representatives bringing additional global diversity and expertise. Empirical consensus was reached through a series of face-to-face meetings, telephone conferences, and e-mail communications. Results: A two-step approach for the malnutrition diagnosis was selected, i.e., first screening to identify “at risk” status by the use of any validated screening tool, and second, assessment for diagnosis and grading the severity of malnutrition. The malnutrition criteria for consideration were retrieved from existing approaches for screening and assessment. Potential criteria were subjected to a ballot among the GLIM core and supporting working group members. The top five ranked criteria included three phenotypic criteria (non-volitional weight loss, low body mass index, and reduced muscle mass) and two etiologic criteria (reduced food intake or assimilation, and inflammation or disease burden). To diagnose malnutrition at least one phenotypic criterion and one etiologic criterion should be present. Phenotypic metrics for grading severity as Stage 1 (moderate) and Stage 2 (severe) malnutrition are proposed. It is recommended that the etiologic criteria be used to guide intervention and anticipated outcomes. The recommended approach supports classification of malnutrition into four etiology-related diagnosis categories. Conclusion: A consensus scheme for diagnosing malnutrition in adults in clinical settings on a global scale is proposed. Next steps are to secure further collaboration and endorsements from leading nutrition professional societies, to identify overlaps with syndromes like cachexia and sarcopenia, and to promote dissemination, validation studies, and feedback. The diagnostic construct should be re-considered every 3–5 years.","author":[{"dropping-particle":"","family":"Cederholm","given":"Tommy","non-dropping-particle":"","parse-names":false,"suffix":""},{"dropping-particle":"","family":"Jensen","given":"Gordon L. G.L. Gordon L.","non-dropping-particle":"","parse-names":false,"suffix":""},{"dropping-particle":"","family":"Correia","given":"M.I.T.D. I.T.D. T D","non-dropping-particle":"","parse-names":false,"suffix":""},{"dropping-particle":"","family":"Gonzalez","given":"M.C. Cristina","non-dropping-particle":"","parse-names":false,"suffix":""},{"dropping-particle":"","family":"Fukushima","given":"Ryoji","non-dropping-particle":"","parse-names":false,"suffix":""},{"dropping-particle":"","family":"Higashiguchi","given":"Takashi","non-dropping-particle":"","parse-names":false,"suffix":""},{"dropping-particle":"","family":"Baptista","given":"G.","non-dropping-particle":"","parse-names":false,"suffix":""},{"dropping-particle":"","family":"Barazzoni","given":"R.","non-dropping-particle":"","parse-names":false,"suffix":""},{"dropping-particle":"","family":"Blaauw","given":"R.","non-dropping-particle":"","parse-names":false,"suffix":""},{"dropping-particle":"","family":"Coats","given":"A.J.S. J.S.","non-dropping-particle":"","parse-names":false,"suffix":""},{"dropping-particle":"","family":"Crivelli","given":"A.N. N.","non-dropping-particle":"","parse-names":false,"suffix":""},{"dropping-particle":"","family":"Evans","given":"D.C. C.","non-dropping-particle":"","parse-names":false,"suffix":""},{"dropping-particle":"","family":"Gramlich","given":"L.","non-dropping-particle":"","parse-names":false,"suffix":""},{"dropping-particle":"","family":"Fuchs-Tarlovsky","given":"V.","non-dropping-particle":"","parse-names":false,"suffix":""},{"dropping-particle":"","family":"Keller","given":"H.","non-dropping-particle":"","parse-names":false,"suffix":""},{"dropping-particle":"","family":"Llido","given":"L.","non-dropping-particle":"","parse-names":false,"suffix":""},{"dropping-particle":"","family":"Malone","given":"A.","non-dropping-particle":"","parse-names":false,"suffix":""},{"dropping-particle":"","family":"Mogensen","given":"K.M. M.","non-dropping-particle":"","parse-names":false,"suffix":""},{"dropping-particle":"","family":"Morley","given":"J.E. E.","non-dropping-particle":"","parse-names":false,"suffix":""},{"dropping-particle":"","family":"Muscaritoli","given":"M.","non-dropping-particle":"","parse-names":false,"suffix":""},{"dropping-particle":"","family":"Nyulasi","given":"I.","non-dropping-particle":"","parse-names":false,"suffix":""},{"dropping-particle":"","family":"Pirlich","given":"M.","non-dropping-particle":"","parse-names":false,"suffix":""},{"dropping-particle":"","family":"Pisprasert","given":"V.","non-dropping-particle":"","parse-names":false,"suffix":""},{"dropping-particle":"","family":"van der Schueren","given":"M. A.E. E","non-dropping-particle":"de","parse-names":false,"suffix":""},{"dropping-particle":"","family":"Siltharm","given":"S.","non-dropping-particle":"","parse-names":false,"suffix":""},{"dropping-particle":"","family":"Singer","given":"P.","non-dropping-particle":"","parse-names":false,"suffix":""},{"dropping-particle":"","family":"Tappenden","given":"K.","non-dropping-particle":"","parse-names":false,"suffix":""},{"dropping-particle":"","family":"Velasco","given":"N.","non-dropping-particle":"","parse-names":false,"suffix":""},{"dropping-particle":"","family":"Waitzberg","given":"D.","non-dropping-particle":"","parse-names":false,"suffix":""},{"dropping-particle":"","family":"Yamwong","given":"P.","non-dropping-particle":"","parse-names":false,"suffix":""},{"dropping-particle":"","family":"Yu","given":"J.","non-dropping-particle":"","parse-names":false,"suffix":""},{"dropping-particle":"","family":"Gossum","given":"Andre","non-dropping-particle":"Van","parse-names":false,"suffix":""},{"dropping-particle":"","family":"Compher","given":"C.","non-dropping-particle":"","parse-names":false,"suffix":""},{"dropping-particle":"","family":"GLIM Core Leadership Committee","given":"","non-dropping-particle":"","parse-names":false,"suffix":""},{"dropping-particle":"","family":"GLIM Working Group","given":"","non-dropping-particle":"","parse-names":false,"suffix":""},{"dropping-particle":"","family":"Fuchs‐Tarlovsky","given":"V.","non-dropping-particle":"","parse-names":false,"suffix":""},{"dropping-particle":"","family":"Keller","given":"H.","non-dropping-particle":"","parse-names":false,"suffix":""},{"dropping-particle":"","family":"Llido","given":"L.","non-dropping-particle":"","parse-names":false,"suffix":""},{"dropping-particle":"","family":"Malone","given":"A.","non-dropping-particle":"","parse-names":false,"suffix":""},{"dropping-particle":"","family":"Mogensen","given":"K.M. M.","non-dropping-particle":"","parse-names":false,"suffix":""},{"dropping-particle":"","family":"Morley","given":"J.E. E.","non-dropping-particle":"","parse-names":false,"suffix":""},{"dropping-particle":"","family":"Muscaritoli","given":"M.","non-dropping-particle":"","parse-names":false,"suffix":""},{"dropping-particle":"","family":"Nyulasi","given":"I.","non-dropping-particle":"","parse-names":false,"suffix":""},{"dropping-particle":"","family":"Pirlich","given":"M.","non-dropping-particle":"","parse-names":false,"suffix":""},{"dropping-particle":"","family":"Pisprasert","given":"V.","non-dropping-particle":"","parse-names":false,"suffix":""},{"dropping-particle":"","family":"Schueren","given":"M.A.E.","non-dropping-particle":"","parse-names":false,"suffix":""},{"dropping-particle":"","family":"Siltharm","given":"S.","non-dropping-particle":"","parse-names":false,"suffix":""},{"dropping-particle":"","family":"Singer","given":"P.","non-dropping-particle":"","parse-names":false,"suffix":""},{"dropping-particle":"","family":"Tappenden","given":"K.","non-dropping-particle":"","parse-names":false,"suffix":""},{"dropping-particle":"","family":"Velasco","given":"N.","non-dropping-particle":"","parse-names":false,"suffix":""},{"dropping-particle":"","family":"Waitzberg","given":"D.","non-dropping-particle":"","parse-names":false,"suffix":""},{"dropping-particle":"","family":"Yamwong","given":"P.","non-dropping-particle":"","parse-names":false,"suffix":""},{"dropping-particle":"","family":"Yu","given":"J.","non-dropping-particle":"","parse-names":false,"suffix":""},{"dropping-particle":"","family":"Gossum","given":"Andre","non-dropping-particle":"Van","parse-names":false,"suffix":""},{"dropping-particle":"","family":"Compher","given":"C.","non-dropping-particle":"","parse-names":false,"suffix":""},{"dropping-particle":"","family":"GLIM Core Leadership Committee, GLIM Working Group","given":"","non-dropping-particle":"","parse-names":false,"suffix":""}],"container-title":"Journal of Cachexia, Sarcopenia and Muscle","id":"ITEM-3","issue":"1","issued":{"date-parts":[["2019","2"]]},"page":"1-9","title":"GLIM criteria for the diagnosis of malnutrition - A consensus report from the global clinical nutrition community.","type":"article-journal","volume":"38"},"uris":["http://www.mendeley.com/documents/?uuid=5a81320f-32c9-4e3b-87fb-6f50571e3cfc","http://www.mendeley.com/documents/?uuid=c2426635-2508-42c9-a4a3-49aa64328996"]}],"mendeley":{"formattedCitation":"[26–28]","plainTextFormattedCitation":"[26–28]","previouslyFormattedCitation":"[26–28]"},"properties":{"noteIndex":0},"schema":"https://github.com/citation-style-language/schema/raw/master/csl-citation.json"}</w:instrText>
      </w:r>
      <w:r w:rsidR="00AC553E" w:rsidRPr="001E3E68">
        <w:rPr>
          <w:rFonts w:ascii="Palatino Linotype" w:hAnsi="Palatino Linotype"/>
          <w:lang w:val="en-US"/>
        </w:rPr>
        <w:fldChar w:fldCharType="separate"/>
      </w:r>
      <w:r w:rsidR="0038101C" w:rsidRPr="0038101C">
        <w:rPr>
          <w:rFonts w:ascii="Palatino Linotype" w:hAnsi="Palatino Linotype"/>
          <w:noProof/>
          <w:lang w:val="en-US"/>
        </w:rPr>
        <w:t>[26–28]</w:t>
      </w:r>
      <w:r w:rsidR="00AC553E" w:rsidRPr="001E3E68">
        <w:rPr>
          <w:rFonts w:ascii="Palatino Linotype" w:hAnsi="Palatino Linotype"/>
          <w:lang w:val="en-US"/>
        </w:rPr>
        <w:fldChar w:fldCharType="end"/>
      </w:r>
      <w:r w:rsidR="00202111" w:rsidRPr="001E3E68">
        <w:rPr>
          <w:rFonts w:ascii="Palatino Linotype" w:hAnsi="Palatino Linotype"/>
          <w:lang w:val="en-US"/>
        </w:rPr>
        <w:t xml:space="preserve">, Indeed, </w:t>
      </w:r>
      <w:r w:rsidR="001F1F65" w:rsidRPr="001E3E68">
        <w:rPr>
          <w:rFonts w:ascii="Palatino Linotype" w:hAnsi="Palatino Linotype"/>
          <w:lang w:val="en-US"/>
        </w:rPr>
        <w:t xml:space="preserve">malnutrition has been shown to influence muscle mass </w:t>
      </w:r>
      <w:r w:rsidR="00055549" w:rsidRPr="001E3E68">
        <w:rPr>
          <w:rFonts w:ascii="Palatino Linotype" w:hAnsi="Palatino Linotype"/>
          <w:lang w:val="en-US"/>
        </w:rPr>
        <w:t xml:space="preserve">and </w:t>
      </w:r>
      <w:r w:rsidR="00061138" w:rsidRPr="001E3E68">
        <w:rPr>
          <w:rFonts w:ascii="Palatino Linotype" w:hAnsi="Palatino Linotype"/>
          <w:lang w:val="en-US"/>
        </w:rPr>
        <w:t xml:space="preserve">is </w:t>
      </w:r>
      <w:r w:rsidR="00055549" w:rsidRPr="001E3E68">
        <w:rPr>
          <w:rFonts w:ascii="Palatino Linotype" w:hAnsi="Palatino Linotype"/>
          <w:lang w:val="en-US"/>
        </w:rPr>
        <w:t>a strong predictor of sarcopenia. Moreover</w:t>
      </w:r>
      <w:r w:rsidR="00202111" w:rsidRPr="001E3E68">
        <w:rPr>
          <w:rFonts w:ascii="Palatino Linotype" w:hAnsi="Palatino Linotype"/>
          <w:lang w:val="en-US"/>
        </w:rPr>
        <w:t xml:space="preserve">, </w:t>
      </w:r>
      <w:r w:rsidR="001F1F65" w:rsidRPr="001E3E68">
        <w:rPr>
          <w:rFonts w:ascii="Palatino Linotype" w:hAnsi="Palatino Linotype"/>
          <w:lang w:val="en-US"/>
        </w:rPr>
        <w:t>malnourished</w:t>
      </w:r>
      <w:r w:rsidR="00202111" w:rsidRPr="001E3E68">
        <w:rPr>
          <w:rFonts w:ascii="Palatino Linotype" w:hAnsi="Palatino Linotype"/>
          <w:lang w:val="en-US"/>
        </w:rPr>
        <w:t xml:space="preserve"> </w:t>
      </w:r>
      <w:r w:rsidR="00675C57" w:rsidRPr="001E3E68">
        <w:rPr>
          <w:rFonts w:ascii="Palatino Linotype" w:hAnsi="Palatino Linotype"/>
          <w:lang w:val="en-US"/>
        </w:rPr>
        <w:t>participants have</w:t>
      </w:r>
      <w:r w:rsidR="00202111" w:rsidRPr="001E3E68">
        <w:rPr>
          <w:rFonts w:ascii="Palatino Linotype" w:hAnsi="Palatino Linotype"/>
          <w:lang w:val="en-US"/>
        </w:rPr>
        <w:t xml:space="preserve"> been shown to be at higher risk of mortality over a short-term period</w:t>
      </w:r>
      <w:r w:rsidR="00055549" w:rsidRPr="001E3E68">
        <w:rPr>
          <w:rFonts w:ascii="Palatino Linotype" w:hAnsi="Palatino Linotype"/>
          <w:lang w:val="en-US"/>
        </w:rPr>
        <w:fldChar w:fldCharType="begin" w:fldLock="1"/>
      </w:r>
      <w:r w:rsidR="001B65C6">
        <w:rPr>
          <w:rFonts w:ascii="Palatino Linotype" w:hAnsi="Palatino Linotype"/>
          <w:lang w:val="en-US"/>
        </w:rPr>
        <w:instrText>ADDIN CSL_CITATION {"citationItems":[{"id":"ITEM-1","itemData":{"DOI":"10.1016/j.clnu.2018.11.016","ISSN":"1532-1983","PMID":"30551898","abstract":"BACKGROUND The European Society of Clinical Nutrition and Metabolism (ESPEN) has developed a consensus definition of malnutrition. This study aimed to determine the prevalence of malnutrition according to the ESPEN definition in otherwise healthy community-dwelling older women and to explore its value for predicting long-term mortality in this population. METHODS This prospective population-based cohort study included 181 women (age ≥75 years) from a subsample of the EPIDémiologie de l'OStéoporose (EPIDOS) study participants from Toulouse. Inclusion criteria were the availability of the data on variables required to apply the ESPEN definition and survival after 7 years of follow-up. Primary outcome was mortality at 12-year follow-up; main covariates were malnutrition assessment according to the ESPEN consensus and its components (unintentional weight loss, BMI, and FFMI). Body composition was assessed by dual-energy X-ray absorptiometry at baseline and at 7-year follow-up. Kaplan-Meier survival curves and adjusted Cox regressions were performed. Analysis was adjusted for age, hypertension, diabetes mellitus, and coronary heart disease as potential confounders. RESULTS Complete data were available for 179 of the 181 women in the EPIDOS-Toulouse cohort (83.1 ± 2.2 years) and 13 (7.3%) fulfilled the ESPEN definition for malnutrition at 7-year follow-up. Malnutrition was associated with increased risk of mortality (adjusted HR = 4.4 [95%CI: 1.7-11.3]). Among the ESPEN components, only BMI was associated with increased mortality (adjusted HR=0.6 [95%CI: 0.4-0.9]). CONCLUSIONS Although malnutrition prevalence according to the ESPEN definition was relatively low (7.3%) in this sample of otherwise healthy community-dwelling older French women, malnutrition was associated with 4.4-fold higher mortality risk at 12-year follow-up.","author":[{"dropping-particle":"","family":"Sánchez-Rodríguez","given":"Dolores","non-dropping-particle":"","parse-names":false,"suffix":""},{"dropping-particle":"","family":"Marco","given":"Ester","non-dropping-particle":"","parse-names":false,"suffix":""},{"dropping-particle":"","family":"Schott","given":"Anne-Marie","non-dropping-particle":"","parse-names":false,"suffix":""},{"dropping-particle":"","family":"Rolland","given":"Yves","non-dropping-particle":"","parse-names":false,"suffix":""},{"dropping-particle":"","family":"Blain","given":"Hubert","non-dropping-particle":"","parse-names":false,"suffix":""},{"dropping-particle":"","family":"Vázquez-Ibar","given":"Olga","non-dropping-particle":"","parse-names":false,"suffix":""},{"dropping-particle":"","family":"Escalada","given":"Ferran","non-dropping-particle":"","parse-names":false,"suffix":""},{"dropping-particle":"","family":"Duran","given":"Xavier","non-dropping-particle":"","parse-names":false,"suffix":""},{"dropping-particle":"","family":"Muniesa","given":"Josep M","non-dropping-particle":"","parse-names":false,"suffix":""},{"dropping-particle":"","family":"Annweiler","given":"Cédric","non-dropping-particle":"","parse-names":false,"suffix":""}],"container-title":"Clinical nutrition (Edinburgh, Scotland)","id":"ITEM-1","issued":{"date-parts":[["2018","12"]]},"title":"Malnutrition according to ESPEN definition predicts long-term mortality in general older population: Findings from the EPIDOS study-Toulouse cohort.","type":"article-journal"},"uris":["http://www.mendeley.com/documents/?uuid=7f855556-4862-446c-9a0d-6542eb36919b","http://www.mendeley.com/documents/?uuid=19db5a0e-6e80-45f3-85b1-aebbdec43145"]},{"id":"ITEM-2","itemData":{"DOI":"10.3390/nu11122883","ISSN":"2072-6643","PMID":"31783482","abstract":"&lt;p&gt;This study aims to explore the association between malnutrition diagnosed according to both the Global Leadership Initiative of Malnutrition (GLIM) and the European Society of Clinical Nutrition and Metabolism (ESPEN) criteria and the onset of sarcopenia/severe sarcopenia, diagnosed according to the European Working Group on Sarcopenia in Older People 2 (EWGSOP2) criterion, in the sarcopenia and physical impairment with advancing age (SarcoPhAge) cohort during a four-year follow-up. Adjusted Cox-regression and Kaplan-Meier curves were performed. Among the 534 community-dwelling participants recruited in the SarcoPhAge study, 510 were free from sarcopenia at baseline, of whom 336 had complete data (186 women and 150 men, mean age of 72.5 ± 5.8 years) to apply the GLIM and ESPEN criteria. A significantly higher risk of developing sarcopenia/severe sarcopenia during the four-year follow-up based on the GLIM [sarcopenia: Adjusted hazard ratio (HR) = 3.23 (95% confidence interval (CI) 1.73–6.05); severe sarcopenia: Adjusted HR = 2.87 (95% CI 1.25–6.56)] and ESPEN [sarcopenia: Adjusted HR = 4.28 (95% CI 1.86–9.86); severe sarcopenia: Adjusted HR = 3.86 (95% CI 1.29–11.54)] criteria was observed. Kaplan-Meier curves confirmed this relationship (log rank p &amp;lt; 0.001 for all). These results highlighted the importance of malnutrition since it has been shown to be associated with an approximately fourfold higher risk of developing sarcopenia/severe sarcopenia during a four-year follow-up.&lt;/p&gt;","author":[{"dropping-particle":"","family":"Beaudart","given":"Charlotte","non-dropping-particle":"","parse-names":false,"suffix":""},{"dropping-particle":"","family":"Sanchez-Rodriguez","given":"Dolores","non-dropping-particle":"","parse-names":false,"suffix":""},{"dropping-particle":"","family":"Locquet","given":"Médéa","non-dropping-particle":"","parse-names":false,"suffix":""},{"dropping-particle":"","family":"Reginster","given":"Jean-Yves","non-dropping-particle":"","parse-names":false,"suffix":""},{"dropping-particle":"","family":"Lengelé","given":"Laetitia","non-dropping-particle":"","parse-names":false,"suffix":""},{"dropping-particle":"","family":"Bruyère","given":"Olivier","non-dropping-particle":"","parse-names":false,"suffix":""}],"container-title":"Nutrients","id":"ITEM-2","issue":"12","issued":{"date-parts":[["2019","11","27"]]},"page":"2883","title":"Malnutrition as a Strong Predictor of the Onset of Sarcopenia","type":"article-journal","volume":"11"},"uris":["http://www.mendeley.com/documents/?uuid=be93ec17-cc96-31fc-8cfd-bee368381bcd","http://www.mendeley.com/documents/?uuid=33bcafae-eb9a-418e-9646-5e9c90affd41"]}],"mendeley":{"formattedCitation":"[29, 30]","plainTextFormattedCitation":"[29, 30]","previouslyFormattedCitation":"[29, 30]"},"properties":{"noteIndex":0},"schema":"https://github.com/citation-style-language/schema/raw/master/csl-citation.json"}</w:instrText>
      </w:r>
      <w:r w:rsidR="00055549" w:rsidRPr="001E3E68">
        <w:rPr>
          <w:rFonts w:ascii="Palatino Linotype" w:hAnsi="Palatino Linotype"/>
          <w:lang w:val="en-US"/>
        </w:rPr>
        <w:fldChar w:fldCharType="separate"/>
      </w:r>
      <w:r w:rsidR="0038101C" w:rsidRPr="0038101C">
        <w:rPr>
          <w:rFonts w:ascii="Palatino Linotype" w:hAnsi="Palatino Linotype"/>
          <w:noProof/>
          <w:lang w:val="en-US"/>
        </w:rPr>
        <w:t>[29, 30]</w:t>
      </w:r>
      <w:r w:rsidR="00055549" w:rsidRPr="001E3E68">
        <w:rPr>
          <w:rFonts w:ascii="Palatino Linotype" w:hAnsi="Palatino Linotype"/>
          <w:lang w:val="en-US"/>
        </w:rPr>
        <w:fldChar w:fldCharType="end"/>
      </w:r>
      <w:r w:rsidR="00202111" w:rsidRPr="001E3E68">
        <w:rPr>
          <w:rFonts w:ascii="Palatino Linotype" w:hAnsi="Palatino Linotype"/>
          <w:lang w:val="en-US"/>
        </w:rPr>
        <w:t xml:space="preserve">. </w:t>
      </w:r>
    </w:p>
    <w:p w14:paraId="37CF9E39" w14:textId="7D1F5422" w:rsidR="00DE7FB6" w:rsidRPr="007D1E37" w:rsidRDefault="005C12E5" w:rsidP="009D2ED3">
      <w:pPr>
        <w:pStyle w:val="ListParagraph"/>
        <w:numPr>
          <w:ilvl w:val="0"/>
          <w:numId w:val="10"/>
        </w:numPr>
        <w:jc w:val="both"/>
        <w:rPr>
          <w:rFonts w:ascii="Palatino Linotype" w:hAnsi="Palatino Linotype"/>
          <w:lang w:val="en-GB"/>
        </w:rPr>
      </w:pPr>
      <w:bookmarkStart w:id="3" w:name="_Hlk45004996"/>
      <w:r>
        <w:rPr>
          <w:rFonts w:ascii="Palatino Linotype" w:hAnsi="Palatino Linotype"/>
          <w:lang w:val="en-US"/>
        </w:rPr>
        <w:t xml:space="preserve">Patients with acute immobility (i.e. post hip fracture or post-acute hospital admission) should be excluded. </w:t>
      </w:r>
    </w:p>
    <w:p w14:paraId="5395E225" w14:textId="7DD67F41" w:rsidR="00DE7FB6" w:rsidRPr="001E3E68" w:rsidRDefault="00EB2CB8" w:rsidP="009D2ED3">
      <w:pPr>
        <w:pStyle w:val="ListParagraph"/>
        <w:numPr>
          <w:ilvl w:val="0"/>
          <w:numId w:val="10"/>
        </w:numPr>
        <w:jc w:val="both"/>
        <w:rPr>
          <w:rFonts w:ascii="Palatino Linotype" w:hAnsi="Palatino Linotype"/>
          <w:lang w:val="en-GB"/>
        </w:rPr>
      </w:pPr>
      <w:r>
        <w:rPr>
          <w:rFonts w:ascii="Palatino Linotype" w:hAnsi="Palatino Linotype"/>
          <w:lang w:val="en-US"/>
        </w:rPr>
        <w:t>Patients suffering from s</w:t>
      </w:r>
      <w:r w:rsidR="00DE7FB6">
        <w:rPr>
          <w:rFonts w:ascii="Palatino Linotype" w:hAnsi="Palatino Linotype"/>
          <w:lang w:val="en-US"/>
        </w:rPr>
        <w:t xml:space="preserve">pecific </w:t>
      </w:r>
      <w:r w:rsidR="007D1E37">
        <w:rPr>
          <w:rFonts w:ascii="Palatino Linotype" w:hAnsi="Palatino Linotype"/>
          <w:lang w:val="en-US"/>
        </w:rPr>
        <w:t xml:space="preserve">advanced </w:t>
      </w:r>
      <w:r w:rsidR="00DE7FB6">
        <w:rPr>
          <w:rFonts w:ascii="Palatino Linotype" w:hAnsi="Palatino Linotype"/>
          <w:lang w:val="en-US"/>
        </w:rPr>
        <w:t>pathologies such as</w:t>
      </w:r>
      <w:r>
        <w:rPr>
          <w:rFonts w:ascii="Palatino Linotype" w:hAnsi="Palatino Linotype"/>
          <w:lang w:val="en-US"/>
        </w:rPr>
        <w:t>, for example,</w:t>
      </w:r>
      <w:r w:rsidR="00DE7FB6">
        <w:rPr>
          <w:rFonts w:ascii="Palatino Linotype" w:hAnsi="Palatino Linotype"/>
          <w:lang w:val="en-US"/>
        </w:rPr>
        <w:t xml:space="preserve"> terminal cancer, severe renal diseases (e.g. </w:t>
      </w:r>
      <w:r w:rsidR="007F56F3" w:rsidRPr="00E61FE6">
        <w:rPr>
          <w:rFonts w:ascii="Palatino Linotype" w:hAnsi="Palatino Linotype"/>
          <w:lang w:val="en-US"/>
        </w:rPr>
        <w:t xml:space="preserve">Estimated Glomerular Filtration Rate (eGFR)  </w:t>
      </w:r>
      <w:r w:rsidR="00DE7FB6">
        <w:rPr>
          <w:rFonts w:ascii="Palatino Linotype" w:hAnsi="Palatino Linotype"/>
          <w:lang w:val="en-US"/>
        </w:rPr>
        <w:t>&lt;30),</w:t>
      </w:r>
      <w:r w:rsidR="007D1E37">
        <w:rPr>
          <w:rFonts w:ascii="Palatino Linotype" w:hAnsi="Palatino Linotype"/>
          <w:lang w:val="en-US"/>
        </w:rPr>
        <w:t xml:space="preserve"> chronic obstructive pulmonary diseases (</w:t>
      </w:r>
      <w:r w:rsidR="003C2DC9">
        <w:rPr>
          <w:rFonts w:ascii="Palatino Linotype" w:hAnsi="Palatino Linotype"/>
          <w:lang w:val="en-US"/>
        </w:rPr>
        <w:t>COPD</w:t>
      </w:r>
      <w:r w:rsidR="007D1E37">
        <w:rPr>
          <w:rFonts w:ascii="Palatino Linotype" w:hAnsi="Palatino Linotype"/>
          <w:lang w:val="en-US"/>
        </w:rPr>
        <w:t>)</w:t>
      </w:r>
      <w:r w:rsidR="00DE7FB6">
        <w:rPr>
          <w:rFonts w:ascii="Palatino Linotype" w:hAnsi="Palatino Linotype"/>
          <w:lang w:val="en-US"/>
        </w:rPr>
        <w:t xml:space="preserve"> requiring oxygen</w:t>
      </w:r>
      <w:r>
        <w:rPr>
          <w:rFonts w:ascii="Palatino Linotype" w:hAnsi="Palatino Linotype"/>
          <w:lang w:val="en-US"/>
        </w:rPr>
        <w:t>, etc.</w:t>
      </w:r>
      <w:r w:rsidR="00DE7FB6">
        <w:rPr>
          <w:rFonts w:ascii="Palatino Linotype" w:hAnsi="Palatino Linotype"/>
          <w:lang w:val="en-US"/>
        </w:rPr>
        <w:t xml:space="preserve"> should not be included in the clinical trial. </w:t>
      </w:r>
    </w:p>
    <w:p w14:paraId="5654C385" w14:textId="22D69241" w:rsidR="006D50D1" w:rsidRPr="001E3E68" w:rsidRDefault="006D50D1" w:rsidP="006D50D1">
      <w:pPr>
        <w:pStyle w:val="ListParagraph"/>
        <w:numPr>
          <w:ilvl w:val="0"/>
          <w:numId w:val="10"/>
        </w:numPr>
        <w:jc w:val="both"/>
        <w:rPr>
          <w:rFonts w:ascii="Palatino Linotype" w:hAnsi="Palatino Linotype"/>
          <w:lang w:val="en-US"/>
        </w:rPr>
      </w:pPr>
      <w:r w:rsidRPr="001E3E68">
        <w:rPr>
          <w:rFonts w:ascii="Palatino Linotype" w:hAnsi="Palatino Linotype"/>
          <w:lang w:val="en-US"/>
        </w:rPr>
        <w:t>Factors that may affect conduct of the trial (e.g., physical limitations should not be clearly attributable to the direct effect of a specific disease other than sarcopenia). In particular</w:t>
      </w:r>
      <w:r w:rsidR="005C12E5">
        <w:rPr>
          <w:rFonts w:ascii="Palatino Linotype" w:hAnsi="Palatino Linotype"/>
          <w:lang w:val="en-US"/>
        </w:rPr>
        <w:t xml:space="preserve">, patients </w:t>
      </w:r>
      <w:r w:rsidR="002A22E7">
        <w:rPr>
          <w:rFonts w:ascii="Palatino Linotype" w:hAnsi="Palatino Linotype"/>
          <w:lang w:val="en-US"/>
        </w:rPr>
        <w:t xml:space="preserve">with </w:t>
      </w:r>
      <w:r w:rsidR="005C12E5">
        <w:rPr>
          <w:rFonts w:ascii="Palatino Linotype" w:hAnsi="Palatino Linotype"/>
          <w:lang w:val="en-US"/>
        </w:rPr>
        <w:t xml:space="preserve">a physical limitation clearly attributable to the direct effect of </w:t>
      </w:r>
      <w:r w:rsidR="005C12E5">
        <w:rPr>
          <w:rFonts w:ascii="Palatino Linotype" w:hAnsi="Palatino Linotype"/>
          <w:lang w:val="en-US"/>
        </w:rPr>
        <w:lastRenderedPageBreak/>
        <w:t xml:space="preserve">a specific disease other than sarcopenia should be excluded (e.g. patients with a </w:t>
      </w:r>
      <w:r w:rsidRPr="001E3E68">
        <w:rPr>
          <w:rFonts w:ascii="Palatino Linotype" w:hAnsi="Palatino Linotype"/>
          <w:lang w:val="en-US"/>
        </w:rPr>
        <w:t xml:space="preserve">diagnosis of dementia or score </w:t>
      </w:r>
      <w:r w:rsidRPr="00EE4C06">
        <w:rPr>
          <w:rFonts w:ascii="Palatino Linotype" w:hAnsi="Palatino Linotype"/>
          <w:highlight w:val="yellow"/>
          <w:lang w:val="en-US"/>
        </w:rPr>
        <w:t>&lt;2</w:t>
      </w:r>
      <w:r w:rsidR="00EE4C06" w:rsidRPr="00EE4C06">
        <w:rPr>
          <w:rFonts w:ascii="Palatino Linotype" w:hAnsi="Palatino Linotype"/>
          <w:highlight w:val="yellow"/>
          <w:lang w:val="en-US"/>
        </w:rPr>
        <w:t>4</w:t>
      </w:r>
      <w:r w:rsidRPr="00EE4C06">
        <w:rPr>
          <w:rFonts w:ascii="Palatino Linotype" w:hAnsi="Palatino Linotype"/>
          <w:highlight w:val="yellow"/>
          <w:lang w:val="en-US"/>
        </w:rPr>
        <w:t xml:space="preserve"> </w:t>
      </w:r>
      <w:r w:rsidRPr="001E3E68">
        <w:rPr>
          <w:rFonts w:ascii="Palatino Linotype" w:hAnsi="Palatino Linotype"/>
          <w:lang w:val="en-US"/>
        </w:rPr>
        <w:t xml:space="preserve">on the </w:t>
      </w:r>
      <w:r w:rsidR="005C12E5">
        <w:rPr>
          <w:rFonts w:ascii="Palatino Linotype" w:hAnsi="Palatino Linotype"/>
          <w:lang w:val="en-US"/>
        </w:rPr>
        <w:t>Mini Mental State Examination (</w:t>
      </w:r>
      <w:r w:rsidRPr="001E3E68">
        <w:rPr>
          <w:rFonts w:ascii="Palatino Linotype" w:hAnsi="Palatino Linotype"/>
          <w:lang w:val="en-US"/>
        </w:rPr>
        <w:t>MMSE</w:t>
      </w:r>
      <w:r w:rsidR="005C12E5">
        <w:rPr>
          <w:rFonts w:ascii="Palatino Linotype" w:hAnsi="Palatino Linotype"/>
          <w:lang w:val="en-US"/>
        </w:rPr>
        <w:t>)</w:t>
      </w:r>
      <w:r w:rsidR="00EE4C06">
        <w:rPr>
          <w:rFonts w:ascii="Palatino Linotype" w:hAnsi="Palatino Linotype"/>
          <w:lang w:val="en-US"/>
        </w:rPr>
        <w:t>,</w:t>
      </w:r>
      <w:r w:rsidR="005C12E5">
        <w:rPr>
          <w:rFonts w:ascii="Palatino Linotype" w:hAnsi="Palatino Linotype"/>
          <w:lang w:val="en-US"/>
        </w:rPr>
        <w:t xml:space="preserve"> patients with</w:t>
      </w:r>
      <w:r w:rsidRPr="001E3E68">
        <w:rPr>
          <w:rFonts w:ascii="Palatino Linotype" w:hAnsi="Palatino Linotype"/>
          <w:lang w:val="en-US"/>
        </w:rPr>
        <w:t xml:space="preserve"> serious neurological, neuromuscular or </w:t>
      </w:r>
      <w:proofErr w:type="spellStart"/>
      <w:r w:rsidRPr="001E3E68">
        <w:rPr>
          <w:rFonts w:ascii="Palatino Linotype" w:hAnsi="Palatino Linotype"/>
          <w:lang w:val="en-US"/>
        </w:rPr>
        <w:t>orthopaedic</w:t>
      </w:r>
      <w:proofErr w:type="spellEnd"/>
      <w:r w:rsidRPr="001E3E68">
        <w:rPr>
          <w:rFonts w:ascii="Palatino Linotype" w:hAnsi="Palatino Linotype"/>
          <w:lang w:val="en-US"/>
        </w:rPr>
        <w:t xml:space="preserve"> condition</w:t>
      </w:r>
      <w:r w:rsidR="005C12E5">
        <w:rPr>
          <w:rFonts w:ascii="Palatino Linotype" w:hAnsi="Palatino Linotype"/>
          <w:lang w:val="en-US"/>
        </w:rPr>
        <w:t>s</w:t>
      </w:r>
      <w:r w:rsidRPr="001E3E68">
        <w:rPr>
          <w:rFonts w:ascii="Palatino Linotype" w:hAnsi="Palatino Linotype"/>
          <w:lang w:val="en-US"/>
        </w:rPr>
        <w:t xml:space="preserve"> (e.g., Parkinson's disease)</w:t>
      </w:r>
      <w:r w:rsidR="00EE4C06">
        <w:rPr>
          <w:rFonts w:ascii="Palatino Linotype" w:hAnsi="Palatino Linotype"/>
          <w:lang w:val="en-US"/>
        </w:rPr>
        <w:t xml:space="preserve">, </w:t>
      </w:r>
      <w:r w:rsidR="00EE4C06" w:rsidRPr="00EE4C06">
        <w:rPr>
          <w:rFonts w:ascii="Palatino Linotype" w:hAnsi="Palatino Linotype"/>
          <w:highlight w:val="yellow"/>
          <w:lang w:val="en-US"/>
        </w:rPr>
        <w:t>patients with thymic disorders (e.g. anxious or depressive syndrome</w:t>
      </w:r>
      <w:r w:rsidR="00EE4C06">
        <w:rPr>
          <w:rFonts w:ascii="Palatino Linotype" w:hAnsi="Palatino Linotype"/>
          <w:lang w:val="en-US"/>
        </w:rPr>
        <w:t>)</w:t>
      </w:r>
      <w:r w:rsidR="005C12E5">
        <w:rPr>
          <w:rFonts w:ascii="Palatino Linotype" w:hAnsi="Palatino Linotype"/>
          <w:lang w:val="en-US"/>
        </w:rPr>
        <w:t xml:space="preserve">).  </w:t>
      </w:r>
    </w:p>
    <w:bookmarkEnd w:id="3"/>
    <w:p w14:paraId="5A28621E" w14:textId="5535830F" w:rsidR="006D50D1" w:rsidRDefault="00EE4C06" w:rsidP="00EE4C06">
      <w:pPr>
        <w:jc w:val="both"/>
        <w:rPr>
          <w:rFonts w:ascii="Palatino Linotype" w:hAnsi="Palatino Linotype"/>
          <w:bCs/>
          <w:color w:val="000000" w:themeColor="text1"/>
          <w:lang w:val="en-GB"/>
        </w:rPr>
      </w:pPr>
      <w:r w:rsidRPr="00EE4C06">
        <w:rPr>
          <w:rFonts w:ascii="Palatino Linotype" w:hAnsi="Palatino Linotype"/>
          <w:bCs/>
          <w:color w:val="000000" w:themeColor="text1"/>
          <w:highlight w:val="yellow"/>
          <w:lang w:val="en-GB"/>
        </w:rPr>
        <w:t xml:space="preserve">Considering the number of different pathways linked to the sarcopenia and the </w:t>
      </w:r>
      <w:r w:rsidR="00D44B40">
        <w:rPr>
          <w:rFonts w:ascii="Palatino Linotype" w:hAnsi="Palatino Linotype"/>
          <w:bCs/>
          <w:color w:val="000000" w:themeColor="text1"/>
          <w:highlight w:val="yellow"/>
          <w:lang w:val="en-GB"/>
        </w:rPr>
        <w:t xml:space="preserve">large </w:t>
      </w:r>
      <w:r w:rsidRPr="00EE4C06">
        <w:rPr>
          <w:rFonts w:ascii="Palatino Linotype" w:hAnsi="Palatino Linotype"/>
          <w:bCs/>
          <w:color w:val="000000" w:themeColor="text1"/>
          <w:highlight w:val="yellow"/>
          <w:lang w:val="en-GB"/>
        </w:rPr>
        <w:t>heterogeneity of the older adult population, exclusion criteria recommended could depend on the target (</w:t>
      </w:r>
      <w:r w:rsidR="00283B5D">
        <w:rPr>
          <w:rFonts w:ascii="Palatino Linotype" w:hAnsi="Palatino Linotype"/>
          <w:bCs/>
          <w:color w:val="000000" w:themeColor="text1"/>
          <w:highlight w:val="yellow"/>
          <w:lang w:val="en-GB"/>
        </w:rPr>
        <w:t xml:space="preserve">age-related </w:t>
      </w:r>
      <w:r w:rsidRPr="00EE4C06">
        <w:rPr>
          <w:rFonts w:ascii="Palatino Linotype" w:hAnsi="Palatino Linotype"/>
          <w:bCs/>
          <w:color w:val="000000" w:themeColor="text1"/>
          <w:highlight w:val="yellow"/>
          <w:lang w:val="en-GB"/>
        </w:rPr>
        <w:t xml:space="preserve">primary sarcopenia only, secondary sarcopenia only, or both), on </w:t>
      </w:r>
      <w:r w:rsidR="00D44B40">
        <w:rPr>
          <w:rFonts w:ascii="Palatino Linotype" w:hAnsi="Palatino Linotype"/>
          <w:bCs/>
          <w:color w:val="000000" w:themeColor="text1"/>
          <w:highlight w:val="yellow"/>
          <w:lang w:val="en-GB"/>
        </w:rPr>
        <w:t>mechanism of action of the drug/agent/therapy</w:t>
      </w:r>
      <w:r w:rsidRPr="00EE4C06">
        <w:rPr>
          <w:rFonts w:ascii="Palatino Linotype" w:hAnsi="Palatino Linotype"/>
          <w:bCs/>
          <w:color w:val="000000" w:themeColor="text1"/>
          <w:highlight w:val="yellow"/>
          <w:lang w:val="en-GB"/>
        </w:rPr>
        <w:t xml:space="preserve">, and </w:t>
      </w:r>
      <w:r w:rsidR="00D7444C">
        <w:rPr>
          <w:rFonts w:ascii="Palatino Linotype" w:hAnsi="Palatino Linotype"/>
          <w:bCs/>
          <w:color w:val="000000" w:themeColor="text1"/>
          <w:highlight w:val="yellow"/>
          <w:lang w:val="en-GB"/>
        </w:rPr>
        <w:t xml:space="preserve">on </w:t>
      </w:r>
      <w:r w:rsidRPr="00EE4C06">
        <w:rPr>
          <w:rFonts w:ascii="Palatino Linotype" w:hAnsi="Palatino Linotype"/>
          <w:bCs/>
          <w:color w:val="000000" w:themeColor="text1"/>
          <w:highlight w:val="yellow"/>
          <w:lang w:val="en-GB"/>
        </w:rPr>
        <w:t xml:space="preserve">the </w:t>
      </w:r>
      <w:r w:rsidR="00D44B40">
        <w:rPr>
          <w:rFonts w:ascii="Palatino Linotype" w:hAnsi="Palatino Linotype"/>
          <w:bCs/>
          <w:color w:val="000000" w:themeColor="text1"/>
          <w:highlight w:val="yellow"/>
          <w:lang w:val="en-GB"/>
        </w:rPr>
        <w:t>clin</w:t>
      </w:r>
      <w:r w:rsidR="00283B5D">
        <w:rPr>
          <w:rFonts w:ascii="Palatino Linotype" w:hAnsi="Palatino Linotype"/>
          <w:bCs/>
          <w:color w:val="000000" w:themeColor="text1"/>
          <w:highlight w:val="yellow"/>
          <w:lang w:val="en-GB"/>
        </w:rPr>
        <w:t>i</w:t>
      </w:r>
      <w:r w:rsidR="00D44B40">
        <w:rPr>
          <w:rFonts w:ascii="Palatino Linotype" w:hAnsi="Palatino Linotype"/>
          <w:bCs/>
          <w:color w:val="000000" w:themeColor="text1"/>
          <w:highlight w:val="yellow"/>
          <w:lang w:val="en-GB"/>
        </w:rPr>
        <w:t xml:space="preserve">cal </w:t>
      </w:r>
      <w:r w:rsidRPr="00EE4C06">
        <w:rPr>
          <w:rFonts w:ascii="Palatino Linotype" w:hAnsi="Palatino Linotype"/>
          <w:bCs/>
          <w:color w:val="000000" w:themeColor="text1"/>
          <w:highlight w:val="yellow"/>
          <w:lang w:val="en-GB"/>
        </w:rPr>
        <w:t>setting. Research team</w:t>
      </w:r>
      <w:r w:rsidR="00D44B40">
        <w:rPr>
          <w:rFonts w:ascii="Palatino Linotype" w:hAnsi="Palatino Linotype"/>
          <w:bCs/>
          <w:color w:val="000000" w:themeColor="text1"/>
          <w:highlight w:val="yellow"/>
          <w:lang w:val="en-GB"/>
        </w:rPr>
        <w:t>s</w:t>
      </w:r>
      <w:r w:rsidRPr="00EE4C06">
        <w:rPr>
          <w:rFonts w:ascii="Palatino Linotype" w:hAnsi="Palatino Linotype"/>
          <w:bCs/>
          <w:color w:val="000000" w:themeColor="text1"/>
          <w:highlight w:val="yellow"/>
          <w:lang w:val="en-GB"/>
        </w:rPr>
        <w:t xml:space="preserve"> should consider these specificities before </w:t>
      </w:r>
      <w:r w:rsidR="00D44B40">
        <w:rPr>
          <w:rFonts w:ascii="Palatino Linotype" w:hAnsi="Palatino Linotype"/>
          <w:bCs/>
          <w:color w:val="000000" w:themeColor="text1"/>
          <w:highlight w:val="yellow"/>
          <w:lang w:val="en-GB"/>
        </w:rPr>
        <w:t xml:space="preserve">finalizing specific </w:t>
      </w:r>
      <w:r w:rsidRPr="00EE4C06">
        <w:rPr>
          <w:rFonts w:ascii="Palatino Linotype" w:hAnsi="Palatino Linotype"/>
          <w:bCs/>
          <w:color w:val="000000" w:themeColor="text1"/>
          <w:highlight w:val="yellow"/>
          <w:lang w:val="en-GB"/>
        </w:rPr>
        <w:t>exclusion criteria</w:t>
      </w:r>
      <w:r w:rsidR="00D44B40">
        <w:rPr>
          <w:rFonts w:ascii="Palatino Linotype" w:hAnsi="Palatino Linotype"/>
          <w:bCs/>
          <w:color w:val="000000" w:themeColor="text1"/>
          <w:highlight w:val="yellow"/>
          <w:lang w:val="en-GB"/>
        </w:rPr>
        <w:t>.</w:t>
      </w:r>
      <w:r>
        <w:rPr>
          <w:rFonts w:ascii="Palatino Linotype" w:hAnsi="Palatino Linotype"/>
          <w:bCs/>
          <w:color w:val="000000" w:themeColor="text1"/>
          <w:lang w:val="en-GB"/>
        </w:rPr>
        <w:t xml:space="preserve"> </w:t>
      </w:r>
    </w:p>
    <w:p w14:paraId="5E4744DA" w14:textId="157E068D" w:rsidR="00306F31" w:rsidRPr="00306F31" w:rsidRDefault="00306F31" w:rsidP="00EE4C06">
      <w:pPr>
        <w:jc w:val="both"/>
        <w:rPr>
          <w:rFonts w:ascii="Palatino Linotype" w:hAnsi="Palatino Linotype"/>
          <w:bCs/>
          <w:color w:val="000000" w:themeColor="text1"/>
          <w:highlight w:val="yellow"/>
          <w:lang w:val="en-GB"/>
        </w:rPr>
      </w:pPr>
      <w:r w:rsidRPr="00306F31">
        <w:rPr>
          <w:rFonts w:ascii="Palatino Linotype" w:hAnsi="Palatino Linotype"/>
          <w:bCs/>
          <w:color w:val="000000" w:themeColor="text1"/>
          <w:highlight w:val="yellow"/>
          <w:lang w:val="en-GB"/>
        </w:rPr>
        <w:t>The exclusion criteria are used to build more robust samples, reduc</w:t>
      </w:r>
      <w:r w:rsidR="00D44B40">
        <w:rPr>
          <w:rFonts w:ascii="Palatino Linotype" w:hAnsi="Palatino Linotype"/>
          <w:bCs/>
          <w:color w:val="000000" w:themeColor="text1"/>
          <w:highlight w:val="yellow"/>
          <w:lang w:val="en-GB"/>
        </w:rPr>
        <w:t>e</w:t>
      </w:r>
      <w:r w:rsidRPr="00306F31">
        <w:rPr>
          <w:rFonts w:ascii="Palatino Linotype" w:hAnsi="Palatino Linotype"/>
          <w:bCs/>
          <w:color w:val="000000" w:themeColor="text1"/>
          <w:highlight w:val="yellow"/>
          <w:lang w:val="en-GB"/>
        </w:rPr>
        <w:t xml:space="preserve"> the rate of </w:t>
      </w:r>
      <w:r w:rsidR="00283B5D" w:rsidRPr="00306F31">
        <w:rPr>
          <w:rFonts w:ascii="Palatino Linotype" w:hAnsi="Palatino Linotype"/>
          <w:bCs/>
          <w:color w:val="000000" w:themeColor="text1"/>
          <w:highlight w:val="yellow"/>
          <w:lang w:val="en-GB"/>
        </w:rPr>
        <w:t>dropouts</w:t>
      </w:r>
      <w:r w:rsidRPr="00306F31">
        <w:rPr>
          <w:rFonts w:ascii="Palatino Linotype" w:hAnsi="Palatino Linotype"/>
          <w:bCs/>
          <w:color w:val="000000" w:themeColor="text1"/>
          <w:highlight w:val="yellow"/>
          <w:lang w:val="en-GB"/>
        </w:rPr>
        <w:t xml:space="preserve"> and enhanc</w:t>
      </w:r>
      <w:r w:rsidR="00D44B40">
        <w:rPr>
          <w:rFonts w:ascii="Palatino Linotype" w:hAnsi="Palatino Linotype"/>
          <w:bCs/>
          <w:color w:val="000000" w:themeColor="text1"/>
          <w:highlight w:val="yellow"/>
          <w:lang w:val="en-GB"/>
        </w:rPr>
        <w:t>e</w:t>
      </w:r>
      <w:r w:rsidRPr="00306F31">
        <w:rPr>
          <w:rFonts w:ascii="Palatino Linotype" w:hAnsi="Palatino Linotype"/>
          <w:bCs/>
          <w:color w:val="000000" w:themeColor="text1"/>
          <w:highlight w:val="yellow"/>
          <w:lang w:val="en-GB"/>
        </w:rPr>
        <w:t xml:space="preserve"> the effect of the intervention. H</w:t>
      </w:r>
      <w:r w:rsidR="007274EE">
        <w:rPr>
          <w:rFonts w:ascii="Palatino Linotype" w:hAnsi="Palatino Linotype"/>
          <w:bCs/>
          <w:color w:val="000000" w:themeColor="text1"/>
          <w:highlight w:val="yellow"/>
          <w:lang w:val="en-GB"/>
        </w:rPr>
        <w:t>owever, h</w:t>
      </w:r>
      <w:r w:rsidRPr="00306F31">
        <w:rPr>
          <w:rFonts w:ascii="Palatino Linotype" w:hAnsi="Palatino Linotype"/>
          <w:bCs/>
          <w:color w:val="000000" w:themeColor="text1"/>
          <w:highlight w:val="yellow"/>
          <w:lang w:val="en-GB"/>
        </w:rPr>
        <w:t xml:space="preserve">aving stringent exclusion criteria might lead to the predominant inclusion of people with primary sarcopenia. If the </w:t>
      </w:r>
      <w:r w:rsidR="00D44B40">
        <w:rPr>
          <w:rFonts w:ascii="Palatino Linotype" w:hAnsi="Palatino Linotype"/>
          <w:bCs/>
          <w:color w:val="000000" w:themeColor="text1"/>
          <w:highlight w:val="yellow"/>
          <w:lang w:val="en-GB"/>
        </w:rPr>
        <w:t xml:space="preserve">study is </w:t>
      </w:r>
      <w:r w:rsidRPr="00306F31">
        <w:rPr>
          <w:rFonts w:ascii="Palatino Linotype" w:hAnsi="Palatino Linotype"/>
          <w:bCs/>
          <w:color w:val="000000" w:themeColor="text1"/>
          <w:highlight w:val="yellow"/>
          <w:lang w:val="en-GB"/>
        </w:rPr>
        <w:t>target</w:t>
      </w:r>
      <w:r w:rsidR="00D44B40">
        <w:rPr>
          <w:rFonts w:ascii="Palatino Linotype" w:hAnsi="Palatino Linotype"/>
          <w:bCs/>
          <w:color w:val="000000" w:themeColor="text1"/>
          <w:highlight w:val="yellow"/>
          <w:lang w:val="en-GB"/>
        </w:rPr>
        <w:t>ing another distinct population of patients</w:t>
      </w:r>
      <w:r w:rsidRPr="00306F31">
        <w:rPr>
          <w:rFonts w:ascii="Palatino Linotype" w:hAnsi="Palatino Linotype"/>
          <w:bCs/>
          <w:color w:val="000000" w:themeColor="text1"/>
          <w:highlight w:val="yellow"/>
          <w:lang w:val="en-GB"/>
        </w:rPr>
        <w:t xml:space="preserve">, exclusion criteria might </w:t>
      </w:r>
      <w:r w:rsidR="00D44B40">
        <w:rPr>
          <w:rFonts w:ascii="Palatino Linotype" w:hAnsi="Palatino Linotype"/>
          <w:bCs/>
          <w:color w:val="000000" w:themeColor="text1"/>
          <w:highlight w:val="yellow"/>
          <w:lang w:val="en-GB"/>
        </w:rPr>
        <w:t xml:space="preserve">need </w:t>
      </w:r>
      <w:r w:rsidRPr="00306F31">
        <w:rPr>
          <w:rFonts w:ascii="Palatino Linotype" w:hAnsi="Palatino Linotype"/>
          <w:bCs/>
          <w:color w:val="000000" w:themeColor="text1"/>
          <w:highlight w:val="yellow"/>
          <w:lang w:val="en-GB"/>
        </w:rPr>
        <w:t>be reconsidered</w:t>
      </w:r>
      <w:r w:rsidR="00D44B40">
        <w:rPr>
          <w:rFonts w:ascii="Palatino Linotype" w:hAnsi="Palatino Linotype"/>
          <w:bCs/>
          <w:color w:val="000000" w:themeColor="text1"/>
          <w:highlight w:val="yellow"/>
          <w:lang w:val="en-GB"/>
        </w:rPr>
        <w:t xml:space="preserve"> and modified</w:t>
      </w:r>
      <w:r>
        <w:rPr>
          <w:rFonts w:ascii="Palatino Linotype" w:hAnsi="Palatino Linotype"/>
          <w:bCs/>
          <w:color w:val="000000" w:themeColor="text1"/>
          <w:highlight w:val="yellow"/>
          <w:lang w:val="en-GB"/>
        </w:rPr>
        <w:t xml:space="preserve">. </w:t>
      </w:r>
    </w:p>
    <w:p w14:paraId="391BC3B9" w14:textId="3D590667" w:rsidR="00B4316F" w:rsidRPr="00D57B26" w:rsidRDefault="00B35C96" w:rsidP="00B35C96">
      <w:pPr>
        <w:rPr>
          <w:rFonts w:ascii="Palatino Linotype" w:hAnsi="Palatino Linotype"/>
          <w:b/>
          <w:bCs/>
          <w:smallCaps/>
          <w:sz w:val="24"/>
          <w:szCs w:val="24"/>
          <w:u w:val="single"/>
          <w:lang w:val="en-GB"/>
        </w:rPr>
      </w:pPr>
      <w:r w:rsidRPr="00D57B26">
        <w:rPr>
          <w:rFonts w:ascii="Palatino Linotype" w:hAnsi="Palatino Linotype"/>
          <w:b/>
          <w:bCs/>
          <w:smallCaps/>
          <w:sz w:val="24"/>
          <w:szCs w:val="24"/>
          <w:u w:val="single"/>
          <w:lang w:val="en-GB"/>
        </w:rPr>
        <w:t>Primary and secondary outcomes for pharmacological treatment RCTs in sarcopenia</w:t>
      </w:r>
    </w:p>
    <w:p w14:paraId="0DFEA7C4" w14:textId="303E57E7" w:rsidR="00B4316F" w:rsidRPr="000B0571" w:rsidRDefault="00B4316F" w:rsidP="00B4316F">
      <w:pPr>
        <w:rPr>
          <w:rFonts w:ascii="Palatino Linotype" w:hAnsi="Palatino Linotype"/>
          <w:b/>
          <w:bCs/>
          <w:lang w:val="en-GB"/>
        </w:rPr>
      </w:pPr>
      <w:r w:rsidRPr="000B0571">
        <w:rPr>
          <w:rFonts w:ascii="Palatino Linotype" w:hAnsi="Palatino Linotype"/>
          <w:b/>
          <w:bCs/>
          <w:lang w:val="en-GB"/>
        </w:rPr>
        <w:t>Phase II studies</w:t>
      </w:r>
    </w:p>
    <w:p w14:paraId="62BF1228" w14:textId="29D972D2" w:rsidR="000B0571" w:rsidRPr="00F023B6" w:rsidRDefault="000B0571" w:rsidP="0006527B">
      <w:pPr>
        <w:jc w:val="both"/>
        <w:rPr>
          <w:rFonts w:ascii="Palatino Linotype" w:hAnsi="Palatino Linotype"/>
          <w:bCs/>
          <w:color w:val="000000" w:themeColor="text1"/>
          <w:lang w:val="en-GB"/>
        </w:rPr>
      </w:pPr>
      <w:r w:rsidRPr="00F023B6">
        <w:rPr>
          <w:rFonts w:ascii="Palatino Linotype" w:hAnsi="Palatino Linotype"/>
          <w:bCs/>
          <w:color w:val="000000" w:themeColor="text1"/>
          <w:lang w:val="en-GB"/>
        </w:rPr>
        <w:t xml:space="preserve">Phase II trials </w:t>
      </w:r>
      <w:r w:rsidR="00442FDB" w:rsidRPr="00F023B6">
        <w:rPr>
          <w:rFonts w:ascii="Palatino Linotype" w:hAnsi="Palatino Linotype"/>
          <w:bCs/>
          <w:color w:val="000000" w:themeColor="text1"/>
          <w:lang w:val="en-GB"/>
        </w:rPr>
        <w:t xml:space="preserve">are designed with </w:t>
      </w:r>
      <w:r w:rsidRPr="00F023B6">
        <w:rPr>
          <w:rFonts w:ascii="Palatino Linotype" w:hAnsi="Palatino Linotype"/>
          <w:bCs/>
          <w:color w:val="000000" w:themeColor="text1"/>
          <w:lang w:val="en-GB"/>
        </w:rPr>
        <w:t>two important objectives: 1/ obtaining a “proof of concept” for the new entities, 2/ allow</w:t>
      </w:r>
      <w:r w:rsidR="0006527B" w:rsidRPr="00F023B6">
        <w:rPr>
          <w:rFonts w:ascii="Palatino Linotype" w:hAnsi="Palatino Linotype"/>
          <w:bCs/>
          <w:color w:val="000000" w:themeColor="text1"/>
          <w:lang w:val="en-GB"/>
        </w:rPr>
        <w:t>ing</w:t>
      </w:r>
      <w:r w:rsidRPr="00F023B6">
        <w:rPr>
          <w:rFonts w:ascii="Palatino Linotype" w:hAnsi="Palatino Linotype"/>
          <w:bCs/>
          <w:color w:val="000000" w:themeColor="text1"/>
          <w:lang w:val="en-GB"/>
        </w:rPr>
        <w:t xml:space="preserve"> a clear assessment of the effect</w:t>
      </w:r>
      <w:r w:rsidR="00442FDB" w:rsidRPr="00F023B6">
        <w:rPr>
          <w:rFonts w:ascii="Palatino Linotype" w:hAnsi="Palatino Linotype"/>
          <w:bCs/>
          <w:color w:val="000000" w:themeColor="text1"/>
          <w:lang w:val="en-GB"/>
        </w:rPr>
        <w:t>ive</w:t>
      </w:r>
      <w:r w:rsidRPr="00F023B6">
        <w:rPr>
          <w:rFonts w:ascii="Palatino Linotype" w:hAnsi="Palatino Linotype"/>
          <w:bCs/>
          <w:color w:val="000000" w:themeColor="text1"/>
          <w:lang w:val="en-GB"/>
        </w:rPr>
        <w:t xml:space="preserve"> dose-range to highlight the best dose to use in phase III trials</w:t>
      </w:r>
      <w:r w:rsidR="00A02123" w:rsidRPr="00F023B6">
        <w:rPr>
          <w:rFonts w:ascii="Palatino Linotype" w:hAnsi="Palatino Linotype"/>
          <w:bCs/>
          <w:color w:val="000000" w:themeColor="text1"/>
          <w:lang w:val="en-GB"/>
        </w:rPr>
        <w:t xml:space="preserve"> within an economically reasonable time frame</w:t>
      </w:r>
      <w:r w:rsidRPr="00F023B6">
        <w:rPr>
          <w:rFonts w:ascii="Palatino Linotype" w:hAnsi="Palatino Linotype"/>
          <w:bCs/>
          <w:color w:val="000000" w:themeColor="text1"/>
          <w:lang w:val="en-GB"/>
        </w:rPr>
        <w:t xml:space="preserve">. </w:t>
      </w:r>
    </w:p>
    <w:p w14:paraId="529EC3F1" w14:textId="09A0818A" w:rsidR="00B4316F" w:rsidRPr="00F023B6" w:rsidRDefault="0062564C" w:rsidP="0006527B">
      <w:pPr>
        <w:jc w:val="both"/>
        <w:rPr>
          <w:rFonts w:ascii="Palatino Linotype" w:hAnsi="Palatino Linotype"/>
          <w:bCs/>
          <w:color w:val="000000" w:themeColor="text1"/>
          <w:lang w:val="en-GB"/>
        </w:rPr>
      </w:pPr>
      <w:r w:rsidRPr="00F023B6">
        <w:rPr>
          <w:rFonts w:ascii="Palatino Linotype" w:hAnsi="Palatino Linotype"/>
          <w:bCs/>
          <w:color w:val="000000" w:themeColor="text1"/>
          <w:lang w:val="en-GB"/>
        </w:rPr>
        <w:t>Different</w:t>
      </w:r>
      <w:r w:rsidR="00B4316F" w:rsidRPr="00F023B6">
        <w:rPr>
          <w:rFonts w:ascii="Palatino Linotype" w:hAnsi="Palatino Linotype"/>
          <w:bCs/>
          <w:color w:val="000000" w:themeColor="text1"/>
          <w:lang w:val="en-GB"/>
        </w:rPr>
        <w:t xml:space="preserve"> primary endpoint</w:t>
      </w:r>
      <w:r w:rsidR="00A63E3E">
        <w:rPr>
          <w:rFonts w:ascii="Palatino Linotype" w:hAnsi="Palatino Linotype"/>
          <w:bCs/>
          <w:color w:val="000000" w:themeColor="text1"/>
          <w:lang w:val="en-GB"/>
        </w:rPr>
        <w:t>s</w:t>
      </w:r>
      <w:r w:rsidR="00B4316F" w:rsidRPr="00F023B6">
        <w:rPr>
          <w:rFonts w:ascii="Palatino Linotype" w:hAnsi="Palatino Linotype"/>
          <w:bCs/>
          <w:color w:val="000000" w:themeColor="text1"/>
          <w:lang w:val="en-GB"/>
        </w:rPr>
        <w:t xml:space="preserve"> could be </w:t>
      </w:r>
      <w:r w:rsidR="00A02123" w:rsidRPr="00F023B6">
        <w:rPr>
          <w:rFonts w:ascii="Palatino Linotype" w:hAnsi="Palatino Linotype"/>
          <w:bCs/>
          <w:color w:val="000000" w:themeColor="text1"/>
          <w:lang w:val="en-GB"/>
        </w:rPr>
        <w:t>proposed</w:t>
      </w:r>
      <w:r w:rsidR="00B4316F" w:rsidRPr="00F023B6">
        <w:rPr>
          <w:rFonts w:ascii="Palatino Linotype" w:hAnsi="Palatino Linotype"/>
          <w:bCs/>
          <w:color w:val="000000" w:themeColor="text1"/>
          <w:lang w:val="en-GB"/>
        </w:rPr>
        <w:t xml:space="preserve"> in </w:t>
      </w:r>
      <w:r w:rsidR="00774593">
        <w:rPr>
          <w:rFonts w:ascii="Palatino Linotype" w:hAnsi="Palatino Linotype"/>
          <w:bCs/>
          <w:color w:val="000000" w:themeColor="text1"/>
          <w:lang w:val="en-GB"/>
        </w:rPr>
        <w:t>p</w:t>
      </w:r>
      <w:r w:rsidR="00B4316F" w:rsidRPr="00F023B6">
        <w:rPr>
          <w:rFonts w:ascii="Palatino Linotype" w:hAnsi="Palatino Linotype"/>
          <w:bCs/>
          <w:color w:val="000000" w:themeColor="text1"/>
          <w:lang w:val="en-GB"/>
        </w:rPr>
        <w:t>hase II studies</w:t>
      </w:r>
      <w:r w:rsidR="000B0571" w:rsidRPr="00F023B6">
        <w:rPr>
          <w:rFonts w:ascii="Palatino Linotype" w:hAnsi="Palatino Linotype"/>
          <w:bCs/>
          <w:color w:val="000000" w:themeColor="text1"/>
          <w:lang w:val="en-GB"/>
        </w:rPr>
        <w:t>.</w:t>
      </w:r>
      <w:r w:rsidR="00A02123" w:rsidRPr="00F023B6">
        <w:rPr>
          <w:rFonts w:ascii="Palatino Linotype" w:hAnsi="Palatino Linotype"/>
          <w:bCs/>
          <w:color w:val="000000" w:themeColor="text1"/>
          <w:lang w:val="en-GB"/>
        </w:rPr>
        <w:t xml:space="preserve"> As a primary </w:t>
      </w:r>
      <w:r w:rsidRPr="00F023B6">
        <w:rPr>
          <w:rFonts w:ascii="Palatino Linotype" w:hAnsi="Palatino Linotype"/>
          <w:bCs/>
          <w:color w:val="000000" w:themeColor="text1"/>
          <w:lang w:val="en-GB"/>
        </w:rPr>
        <w:t>consideration</w:t>
      </w:r>
      <w:r w:rsidR="00A02123" w:rsidRPr="00F023B6">
        <w:rPr>
          <w:rFonts w:ascii="Palatino Linotype" w:hAnsi="Palatino Linotype"/>
          <w:bCs/>
          <w:color w:val="000000" w:themeColor="text1"/>
          <w:lang w:val="en-GB"/>
        </w:rPr>
        <w:t xml:space="preserve">, measures </w:t>
      </w:r>
      <w:r w:rsidR="00C0124B" w:rsidRPr="00F023B6">
        <w:rPr>
          <w:rFonts w:ascii="Palatino Linotype" w:hAnsi="Palatino Linotype"/>
          <w:bCs/>
          <w:color w:val="000000" w:themeColor="text1"/>
          <w:lang w:val="en-GB"/>
        </w:rPr>
        <w:t>with a higher rate of change over time</w:t>
      </w:r>
      <w:r w:rsidR="00A02123" w:rsidRPr="00F023B6">
        <w:rPr>
          <w:rFonts w:ascii="Palatino Linotype" w:hAnsi="Palatino Linotype"/>
          <w:bCs/>
          <w:color w:val="000000" w:themeColor="text1"/>
          <w:lang w:val="en-GB"/>
        </w:rPr>
        <w:t xml:space="preserve"> may reduce the follow-up duration and could therefore be chose</w:t>
      </w:r>
      <w:r w:rsidR="00C0124B" w:rsidRPr="00F023B6">
        <w:rPr>
          <w:rFonts w:ascii="Palatino Linotype" w:hAnsi="Palatino Linotype"/>
          <w:bCs/>
          <w:color w:val="000000" w:themeColor="text1"/>
          <w:lang w:val="en-GB"/>
        </w:rPr>
        <w:t>n</w:t>
      </w:r>
      <w:r w:rsidR="00A02123" w:rsidRPr="00F023B6">
        <w:rPr>
          <w:rFonts w:ascii="Palatino Linotype" w:hAnsi="Palatino Linotype"/>
          <w:bCs/>
          <w:color w:val="000000" w:themeColor="text1"/>
          <w:lang w:val="en-GB"/>
        </w:rPr>
        <w:t xml:space="preserve"> as a pr</w:t>
      </w:r>
      <w:r w:rsidR="00C0124B" w:rsidRPr="00F023B6">
        <w:rPr>
          <w:rFonts w:ascii="Palatino Linotype" w:hAnsi="Palatino Linotype"/>
          <w:bCs/>
          <w:color w:val="000000" w:themeColor="text1"/>
          <w:lang w:val="en-GB"/>
        </w:rPr>
        <w:t>imary endpoint</w:t>
      </w:r>
      <w:r w:rsidR="000B0571" w:rsidRPr="00F023B6">
        <w:rPr>
          <w:rFonts w:ascii="Palatino Linotype" w:hAnsi="Palatino Linotype"/>
          <w:bCs/>
          <w:color w:val="000000" w:themeColor="text1"/>
          <w:lang w:val="en-GB"/>
        </w:rPr>
        <w:t xml:space="preserve"> </w:t>
      </w:r>
      <w:r w:rsidR="00A02123" w:rsidRPr="00F023B6">
        <w:rPr>
          <w:rFonts w:ascii="Palatino Linotype" w:hAnsi="Palatino Linotype"/>
          <w:bCs/>
          <w:color w:val="000000" w:themeColor="text1"/>
          <w:lang w:val="en-GB"/>
        </w:rPr>
        <w:t>in phase II trial</w:t>
      </w:r>
      <w:r w:rsidR="00C0124B" w:rsidRPr="00F023B6">
        <w:rPr>
          <w:rFonts w:ascii="Palatino Linotype" w:hAnsi="Palatino Linotype"/>
          <w:bCs/>
          <w:color w:val="000000" w:themeColor="text1"/>
          <w:lang w:val="en-GB"/>
        </w:rPr>
        <w:t>s</w:t>
      </w:r>
      <w:r w:rsidR="00A02123" w:rsidRPr="00F023B6">
        <w:rPr>
          <w:rFonts w:ascii="Palatino Linotype" w:hAnsi="Palatino Linotype"/>
          <w:bCs/>
          <w:color w:val="000000" w:themeColor="text1"/>
          <w:lang w:val="en-GB"/>
        </w:rPr>
        <w:t>. However, since the objective of phase II clinical trials is to demonstrate the efficac</w:t>
      </w:r>
      <w:r w:rsidR="00C0124B" w:rsidRPr="00F023B6">
        <w:rPr>
          <w:rFonts w:ascii="Palatino Linotype" w:hAnsi="Palatino Linotype"/>
          <w:bCs/>
          <w:color w:val="000000" w:themeColor="text1"/>
          <w:lang w:val="en-GB"/>
        </w:rPr>
        <w:t>y</w:t>
      </w:r>
      <w:r w:rsidR="00A02123" w:rsidRPr="00F023B6">
        <w:rPr>
          <w:rFonts w:ascii="Palatino Linotype" w:hAnsi="Palatino Linotype"/>
          <w:bCs/>
          <w:color w:val="000000" w:themeColor="text1"/>
          <w:lang w:val="en-GB"/>
        </w:rPr>
        <w:t xml:space="preserve"> of the intervention, the study design might be more flexible since it is based on surrogates of the condition of interest</w:t>
      </w:r>
      <w:r w:rsidR="00C0124B" w:rsidRPr="00F023B6">
        <w:rPr>
          <w:rFonts w:ascii="Palatino Linotype" w:hAnsi="Palatino Linotype"/>
          <w:bCs/>
          <w:color w:val="000000" w:themeColor="text1"/>
          <w:lang w:val="en-GB"/>
        </w:rPr>
        <w:t>.</w:t>
      </w:r>
      <w:r w:rsidR="00A02123" w:rsidRPr="00F023B6">
        <w:rPr>
          <w:rFonts w:ascii="Palatino Linotype" w:hAnsi="Palatino Linotype"/>
          <w:bCs/>
          <w:color w:val="000000" w:themeColor="text1"/>
          <w:lang w:val="en-GB"/>
        </w:rPr>
        <w:t xml:space="preserve"> </w:t>
      </w:r>
      <w:r w:rsidR="000B0571" w:rsidRPr="00F023B6">
        <w:rPr>
          <w:rFonts w:ascii="Palatino Linotype" w:hAnsi="Palatino Linotype"/>
          <w:bCs/>
          <w:color w:val="000000" w:themeColor="text1"/>
          <w:lang w:val="en-GB"/>
        </w:rPr>
        <w:t xml:space="preserve">Table 2 displays all outcomes that we considered as applicable in </w:t>
      </w:r>
      <w:r w:rsidR="00C0124B" w:rsidRPr="00F023B6">
        <w:rPr>
          <w:rFonts w:ascii="Palatino Linotype" w:hAnsi="Palatino Linotype"/>
          <w:bCs/>
          <w:color w:val="000000" w:themeColor="text1"/>
          <w:lang w:val="en-GB"/>
        </w:rPr>
        <w:t>p</w:t>
      </w:r>
      <w:r w:rsidR="000B0571" w:rsidRPr="00F023B6">
        <w:rPr>
          <w:rFonts w:ascii="Palatino Linotype" w:hAnsi="Palatino Linotype"/>
          <w:bCs/>
          <w:color w:val="000000" w:themeColor="text1"/>
          <w:lang w:val="en-GB"/>
        </w:rPr>
        <w:t xml:space="preserve">hase II studies. </w:t>
      </w:r>
    </w:p>
    <w:p w14:paraId="52AE9107" w14:textId="7AD83DC0" w:rsidR="00B4316F" w:rsidRDefault="001C4D30" w:rsidP="0006527B">
      <w:pPr>
        <w:jc w:val="both"/>
        <w:rPr>
          <w:rFonts w:ascii="Palatino Linotype" w:hAnsi="Palatino Linotype"/>
          <w:bCs/>
          <w:color w:val="000000" w:themeColor="text1"/>
          <w:lang w:val="en-GB"/>
        </w:rPr>
      </w:pPr>
      <w:r w:rsidRPr="00F023B6">
        <w:rPr>
          <w:rFonts w:ascii="Palatino Linotype" w:hAnsi="Palatino Linotype"/>
          <w:bCs/>
          <w:color w:val="000000" w:themeColor="text1"/>
          <w:lang w:val="en-GB"/>
        </w:rPr>
        <w:t>The choice of outcome</w:t>
      </w:r>
      <w:r w:rsidR="007F56F3">
        <w:rPr>
          <w:rFonts w:ascii="Palatino Linotype" w:hAnsi="Palatino Linotype"/>
          <w:bCs/>
          <w:color w:val="000000" w:themeColor="text1"/>
          <w:lang w:val="en-GB"/>
        </w:rPr>
        <w:t xml:space="preserve"> </w:t>
      </w:r>
      <w:r w:rsidR="000B0571" w:rsidRPr="00F023B6">
        <w:rPr>
          <w:rFonts w:ascii="Palatino Linotype" w:hAnsi="Palatino Linotype"/>
          <w:bCs/>
          <w:color w:val="000000" w:themeColor="text1"/>
          <w:lang w:val="en-GB"/>
        </w:rPr>
        <w:t xml:space="preserve">to be </w:t>
      </w:r>
      <w:r w:rsidRPr="00F023B6">
        <w:rPr>
          <w:rFonts w:ascii="Palatino Linotype" w:hAnsi="Palatino Linotype"/>
          <w:bCs/>
          <w:color w:val="000000" w:themeColor="text1"/>
          <w:lang w:val="en-GB"/>
        </w:rPr>
        <w:t>used in phase II trial</w:t>
      </w:r>
      <w:r w:rsidR="000B0571" w:rsidRPr="00F023B6">
        <w:rPr>
          <w:rFonts w:ascii="Palatino Linotype" w:hAnsi="Palatino Linotype"/>
          <w:bCs/>
          <w:color w:val="000000" w:themeColor="text1"/>
          <w:lang w:val="en-GB"/>
        </w:rPr>
        <w:t xml:space="preserve"> as primary endpoint</w:t>
      </w:r>
      <w:r w:rsidR="007F56F3">
        <w:rPr>
          <w:rFonts w:ascii="Palatino Linotype" w:hAnsi="Palatino Linotype"/>
          <w:bCs/>
          <w:color w:val="000000" w:themeColor="text1"/>
          <w:lang w:val="en-GB"/>
        </w:rPr>
        <w:t xml:space="preserve"> - </w:t>
      </w:r>
      <w:r w:rsidR="007F56F3" w:rsidRPr="00F023B6">
        <w:rPr>
          <w:rFonts w:ascii="Palatino Linotype" w:hAnsi="Palatino Linotype"/>
          <w:bCs/>
          <w:color w:val="000000" w:themeColor="text1"/>
          <w:lang w:val="en-GB"/>
        </w:rPr>
        <w:t>which is the responsibility of the applicant</w:t>
      </w:r>
      <w:r w:rsidR="007F56F3">
        <w:rPr>
          <w:rFonts w:ascii="Palatino Linotype" w:hAnsi="Palatino Linotype"/>
          <w:bCs/>
          <w:color w:val="000000" w:themeColor="text1"/>
          <w:lang w:val="en-GB"/>
        </w:rPr>
        <w:t xml:space="preserve"> -</w:t>
      </w:r>
      <w:r w:rsidRPr="00F023B6">
        <w:rPr>
          <w:rFonts w:ascii="Palatino Linotype" w:hAnsi="Palatino Linotype"/>
          <w:bCs/>
          <w:color w:val="000000" w:themeColor="text1"/>
          <w:lang w:val="en-GB"/>
        </w:rPr>
        <w:t xml:space="preserve"> should be done according to the hypothesized mode of action of the drug.</w:t>
      </w:r>
      <w:r w:rsidRPr="000B0571">
        <w:rPr>
          <w:rFonts w:ascii="Palatino Linotype" w:hAnsi="Palatino Linotype"/>
          <w:bCs/>
          <w:color w:val="000000" w:themeColor="text1"/>
          <w:lang w:val="en-G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544D37" w:rsidRPr="007274EE" w14:paraId="7879A2B9" w14:textId="77777777" w:rsidTr="002D019B">
        <w:tc>
          <w:tcPr>
            <w:tcW w:w="4530" w:type="dxa"/>
            <w:tcBorders>
              <w:top w:val="single" w:sz="4" w:space="0" w:color="auto"/>
              <w:bottom w:val="single" w:sz="4" w:space="0" w:color="auto"/>
            </w:tcBorders>
          </w:tcPr>
          <w:p w14:paraId="6AB33542" w14:textId="77777777" w:rsidR="00544D37" w:rsidRPr="000B0571" w:rsidRDefault="00544D37" w:rsidP="002D019B">
            <w:pPr>
              <w:rPr>
                <w:rFonts w:ascii="Palatino Linotype" w:hAnsi="Palatino Linotype"/>
                <w:b/>
                <w:bCs/>
                <w:color w:val="000000" w:themeColor="text1"/>
                <w:lang w:val="en-GB"/>
              </w:rPr>
            </w:pPr>
            <w:r w:rsidRPr="000B0571">
              <w:rPr>
                <w:rFonts w:ascii="Palatino Linotype" w:hAnsi="Palatino Linotype"/>
                <w:b/>
                <w:bCs/>
                <w:color w:val="000000" w:themeColor="text1"/>
                <w:lang w:val="en-GB"/>
              </w:rPr>
              <w:t>Proposed endpoint</w:t>
            </w:r>
          </w:p>
        </w:tc>
        <w:tc>
          <w:tcPr>
            <w:tcW w:w="4530" w:type="dxa"/>
            <w:tcBorders>
              <w:top w:val="single" w:sz="4" w:space="0" w:color="auto"/>
              <w:bottom w:val="single" w:sz="4" w:space="0" w:color="auto"/>
            </w:tcBorders>
          </w:tcPr>
          <w:p w14:paraId="780F27E0" w14:textId="77777777" w:rsidR="00544D37" w:rsidRPr="000B0571" w:rsidRDefault="00544D37" w:rsidP="002D019B">
            <w:pPr>
              <w:rPr>
                <w:rFonts w:ascii="Palatino Linotype" w:hAnsi="Palatino Linotype"/>
                <w:b/>
                <w:bCs/>
                <w:color w:val="000000" w:themeColor="text1"/>
                <w:lang w:val="en-GB"/>
              </w:rPr>
            </w:pPr>
            <w:r w:rsidRPr="000B0571">
              <w:rPr>
                <w:rFonts w:ascii="Palatino Linotype" w:hAnsi="Palatino Linotype"/>
                <w:b/>
                <w:bCs/>
                <w:color w:val="000000" w:themeColor="text1"/>
                <w:lang w:val="en-GB"/>
              </w:rPr>
              <w:t>Tool to measure the endpoint</w:t>
            </w:r>
          </w:p>
        </w:tc>
      </w:tr>
      <w:tr w:rsidR="00544D37" w:rsidRPr="007274EE" w14:paraId="682EE1A8" w14:textId="77777777" w:rsidTr="002D019B">
        <w:tc>
          <w:tcPr>
            <w:tcW w:w="4530" w:type="dxa"/>
            <w:tcBorders>
              <w:top w:val="single" w:sz="4" w:space="0" w:color="auto"/>
            </w:tcBorders>
          </w:tcPr>
          <w:p w14:paraId="6D649834" w14:textId="77777777" w:rsidR="00544D37" w:rsidRPr="000B0571" w:rsidRDefault="00544D37" w:rsidP="002D019B">
            <w:pPr>
              <w:rPr>
                <w:rFonts w:ascii="Palatino Linotype" w:hAnsi="Palatino Linotype"/>
                <w:b/>
                <w:bCs/>
                <w:color w:val="000000" w:themeColor="text1"/>
                <w:lang w:val="en-GB"/>
              </w:rPr>
            </w:pPr>
            <w:r>
              <w:rPr>
                <w:rFonts w:ascii="Palatino Linotype" w:hAnsi="Palatino Linotype"/>
                <w:b/>
                <w:bCs/>
                <w:color w:val="000000" w:themeColor="text1"/>
                <w:lang w:val="en-GB"/>
              </w:rPr>
              <w:t>Improvement of physical performance</w:t>
            </w:r>
          </w:p>
        </w:tc>
        <w:tc>
          <w:tcPr>
            <w:tcW w:w="4530" w:type="dxa"/>
            <w:tcBorders>
              <w:top w:val="single" w:sz="4" w:space="0" w:color="auto"/>
            </w:tcBorders>
          </w:tcPr>
          <w:p w14:paraId="472FEC9D" w14:textId="77777777" w:rsidR="00544D37" w:rsidRPr="006C530D" w:rsidRDefault="00544D37" w:rsidP="002D019B">
            <w:pPr>
              <w:rPr>
                <w:rFonts w:ascii="Palatino Linotype" w:hAnsi="Palatino Linotype"/>
                <w:color w:val="000000" w:themeColor="text1"/>
                <w:lang w:val="en-GB"/>
              </w:rPr>
            </w:pPr>
            <w:r w:rsidRPr="006C530D">
              <w:rPr>
                <w:rFonts w:ascii="Palatino Linotype" w:hAnsi="Palatino Linotype"/>
                <w:color w:val="000000" w:themeColor="text1"/>
                <w:lang w:val="en-GB"/>
              </w:rPr>
              <w:t>SPPB</w:t>
            </w:r>
          </w:p>
          <w:p w14:paraId="14952844" w14:textId="77777777" w:rsidR="00544D37" w:rsidRPr="006C530D" w:rsidRDefault="00544D37" w:rsidP="002D019B">
            <w:pPr>
              <w:rPr>
                <w:rFonts w:ascii="Palatino Linotype" w:hAnsi="Palatino Linotype"/>
                <w:color w:val="000000" w:themeColor="text1"/>
                <w:lang w:val="en-GB"/>
              </w:rPr>
            </w:pPr>
            <w:r w:rsidRPr="006C530D">
              <w:rPr>
                <w:rFonts w:ascii="Palatino Linotype" w:hAnsi="Palatino Linotype"/>
                <w:color w:val="000000" w:themeColor="text1"/>
                <w:lang w:val="en-GB"/>
              </w:rPr>
              <w:t>Gait speed</w:t>
            </w:r>
          </w:p>
          <w:p w14:paraId="39367B64" w14:textId="77777777" w:rsidR="00544D37" w:rsidRPr="006C530D" w:rsidRDefault="00544D37" w:rsidP="002D019B">
            <w:pPr>
              <w:rPr>
                <w:rFonts w:ascii="Palatino Linotype" w:hAnsi="Palatino Linotype"/>
                <w:color w:val="000000" w:themeColor="text1"/>
                <w:lang w:val="en-GB"/>
              </w:rPr>
            </w:pPr>
            <w:r w:rsidRPr="006C530D">
              <w:rPr>
                <w:rFonts w:ascii="Palatino Linotype" w:hAnsi="Palatino Linotype"/>
                <w:color w:val="000000" w:themeColor="text1"/>
                <w:lang w:val="en-GB"/>
              </w:rPr>
              <w:t>400-m walk test</w:t>
            </w:r>
          </w:p>
          <w:p w14:paraId="7A287820" w14:textId="77777777" w:rsidR="00544D37" w:rsidRDefault="00544D37" w:rsidP="002D019B">
            <w:pPr>
              <w:rPr>
                <w:rFonts w:ascii="Palatino Linotype" w:hAnsi="Palatino Linotype"/>
                <w:color w:val="000000" w:themeColor="text1"/>
                <w:lang w:val="en-GB"/>
              </w:rPr>
            </w:pPr>
            <w:r w:rsidRPr="006C530D">
              <w:rPr>
                <w:rFonts w:ascii="Palatino Linotype" w:hAnsi="Palatino Linotype"/>
                <w:color w:val="000000" w:themeColor="text1"/>
                <w:lang w:val="en-GB"/>
              </w:rPr>
              <w:t>TUG test</w:t>
            </w:r>
          </w:p>
          <w:p w14:paraId="7D956ACB" w14:textId="77777777" w:rsidR="00544D37" w:rsidRPr="006C530D" w:rsidRDefault="00544D37" w:rsidP="002D019B">
            <w:pPr>
              <w:rPr>
                <w:rFonts w:ascii="Palatino Linotype" w:hAnsi="Palatino Linotype"/>
                <w:color w:val="000000" w:themeColor="text1"/>
                <w:lang w:val="en-GB"/>
              </w:rPr>
            </w:pPr>
            <w:r>
              <w:rPr>
                <w:rFonts w:ascii="Palatino Linotype" w:hAnsi="Palatino Linotype"/>
                <w:color w:val="000000" w:themeColor="text1"/>
                <w:lang w:val="en-GB"/>
              </w:rPr>
              <w:t>Chair stand test</w:t>
            </w:r>
          </w:p>
        </w:tc>
      </w:tr>
      <w:tr w:rsidR="00544D37" w:rsidRPr="007274EE" w14:paraId="5483AEC5" w14:textId="77777777" w:rsidTr="002D019B">
        <w:tc>
          <w:tcPr>
            <w:tcW w:w="4530" w:type="dxa"/>
          </w:tcPr>
          <w:p w14:paraId="6993EA3B" w14:textId="77777777" w:rsidR="00544D37" w:rsidRPr="000B0571" w:rsidRDefault="00544D37" w:rsidP="002D019B">
            <w:pPr>
              <w:rPr>
                <w:rFonts w:ascii="Palatino Linotype" w:hAnsi="Palatino Linotype"/>
                <w:b/>
                <w:bCs/>
                <w:color w:val="000000" w:themeColor="text1"/>
                <w:lang w:val="en-GB"/>
              </w:rPr>
            </w:pPr>
            <w:r>
              <w:rPr>
                <w:rFonts w:ascii="Palatino Linotype" w:hAnsi="Palatino Linotype"/>
                <w:b/>
                <w:bCs/>
                <w:color w:val="000000" w:themeColor="text1"/>
                <w:lang w:val="en-GB"/>
              </w:rPr>
              <w:t>Improvement of muscle strength</w:t>
            </w:r>
          </w:p>
        </w:tc>
        <w:tc>
          <w:tcPr>
            <w:tcW w:w="4530" w:type="dxa"/>
          </w:tcPr>
          <w:p w14:paraId="6A8DD177" w14:textId="77777777" w:rsidR="00544D37" w:rsidRDefault="00544D37" w:rsidP="002D019B">
            <w:pPr>
              <w:rPr>
                <w:rFonts w:ascii="Palatino Linotype" w:hAnsi="Palatino Linotype"/>
                <w:color w:val="000000" w:themeColor="text1"/>
                <w:lang w:val="en-GB"/>
              </w:rPr>
            </w:pPr>
            <w:r>
              <w:rPr>
                <w:rFonts w:ascii="Palatino Linotype" w:hAnsi="Palatino Linotype"/>
                <w:color w:val="000000" w:themeColor="text1"/>
                <w:lang w:val="en-GB"/>
              </w:rPr>
              <w:t>Handgrip strength</w:t>
            </w:r>
          </w:p>
          <w:p w14:paraId="5DA9C1FB" w14:textId="6A0391DC" w:rsidR="00544D37" w:rsidRPr="000B0571" w:rsidRDefault="004D5605" w:rsidP="002D019B">
            <w:pPr>
              <w:rPr>
                <w:rFonts w:ascii="Palatino Linotype" w:hAnsi="Palatino Linotype"/>
                <w:color w:val="000000" w:themeColor="text1"/>
                <w:lang w:val="en-GB"/>
              </w:rPr>
            </w:pPr>
            <w:r>
              <w:rPr>
                <w:rFonts w:ascii="Palatino Linotype" w:hAnsi="Palatino Linotype"/>
                <w:color w:val="000000" w:themeColor="text1"/>
                <w:lang w:val="en-GB"/>
              </w:rPr>
              <w:t>Knee extensor strength</w:t>
            </w:r>
          </w:p>
        </w:tc>
      </w:tr>
      <w:tr w:rsidR="00544D37" w:rsidRPr="009D3AAF" w14:paraId="09455173" w14:textId="77777777" w:rsidTr="002D019B">
        <w:tc>
          <w:tcPr>
            <w:tcW w:w="4530" w:type="dxa"/>
          </w:tcPr>
          <w:p w14:paraId="5AD4ADAE" w14:textId="77777777" w:rsidR="00544D37" w:rsidRPr="000B0571" w:rsidRDefault="00544D37" w:rsidP="002D019B">
            <w:pPr>
              <w:rPr>
                <w:rFonts w:ascii="Palatino Linotype" w:hAnsi="Palatino Linotype"/>
                <w:b/>
                <w:bCs/>
                <w:color w:val="000000" w:themeColor="text1"/>
                <w:lang w:val="en-GB"/>
              </w:rPr>
            </w:pPr>
            <w:r>
              <w:rPr>
                <w:rFonts w:ascii="Palatino Linotype" w:hAnsi="Palatino Linotype"/>
                <w:b/>
                <w:bCs/>
                <w:color w:val="000000" w:themeColor="text1"/>
                <w:lang w:val="en-GB"/>
              </w:rPr>
              <w:t>Increase of muscle mass</w:t>
            </w:r>
          </w:p>
        </w:tc>
        <w:tc>
          <w:tcPr>
            <w:tcW w:w="4530" w:type="dxa"/>
          </w:tcPr>
          <w:p w14:paraId="2C17DE8E" w14:textId="77777777" w:rsidR="00544D37" w:rsidRDefault="00544D37" w:rsidP="002D019B">
            <w:pPr>
              <w:rPr>
                <w:rFonts w:ascii="Palatino Linotype" w:hAnsi="Palatino Linotype"/>
                <w:color w:val="000000" w:themeColor="text1"/>
                <w:lang w:val="en-GB"/>
              </w:rPr>
            </w:pPr>
            <w:r>
              <w:rPr>
                <w:rFonts w:ascii="Palatino Linotype" w:hAnsi="Palatino Linotype"/>
                <w:color w:val="000000" w:themeColor="text1"/>
                <w:lang w:val="en-GB"/>
              </w:rPr>
              <w:t>CT-scan</w:t>
            </w:r>
          </w:p>
          <w:p w14:paraId="2AC1A81B" w14:textId="77777777" w:rsidR="00544D37" w:rsidRDefault="00544D37" w:rsidP="002D019B">
            <w:pPr>
              <w:rPr>
                <w:rFonts w:ascii="Palatino Linotype" w:hAnsi="Palatino Linotype"/>
                <w:color w:val="000000" w:themeColor="text1"/>
                <w:lang w:val="en-GB"/>
              </w:rPr>
            </w:pPr>
            <w:r>
              <w:rPr>
                <w:rFonts w:ascii="Palatino Linotype" w:hAnsi="Palatino Linotype"/>
                <w:color w:val="000000" w:themeColor="text1"/>
                <w:lang w:val="en-GB"/>
              </w:rPr>
              <w:t>MRI</w:t>
            </w:r>
          </w:p>
          <w:p w14:paraId="625AE853" w14:textId="77777777" w:rsidR="00544D37" w:rsidRDefault="00544D37" w:rsidP="002D019B">
            <w:pPr>
              <w:rPr>
                <w:rFonts w:ascii="Palatino Linotype" w:hAnsi="Palatino Linotype"/>
                <w:color w:val="000000" w:themeColor="text1"/>
                <w:lang w:val="en-GB"/>
              </w:rPr>
            </w:pPr>
            <w:r>
              <w:rPr>
                <w:rFonts w:ascii="Palatino Linotype" w:hAnsi="Palatino Linotype"/>
                <w:color w:val="000000" w:themeColor="text1"/>
                <w:lang w:val="en-GB"/>
              </w:rPr>
              <w:lastRenderedPageBreak/>
              <w:t>DXA</w:t>
            </w:r>
          </w:p>
          <w:p w14:paraId="548FB428" w14:textId="77777777" w:rsidR="00544D37" w:rsidRDefault="00544D37" w:rsidP="002D019B">
            <w:pPr>
              <w:rPr>
                <w:rFonts w:ascii="Palatino Linotype" w:hAnsi="Palatino Linotype"/>
                <w:color w:val="000000" w:themeColor="text1"/>
                <w:lang w:val="en-GB"/>
              </w:rPr>
            </w:pPr>
            <w:r>
              <w:rPr>
                <w:rFonts w:ascii="Palatino Linotype" w:hAnsi="Palatino Linotype"/>
                <w:color w:val="000000" w:themeColor="text1"/>
                <w:lang w:val="en-GB"/>
              </w:rPr>
              <w:t>Urinary D-3 creatine</w:t>
            </w:r>
          </w:p>
          <w:p w14:paraId="27FF53F9" w14:textId="77777777" w:rsidR="00544D37" w:rsidRPr="000B0571" w:rsidRDefault="00544D37" w:rsidP="002D019B">
            <w:pPr>
              <w:rPr>
                <w:rFonts w:ascii="Palatino Linotype" w:hAnsi="Palatino Linotype"/>
                <w:color w:val="000000" w:themeColor="text1"/>
                <w:lang w:val="en-GB"/>
              </w:rPr>
            </w:pPr>
            <w:r>
              <w:rPr>
                <w:rFonts w:ascii="Palatino Linotype" w:hAnsi="Palatino Linotype"/>
                <w:color w:val="000000" w:themeColor="text1"/>
                <w:lang w:val="en-GB"/>
              </w:rPr>
              <w:t>Muscle biopsy</w:t>
            </w:r>
          </w:p>
        </w:tc>
      </w:tr>
      <w:tr w:rsidR="00544D37" w:rsidRPr="000B0571" w14:paraId="4447D27D" w14:textId="77777777" w:rsidTr="002D019B">
        <w:tc>
          <w:tcPr>
            <w:tcW w:w="4530" w:type="dxa"/>
          </w:tcPr>
          <w:p w14:paraId="43526206" w14:textId="77777777" w:rsidR="00544D37" w:rsidRDefault="00544D37" w:rsidP="002D019B">
            <w:pPr>
              <w:rPr>
                <w:rFonts w:ascii="Palatino Linotype" w:hAnsi="Palatino Linotype"/>
                <w:b/>
                <w:bCs/>
                <w:color w:val="000000" w:themeColor="text1"/>
                <w:lang w:val="en-GB"/>
              </w:rPr>
            </w:pPr>
            <w:r>
              <w:rPr>
                <w:rFonts w:ascii="Palatino Linotype" w:hAnsi="Palatino Linotype"/>
                <w:b/>
                <w:bCs/>
                <w:color w:val="000000" w:themeColor="text1"/>
                <w:lang w:val="en-GB"/>
              </w:rPr>
              <w:lastRenderedPageBreak/>
              <w:t>Improvement of muscle quality*</w:t>
            </w:r>
          </w:p>
        </w:tc>
        <w:tc>
          <w:tcPr>
            <w:tcW w:w="4530" w:type="dxa"/>
          </w:tcPr>
          <w:p w14:paraId="4A875154" w14:textId="77777777" w:rsidR="00544D37" w:rsidRDefault="00544D37" w:rsidP="002D019B">
            <w:pPr>
              <w:rPr>
                <w:rFonts w:ascii="Palatino Linotype" w:hAnsi="Palatino Linotype"/>
                <w:color w:val="000000" w:themeColor="text1"/>
                <w:lang w:val="en-GB"/>
              </w:rPr>
            </w:pPr>
            <w:r>
              <w:rPr>
                <w:rFonts w:ascii="Palatino Linotype" w:hAnsi="Palatino Linotype"/>
                <w:color w:val="000000" w:themeColor="text1"/>
                <w:lang w:val="en-GB"/>
              </w:rPr>
              <w:t>CT-scan</w:t>
            </w:r>
          </w:p>
        </w:tc>
      </w:tr>
      <w:tr w:rsidR="00544D37" w:rsidRPr="000B0571" w14:paraId="6763B0AF" w14:textId="77777777" w:rsidTr="002D019B">
        <w:tc>
          <w:tcPr>
            <w:tcW w:w="4530" w:type="dxa"/>
          </w:tcPr>
          <w:p w14:paraId="1262F07C" w14:textId="77777777" w:rsidR="00544D37" w:rsidRPr="003E6325" w:rsidRDefault="00544D37" w:rsidP="002D019B">
            <w:pPr>
              <w:rPr>
                <w:rFonts w:ascii="Palatino Linotype" w:hAnsi="Palatino Linotype"/>
                <w:bCs/>
                <w:color w:val="000000" w:themeColor="text1"/>
                <w:lang w:val="en-GB"/>
              </w:rPr>
            </w:pPr>
          </w:p>
        </w:tc>
        <w:tc>
          <w:tcPr>
            <w:tcW w:w="4530" w:type="dxa"/>
          </w:tcPr>
          <w:p w14:paraId="78B08E2C" w14:textId="77777777" w:rsidR="00544D37" w:rsidRDefault="00544D37" w:rsidP="002D019B">
            <w:pPr>
              <w:rPr>
                <w:rFonts w:ascii="Palatino Linotype" w:hAnsi="Palatino Linotype"/>
                <w:color w:val="000000" w:themeColor="text1"/>
                <w:lang w:val="en-GB"/>
              </w:rPr>
            </w:pPr>
            <w:r>
              <w:rPr>
                <w:rFonts w:ascii="Palatino Linotype" w:hAnsi="Palatino Linotype"/>
                <w:color w:val="000000" w:themeColor="text1"/>
                <w:lang w:val="en-GB"/>
              </w:rPr>
              <w:t>MRI</w:t>
            </w:r>
          </w:p>
          <w:p w14:paraId="284B38FA" w14:textId="77777777" w:rsidR="00544D37" w:rsidRDefault="00544D37" w:rsidP="002D019B">
            <w:pPr>
              <w:rPr>
                <w:rFonts w:ascii="Palatino Linotype" w:hAnsi="Palatino Linotype"/>
                <w:color w:val="000000" w:themeColor="text1"/>
                <w:lang w:val="en-GB"/>
              </w:rPr>
            </w:pPr>
            <w:r>
              <w:rPr>
                <w:rFonts w:ascii="Palatino Linotype" w:hAnsi="Palatino Linotype"/>
                <w:color w:val="000000" w:themeColor="text1"/>
                <w:lang w:val="en-GB"/>
              </w:rPr>
              <w:t>MRS</w:t>
            </w:r>
          </w:p>
          <w:p w14:paraId="68D5A68F" w14:textId="77777777" w:rsidR="00544D37" w:rsidRDefault="00544D37" w:rsidP="002D019B">
            <w:pPr>
              <w:rPr>
                <w:rFonts w:ascii="Palatino Linotype" w:hAnsi="Palatino Linotype"/>
                <w:color w:val="000000" w:themeColor="text1"/>
                <w:lang w:val="en-GB"/>
              </w:rPr>
            </w:pPr>
            <w:r>
              <w:rPr>
                <w:rFonts w:ascii="Palatino Linotype" w:hAnsi="Palatino Linotype"/>
                <w:color w:val="000000" w:themeColor="text1"/>
                <w:lang w:val="en-GB"/>
              </w:rPr>
              <w:t>Muscle biopsy</w:t>
            </w:r>
          </w:p>
        </w:tc>
      </w:tr>
      <w:tr w:rsidR="00544D37" w:rsidRPr="000B0571" w14:paraId="35A77157" w14:textId="77777777" w:rsidTr="002D019B">
        <w:tc>
          <w:tcPr>
            <w:tcW w:w="4530" w:type="dxa"/>
          </w:tcPr>
          <w:p w14:paraId="767E29A0" w14:textId="77777777" w:rsidR="00544D37" w:rsidRDefault="00544D37" w:rsidP="002D019B">
            <w:pPr>
              <w:rPr>
                <w:rFonts w:ascii="Palatino Linotype" w:hAnsi="Palatino Linotype"/>
                <w:b/>
                <w:bCs/>
                <w:color w:val="000000" w:themeColor="text1"/>
                <w:lang w:val="en-GB"/>
              </w:rPr>
            </w:pPr>
            <w:r>
              <w:rPr>
                <w:rFonts w:ascii="Palatino Linotype" w:hAnsi="Palatino Linotype"/>
                <w:b/>
                <w:bCs/>
                <w:color w:val="000000" w:themeColor="text1"/>
                <w:lang w:val="en-GB"/>
              </w:rPr>
              <w:t>Muscle metabolism</w:t>
            </w:r>
          </w:p>
        </w:tc>
        <w:tc>
          <w:tcPr>
            <w:tcW w:w="4530" w:type="dxa"/>
          </w:tcPr>
          <w:p w14:paraId="610FC939" w14:textId="77777777" w:rsidR="00544D37" w:rsidRDefault="00544D37" w:rsidP="002D019B">
            <w:pPr>
              <w:rPr>
                <w:rFonts w:ascii="Palatino Linotype" w:hAnsi="Palatino Linotype"/>
                <w:color w:val="000000" w:themeColor="text1"/>
                <w:lang w:val="en-GB"/>
              </w:rPr>
            </w:pPr>
            <w:r>
              <w:rPr>
                <w:rFonts w:ascii="Palatino Linotype" w:hAnsi="Palatino Linotype"/>
                <w:color w:val="000000" w:themeColor="text1"/>
                <w:lang w:val="en-GB"/>
              </w:rPr>
              <w:t>Biomarkers of muscle metabolism</w:t>
            </w:r>
          </w:p>
        </w:tc>
      </w:tr>
      <w:tr w:rsidR="00544D37" w:rsidRPr="007274EE" w14:paraId="124C4080" w14:textId="77777777" w:rsidTr="002D019B">
        <w:tc>
          <w:tcPr>
            <w:tcW w:w="4530" w:type="dxa"/>
            <w:tcBorders>
              <w:bottom w:val="single" w:sz="4" w:space="0" w:color="auto"/>
            </w:tcBorders>
          </w:tcPr>
          <w:p w14:paraId="73B3E414" w14:textId="77777777" w:rsidR="00544D37" w:rsidRDefault="00544D37" w:rsidP="002D019B">
            <w:pPr>
              <w:rPr>
                <w:rFonts w:ascii="Palatino Linotype" w:hAnsi="Palatino Linotype"/>
                <w:b/>
                <w:bCs/>
                <w:color w:val="000000" w:themeColor="text1"/>
                <w:lang w:val="en-GB"/>
              </w:rPr>
            </w:pPr>
            <w:r>
              <w:rPr>
                <w:rFonts w:ascii="Palatino Linotype" w:hAnsi="Palatino Linotype"/>
                <w:b/>
                <w:bCs/>
                <w:color w:val="000000" w:themeColor="text1"/>
                <w:lang w:val="en-GB"/>
              </w:rPr>
              <w:t>Muscle-bone interaction</w:t>
            </w:r>
          </w:p>
        </w:tc>
        <w:tc>
          <w:tcPr>
            <w:tcW w:w="4530" w:type="dxa"/>
            <w:tcBorders>
              <w:bottom w:val="single" w:sz="4" w:space="0" w:color="auto"/>
            </w:tcBorders>
          </w:tcPr>
          <w:p w14:paraId="5741CC6C" w14:textId="45D808D2" w:rsidR="00544D37" w:rsidRDefault="00544D37" w:rsidP="002D019B">
            <w:pPr>
              <w:rPr>
                <w:rFonts w:ascii="Palatino Linotype" w:hAnsi="Palatino Linotype"/>
                <w:color w:val="000000" w:themeColor="text1"/>
                <w:lang w:val="en-GB"/>
              </w:rPr>
            </w:pPr>
            <w:r>
              <w:rPr>
                <w:rFonts w:ascii="Palatino Linotype" w:hAnsi="Palatino Linotype"/>
                <w:color w:val="000000" w:themeColor="text1"/>
                <w:lang w:val="en-GB"/>
              </w:rPr>
              <w:t>Biomarkers of muscle-bone interaction</w:t>
            </w:r>
            <w:r w:rsidR="007B349A">
              <w:rPr>
                <w:rFonts w:ascii="Palatino Linotype" w:hAnsi="Palatino Linotype"/>
                <w:color w:val="000000" w:themeColor="text1"/>
                <w:lang w:val="en-GB"/>
              </w:rPr>
              <w:t xml:space="preserve"> </w:t>
            </w:r>
            <w:r w:rsidR="007B349A" w:rsidRPr="009D3AAF">
              <w:rPr>
                <w:rFonts w:ascii="Palatino Linotype" w:hAnsi="Palatino Linotype"/>
                <w:color w:val="000000" w:themeColor="text1"/>
                <w:highlight w:val="yellow"/>
                <w:lang w:val="en-GB"/>
              </w:rPr>
              <w:t>(e.g. Myostatin, Activin A, amino terminal of type III procollagen peptide (P3NP), insulin-like growth factor-1 (IGF-1)</w:t>
            </w:r>
            <w:r w:rsidR="009D3AAF" w:rsidRPr="009D3AAF">
              <w:rPr>
                <w:rFonts w:ascii="Palatino Linotype" w:hAnsi="Palatino Linotype"/>
                <w:color w:val="000000" w:themeColor="text1"/>
                <w:highlight w:val="yellow"/>
                <w:lang w:val="en-GB"/>
              </w:rPr>
              <w:fldChar w:fldCharType="begin" w:fldLock="1"/>
            </w:r>
            <w:r w:rsidR="009D3AAF" w:rsidRPr="009D3AAF">
              <w:rPr>
                <w:rFonts w:ascii="Palatino Linotype" w:hAnsi="Palatino Linotype"/>
                <w:color w:val="000000" w:themeColor="text1"/>
                <w:highlight w:val="yellow"/>
                <w:lang w:val="en-GB"/>
              </w:rPr>
              <w:instrText>ADDIN CSL_CITATION {"citationItems":[{"id":"ITEM-1","itemData":{"DOI":"10.1053/j.jrn.2018.11.010","ISSN":"1532-8503","PMID":"30686748","abstract":"OBJECTIVE Muscle strength is frequently altered in hemodialysis patients. In the present work, five potential muscle biomarkers have been studied in their ability to assess muscular strength, muscular mass and to predict mortality of hemodialysis patients: activin-A, procollagen III N-terminal peptide, follistatin, myostatin and insulin-like growth factor-1 (IGF-1). DESIGN AND METHODS Three independent cohorts of prevalent hemodialysis patients (2 from Liège, Belgium and 1 from Marseille, France) were considered in this observational prospective study. The biomarkers were first measured in the Liege1 cohort. Two of them, myostatin and IGF-1, were then assessed in the whole population of patients (Liege1, Liege2 and Marseille). Muscle strength was assessed with handgrip strength (HGS) and muscle mass with bioimpedance analysis. One-year mortality predictive value of biomarkers was also studied in the Liège1 and Marseille cohorts. RESULTS In the Liège1 cohort (n=67), HGS was only associated with concentrations of myostatin and IGF-1. These associations were confirmed in the whole population of 204 patients (r=0.37, P&lt;0.001 and r=0.46, P&lt;0.001, respectively) and remained significant (P&lt;0.05) in multivariable models. The association between muscle mass and concentrations of myostatin and IGF-1were also significant. The ability of myostatin, IGF-1 and serum creatinine to detect a low HGS compared by Receiver Operating Characteristic curves analysis were not significantly different. Both myostatin and IGF-1 had a significant and comparable area under the curve to predict one-year mortality: 0.73 (95% CI: 0.64 to 0.83) and 0.72 (95% CI: 0.61 to 0.82), respectively. CONCLUSION Our results suggest that myostatin and IGF-1 are two biomarkers of interest to assess muscle status of dialysis patients. Both biomarkers are associated with HGS, muscular mass, and one-year mortality.","author":[{"dropping-particle":"","family":"Delanaye","given":"Pierre","non-dropping-particle":"","parse-names":false,"suffix":""},{"dropping-particle":"","family":"Bataille","given":"Stanislas","non-dropping-particle":"","parse-names":false,"suffix":""},{"dropping-particle":"","family":"Quinonez","given":"Kevin","non-dropping-particle":"","parse-names":false,"suffix":""},{"dropping-particle":"","family":"Buckinx","given":"Fanny","non-dropping-particle":"","parse-names":false,"suffix":""},{"dropping-particle":"","family":"Warling","given":"Xavier","non-dropping-particle":"","parse-names":false,"suffix":""},{"dropping-particle":"","family":"Krzesinski","given":"Jean-Marie","non-dropping-particle":"","parse-names":false,"suffix":""},{"dropping-particle":"","family":"Pottel","given":"Hans","non-dropping-particle":"","parse-names":false,"suffix":""},{"dropping-particle":"","family":"Burtey","given":"Stéphane","non-dropping-particle":"","parse-names":false,"suffix":""},{"dropping-particle":"","family":"Bruyère","given":"Olivier","non-dropping-particle":"","parse-names":false,"suffix":""},{"dropping-particle":"","family":"Cavalier","given":"Etienne","non-dropping-particle":"","parse-names":false,"suffix":""}],"container-title":"Journal of renal nutrition : the official journal of the Council on Renal Nutrition of the National Kidney Foundation","id":"ITEM-1","issue":"6","issued":{"date-parts":[["2019"]]},"page":"511-520","publisher":"J Ren Nutr","title":"Myostatin and Insulin-Like Growth Factor 1 Are Biomarkers of Muscle Strength, Muscle Mass, and Mortality in Patients on Hemodialysis.","type":"article-journal","volume":"29"},"uris":["http://www.mendeley.com/documents/?uuid=bf0952f5-41ed-369e-9583-ef90bf104de2"]},{"id":"ITEM-2","itemData":{"DOI":"10.1186/s12877-016-0349-4","ISSN":"1471-2318","PMID":"27716195","abstract":"BACKGROUND Sarcopenia is increasingly recognized as a correlate of ageing and is associated with increased likelihood of adverse outcomes including falls, fractures, frailty and mortality. Several tools have been recommended to assess muscle mass, muscle strength and physical performance in clinical trials. Whilst these tools have proven to be accurate and reliable in investigational settings, many are not easily applied to daily practice. METHODS This paper is based on literature reviews performed by members of the European Society for Clinical and Economic Aspects of Osteoporosis and Osteoarthritis (ESCEO) working group on frailty and sarcopenia. Face-to-face meetings were afterwards organized for the whole group to make amendments and discuss further recommendations. RESULTS This paper proposes some user-friendly and inexpensive methods that can be used to assess sarcopenia in real-life settings. Healthcare providers, particularly in primary care, should consider an assessment of sarcopenia in individuals at increased risk; suggested tools for assessing risk include the Red Flag Method, the SARC-F questionnaire, the SMI method or different prediction equations. Management of sarcopenia should primarily be patient centered and involve the combination of both resistance and endurance based activity programmes with or without dietary interventions. Development of a number of pharmacological interventions is also in progress. CONCLUSIONS Assessment of sarcopenia in individuals with risk factors, symptoms and/or conditions exposing them to the risk of disability will become particularly important in the near future.","author":[{"dropping-particle":"","family":"Beaudart","given":"Charlotte","non-dropping-particle":"","parse-names":false,"suffix":""},{"dropping-particle":"","family":"McCloskey","given":"Eugène","non-dropping-particle":"","parse-names":false,"suffix":""},{"dropping-particle":"","family":"Bruyère","given":"Olivier","non-dropping-particle":"","parse-names":false,"suffix":""},{"dropping-particle":"","family":"Cesari","given":"Matteo","non-dropping-particle":"","parse-names":false,"suffix":""},{"dropping-particle":"","family":"Rolland","given":"Yves","non-dropping-particle":"","parse-names":false,"suffix":""},{"dropping-particle":"","family":"Rizzoli","given":"René","non-dropping-particle":"","parse-names":false,"suffix":""},{"dropping-particle":"","family":"Araujo de Carvalho","given":"Islène","non-dropping-particle":"","parse-names":false,"suffix":""},{"dropping-particle":"","family":"Amuthavalli Thiyagarajan","given":"Jotheeswaran","non-dropping-particle":"","parse-names":false,"suffix":""},{"dropping-particle":"","family":"Bautmans","given":"Ivan","non-dropping-particle":"","parse-names":false,"suffix":""},{"dropping-particle":"","family":"Bertière","given":"Marie-Claude Claude","non-dropping-particle":"","parse-names":false,"suffix":""},{"dropping-particle":"","family":"Brandi","given":"Maria Luisa","non-dropping-particle":"","parse-names":false,"suffix":""},{"dropping-particle":"","family":"Al-Daghri","given":"Nasser M.","non-dropping-particle":"","parse-names":false,"suffix":""},{"dropping-particle":"","family":"Burlet","given":"Nansa","non-dropping-particle":"","parse-names":false,"suffix":""},{"dropping-particle":"","family":"Cavalier","given":"Etienne","non-dropping-particle":"","parse-names":false,"suffix":""},{"dropping-particle":"","family":"Cerreta","given":"Francesca","non-dropping-particle":"","parse-names":false,"suffix":""},{"dropping-particle":"","family":"Cherubini","given":"Antonio","non-dropping-particle":"","parse-names":false,"suffix":""},{"dropping-particle":"","family":"Fielding","given":"Roger RA","non-dropping-particle":"","parse-names":false,"suffix":""},{"dropping-particle":"","family":"Gielen","given":"Evelien","non-dropping-particle":"","parse-names":false,"suffix":""},{"dropping-particle":"","family":"Landi","given":"Francesco","non-dropping-particle":"","parse-names":false,"suffix":""},{"dropping-particle":"","family":"Petermans","given":"Jean","non-dropping-particle":"","parse-names":false,"suffix":""},{"dropping-particle":"","family":"Reginster","given":"Jean-Yves Yves J-Y JY Yves","non-dropping-particle":"","parse-names":false,"suffix":""},{"dropping-particle":"","family":"Visser","given":"Marjolein","non-dropping-particle":"","parse-names":false,"suffix":""},{"dropping-particle":"","family":"Kanis","given":"John","non-dropping-particle":"","parse-names":false,"suffix":""},{"dropping-particle":"","family":"Cooper","given":"Cyrus","non-dropping-particle":"","parse-names":false,"suffix":""},{"dropping-particle":"","family":"Thiyagarajan","given":"Jotheeswaran Amuthavalli","non-dropping-particle":"","parse-names":false,"suffix":""},{"dropping-particle":"","family":"Bautmans","given":"Ivan","non-dropping-particle":"","parse-names":false,"suffix":""},{"dropping-particle":"","family":"Bertière","given":"Marie-Claude Claude","non-dropping-particle":"","parse-names":false,"suffix":""},{"dropping-particle":"","family":"Brandi","given":"Maria Luisa","non-dropping-particle":"","parse-names":false,"suffix":""},{"dropping-particle":"","family":"Al-Daghri","given":"Nasser M.","non-dropping-particle":"","parse-names":false,"suffix":""},{"dropping-particle":"","family":"Burlet","given":"Nansa","non-dropping-particle":"","parse-names":false,"suffix":""},{"dropping-particle":"","family":"Cavalier","given":"Etienne","non-dropping-particle":"","parse-names":false,"suffix":""},{"dropping-particle":"","family":"Cerreta","given":"Francesca","non-dropping-particle":"","parse-names":false,"suffix":""},{"dropping-particle":"","family":"Cherubini","given":"Antonio","non-dropping-particle":"","parse-names":false,"suffix":""},{"dropping-particle":"","family":"Fielding","given":"Roger RA","non-dropping-particle":"","parse-names":false,"suffix":""},{"dropping-particle":"","family":"Gielen","given":"Evelien","non-dropping-particle":"","parse-names":false,"suffix":""},{"dropping-particle":"","family":"Landi","given":"Francesco","non-dropping-particle":"","parse-names":false,"suffix":""},{"dropping-particle":"","family":"Petermans","given":"Jean","non-dropping-particle":"","parse-names":false,"suffix":""},{"dropping-particle":"","family":"Reginster","given":"Jean-Yves Yves J-Y JY Yves","non-dropping-particle":"","parse-names":false,"suffix":""},{"dropping-particle":"","family":"Visser","given":"Marjolein","non-dropping-particle":"","parse-names":false,"suffix":""},{"dropping-particle":"","family":"Kanis","given":"John","non-dropping-particle":"","parse-names":false,"suffix":""},{"dropping-particle":"","family":"Cooper","given":"Cyrus","non-dropping-particle":"","parse-names":false,"suffix":""},{"dropping-particle":"","family":"Amuthavalli Thiyagarajan","given":"Jotheeswaran","non-dropping-particle":"","parse-names":false,"suffix":""},{"dropping-particle":"","family":"Bautmans","given":"Ivan","non-dropping-particle":"","parse-names":false,"suffix":""},{"dropping-particle":"","family":"Bertière","given":"Marie-Claude Claude","non-dropping-particle":"","parse-names":false,"suffix":""},{"dropping-particle":"","family":"Brandi","given":"Maria Luisa","non-dropping-particle":"","parse-names":false,"suffix":""},{"dropping-particle":"","family":"Al-Daghri","given":"Nasser M.","non-dropping-particle":"","parse-names":false,"suffix":""},{"dropping-particle":"","family":"Burlet","given":"Nansa","non-dropping-particle":"","parse-names":false,"suffix":""},{"dropping-particle":"","family":"Cavalier","given":"Etienne","non-dropping-particle":"","parse-names":false,"suffix":""},{"dropping-particle":"","family":"Cerreta","given":"Francesca","non-dropping-particle":"","parse-names":false,"suffix":""},{"dropping-particle":"","family":"Cherubini","given":"Antonio","non-dropping-particle":"","parse-names":false,"suffix":""},{"dropping-particle":"","family":"Fielding","given":"Roger RA","non-dropping-particle":"","parse-names":false,"suffix":""},{"dropping-particle":"","family":"Gielen","given":"Evelien","non-dropping-particle":"","parse-names":false,"suffix":""},{"dropping-particle":"","family":"Landi","given":"Francesco","non-dropping-particle":"","parse-names":false,"suffix":""},{"dropping-particle":"","family":"Petermans","given":"Jean","non-dropping-particle":"","parse-names":false,"suffix":""},{"dropping-particle":"","family":"Reginster","given":"Jean-Yves Yves J-Y JY Yves","non-dropping-particle":"","parse-names":false,"suffix":""},{"dropping-particle":"","family":"Visser","given":"Marjolein","non-dropping-particle":"","parse-names":false,"suffix":""},{"dropping-particle":"","family":"Kanis","given":"John","non-dropping-particle":"","parse-names":false,"suffix":""},{"dropping-particle":"","family":"Cooper","given":"Cyrus","non-dropping-particle":"","parse-names":false,"suffix":""},{"dropping-particle":"","family":"Rosenberg","given":"IH","non-dropping-particle":"","parse-names":false,"suffix":""},{"dropping-particle":"","family":"Muscaritoli","given":"M","non-dropping-particle":"","parse-names":false,"suffix":""},{"dropping-particle":"","family":"Cruz-Jentoft","given":"AJ","non-dropping-particle":"","parse-names":false,"suffix":""},{"dropping-particle":"","family":"Fielding","given":"Roger RA","non-dropping-particle":"","parse-names":false,"suffix":""},{"dropping-particle":"","family":"Dam","given":"T-T","non-dropping-particle":"","parse-names":false,"suffix":""},{"dropping-particle":"","family":"Morley","given":"JE","non-dropping-particle":"","parse-names":false,"suffix":""},{"dropping-particle":"","family":"Studenski","given":"SA","non-dropping-particle":"","parse-names":false,"suffix":""},{"dropping-particle":"","family":"Baumgartner","given":"RN","non-dropping-particle":"","parse-names":false,"suffix":""},{"dropping-particle":"","family":"Cooper","given":"Cyrus","non-dropping-particle":"","parse-names":false,"suffix":""},{"dropping-particle":"","family":"Chen","given":"L-K","non-dropping-particle":"","parse-names":false,"suffix":""},{"dropping-particle":"","family":"Bischoff-Ferrari","given":"HA","non-dropping-particle":"","parse-names":false,"suffix":""},{"dropping-particle":"","family":"Beaudart","given":"Charlotte","non-dropping-particle":"","parse-names":false,"suffix":""},{"dropping-particle":"","family":"Rizzoli","given":"René","non-dropping-particle":"","parse-names":false,"suffix":""},{"dropping-particle":"","family":"Bruyere","given":"O","non-dropping-particle":"","parse-names":false,"suffix":""},{"dropping-particle":"","family":"Reginster","given":"Jean-Yves Yves J-Y JY Yves","non-dropping-particle":"","parse-names":false,"suffix":""},{"dropping-particle":"","family":"Biver","given":"E","non-dropping-particle":"","parse-names":false,"suffix":""},{"dropping-particle":"","family":"Rizzoli","given":"René","non-dropping-particle":"","parse-names":false,"suffix":""},{"dropping-particle":"","family":"Lauretani","given":"F","non-dropping-particle":"","parse-names":false,"suffix":""},{"dropping-particle":"","family":"Visser","given":"Marjolein","non-dropping-particle":"","parse-names":false,"suffix":""},{"dropping-particle":"","family":"Schaap","given":"LA","non-dropping-particle":"","parse-names":false,"suffix":""},{"dropping-particle":"","family":"Lang","given":"T","non-dropping-particle":"","parse-names":false,"suffix":""},{"dropping-particle":"","family":"Landi","given":"Francesco","non-dropping-particle":"","parse-names":false,"suffix":""},{"dropping-particle":"","family":"Landi","given":"Francesco","non-dropping-particle":"","parse-names":false,"suffix":""},{"dropping-particle":"","family":"Denison","given":"HJ","non-dropping-particle":"","parse-names":false,"suffix":""},{"dropping-particle":"","family":"Cooper","given":"Cyrus","non-dropping-particle":"","parse-names":false,"suffix":""},{"dropping-particle":"","family":"Sayer","given":"AA","non-dropping-particle":"","parse-names":false,"suffix":""},{"dropping-particle":"","family":"Robinson","given":"SM","non-dropping-particle":"","parse-names":false,"suffix":""},{"dropping-particle":"","family":"Molfino","given":"A","non-dropping-particle":"","parse-names":false,"suffix":""},{"dropping-particle":"","family":"Gioia","given":"G","non-dropping-particle":"","parse-names":false,"suffix":""},{"dropping-particle":"","family":"Fanelli","given":"F Rossi","non-dropping-particle":"","parse-names":false,"suffix":""},{"dropping-particle":"","family":"Muscaritoli","given":"M","non-dropping-particle":"","parse-names":false,"suffix":""},{"dropping-particle":"","family":"Devries","given":"MC","non-dropping-particle":"","parse-names":false,"suffix":""},{"dropping-particle":"","family":"Phillips","given":"SM","non-dropping-particle":"","parse-names":false,"suffix":""},{"dropping-particle":"","family":"Cooper","given":"Cyrus","non-dropping-particle":"","parse-names":false,"suffix":""},{"dropping-particle":"","family":"Mijnarends","given":"DM","non-dropping-particle":"","parse-names":false,"suffix":""},{"dropping-particle":"","family":"Hiligsmann","given":"M","non-dropping-particle":"","parse-names":false,"suffix":""},{"dropping-particle":"","family":"Rizzoli","given":"René","non-dropping-particle":"","parse-names":false,"suffix":""},{"dropping-particle":"","family":"Bruyère","given":"Olivier","non-dropping-particle":"","parse-names":false,"suffix":""},{"dropping-particle":"","family":"Rizzoli","given":"René","non-dropping-particle":"","parse-names":false,"suffix":""},{"dropping-particle":"","family":"Arden","given":"N","non-dropping-particle":"","parse-names":false,"suffix":""},{"dropping-particle":"","family":"Cooper","given":"Cyrus","non-dropping-particle":"","parse-names":false,"suffix":""},{"dropping-particle":"","family":"Rizzoli","given":"René","non-dropping-particle":"","parse-names":false,"suffix":""},{"dropping-particle":"","family":"Kaufman","given":"J-M","non-dropping-particle":"","parse-names":false,"suffix":""},{"dropping-particle":"","family":"Rizzoli","given":"René","non-dropping-particle":"","parse-names":false,"suffix":""},{"dropping-particle":"","family":"Reginster","given":"Jean-Yves Yves J-Y JY Yves","non-dropping-particle":"","parse-names":false,"suffix":""},{"dropping-particle":"","family":"Reginster","given":"Jean-Yves Yves J-Y JY Yves","non-dropping-particle":"","parse-names":false,"suffix":""},{"dropping-particle":"","family":"Hunter","given":"S","non-dropping-particle":"","parse-names":false,"suffix":""},{"dropping-particle":"","family":"White","given":"M","non-dropping-particle":"","parse-names":false,"suffix":""},{"dropping-particle":"","family":"Thompson","given":"M","non-dropping-particle":"","parse-names":false,"suffix":""},{"dropping-particle":"","family":"Beaudart","given":"Charlotte","non-dropping-particle":"","parse-names":false,"suffix":""},{"dropping-particle":"","family":"Cavalier","given":"Etienne","non-dropping-particle":"","parse-names":false,"suffix":""},{"dropping-particle":"","family":"Beaudart","given":"Charlotte","non-dropping-particle":"","parse-names":false,"suffix":""},{"dropping-particle":"","family":"Buckinx","given":"F","non-dropping-particle":"","parse-names":false,"suffix":""},{"dropping-particle":"","family":"Bruyère","given":"Olivier","non-dropping-particle":"","parse-names":false,"suffix":""},{"dropping-particle":"","family":"Reginster","given":"Jean-Yves Yves J-Y JY Yves","non-dropping-particle":"","parse-names":false,"suffix":""},{"dropping-particle":"","family":"Mitsiopoulos","given":"N","non-dropping-particle":"","parse-names":false,"suffix":""},{"dropping-particle":"","family":"Levine","given":"JA","non-dropping-particle":"","parse-names":false,"suffix":""},{"dropping-particle":"","family":"Visser","given":"Marjolein","non-dropping-particle":"","parse-names":false,"suffix":""},{"dropping-particle":"","family":"Fuerst","given":"T","non-dropping-particle":"","parse-names":false,"suffix":""},{"dropping-particle":"","family":"Lang","given":"T","non-dropping-particle":"","parse-names":false,"suffix":""},{"dropping-particle":"","family":"Salamone","given":"L","non-dropping-particle":"","parse-names":false,"suffix":""},{"dropping-particle":"","family":"Harris","given":"TB","non-dropping-particle":"","parse-names":false,"suffix":""},{"dropping-particle":"","family":"Janssen","given":"I","non-dropping-particle":"","parse-names":false,"suffix":""},{"dropping-particle":"","family":"Heymsfield","given":"SB","non-dropping-particle":"","parse-names":false,"suffix":""},{"dropping-particle":"","family":"Ross","given":"R","non-dropping-particle":"","parse-names":false,"suffix":""},{"dropping-particle":"","family":"Rush","given":"EC","non-dropping-particle":"","parse-names":false,"suffix":""},{"dropping-particle":"","family":"Freitas","given":"I","non-dropping-particle":"","parse-names":false,"suffix":""},{"dropping-particle":"","family":"Plank","given":"LD","non-dropping-particle":"","parse-names":false,"suffix":""},{"dropping-particle":"","family":"Bruyère","given":"Olivier","non-dropping-particle":"","parse-names":false,"suffix":""},{"dropping-particle":"","family":"Landi","given":"Francesco","non-dropping-particle":"","parse-names":false,"suffix":""},{"dropping-particle":"","family":"Landi","given":"Francesco","non-dropping-particle":"","parse-names":false,"suffix":""},{"dropping-particle":"","family":"Rolland","given":"Yves","non-dropping-particle":"","parse-names":false,"suffix":""},{"dropping-particle":"","family":"Heymsfield","given":"SB","non-dropping-particle":"","parse-names":false,"suffix":""},{"dropping-particle":"","family":"McManus","given":"C","non-dropping-particle":"","parse-names":false,"suffix":""},{"dropping-particle":"","family":"Smith","given":"J","non-dropping-particle":"","parse-names":false,"suffix":""},{"dropping-particle":"","family":"Stevens","given":"V","non-dropping-particle":"","parse-names":false,"suffix":""},{"dropping-particle":"","family":"Nixon","given":"DW","non-dropping-particle":"","parse-names":false,"suffix":""},{"dropping-particle":"","family":"Kulkarni","given":"B","non-dropping-particle":"","parse-names":false,"suffix":""},{"dropping-particle":"","family":"Yu","given":"S","non-dropping-particle":"","parse-names":false,"suffix":""},{"dropping-particle":"","family":"Villani","given":"AM","non-dropping-particle":"","parse-names":false,"suffix":""},{"dropping-particle":"","family":"Reiss","given":"J","non-dropping-particle":"","parse-names":false,"suffix":""},{"dropping-particle":"","family":"Kim","given":"M","non-dropping-particle":"","parse-names":false,"suffix":""},{"dropping-particle":"","family":"Kim","given":"H","non-dropping-particle":"","parse-names":false,"suffix":""},{"dropping-particle":"","family":"Kim","given":"M","non-dropping-particle":"","parse-names":false,"suffix":""},{"dropping-particle":"","family":"Shinkai","given":"S","non-dropping-particle":"","parse-names":false,"suffix":""},{"dropping-particle":"","family":"Murayama","given":"H","non-dropping-particle":"","parse-names":false,"suffix":""},{"dropping-particle":"","family":"Mori","given":"S","non-dropping-particle":"","parse-names":false,"suffix":""},{"dropping-particle":"","family":"Buckinx","given":"F","non-dropping-particle":"","parse-names":false,"suffix":""},{"dropping-particle":"","family":"Stevens","given":"PJ","non-dropping-particle":"","parse-names":false,"suffix":""},{"dropping-particle":"","family":"Bohannon","given":"RW","non-dropping-particle":"","parse-names":false,"suffix":""},{"dropping-particle":"","family":"Magasi","given":"SR","non-dropping-particle":"","parse-names":false,"suffix":""},{"dropping-particle":"","family":"Bubela","given":"DJ","non-dropping-particle":"","parse-names":false,"suffix":""},{"dropping-particle":"","family":"Wang","given":"Y-C","non-dropping-particle":"","parse-names":false,"suffix":""},{"dropping-particle":"","family":"Gershon","given":"RC","non-dropping-particle":"","parse-names":false,"suffix":""},{"dropping-particle":"","family":"Roberts","given":"HC","non-dropping-particle":"","parse-names":false,"suffix":""},{"dropping-particle":"","family":"Bean","given":"JF","non-dropping-particle":"","parse-names":false,"suffix":""},{"dropping-particle":"","family":"Dodds","given":"RM","non-dropping-particle":"","parse-names":false,"suffix":""},{"dropping-particle":"","family":"Anjum","given":"SN","non-dropping-particle":"","parse-names":false,"suffix":""},{"dropping-particle":"","family":"Choudary","given":"P","non-dropping-particle":"","parse-names":false,"suffix":""},{"dropping-particle":"","family":"Dimri","given":"R","non-dropping-particle":"","parse-names":false,"suffix":""},{"dropping-particle":"","family":"Ankarath","given":"S","non-dropping-particle":"","parse-names":false,"suffix":""},{"dropping-particle":"","family":"Brown","given":"M","non-dropping-particle":"","parse-names":false,"suffix":""},{"dropping-particle":"","family":"Sinacore","given":"DR","non-dropping-particle":"","parse-names":false,"suffix":""},{"dropping-particle":"","family":"Binder","given":"EF","non-dropping-particle":"","parse-names":false,"suffix":""},{"dropping-particle":"","family":"Kohrt","given":"WM","non-dropping-particle":"","parse-names":false,"suffix":""},{"dropping-particle":"","family":"Callahan","given":"D","non-dropping-particle":"","parse-names":false,"suffix":""},{"dropping-particle":"","family":"Phillips","given":"E","non-dropping-particle":"","parse-names":false,"suffix":""},{"dropping-particle":"","family":"Carabello","given":"R","non-dropping-particle":"","parse-names":false,"suffix":""},{"dropping-particle":"","family":"Frontera","given":"WR","non-dropping-particle":"","parse-names":false,"suffix":""},{"dropping-particle":"","family":"Fielding","given":"Roger RA","non-dropping-particle":"","parse-names":false,"suffix":""},{"dropping-particle":"","family":"Jones","given":"CJ","non-dropping-particle":"","parse-names":false,"suffix":""},{"dropping-particle":"","family":"Rikli","given":"RE","non-dropping-particle":"","parse-names":false,"suffix":""},{"dropping-particle":"","family":"Beam","given":"WC","non-dropping-particle":"","parse-names":false,"suffix":""},{"dropping-particle":"","family":"Karpman","given":"C","non-dropping-particle":"","parse-names":false,"suffix":""},{"dropping-particle":"","family":"Lebrasseur","given":"NK","non-dropping-particle":"","parse-names":false,"suffix":""},{"dropping-particle":"","family":"Depew","given":"ZS","non-dropping-particle":"","parse-names":false,"suffix":""},{"dropping-particle":"","family":"Novotny","given":"PJ","non-dropping-particle":"","parse-names":false,"suffix":""},{"dropping-particle":"","family":"Benzo","given":"RP","non-dropping-particle":"","parse-names":false,"suffix":""},{"dropping-particle":"","family":"Bean","given":"JF","non-dropping-particle":"","parse-names":false,"suffix":""},{"dropping-particle":"","family":"Kiely","given":"DK","non-dropping-particle":"","parse-names":false,"suffix":""},{"dropping-particle":"","family":"LaRose","given":"S","non-dropping-particle":"","parse-names":false,"suffix":""},{"dropping-particle":"","family":"Alian","given":"J","non-dropping-particle":"","parse-names":false,"suffix":""},{"dropping-particle":"","family":"Frontera","given":"WR","non-dropping-particle":"","parse-names":false,"suffix":""},{"dropping-particle":"","family":"Guigoz","given":"Y","non-dropping-particle":"","parse-names":false,"suffix":""},{"dropping-particle":"","family":"Vellas","given":"B","non-dropping-particle":"","parse-names":false,"suffix":""},{"dropping-particle":"","family":"Garry","given":"PJ","non-dropping-particle":"","parse-names":false,"suffix":""},{"dropping-particle":"","family":"Malmstrom","given":"TK","non-dropping-particle":"","parse-names":false,"suffix":""},{"dropping-particle":"","family":"Morley","given":"JE","non-dropping-particle":"","parse-names":false,"suffix":""},{"dropping-particle":"","family":"Woo","given":"J","non-dropping-particle":"","parse-names":false,"suffix":""},{"dropping-particle":"","family":"Leung","given":"J","non-dropping-particle":"","parse-names":false,"suffix":""},{"dropping-particle":"","family":"Morley","given":"JE","non-dropping-particle":"","parse-names":false,"suffix":""},{"dropping-particle":"","family":"Goodman","given":"MJ","non-dropping-particle":"","parse-names":false,"suffix":""},{"dropping-particle":"","family":"Visvanathan","given":"R","non-dropping-particle":"","parse-names":false,"suffix":""},{"dropping-particle":"","family":"Ishii","given":"S","non-dropping-particle":"","parse-names":false,"suffix":""},{"dropping-particle":"","family":"Sayer","given":"AA","non-dropping-particle":"","parse-names":false,"suffix":""},{"dropping-particle":"","family":"Reginster","given":"Jean-Yves Yves J-Y JY Yves","non-dropping-particle":"","parse-names":false,"suffix":""},{"dropping-particle":"","family":"Beaudart","given":"Charlotte","non-dropping-particle":"","parse-names":false,"suffix":""},{"dropping-particle":"","family":"Buckinx","given":"F","non-dropping-particle":"","parse-names":false,"suffix":""},{"dropping-particle":"","family":"Bruyère","given":"Olivier","non-dropping-particle":"","parse-names":false,"suffix":""},{"dropping-particle":"","family":"Kalyani","given":"RR","non-dropping-particle":"","parse-names":false,"suffix":""},{"dropping-particle":"","family":"Corriere","given":"M","non-dropping-particle":"","parse-names":false,"suffix":""},{"dropping-particle":"","family":"Ferrucci","given":"L","non-dropping-particle":"","parse-names":false,"suffix":""},{"dropping-particle":"","family":"Peterson","given":"MD","non-dropping-particle":"","parse-names":false,"suffix":""},{"dropping-particle":"","family":"Sen","given":"A","non-dropping-particle":"","parse-names":false,"suffix":""},{"dropping-particle":"","family":"Gordon","given":"PM","non-dropping-particle":"","parse-names":false,"suffix":""},{"dropping-particle":"","family":"Sahni","given":"S","non-dropping-particle":"","parse-names":false,"suffix":""},{"dropping-particle":"","family":"Mangano","given":"KM","non-dropping-particle":"","parse-names":false,"suffix":""},{"dropping-particle":"","family":"Hannan","given":"MT","non-dropping-particle":"","parse-names":false,"suffix":""},{"dropping-particle":"","family":"Kiel","given":"DP","non-dropping-particle":"","parse-names":false,"suffix":""},{"dropping-particle":"","family":"McLean","given":"RR","non-dropping-particle":"","parse-names":false,"suffix":""},{"dropping-particle":"","family":"Bauer","given":"J","non-dropping-particle":"","parse-names":false,"suffix":""},{"dropping-particle":"","family":"Deer","given":"RR","non-dropping-particle":"","parse-names":false,"suffix":""},{"dropping-particle":"","family":"Volpi","given":"E","non-dropping-particle":"","parse-names":false,"suffix":""},{"dropping-particle":"","family":"Gryson","given":"C","non-dropping-particle":"","parse-names":false,"suffix":""},{"dropping-particle":"","family":"Finger","given":"D","non-dropping-particle":"","parse-names":false,"suffix":""}],"container-title":"BMC geriatrics","id":"ITEM-2","issue":"1","issued":{"date-parts":[["2016","12"]]},"page":"170","publisher":"BioMed Central","title":"Sarcopenia in daily practice: assessment and management","type":"article-journal","volume":"16"},"uris":["http://www.mendeley.com/documents/?uuid=572798bb-575b-4142-9e2b-0917593f8320"]}],"mendeley":{"formattedCitation":"[31, 32]","plainTextFormattedCitation":"[31, 32]"},"properties":{"noteIndex":0},"schema":"https://github.com/citation-style-language/schema/raw/master/csl-citation.json"}</w:instrText>
            </w:r>
            <w:r w:rsidR="009D3AAF" w:rsidRPr="009D3AAF">
              <w:rPr>
                <w:rFonts w:ascii="Palatino Linotype" w:hAnsi="Palatino Linotype"/>
                <w:color w:val="000000" w:themeColor="text1"/>
                <w:highlight w:val="yellow"/>
                <w:lang w:val="en-GB"/>
              </w:rPr>
              <w:fldChar w:fldCharType="separate"/>
            </w:r>
            <w:r w:rsidR="009D3AAF" w:rsidRPr="009D3AAF">
              <w:rPr>
                <w:rFonts w:ascii="Palatino Linotype" w:hAnsi="Palatino Linotype"/>
                <w:noProof/>
                <w:color w:val="000000" w:themeColor="text1"/>
                <w:highlight w:val="yellow"/>
                <w:lang w:val="en-GB"/>
              </w:rPr>
              <w:t>[31, 32]</w:t>
            </w:r>
            <w:r w:rsidR="009D3AAF" w:rsidRPr="009D3AAF">
              <w:rPr>
                <w:rFonts w:ascii="Palatino Linotype" w:hAnsi="Palatino Linotype"/>
                <w:color w:val="000000" w:themeColor="text1"/>
                <w:highlight w:val="yellow"/>
                <w:lang w:val="en-GB"/>
              </w:rPr>
              <w:fldChar w:fldCharType="end"/>
            </w:r>
            <w:r w:rsidR="007B349A" w:rsidRPr="009D3AAF">
              <w:rPr>
                <w:rFonts w:ascii="Palatino Linotype" w:hAnsi="Palatino Linotype"/>
                <w:color w:val="000000" w:themeColor="text1"/>
                <w:highlight w:val="yellow"/>
                <w:lang w:val="en-GB"/>
              </w:rPr>
              <w:t>)</w:t>
            </w:r>
          </w:p>
        </w:tc>
      </w:tr>
    </w:tbl>
    <w:p w14:paraId="31EBCFA2" w14:textId="3720A187" w:rsidR="00544D37" w:rsidRPr="00544D37" w:rsidRDefault="00544D37" w:rsidP="00342B3D">
      <w:pPr>
        <w:spacing w:line="240" w:lineRule="auto"/>
        <w:rPr>
          <w:rFonts w:ascii="Palatino Linotype" w:hAnsi="Palatino Linotype"/>
          <w:color w:val="000000" w:themeColor="text1"/>
          <w:lang w:val="en-GB"/>
        </w:rPr>
      </w:pPr>
      <w:r w:rsidRPr="000B0571">
        <w:rPr>
          <w:rFonts w:ascii="Palatino Linotype" w:hAnsi="Palatino Linotype"/>
          <w:color w:val="000000" w:themeColor="text1"/>
          <w:lang w:val="en-GB"/>
        </w:rPr>
        <w:t xml:space="preserve">Table 2. List of outcomes that could be applicable in </w:t>
      </w:r>
      <w:r w:rsidR="00774593">
        <w:rPr>
          <w:rFonts w:ascii="Palatino Linotype" w:hAnsi="Palatino Linotype"/>
          <w:color w:val="000000" w:themeColor="text1"/>
          <w:lang w:val="en-GB"/>
        </w:rPr>
        <w:t>p</w:t>
      </w:r>
      <w:r w:rsidRPr="000B0571">
        <w:rPr>
          <w:rFonts w:ascii="Palatino Linotype" w:hAnsi="Palatino Linotype"/>
          <w:color w:val="000000" w:themeColor="text1"/>
          <w:lang w:val="en-GB"/>
        </w:rPr>
        <w:t>hase II studies (the final choice is the responsibility of the applicant).</w:t>
      </w:r>
      <w:r w:rsidRPr="00635A8E">
        <w:rPr>
          <w:rFonts w:ascii="Palatino Linotype" w:hAnsi="Palatino Linotype"/>
          <w:color w:val="000000" w:themeColor="text1"/>
          <w:lang w:val="en-GB"/>
        </w:rPr>
        <w:t xml:space="preserve"> </w:t>
      </w:r>
    </w:p>
    <w:p w14:paraId="12532C3E" w14:textId="6B9AD218" w:rsidR="00544D37" w:rsidRDefault="00544D37" w:rsidP="00342B3D">
      <w:pPr>
        <w:spacing w:line="240" w:lineRule="auto"/>
        <w:rPr>
          <w:rFonts w:ascii="Palatino Linotype" w:hAnsi="Palatino Linotype"/>
          <w:color w:val="000000" w:themeColor="text1"/>
          <w:sz w:val="20"/>
          <w:szCs w:val="20"/>
          <w:lang w:val="en-GB"/>
        </w:rPr>
      </w:pPr>
      <w:r w:rsidRPr="00544D37">
        <w:rPr>
          <w:rFonts w:ascii="Palatino Linotype" w:hAnsi="Palatino Linotype"/>
          <w:color w:val="000000" w:themeColor="text1"/>
          <w:sz w:val="20"/>
          <w:szCs w:val="20"/>
          <w:lang w:val="en-GB"/>
        </w:rPr>
        <w:t>*for example, decrease in intramyocellular lipid accumulation and intermuscular adipose tissue, increase in muscle blood flow, change in fibre types and increase in skeletal muscle mitochondrial capacity. MRS=Magnetic resonance Spectroscopy.</w:t>
      </w:r>
    </w:p>
    <w:p w14:paraId="1C69822D" w14:textId="0F54D8F2" w:rsidR="005D5DB4" w:rsidRDefault="00544D37" w:rsidP="00342B3D">
      <w:pPr>
        <w:spacing w:line="240" w:lineRule="auto"/>
        <w:rPr>
          <w:rFonts w:ascii="Palatino Linotype" w:hAnsi="Palatino Linotype"/>
          <w:color w:val="000000" w:themeColor="text1"/>
          <w:sz w:val="20"/>
          <w:szCs w:val="20"/>
          <w:lang w:val="en-GB"/>
        </w:rPr>
      </w:pPr>
      <w:r w:rsidRPr="005D5DB4">
        <w:rPr>
          <w:rFonts w:ascii="Palatino Linotype" w:hAnsi="Palatino Linotype"/>
          <w:color w:val="000000" w:themeColor="text1"/>
          <w:sz w:val="20"/>
          <w:szCs w:val="20"/>
          <w:lang w:val="en-GB"/>
        </w:rPr>
        <w:t xml:space="preserve">SPPB: Short Physical Performance Battery, TUG: Timed Up and Go, CT-scan: Computed </w:t>
      </w:r>
    </w:p>
    <w:p w14:paraId="45138232" w14:textId="77777777" w:rsidR="00342B3D" w:rsidRPr="00635A8E" w:rsidRDefault="00342B3D" w:rsidP="00342B3D">
      <w:pPr>
        <w:spacing w:line="240" w:lineRule="auto"/>
        <w:rPr>
          <w:rFonts w:ascii="Palatino Linotype" w:hAnsi="Palatino Linotype"/>
          <w:color w:val="000000" w:themeColor="text1"/>
          <w:lang w:val="en-GB"/>
        </w:rPr>
      </w:pPr>
    </w:p>
    <w:p w14:paraId="44B7F8DC" w14:textId="77777777" w:rsidR="00B35C96" w:rsidRPr="00D57B26" w:rsidRDefault="00B35C96" w:rsidP="00B35C96">
      <w:pPr>
        <w:rPr>
          <w:rFonts w:ascii="Palatino Linotype" w:hAnsi="Palatino Linotype"/>
          <w:b/>
          <w:bCs/>
          <w:lang w:val="en-GB"/>
        </w:rPr>
      </w:pPr>
      <w:r w:rsidRPr="00D57B26">
        <w:rPr>
          <w:rFonts w:ascii="Palatino Linotype" w:hAnsi="Palatino Linotype"/>
          <w:b/>
          <w:bCs/>
          <w:lang w:val="en-GB"/>
        </w:rPr>
        <w:t>Phase III studies</w:t>
      </w:r>
    </w:p>
    <w:p w14:paraId="44BCE584" w14:textId="2A890417" w:rsidR="00166A6F" w:rsidRPr="00166A6F" w:rsidRDefault="00166A6F" w:rsidP="00166A6F">
      <w:pPr>
        <w:jc w:val="both"/>
        <w:rPr>
          <w:rFonts w:ascii="Palatino Linotype" w:hAnsi="Palatino Linotype"/>
          <w:color w:val="000000" w:themeColor="text1"/>
          <w:lang w:val="en-GB"/>
        </w:rPr>
      </w:pPr>
      <w:r w:rsidRPr="00166A6F">
        <w:rPr>
          <w:rFonts w:ascii="Palatino Linotype" w:hAnsi="Palatino Linotype"/>
          <w:color w:val="000000" w:themeColor="text1"/>
          <w:lang w:val="en-GB"/>
        </w:rPr>
        <w:t xml:space="preserve">Phase III studies are pivotal for the applicant to </w:t>
      </w:r>
      <w:r w:rsidR="00153326">
        <w:rPr>
          <w:rFonts w:ascii="Palatino Linotype" w:hAnsi="Palatino Linotype"/>
          <w:color w:val="000000" w:themeColor="text1"/>
          <w:lang w:val="en-GB"/>
        </w:rPr>
        <w:t>demonstrate</w:t>
      </w:r>
      <w:r w:rsidRPr="00166A6F">
        <w:rPr>
          <w:rFonts w:ascii="Palatino Linotype" w:hAnsi="Palatino Linotype"/>
          <w:color w:val="000000" w:themeColor="text1"/>
          <w:lang w:val="en-GB"/>
        </w:rPr>
        <w:t xml:space="preserve"> that the currently investigated new chemical entity is safe and effective for the management of sarcopenia.</w:t>
      </w:r>
    </w:p>
    <w:p w14:paraId="79B55804" w14:textId="2331B36B" w:rsidR="00166A6F" w:rsidRPr="00166A6F" w:rsidRDefault="00B35C96" w:rsidP="00166A6F">
      <w:pPr>
        <w:rPr>
          <w:rFonts w:ascii="Palatino Linotype" w:hAnsi="Palatino Linotype"/>
          <w:i/>
          <w:iCs/>
          <w:lang w:val="en-GB"/>
        </w:rPr>
      </w:pPr>
      <w:r w:rsidRPr="00D57B26">
        <w:rPr>
          <w:rFonts w:ascii="Palatino Linotype" w:hAnsi="Palatino Linotype"/>
          <w:i/>
          <w:iCs/>
          <w:lang w:val="en-GB"/>
        </w:rPr>
        <w:t>Primary endpoint</w:t>
      </w:r>
    </w:p>
    <w:p w14:paraId="74BC3A49" w14:textId="7E05F4A5" w:rsidR="00D76C46" w:rsidRDefault="00581B6A" w:rsidP="006A297D">
      <w:pPr>
        <w:jc w:val="both"/>
        <w:rPr>
          <w:rFonts w:ascii="Palatino Linotype" w:hAnsi="Palatino Linotype"/>
          <w:color w:val="000000" w:themeColor="text1"/>
          <w:lang w:val="en-GB"/>
        </w:rPr>
      </w:pPr>
      <w:r>
        <w:rPr>
          <w:rFonts w:ascii="Palatino Linotype" w:hAnsi="Palatino Linotype"/>
          <w:color w:val="000000" w:themeColor="text1"/>
          <w:lang w:val="en-GB"/>
        </w:rPr>
        <w:t>This</w:t>
      </w:r>
      <w:r w:rsidR="004E3F7E">
        <w:rPr>
          <w:rFonts w:ascii="Palatino Linotype" w:hAnsi="Palatino Linotype"/>
          <w:color w:val="000000" w:themeColor="text1"/>
          <w:lang w:val="en-GB"/>
        </w:rPr>
        <w:t xml:space="preserve"> outcome should be c</w:t>
      </w:r>
      <w:r w:rsidR="00B35C96" w:rsidRPr="004E3F7E">
        <w:rPr>
          <w:rFonts w:ascii="Palatino Linotype" w:hAnsi="Palatino Linotype"/>
          <w:color w:val="000000" w:themeColor="text1"/>
          <w:lang w:val="en-GB"/>
        </w:rPr>
        <w:t>linically relevant</w:t>
      </w:r>
      <w:r w:rsidR="004E3F7E">
        <w:rPr>
          <w:rFonts w:ascii="Palatino Linotype" w:hAnsi="Palatino Linotype"/>
          <w:color w:val="000000" w:themeColor="text1"/>
          <w:lang w:val="en-GB"/>
        </w:rPr>
        <w:t>, highly responsive to treatment effects</w:t>
      </w:r>
      <w:r w:rsidR="00B35C96" w:rsidRPr="004E3F7E">
        <w:rPr>
          <w:rFonts w:ascii="Palatino Linotype" w:hAnsi="Palatino Linotype"/>
          <w:color w:val="000000" w:themeColor="text1"/>
          <w:lang w:val="en-GB"/>
        </w:rPr>
        <w:t xml:space="preserve"> and methodologically robust.</w:t>
      </w:r>
      <w:r w:rsidR="004E3F7E">
        <w:rPr>
          <w:rFonts w:ascii="Palatino Linotype" w:hAnsi="Palatino Linotype"/>
          <w:color w:val="000000" w:themeColor="text1"/>
          <w:lang w:val="en-GB"/>
        </w:rPr>
        <w:t xml:space="preserve"> </w:t>
      </w:r>
      <w:r>
        <w:rPr>
          <w:rFonts w:ascii="Palatino Linotype" w:hAnsi="Palatino Linotype"/>
          <w:color w:val="000000" w:themeColor="text1"/>
          <w:lang w:val="en-GB"/>
        </w:rPr>
        <w:t>The primary outcome in phase III studies is u</w:t>
      </w:r>
      <w:r w:rsidRPr="004E3F7E">
        <w:rPr>
          <w:rFonts w:ascii="Palatino Linotype" w:hAnsi="Palatino Linotype"/>
          <w:color w:val="000000" w:themeColor="text1"/>
          <w:lang w:val="en-GB"/>
        </w:rPr>
        <w:t>sed to</w:t>
      </w:r>
      <w:r>
        <w:rPr>
          <w:rFonts w:ascii="Palatino Linotype" w:hAnsi="Palatino Linotype"/>
          <w:color w:val="000000" w:themeColor="text1"/>
          <w:lang w:val="en-GB"/>
        </w:rPr>
        <w:t xml:space="preserve"> calculate the necessary</w:t>
      </w:r>
      <w:r w:rsidRPr="004E3F7E">
        <w:rPr>
          <w:rFonts w:ascii="Palatino Linotype" w:hAnsi="Palatino Linotype"/>
          <w:color w:val="000000" w:themeColor="text1"/>
          <w:lang w:val="en-GB"/>
        </w:rPr>
        <w:t xml:space="preserve"> sample size </w:t>
      </w:r>
      <w:r>
        <w:rPr>
          <w:rFonts w:ascii="Palatino Linotype" w:hAnsi="Palatino Linotype"/>
          <w:color w:val="000000" w:themeColor="text1"/>
          <w:lang w:val="en-GB"/>
        </w:rPr>
        <w:t xml:space="preserve">and to inform the </w:t>
      </w:r>
      <w:r w:rsidRPr="004E3F7E">
        <w:rPr>
          <w:rFonts w:ascii="Palatino Linotype" w:hAnsi="Palatino Linotype"/>
          <w:color w:val="000000" w:themeColor="text1"/>
          <w:lang w:val="en-GB"/>
        </w:rPr>
        <w:t>randomization procedures</w:t>
      </w:r>
    </w:p>
    <w:p w14:paraId="19946022" w14:textId="13EE3CB3" w:rsidR="00963985" w:rsidRDefault="00D76C46" w:rsidP="006A297D">
      <w:pPr>
        <w:jc w:val="both"/>
        <w:rPr>
          <w:rFonts w:ascii="Palatino Linotype" w:hAnsi="Palatino Linotype"/>
          <w:color w:val="000000" w:themeColor="text1"/>
          <w:lang w:val="en-GB"/>
        </w:rPr>
      </w:pPr>
      <w:r>
        <w:rPr>
          <w:rFonts w:ascii="Palatino Linotype" w:hAnsi="Palatino Linotype"/>
          <w:color w:val="000000" w:themeColor="text1"/>
          <w:lang w:val="en-GB"/>
        </w:rPr>
        <w:t>We recommend, for all phase III clinical trials in sarcopenia, t</w:t>
      </w:r>
      <w:r w:rsidR="00DC3CC2">
        <w:rPr>
          <w:rFonts w:ascii="Palatino Linotype" w:hAnsi="Palatino Linotype"/>
          <w:color w:val="000000" w:themeColor="text1"/>
          <w:lang w:val="en-GB"/>
        </w:rPr>
        <w:t>he</w:t>
      </w:r>
      <w:r>
        <w:rPr>
          <w:rFonts w:ascii="Palatino Linotype" w:hAnsi="Palatino Linotype"/>
          <w:color w:val="000000" w:themeColor="text1"/>
          <w:lang w:val="en-GB"/>
        </w:rPr>
        <w:t xml:space="preserve"> use</w:t>
      </w:r>
      <w:r w:rsidR="00DC3CC2">
        <w:rPr>
          <w:rFonts w:ascii="Palatino Linotype" w:hAnsi="Palatino Linotype"/>
          <w:color w:val="000000" w:themeColor="text1"/>
          <w:lang w:val="en-GB"/>
        </w:rPr>
        <w:t xml:space="preserve"> of</w:t>
      </w:r>
      <w:r>
        <w:rPr>
          <w:rFonts w:ascii="Palatino Linotype" w:hAnsi="Palatino Linotype"/>
          <w:color w:val="000000" w:themeColor="text1"/>
          <w:lang w:val="en-GB"/>
        </w:rPr>
        <w:t xml:space="preserve"> co-primary endpoint</w:t>
      </w:r>
      <w:r w:rsidR="003D2AA4">
        <w:rPr>
          <w:rFonts w:ascii="Palatino Linotype" w:hAnsi="Palatino Linotype"/>
          <w:color w:val="000000" w:themeColor="text1"/>
          <w:lang w:val="en-GB"/>
        </w:rPr>
        <w:t>s</w:t>
      </w:r>
      <w:r>
        <w:rPr>
          <w:rFonts w:ascii="Palatino Linotype" w:hAnsi="Palatino Linotype"/>
          <w:color w:val="000000" w:themeColor="text1"/>
          <w:lang w:val="en-GB"/>
        </w:rPr>
        <w:t xml:space="preserve">, combining a </w:t>
      </w:r>
      <w:r w:rsidR="00581B6A">
        <w:rPr>
          <w:rFonts w:ascii="Palatino Linotype" w:hAnsi="Palatino Linotype"/>
          <w:color w:val="000000" w:themeColor="text1"/>
          <w:lang w:val="en-GB"/>
        </w:rPr>
        <w:t>measure of physical performance</w:t>
      </w:r>
      <w:r>
        <w:rPr>
          <w:rFonts w:ascii="Palatino Linotype" w:hAnsi="Palatino Linotype"/>
          <w:color w:val="000000" w:themeColor="text1"/>
          <w:lang w:val="en-GB"/>
        </w:rPr>
        <w:t xml:space="preserve"> with a Patient Reported Outcome Measure (PROM). With this proposal, we ensure to captur</w:t>
      </w:r>
      <w:r w:rsidR="00DC3CC2">
        <w:rPr>
          <w:rFonts w:ascii="Palatino Linotype" w:hAnsi="Palatino Linotype"/>
          <w:color w:val="000000" w:themeColor="text1"/>
          <w:lang w:val="en-GB"/>
        </w:rPr>
        <w:t xml:space="preserve">e first an objective endpoint, </w:t>
      </w:r>
      <w:r w:rsidR="004D5605">
        <w:rPr>
          <w:rFonts w:ascii="Palatino Linotype" w:hAnsi="Palatino Linotype"/>
          <w:color w:val="000000" w:themeColor="text1"/>
          <w:lang w:val="en-GB"/>
        </w:rPr>
        <w:t>by recommending a</w:t>
      </w:r>
      <w:r w:rsidR="00DC3CC2">
        <w:rPr>
          <w:rFonts w:ascii="Palatino Linotype" w:hAnsi="Palatino Linotype"/>
          <w:color w:val="000000" w:themeColor="text1"/>
          <w:lang w:val="en-GB"/>
        </w:rPr>
        <w:t xml:space="preserve"> </w:t>
      </w:r>
      <w:r w:rsidR="00BB59BC">
        <w:rPr>
          <w:rFonts w:ascii="Palatino Linotype" w:hAnsi="Palatino Linotype"/>
          <w:color w:val="000000" w:themeColor="text1"/>
          <w:lang w:val="en-GB"/>
        </w:rPr>
        <w:t>physical performance</w:t>
      </w:r>
      <w:r w:rsidR="00DC3CC2">
        <w:rPr>
          <w:rFonts w:ascii="Palatino Linotype" w:hAnsi="Palatino Linotype"/>
          <w:color w:val="000000" w:themeColor="text1"/>
          <w:lang w:val="en-GB"/>
        </w:rPr>
        <w:t xml:space="preserve"> measure, for which a surrogate value for hard clinical endpoints such as mortality, hospitalisation, fractures and falls is already well established</w:t>
      </w:r>
      <w:r w:rsidR="006D50D1">
        <w:rPr>
          <w:rFonts w:ascii="Palatino Linotype" w:hAnsi="Palatino Linotype"/>
          <w:color w:val="000000" w:themeColor="text1"/>
          <w:lang w:val="en-GB"/>
        </w:rPr>
        <w:t xml:space="preserve"> </w:t>
      </w:r>
      <w:r w:rsidR="00361135">
        <w:rPr>
          <w:rFonts w:ascii="Palatino Linotype" w:hAnsi="Palatino Linotype"/>
          <w:color w:val="000000" w:themeColor="text1"/>
          <w:lang w:val="en-GB"/>
        </w:rPr>
        <w:fldChar w:fldCharType="begin" w:fldLock="1"/>
      </w:r>
      <w:r w:rsidR="009D3AAF">
        <w:rPr>
          <w:rFonts w:ascii="Palatino Linotype" w:hAnsi="Palatino Linotype"/>
          <w:color w:val="000000" w:themeColor="text1"/>
          <w:lang w:val="en-GB"/>
        </w:rPr>
        <w:instrText>ADDIN CSL_CITATION {"citationItems":[{"id":"ITEM-1","itemData":{"DOI":"10.1007/s41999-019-00233-w","ISSN":"1878-7657","abstract":"To investigate associations of sarcopenia with adverse health-related outcomes, through an umbrella review method. Sarcopenia appears to be significantly associated with several adverse outcomes in older people, with a strong evidence for increased risk of mortality, disability, and falls. Sarcopenia is associated with several adverse health-related outcomes in older people, indicating the need of assessing this condition in daily practice. The clinical relevance of sarcopenia has increasingly been recognized. However, whether it is associated with the development of other medical conditions is still unclear. Therefore, we aimed to capture the scale of outcomes that have been associated with the presence of sarcopenia and systematically assess the quality, strength, and credibility of these associations using an umbrella review methodology. A systematic review in several databases was carried out, until 20th February 2019. For each association, random-effects summary effect size, 95% confidence intervals (CIs), heterogeneity (I2), evidence for small-study effect, evidence for excess significance bias, and 95%-prediction intervals were estimated. We used these metrics to categorize the evidence of significant outcomes (p &lt; 0.05) from class I (convincing) to class IV (weak), according to pre-established criteria. From 358 abstracts, 6 meta-analyses with 14 associations were included. Sarcopenia was associated with higher risk of other comorbidities and mortality in 11 of 14 outcomes explored. However, only 3 outcomes (i.e., association between sarcopenia and increased risk of death in community-dwelling older people [odds ratio, OR = 3.60; 95% CI 2.96–4.37; n = 14,305], disability [OR = 3.04; 95% CI 1.80–5.12; n = 8569], and falls [OR = 1.60; 95% CI 1.31–1.97; n = 12,261]) presented a highly suggestive evidence (class II). Other association was classified as having only a weak evidence. Sarcopenia is associated with several adverse health-related outcomes in older people, and its associations with mortality, disability, and falls are supported by a highly suggestive evidence. The effect of interventions on sarcopenia to improve these outcomes needs to be investigated.","author":[{"dropping-particle":"","family":"Veronese","given":"Nicola","non-dropping-particle":"","parse-names":false,"suffix":""},{"dropping-particle":"","family":"Demurtas","given":"Jacopo","non-dropping-particle":"","parse-names":false,"suffix":""},{"dropping-particle":"","family":"Soysal","given":"Pinar","non-dropping-particle":"","parse-names":false,"suffix":""},{"dropping-particle":"","family":"Smith","given":"Lee","non-dropping-particle":"","parse-names":false,"suffix":""},{"dropping-particle":"","family":"Torbahn","given":"Gabriel","non-dropping-particle":"","parse-names":false,"suffix":""},{"dropping-particle":"","family":"Schoene","given":"Daniel","non-dropping-particle":"","parse-names":false,"suffix":""},{"dropping-particle":"","family":"Schwingshackl","given":"Lukas","non-dropping-particle":"","parse-names":false,"suffix":""},{"dropping-particle":"","family":"Sieber","given":"Cornel","non-dropping-particle":"","parse-names":false,"suffix":""},{"dropping-particle":"","family":"Bauer","given":"Jurgen","non-dropping-particle":"","parse-names":false,"suffix":""},{"dropping-particle":"","family":"Cesari","given":"Matteo","non-dropping-particle":"","parse-names":false,"suffix":""},{"dropping-particle":"","family":"Bruyere","given":"Oliviere","non-dropping-particle":"","parse-names":false,"suffix":""},{"dropping-particle":"","family":"Reginster","given":"Jean-Yves","non-dropping-particle":"","parse-names":false,"suffix":""},{"dropping-particle":"","family":"Beaudart","given":"Charlotte","non-dropping-particle":"","parse-names":false,"suffix":""},{"dropping-particle":"","family":"Cruz-Jentoft","given":"Alfonso J.","non-dropping-particle":"","parse-names":false,"suffix":""},{"dropping-particle":"","family":"Cooper","given":"Cyrus","non-dropping-particle":"","parse-names":false,"suffix":""},{"dropping-particle":"","family":"Petrovic","given":"Mirko","non-dropping-particle":"","parse-names":false,"suffix":""},{"dropping-particle":"","family":"Maggi","given":"Stefania","non-dropping-particle":"","parse-names":false,"suffix":""}],"container-title":"European Geriatric Medicine","id":"ITEM-1","issue":"6","issued":{"date-parts":[["2019","12","6"]]},"page":"853-862","publisher":"Springer","title":"Sarcopenia and health-related outcomes: an umbrella review of observational studies","type":"article-journal","volume":"10"},"uris":["http://www.mendeley.com/documents/?uuid=a6e4ac0d-1b4b-3fd1-8195-bea37e367653"]}],"mendeley":{"formattedCitation":"[33]","plainTextFormattedCitation":"[33]","previouslyFormattedCitation":"[31]"},"properties":{"noteIndex":0},"schema":"https://github.com/citation-style-language/schema/raw/master/csl-citation.json"}</w:instrText>
      </w:r>
      <w:r w:rsidR="00361135">
        <w:rPr>
          <w:rFonts w:ascii="Palatino Linotype" w:hAnsi="Palatino Linotype"/>
          <w:color w:val="000000" w:themeColor="text1"/>
          <w:lang w:val="en-GB"/>
        </w:rPr>
        <w:fldChar w:fldCharType="separate"/>
      </w:r>
      <w:r w:rsidR="009D3AAF" w:rsidRPr="009D3AAF">
        <w:rPr>
          <w:rFonts w:ascii="Palatino Linotype" w:hAnsi="Palatino Linotype"/>
          <w:noProof/>
          <w:color w:val="000000" w:themeColor="text1"/>
          <w:lang w:val="en-GB"/>
        </w:rPr>
        <w:t>[33]</w:t>
      </w:r>
      <w:r w:rsidR="00361135">
        <w:rPr>
          <w:rFonts w:ascii="Palatino Linotype" w:hAnsi="Palatino Linotype"/>
          <w:color w:val="000000" w:themeColor="text1"/>
          <w:lang w:val="en-GB"/>
        </w:rPr>
        <w:fldChar w:fldCharType="end"/>
      </w:r>
      <w:r w:rsidR="00DC3CC2">
        <w:rPr>
          <w:rFonts w:ascii="Palatino Linotype" w:hAnsi="Palatino Linotype"/>
          <w:color w:val="000000" w:themeColor="text1"/>
          <w:lang w:val="en-GB"/>
        </w:rPr>
        <w:t>. Second, the use of a PROM</w:t>
      </w:r>
      <w:r w:rsidR="009A72E9">
        <w:rPr>
          <w:rFonts w:ascii="Palatino Linotype" w:hAnsi="Palatino Linotype"/>
          <w:color w:val="000000" w:themeColor="text1"/>
          <w:lang w:val="en-GB"/>
        </w:rPr>
        <w:t xml:space="preserve"> will allow to capture </w:t>
      </w:r>
      <w:r w:rsidR="00DC3CC2">
        <w:rPr>
          <w:rFonts w:ascii="Palatino Linotype" w:hAnsi="Palatino Linotype"/>
          <w:color w:val="000000" w:themeColor="text1"/>
          <w:lang w:val="en-GB"/>
        </w:rPr>
        <w:t>more subjective but equally important</w:t>
      </w:r>
      <w:r w:rsidR="009A72E9">
        <w:rPr>
          <w:rFonts w:ascii="Palatino Linotype" w:hAnsi="Palatino Linotype"/>
          <w:color w:val="000000" w:themeColor="text1"/>
          <w:lang w:val="en-GB"/>
        </w:rPr>
        <w:t xml:space="preserve"> aspects of </w:t>
      </w:r>
      <w:r w:rsidR="00CB5DAC">
        <w:rPr>
          <w:rFonts w:ascii="Palatino Linotype" w:hAnsi="Palatino Linotype"/>
          <w:color w:val="000000" w:themeColor="text1"/>
          <w:lang w:val="en-GB"/>
        </w:rPr>
        <w:t xml:space="preserve">patient-relevant </w:t>
      </w:r>
      <w:r w:rsidR="009A72E9">
        <w:rPr>
          <w:rFonts w:ascii="Palatino Linotype" w:hAnsi="Palatino Linotype"/>
          <w:color w:val="000000" w:themeColor="text1"/>
          <w:lang w:val="en-GB"/>
        </w:rPr>
        <w:t>efficacy</w:t>
      </w:r>
      <w:r w:rsidR="003D101F">
        <w:rPr>
          <w:rFonts w:ascii="Palatino Linotype" w:hAnsi="Palatino Linotype"/>
          <w:color w:val="000000" w:themeColor="text1"/>
          <w:lang w:val="en-GB"/>
        </w:rPr>
        <w:t xml:space="preserve"> since </w:t>
      </w:r>
      <w:r w:rsidR="00CB5DAC">
        <w:rPr>
          <w:rFonts w:ascii="Palatino Linotype" w:hAnsi="Palatino Linotype"/>
          <w:color w:val="000000" w:themeColor="text1"/>
          <w:lang w:val="en-GB"/>
        </w:rPr>
        <w:t xml:space="preserve">the </w:t>
      </w:r>
      <w:r w:rsidR="003D101F">
        <w:rPr>
          <w:rFonts w:ascii="Palatino Linotype" w:hAnsi="Palatino Linotype"/>
          <w:color w:val="000000" w:themeColor="text1"/>
          <w:lang w:val="en-GB"/>
        </w:rPr>
        <w:t>patient perspective is now recognized as key</w:t>
      </w:r>
      <w:r w:rsidR="000B4EFF">
        <w:rPr>
          <w:rFonts w:ascii="Palatino Linotype" w:hAnsi="Palatino Linotype"/>
          <w:color w:val="000000" w:themeColor="text1"/>
          <w:lang w:val="en-GB"/>
        </w:rPr>
        <w:t xml:space="preserve"> parameters</w:t>
      </w:r>
      <w:r w:rsidR="003D101F">
        <w:rPr>
          <w:rFonts w:ascii="Palatino Linotype" w:hAnsi="Palatino Linotype"/>
          <w:color w:val="000000" w:themeColor="text1"/>
          <w:lang w:val="en-GB"/>
        </w:rPr>
        <w:t xml:space="preserve"> in the evaluation of health interventions</w:t>
      </w:r>
      <w:r w:rsidR="006D50D1">
        <w:rPr>
          <w:rFonts w:ascii="Palatino Linotype" w:hAnsi="Palatino Linotype"/>
          <w:color w:val="000000" w:themeColor="text1"/>
          <w:lang w:val="en-GB"/>
        </w:rPr>
        <w:t xml:space="preserve"> </w:t>
      </w:r>
      <w:r w:rsidR="00D8668B">
        <w:rPr>
          <w:rFonts w:ascii="Palatino Linotype" w:hAnsi="Palatino Linotype"/>
          <w:color w:val="000000" w:themeColor="text1"/>
          <w:lang w:val="en-GB"/>
        </w:rPr>
        <w:fldChar w:fldCharType="begin" w:fldLock="1"/>
      </w:r>
      <w:r w:rsidR="009D3AAF">
        <w:rPr>
          <w:rFonts w:ascii="Palatino Linotype" w:hAnsi="Palatino Linotype"/>
          <w:color w:val="000000" w:themeColor="text1"/>
          <w:lang w:val="en-GB"/>
        </w:rPr>
        <w:instrText>ADDIN CSL_CITATION {"citationItems":[{"id":"ITEM-1","itemData":{"DOI":"10.1016/S0140-6736(19)30034-0","ISSN":"1474547X","author":[{"dropping-particle":"","family":"Wit","given":"Maarten","non-dropping-particle":"de","parse-names":false,"suffix":""},{"dropping-particle":"","family":"Cooper","given":"Cyrus","non-dropping-particle":"","parse-names":false,"suffix":""},{"dropping-particle":"","family":"Reginster","given":"Jean Yves","non-dropping-particle":"","parse-names":false,"suffix":""}],"container-title":"The Lancet","id":"ITEM-1","issue":"10176","issued":{"date-parts":[["2019","3","16"]]},"page":"1095-1096","publisher":"Lancet Publishing Group","title":"Practical guidance for patient-centred health research","type":"article","volume":"393"},"uris":["http://www.mendeley.com/documents/?uuid=92240173-7d95-3b5a-9c1d-08b081758d03","http://www.mendeley.com/documents/?uuid=1b3f2381-b003-4840-bc27-8564c0ce7960"]},{"id":"ITEM-2","itemData":{"DOI":"10.1007/s40520-019-01193-8","ISSN":"1720-8319","PMID":"30993659","abstract":"There is increasing emphasis on patient-centred research to support the development, approval and reimbursement of health interventions that best meet patients' needs. However, there is currently little guidance on how meaningful patient engagement may be achieved. An expert working group, representing a wide range of stakeholders and disciplines, was convened by the European Society for Clinical and Economic Aspects of Osteoporosis, Osteoarthritis and Musculoskeletal Diseases (ESCEO) and the World Health Organization (WHO). Through a structured, collaborative process the group generated practical guidance to facilitate optimal patient engagement in clinical development and regulatory decisions. Patient engagement is a relational process. The principles outlined in this report were based on lessons learned through applied experience and on an extensive dialogue among the expert participants. This practice guidance forms a starting point from which tailoring of the approach to suit different chronic diseases may be undertaken.","author":[{"dropping-particle":"","family":"Wit","given":"Maarten","non-dropping-particle":"de","parse-names":false,"suffix":""},{"dropping-particle":"","family":"Cooper","given":"Cyrus","non-dropping-particle":"","parse-names":false,"suffix":""},{"dropping-particle":"","family":"Tugwell","given":"Peter","non-dropping-particle":"","parse-names":false,"suffix":""},{"dropping-particle":"","family":"Bere","given":"Nathalie","non-dropping-particle":"","parse-names":false,"suffix":""},{"dropping-particle":"","family":"Kirwan","given":"John","non-dropping-particle":"","parse-names":false,"suffix":""},{"dropping-particle":"","family":"Conaghan","given":"Philip G.","non-dropping-particle":"","parse-names":false,"suffix":""},{"dropping-particle":"","family":"Roberts","given":"Charlotte","non-dropping-particle":"","parse-names":false,"suffix":""},{"dropping-particle":"","family":"Aujoulat","given":"Isabelle","non-dropping-particle":"","parse-names":false,"suffix":""},{"dropping-particle":"","family":"Al-Daghri","given":"Nasser","non-dropping-particle":"","parse-names":false,"suffix":""},{"dropping-particle":"","family":"Araujo de Carvalho","given":"Islene","non-dropping-particle":"","parse-names":false,"suffix":""},{"dropping-particle":"","family":"Barker","given":"Mary","non-dropping-particle":"","parse-names":false,"suffix":""},{"dropping-particle":"","family":"Bedlington","given":"Nicola","non-dropping-particle":"","parse-names":false,"suffix":""},{"dropping-particle":"","family":"Brandi","given":"Maria Luisa","non-dropping-particle":"","parse-names":false,"suffix":""},{"dropping-particle":"","family":"Bruyère","given":"Olivier","non-dropping-particle":"","parse-names":false,"suffix":""},{"dropping-particle":"","family":"Burlet","given":"Nansa","non-dropping-particle":"","parse-names":false,"suffix":""},{"dropping-particle":"","family":"Halbout","given":"Philippe","non-dropping-particle":"","parse-names":false,"suffix":""},{"dropping-particle":"","family":"Hiligsmann","given":"Mickaël","non-dropping-particle":"","parse-names":false,"suffix":""},{"dropping-particle":"","family":"Jiwa","given":"Famida","non-dropping-particle":"","parse-names":false,"suffix":""},{"dropping-particle":"","family":"Kanis","given":"John A.","non-dropping-particle":"","parse-names":false,"suffix":""},{"dropping-particle":"","family":"Laslop","given":"Andrea","non-dropping-particle":"","parse-names":false,"suffix":""},{"dropping-particle":"","family":"Lawrence","given":"Wendy","non-dropping-particle":"","parse-names":false,"suffix":""},{"dropping-particle":"","family":"Pinto","given":"Daniel","non-dropping-particle":"","parse-names":false,"suffix":""},{"dropping-particle":"","family":"Prieto Yerro","given":"Concepción","non-dropping-particle":"","parse-names":false,"suffix":""},{"dropping-particle":"","family":"Rabenda","given":"Véronique","non-dropping-particle":"","parse-names":false,"suffix":""},{"dropping-particle":"","family":"Rizzoli","given":"René","non-dropping-particle":"","parse-names":false,"suffix":""},{"dropping-particle":"","family":"Scholte-Voshaar","given":"Marieke","non-dropping-particle":"","parse-names":false,"suffix":""},{"dropping-particle":"","family":"Vlaskovska","given":"Mila","non-dropping-particle":"","parse-names":false,"suffix":""},{"dropping-particle":"","family":"Reginster","given":"Jean-Yves","non-dropping-particle":"","parse-names":false,"suffix":""}],"container-title":"Aging Clinical and Experimental Research","id":"ITEM-2","issued":{"date-parts":[["2019","4","16"]]},"title":"Practical guidance for engaging patients in health research, treatment guidelines and regulatory processes: results of an expert group meeting organized by the World Health Organization (WHO) and the European Society for Clinical and Economic Aspects of O","type":"article-journal"},"uris":["http://www.mendeley.com/documents/?uuid=cf4f6dd0-bf13-3917-b6f9-41e98e0883e4"]}],"mendeley":{"formattedCitation":"[34, 35]","plainTextFormattedCitation":"[34, 35]","previouslyFormattedCitation":"[32, 33]"},"properties":{"noteIndex":0},"schema":"https://github.com/citation-style-language/schema/raw/master/csl-citation.json"}</w:instrText>
      </w:r>
      <w:r w:rsidR="00D8668B">
        <w:rPr>
          <w:rFonts w:ascii="Palatino Linotype" w:hAnsi="Palatino Linotype"/>
          <w:color w:val="000000" w:themeColor="text1"/>
          <w:lang w:val="en-GB"/>
        </w:rPr>
        <w:fldChar w:fldCharType="separate"/>
      </w:r>
      <w:r w:rsidR="009D3AAF" w:rsidRPr="009D3AAF">
        <w:rPr>
          <w:rFonts w:ascii="Palatino Linotype" w:hAnsi="Palatino Linotype"/>
          <w:noProof/>
          <w:color w:val="000000" w:themeColor="text1"/>
          <w:lang w:val="en-GB"/>
        </w:rPr>
        <w:t>[34, 35]</w:t>
      </w:r>
      <w:r w:rsidR="00D8668B">
        <w:rPr>
          <w:rFonts w:ascii="Palatino Linotype" w:hAnsi="Palatino Linotype"/>
          <w:color w:val="000000" w:themeColor="text1"/>
          <w:lang w:val="en-GB"/>
        </w:rPr>
        <w:fldChar w:fldCharType="end"/>
      </w:r>
      <w:r w:rsidR="009A72E9">
        <w:rPr>
          <w:rFonts w:ascii="Palatino Linotype" w:hAnsi="Palatino Linotype"/>
          <w:color w:val="000000" w:themeColor="text1"/>
          <w:lang w:val="en-GB"/>
        </w:rPr>
        <w:t xml:space="preserve">. </w:t>
      </w:r>
      <w:r w:rsidR="003D101F">
        <w:rPr>
          <w:rFonts w:ascii="Palatino Linotype" w:hAnsi="Palatino Linotype"/>
          <w:color w:val="000000" w:themeColor="text1"/>
          <w:lang w:val="en-GB"/>
        </w:rPr>
        <w:t xml:space="preserve">There is an increasing emphasis on patient-centred research and </w:t>
      </w:r>
      <w:r w:rsidR="009A72E9">
        <w:rPr>
          <w:rFonts w:ascii="Palatino Linotype" w:hAnsi="Palatino Linotype"/>
          <w:color w:val="000000" w:themeColor="text1"/>
          <w:lang w:val="en-GB"/>
        </w:rPr>
        <w:t>PROMs</w:t>
      </w:r>
      <w:r w:rsidR="00DC3CC2">
        <w:rPr>
          <w:rFonts w:ascii="Palatino Linotype" w:hAnsi="Palatino Linotype"/>
          <w:color w:val="000000" w:themeColor="text1"/>
          <w:lang w:val="en-GB"/>
        </w:rPr>
        <w:t xml:space="preserve"> </w:t>
      </w:r>
      <w:r w:rsidR="00CB5DAC">
        <w:rPr>
          <w:rFonts w:ascii="Palatino Linotype" w:hAnsi="Palatino Linotype"/>
          <w:color w:val="000000" w:themeColor="text1"/>
          <w:lang w:val="en-GB"/>
        </w:rPr>
        <w:t xml:space="preserve">are </w:t>
      </w:r>
      <w:r w:rsidR="009A72E9">
        <w:rPr>
          <w:rFonts w:ascii="Palatino Linotype" w:hAnsi="Palatino Linotype"/>
          <w:color w:val="000000" w:themeColor="text1"/>
          <w:lang w:val="en-GB"/>
        </w:rPr>
        <w:t xml:space="preserve">increasingly recognized </w:t>
      </w:r>
      <w:r w:rsidR="009A72E9" w:rsidRPr="00283B5D">
        <w:rPr>
          <w:rFonts w:ascii="Palatino Linotype" w:hAnsi="Palatino Linotype"/>
          <w:color w:val="000000" w:themeColor="text1"/>
          <w:highlight w:val="yellow"/>
          <w:lang w:val="en-GB"/>
        </w:rPr>
        <w:t>by</w:t>
      </w:r>
      <w:r w:rsidR="00283B5D" w:rsidRPr="00283B5D">
        <w:rPr>
          <w:rFonts w:ascii="Palatino Linotype" w:hAnsi="Palatino Linotype"/>
          <w:color w:val="000000" w:themeColor="text1"/>
          <w:highlight w:val="yellow"/>
          <w:lang w:val="en-GB"/>
        </w:rPr>
        <w:t xml:space="preserve"> government</w:t>
      </w:r>
      <w:r w:rsidR="009A72E9" w:rsidRPr="00283B5D">
        <w:rPr>
          <w:rFonts w:ascii="Palatino Linotype" w:hAnsi="Palatino Linotype"/>
          <w:color w:val="000000" w:themeColor="text1"/>
          <w:highlight w:val="yellow"/>
          <w:lang w:val="en-GB"/>
        </w:rPr>
        <w:t xml:space="preserve"> </w:t>
      </w:r>
      <w:r w:rsidR="00283B5D" w:rsidRPr="00283B5D">
        <w:rPr>
          <w:rFonts w:ascii="Palatino Linotype" w:hAnsi="Palatino Linotype"/>
          <w:color w:val="000000" w:themeColor="text1"/>
          <w:highlight w:val="yellow"/>
          <w:lang w:val="en-GB"/>
        </w:rPr>
        <w:t>regulatory agencies</w:t>
      </w:r>
      <w:r w:rsidR="00283B5D">
        <w:rPr>
          <w:rFonts w:ascii="Palatino Linotype" w:hAnsi="Palatino Linotype"/>
          <w:color w:val="000000" w:themeColor="text1"/>
          <w:lang w:val="en-GB"/>
        </w:rPr>
        <w:t xml:space="preserve"> </w:t>
      </w:r>
      <w:r w:rsidR="00F72D4B" w:rsidRPr="00F72D4B">
        <w:rPr>
          <w:rFonts w:ascii="Palatino Linotype" w:hAnsi="Palatino Linotype"/>
          <w:color w:val="000000" w:themeColor="text1"/>
          <w:highlight w:val="yellow"/>
          <w:lang w:val="en-GB"/>
        </w:rPr>
        <w:t>(</w:t>
      </w:r>
      <w:r w:rsidR="00283B5D">
        <w:rPr>
          <w:rFonts w:ascii="Palatino Linotype" w:hAnsi="Palatino Linotype"/>
          <w:color w:val="000000" w:themeColor="text1"/>
          <w:highlight w:val="yellow"/>
          <w:lang w:val="en-GB"/>
        </w:rPr>
        <w:t xml:space="preserve">e.g. </w:t>
      </w:r>
      <w:r w:rsidR="00F72D4B" w:rsidRPr="00F72D4B">
        <w:rPr>
          <w:rFonts w:ascii="Palatino Linotype" w:hAnsi="Palatino Linotype"/>
          <w:color w:val="000000" w:themeColor="text1"/>
          <w:highlight w:val="yellow"/>
          <w:lang w:val="en-GB"/>
        </w:rPr>
        <w:t>FDA, EMA, etc.)</w:t>
      </w:r>
      <w:r w:rsidR="00F72D4B">
        <w:rPr>
          <w:rFonts w:ascii="Palatino Linotype" w:hAnsi="Palatino Linotype"/>
          <w:color w:val="000000" w:themeColor="text1"/>
          <w:lang w:val="en-GB"/>
        </w:rPr>
        <w:t xml:space="preserve"> </w:t>
      </w:r>
      <w:r w:rsidR="009A72E9">
        <w:rPr>
          <w:rFonts w:ascii="Palatino Linotype" w:hAnsi="Palatino Linotype"/>
          <w:color w:val="000000" w:themeColor="text1"/>
          <w:lang w:val="en-GB"/>
        </w:rPr>
        <w:t>, clinicians and patients as valuable tool</w:t>
      </w:r>
      <w:r w:rsidR="00884946">
        <w:rPr>
          <w:rFonts w:ascii="Palatino Linotype" w:hAnsi="Palatino Linotype"/>
          <w:color w:val="000000" w:themeColor="text1"/>
          <w:lang w:val="en-GB"/>
        </w:rPr>
        <w:t>s</w:t>
      </w:r>
      <w:r w:rsidR="009A72E9">
        <w:rPr>
          <w:rFonts w:ascii="Palatino Linotype" w:hAnsi="Palatino Linotype"/>
          <w:color w:val="000000" w:themeColor="text1"/>
          <w:lang w:val="en-GB"/>
        </w:rPr>
        <w:t xml:space="preserve"> to </w:t>
      </w:r>
      <w:r w:rsidR="003D101F">
        <w:rPr>
          <w:rFonts w:ascii="Palatino Linotype" w:hAnsi="Palatino Linotype"/>
          <w:color w:val="000000" w:themeColor="text1"/>
          <w:lang w:val="en-GB"/>
        </w:rPr>
        <w:t xml:space="preserve">be </w:t>
      </w:r>
      <w:r w:rsidR="009A72E9">
        <w:rPr>
          <w:rFonts w:ascii="Palatino Linotype" w:hAnsi="Palatino Linotype"/>
          <w:color w:val="000000" w:themeColor="text1"/>
          <w:lang w:val="en-GB"/>
        </w:rPr>
        <w:t>use</w:t>
      </w:r>
      <w:r w:rsidR="002B265E">
        <w:rPr>
          <w:rFonts w:ascii="Palatino Linotype" w:hAnsi="Palatino Linotype"/>
          <w:color w:val="000000" w:themeColor="text1"/>
          <w:lang w:val="en-GB"/>
        </w:rPr>
        <w:t>d</w:t>
      </w:r>
      <w:r w:rsidR="009A72E9">
        <w:rPr>
          <w:rFonts w:ascii="Palatino Linotype" w:hAnsi="Palatino Linotype"/>
          <w:color w:val="000000" w:themeColor="text1"/>
          <w:lang w:val="en-GB"/>
        </w:rPr>
        <w:t xml:space="preserve"> in clinical trials to ensure the impact of a clinical intervention is comprehensively assessed </w:t>
      </w:r>
      <w:r w:rsidR="009A72E9">
        <w:rPr>
          <w:rFonts w:ascii="Palatino Linotype" w:hAnsi="Palatino Linotype"/>
          <w:color w:val="000000" w:themeColor="text1"/>
          <w:lang w:val="en-GB"/>
        </w:rPr>
        <w:fldChar w:fldCharType="begin" w:fldLock="1"/>
      </w:r>
      <w:r w:rsidR="009D3AAF">
        <w:rPr>
          <w:rFonts w:ascii="Palatino Linotype" w:hAnsi="Palatino Linotype"/>
          <w:color w:val="000000" w:themeColor="text1"/>
          <w:lang w:val="en-GB"/>
        </w:rPr>
        <w:instrText>ADDIN CSL_CITATION {"citationItems":[{"id":"ITEM-1","itemData":{"DOI":"10.2147/prom.s156279","ISSN":"1179-271X","abstract":"Patient-reported outcomes (PROs) can be included in clinical trials as primary or secondary endpoints and are increasingly recognized by regulators, clinicians, and patients as valuable tools to collect patient-centered data. PROs provide unique information on the impact of a medical condition and its treatment from the patient's perspective; therefore, PROs can be included in clinical trials to ensure the impact of a trial intervention is comprehensively assessed. This review first discusses examples of how PRO endpoints have added value to clinical trial interpretation. Second, it describes the problems with current practices in designing, implementing, and reporting PRO studies, and how these problems may be addressed by complying with guidance for protocol development, selecting appropriate PRO measures to match clinically motivated PRO hypotheses, minimizing the rates of avoidable missing PRO data, analyzing and interpreting PRO data, and transparently reporting PRO findings.","author":[{"dropping-particle":"","family":"Mercieca-Bebber","given":"Rebecca","non-dropping-particle":"","parse-names":false,"suffix":""},{"dropping-particle":"","family":"King","given":"Madeleine T","non-dropping-particle":"","parse-names":false,"suffix":""},{"dropping-particle":"","family":"Calvert","given":"Melanie J","non-dropping-particle":"","parse-names":false,"suffix":""},{"dropping-particle":"","family":"Stockler","given":"Martin R","non-dropping-particle":"","parse-names":false,"suffix":""},{"dropping-particle":"","family":"Friedlander","given":"Michael","non-dropping-particle":"","parse-names":false,"suffix":""}],"container-title":"Patient Related Outcome Measures","id":"ITEM-1","issued":{"date-parts":[["2018","11"]]},"page":"353-367","publisher":"Dove Medical Press Ltd.","title":"The importance of patient-reported outcomes in clinical trials and strategies for future optimization","type":"article-journal","volume":"Volume 9"},"uris":["http://www.mendeley.com/documents/?uuid=e7298bd6-626c-38c6-afbf-5a5f8a033d59","http://www.mendeley.com/documents/?uuid=cc1ba0c8-ab6f-4f9a-9a68-6188d85f52f7"]}],"mendeley":{"formattedCitation":"[36]","plainTextFormattedCitation":"[36]","previouslyFormattedCitation":"[34]"},"properties":{"noteIndex":0},"schema":"https://github.com/citation-style-language/schema/raw/master/csl-citation.json"}</w:instrText>
      </w:r>
      <w:r w:rsidR="009A72E9">
        <w:rPr>
          <w:rFonts w:ascii="Palatino Linotype" w:hAnsi="Palatino Linotype"/>
          <w:color w:val="000000" w:themeColor="text1"/>
          <w:lang w:val="en-GB"/>
        </w:rPr>
        <w:fldChar w:fldCharType="separate"/>
      </w:r>
      <w:r w:rsidR="009D3AAF" w:rsidRPr="009D3AAF">
        <w:rPr>
          <w:rFonts w:ascii="Palatino Linotype" w:hAnsi="Palatino Linotype"/>
          <w:noProof/>
          <w:color w:val="000000" w:themeColor="text1"/>
          <w:lang w:val="en-GB"/>
        </w:rPr>
        <w:t>[36]</w:t>
      </w:r>
      <w:r w:rsidR="009A72E9">
        <w:rPr>
          <w:rFonts w:ascii="Palatino Linotype" w:hAnsi="Palatino Linotype"/>
          <w:color w:val="000000" w:themeColor="text1"/>
          <w:lang w:val="en-GB"/>
        </w:rPr>
        <w:fldChar w:fldCharType="end"/>
      </w:r>
      <w:r w:rsidR="009A72E9">
        <w:rPr>
          <w:rFonts w:ascii="Palatino Linotype" w:hAnsi="Palatino Linotype"/>
          <w:color w:val="000000" w:themeColor="text1"/>
          <w:lang w:val="en-GB"/>
        </w:rPr>
        <w:t>.</w:t>
      </w:r>
      <w:r w:rsidR="00963985">
        <w:rPr>
          <w:rFonts w:ascii="Palatino Linotype" w:hAnsi="Palatino Linotype"/>
          <w:color w:val="000000" w:themeColor="text1"/>
          <w:lang w:val="en-GB"/>
        </w:rPr>
        <w:t xml:space="preserve"> </w:t>
      </w:r>
      <w:r w:rsidR="00581B6A">
        <w:rPr>
          <w:rFonts w:ascii="Palatino Linotype" w:hAnsi="Palatino Linotype"/>
          <w:color w:val="000000" w:themeColor="text1"/>
          <w:lang w:val="en-GB"/>
        </w:rPr>
        <w:t xml:space="preserve">The way </w:t>
      </w:r>
      <w:r w:rsidR="003C2DC9">
        <w:rPr>
          <w:rFonts w:ascii="Palatino Linotype" w:hAnsi="Palatino Linotype"/>
          <w:color w:val="000000" w:themeColor="text1"/>
          <w:lang w:val="en-GB"/>
        </w:rPr>
        <w:t xml:space="preserve">of how </w:t>
      </w:r>
      <w:r w:rsidR="00581B6A">
        <w:rPr>
          <w:rFonts w:ascii="Palatino Linotype" w:hAnsi="Palatino Linotype"/>
          <w:color w:val="000000" w:themeColor="text1"/>
          <w:lang w:val="en-GB"/>
        </w:rPr>
        <w:t>patient</w:t>
      </w:r>
      <w:r w:rsidR="002B265E">
        <w:rPr>
          <w:rFonts w:ascii="Palatino Linotype" w:hAnsi="Palatino Linotype"/>
          <w:color w:val="000000" w:themeColor="text1"/>
          <w:lang w:val="en-GB"/>
        </w:rPr>
        <w:t>s</w:t>
      </w:r>
      <w:r w:rsidR="00581B6A">
        <w:rPr>
          <w:rFonts w:ascii="Palatino Linotype" w:hAnsi="Palatino Linotype"/>
          <w:color w:val="000000" w:themeColor="text1"/>
          <w:lang w:val="en-GB"/>
        </w:rPr>
        <w:t xml:space="preserve"> perceive the benefit </w:t>
      </w:r>
      <w:r w:rsidR="000B4EFF">
        <w:rPr>
          <w:rFonts w:ascii="Palatino Linotype" w:hAnsi="Palatino Linotype"/>
          <w:color w:val="000000" w:themeColor="text1"/>
          <w:lang w:val="en-GB"/>
        </w:rPr>
        <w:t xml:space="preserve">derived </w:t>
      </w:r>
      <w:r w:rsidR="00581B6A">
        <w:rPr>
          <w:rFonts w:ascii="Palatino Linotype" w:hAnsi="Palatino Linotype"/>
          <w:color w:val="000000" w:themeColor="text1"/>
          <w:lang w:val="en-GB"/>
        </w:rPr>
        <w:t xml:space="preserve">from </w:t>
      </w:r>
      <w:r w:rsidR="000B4EFF">
        <w:rPr>
          <w:rFonts w:ascii="Palatino Linotype" w:hAnsi="Palatino Linotype"/>
          <w:color w:val="000000" w:themeColor="text1"/>
          <w:lang w:val="en-GB"/>
        </w:rPr>
        <w:t>an</w:t>
      </w:r>
      <w:r w:rsidR="00581B6A">
        <w:rPr>
          <w:rFonts w:ascii="Palatino Linotype" w:hAnsi="Palatino Linotype"/>
          <w:color w:val="000000" w:themeColor="text1"/>
          <w:lang w:val="en-GB"/>
        </w:rPr>
        <w:t xml:space="preserve"> intervention could be captured by the use of PROM. </w:t>
      </w:r>
      <w:r w:rsidR="00963985">
        <w:rPr>
          <w:rFonts w:ascii="Palatino Linotype" w:hAnsi="Palatino Linotype"/>
          <w:color w:val="000000" w:themeColor="text1"/>
          <w:lang w:val="en-GB"/>
        </w:rPr>
        <w:t>A common issue of co-primary endpoints appears when the two co-endpoints respond differently to the treatment</w:t>
      </w:r>
      <w:r w:rsidR="006D50D1">
        <w:rPr>
          <w:rFonts w:ascii="Palatino Linotype" w:hAnsi="Palatino Linotype"/>
          <w:color w:val="000000" w:themeColor="text1"/>
          <w:lang w:val="en-GB"/>
        </w:rPr>
        <w:t xml:space="preserve"> </w:t>
      </w:r>
      <w:r w:rsidR="00963985">
        <w:rPr>
          <w:rFonts w:ascii="Palatino Linotype" w:hAnsi="Palatino Linotype"/>
          <w:color w:val="000000" w:themeColor="text1"/>
          <w:lang w:val="en-GB"/>
        </w:rPr>
        <w:fldChar w:fldCharType="begin" w:fldLock="1"/>
      </w:r>
      <w:r w:rsidR="009D3AAF">
        <w:rPr>
          <w:rFonts w:ascii="Palatino Linotype" w:hAnsi="Palatino Linotype"/>
          <w:color w:val="000000" w:themeColor="text1"/>
          <w:lang w:val="en-GB"/>
        </w:rPr>
        <w:instrText>ADDIN CSL_CITATION {"citationItems":[{"id":"ITEM-1","itemData":{"DOI":"10.1002/bimj.200710497","ISSN":"03233847","abstract":"Often a treatment is assessed by co-primary endpoints so that a comprehensive picture of the treatment effect can be obtained. Co-primary endpoints can be different medical assessments angled at different aspects of a disease, therefore, are used collectively to strengthen evidence for the treatment effect. It is common sense that if a treatment is ineffective, the chance to show that the treatment is effective in all co-primary endpoints should be small. Therefore, it may not be necessary to require all the co-primary endpoints to be statistically significant at the 1-sided 0.025 level to control the error rate of wrongly approving an ineffective treatment. Rather it is reasonable to allow certain variation for the p-values within a range close to 0.025. In this paper, statistical methods are developed to derive decision rules to evaluate co-primary endpoints collectively. The decision rules control the error rate of wrongly accepting an ineffective treatment at the level of 0.025 for a study and the error rate at a slightly higher level for a treatment that works for all the co-primary endpoints except perhaps one. The decision rules also control the error rates for individual endpoints. Potential applications in clinical trials are presented.","author":[{"dropping-particle":"","family":"Qian","given":"H. Li","non-dropping-particle":"","parse-names":false,"suffix":""}],"container-title":"Biometrical Journal","id":"ITEM-1","issue":"1","issued":{"date-parts":[["2009","2"]]},"page":"137-145","title":"Evaluating co-primary endpoints collectively in clinical trials §","type":"article-journal","volume":"51"},"uris":["http://www.mendeley.com/documents/?uuid=d1162deb-7e47-314c-b51b-49e004ae638b","http://www.mendeley.com/documents/?uuid=9877f6a8-9571-4212-982f-c722ca1f1a64"]},{"id":"ITEM-2","itemData":{"DOI":"10.1016/j.conctc.2019.100486","ISSN":"24518654","abstract":"The purpose of late phase clinical trials is to generate evidence of sufficient validity and generalisability to be translated into practice and policy to improve health outcomes. It is therefore crucial that the chosen endpoints are meaningful to the clinicians, patients and policymakers that are the end-users of evidence generated by these trials. The choice of endpoints may be improved by understanding their characteristics and properties. This narrative review describes the evolution, range and relative strengths and weaknesses of endpoints used in late phase trials. It is intended to serve as a reference to assist those designing trials when choosing primary endpoint(s), and for the end-users charged with interpreting these trials to inform practice and policy.","author":[{"dropping-particle":"","family":"McLeod","given":"Charlie","non-dropping-particle":"","parse-names":false,"suffix":""},{"dropping-particle":"","family":"Norman","given":"Richard","non-dropping-particle":"","parse-names":false,"suffix":""},{"dropping-particle":"","family":"Litton","given":"Edward","non-dropping-particle":"","parse-names":false,"suffix":""},{"dropping-particle":"","family":"Saville","given":"Benjamin R.","non-dropping-particle":"","parse-names":false,"suffix":""},{"dropping-particle":"","family":"Webb","given":"Steve","non-dropping-particle":"","parse-names":false,"suffix":""},{"dropping-particle":"","family":"Snelling","given":"Thomas L.","non-dropping-particle":"","parse-names":false,"suffix":""}],"container-title":"Contemporary Clinical Trials Communications","id":"ITEM-2","issued":{"date-parts":[["2019","12","1"]]},"page":"100486","publisher":"Elsevier Inc","title":"Choosing primary endpoints for clinical trials of health care interventions","type":"article","volume":"16"},"uris":["http://www.mendeley.com/documents/?uuid=5be22c39-d112-3af4-a80a-5dc6efc88fd6","http://www.mendeley.com/documents/?uuid=2e476bc8-0dc0-4205-9cf4-9d78f0c89743"]}],"mendeley":{"formattedCitation":"[37, 38]","plainTextFormattedCitation":"[37, 38]","previouslyFormattedCitation":"[35, 36]"},"properties":{"noteIndex":0},"schema":"https://github.com/citation-style-language/schema/raw/master/csl-citation.json"}</w:instrText>
      </w:r>
      <w:r w:rsidR="00963985">
        <w:rPr>
          <w:rFonts w:ascii="Palatino Linotype" w:hAnsi="Palatino Linotype"/>
          <w:color w:val="000000" w:themeColor="text1"/>
          <w:lang w:val="en-GB"/>
        </w:rPr>
        <w:fldChar w:fldCharType="separate"/>
      </w:r>
      <w:r w:rsidR="009D3AAF" w:rsidRPr="009D3AAF">
        <w:rPr>
          <w:rFonts w:ascii="Palatino Linotype" w:hAnsi="Palatino Linotype"/>
          <w:noProof/>
          <w:color w:val="000000" w:themeColor="text1"/>
          <w:lang w:val="en-GB"/>
        </w:rPr>
        <w:t>[37, 38]</w:t>
      </w:r>
      <w:r w:rsidR="00963985">
        <w:rPr>
          <w:rFonts w:ascii="Palatino Linotype" w:hAnsi="Palatino Linotype"/>
          <w:color w:val="000000" w:themeColor="text1"/>
          <w:lang w:val="en-GB"/>
        </w:rPr>
        <w:fldChar w:fldCharType="end"/>
      </w:r>
      <w:r w:rsidR="00963985">
        <w:rPr>
          <w:rFonts w:ascii="Palatino Linotype" w:hAnsi="Palatino Linotype"/>
          <w:color w:val="000000" w:themeColor="text1"/>
          <w:lang w:val="en-GB"/>
        </w:rPr>
        <w:t>. However, combining an objective primary endpoint such as physical performance with a subjective well-being endpoint such as quality of life reduce</w:t>
      </w:r>
      <w:r w:rsidR="002B265E">
        <w:rPr>
          <w:rFonts w:ascii="Palatino Linotype" w:hAnsi="Palatino Linotype"/>
          <w:color w:val="000000" w:themeColor="text1"/>
          <w:lang w:val="en-GB"/>
        </w:rPr>
        <w:t>s</w:t>
      </w:r>
      <w:r w:rsidR="00963985">
        <w:rPr>
          <w:rFonts w:ascii="Palatino Linotype" w:hAnsi="Palatino Linotype"/>
          <w:color w:val="000000" w:themeColor="text1"/>
          <w:lang w:val="en-GB"/>
        </w:rPr>
        <w:t xml:space="preserve"> the risk </w:t>
      </w:r>
      <w:r w:rsidR="000B4EFF">
        <w:rPr>
          <w:rFonts w:ascii="Palatino Linotype" w:hAnsi="Palatino Linotype"/>
          <w:color w:val="000000" w:themeColor="text1"/>
          <w:lang w:val="en-GB"/>
        </w:rPr>
        <w:t>for</w:t>
      </w:r>
      <w:r w:rsidR="00963985">
        <w:rPr>
          <w:rFonts w:ascii="Palatino Linotype" w:hAnsi="Palatino Linotype"/>
          <w:color w:val="000000" w:themeColor="text1"/>
          <w:lang w:val="en-GB"/>
        </w:rPr>
        <w:t xml:space="preserve"> this scenario. Indeed, previous studies have already highlighted the linear relationship between the improvement of physical performance and health-related quality of life</w:t>
      </w:r>
      <w:r w:rsidR="000B4EFF">
        <w:rPr>
          <w:rFonts w:ascii="Palatino Linotype" w:hAnsi="Palatino Linotype"/>
          <w:color w:val="000000" w:themeColor="text1"/>
          <w:lang w:val="en-GB"/>
        </w:rPr>
        <w:t xml:space="preserve"> in older adults</w:t>
      </w:r>
      <w:r w:rsidR="003C2DC9">
        <w:rPr>
          <w:rFonts w:ascii="Palatino Linotype" w:hAnsi="Palatino Linotype"/>
          <w:color w:val="000000" w:themeColor="text1"/>
          <w:lang w:val="en-GB"/>
        </w:rPr>
        <w:t xml:space="preserve"> </w:t>
      </w:r>
      <w:r w:rsidR="00963985">
        <w:rPr>
          <w:rFonts w:ascii="Palatino Linotype" w:hAnsi="Palatino Linotype"/>
          <w:color w:val="000000" w:themeColor="text1"/>
          <w:lang w:val="en-GB"/>
        </w:rPr>
        <w:fldChar w:fldCharType="begin" w:fldLock="1"/>
      </w:r>
      <w:r w:rsidR="009D3AAF">
        <w:rPr>
          <w:rFonts w:ascii="Palatino Linotype" w:hAnsi="Palatino Linotype"/>
          <w:color w:val="000000" w:themeColor="text1"/>
          <w:lang w:val="en-GB"/>
        </w:rPr>
        <w:instrText>ADDIN CSL_CITATION {"citationItems":[{"id":"ITEM-1","itemData":{"DOI":"10.3390/jcm7120480","ISSN":"2077-0383","PMID":"30486262","abstract":"&lt;p&gt;Physical exercise is effective for sarcopenic elderly but evidence for the most effective mode of exercise is conflicting. The objective of this study was to investigate the effects of a three-month group-based versus home-based exercise program on muscular, functional/physical performance and quality of life (QoL) across elderly with sarcopenia. 54 elderly (47 women, 7 men aged 72.87 ± 7 years) were randomly assigned to one of three interventions: supervised group (n = 18), individualized home-based exercise (n = 18) and control group (n = 18). Body composition was determined by bioelectrical impedance analysis, calf measurement with inelastic tape and strength assessments (grip and knee muscle strength) via hand-held and isokinetic dynamometers. Functional assessments included four-meter (4 m), Τimed-Up and Go (TUG) and chair stand (CS) tests. QoL was assessed with Greek Sarcopenia Quality of Life (SarQol_GR) questionnaire. Outcomes were assessed at baseline, immediately post-intervention (week 12), and 3 months post-intervention (week 24). Significant group x time interactions (p &amp;lt; 0.001) were observed in QoL, calf circumference, TUG, CS, and 4 m tests, grip and knee muscle strength. Group-based compared to home-based exercise yielded significant improvements (p &amp;lt; 0.05) in muscle mass index, CS and 4 m tests, calf circumference, muscle strength at 12 weeks. Most improvements at 24 weeks were reported with grouped exercise. No changes were found across the control group. Results suggest group-based exercise was more effective than home-based for improving functional performance.&lt;/p&gt;","author":[{"dropping-particle":"","family":"Tsekoura","given":"Maria","non-dropping-particle":"","parse-names":false,"suffix":""},{"dropping-particle":"","family":"Billis","given":"Evdokia","non-dropping-particle":"","parse-names":false,"suffix":""},{"dropping-particle":"","family":"Tsepis","given":"Elias","non-dropping-particle":"","parse-names":false,"suffix":""},{"dropping-particle":"","family":"Dimitriadis","given":"Zacharias","non-dropping-particle":"","parse-names":false,"suffix":""},{"dropping-particle":"","family":"Matzaroglou","given":"Charalampos","non-dropping-particle":"","parse-names":false,"suffix":""},{"dropping-particle":"","family":"Tyllianakis","given":"Minos","non-dropping-particle":"","parse-names":false,"suffix":""},{"dropping-particle":"","family":"Panagiotopoulos","given":"Elias","non-dropping-particle":"","parse-names":false,"suffix":""},{"dropping-particle":"","family":"Gliatis","given":"John","non-dropping-particle":"","parse-names":false,"suffix":""}],"container-title":"Journal of Clinical Medicine","id":"ITEM-1","issue":"12","issued":{"date-parts":[["2018","11","26"]]},"page":"480","title":"The Effects of Group and Home-Based Exercise Programs in Elderly with Sarcopenia: A Randomized Controlled Trial","type":"article-journal","volume":"7"},"uris":["http://www.mendeley.com/documents/?uuid=a1307c27-02f1-3f3e-93df-ff4860a83d91"]},{"id":"ITEM-2","itemData":{"DOI":"10.1007/s12325-018-0820-z","ISSN":"1865-8652 (Electronic)","PMID":"30374809","abstract":"INTRODUCTION: The Sarcopenia Quality of Life (SarQoL((R))) questionnaire was developed to provide a patient-reported outcome measure specific to sarcopenia. Its psychometric properties indicate that it is a valid and reliable instrument. However, until now, its ability to detect change over time has not been examined. Therefore, the objective of this study is to evaluate the responsiveness (also known as sensitivity to change) of the SarQoL((R)) questionnaire in a prospective, longitudinal cohort of community-dwelling, older, sarcopenic subjects. METHODS: Sarcopenic subjects from the SarcoPhAge (Sarcopenia and Physical impairment with advancing Age) study were included. Responsiveness was evaluated with nine pre-specified hypotheses on the correlation between the evolution of the SarQoL((R)) scores after a 2-year interval and the evolution of the scores on the Short Form-36 (SF-36) and the Euroqol 5-dimension (EQ-5D) questionnaires. This technique considers responsiveness to be a form of longitudinal validity. Additionally, standardized response means were also calculated to compare the quantity of change measured by the different questionnaires. RESULTS: A total of 42 sarcopenic subjects were included. The median age of the sample was 72.9 (68.9-78.8) years, 59.5% were female, and the mean body mass index was 23.3 (20.4-25.7) kg/m(2). A good responsiveness was observed, as evidenced by the confirmation of eight out of nine hypotheses, well above the 75% confirmation threshold. The standardized response mean of the Overall SarQoL((R)) score was significantly higher than those of the SF-36 Physical Component Summary (p = 0.005), the EQ-5D Utility Index (p &lt; 0.001) and the Euroqol visual analogue scale (p = 0.003). CONCLUSION: The first data available on the ability of the SarQoL((R)) questionnaire to detect change over time indicates that the questionnaire has good responsiveness. This, together with the previously established psychometric properties, confirms that the SarQoL((R)) questionnaire is a relevant instrument for the assessment of quality of life in sarcopenic populations.","author":[{"dropping-particle":"","family":"Geerinck","given":"Anton","non-dropping-particle":"","parse-names":false,"suffix":""},{"dropping-particle":"","family":"Bruyere","given":"Olivier","non-dropping-particle":"","parse-names":false,"suffix":""},{"dropping-particle":"","family":"Locquet","given":"Medea","non-dropping-particle":"","parse-names":false,"suffix":""},{"dropping-particle":"","family":"Reginster","given":"Jean-Yves","non-dropping-particle":"","parse-names":false,"suffix":""},{"dropping-particle":"","family":"Beaudart","given":"Charlotte","non-dropping-particle":"","parse-names":false,"suffix":""}],"container-title":"Advances in therapy","id":"ITEM-2","issue":"11","issued":{"date-parts":[["2018","11"]]},"language":"eng","page":"1842-1858","publisher-place":"United States","title":"Evaluation of the Responsiveness of the SarQoL((R)) Questionnaire, a Patient-Reported Outcome Measure Specific to Sarcopenia.","type":"article-journal","volume":"35"},"uris":["http://www.mendeley.com/documents/?uuid=9f1dee6c-9ae9-4554-8067-59d23b72674a","http://www.mendeley.com/documents/?uuid=911b833a-4568-42fa-ad57-0a7498596461"]}],"mendeley":{"formattedCitation":"[39, 40]","plainTextFormattedCitation":"[39, 40]","previouslyFormattedCitation":"[37, 38]"},"properties":{"noteIndex":0},"schema":"https://github.com/citation-style-language/schema/raw/master/csl-citation.json"}</w:instrText>
      </w:r>
      <w:r w:rsidR="00963985">
        <w:rPr>
          <w:rFonts w:ascii="Palatino Linotype" w:hAnsi="Palatino Linotype"/>
          <w:color w:val="000000" w:themeColor="text1"/>
          <w:lang w:val="en-GB"/>
        </w:rPr>
        <w:fldChar w:fldCharType="separate"/>
      </w:r>
      <w:r w:rsidR="009D3AAF" w:rsidRPr="009D3AAF">
        <w:rPr>
          <w:rFonts w:ascii="Palatino Linotype" w:hAnsi="Palatino Linotype"/>
          <w:noProof/>
          <w:color w:val="000000" w:themeColor="text1"/>
          <w:lang w:val="en-GB"/>
        </w:rPr>
        <w:t>[39, 40]</w:t>
      </w:r>
      <w:r w:rsidR="00963985">
        <w:rPr>
          <w:rFonts w:ascii="Palatino Linotype" w:hAnsi="Palatino Linotype"/>
          <w:color w:val="000000" w:themeColor="text1"/>
          <w:lang w:val="en-GB"/>
        </w:rPr>
        <w:fldChar w:fldCharType="end"/>
      </w:r>
      <w:r w:rsidR="00963985">
        <w:rPr>
          <w:rFonts w:ascii="Palatino Linotype" w:hAnsi="Palatino Linotype"/>
          <w:color w:val="000000" w:themeColor="text1"/>
          <w:lang w:val="en-GB"/>
        </w:rPr>
        <w:t xml:space="preserve">. </w:t>
      </w:r>
      <w:r w:rsidR="008B7769">
        <w:rPr>
          <w:rFonts w:ascii="Palatino Linotype" w:hAnsi="Palatino Linotype"/>
          <w:color w:val="000000" w:themeColor="text1"/>
          <w:lang w:val="en-GB"/>
        </w:rPr>
        <w:t>This combination of physical performance and PRO is also likely to be relevant for Health Technology (reimbursement) assessment.</w:t>
      </w:r>
    </w:p>
    <w:p w14:paraId="6C11B2C4" w14:textId="69A95BB8" w:rsidR="00675C57" w:rsidRDefault="00675C57" w:rsidP="006A297D">
      <w:pPr>
        <w:jc w:val="both"/>
        <w:rPr>
          <w:rFonts w:ascii="Palatino Linotype" w:hAnsi="Palatino Linotype"/>
          <w:color w:val="000000" w:themeColor="text1"/>
          <w:lang w:val="en-GB"/>
        </w:rPr>
      </w:pPr>
      <w:r>
        <w:rPr>
          <w:rFonts w:ascii="Palatino Linotype" w:hAnsi="Palatino Linotype"/>
          <w:color w:val="000000" w:themeColor="text1"/>
          <w:lang w:val="en-GB"/>
        </w:rPr>
        <w:t>Physical performance</w:t>
      </w:r>
      <w:r w:rsidR="005E2D99">
        <w:rPr>
          <w:rFonts w:ascii="Palatino Linotype" w:hAnsi="Palatino Linotype"/>
          <w:color w:val="000000" w:themeColor="text1"/>
          <w:lang w:val="en-GB"/>
        </w:rPr>
        <w:t xml:space="preserve"> is clinically relevant, considered as most important by patients themselves</w:t>
      </w:r>
      <w:r w:rsidR="009A72E9">
        <w:rPr>
          <w:rFonts w:ascii="Palatino Linotype" w:hAnsi="Palatino Linotype"/>
          <w:color w:val="000000" w:themeColor="text1"/>
          <w:lang w:val="en-GB"/>
        </w:rPr>
        <w:t xml:space="preserve"> as compared with muscle strength and muscle mass</w:t>
      </w:r>
      <w:r w:rsidR="005E2D99">
        <w:rPr>
          <w:rFonts w:ascii="Palatino Linotype" w:hAnsi="Palatino Linotype"/>
          <w:color w:val="000000" w:themeColor="text1"/>
          <w:lang w:val="en-GB"/>
        </w:rPr>
        <w:t>, easy to implement in clinical settings</w:t>
      </w:r>
      <w:r w:rsidR="00207A10">
        <w:rPr>
          <w:rFonts w:ascii="Palatino Linotype" w:hAnsi="Palatino Linotype"/>
          <w:color w:val="000000" w:themeColor="text1"/>
          <w:lang w:val="en-GB"/>
        </w:rPr>
        <w:t xml:space="preserve"> and</w:t>
      </w:r>
      <w:r w:rsidR="005E2D99">
        <w:rPr>
          <w:rFonts w:ascii="Palatino Linotype" w:hAnsi="Palatino Linotype"/>
          <w:color w:val="000000" w:themeColor="text1"/>
          <w:lang w:val="en-GB"/>
        </w:rPr>
        <w:t xml:space="preserve"> closely related to muscle health. Moreover, normative data and threshold</w:t>
      </w:r>
      <w:r w:rsidR="00CD0C87">
        <w:rPr>
          <w:rFonts w:ascii="Palatino Linotype" w:hAnsi="Palatino Linotype"/>
          <w:color w:val="000000" w:themeColor="text1"/>
          <w:lang w:val="en-GB"/>
        </w:rPr>
        <w:t>s</w:t>
      </w:r>
      <w:r w:rsidR="005E2D99">
        <w:rPr>
          <w:rFonts w:ascii="Palatino Linotype" w:hAnsi="Palatino Linotype"/>
          <w:color w:val="000000" w:themeColor="text1"/>
          <w:lang w:val="en-GB"/>
        </w:rPr>
        <w:t xml:space="preserve"> to define meaningful change are available for this outcome</w:t>
      </w:r>
      <w:r w:rsidR="006D50D1">
        <w:rPr>
          <w:rFonts w:ascii="Palatino Linotype" w:hAnsi="Palatino Linotype"/>
          <w:color w:val="000000" w:themeColor="text1"/>
          <w:lang w:val="en-GB"/>
        </w:rPr>
        <w:t xml:space="preserve"> </w:t>
      </w:r>
      <w:r w:rsidR="00100A75">
        <w:rPr>
          <w:rFonts w:ascii="Palatino Linotype" w:hAnsi="Palatino Linotype"/>
          <w:color w:val="000000" w:themeColor="text1"/>
          <w:lang w:val="en-GB"/>
        </w:rPr>
        <w:fldChar w:fldCharType="begin" w:fldLock="1"/>
      </w:r>
      <w:r w:rsidR="009D3AAF">
        <w:rPr>
          <w:rFonts w:ascii="Palatino Linotype" w:hAnsi="Palatino Linotype"/>
          <w:color w:val="000000" w:themeColor="text1"/>
          <w:lang w:val="en-GB"/>
        </w:rPr>
        <w:instrText>ADDIN CSL_CITATION {"citationItems":[{"id":"ITEM-1","itemData":{"DOI":"10.1007/s12603-009-0104-z","ISSN":"12797707","PMID":"19536422","abstract":"Objective: Performance measures provide important information, but the meaning of change in these measures is not well known. The purpose of this research is to 1) examine the effect of treatment assignment on the relationship between self-report and performance; 2) to estimate the magnitude of meaningful change in 400-meter walk time (400MWT), 4-meter gait speed (4MGS), and Short Physical Performance Battery (SPPB) and 3) to evaluate the effect of direction of change on estimates of magnitude. Design: This is a secondary analysis of data from the LIFE-P study, a single blinded randomized clinical trial. Using change over one year, we applied distribution-based and anchor-based methods for self-reported mobility to estimate minimally important and substantial change in 400MWT, 4MGS and SPPB. Setting: Four university-based clinical research sites. Participants: Sedentary adults aged 70-89 whose SPPB scores were less than 10 and who were able to complete a 400MW at baseline (n=424). Interventions: A structured exercise program versus health education. Measurements: 400MWT, 4MGS, SPPB. Results: Relationships between self-report and performance measures were consistent between treatment arms. Minimally significant change estimates were 400MWT: 20-30 seconds, 4MGS: 0.03-0.05m/s and SPPB: 0.3 - 0.8 points. Substantial changes were 400MWT: 50-60 seconds, 4MGS: 0.08m/s, SPPB: 0.4 - 1.5 points. Magnitudes of change for improvement and decline were not significantly different. Conclusions: The magnitude of clinically important change in physical performance measures is reasonably consistent using several analytic techniques and appears to be achievable in clinical trials of exercise. Due to limited power, the effect of direction of change on estimates of magnitude remains uncertain. The Journal of Nutrition, Health &amp; Aging©.","author":[{"dropping-particle":"","family":"Kwon","given":"Sooyeon","non-dropping-particle":"","parse-names":false,"suffix":""},{"dropping-particle":"","family":"Perera","given":"S.","non-dropping-particle":"","parse-names":false,"suffix":""},{"dropping-particle":"","family":"Pahor","given":"M.","non-dropping-particle":"","parse-names":false,"suffix":""},{"dropping-particle":"","family":"Katula","given":"J. A.","non-dropping-particle":"","parse-names":false,"suffix":""},{"dropping-particle":"","family":"King","given":"A. C.","non-dropping-particle":"","parse-names":false,"suffix":""},{"dropping-particle":"","family":"Groessl","given":"E. J.","non-dropping-particle":"","parse-names":false,"suffix":""},{"dropping-particle":"","family":"Studenski","given":"S. A.","non-dropping-particle":"","parse-names":false,"suffix":""}],"container-title":"Journal of Nutrition, Health and Aging","id":"ITEM-1","issue":"6","issued":{"date-parts":[["2009","6"]]},"page":"538-544","title":"What is a meaningful change in physical performance? Findings from a clinical trial in older adults (The LIFE-P study)","type":"article-journal","volume":"13"},"uris":["http://www.mendeley.com/documents/?uuid=801666c4-7f7b-3cba-b1ad-e51500e726b6","http://www.mendeley.com/documents/?uuid=69efe650-c908-4f02-b128-2273fd85cdcb"]}],"mendeley":{"formattedCitation":"[41]","plainTextFormattedCitation":"[41]","previouslyFormattedCitation":"[39]"},"properties":{"noteIndex":0},"schema":"https://github.com/citation-style-language/schema/raw/master/csl-citation.json"}</w:instrText>
      </w:r>
      <w:r w:rsidR="00100A75">
        <w:rPr>
          <w:rFonts w:ascii="Palatino Linotype" w:hAnsi="Palatino Linotype"/>
          <w:color w:val="000000" w:themeColor="text1"/>
          <w:lang w:val="en-GB"/>
        </w:rPr>
        <w:fldChar w:fldCharType="separate"/>
      </w:r>
      <w:r w:rsidR="009D3AAF" w:rsidRPr="009D3AAF">
        <w:rPr>
          <w:rFonts w:ascii="Palatino Linotype" w:hAnsi="Palatino Linotype"/>
          <w:noProof/>
          <w:color w:val="000000" w:themeColor="text1"/>
          <w:lang w:val="en-GB"/>
        </w:rPr>
        <w:t>[41]</w:t>
      </w:r>
      <w:r w:rsidR="00100A75">
        <w:rPr>
          <w:rFonts w:ascii="Palatino Linotype" w:hAnsi="Palatino Linotype"/>
          <w:color w:val="000000" w:themeColor="text1"/>
          <w:lang w:val="en-GB"/>
        </w:rPr>
        <w:fldChar w:fldCharType="end"/>
      </w:r>
      <w:r w:rsidR="005E2D99">
        <w:rPr>
          <w:rFonts w:ascii="Palatino Linotype" w:hAnsi="Palatino Linotype"/>
          <w:color w:val="000000" w:themeColor="text1"/>
          <w:lang w:val="en-GB"/>
        </w:rPr>
        <w:t>.</w:t>
      </w:r>
      <w:r w:rsidR="00642536">
        <w:rPr>
          <w:rFonts w:ascii="Palatino Linotype" w:hAnsi="Palatino Linotype"/>
          <w:color w:val="000000" w:themeColor="text1"/>
          <w:lang w:val="en-GB"/>
        </w:rPr>
        <w:t xml:space="preserve"> </w:t>
      </w:r>
      <w:r w:rsidR="006A297D">
        <w:rPr>
          <w:rFonts w:ascii="Palatino Linotype" w:hAnsi="Palatino Linotype"/>
          <w:color w:val="000000" w:themeColor="text1"/>
          <w:lang w:val="en-GB"/>
        </w:rPr>
        <w:t xml:space="preserve">Among the different instruments available to measure physical performance, the 400-meter walk test seems to </w:t>
      </w:r>
      <w:r w:rsidR="000B4EFF">
        <w:rPr>
          <w:rFonts w:ascii="Palatino Linotype" w:hAnsi="Palatino Linotype"/>
          <w:color w:val="000000" w:themeColor="text1"/>
          <w:lang w:val="en-GB"/>
        </w:rPr>
        <w:t>best</w:t>
      </w:r>
      <w:r w:rsidR="006A297D">
        <w:rPr>
          <w:rFonts w:ascii="Palatino Linotype" w:hAnsi="Palatino Linotype"/>
          <w:color w:val="000000" w:themeColor="text1"/>
          <w:lang w:val="en-GB"/>
        </w:rPr>
        <w:t xml:space="preserve"> reflect autonomy</w:t>
      </w:r>
      <w:r w:rsidR="006D50D1">
        <w:rPr>
          <w:rFonts w:ascii="Palatino Linotype" w:hAnsi="Palatino Linotype"/>
          <w:color w:val="000000" w:themeColor="text1"/>
          <w:lang w:val="en-GB"/>
        </w:rPr>
        <w:t xml:space="preserve"> </w:t>
      </w:r>
      <w:r w:rsidR="0025343F">
        <w:rPr>
          <w:rFonts w:ascii="Palatino Linotype" w:hAnsi="Palatino Linotype"/>
          <w:color w:val="000000" w:themeColor="text1"/>
          <w:lang w:val="en-GB"/>
        </w:rPr>
        <w:fldChar w:fldCharType="begin" w:fldLock="1"/>
      </w:r>
      <w:r w:rsidR="009D3AAF">
        <w:rPr>
          <w:rFonts w:ascii="Palatino Linotype" w:hAnsi="Palatino Linotype"/>
          <w:color w:val="000000" w:themeColor="text1"/>
          <w:lang w:val="en-GB"/>
        </w:rPr>
        <w:instrText>ADDIN CSL_CITATION {"citationItems":[{"id":"ITEM-1","itemData":{"DOI":"10.1089/rej.2009.0853","ISSN":"1557-8577","PMID":"19594326","abstract":"The purpose was to examine the relationship between performance in the 400-meter walking test and mortality. Data are from a population-based sample of 948 Italian men and women &gt; or =65 years. The main outcome measures that were assessed comprised time to complete the 400-meter walk, 20-meter lap time coefficient of variation, need to rest during the test, and ability to complete the walk. All-cause mortality was ascertained over a 6-year follow-up period. Data were analyzed with proportional hazard logistic and linear regression analyses. In age- and sex-adjusted analyses, all 400-meter walking test variables except need to rest were associated with mortality. After further adjusting for the Mini-Mental State Examination, symptoms of depression, education, smoking, body mass index, being sedentary/minimally active, disease burden, and lower extremity performance (Short Physical Performance Battery score), both time to complete the 400-meter walk and lap time coefficient of variation were significant independent predictors of mortality. We conclude that multiple aspects of performance in the 400-meter walk test provide complementary information on mortality prognosis in older persons.","author":[{"dropping-particle":"","family":"Vestergaard","given":"Sonja","non-dropping-particle":"","parse-names":false,"suffix":""},{"dropping-particle":"V.","family":"Patel","given":"Kushang","non-dropping-particle":"","parse-names":false,"suffix":""},{"dropping-particle":"","family":"Bandinelli","given":"Stefania","non-dropping-particle":"","parse-names":false,"suffix":""},{"dropping-particle":"","family":"Ferrucci","given":"Luigi","non-dropping-particle":"","parse-names":false,"suffix":""},{"dropping-particle":"","family":"Guralnik","given":"Jack M.","non-dropping-particle":"","parse-names":false,"suffix":""}],"container-title":"Rejuvenation research","id":"ITEM-1","issue":"3","issued":{"date-parts":[["2009","6","1"]]},"page":"177-84","publisher":"Mary Ann Liebert, Inc.","title":"Characteristics of 400-meter walk test performance and subsequent mortality in older adults.","type":"article-journal","volume":"12"},"uris":["http://www.mendeley.com/documents/?uuid=d1b5bf92-e1be-4080-8d2b-1e4e6512b67b"]}],"mendeley":{"formattedCitation":"[42]","plainTextFormattedCitation":"[42]","previouslyFormattedCitation":"[40]"},"properties":{"noteIndex":0},"schema":"https://github.com/citation-style-language/schema/raw/master/csl-citation.json"}</w:instrText>
      </w:r>
      <w:r w:rsidR="0025343F">
        <w:rPr>
          <w:rFonts w:ascii="Palatino Linotype" w:hAnsi="Palatino Linotype"/>
          <w:color w:val="000000" w:themeColor="text1"/>
          <w:lang w:val="en-GB"/>
        </w:rPr>
        <w:fldChar w:fldCharType="separate"/>
      </w:r>
      <w:r w:rsidR="009D3AAF" w:rsidRPr="009D3AAF">
        <w:rPr>
          <w:rFonts w:ascii="Palatino Linotype" w:hAnsi="Palatino Linotype"/>
          <w:noProof/>
          <w:color w:val="000000" w:themeColor="text1"/>
          <w:lang w:val="en-GB"/>
        </w:rPr>
        <w:t>[42]</w:t>
      </w:r>
      <w:r w:rsidR="0025343F">
        <w:rPr>
          <w:rFonts w:ascii="Palatino Linotype" w:hAnsi="Palatino Linotype"/>
          <w:color w:val="000000" w:themeColor="text1"/>
          <w:lang w:val="en-GB"/>
        </w:rPr>
        <w:fldChar w:fldCharType="end"/>
      </w:r>
      <w:r w:rsidR="006A297D">
        <w:rPr>
          <w:rFonts w:ascii="Palatino Linotype" w:hAnsi="Palatino Linotype"/>
          <w:color w:val="000000" w:themeColor="text1"/>
          <w:lang w:val="en-GB"/>
        </w:rPr>
        <w:t xml:space="preserve">. Indeed, this distance is a common distance used to </w:t>
      </w:r>
      <w:r>
        <w:rPr>
          <w:rFonts w:ascii="Palatino Linotype" w:hAnsi="Palatino Linotype"/>
          <w:color w:val="000000" w:themeColor="text1"/>
          <w:lang w:val="en-GB"/>
        </w:rPr>
        <w:t xml:space="preserve">assess </w:t>
      </w:r>
      <w:r w:rsidR="006A297D">
        <w:rPr>
          <w:rFonts w:ascii="Palatino Linotype" w:hAnsi="Palatino Linotype"/>
          <w:color w:val="000000" w:themeColor="text1"/>
          <w:lang w:val="en-GB"/>
        </w:rPr>
        <w:t xml:space="preserve">self-reported </w:t>
      </w:r>
      <w:r w:rsidR="00BB59BC">
        <w:rPr>
          <w:rFonts w:ascii="Palatino Linotype" w:hAnsi="Palatino Linotype"/>
          <w:color w:val="000000" w:themeColor="text1"/>
          <w:lang w:val="en-GB"/>
        </w:rPr>
        <w:t>physical performance</w:t>
      </w:r>
      <w:r w:rsidR="006A297D">
        <w:rPr>
          <w:rFonts w:ascii="Palatino Linotype" w:hAnsi="Palatino Linotype"/>
          <w:color w:val="000000" w:themeColor="text1"/>
          <w:lang w:val="en-GB"/>
        </w:rPr>
        <w:t xml:space="preserve"> and believed to be required for independence with daily tasks. Moreover, inability to complete the 400-meter walk test is highly associated with negative</w:t>
      </w:r>
      <w:r w:rsidR="00CD0C87">
        <w:rPr>
          <w:rFonts w:ascii="Palatino Linotype" w:hAnsi="Palatino Linotype"/>
          <w:color w:val="000000" w:themeColor="text1"/>
          <w:lang w:val="en-GB"/>
        </w:rPr>
        <w:t xml:space="preserve"> health</w:t>
      </w:r>
      <w:r w:rsidR="006A297D">
        <w:rPr>
          <w:rFonts w:ascii="Palatino Linotype" w:hAnsi="Palatino Linotype"/>
          <w:color w:val="000000" w:themeColor="text1"/>
          <w:lang w:val="en-GB"/>
        </w:rPr>
        <w:t xml:space="preserve"> outcomes (mortality, cardiovascular event, disability) and higher healthcare costs</w:t>
      </w:r>
      <w:r w:rsidR="006D50D1">
        <w:rPr>
          <w:rFonts w:ascii="Palatino Linotype" w:hAnsi="Palatino Linotype"/>
          <w:color w:val="000000" w:themeColor="text1"/>
          <w:lang w:val="en-GB"/>
        </w:rPr>
        <w:t xml:space="preserve"> </w:t>
      </w:r>
      <w:r w:rsidR="005629D4">
        <w:rPr>
          <w:rFonts w:ascii="Palatino Linotype" w:hAnsi="Palatino Linotype"/>
          <w:color w:val="000000" w:themeColor="text1"/>
          <w:lang w:val="en-GB"/>
        </w:rPr>
        <w:fldChar w:fldCharType="begin" w:fldLock="1"/>
      </w:r>
      <w:r w:rsidR="009D3AAF">
        <w:rPr>
          <w:rFonts w:ascii="Palatino Linotype" w:hAnsi="Palatino Linotype"/>
          <w:color w:val="000000" w:themeColor="text1"/>
          <w:lang w:val="en-GB"/>
        </w:rPr>
        <w:instrText>ADDIN CSL_CITATION {"citationItems":[{"id":"ITEM-1","itemData":{"DOI":"10.1089/rej.2009.0853","ISSN":"1557-8577","PMID":"19594326","abstract":"The purpose was to examine the relationship between performance in the 400-meter walking test and mortality. Data are from a population-based sample of 948 Italian men and women &gt; or =65 years. The main outcome measures that were assessed comprised time to complete the 400-meter walk, 20-meter lap time coefficient of variation, need to rest during the test, and ability to complete the walk. All-cause mortality was ascertained over a 6-year follow-up period. Data were analyzed with proportional hazard logistic and linear regression analyses. In age- and sex-adjusted analyses, all 400-meter walking test variables except need to rest were associated with mortality. After further adjusting for the Mini-Mental State Examination, symptoms of depression, education, smoking, body mass index, being sedentary/minimally active, disease burden, and lower extremity performance (Short Physical Performance Battery score), both time to complete the 400-meter walk and lap time coefficient of variation were significant independent predictors of mortality. We conclude that multiple aspects of performance in the 400-meter walk test provide complementary information on mortality prognosis in older persons.","author":[{"dropping-particle":"","family":"Vestergaard","given":"Sonja","non-dropping-particle":"","parse-names":false,"suffix":""},{"dropping-particle":"V.","family":"Patel","given":"Kushang","non-dropping-particle":"","parse-names":false,"suffix":""},{"dropping-particle":"","family":"Bandinelli","given":"Stefania","non-dropping-particle":"","parse-names":false,"suffix":""},{"dropping-particle":"","family":"Ferrucci","given":"Luigi","non-dropping-particle":"","parse-names":false,"suffix":""},{"dropping-particle":"","family":"Guralnik","given":"Jack M.","non-dropping-particle":"","parse-names":false,"suffix":""}],"container-title":"Rejuvenation research","id":"ITEM-1","issue":"3","issued":{"date-parts":[["2009","6","1"]]},"page":"177-84","publisher":"Mary Ann Liebert, Inc.","title":"Characteristics of 400-meter walk test performance and subsequent mortality in older adults.","type":"article-journal","volume":"12"},"uris":["http://www.mendeley.com/documents/?uuid=d1b5bf92-e1be-4080-8d2b-1e4e6512b67b"]},{"id":"ITEM-2","itemData":{"DOI":"10.1001/jama.295.17.2018","ISSN":"1538-3598","PMID":"16670410","abstract":"CONTEXT: Aerobic fitness, an important predictor of cardiovascular disease and mortality, is difficult to assess by maximal exercise testing in older adults. Extended walking tests have been examined as outcome predictors in medically ill populations but not in community-dwelling older adults.\n\nOBJECTIVE: To determine whether an extended walking test predicts poor outcomes in older adults.\n\nDESIGN, SETTING, AND PARTICIPANTS: Observational cohort study enrolling 3075 community-dwelling adults aged 70 to 79 years living in Pittsburgh, Pa, or Memphis, Tenn. Of those participating in the Health, Aging, and Body Composition Study, 1584 (52%) were women and 1281 (42%) were black. Participants enrolled from March 1997 to April 1998. Ability to complete the long-distance corridor walk and total performance time was assessed at the baseline examination.\n\nMAIN OUTCOME MEASURES: Total mortality, incident cardiovascular disease, incident mobility limitation, and mobility disability were ascertained after a mean (SD) of 4.9 (0.9) years.\n\nRESULTS: Among patients eligible to exercise, 351 died, 308 had episodes of incident cardiovascular disease, 1116 had occurrences of mobility limitation, and 509 had occurrences of mobility disability. Inability to complete walking 400 m tended to be associated with a higher risk of mortality and incident cardiovascular disease and, after accounting for potential confounders, was associated with incident mobility limitation (212.6 vs 79.1 events/1000 person-years; adjusted hazard ratio [HR], 1.86; 95% confidence interval [CI], 1.58-2.18; P&lt;.001) and mobility disability (85.2 vs 28.8 events/1000 person-years; adjusted HR, 1.95; 95% CI, 1.56-2.44; P&lt;.001). Of those who completed 400 m, each additional minute of performance time was associated with an adjusted HR of 1.29 (95% CI, 1.12-1.48) for mortality, 1.20 (95% CI, 1.01-1.42) for incident cardiovascular disease, 1.52 (95% CI, 1.41-1.63) for mobility limitation, and 1.52 (95% CI, 1.37-1.70) for disability after adjustment for demographics, health behaviors, clinical and subclinical disease, and cardiovascular disease risk factors. Findings were consistent in both men and women and blacks and whites. Among participants who completed the test and after adjusting for potential confounders, those in the poorest quartile of functional capacity (walk time &gt;362 seconds) had a higher risk of death than those in the best quartile (walk time &lt;290 seconds; adjusted HR, 3.23; 95% CI, 2.11-4.94;…","author":[{"dropping-particle":"","family":"Newman","given":"Anne B.","non-dropping-particle":"","parse-names":false,"suffix":""},{"dropping-particle":"","family":"Simonsick","given":"Eleanor M.","non-dropping-particle":"","parse-names":false,"suffix":""},{"dropping-particle":"","family":"Naydeck","given":"Barbara L.","non-dropping-particle":"","parse-names":false,"suffix":""},{"dropping-particle":"","family":"Boudreau","given":"Robert M.","non-dropping-particle":"","parse-names":false,"suffix":""},{"dropping-particle":"","family":"Kritchevsky","given":"Stephen B.","non-dropping-particle":"","parse-names":false,"suffix":""},{"dropping-particle":"","family":"Nevitt","given":"Michael C.","non-dropping-particle":"","parse-names":false,"suffix":""},{"dropping-particle":"","family":"Pahor","given":"Marco","non-dropping-particle":"","parse-names":false,"suffix":""},{"dropping-particle":"","family":"Satterfield","given":"Suzanne","non-dropping-particle":"","parse-names":false,"suffix":""},{"dropping-particle":"","family":"Brach","given":"Jennifer S.","non-dropping-particle":"","parse-names":false,"suffix":""},{"dropping-particle":"","family":"Studenski","given":"Stephanie A.","non-dropping-particle":"","parse-names":false,"suffix":""},{"dropping-particle":"","family":"Harris","given":"Tamara B.","non-dropping-particle":"","parse-names":false,"suffix":""}],"container-title":"JAMA","id":"ITEM-2","issue":"17","issued":{"date-parts":[["2006","5","3"]]},"page":"2018-26","publisher":"American Medical Association","title":"Association of long-distance corridor walk performance with mortality, cardiovascular disease, mobility limitation, and disability.","type":"article-journal","volume":"295"},"uris":["http://www.mendeley.com/documents/?uuid=0648c436-d322-4605-a7e7-393a0cde0bf9"]},{"id":"ITEM-3","itemData":{"DOI":"10.1007/s11606-010-1543-2","ISSN":"1525-1497","PMID":"20972641","abstract":"BACKGROUND Mobility, such as walking 1/4 mile, is a valuable but underutilized health indicator among older adults. For mobility to be successfully integrated into clinical practice and health policy, an easily assessed marker that predicts subsequent health outcomes is required. OBJECTIVE To determine the association between mobility, defined as self-reported ability to walk 1/4 mile, and mortality, functional decline, and health care utilization and costs during the subsequent year. DESIGN Analysis of longitudinal data from the 2003-2004 Medicare Current Beneficiary Survey, a nationally representative sample of Medicare beneficiaries. PARTICIPANTS Participants comprised 5895 community-dwelling adults aged 65 years or older enrolled in Medicare. MAIN MEASURES Mobility (self-reported ability to walk 1/4 mile), mortality, incident difficulty with activities of daily living (ADLs), total annual health care costs, and hospitalization rates. KEY RESULTS Among older adults, 28% reported difficulty and 17% inability to walk 1/4 mile at baseline. Compared to those without difficulty and adjusting for demographics, socioeconomic status, chronic conditions, and health behaviors, mortality was greater in those with difficulty [AOR (95% CI): 1.57 (1.10-2.24)] and inability [AOR (CI): 2.73 (1.79-4.15)]. New functional disability also occurred more frequently as self-reported ability to walk 1/4 mile declined (subsequent incident disability among those with no difficulty, difficulty, or inability to walk 1/4 mile at baseline was 11%, 29%, and 47% for instrumental ADLs, and 4%, 14%, and 23% for basic ADLs). Total annual health care costs were $2773 higher (95% CI $1443-4102) in persons with difficulty and $3919 higher (CI $1948-5890) in those who were unable. For each 100 persons, older adults reporting difficulty walking 1/4 mile at baseline experienced an additional 14 hospitalizations (95% CI 8-20), and those who were unable experienced an additional 22 hospitalizations (CI 14-30) during the follow-up period, compared to persons without walking difficulty. CONCLUSIONS Mobility disability, a simple self-report measure, is a powerful predictor of future health, function, and utilization independent of usual health and demographic indicators. Mobility disability may be used to target high-risk patients for care management and preventive interventions.","author":[{"dropping-particle":"","family":"Hardy","given":"Susan E","non-dropping-particle":"","parse-names":false,"suffix":""},{"dropping-particle":"","family":"Kang","given":"Yihuang","non-dropping-particle":"","parse-names":false,"suffix":""},{"dropping-particle":"","family":"Studenski","given":"Stephanie A","non-dropping-particle":"","parse-names":false,"suffix":""},{"dropping-particle":"","family":"Degenholtz","given":"Howard B","non-dropping-particle":"","parse-names":false,"suffix":""}],"container-title":"Journal of general internal medicine","id":"ITEM-3","issue":"2","issued":{"date-parts":[["2011","2"]]},"page":"130-5","title":"Ability to walk 1/4 mile predicts subsequent disability, mortality, and health care costs.","type":"article-journal","volume":"26"},"uris":["http://www.mendeley.com/documents/?uuid=32b2a558-646a-3e91-8545-8e6d35760032","http://www.mendeley.com/documents/?uuid=bd93aedb-cde9-4622-af88-4fdb09e0b6bb"]}],"mendeley":{"formattedCitation":"[42–44]","plainTextFormattedCitation":"[42–44]","previouslyFormattedCitation":"[40–42]"},"properties":{"noteIndex":0},"schema":"https://github.com/citation-style-language/schema/raw/master/csl-citation.json"}</w:instrText>
      </w:r>
      <w:r w:rsidR="005629D4">
        <w:rPr>
          <w:rFonts w:ascii="Palatino Linotype" w:hAnsi="Palatino Linotype"/>
          <w:color w:val="000000" w:themeColor="text1"/>
          <w:lang w:val="en-GB"/>
        </w:rPr>
        <w:fldChar w:fldCharType="separate"/>
      </w:r>
      <w:r w:rsidR="009D3AAF" w:rsidRPr="009D3AAF">
        <w:rPr>
          <w:rFonts w:ascii="Palatino Linotype" w:hAnsi="Palatino Linotype"/>
          <w:noProof/>
          <w:color w:val="000000" w:themeColor="text1"/>
          <w:lang w:val="en-GB"/>
        </w:rPr>
        <w:t>[42–44]</w:t>
      </w:r>
      <w:r w:rsidR="005629D4">
        <w:rPr>
          <w:rFonts w:ascii="Palatino Linotype" w:hAnsi="Palatino Linotype"/>
          <w:color w:val="000000" w:themeColor="text1"/>
          <w:lang w:val="en-GB"/>
        </w:rPr>
        <w:fldChar w:fldCharType="end"/>
      </w:r>
      <w:r w:rsidR="006A297D">
        <w:rPr>
          <w:rFonts w:ascii="Palatino Linotype" w:hAnsi="Palatino Linotype"/>
          <w:color w:val="000000" w:themeColor="text1"/>
          <w:lang w:val="en-GB"/>
        </w:rPr>
        <w:t xml:space="preserve">. </w:t>
      </w:r>
      <w:r w:rsidR="000D06B1">
        <w:rPr>
          <w:rFonts w:ascii="Palatino Linotype" w:hAnsi="Palatino Linotype"/>
          <w:color w:val="000000" w:themeColor="text1"/>
          <w:lang w:val="en-GB"/>
        </w:rPr>
        <w:t>Finally, previous published data in intervention studies using the 400-meter walk test as primary outcome are available for the calculation of sample size of any new clinical tria</w:t>
      </w:r>
      <w:r w:rsidR="003C2DC9">
        <w:rPr>
          <w:rFonts w:ascii="Palatino Linotype" w:hAnsi="Palatino Linotype"/>
          <w:color w:val="000000" w:themeColor="text1"/>
          <w:lang w:val="en-GB"/>
        </w:rPr>
        <w:t xml:space="preserve">l </w:t>
      </w:r>
      <w:r w:rsidR="000D06B1">
        <w:rPr>
          <w:rFonts w:ascii="Palatino Linotype" w:hAnsi="Palatino Linotype"/>
          <w:color w:val="000000" w:themeColor="text1"/>
          <w:lang w:val="en-GB"/>
        </w:rPr>
        <w:fldChar w:fldCharType="begin" w:fldLock="1"/>
      </w:r>
      <w:r w:rsidR="00333318">
        <w:rPr>
          <w:rFonts w:ascii="Palatino Linotype" w:hAnsi="Palatino Linotype"/>
          <w:color w:val="000000" w:themeColor="text1"/>
          <w:lang w:val="en-GB"/>
        </w:rPr>
        <w:instrText>ADDIN CSL_CITATION {"citationItems":[{"id":"ITEM-1","itemData":{"DOI":"10.1007/s40520-016-0715-2","ISSN":"1720-8319","PMID":"28144914","abstract":"The sustainability of health and social care systems is threatened by a growing population of older persons with heterogeneous needs related to multimorbidity, frailty, and increased risk of functional impairment. Since disability is difficult to reverse in old age and is extremely burdensome for individuals and society, novel strategies should be devised to preserve adequate levels of function and independence in late life. The development of mobility disability, an early event in the disablement process, precedes and predicts more severe forms of inability. Its prevention is, therefore, critical to impede the transition to overt disability. For this reason, the Sarcopenia and Physical fRailty IN older people: multi-componenT Treatment strategies (SPRINTT) project is conducting a randomized controlled trial (RCT) to test a multicomponent intervention (MCI) specifically designed to prevent mobility disability in high-risk older persons. SPRINTT is a phase III, multicenter RCT aimed at comparing the efficacy of a MCI, based on long-term structured physical activity, nutritional counseling/dietary intervention, and an information and communication technology intervention, versus a healthy aging lifestyle education program designed to prevent mobility disability in 1500 older persons with physical frailty and sarcopenia who will be followed for up to 36 months. The primary outcome of the SPRINTT trial is mobility disability, operationalized as the inability to walk for 400 m within 15 min, without sitting, help of another person, or the use of a walker. Secondary outcomes include changes in muscle mass and strength, persistent mobility disability, falls and injurious falls, disability in activities of daily living, nutritional status, cognition, mood, the use of healthcare resources, cost-effectiveness analysis, quality of life, and mortality rate. SPRINTT results are expected to promote significant advancements in the management of frail older persons at high risk of disability from both clinical and regulatory perspectives. The findings are also projected to pave the way for major investments in the field of disability prevention in old age.","author":[{"dropping-particle":"","family":"Landi","given":"Francesco","non-dropping-particle":"","parse-names":false,"suffix":""},{"dropping-particle":"","family":"Cesari","given":"Matteo","non-dropping-particle":"","parse-names":false,"suffix":""},{"dropping-particle":"","family":"Calvani","given":"Riccardo","non-dropping-particle":"","parse-names":false,"suffix":""},{"dropping-particle":"","family":"Cherubini","given":"Antonio","non-dropping-particle":"","parse-names":false,"suffix":""},{"dropping-particle":"","family":"Bari","given":"Mauro","non-dropping-particle":"Di","parse-names":false,"suffix":""},{"dropping-particle":"","family":"Bejuit","given":"Raphael","non-dropping-particle":"","parse-names":false,"suffix":""},{"dropping-particle":"","family":"Mshid","given":"Jerome","non-dropping-particle":"","parse-names":false,"suffix":""},{"dropping-particle":"","family":"Andrieu","given":"Sandrine","non-dropping-particle":"","parse-names":false,"suffix":""},{"dropping-particle":"","family":"Sinclair","given":"Alan J.","non-dropping-particle":"","parse-names":false,"suffix":""},{"dropping-particle":"","family":"Sieber","given":"Cornel C.","non-dropping-particle":"","parse-names":false,"suffix":""},{"dropping-particle":"","family":"Vellas","given":"Bruno","non-dropping-particle":"","parse-names":false,"suffix":""},{"dropping-particle":"","family":"Topinkova","given":"Eva","non-dropping-particle":"","parse-names":false,"suffix":""},{"dropping-particle":"","family":"Strandberg","given":"Timo","non-dropping-particle":"","parse-names":false,"suffix":""},{"dropping-particle":"","family":"Rodriguez-Manas","given":"Leocadio","non-dropping-particle":"","parse-names":false,"suffix":""},{"dropping-particle":"","family":"Lattanzio","given":"Fabrizia","non-dropping-particle":"","parse-names":false,"suffix":""},{"dropping-particle":"","family":"Pahor","given":"Marco","non-dropping-particle":"","parse-names":false,"suffix":""},{"dropping-particle":"","family":"Roubenoff","given":"Ronenn","non-dropping-particle":"","parse-names":false,"suffix":""},{"dropping-particle":"","family":"Cruz-Jentoft","given":"Alfonso J.","non-dropping-particle":"","parse-names":false,"suffix":""},{"dropping-particle":"","family":"Bernabei","given":"Roberto","non-dropping-particle":"","parse-names":false,"suffix":""},{"dropping-particle":"","family":"Marzetti","given":"Emanuele","non-dropping-particle":"","parse-names":false,"suffix":""},{"dropping-particle":"","family":"SPRINTT Consortium","given":"","non-dropping-particle":"","parse-names":false,"suffix":""}],"container-title":"Aging Clinical and Experimental Research","id":"ITEM-1","issue":"1","issued":{"date-parts":[["2017","2"]]},"page":"89-100","title":"The “Sarcopenia and Physical fRailty IN older people: multi-componenT Treatment strategies” (SPRINTT) randomized controlled trial: design and methods","type":"article-journal","volume":"29"},"uris":["http://www.mendeley.com/documents/?uuid=fc2fc988-cce7-34fc-b5a4-4f1fd0678516","http://www.mendeley.com/documents/?uuid=7a5dbb80-13d0-4b8a-a1b0-785b4d2e5460"]},{"id":"ITEM-2","itemData":{"DOI":"10.1001/jama.2014.5616","ISSN":"1538-3598","PMID":"24866862","abstract":"IMPORTANCE In older adults reduced mobility is common and is an independent risk factor for morbidity, hospitalization, disability, and mortality. Limited evidence suggests that physical activity may help prevent mobility disability; however, there are no definitive clinical trials examining whether physical activity prevents or delays mobility disability. OBJECTIVE To test the hypothesis that a long-term structured physical activity program is more effective than a health education program (also referred to as a successful aging program) in reducing the risk of major mobility disability. DESIGN, SETTING, AND PARTICIPANTS The Lifestyle Interventions and Independence for Elders (LIFE) study was a multicenter, randomized trial that enrolled participants between February 2010 and December 2011, who participated for an average of 2.6 years. Follow-up ended in December 2013. Outcome assessors were blinded to the intervention assignment. Participants were recruited from urban, suburban, and rural communities at 8 centers throughout the United States. We randomized a volunteer sample of 1635 sedentary men and women aged 70 to 89 years who had physical limitations, defined as a score on the Short Physical Performance Battery of 9 or below, but were able to walk 400 m. INTERVENTIONS Participants were randomized to a structured, moderate-intensity physical activity program (n = 818) conducted in a center (twice/wk) and at home (3-4 times/wk) that included aerobic, resistance, and flexibility training activities or to a health education program (n = 817) consisting of workshops on topics relevant to older adults and upper extremity stretching exercises. MAIN OUTCOMES AND MEASURES The primary outcome was major mobility disability objectively defined by loss of ability to walk 400 m. RESULTS Incident major mobility disability occurred in 30.1% (246 participants) of the physical activity group and 35.5% (290 participants) of the health education group (hazard ratio [HR], 0.82 [95% CI, 0.69-0.98], P = .03).Persistent mobility disability was experienced by 120 participants (14.7%) in the physical activity group and 162 participants (19.8%) in the health education group (HR, 0.72 [95% CI, 0.57-0.91]; P = .006). Serious adverse events were reported by 404 participants (49.4%) in the physical activity group and 373 participants (45.7%) in the health education group (risk ratio, 1.08 [95% CI, 0.98-1.20]). CONCLUSIONS AND RELEVANCE A structured, moderate-intensity physical …","author":[{"dropping-particle":"","family":"Pahor","given":"Marco","non-dropping-particle":"","parse-names":false,"suffix":""},{"dropping-particle":"","family":"Guralnik","given":"Jack M","non-dropping-particle":"","parse-names":false,"suffix":""},{"dropping-particle":"","family":"Ambrosius","given":"Walter T","non-dropping-particle":"","parse-names":false,"suffix":""},{"dropping-particle":"","family":"Blair","given":"Steven","non-dropping-particle":"","parse-names":false,"suffix":""},{"dropping-particle":"","family":"Bonds","given":"Denise E","non-dropping-particle":"","parse-names":false,"suffix":""},{"dropping-particle":"","family":"Church","given":"Timothy S","non-dropping-particle":"","parse-names":false,"suffix":""},{"dropping-particle":"","family":"Espeland","given":"Mark A","non-dropping-particle":"","parse-names":false,"suffix":""},{"dropping-particle":"","family":"Fielding","given":"Roger A","non-dropping-particle":"","parse-names":false,"suffix":""},{"dropping-particle":"","family":"Gill","given":"Thomas M","non-dropping-particle":"","parse-names":false,"suffix":""},{"dropping-particle":"","family":"Groessl","given":"Erik J","non-dropping-particle":"","parse-names":false,"suffix":""},{"dropping-particle":"","family":"King","given":"Abby C","non-dropping-particle":"","parse-names":false,"suffix":""},{"dropping-particle":"","family":"Kritchevsky","given":"Stephen B","non-dropping-particle":"","parse-names":false,"suffix":""},{"dropping-particle":"","family":"Manini","given":"Todd M","non-dropping-particle":"","parse-names":false,"suffix":""},{"dropping-particle":"","family":"McDermott","given":"Mary M","non-dropping-particle":"","parse-names":false,"suffix":""},{"dropping-particle":"","family":"Miller","given":"Michael E","non-dropping-particle":"","parse-names":false,"suffix":""},{"dropping-particle":"","family":"Newman","given":"Anne B","non-dropping-particle":"","parse-names":false,"suffix":""},{"dropping-particle":"","family":"Rejeski","given":"W Jack","non-dropping-particle":"","parse-names":false,"suffix":""},{"dropping-particle":"","family":"Sink","given":"Kaycee M","non-dropping-particle":"","parse-names":false,"suffix":""},{"dropping-particle":"","family":"Williamson","given":"Jeff D","non-dropping-particle":"","parse-names":false,"suffix":""},{"dropping-particle":"","family":"LIFE study investigators","given":"","non-dropping-particle":"","parse-names":false,"suffix":""}],"container-title":"JAMA","id":"ITEM-2","issue":"23","issued":{"date-parts":[["2014","6","18"]]},"page":"2387-96","publisher":"NIH Public Access","title":"Effect of structured physical activity on prevention of major mobility disability in older adults: the LIFE study randomized clinical trial.","type":"article-journal","volume":"311"},"uris":["http://www.mendeley.com/documents/?uuid=d227bdbb-f4f9-3650-82d2-c79e360b1b70","http://www.mendeley.com/documents/?uuid=387244a4-4962-4603-b380-04322ae10859"]}],"mendeley":{"formattedCitation":"[17, 18]","plainTextFormattedCitation":"[17, 18]","previouslyFormattedCitation":"[17, 18]"},"properties":{"noteIndex":0},"schema":"https://github.com/citation-style-language/schema/raw/master/csl-citation.json"}</w:instrText>
      </w:r>
      <w:r w:rsidR="000D06B1">
        <w:rPr>
          <w:rFonts w:ascii="Palatino Linotype" w:hAnsi="Palatino Linotype"/>
          <w:color w:val="000000" w:themeColor="text1"/>
          <w:lang w:val="en-GB"/>
        </w:rPr>
        <w:fldChar w:fldCharType="separate"/>
      </w:r>
      <w:r w:rsidR="00333318" w:rsidRPr="00333318">
        <w:rPr>
          <w:rFonts w:ascii="Palatino Linotype" w:hAnsi="Palatino Linotype"/>
          <w:noProof/>
          <w:color w:val="000000" w:themeColor="text1"/>
          <w:lang w:val="en-GB"/>
        </w:rPr>
        <w:t>[17, 18]</w:t>
      </w:r>
      <w:r w:rsidR="000D06B1">
        <w:rPr>
          <w:rFonts w:ascii="Palatino Linotype" w:hAnsi="Palatino Linotype"/>
          <w:color w:val="000000" w:themeColor="text1"/>
          <w:lang w:val="en-GB"/>
        </w:rPr>
        <w:fldChar w:fldCharType="end"/>
      </w:r>
      <w:r w:rsidR="000D06B1">
        <w:rPr>
          <w:rFonts w:ascii="Palatino Linotype" w:hAnsi="Palatino Linotype"/>
          <w:color w:val="000000" w:themeColor="text1"/>
          <w:lang w:val="en-GB"/>
        </w:rPr>
        <w:t xml:space="preserve">. </w:t>
      </w:r>
      <w:r w:rsidR="006A297D">
        <w:rPr>
          <w:rFonts w:ascii="Palatino Linotype" w:hAnsi="Palatino Linotype"/>
          <w:color w:val="000000" w:themeColor="text1"/>
          <w:lang w:val="en-GB"/>
        </w:rPr>
        <w:t>We recommend measuring</w:t>
      </w:r>
      <w:r w:rsidR="00D91A9F">
        <w:rPr>
          <w:rFonts w:ascii="Palatino Linotype" w:hAnsi="Palatino Linotype"/>
          <w:color w:val="000000" w:themeColor="text1"/>
          <w:lang w:val="en-GB"/>
        </w:rPr>
        <w:t xml:space="preserve"> </w:t>
      </w:r>
      <w:r w:rsidR="006A297D">
        <w:rPr>
          <w:rFonts w:ascii="Palatino Linotype" w:hAnsi="Palatino Linotype"/>
          <w:color w:val="000000" w:themeColor="text1"/>
          <w:lang w:val="en-GB"/>
        </w:rPr>
        <w:t xml:space="preserve">the </w:t>
      </w:r>
      <w:r w:rsidR="004E3F7E">
        <w:rPr>
          <w:rFonts w:ascii="Palatino Linotype" w:hAnsi="Palatino Linotype"/>
          <w:color w:val="000000" w:themeColor="text1"/>
          <w:lang w:val="en-GB"/>
        </w:rPr>
        <w:t xml:space="preserve">incidence of </w:t>
      </w:r>
      <w:r w:rsidR="002B169A">
        <w:rPr>
          <w:rFonts w:ascii="Palatino Linotype" w:hAnsi="Palatino Linotype"/>
          <w:color w:val="000000" w:themeColor="text1"/>
          <w:lang w:val="en-GB"/>
        </w:rPr>
        <w:t>in</w:t>
      </w:r>
      <w:r w:rsidR="00BF4649">
        <w:rPr>
          <w:rFonts w:ascii="Palatino Linotype" w:hAnsi="Palatino Linotype"/>
          <w:color w:val="000000" w:themeColor="text1"/>
          <w:lang w:val="en-GB"/>
        </w:rPr>
        <w:t>ability</w:t>
      </w:r>
      <w:r w:rsidR="004E3F7E">
        <w:rPr>
          <w:rFonts w:ascii="Palatino Linotype" w:hAnsi="Palatino Linotype"/>
          <w:color w:val="000000" w:themeColor="text1"/>
          <w:lang w:val="en-GB"/>
        </w:rPr>
        <w:t xml:space="preserve"> to perform the 400-meter walk test</w:t>
      </w:r>
      <w:r w:rsidR="006A297D">
        <w:rPr>
          <w:rFonts w:ascii="Palatino Linotype" w:hAnsi="Palatino Linotype"/>
          <w:color w:val="000000" w:themeColor="text1"/>
          <w:lang w:val="en-GB"/>
        </w:rPr>
        <w:t xml:space="preserve"> </w:t>
      </w:r>
      <w:r>
        <w:rPr>
          <w:rFonts w:ascii="Palatino Linotype" w:hAnsi="Palatino Linotype"/>
          <w:color w:val="000000" w:themeColor="text1"/>
          <w:lang w:val="en-GB"/>
        </w:rPr>
        <w:t xml:space="preserve">(also called mobility disability) </w:t>
      </w:r>
      <w:r w:rsidR="006A297D">
        <w:rPr>
          <w:rFonts w:ascii="Palatino Linotype" w:hAnsi="Palatino Linotype"/>
          <w:color w:val="000000" w:themeColor="text1"/>
          <w:lang w:val="en-GB"/>
        </w:rPr>
        <w:t xml:space="preserve">as primary endpoint. </w:t>
      </w:r>
      <w:r w:rsidR="00117810">
        <w:rPr>
          <w:rFonts w:ascii="Palatino Linotype" w:hAnsi="Palatino Linotype"/>
          <w:color w:val="000000" w:themeColor="text1"/>
          <w:lang w:val="en-GB"/>
        </w:rPr>
        <w:t xml:space="preserve">Other tests, such as the SPBB test, deeply correlated with </w:t>
      </w:r>
      <w:r w:rsidR="00F82896">
        <w:rPr>
          <w:rFonts w:ascii="Palatino Linotype" w:hAnsi="Palatino Linotype"/>
          <w:color w:val="000000" w:themeColor="text1"/>
          <w:lang w:val="en-GB"/>
        </w:rPr>
        <w:t>physical performance</w:t>
      </w:r>
      <w:r w:rsidR="00117810">
        <w:rPr>
          <w:rFonts w:ascii="Palatino Linotype" w:hAnsi="Palatino Linotype"/>
          <w:color w:val="000000" w:themeColor="text1"/>
          <w:lang w:val="en-GB"/>
        </w:rPr>
        <w:t xml:space="preserve"> as measured by the 400-meter walk test could also be proposed</w:t>
      </w:r>
      <w:r w:rsidR="00C571B1">
        <w:rPr>
          <w:rFonts w:ascii="Palatino Linotype" w:hAnsi="Palatino Linotype"/>
          <w:color w:val="000000" w:themeColor="text1"/>
          <w:lang w:val="en-GB"/>
        </w:rPr>
        <w:fldChar w:fldCharType="begin" w:fldLock="1"/>
      </w:r>
      <w:r w:rsidR="009D3AAF">
        <w:rPr>
          <w:rFonts w:ascii="Palatino Linotype" w:hAnsi="Palatino Linotype"/>
          <w:color w:val="000000" w:themeColor="text1"/>
          <w:lang w:val="en-GB"/>
        </w:rPr>
        <w:instrText>ADDIN CSL_CITATION {"citationItems":[{"id":"ITEM-1","itemData":{"DOI":"10.1093/gerona/gln022","ISSN":"1079-5006","PMID":"19182232","abstract":"BACKGROUND Early detection of mobility limitations remains an important goal for preventing mobility disability. The purpose of this study was to examine the association between the Short Physical Performance Battery (SPPB) and the loss of ability to walk 400 m, an objectively assessed mobility outcome increasingly used in clinical trials. METHODS The study sample consisted of 542 adults from the InCHIANTI study aged 65 and older, who completed the 400 m walk at baseline and had evaluations on the SPPB and 400 m walk at baseline and 3-year follow-up. Multiple logistic regression models were used to determine whether SPPB scores predict the loss of ability to walk 400 m at follow-up among persons able to walk 400 m at baseline. RESULTS The 3-year incidence of failing the 400 m walk was 15.5%. After adjusting for age, sex, education, body mass index, Mini-Mental State Examination, number of medical conditions, and 400 m walk gait speed at baseline, SPPB score was significantly associated with loss of ability to walk 400 m after 3 years. Participants with SPPB scores of 10 or lower at baseline had significantly higher odds of mobility disability at follow-up (odds ratio [OR] = 3.38, 95% confidence interval [CI]: 1.32-8.65) compared with those who scored 12, with a graded response across the range of SPPB scores (OR = 26.93, 95% CI: 7.51-96.50; OR = 7.67, 95% CI: 2.26-26.04; OR = 8.28, 95% CI: 3.32-20.67 for SPPB &lt; or = 7, SPPB 8, and SPPB 9, respectively). CONCLUSIONS The SPPB strongly predicts loss of ability to walk 400 m. Thus, using the SPPB to identify older persons at high risk of lower body functional limitations seems a valid means of recognizing individuals who would benefit most from preventive interventions.","author":[{"dropping-particle":"","family":"Vasunilashorn","given":"S.","non-dropping-particle":"","parse-names":false,"suffix":""},{"dropping-particle":"","family":"Coppin","given":"A. K.","non-dropping-particle":"","parse-names":false,"suffix":""},{"dropping-particle":"V.","family":"Patel","given":"K.","non-dropping-particle":"","parse-names":false,"suffix":""},{"dropping-particle":"","family":"Lauretani","given":"F.","non-dropping-particle":"","parse-names":false,"suffix":""},{"dropping-particle":"","family":"Ferrucci","given":"L.","non-dropping-particle":"","parse-names":false,"suffix":""},{"dropping-particle":"","family":"Bandinelli","given":"S.","non-dropping-particle":"","parse-names":false,"suffix":""},{"dropping-particle":"","family":"Guralnik","given":"J. M.","non-dropping-particle":"","parse-names":false,"suffix":""}],"container-title":"The Journals of Gerontology Series A: Biological Sciences and Medical Sciences","id":"ITEM-1","issue":"2","issued":{"date-parts":[["2009","2","1"]]},"page":"223-229","title":"Use of the Short Physical Performance Battery Score to Predict Loss of Ability to Walk 400 Meters: Analysis From the InCHIANTI Study","type":"article-journal","volume":"64A"},"uris":["http://www.mendeley.com/documents/?uuid=8bba7dca-4ce7-4419-ba49-f77044933a28"]}],"mendeley":{"formattedCitation":"[45]","plainTextFormattedCitation":"[45]","previouslyFormattedCitation":"[43]"},"properties":{"noteIndex":0},"schema":"https://github.com/citation-style-language/schema/raw/master/csl-citation.json"}</w:instrText>
      </w:r>
      <w:r w:rsidR="00C571B1">
        <w:rPr>
          <w:rFonts w:ascii="Palatino Linotype" w:hAnsi="Palatino Linotype"/>
          <w:color w:val="000000" w:themeColor="text1"/>
          <w:lang w:val="en-GB"/>
        </w:rPr>
        <w:fldChar w:fldCharType="separate"/>
      </w:r>
      <w:r w:rsidR="009D3AAF" w:rsidRPr="009D3AAF">
        <w:rPr>
          <w:rFonts w:ascii="Palatino Linotype" w:hAnsi="Palatino Linotype"/>
          <w:noProof/>
          <w:color w:val="000000" w:themeColor="text1"/>
          <w:lang w:val="en-GB"/>
        </w:rPr>
        <w:t>[45]</w:t>
      </w:r>
      <w:r w:rsidR="00C571B1">
        <w:rPr>
          <w:rFonts w:ascii="Palatino Linotype" w:hAnsi="Palatino Linotype"/>
          <w:color w:val="000000" w:themeColor="text1"/>
          <w:lang w:val="en-GB"/>
        </w:rPr>
        <w:fldChar w:fldCharType="end"/>
      </w:r>
      <w:r w:rsidR="00117810">
        <w:rPr>
          <w:rFonts w:ascii="Palatino Linotype" w:hAnsi="Palatino Linotype"/>
          <w:color w:val="000000" w:themeColor="text1"/>
          <w:lang w:val="en-GB"/>
        </w:rPr>
        <w:t xml:space="preserve">. </w:t>
      </w:r>
      <w:r w:rsidR="00A23779">
        <w:rPr>
          <w:rFonts w:ascii="Palatino Linotype" w:hAnsi="Palatino Linotype"/>
          <w:color w:val="000000" w:themeColor="text1"/>
          <w:lang w:val="en-GB"/>
        </w:rPr>
        <w:t>Moreover, SPPB is also linked to more distal clinical endpoints such as falls, fractures, nursing home admission and mortality</w:t>
      </w:r>
      <w:r w:rsidR="00386A09">
        <w:rPr>
          <w:rFonts w:ascii="Palatino Linotype" w:hAnsi="Palatino Linotype"/>
          <w:color w:val="000000" w:themeColor="text1"/>
          <w:lang w:val="en-GB"/>
        </w:rPr>
        <w:fldChar w:fldCharType="begin" w:fldLock="1"/>
      </w:r>
      <w:r w:rsidR="009D3AAF">
        <w:rPr>
          <w:rFonts w:ascii="Palatino Linotype" w:hAnsi="Palatino Linotype"/>
          <w:color w:val="000000" w:themeColor="text1"/>
          <w:lang w:val="en-GB"/>
        </w:rPr>
        <w:instrText>ADDIN CSL_CITATION {"citationItems":[{"id":"ITEM-1","itemData":{"DOI":"10.1186/1471-2318-8-34","ISSN":"1471-2318","PMID":"19102751","abstract":"BACKGROUND: Physical function measures have been shown to predict negative health-related events in older persons, including mortality. These markers of functioning may interact with the self-rated health (SRH) in the prediction of events. Aim of the present study is to compare the predictive value for mortality of measures of physical function and SRH status, and test their possible interactions.\n\nMETHODS: Data are from 335 older persons aged &gt;or= 80 years (mean age 85.6 years) enrolled in the \"Invecchiamento e Longevità nel Sirente\" (ilSIRENTE) study. The predictive values for mortality of 4-meter walk test, Short Physical Performance Battery (SPPB), hand grip strength, Activities of Daily Living (ADL) scale, Instrumental ADL (IADL) scale, and a SRH scale were compared using proportional hazard models. Kaplan-Meier survival curves for mortality and Receiver Operating Characteristic (ROC) curve analyses were also computed to estimate the predictive value of the independent variables of interest for mortality (alone and in combination).\n\nRESULTS: During the 24-month follow-up (mean 1.8 years), 71 (21.2%) events occurred in the study sample. All the tested variables were able to significantly predict mortality. No significant interaction was reported between physical function measures and SRH. The SPPB score was the strongest predictor of overall mortality after adjustment for potential confounders (per SD increase; HR 0.64; 95%CI 0.48-0.86). A similar predictive value was showed by the SRH (per SD increase; HR 0.76; 95%CI 0.59-0.97). The chair stand test was the SPPB subtask showing the highest prognostic value.\n\nCONCLUSION: All the tested measures are able to predict mortality with different extents, but strongest results were obtained from the SPPB and the SRH. The chair stand test may be as useful as the complete SPPB in estimating the mortality risk.","author":[{"dropping-particle":"","family":"Cesari","given":"Matteo","non-dropping-particle":"","parse-names":false,"suffix":""},{"dropping-particle":"","family":"Onder","given":"Graziano","non-dropping-particle":"","parse-names":false,"suffix":""},{"dropping-particle":"","family":"Zamboni","given":"Valentina","non-dropping-particle":"","parse-names":false,"suffix":""},{"dropping-particle":"","family":"Manini","given":"Todd","non-dropping-particle":"","parse-names":false,"suffix":""},{"dropping-particle":"","family":"Shorr","given":"Ronald I","non-dropping-particle":"","parse-names":false,"suffix":""},{"dropping-particle":"","family":"Russo","given":"Andrea","non-dropping-particle":"","parse-names":false,"suffix":""},{"dropping-particle":"","family":"Bernabei","given":"Roberto","non-dropping-particle":"","parse-names":false,"suffix":""},{"dropping-particle":"","family":"Pahor","given":"Marco","non-dropping-particle":"","parse-names":false,"suffix":""},{"dropping-particle":"","family":"Landi","given":"Francesco","non-dropping-particle":"","parse-names":false,"suffix":""}],"container-title":"BMC geriatrics","id":"ITEM-1","issue":"1","issued":{"date-parts":[["2008","1"]]},"page":"34","title":"Physical function and self-rated health status as predictors of mortality: results from longitudinal analysis in the ilSIRENTE study.","type":"article-journal","volume":"8"},"uris":["http://www.mendeley.com/documents/?uuid=fc674ac0-80d5-4304-a7a5-13f88646f35e"]},{"id":"ITEM-2","itemData":{"DOI":"10.1016/j.clnu.2015.04.018","ISSN":"02615614","PMID":"25998583","abstract":"BACKGROUND &amp; AIMS Malnutrition is a well-recognized problem in geriatric patients. Individually prescribed diet is fundamental to optimize nutritional treatment in geriatric patients. The objective of this study was to investigate routines regarding dietary prescriptions and monitoring of food intake in geriatric patients and to see how well the prescribed diet conforms to the patients' nutritional status and ability to eat. A further aim was to identify the most common reasons and factors interacting with patients not finishing a complete meal. METHODS This study combines two methods using both qualitative and quantitative analysis. Patients (n = 43; 82.5 ± 7.5 yrs; 60% females) at four geriatric wards performed a two-day dietary record, assisted by a dietician. Nurses and assistant nurses at each ward participated in a semi-structured interview regarding prescription of diets and portion size for the patients. RESULTS The prescribed diet differed significantly (P &lt; 0.01) from a diet based upon the patient's nutritional status and ability to eat. Only 30% of the patients were prescribed an energy-enriched diet in contrast to 60% that was in need of it. The most common reason for not finishing the meal was lack of appetite. Diet prescription for the patient was based upon information about eating difficulties identified in the Mini Nutritional Assessment-Short Form (MNA-SF) at admission and the type of diet that was prescribed on a previous ward. Monitoring of the patients' food intake was described as a continuous process discussed daily between the staff. CONCLUSION Patients' nutritional status and to what extent they were able to eat a complete meal was not routinely considered when prescribing food and monitoring food intake in this study. By making use of this information the diet could be tailored to the patients' needs, thereby improving their nutritional treatment.","author":[{"dropping-particle":"","family":"Hedman","given":"S.","non-dropping-particle":"","parse-names":false,"suffix":""},{"dropping-particle":"","family":"Nydahl","given":"M.","non-dropping-particle":"","parse-names":false,"suffix":""},{"dropping-particle":"","family":"Faxén-Irving","given":"G.","non-dropping-particle":"","parse-names":false,"suffix":""}],"container-title":"Clinical Nutrition","id":"ITEM-2","issue":"3","issued":{"date-parts":[["2016","6"]]},"page":"692-698","title":"Individually prescribed diet is fundamental to optimize nutritional treatment in geriatric patients","type":"article-journal","volume":"35"},"uris":["http://www.mendeley.com/documents/?uuid=de9c55c4-bd3d-42ea-87e0-506f2dab4499"]}],"mendeley":{"formattedCitation":"[46, 47]","plainTextFormattedCitation":"[46, 47]","previouslyFormattedCitation":"[44, 45]"},"properties":{"noteIndex":0},"schema":"https://github.com/citation-style-language/schema/raw/master/csl-citation.json"}</w:instrText>
      </w:r>
      <w:r w:rsidR="00386A09">
        <w:rPr>
          <w:rFonts w:ascii="Palatino Linotype" w:hAnsi="Palatino Linotype"/>
          <w:color w:val="000000" w:themeColor="text1"/>
          <w:lang w:val="en-GB"/>
        </w:rPr>
        <w:fldChar w:fldCharType="separate"/>
      </w:r>
      <w:r w:rsidR="009D3AAF" w:rsidRPr="009D3AAF">
        <w:rPr>
          <w:rFonts w:ascii="Palatino Linotype" w:hAnsi="Palatino Linotype"/>
          <w:noProof/>
          <w:color w:val="000000" w:themeColor="text1"/>
          <w:lang w:val="en-GB"/>
        </w:rPr>
        <w:t>[46, 47]</w:t>
      </w:r>
      <w:r w:rsidR="00386A09">
        <w:rPr>
          <w:rFonts w:ascii="Palatino Linotype" w:hAnsi="Palatino Linotype"/>
          <w:color w:val="000000" w:themeColor="text1"/>
          <w:lang w:val="en-GB"/>
        </w:rPr>
        <w:fldChar w:fldCharType="end"/>
      </w:r>
      <w:r w:rsidR="00A23779">
        <w:rPr>
          <w:rFonts w:ascii="Palatino Linotype" w:hAnsi="Palatino Linotype"/>
          <w:color w:val="000000" w:themeColor="text1"/>
          <w:lang w:val="en-GB"/>
        </w:rPr>
        <w:t xml:space="preserve">. </w:t>
      </w:r>
    </w:p>
    <w:p w14:paraId="729D9D72" w14:textId="63F148F2" w:rsidR="009A72E9" w:rsidRDefault="009A72E9" w:rsidP="006A297D">
      <w:pPr>
        <w:jc w:val="both"/>
        <w:rPr>
          <w:rFonts w:ascii="Palatino Linotype" w:hAnsi="Palatino Linotype"/>
          <w:color w:val="000000" w:themeColor="text1"/>
          <w:lang w:val="en-GB"/>
        </w:rPr>
      </w:pPr>
      <w:r>
        <w:rPr>
          <w:rFonts w:ascii="Palatino Linotype" w:hAnsi="Palatino Linotype"/>
          <w:color w:val="000000" w:themeColor="text1"/>
          <w:lang w:val="en-GB"/>
        </w:rPr>
        <w:t xml:space="preserve">There are several reasons why muscle mass and muscle strength are not considered to be appropriate candidates for a primary endpoint. First, the different tools available to measure muscle mass and strength are very heterogeneous and no proper and valid gold standard has </w:t>
      </w:r>
      <w:r w:rsidR="007F56F3">
        <w:rPr>
          <w:rFonts w:ascii="Palatino Linotype" w:hAnsi="Palatino Linotype"/>
          <w:color w:val="000000" w:themeColor="text1"/>
          <w:lang w:val="en-GB"/>
        </w:rPr>
        <w:t>categorically</w:t>
      </w:r>
      <w:r w:rsidR="003C2DC9">
        <w:rPr>
          <w:rFonts w:ascii="Palatino Linotype" w:hAnsi="Palatino Linotype"/>
          <w:color w:val="000000" w:themeColor="text1"/>
          <w:lang w:val="en-GB"/>
        </w:rPr>
        <w:t xml:space="preserve"> </w:t>
      </w:r>
      <w:r>
        <w:rPr>
          <w:rFonts w:ascii="Palatino Linotype" w:hAnsi="Palatino Linotype"/>
          <w:color w:val="000000" w:themeColor="text1"/>
          <w:lang w:val="en-GB"/>
        </w:rPr>
        <w:t>been defined. Second, there is a lack of meaningful thresholds to be adopted, especially to monitor changes over time. Finally, based on patient’s preferences, muscle mass and strength seem to be of secondary importance compared to more comprehensive measures of functioning</w:t>
      </w:r>
      <w:r w:rsidR="006D50D1">
        <w:rPr>
          <w:rFonts w:ascii="Palatino Linotype" w:hAnsi="Palatino Linotype"/>
          <w:color w:val="000000" w:themeColor="text1"/>
          <w:lang w:val="en-GB"/>
        </w:rPr>
        <w:t xml:space="preserve"> </w:t>
      </w:r>
      <w:r>
        <w:rPr>
          <w:rFonts w:ascii="Palatino Linotype" w:hAnsi="Palatino Linotype"/>
          <w:color w:val="000000" w:themeColor="text1"/>
          <w:lang w:val="en-GB"/>
        </w:rPr>
        <w:fldChar w:fldCharType="begin" w:fldLock="1"/>
      </w:r>
      <w:r w:rsidR="009D3AAF">
        <w:rPr>
          <w:rFonts w:ascii="Palatino Linotype" w:hAnsi="Palatino Linotype"/>
          <w:color w:val="000000" w:themeColor="text1"/>
          <w:lang w:val="en-GB"/>
        </w:rPr>
        <w:instrText>ADDIN CSL_CITATION {"citationItems":[{"id":"ITEM-1","itemData":{"DOI":"10.1016/j.jamda.2019.08.026","ISSN":"15258610","PMID":"31672566","abstract":"OBJECTIVES To evaluate patients' preferences for sarcopenia outcomes. DESIGN Discrete-choice experiment (DCE) SETTING AND PARTICIPANTS: Community-dwelling individuals older than 65 years suffering from sarcopenia recruited in Belgium, France, Germany, Italy, Spain, and Switzerland, who visited the clinic and were cognitively able to understand and fill out the survey. METHODS In the DCE survey, participants were repetitively asked to choose which one of the 2 patients suffering from sarcopenia deserves treatment the most. The 2 patients presented different levels of risk for 5 preselected sarcopenia outcomes: quality of life, mobility, domestic activities, fatigue, and falls. The DCE included 12 choice sets. Mixed logit panel model was used to estimate patients' preferences and latent class model was conducted to identify profiles of responses. RESULTS A total of 216 sarcopenic persons were included for the analysis (68% women; mean age 78 years). All 5 preselected sarcopenia outcomes were shown to be significant. Overall, the most important sarcopenia outcome was mobility (30%), followed by the ability to manage domestic activities (22%), the risk of falls (18%), fatigue (17%), and quality of life (14%). The latent class model identified 2 classes of respondents. In the first class (probability of 56%), participants valued mobility the most (42%), followed by the ability to manage domestic activities (23%) and risk of falls (17%). In the second class, fatigue was the most important outcome (27%) followed by domestic activities (19%) and risk of falls (19%). No statistically significant associations between the latent classes and sociodemographic characteristics were found. CONCLUSIONS AND IMPLICATIONS This study suggests that all 5 preselected outcomes were important for sarcopenic older individuals. Overall, the most important outcomes were mobility and the ability to manage domestic activities, although variations in preferences were observed between respondents. This could help in incorporating patient preferences when designing appropriate solutions for individuals with sarcopenia.","author":[{"dropping-particle":"","family":"Hiligsmann","given":"Mickael","non-dropping-particle":"","parse-names":false,"suffix":""},{"dropping-particle":"","family":"Beaudart","given":"Charlotte","non-dropping-particle":"","parse-names":false,"suffix":""},{"dropping-particle":"","family":"Bruyère","given":"Olivier","non-dropping-particle":"","parse-names":false,"suffix":""},{"dropping-particle":"","family":"Biver","given":"Emmanuel","non-dropping-particle":"","parse-names":false,"suffix":""},{"dropping-particle":"","family":"Bauer","given":"Jürgen","non-dropping-particle":"","parse-names":false,"suffix":""},{"dropping-particle":"","family":"Cruz-Jentoft","given":"Alfonso J.","non-dropping-particle":"","parse-names":false,"suffix":""},{"dropping-particle":"","family":"Gesmundo","given":"Antonella","non-dropping-particle":"","parse-names":false,"suffix":""},{"dropping-particle":"","family":"Goisser","given":"Sabine","non-dropping-particle":"","parse-names":false,"suffix":""},{"dropping-particle":"","family":"Landi","given":"Francesco","non-dropping-particle":"","parse-names":false,"suffix":""},{"dropping-particle":"","family":"Locquet","given":"Médéa","non-dropping-particle":"","parse-names":false,"suffix":""},{"dropping-particle":"","family":"Maggi","given":"Stefania","non-dropping-particle":"","parse-names":false,"suffix":""},{"dropping-particle":"","family":"Rizzoli","given":"Rene","non-dropping-particle":"","parse-names":false,"suffix":""},{"dropping-particle":"","family":"Rolland","given":"Yves","non-dropping-particle":"","parse-names":false,"suffix":""},{"dropping-particle":"","family":"Vaquero","given":"Nieves","non-dropping-particle":"","parse-names":false,"suffix":""},{"dropping-particle":"","family":"Cooper","given":"Cyrus","non-dropping-particle":"","parse-names":false,"suffix":""},{"dropping-particle":"","family":"Reginster","given":"Jean-Yves","non-dropping-particle":"","parse-names":false,"suffix":""},{"dropping-particle":"","family":"European Society for Clinical and Economic Aspects of Osteoporosis, Osteoarthritis and Musculoskeletal Diseases (ESCEO)","given":"","non-dropping-particle":"","parse-names":false,"suffix":""}],"container-title":"Journal of the American Medical Directors Association","id":"ITEM-1","issued":{"date-parts":[["2019","10","28"]]},"title":"Outcome Priorities for Older Persons With Sarcopenia","type":"article-journal"},"uris":["http://www.mendeley.com/documents/?uuid=dcf54136-5a92-3461-9da7-79e29d993803","http://www.mendeley.com/documents/?uuid=556ba40a-0538-4e18-921d-53544db448c8"]}],"mendeley":{"formattedCitation":"[48]","plainTextFormattedCitation":"[48]","previouslyFormattedCitation":"[46]"},"properties":{"noteIndex":0},"schema":"https://github.com/citation-style-language/schema/raw/master/csl-citation.json"}</w:instrText>
      </w:r>
      <w:r>
        <w:rPr>
          <w:rFonts w:ascii="Palatino Linotype" w:hAnsi="Palatino Linotype"/>
          <w:color w:val="000000" w:themeColor="text1"/>
          <w:lang w:val="en-GB"/>
        </w:rPr>
        <w:fldChar w:fldCharType="separate"/>
      </w:r>
      <w:r w:rsidR="009D3AAF" w:rsidRPr="009D3AAF">
        <w:rPr>
          <w:rFonts w:ascii="Palatino Linotype" w:hAnsi="Palatino Linotype"/>
          <w:noProof/>
          <w:color w:val="000000" w:themeColor="text1"/>
          <w:lang w:val="en-GB"/>
        </w:rPr>
        <w:t>[48]</w:t>
      </w:r>
      <w:r>
        <w:rPr>
          <w:rFonts w:ascii="Palatino Linotype" w:hAnsi="Palatino Linotype"/>
          <w:color w:val="000000" w:themeColor="text1"/>
          <w:lang w:val="en-GB"/>
        </w:rPr>
        <w:fldChar w:fldCharType="end"/>
      </w:r>
      <w:r>
        <w:rPr>
          <w:rFonts w:ascii="Palatino Linotype" w:hAnsi="Palatino Linotype"/>
          <w:color w:val="000000" w:themeColor="text1"/>
          <w:lang w:val="en-GB"/>
        </w:rPr>
        <w:t xml:space="preserve">.  </w:t>
      </w:r>
    </w:p>
    <w:p w14:paraId="175BA422" w14:textId="19277665" w:rsidR="00B35C96" w:rsidRPr="00902B2A" w:rsidRDefault="00963985" w:rsidP="00331C8C">
      <w:pPr>
        <w:jc w:val="both"/>
        <w:rPr>
          <w:rFonts w:ascii="Palatino Linotype" w:hAnsi="Palatino Linotype"/>
          <w:color w:val="000000" w:themeColor="text1"/>
          <w:lang w:val="en-GB"/>
        </w:rPr>
      </w:pPr>
      <w:r>
        <w:rPr>
          <w:rFonts w:ascii="Palatino Linotype" w:hAnsi="Palatino Linotype"/>
          <w:color w:val="000000" w:themeColor="text1"/>
          <w:lang w:val="en-GB"/>
        </w:rPr>
        <w:t>Regarding PROMs,</w:t>
      </w:r>
      <w:r w:rsidR="00452746">
        <w:rPr>
          <w:rFonts w:ascii="Palatino Linotype" w:hAnsi="Palatino Linotype"/>
          <w:color w:val="000000" w:themeColor="text1"/>
          <w:lang w:val="en-GB"/>
        </w:rPr>
        <w:t xml:space="preserve"> </w:t>
      </w:r>
      <w:r>
        <w:rPr>
          <w:rFonts w:ascii="Palatino Linotype" w:hAnsi="Palatino Linotype"/>
          <w:color w:val="000000" w:themeColor="text1"/>
          <w:lang w:val="en-GB"/>
        </w:rPr>
        <w:t>c</w:t>
      </w:r>
      <w:r w:rsidR="00207A10">
        <w:rPr>
          <w:rFonts w:ascii="Palatino Linotype" w:hAnsi="Palatino Linotype"/>
          <w:color w:val="000000" w:themeColor="text1"/>
          <w:lang w:val="en-GB"/>
        </w:rPr>
        <w:t xml:space="preserve">urrently, two different PROMs specific to sarcopenia are available: </w:t>
      </w:r>
      <w:r w:rsidR="00331C8C">
        <w:rPr>
          <w:rFonts w:ascii="Palatino Linotype" w:hAnsi="Palatino Linotype"/>
          <w:color w:val="000000" w:themeColor="text1"/>
          <w:lang w:val="en-GB"/>
        </w:rPr>
        <w:t>The</w:t>
      </w:r>
      <w:r w:rsidR="00207A10">
        <w:rPr>
          <w:rFonts w:ascii="Palatino Linotype" w:hAnsi="Palatino Linotype"/>
          <w:color w:val="000000" w:themeColor="text1"/>
          <w:lang w:val="en-GB"/>
        </w:rPr>
        <w:t xml:space="preserve"> Age-Related Muscle Loss questionnaire (ARMLQ)</w:t>
      </w:r>
      <w:r w:rsidR="008B0F88">
        <w:rPr>
          <w:rFonts w:ascii="Palatino Linotype" w:hAnsi="Palatino Linotype"/>
          <w:color w:val="000000" w:themeColor="text1"/>
          <w:lang w:val="en-GB"/>
        </w:rPr>
        <w:t>, a PROM</w:t>
      </w:r>
      <w:r w:rsidR="0064725E">
        <w:rPr>
          <w:rFonts w:ascii="Palatino Linotype" w:hAnsi="Palatino Linotype"/>
          <w:color w:val="000000" w:themeColor="text1"/>
          <w:lang w:val="en-GB"/>
        </w:rPr>
        <w:t xml:space="preserve"> measuring the functional impact of reduced muscle strength from the patient perspective</w:t>
      </w:r>
      <w:r w:rsidR="006D50D1">
        <w:rPr>
          <w:rFonts w:ascii="Palatino Linotype" w:hAnsi="Palatino Linotype"/>
          <w:color w:val="000000" w:themeColor="text1"/>
          <w:lang w:val="en-GB"/>
        </w:rPr>
        <w:t xml:space="preserve"> </w:t>
      </w:r>
      <w:r w:rsidR="00675C57">
        <w:rPr>
          <w:rFonts w:ascii="Palatino Linotype" w:hAnsi="Palatino Linotype"/>
          <w:color w:val="000000" w:themeColor="text1"/>
          <w:lang w:val="en-GB"/>
        </w:rPr>
        <w:fldChar w:fldCharType="begin" w:fldLock="1"/>
      </w:r>
      <w:r w:rsidR="009D3AAF">
        <w:rPr>
          <w:rFonts w:ascii="Palatino Linotype" w:hAnsi="Palatino Linotype"/>
          <w:color w:val="000000" w:themeColor="text1"/>
          <w:lang w:val="en-GB"/>
        </w:rPr>
        <w:instrText>ADDIN CSL_CITATION {"citationItems":[{"id":"ITEM-1","itemData":{"DOI":"10.1016/j.jamda.2010.09.010","ISSN":"1538-9375","PMID":"21333926","abstract":"OBJECTIVE The objective of this study was to develop a patient-reported outcome (PRO) to assess reduced muscle strength in sarcopenia. DESIGN Qualitative research study. SETTING University of Arkansas for Medical Sciences. PARTICIPANTS Subjects with sarcopenia. MEASUREMENTS Adults aged 55 years and older with sarcopenia (n = 12) attended open-ended, concept elicitation interviews to characterize the functional effects of reduced muscle strength on their lives. The resulting qualitative data were analyzed using a qualitative analysis software program (Atlas.ti [Atlas.ti GmbH, Berlin, Germany]) and a common set of codes was developed to summarize the data. Subsequently, the initial PRO measure was drafted. Cognitive interviews were then conducted with additional sarcopenia subjects (n = 12) to refine the measure. RESULTS Qualitative interviews identified key concepts (eg, impacts) in the areas of activities of daily living, emotions, social activities, energy, balance, coordination, sleep, and strength. Based on data from the cognitive debriefing interviews (eg, understandability, relevance, suggestions to reword items), the PRO measure development team came to consensus on which items or parts of the instructions to retain, revise, or delete. The final measure included 14 items. CONCLUSION The final PRO measure, the Age-Related Muscle Loss Questionnaire, can be used in both clinical practice and clinical trial settings to assess functional impacts of reduced muscle strength in sarcopenia.","author":[{"dropping-particle":"","family":"Evans","given":"Christopher J","non-dropping-particle":"","parse-names":false,"suffix":""},{"dropping-particle":"","family":"Chiou","given":"Chiun-Fang","non-dropping-particle":"","parse-names":false,"suffix":""},{"dropping-particle":"","family":"Fitzgerald","given":"Kristina A","non-dropping-particle":"","parse-names":false,"suffix":""},{"dropping-particle":"","family":"Evans","given":"William J","non-dropping-particle":"","parse-names":false,"suffix":""},{"dropping-particle":"","family":"Ferrell","given":"Betty R","non-dropping-particle":"","parse-names":false,"suffix":""},{"dropping-particle":"","family":"Dale","given":"William","non-dropping-particle":"","parse-names":false,"suffix":""},{"dropping-particle":"","family":"Fried","given":"Linda P","non-dropping-particle":"","parse-names":false,"suffix":""},{"dropping-particle":"","family":"Gandra","given":"Shravanthi R","non-dropping-particle":"","parse-names":false,"suffix":""},{"dropping-particle":"","family":"Dennee-Sommers","given":"Brooke","non-dropping-particle":"","parse-names":false,"suffix":""},{"dropping-particle":"","family":"Patrick","given":"Donald L","non-dropping-particle":"","parse-names":false,"suffix":""}],"container-title":"Journal of the American Medical Directors Association","id":"ITEM-1","issue":"3","issued":{"date-parts":[["2011","3"]]},"page":"226-33","title":"Development of a new patient-reported outcome measure in sarcopenia.","type":"article-journal","volume":"12"},"uris":["http://www.mendeley.com/documents/?uuid=74f93ed1-4812-38fa-bb9a-2d60f6c07673"]}],"mendeley":{"formattedCitation":"[49]","plainTextFormattedCitation":"[49]","previouslyFormattedCitation":"[47]"},"properties":{"noteIndex":0},"schema":"https://github.com/citation-style-language/schema/raw/master/csl-citation.json"}</w:instrText>
      </w:r>
      <w:r w:rsidR="00675C57">
        <w:rPr>
          <w:rFonts w:ascii="Palatino Linotype" w:hAnsi="Palatino Linotype"/>
          <w:color w:val="000000" w:themeColor="text1"/>
          <w:lang w:val="en-GB"/>
        </w:rPr>
        <w:fldChar w:fldCharType="separate"/>
      </w:r>
      <w:r w:rsidR="009D3AAF" w:rsidRPr="009D3AAF">
        <w:rPr>
          <w:rFonts w:ascii="Palatino Linotype" w:hAnsi="Palatino Linotype"/>
          <w:noProof/>
          <w:color w:val="000000" w:themeColor="text1"/>
          <w:lang w:val="en-GB"/>
        </w:rPr>
        <w:t>[49]</w:t>
      </w:r>
      <w:r w:rsidR="00675C57">
        <w:rPr>
          <w:rFonts w:ascii="Palatino Linotype" w:hAnsi="Palatino Linotype"/>
          <w:color w:val="000000" w:themeColor="text1"/>
          <w:lang w:val="en-GB"/>
        </w:rPr>
        <w:fldChar w:fldCharType="end"/>
      </w:r>
      <w:r w:rsidR="0064725E">
        <w:rPr>
          <w:rFonts w:ascii="Palatino Linotype" w:hAnsi="Palatino Linotype"/>
          <w:color w:val="000000" w:themeColor="text1"/>
          <w:lang w:val="en-GB"/>
        </w:rPr>
        <w:t xml:space="preserve"> </w:t>
      </w:r>
      <w:r w:rsidR="00207A10">
        <w:rPr>
          <w:rFonts w:ascii="Palatino Linotype" w:hAnsi="Palatino Linotype"/>
          <w:color w:val="000000" w:themeColor="text1"/>
          <w:lang w:val="en-GB"/>
        </w:rPr>
        <w:t xml:space="preserve">and the </w:t>
      </w:r>
      <w:proofErr w:type="spellStart"/>
      <w:r w:rsidR="00207A10">
        <w:rPr>
          <w:rFonts w:ascii="Palatino Linotype" w:hAnsi="Palatino Linotype"/>
          <w:color w:val="000000" w:themeColor="text1"/>
          <w:lang w:val="en-GB"/>
        </w:rPr>
        <w:t>SarQoL</w:t>
      </w:r>
      <w:proofErr w:type="spellEnd"/>
      <w:r w:rsidR="00207A10">
        <w:rPr>
          <w:rFonts w:ascii="Palatino Linotype" w:hAnsi="Palatino Linotype"/>
          <w:color w:val="000000" w:themeColor="text1"/>
          <w:lang w:val="en-GB"/>
        </w:rPr>
        <w:t>® questionnaire</w:t>
      </w:r>
      <w:r w:rsidR="006D50D1">
        <w:rPr>
          <w:rFonts w:ascii="Palatino Linotype" w:hAnsi="Palatino Linotype"/>
          <w:color w:val="000000" w:themeColor="text1"/>
          <w:lang w:val="en-GB"/>
        </w:rPr>
        <w:t xml:space="preserve"> </w:t>
      </w:r>
      <w:r w:rsidR="0069445A">
        <w:rPr>
          <w:rFonts w:ascii="Palatino Linotype" w:hAnsi="Palatino Linotype"/>
          <w:color w:val="000000" w:themeColor="text1"/>
          <w:lang w:val="en-GB"/>
        </w:rPr>
        <w:fldChar w:fldCharType="begin" w:fldLock="1"/>
      </w:r>
      <w:r w:rsidR="009D3AAF">
        <w:rPr>
          <w:rFonts w:ascii="Palatino Linotype" w:hAnsi="Palatino Linotype"/>
          <w:color w:val="000000" w:themeColor="text1"/>
          <w:lang w:val="en-GB"/>
        </w:rPr>
        <w:instrText>ADDIN CSL_CITATION {"citationItems":[{"id":"ITEM-1","itemData":{"DOI":"10.1093/ageing/afv133","ISSN":"0002-0729","PMID":"26433796","author":[{"dropping-particle":"","family":"Beaudart","given":"Charlotte","non-dropping-particle":"","parse-names":false,"suffix":""},{"dropping-particle":"","family":"Biver","given":"Emmanuel","non-dropping-particle":"","parse-names":false,"suffix":""},{"dropping-particle":"","family":"Reginster","given":"Jean-Yves","non-dropping-particle":"","parse-names":false,"suffix":""},{"dropping-particle":"","family":"Rizzoli","given":"René","non-dropping-particle":"","parse-names":false,"suffix":""},{"dropping-particle":"","family":"Rolland","given":"Yves","non-dropping-particle":"","parse-names":false,"suffix":""},{"dropping-particle":"","family":"Bautmans","given":"Ivan","non-dropping-particle":"","parse-names":false,"suffix":""},{"dropping-particle":"","family":"Petermans","given":"Jean","non-dropping-particle":"","parse-names":false,"suffix":""},{"dropping-particle":"","family":"Gillain","given":"Sophie","non-dropping-particle":"","parse-names":false,"suffix":""},{"dropping-particle":"","family":"Buckinx","given":"Fanny","non-dropping-particle":"","parse-names":false,"suffix":""},{"dropping-particle":"","family":"Beveren","given":"Julien","non-dropping-particle":"Van","parse-names":false,"suffix":""},{"dropping-particle":"","family":"Jacquemain","given":"Marc","non-dropping-particle":"","parse-names":false,"suffix":""},{"dropping-particle":"","family":"Italiano","given":"Patrick","non-dropping-particle":"","parse-names":false,"suffix":""},{"dropping-particle":"","family":"Dardenne","given":"Nadia","non-dropping-particle":"","parse-names":false,"suffix":""},{"dropping-particle":"","family":"Bruyere","given":"Olivier","non-dropping-particle":"","parse-names":false,"suffix":""}],"container-title":"Age and Ageing","id":"ITEM-1","issue":"6","issued":{"date-parts":[["2015","11","3"]]},"language":"en","page":"960-966","publisher":"Oxford University Press","title":"Development of a self-administrated quality of life questionnaire for sarcopenia in elderly subjects: the SarQoL","type":"article-journal","volume":"44"},"uris":["http://www.mendeley.com/documents/?uuid=100b7c5b-a428-4858-a4fa-78118ea1f33b"]},{"id":"ITEM-2","itemData":{"DOI":"10.1002/jcsm.12149","ISSN":"21906009","abstract":"© 2016 The Authors. Journal of Cachexia, Sarcopenia and Muscle published by John Wiley  &amp;  Sons Ltd on behalf of the Society on Sarcopenia, Cachexia and Wasting Disorders Background: A specific self-administrated health-related quality of life questionnaire for sarcopenia, the Sarcopenia and Quality Of Life (SarQoL®), has been recently developed. This questionnaire is composed of 55 items translated into 22 questions and organized into seven domains of quality of life. The objective of the present work is to evaluate the psychometric properties (discriminative power, validity, reliability, floor and ceiling effects) of the SarQoL® questionnaire. Methods: Sarcopenic subjects were recruited in an outpatient clinic in Liège, Belgium and were diagnosed according to the algorithm developed by the European Working Group on Sarcopenia in Older People. We compared the score of the SarQoL® between sarcopenic and non-sarcopenic subjects using a logistic regression after adjustment for potential confounding variables. Internal consistency reliability was determined using Cronbach's alpha coefficient; construct validity was assessed using convergent and divergent validities. Test–retest reliability was verified after a two-week interval using the intra-class correlation coefficient (ICC). At last, floor and ceiling effects were also tested. Results: A total of 296 subjects with a median age of 73.3 (68.9–78.6) years were recruited for this study. Among them, 43 were diagnosed sarcopenic. After adjustment for potential confounding factors, the total score and the scores of the different dimensions of the SarQoL® questionnaire were significantly lower for sarcopenic than for non-sarcopenic subjects (54.7 (45.9–66.3) for sarcopenic vs. 67.8 (57.3 – 79.0) for non sarcopenic, OR 0.93 (95%CI 0.90–0.96)). Regarding internal consistency, the Cronbach's alpha coefficient was 0.87. The SarQoL® questionnaire data showed good correlation with some domains of the Short-Form 36 (SF-36) and the EuroQoL 5-dimension (EQ-5D) questionnaires and with the mobility test. An excellent agreement between the test and the retest was found with an ICC of 0.91 (95% CI 0.82–0.95). At last, neither floor nor ceiling effects were detected. Conclusions: The SarQoL® questionnaire is valid, consistent, and reliable and can therefore be recommended for clinical and research purposes. However, its sensitivity to change needs to be assessed in future longitudinal studies.","author":[{"dropping-particle":"","family":"Beaudart","given":"C.","non-dropping-particle":"","parse-names":false,"suffix":""},{"dropping-particle":"","family":"Biver","given":"E.","non-dropping-particle":"","parse-names":false,"suffix":""},{"dropping-particle":"","family":"Reginster","given":"J.-Y.","non-dropping-particle":"","parse-names":false,"suffix":""},{"dropping-particle":"","family":"Rizzoli","given":"R.","non-dropping-particle":"","parse-names":false,"suffix":""},{"dropping-particle":"","family":"Rolland","given":"Y.","non-dropping-particle":"","parse-names":false,"suffix":""},{"dropping-particle":"","family":"Bautmans","given":"I.","non-dropping-particle":"","parse-names":false,"suffix":""},{"dropping-particle":"","family":"Petermans","given":"J.","non-dropping-particle":"","parse-names":false,"suffix":""},{"dropping-particle":"","family":"Gillain","given":"S.","non-dropping-particle":"","parse-names":false,"suffix":""},{"dropping-particle":"","family":"Buckinx","given":"F.","non-dropping-particle":"","parse-names":false,"suffix":""},{"dropping-particle":"","family":"Dardenne","given":"N.","non-dropping-particle":"","parse-names":false,"suffix":""},{"dropping-particle":"","family":"Bruyère","given":"O.","non-dropping-particle":"","parse-names":false,"suffix":""}],"container-title":"Journal of Cachexia, Sarcopenia and Muscle","id":"ITEM-2","issue":"2","issued":{"date-parts":[["2017"]]},"title":"Validation of the SarQoL®, a specific health-related quality of life questionnaire for Sarcopenia","type":"article-journal","volume":"8"},"uris":["http://www.mendeley.com/documents/?uuid=a7e6519a-8cd8-359d-ab04-0e90ecc7d43b","http://www.mendeley.com/documents/?uuid=6fc5e5fa-e533-4a97-9068-7b52d25627ba"]}],"mendeley":{"formattedCitation":"[50, 51]","plainTextFormattedCitation":"[50, 51]","previouslyFormattedCitation":"[48, 49]"},"properties":{"noteIndex":0},"schema":"https://github.com/citation-style-language/schema/raw/master/csl-citation.json"}</w:instrText>
      </w:r>
      <w:r w:rsidR="0069445A">
        <w:rPr>
          <w:rFonts w:ascii="Palatino Linotype" w:hAnsi="Palatino Linotype"/>
          <w:color w:val="000000" w:themeColor="text1"/>
          <w:lang w:val="en-GB"/>
        </w:rPr>
        <w:fldChar w:fldCharType="separate"/>
      </w:r>
      <w:r w:rsidR="009D3AAF" w:rsidRPr="009D3AAF">
        <w:rPr>
          <w:rFonts w:ascii="Palatino Linotype" w:hAnsi="Palatino Linotype"/>
          <w:noProof/>
          <w:color w:val="000000" w:themeColor="text1"/>
          <w:lang w:val="en-GB"/>
        </w:rPr>
        <w:t>[50, 51]</w:t>
      </w:r>
      <w:r w:rsidR="0069445A">
        <w:rPr>
          <w:rFonts w:ascii="Palatino Linotype" w:hAnsi="Palatino Linotype"/>
          <w:color w:val="000000" w:themeColor="text1"/>
          <w:lang w:val="en-GB"/>
        </w:rPr>
        <w:fldChar w:fldCharType="end"/>
      </w:r>
      <w:r w:rsidR="00331C8C">
        <w:rPr>
          <w:rFonts w:ascii="Palatino Linotype" w:hAnsi="Palatino Linotype"/>
          <w:color w:val="000000" w:themeColor="text1"/>
          <w:lang w:val="en-GB"/>
        </w:rPr>
        <w:t>, a health-related quality of life questionnaire</w:t>
      </w:r>
      <w:r w:rsidR="0064725E">
        <w:rPr>
          <w:rFonts w:ascii="Palatino Linotype" w:hAnsi="Palatino Linotype"/>
          <w:color w:val="000000" w:themeColor="text1"/>
          <w:lang w:val="en-GB"/>
        </w:rPr>
        <w:t xml:space="preserve"> for sarcopenia</w:t>
      </w:r>
      <w:r w:rsidR="00207A10">
        <w:rPr>
          <w:rFonts w:ascii="Palatino Linotype" w:hAnsi="Palatino Linotype"/>
          <w:color w:val="000000" w:themeColor="text1"/>
          <w:lang w:val="en-GB"/>
        </w:rPr>
        <w:t xml:space="preserve">. So far, only the </w:t>
      </w:r>
      <w:proofErr w:type="spellStart"/>
      <w:r w:rsidR="00207A10">
        <w:rPr>
          <w:rFonts w:ascii="Palatino Linotype" w:hAnsi="Palatino Linotype"/>
          <w:color w:val="000000" w:themeColor="text1"/>
          <w:lang w:val="en-GB"/>
        </w:rPr>
        <w:t>SarQoL</w:t>
      </w:r>
      <w:proofErr w:type="spellEnd"/>
      <w:r w:rsidR="00207A10">
        <w:rPr>
          <w:rFonts w:ascii="Palatino Linotype" w:hAnsi="Palatino Linotype"/>
          <w:color w:val="000000" w:themeColor="text1"/>
          <w:lang w:val="en-GB"/>
        </w:rPr>
        <w:t xml:space="preserve">® questionnaire has been validated </w:t>
      </w:r>
      <w:r w:rsidR="00F71822">
        <w:rPr>
          <w:rFonts w:ascii="Palatino Linotype" w:hAnsi="Palatino Linotype"/>
          <w:color w:val="000000" w:themeColor="text1"/>
          <w:lang w:val="en-GB"/>
        </w:rPr>
        <w:t>with</w:t>
      </w:r>
      <w:r w:rsidR="00207A10">
        <w:rPr>
          <w:rFonts w:ascii="Palatino Linotype" w:hAnsi="Palatino Linotype"/>
          <w:color w:val="000000" w:themeColor="text1"/>
          <w:lang w:val="en-GB"/>
        </w:rPr>
        <w:t xml:space="preserve"> regard </w:t>
      </w:r>
      <w:r w:rsidR="00F71822">
        <w:rPr>
          <w:rFonts w:ascii="Palatino Linotype" w:hAnsi="Palatino Linotype"/>
          <w:color w:val="000000" w:themeColor="text1"/>
          <w:lang w:val="en-GB"/>
        </w:rPr>
        <w:t>to</w:t>
      </w:r>
      <w:r w:rsidR="00207A10">
        <w:rPr>
          <w:rFonts w:ascii="Palatino Linotype" w:hAnsi="Palatino Linotype"/>
          <w:color w:val="000000" w:themeColor="text1"/>
          <w:lang w:val="en-GB"/>
        </w:rPr>
        <w:t xml:space="preserve"> </w:t>
      </w:r>
      <w:r w:rsidR="00BF4649">
        <w:rPr>
          <w:rFonts w:ascii="Palatino Linotype" w:hAnsi="Palatino Linotype"/>
          <w:color w:val="000000" w:themeColor="text1"/>
          <w:lang w:val="en-GB"/>
        </w:rPr>
        <w:t>the</w:t>
      </w:r>
      <w:r w:rsidR="00207A10">
        <w:rPr>
          <w:rFonts w:ascii="Palatino Linotype" w:hAnsi="Palatino Linotype"/>
          <w:color w:val="000000" w:themeColor="text1"/>
          <w:lang w:val="en-GB"/>
        </w:rPr>
        <w:t xml:space="preserve"> responsiveness. </w:t>
      </w:r>
      <w:proofErr w:type="spellStart"/>
      <w:r w:rsidR="00207A10">
        <w:rPr>
          <w:rFonts w:ascii="Palatino Linotype" w:hAnsi="Palatino Linotype"/>
          <w:color w:val="000000" w:themeColor="text1"/>
          <w:lang w:val="en-GB"/>
        </w:rPr>
        <w:t>Geerinck</w:t>
      </w:r>
      <w:proofErr w:type="spellEnd"/>
      <w:r w:rsidR="00207A10">
        <w:rPr>
          <w:rFonts w:ascii="Palatino Linotype" w:hAnsi="Palatino Linotype"/>
          <w:color w:val="000000" w:themeColor="text1"/>
          <w:lang w:val="en-GB"/>
        </w:rPr>
        <w:t xml:space="preserve"> et al.</w:t>
      </w:r>
      <w:r w:rsidR="006D50D1">
        <w:rPr>
          <w:rFonts w:ascii="Palatino Linotype" w:hAnsi="Palatino Linotype"/>
          <w:color w:val="000000" w:themeColor="text1"/>
          <w:lang w:val="en-GB"/>
        </w:rPr>
        <w:t xml:space="preserve"> </w:t>
      </w:r>
      <w:r w:rsidR="0069445A">
        <w:rPr>
          <w:rFonts w:ascii="Palatino Linotype" w:hAnsi="Palatino Linotype"/>
          <w:color w:val="000000" w:themeColor="text1"/>
          <w:lang w:val="en-GB"/>
        </w:rPr>
        <w:fldChar w:fldCharType="begin" w:fldLock="1"/>
      </w:r>
      <w:r w:rsidR="009D3AAF">
        <w:rPr>
          <w:rFonts w:ascii="Palatino Linotype" w:hAnsi="Palatino Linotype"/>
          <w:color w:val="000000" w:themeColor="text1"/>
          <w:lang w:val="en-GB"/>
        </w:rPr>
        <w:instrText>ADDIN CSL_CITATION {"citationItems":[{"id":"ITEM-1","itemData":{"DOI":"10.1007/s12325-018-0820-z","ISSN":"1865-8652 (Electronic)","PMID":"30374809","abstract":"INTRODUCTION: The Sarcopenia Quality of Life (SarQoL((R))) questionnaire was developed to provide a patient-reported outcome measure specific to sarcopenia. Its psychometric properties indicate that it is a valid and reliable instrument. However, until now, its ability to detect change over time has not been examined. Therefore, the objective of this study is to evaluate the responsiveness (also known as sensitivity to change) of the SarQoL((R)) questionnaire in a prospective, longitudinal cohort of community-dwelling, older, sarcopenic subjects. METHODS: Sarcopenic subjects from the SarcoPhAge (Sarcopenia and Physical impairment with advancing Age) study were included. Responsiveness was evaluated with nine pre-specified hypotheses on the correlation between the evolution of the SarQoL((R)) scores after a 2-year interval and the evolution of the scores on the Short Form-36 (SF-36) and the Euroqol 5-dimension (EQ-5D) questionnaires. This technique considers responsiveness to be a form of longitudinal validity. Additionally, standardized response means were also calculated to compare the quantity of change measured by the different questionnaires. RESULTS: A total of 42 sarcopenic subjects were included. The median age of the sample was 72.9 (68.9-78.8) years, 59.5% were female, and the mean body mass index was 23.3 (20.4-25.7) kg/m(2). A good responsiveness was observed, as evidenced by the confirmation of eight out of nine hypotheses, well above the 75% confirmation threshold. The standardized response mean of the Overall SarQoL((R)) score was significantly higher than those of the SF-36 Physical Component Summary (p = 0.005), the EQ-5D Utility Index (p &lt; 0.001) and the Euroqol visual analogue scale (p = 0.003). CONCLUSION: The first data available on the ability of the SarQoL((R)) questionnaire to detect change over time indicates that the questionnaire has good responsiveness. This, together with the previously established psychometric properties, confirms that the SarQoL((R)) questionnaire is a relevant instrument for the assessment of quality of life in sarcopenic populations.","author":[{"dropping-particle":"","family":"Geerinck","given":"Anton","non-dropping-particle":"","parse-names":false,"suffix":""},{"dropping-particle":"","family":"Bruyere","given":"Olivier","non-dropping-particle":"","parse-names":false,"suffix":""},{"dropping-particle":"","family":"Locquet","given":"Medea","non-dropping-particle":"","parse-names":false,"suffix":""},{"dropping-particle":"","family":"Reginster","given":"Jean-Yves","non-dropping-particle":"","parse-names":false,"suffix":""},{"dropping-particle":"","family":"Beaudart","given":"Charlotte","non-dropping-particle":"","parse-names":false,"suffix":""}],"container-title":"Advances in therapy","id":"ITEM-1","issue":"11","issued":{"date-parts":[["2018","11"]]},"language":"eng","page":"1842-1858","publisher-place":"United States","title":"Evaluation of the Responsiveness of the SarQoL((R)) Questionnaire, a Patient-Reported Outcome Measure Specific to Sarcopenia.","type":"article-journal","volume":"35"},"uris":["http://www.mendeley.com/documents/?uuid=911b833a-4568-42fa-ad57-0a7498596461","http://www.mendeley.com/documents/?uuid=9f1dee6c-9ae9-4554-8067-59d23b72674a"]}],"mendeley":{"formattedCitation":"[40]","plainTextFormattedCitation":"[40]","previouslyFormattedCitation":"[38]"},"properties":{"noteIndex":0},"schema":"https://github.com/citation-style-language/schema/raw/master/csl-citation.json"}</w:instrText>
      </w:r>
      <w:r w:rsidR="0069445A">
        <w:rPr>
          <w:rFonts w:ascii="Palatino Linotype" w:hAnsi="Palatino Linotype"/>
          <w:color w:val="000000" w:themeColor="text1"/>
          <w:lang w:val="en-GB"/>
        </w:rPr>
        <w:fldChar w:fldCharType="separate"/>
      </w:r>
      <w:r w:rsidR="009D3AAF" w:rsidRPr="009D3AAF">
        <w:rPr>
          <w:rFonts w:ascii="Palatino Linotype" w:hAnsi="Palatino Linotype"/>
          <w:noProof/>
          <w:color w:val="000000" w:themeColor="text1"/>
          <w:lang w:val="en-GB"/>
        </w:rPr>
        <w:t>[40]</w:t>
      </w:r>
      <w:r w:rsidR="0069445A">
        <w:rPr>
          <w:rFonts w:ascii="Palatino Linotype" w:hAnsi="Palatino Linotype"/>
          <w:color w:val="000000" w:themeColor="text1"/>
          <w:lang w:val="en-GB"/>
        </w:rPr>
        <w:fldChar w:fldCharType="end"/>
      </w:r>
      <w:r w:rsidR="00207A10">
        <w:rPr>
          <w:rFonts w:ascii="Palatino Linotype" w:hAnsi="Palatino Linotype"/>
          <w:color w:val="000000" w:themeColor="text1"/>
          <w:lang w:val="en-GB"/>
        </w:rPr>
        <w:t xml:space="preserve"> reported that this specific instrument is more sensitive to change as compared with generic tools largely used as PROMs, </w:t>
      </w:r>
      <w:r w:rsidR="00765186">
        <w:rPr>
          <w:rFonts w:ascii="Palatino Linotype" w:hAnsi="Palatino Linotype"/>
          <w:color w:val="000000" w:themeColor="text1"/>
          <w:lang w:val="en-GB"/>
        </w:rPr>
        <w:t xml:space="preserve">such </w:t>
      </w:r>
      <w:r w:rsidR="00207A10">
        <w:rPr>
          <w:rFonts w:ascii="Palatino Linotype" w:hAnsi="Palatino Linotype"/>
          <w:color w:val="000000" w:themeColor="text1"/>
          <w:lang w:val="en-GB"/>
        </w:rPr>
        <w:t xml:space="preserve">as the SF-36 or EQ-5D questionnaire. </w:t>
      </w:r>
      <w:r w:rsidR="00276C82">
        <w:rPr>
          <w:rFonts w:ascii="Palatino Linotype" w:hAnsi="Palatino Linotype"/>
          <w:color w:val="000000" w:themeColor="text1"/>
          <w:lang w:val="en-GB"/>
        </w:rPr>
        <w:t>Publications</w:t>
      </w:r>
      <w:r w:rsidR="0069445A">
        <w:rPr>
          <w:rFonts w:ascii="Palatino Linotype" w:hAnsi="Palatino Linotype"/>
          <w:color w:val="000000" w:themeColor="text1"/>
          <w:lang w:val="en-GB"/>
        </w:rPr>
        <w:fldChar w:fldCharType="begin" w:fldLock="1"/>
      </w:r>
      <w:r w:rsidR="009D3AAF">
        <w:rPr>
          <w:rFonts w:ascii="Palatino Linotype" w:hAnsi="Palatino Linotype"/>
          <w:color w:val="000000" w:themeColor="text1"/>
          <w:lang w:val="en-GB"/>
        </w:rPr>
        <w:instrText>ADDIN CSL_CITATION {"citationItems":[{"id":"ITEM-1","itemData":{"DOI":"10.1371/journal.pone.0216065","author":[{"dropping-particle":"","family":"Geerinck","given":"A","non-dropping-particle":"","parse-names":false,"suffix":""},{"dropping-particle":"","family":"Alekna","given":"Vidmantas","non-dropping-particle":"","parse-names":false,"suffix":""},{"dropping-particle":"","family":"Beaudart","given":"C","non-dropping-particle":"","parse-names":false,"suffix":""},{"dropping-particle":"","family":"Bautmans","given":"I","non-dropping-particle":"","parse-names":false,"suffix":""},{"dropping-particle":"","family":"Cooper","given":"C","non-dropping-particle":"","parse-names":false,"suffix":""},{"dropping-particle":"","family":"Souza Orlandi","given":"F","non-dropping-particle":"De","parse-names":false,"suffix":""},{"dropping-particle":"","family":"Konstantynowicz","given":"J","non-dropping-particle":"","parse-names":false,"suffix":""},{"dropping-particle":"","family":"Montero-Errasquin","given":"B","non-dropping-particle":"","parse-names":false,"suffix":""},{"dropping-particle":"","family":"Topinkova","given":"E","non-dropping-particle":"","parse-names":false,"suffix":""},{"dropping-particle":"","family":"Tsekoura","given":"M","non-dropping-particle":"","parse-names":false,"suffix":""},{"dropping-particle":"","family":"Reginster","given":"J","non-dropping-particle":"","parse-names":false,"suffix":""},{"dropping-particle":"","family":"Bruyère","given":"O","non-dropping-particle":"","parse-names":false,"suffix":""}],"container-title":"PLoS ONE","id":"ITEM-1","issue":"4","issued":{"date-parts":[["2019"]]},"page":"e0216065","title":"Standard error of measurement and smallest detectable change of the Sarcopenia Quality of Life (Sarqol) questionnaire: An analysis of subjects from 9 validation studies","type":"article-journal","volume":"14"},"uris":["http://www.mendeley.com/documents/?uuid=c7ca15cf-8324-4eda-bd39-3c45c9b3331e","http://www.mendeley.com/documents/?uuid=99719635-943c-4b98-a083-e9de0ece2db6"]}],"mendeley":{"formattedCitation":"[52]","plainTextFormattedCitation":"[52]","previouslyFormattedCitation":"[50]"},"properties":{"noteIndex":0},"schema":"https://github.com/citation-style-language/schema/raw/master/csl-citation.json"}</w:instrText>
      </w:r>
      <w:r w:rsidR="0069445A">
        <w:rPr>
          <w:rFonts w:ascii="Palatino Linotype" w:hAnsi="Palatino Linotype"/>
          <w:color w:val="000000" w:themeColor="text1"/>
          <w:lang w:val="en-GB"/>
        </w:rPr>
        <w:fldChar w:fldCharType="separate"/>
      </w:r>
      <w:r w:rsidR="009D3AAF" w:rsidRPr="009D3AAF">
        <w:rPr>
          <w:rFonts w:ascii="Palatino Linotype" w:hAnsi="Palatino Linotype"/>
          <w:noProof/>
          <w:color w:val="000000" w:themeColor="text1"/>
          <w:lang w:val="en-GB"/>
        </w:rPr>
        <w:t>[52]</w:t>
      </w:r>
      <w:r w:rsidR="0069445A">
        <w:rPr>
          <w:rFonts w:ascii="Palatino Linotype" w:hAnsi="Palatino Linotype"/>
          <w:color w:val="000000" w:themeColor="text1"/>
          <w:lang w:val="en-GB"/>
        </w:rPr>
        <w:fldChar w:fldCharType="end"/>
      </w:r>
      <w:r w:rsidR="00276C82">
        <w:rPr>
          <w:rFonts w:ascii="Palatino Linotype" w:hAnsi="Palatino Linotype"/>
          <w:color w:val="000000" w:themeColor="text1"/>
          <w:lang w:val="en-GB"/>
        </w:rPr>
        <w:t xml:space="preserve"> related to the </w:t>
      </w:r>
      <w:proofErr w:type="spellStart"/>
      <w:r w:rsidR="00276C82">
        <w:rPr>
          <w:rFonts w:ascii="Palatino Linotype" w:hAnsi="Palatino Linotype"/>
          <w:color w:val="000000" w:themeColor="text1"/>
          <w:lang w:val="en-GB"/>
        </w:rPr>
        <w:t>SarQoL</w:t>
      </w:r>
      <w:proofErr w:type="spellEnd"/>
      <w:r w:rsidR="00276C82">
        <w:rPr>
          <w:rFonts w:ascii="Palatino Linotype" w:hAnsi="Palatino Linotype"/>
          <w:color w:val="000000" w:themeColor="text1"/>
          <w:lang w:val="en-GB"/>
        </w:rPr>
        <w:t>® questionnaire also provide its standard error of measurement</w:t>
      </w:r>
      <w:r w:rsidR="00226EBA">
        <w:rPr>
          <w:rFonts w:ascii="Palatino Linotype" w:hAnsi="Palatino Linotype"/>
          <w:color w:val="000000" w:themeColor="text1"/>
          <w:lang w:val="en-GB"/>
        </w:rPr>
        <w:t xml:space="preserve"> (2.65 points on a scale of 0-100 points) </w:t>
      </w:r>
      <w:r w:rsidR="00276C82">
        <w:rPr>
          <w:rFonts w:ascii="Palatino Linotype" w:hAnsi="Palatino Linotype"/>
          <w:color w:val="000000" w:themeColor="text1"/>
          <w:lang w:val="en-GB"/>
        </w:rPr>
        <w:t>and its smallest detectable change</w:t>
      </w:r>
      <w:r w:rsidR="00226EBA">
        <w:rPr>
          <w:rFonts w:ascii="Palatino Linotype" w:hAnsi="Palatino Linotype"/>
          <w:color w:val="000000" w:themeColor="text1"/>
          <w:lang w:val="en-GB"/>
        </w:rPr>
        <w:t xml:space="preserve"> (7.35 points on a scale of 0-100 points)</w:t>
      </w:r>
      <w:r w:rsidR="00276C82">
        <w:rPr>
          <w:rFonts w:ascii="Palatino Linotype" w:hAnsi="Palatino Linotype"/>
          <w:color w:val="000000" w:themeColor="text1"/>
          <w:lang w:val="en-GB"/>
        </w:rPr>
        <w:t xml:space="preserve">, through the combination of 9 cohort studies, which provides a high external validity and useful data for clinical trials. </w:t>
      </w:r>
      <w:r w:rsidR="0069445A">
        <w:rPr>
          <w:rFonts w:ascii="Palatino Linotype" w:hAnsi="Palatino Linotype"/>
          <w:color w:val="000000" w:themeColor="text1"/>
          <w:lang w:val="en-GB"/>
        </w:rPr>
        <w:t xml:space="preserve">Finally, this tool is available in more than 27 languages, all translations being performed by following rigorous guidelines. </w:t>
      </w:r>
      <w:r w:rsidR="00207A10">
        <w:rPr>
          <w:rFonts w:ascii="Palatino Linotype" w:hAnsi="Palatino Linotype"/>
          <w:color w:val="000000" w:themeColor="text1"/>
          <w:lang w:val="en-GB"/>
        </w:rPr>
        <w:t xml:space="preserve">Because </w:t>
      </w:r>
      <w:r w:rsidR="00331C8C">
        <w:rPr>
          <w:rFonts w:ascii="Palatino Linotype" w:hAnsi="Palatino Linotype"/>
          <w:color w:val="000000" w:themeColor="text1"/>
          <w:lang w:val="en-GB"/>
        </w:rPr>
        <w:t>the</w:t>
      </w:r>
      <w:r w:rsidR="00207A10">
        <w:rPr>
          <w:rFonts w:ascii="Palatino Linotype" w:hAnsi="Palatino Linotype"/>
          <w:color w:val="000000" w:themeColor="text1"/>
          <w:lang w:val="en-GB"/>
        </w:rPr>
        <w:t xml:space="preserve"> specific questionnaire</w:t>
      </w:r>
      <w:r w:rsidR="00331C8C">
        <w:rPr>
          <w:rFonts w:ascii="Palatino Linotype" w:hAnsi="Palatino Linotype"/>
          <w:color w:val="000000" w:themeColor="text1"/>
          <w:lang w:val="en-GB"/>
        </w:rPr>
        <w:t>s are</w:t>
      </w:r>
      <w:r w:rsidR="00207A10">
        <w:rPr>
          <w:rFonts w:ascii="Palatino Linotype" w:hAnsi="Palatino Linotype"/>
          <w:color w:val="000000" w:themeColor="text1"/>
          <w:lang w:val="en-GB"/>
        </w:rPr>
        <w:t xml:space="preserve"> more precise and responsive to </w:t>
      </w:r>
      <w:r w:rsidR="00331C8C">
        <w:rPr>
          <w:rFonts w:ascii="Palatino Linotype" w:hAnsi="Palatino Linotype"/>
          <w:color w:val="000000" w:themeColor="text1"/>
          <w:lang w:val="en-GB"/>
        </w:rPr>
        <w:t>change compared</w:t>
      </w:r>
      <w:r w:rsidR="00207A10">
        <w:rPr>
          <w:rFonts w:ascii="Palatino Linotype" w:hAnsi="Palatino Linotype"/>
          <w:color w:val="000000" w:themeColor="text1"/>
          <w:lang w:val="en-GB"/>
        </w:rPr>
        <w:t xml:space="preserve"> with generic </w:t>
      </w:r>
      <w:r w:rsidR="00331C8C">
        <w:rPr>
          <w:rFonts w:ascii="Palatino Linotype" w:hAnsi="Palatino Linotype"/>
          <w:color w:val="000000" w:themeColor="text1"/>
          <w:lang w:val="en-GB"/>
        </w:rPr>
        <w:t>questionnaires,</w:t>
      </w:r>
      <w:r w:rsidR="00207A10">
        <w:rPr>
          <w:rFonts w:ascii="Palatino Linotype" w:hAnsi="Palatino Linotype"/>
          <w:color w:val="000000" w:themeColor="text1"/>
          <w:lang w:val="en-GB"/>
        </w:rPr>
        <w:t xml:space="preserve"> we recommend the use of those specific instruments in clinical trials</w:t>
      </w:r>
      <w:r w:rsidR="00331C8C">
        <w:rPr>
          <w:rFonts w:ascii="Palatino Linotype" w:hAnsi="Palatino Linotype"/>
          <w:color w:val="000000" w:themeColor="text1"/>
          <w:lang w:val="en-GB"/>
        </w:rPr>
        <w:t xml:space="preserve"> on sarcopenia</w:t>
      </w:r>
      <w:r w:rsidR="00207A10">
        <w:rPr>
          <w:rFonts w:ascii="Palatino Linotype" w:hAnsi="Palatino Linotype"/>
          <w:color w:val="000000" w:themeColor="text1"/>
          <w:lang w:val="en-GB"/>
        </w:rPr>
        <w:t xml:space="preserve">. To be able to obtain a comparison with other trials and a certain generalizability of data, it is possible to combine a generic tool with a specific tool and therefore, obtain a more accurate proxy of treatment efficacy. </w:t>
      </w:r>
      <w:r w:rsidR="00902B2A">
        <w:rPr>
          <w:rFonts w:ascii="Palatino Linotype" w:hAnsi="Palatino Linotype"/>
          <w:color w:val="000000" w:themeColor="text1"/>
          <w:lang w:val="en-GB"/>
        </w:rPr>
        <w:t xml:space="preserve">A third PROM is currently being validated for use in </w:t>
      </w:r>
      <w:r w:rsidR="004565D1">
        <w:rPr>
          <w:rFonts w:ascii="Palatino Linotype" w:hAnsi="Palatino Linotype"/>
          <w:color w:val="000000" w:themeColor="text1"/>
          <w:lang w:val="en-GB"/>
        </w:rPr>
        <w:t>sarcopenia and</w:t>
      </w:r>
      <w:r w:rsidR="00902B2A">
        <w:rPr>
          <w:rFonts w:ascii="Palatino Linotype" w:hAnsi="Palatino Linotype"/>
          <w:color w:val="000000" w:themeColor="text1"/>
          <w:lang w:val="en-GB"/>
        </w:rPr>
        <w:t xml:space="preserve"> may provide an interesting option in the future. The Patient-Reported Outcomes Measurement Information System (PROMIS</w:t>
      </w:r>
      <w:r w:rsidR="00902B2A" w:rsidRPr="00902B2A">
        <w:rPr>
          <w:rFonts w:ascii="Palatino Linotype" w:hAnsi="Palatino Linotype"/>
          <w:color w:val="000000" w:themeColor="text1"/>
          <w:vertAlign w:val="superscript"/>
          <w:lang w:val="en-GB"/>
        </w:rPr>
        <w:t>®</w:t>
      </w:r>
      <w:r w:rsidR="00902B2A">
        <w:rPr>
          <w:rFonts w:ascii="Palatino Linotype" w:hAnsi="Palatino Linotype"/>
          <w:color w:val="000000" w:themeColor="text1"/>
          <w:lang w:val="en-GB"/>
        </w:rPr>
        <w:t xml:space="preserve">) is a list of self-report measures covering multiple domains within physical, mental and social health. They have been developed as item banks, allowing for computerized adaptive testing, as well as the extraction of short form questionnaires </w:t>
      </w:r>
      <w:r w:rsidR="00902B2A">
        <w:rPr>
          <w:rFonts w:ascii="Palatino Linotype" w:hAnsi="Palatino Linotype"/>
          <w:color w:val="000000" w:themeColor="text1"/>
          <w:lang w:val="en-GB"/>
        </w:rPr>
        <w:fldChar w:fldCharType="begin" w:fldLock="1"/>
      </w:r>
      <w:r w:rsidR="009D3AAF">
        <w:rPr>
          <w:rFonts w:ascii="Palatino Linotype" w:hAnsi="Palatino Linotype"/>
          <w:color w:val="000000" w:themeColor="text1"/>
          <w:lang w:val="en-GB"/>
        </w:rPr>
        <w:instrText>ADDIN CSL_CITATION {"citationItems":[{"id":"ITEM-1","itemData":{"DOI":"10.1097/01.mlr.0000260537.45076.74","ISSN":"00257079","author":[{"dropping-particle":"","family":"Ader","given":"Deborah N.","non-dropping-particle":"","parse-names":false,"suffix":""}],"container-title":"Medical Care","id":"ITEM-1","issue":"5 SUPPL. 1","issued":{"date-parts":[["2007"]]},"page":"1-2","title":"Developing the Patient-Reported Outcomes Measurement Information System (PROMIS)","type":"article-journal","volume":"45"},"uris":["http://www.mendeley.com/documents/?uuid=d0d7978e-3450-473d-9dfd-e3c42346b6bb","http://www.mendeley.com/documents/?uuid=42a11a06-a5e7-4b66-9538-78b84617a99f"]}],"mendeley":{"formattedCitation":"[53]","plainTextFormattedCitation":"[53]","previouslyFormattedCitation":"[51]"},"properties":{"noteIndex":0},"schema":"https://github.com/citation-style-language/schema/raw/master/csl-citation.json"}</w:instrText>
      </w:r>
      <w:r w:rsidR="00902B2A">
        <w:rPr>
          <w:rFonts w:ascii="Palatino Linotype" w:hAnsi="Palatino Linotype"/>
          <w:color w:val="000000" w:themeColor="text1"/>
          <w:lang w:val="en-GB"/>
        </w:rPr>
        <w:fldChar w:fldCharType="separate"/>
      </w:r>
      <w:r w:rsidR="009D3AAF" w:rsidRPr="009D3AAF">
        <w:rPr>
          <w:rFonts w:ascii="Palatino Linotype" w:hAnsi="Palatino Linotype"/>
          <w:noProof/>
          <w:color w:val="000000" w:themeColor="text1"/>
          <w:lang w:val="en-GB"/>
        </w:rPr>
        <w:t>[53]</w:t>
      </w:r>
      <w:r w:rsidR="00902B2A">
        <w:rPr>
          <w:rFonts w:ascii="Palatino Linotype" w:hAnsi="Palatino Linotype"/>
          <w:color w:val="000000" w:themeColor="text1"/>
          <w:lang w:val="en-GB"/>
        </w:rPr>
        <w:fldChar w:fldCharType="end"/>
      </w:r>
      <w:r w:rsidR="00902B2A">
        <w:rPr>
          <w:rFonts w:ascii="Palatino Linotype" w:hAnsi="Palatino Linotype"/>
          <w:color w:val="000000" w:themeColor="text1"/>
          <w:lang w:val="en-GB"/>
        </w:rPr>
        <w:t xml:space="preserve">. </w:t>
      </w:r>
      <w:r w:rsidR="00FA287C">
        <w:rPr>
          <w:rFonts w:ascii="Palatino Linotype" w:hAnsi="Palatino Linotype"/>
          <w:color w:val="000000" w:themeColor="text1"/>
          <w:lang w:val="en-GB"/>
        </w:rPr>
        <w:t xml:space="preserve">Currently, a project funded by the Food and Drug Administration </w:t>
      </w:r>
      <w:r w:rsidR="00FA287C" w:rsidRPr="00FA287C">
        <w:rPr>
          <w:rFonts w:ascii="Palatino Linotype" w:hAnsi="Palatino Linotype"/>
          <w:color w:val="000000" w:themeColor="text1"/>
          <w:lang w:val="en-GB"/>
        </w:rPr>
        <w:t>(1U01FD006887-01</w:t>
      </w:r>
      <w:r w:rsidR="00FA287C">
        <w:rPr>
          <w:rFonts w:ascii="Palatino Linotype" w:hAnsi="Palatino Linotype"/>
          <w:color w:val="000000" w:themeColor="text1"/>
          <w:lang w:val="en-GB"/>
        </w:rPr>
        <w:t xml:space="preserve">) is underway to certify the PROMIS measure of physical function as a clinical outcome assessment, and to investigate the specific context of use in which it could serve as a primary metric </w:t>
      </w:r>
      <w:r w:rsidR="00FA287C">
        <w:rPr>
          <w:rFonts w:ascii="Palatino Linotype" w:hAnsi="Palatino Linotype"/>
          <w:color w:val="000000" w:themeColor="text1"/>
          <w:lang w:val="en-GB"/>
        </w:rPr>
        <w:fldChar w:fldCharType="begin" w:fldLock="1"/>
      </w:r>
      <w:r w:rsidR="009D3AAF">
        <w:rPr>
          <w:rFonts w:ascii="Palatino Linotype" w:hAnsi="Palatino Linotype"/>
          <w:color w:val="000000" w:themeColor="text1"/>
          <w:lang w:val="en-GB"/>
        </w:rPr>
        <w:instrText>ADDIN CSL_CITATION {"citationItems":[{"id":"ITEM-1","itemData":{"author":[{"dropping-particle":"","family":"Zeeshan","given":"B","non-dropping-particle":"","parse-names":false,"suffix":""},{"dropping-particle":"","family":"David","given":"C","non-dropping-particle":"","parse-names":false,"suffix":""},{"dropping-particle":"","family":"Jensen","given":"S","non-dropping-particle":"","parse-names":false,"suffix":""},{"dropping-particle":"","family":"Shaunfield","given":"S","non-dropping-particle":"","parse-names":false,"suffix":""}],"id":"ITEM-1","issued":{"date-parts":[["0"]]},"title":"Development of a context of use and PROMIS Physical Function outcome assessment for patients with sarcopenia","type":"webpage"},"uris":["http://www.mendeley.com/documents/?uuid=bcd0e346-301e-4d63-83ce-2a5a5aa25d6a","http://www.mendeley.com/documents/?uuid=38ec8967-8f6a-4702-ab1f-a416bd8886ee"]}],"mendeley":{"formattedCitation":"[54]","plainTextFormattedCitation":"[54]","previouslyFormattedCitation":"[52]"},"properties":{"noteIndex":0},"schema":"https://github.com/citation-style-language/schema/raw/master/csl-citation.json"}</w:instrText>
      </w:r>
      <w:r w:rsidR="00FA287C">
        <w:rPr>
          <w:rFonts w:ascii="Palatino Linotype" w:hAnsi="Palatino Linotype"/>
          <w:color w:val="000000" w:themeColor="text1"/>
          <w:lang w:val="en-GB"/>
        </w:rPr>
        <w:fldChar w:fldCharType="separate"/>
      </w:r>
      <w:r w:rsidR="009D3AAF" w:rsidRPr="009D3AAF">
        <w:rPr>
          <w:rFonts w:ascii="Palatino Linotype" w:hAnsi="Palatino Linotype"/>
          <w:noProof/>
          <w:color w:val="000000" w:themeColor="text1"/>
          <w:lang w:val="en-GB"/>
        </w:rPr>
        <w:t>[54]</w:t>
      </w:r>
      <w:r w:rsidR="00FA287C">
        <w:rPr>
          <w:rFonts w:ascii="Palatino Linotype" w:hAnsi="Palatino Linotype"/>
          <w:color w:val="000000" w:themeColor="text1"/>
          <w:lang w:val="en-GB"/>
        </w:rPr>
        <w:fldChar w:fldCharType="end"/>
      </w:r>
      <w:r w:rsidR="00FA287C">
        <w:rPr>
          <w:rFonts w:ascii="Palatino Linotype" w:hAnsi="Palatino Linotype"/>
          <w:color w:val="000000" w:themeColor="text1"/>
          <w:lang w:val="en-GB"/>
        </w:rPr>
        <w:t>.</w:t>
      </w:r>
    </w:p>
    <w:p w14:paraId="23CE39C1" w14:textId="2312A26F" w:rsidR="00B35C96" w:rsidRPr="00FE5F05" w:rsidRDefault="00B35C96" w:rsidP="00B35C96">
      <w:pPr>
        <w:rPr>
          <w:rFonts w:ascii="Palatino Linotype" w:hAnsi="Palatino Linotype"/>
          <w:i/>
          <w:iCs/>
          <w:lang w:val="en-GB"/>
        </w:rPr>
      </w:pPr>
      <w:r w:rsidRPr="00FE5F05">
        <w:rPr>
          <w:rFonts w:ascii="Palatino Linotype" w:hAnsi="Palatino Linotype"/>
          <w:i/>
          <w:iCs/>
          <w:lang w:val="en-GB"/>
        </w:rPr>
        <w:t xml:space="preserve">Secondary endpoint </w:t>
      </w:r>
    </w:p>
    <w:p w14:paraId="0D8F828E" w14:textId="732BE878" w:rsidR="00AD0E33" w:rsidRDefault="009857F7" w:rsidP="00B35C96">
      <w:pPr>
        <w:rPr>
          <w:rFonts w:ascii="Palatino Linotype" w:hAnsi="Palatino Linotype"/>
          <w:color w:val="000000" w:themeColor="text1"/>
          <w:lang w:val="en-GB"/>
        </w:rPr>
      </w:pPr>
      <w:r>
        <w:rPr>
          <w:rFonts w:ascii="Palatino Linotype" w:hAnsi="Palatino Linotype"/>
          <w:color w:val="000000" w:themeColor="text1"/>
          <w:lang w:val="en-GB"/>
        </w:rPr>
        <w:t xml:space="preserve">Secondary endpoints in phase III studies </w:t>
      </w:r>
      <w:r w:rsidR="00C77F0B">
        <w:rPr>
          <w:rFonts w:ascii="Palatino Linotype" w:hAnsi="Palatino Linotype"/>
          <w:color w:val="000000" w:themeColor="text1"/>
          <w:lang w:val="en-GB"/>
        </w:rPr>
        <w:t>are also necessary to determine the efficacy of a treatment</w:t>
      </w:r>
      <w:r w:rsidR="00153326">
        <w:rPr>
          <w:rFonts w:ascii="Palatino Linotype" w:hAnsi="Palatino Linotype"/>
          <w:color w:val="000000" w:themeColor="text1"/>
          <w:lang w:val="en-GB"/>
        </w:rPr>
        <w:t xml:space="preserve"> and their results are expected to be consistent with the primary endpoints</w:t>
      </w:r>
      <w:r w:rsidR="00C77F0B">
        <w:rPr>
          <w:rFonts w:ascii="Palatino Linotype" w:hAnsi="Palatino Linotype"/>
          <w:color w:val="000000" w:themeColor="text1"/>
          <w:lang w:val="en-GB"/>
        </w:rPr>
        <w:t>.</w:t>
      </w:r>
      <w:r w:rsidR="00BB708F">
        <w:rPr>
          <w:rFonts w:ascii="Palatino Linotype" w:hAnsi="Palatino Linotype"/>
          <w:color w:val="000000" w:themeColor="text1"/>
          <w:lang w:val="en-GB"/>
        </w:rPr>
        <w:t xml:space="preserve"> Secondary outcomes</w:t>
      </w:r>
      <w:r w:rsidR="00C77F0B">
        <w:rPr>
          <w:rFonts w:ascii="Palatino Linotype" w:hAnsi="Palatino Linotype"/>
          <w:color w:val="000000" w:themeColor="text1"/>
          <w:lang w:val="en-GB"/>
        </w:rPr>
        <w:t xml:space="preserve"> </w:t>
      </w:r>
      <w:r w:rsidR="00153326">
        <w:rPr>
          <w:rFonts w:ascii="Palatino Linotype" w:hAnsi="Palatino Linotype"/>
          <w:color w:val="000000" w:themeColor="text1"/>
          <w:lang w:val="en-GB"/>
        </w:rPr>
        <w:t xml:space="preserve">are generally not </w:t>
      </w:r>
      <w:r w:rsidR="007F56F3">
        <w:rPr>
          <w:rFonts w:ascii="Palatino Linotype" w:hAnsi="Palatino Linotype"/>
          <w:color w:val="000000" w:themeColor="text1"/>
          <w:lang w:val="en-GB"/>
        </w:rPr>
        <w:t>considered in sample size calculation</w:t>
      </w:r>
      <w:r w:rsidR="00153326">
        <w:rPr>
          <w:rFonts w:ascii="Palatino Linotype" w:hAnsi="Palatino Linotype"/>
          <w:color w:val="000000" w:themeColor="text1"/>
          <w:lang w:val="en-GB"/>
        </w:rPr>
        <w:t xml:space="preserve">. </w:t>
      </w:r>
      <w:r w:rsidR="00153326" w:rsidRPr="00153326">
        <w:rPr>
          <w:rFonts w:ascii="Palatino Linotype" w:hAnsi="Palatino Linotype"/>
          <w:color w:val="000000" w:themeColor="text1"/>
          <w:lang w:val="en-GB"/>
        </w:rPr>
        <w:t>Secondary variables are either supportive measurements related to the primary objective or measurements of effects related to the secondary objectives. Their pre-definition in the protocol is also important, as well as an explanation of their relative importance and roles in interpretation of trial results</w:t>
      </w:r>
      <w:r w:rsidR="00153326">
        <w:rPr>
          <w:rFonts w:ascii="Palatino Linotype" w:hAnsi="Palatino Linotype"/>
          <w:color w:val="000000" w:themeColor="text1"/>
          <w:lang w:val="en-GB"/>
        </w:rPr>
        <w:t>.</w:t>
      </w:r>
      <w:r w:rsidR="00BB708F">
        <w:rPr>
          <w:rFonts w:ascii="Palatino Linotype" w:hAnsi="Palatino Linotype"/>
          <w:color w:val="000000" w:themeColor="text1"/>
          <w:lang w:val="en-GB"/>
        </w:rPr>
        <w:t xml:space="preserve"> Therefore, the statistical power to measure them is not necessar</w:t>
      </w:r>
      <w:r w:rsidR="00E02188">
        <w:rPr>
          <w:rFonts w:ascii="Palatino Linotype" w:hAnsi="Palatino Linotype"/>
          <w:color w:val="000000" w:themeColor="text1"/>
          <w:lang w:val="en-GB"/>
        </w:rPr>
        <w:t>il</w:t>
      </w:r>
      <w:r w:rsidR="00BB708F">
        <w:rPr>
          <w:rFonts w:ascii="Palatino Linotype" w:hAnsi="Palatino Linotype"/>
          <w:color w:val="000000" w:themeColor="text1"/>
          <w:lang w:val="en-GB"/>
        </w:rPr>
        <w:t xml:space="preserve">y ensured and results of secondary endpoints should be interpreted with caution. </w:t>
      </w:r>
      <w:r>
        <w:rPr>
          <w:rFonts w:ascii="Palatino Linotype" w:hAnsi="Palatino Linotype"/>
          <w:color w:val="000000" w:themeColor="text1"/>
          <w:lang w:val="en-GB"/>
        </w:rPr>
        <w:t xml:space="preserve"> </w:t>
      </w:r>
      <w:r w:rsidR="00642536">
        <w:rPr>
          <w:rFonts w:ascii="Palatino Linotype" w:hAnsi="Palatino Linotype"/>
          <w:color w:val="000000" w:themeColor="text1"/>
          <w:lang w:val="en-GB"/>
        </w:rPr>
        <w:t>Even if, b</w:t>
      </w:r>
      <w:r>
        <w:rPr>
          <w:rFonts w:ascii="Palatino Linotype" w:hAnsi="Palatino Linotype"/>
          <w:color w:val="000000" w:themeColor="text1"/>
          <w:lang w:val="en-GB"/>
        </w:rPr>
        <w:t xml:space="preserve">ecause of the reasons presented above, muscle strength and muscle mass </w:t>
      </w:r>
      <w:r w:rsidR="00765186">
        <w:rPr>
          <w:rFonts w:ascii="Palatino Linotype" w:hAnsi="Palatino Linotype"/>
          <w:color w:val="000000" w:themeColor="text1"/>
          <w:lang w:val="en-GB"/>
        </w:rPr>
        <w:t>can</w:t>
      </w:r>
      <w:r>
        <w:rPr>
          <w:rFonts w:ascii="Palatino Linotype" w:hAnsi="Palatino Linotype"/>
          <w:color w:val="000000" w:themeColor="text1"/>
          <w:lang w:val="en-GB"/>
        </w:rPr>
        <w:t>not be used as primary endpoint</w:t>
      </w:r>
      <w:r w:rsidR="00765186">
        <w:rPr>
          <w:rFonts w:ascii="Palatino Linotype" w:hAnsi="Palatino Linotype"/>
          <w:color w:val="000000" w:themeColor="text1"/>
          <w:lang w:val="en-GB"/>
        </w:rPr>
        <w:t>s</w:t>
      </w:r>
      <w:r>
        <w:rPr>
          <w:rFonts w:ascii="Palatino Linotype" w:hAnsi="Palatino Linotype"/>
          <w:color w:val="000000" w:themeColor="text1"/>
          <w:lang w:val="en-GB"/>
        </w:rPr>
        <w:t xml:space="preserve">, </w:t>
      </w:r>
      <w:r w:rsidR="00C660D4">
        <w:rPr>
          <w:rFonts w:ascii="Palatino Linotype" w:hAnsi="Palatino Linotype"/>
          <w:color w:val="000000" w:themeColor="text1"/>
          <w:lang w:val="en-GB"/>
        </w:rPr>
        <w:t xml:space="preserve">they </w:t>
      </w:r>
      <w:r w:rsidR="00BF4649">
        <w:rPr>
          <w:rFonts w:ascii="Palatino Linotype" w:hAnsi="Palatino Linotype"/>
          <w:color w:val="000000" w:themeColor="text1"/>
          <w:lang w:val="en-GB"/>
        </w:rPr>
        <w:t>are</w:t>
      </w:r>
      <w:r w:rsidR="00C660D4">
        <w:rPr>
          <w:rFonts w:ascii="Palatino Linotype" w:hAnsi="Palatino Linotype"/>
          <w:color w:val="000000" w:themeColor="text1"/>
          <w:lang w:val="en-GB"/>
        </w:rPr>
        <w:t xml:space="preserve"> appropriate</w:t>
      </w:r>
      <w:r>
        <w:rPr>
          <w:rFonts w:ascii="Palatino Linotype" w:hAnsi="Palatino Linotype"/>
          <w:color w:val="000000" w:themeColor="text1"/>
          <w:lang w:val="en-GB"/>
        </w:rPr>
        <w:t xml:space="preserve"> candidates for secondary endpoints. </w:t>
      </w:r>
      <w:r w:rsidR="00A72B9D">
        <w:rPr>
          <w:rFonts w:ascii="Palatino Linotype" w:hAnsi="Palatino Linotype"/>
          <w:color w:val="000000" w:themeColor="text1"/>
          <w:lang w:val="en-GB"/>
        </w:rPr>
        <w:t>However, the limit</w:t>
      </w:r>
      <w:r w:rsidR="00765186">
        <w:rPr>
          <w:rFonts w:ascii="Palatino Linotype" w:hAnsi="Palatino Linotype"/>
          <w:color w:val="000000" w:themeColor="text1"/>
          <w:lang w:val="en-GB"/>
        </w:rPr>
        <w:t>ations</w:t>
      </w:r>
      <w:r w:rsidR="00A72B9D">
        <w:rPr>
          <w:rFonts w:ascii="Palatino Linotype" w:hAnsi="Palatino Linotype"/>
          <w:color w:val="000000" w:themeColor="text1"/>
          <w:lang w:val="en-GB"/>
        </w:rPr>
        <w:t xml:space="preserve"> mentioned above regarding muscle strength and muscle mass still </w:t>
      </w:r>
      <w:r w:rsidR="00765186">
        <w:rPr>
          <w:rFonts w:ascii="Palatino Linotype" w:hAnsi="Palatino Linotype"/>
          <w:color w:val="000000" w:themeColor="text1"/>
          <w:lang w:val="en-GB"/>
        </w:rPr>
        <w:t>apply</w:t>
      </w:r>
      <w:r w:rsidR="00A72B9D">
        <w:rPr>
          <w:rFonts w:ascii="Palatino Linotype" w:hAnsi="Palatino Linotype"/>
          <w:color w:val="000000" w:themeColor="text1"/>
          <w:lang w:val="en-GB"/>
        </w:rPr>
        <w:t xml:space="preserve">. </w:t>
      </w:r>
      <w:r w:rsidR="002F0DBB">
        <w:rPr>
          <w:rFonts w:ascii="Palatino Linotype" w:hAnsi="Palatino Linotype"/>
          <w:color w:val="000000" w:themeColor="text1"/>
          <w:lang w:val="en-GB"/>
        </w:rPr>
        <w:t>Investigators</w:t>
      </w:r>
      <w:r w:rsidR="00A72B9D">
        <w:rPr>
          <w:rFonts w:ascii="Palatino Linotype" w:hAnsi="Palatino Linotype"/>
          <w:color w:val="000000" w:themeColor="text1"/>
          <w:lang w:val="en-GB"/>
        </w:rPr>
        <w:t xml:space="preserve"> need </w:t>
      </w:r>
      <w:r w:rsidR="00B35ADB">
        <w:rPr>
          <w:rFonts w:ascii="Palatino Linotype" w:hAnsi="Palatino Linotype"/>
          <w:color w:val="000000" w:themeColor="text1"/>
          <w:lang w:val="en-GB"/>
        </w:rPr>
        <w:t xml:space="preserve">therefore </w:t>
      </w:r>
      <w:r w:rsidR="00A72B9D">
        <w:rPr>
          <w:rFonts w:ascii="Palatino Linotype" w:hAnsi="Palatino Linotype"/>
          <w:color w:val="000000" w:themeColor="text1"/>
          <w:lang w:val="en-GB"/>
        </w:rPr>
        <w:t xml:space="preserve">to be </w:t>
      </w:r>
      <w:r w:rsidR="00BB708F">
        <w:rPr>
          <w:rFonts w:ascii="Palatino Linotype" w:hAnsi="Palatino Linotype"/>
          <w:color w:val="000000" w:themeColor="text1"/>
          <w:lang w:val="en-GB"/>
        </w:rPr>
        <w:t xml:space="preserve">cautious </w:t>
      </w:r>
      <w:r w:rsidR="005E681F">
        <w:rPr>
          <w:rFonts w:ascii="Palatino Linotype" w:hAnsi="Palatino Linotype"/>
          <w:color w:val="000000" w:themeColor="text1"/>
          <w:lang w:val="en-GB"/>
        </w:rPr>
        <w:t>when using</w:t>
      </w:r>
      <w:r w:rsidR="00BB708F">
        <w:rPr>
          <w:rFonts w:ascii="Palatino Linotype" w:hAnsi="Palatino Linotype"/>
          <w:color w:val="000000" w:themeColor="text1"/>
          <w:lang w:val="en-GB"/>
        </w:rPr>
        <w:t xml:space="preserve"> these measurements. </w:t>
      </w:r>
      <w:r w:rsidR="002F0DBB">
        <w:rPr>
          <w:rFonts w:ascii="Palatino Linotype" w:hAnsi="Palatino Linotype"/>
          <w:color w:val="000000" w:themeColor="text1"/>
          <w:lang w:val="en-GB"/>
        </w:rPr>
        <w:t xml:space="preserve">For muscle strength, we recommend using the handgrip strength measure, </w:t>
      </w:r>
      <w:r w:rsidR="00BB708F">
        <w:rPr>
          <w:rFonts w:ascii="Palatino Linotype" w:hAnsi="Palatino Linotype"/>
          <w:color w:val="000000" w:themeColor="text1"/>
          <w:lang w:val="en-GB"/>
        </w:rPr>
        <w:t>because it is a highly feasible measure</w:t>
      </w:r>
      <w:r w:rsidR="006D4AAB">
        <w:rPr>
          <w:rFonts w:ascii="Palatino Linotype" w:hAnsi="Palatino Linotype"/>
          <w:color w:val="000000" w:themeColor="text1"/>
          <w:lang w:val="en-GB"/>
        </w:rPr>
        <w:t xml:space="preserve"> </w:t>
      </w:r>
      <w:r w:rsidR="006D4AAB">
        <w:rPr>
          <w:rFonts w:ascii="Palatino Linotype" w:hAnsi="Palatino Linotype"/>
          <w:color w:val="000000" w:themeColor="text1"/>
          <w:lang w:val="en-GB"/>
        </w:rPr>
        <w:fldChar w:fldCharType="begin" w:fldLock="1"/>
      </w:r>
      <w:r w:rsidR="009D3AAF">
        <w:rPr>
          <w:rFonts w:ascii="Palatino Linotype" w:hAnsi="Palatino Linotype"/>
          <w:color w:val="000000" w:themeColor="text1"/>
          <w:lang w:val="en-GB"/>
        </w:rPr>
        <w:instrText>ADDIN CSL_CITATION {"citationItems":[{"id":"ITEM-1","itemData":{"DOI":"10.1371/journal.pone.0118248","ISSN":"1932-6203","PMID":"25706553","abstract":"OBJECTIVE Physical performance measures can be used to predict functional decline and increased dependency in older persons. However, few studies have assessed the feasibility or reliability of such measures in hospitalized older patients. Here we assessed the feasibility and inter-rater reliability of four simple measures of physical performance in acutely admitted older medical patients. DESIGN During the first 24 hours of hospitalization, the following were assessed twice by different raters in 52 (≥ 65 years) patients admitted for acute medical illness: isometric hand grip strength, 4-meter gait speed, 30-s chair stand and Cumulated Ambulation Score. Relative reliability was expressed as weighted kappa for the Cumulated Ambulation Score or as intra-class correlation coefficient (ICC1,1) and lower limit of the 95%-confidence interval (LL95%) for grip strength, gait speed, and 30-s chair stand. Absolute reliability was expressed as the standard error of measurement and the smallest real difference as a percentage of their respective means (SEM% and SRD%). RESULTS The primary reasons for admission of the 52 included patients were infectious disease and cardiovascular illness. The mean± SD age was 78±8.3 years, and 73.1% were women. All patients performed grip strength and Cumulated Ambulation Score testing, 81% performed the gait speed test, and 54% completed the 30-s chair stand test (46% were unable to rise without using the armrests). No systematic bias was found between first and second tests or between raters. The weighted kappa for the Cumulated Ambulation Score was 0.76 (0.60-0.92). The ICC1,1 values were as follows: grip strength, 0.95 (LL95% 0.92); gait speed, 0.92 (LL95% 0.73), and 30-s chair stand, 0.82 (LL95% 0.67). The SEM% values for grip strength, gait speed, and 30-s chair stand were 8%, 7%, and 18%, and the SRD95% values were 22%, 17%, and 49%. CONCLUSION In acutely admitted older medical patients, grip strength, gait speed, and the Cumulated Ambulation Score measurements were feasible and showed high inter-rater reliability when administered by different raters. The feasibility and inter-rater reliability of the 30-s chair stand were moderate, complicating the use of the 30-s chair stand in acutely admitted older medical patients. However, the predefined modified version of the chair stand test was both feasible and with high inter-rater reliability in this population.","author":[{"dropping-particle":"","family":"Bodilsen","given":"Ann Christine","non-dropping-particle":"","parse-names":false,"suffix":""},{"dropping-particle":"","family":"Juul-Larsen","given":"Helle Gybel","non-dropping-particle":"","parse-names":false,"suffix":""},{"dropping-particle":"","family":"Petersen","given":"Janne","non-dropping-particle":"","parse-names":false,"suffix":""},{"dropping-particle":"","family":"Beyer","given":"Nina","non-dropping-particle":"","parse-names":false,"suffix":""},{"dropping-particle":"","family":"Andersen","given":"Ove","non-dropping-particle":"","parse-names":false,"suffix":""},{"dropping-particle":"","family":"Bandholm","given":"Thomas","non-dropping-particle":"","parse-names":false,"suffix":""}],"container-title":"PloS one","id":"ITEM-1","issue":"2","issued":{"date-parts":[["2015"]]},"page":"e0118248","publisher":"Public Library of Science","title":"Feasibility and inter-rater reliability of physical performance measures in acutely admitted older medical patients.","type":"article-journal","volume":"10"},"uris":["http://www.mendeley.com/documents/?uuid=badff63c-f36a-324e-94c5-4ed7b90ccd08","http://www.mendeley.com/documents/?uuid=c382dfae-a1b7-4168-a09b-57896769deae"]}],"mendeley":{"formattedCitation":"[55]","plainTextFormattedCitation":"[55]","previouslyFormattedCitation":"[53]"},"properties":{"noteIndex":0},"schema":"https://github.com/citation-style-language/schema/raw/master/csl-citation.json"}</w:instrText>
      </w:r>
      <w:r w:rsidR="006D4AAB">
        <w:rPr>
          <w:rFonts w:ascii="Palatino Linotype" w:hAnsi="Palatino Linotype"/>
          <w:color w:val="000000" w:themeColor="text1"/>
          <w:lang w:val="en-GB"/>
        </w:rPr>
        <w:fldChar w:fldCharType="separate"/>
      </w:r>
      <w:r w:rsidR="009D3AAF" w:rsidRPr="009D3AAF">
        <w:rPr>
          <w:rFonts w:ascii="Palatino Linotype" w:hAnsi="Palatino Linotype"/>
          <w:noProof/>
          <w:color w:val="000000" w:themeColor="text1"/>
          <w:lang w:val="en-GB"/>
        </w:rPr>
        <w:t>[55]</w:t>
      </w:r>
      <w:r w:rsidR="006D4AAB">
        <w:rPr>
          <w:rFonts w:ascii="Palatino Linotype" w:hAnsi="Palatino Linotype"/>
          <w:color w:val="000000" w:themeColor="text1"/>
          <w:lang w:val="en-GB"/>
        </w:rPr>
        <w:fldChar w:fldCharType="end"/>
      </w:r>
      <w:r w:rsidR="00BB708F">
        <w:rPr>
          <w:rFonts w:ascii="Palatino Linotype" w:hAnsi="Palatino Linotype"/>
          <w:color w:val="000000" w:themeColor="text1"/>
          <w:lang w:val="en-GB"/>
        </w:rPr>
        <w:t xml:space="preserve"> that is part of the diagnosis of sarcopenia</w:t>
      </w:r>
      <w:r w:rsidR="002F0DBB">
        <w:rPr>
          <w:rFonts w:ascii="Palatino Linotype" w:hAnsi="Palatino Linotype"/>
          <w:color w:val="000000" w:themeColor="text1"/>
          <w:lang w:val="en-GB"/>
        </w:rPr>
        <w:t>. The protocol of Roberts et al.</w:t>
      </w:r>
      <w:r w:rsidR="006D50D1">
        <w:rPr>
          <w:rFonts w:ascii="Palatino Linotype" w:hAnsi="Palatino Linotype"/>
          <w:color w:val="000000" w:themeColor="text1"/>
          <w:lang w:val="en-GB"/>
        </w:rPr>
        <w:t xml:space="preserve"> </w:t>
      </w:r>
      <w:r w:rsidR="000B496C">
        <w:rPr>
          <w:rFonts w:ascii="Palatino Linotype" w:hAnsi="Palatino Linotype"/>
          <w:color w:val="000000" w:themeColor="text1"/>
          <w:lang w:val="en-GB"/>
        </w:rPr>
        <w:fldChar w:fldCharType="begin" w:fldLock="1"/>
      </w:r>
      <w:r w:rsidR="009D3AAF">
        <w:rPr>
          <w:rFonts w:ascii="Palatino Linotype" w:hAnsi="Palatino Linotype"/>
          <w:color w:val="000000" w:themeColor="text1"/>
          <w:lang w:val="en-GB"/>
        </w:rPr>
        <w:instrText>ADDIN CSL_CITATION {"citationItems":[{"id":"ITEM-1","itemData":{"DOI":"10.1093/ageing/afr051","ISBN":"1468-2834 (Electronic)\r0002-0729 (Linking)","ISSN":"1468-2834","PMID":"21624928","abstract":"BACKGROUND: the European Working Group on Sarcopenia in Older People has developed a clinical definition of sarcopenia based on low muscle mass and reduced muscle function (strength or performance). Grip strength is recommended as a good simple measure of muscle strength when 'measured in standard conditions'. However, standard conditions remain to be defined. METHODS: a literature search was conducted to review articles describing the measurement of grip strength listed in Medline, Web of Science and Cochrane Library databases up to 31 December 2009. RESULTS: there is wide variability in the choice of equipment and protocol for measuring grip strength. The Jamar hand dynamometer is the most widely used instrument with established test-retest, inter-rater and intra-rater reliability. However, there is considerable variation in how it is used and studies often provide insufficient information on the protocol followed making comparisons difficult. There is evidence that variation in approach can affect the values recorded. Furthermore, reported summary measures of grip strength vary widely including maximum or mean value, from one, two or three attempts, with either hand or the dominant hand alone. CONCLUSIONS: there is considerable variation in current methods of assessing grip strength which makes comparison between studies difficult. A standardised method would enable more consistent measurement of grip strength and better assessment of sarcopenia. Our approach is described.","author":[{"dropping-particle":"","family":"Roberts","given":"Helen C.","non-dropping-particle":"","parse-names":false,"suffix":""},{"dropping-particle":"","family":"Denison","given":"Hayley J.","non-dropping-particle":"","parse-names":false,"suffix":""},{"dropping-particle":"","family":"Martin","given":"Helen J.","non-dropping-particle":"","parse-names":false,"suffix":""},{"dropping-particle":"","family":"Patel","given":"Harnish P.","non-dropping-particle":"","parse-names":false,"suffix":""},{"dropping-particle":"","family":"Syddall","given":"Holly","non-dropping-particle":"","parse-names":false,"suffix":""},{"dropping-particle":"","family":"Cooper","given":"Cyrus","non-dropping-particle":"","parse-names":false,"suffix":""},{"dropping-particle":"","family":"Sayer","given":"Avan Aihie","non-dropping-particle":"","parse-names":false,"suffix":""}],"container-title":"Age Ageing","edition":"2011/06/01","id":"ITEM-1","issue":"4","issued":{"date-parts":[["2011","7"]]},"language":"eng","note":"From Duplicate 1 (A review of the measurement of grip strength in clinical and epidemiological studies: towards a standardised approach - Roberts, H C; Denison, H J; Martin, H J; Patel, H P; Syddall, H; Cooper, C; Sayer, A A)\n\nFrom Duplicate 1 (A review of the measurement of grip strength in clinical and epidemiological studies: towards a standardised approach - Roberts, H C; Denison, H J; Martin, H J; Patel, H P; Syddall, H; Cooper, C; Sayer, A A)\n\nRoberts, Helen C\nDenison, Hayley J\nMartin, Helen J\nPatel, Harnish P\nSyddall, Holly\nCooper, Cyrus\nSayer, Avan Aihie\nMC_UP_A620_1014/Medical Research Council/United Kingdom\nMC_UP_A620_1015/Medical Research Council/United Kingdom\nMedical Research Council/United Kingdom\nEngland\nAge Ageing. 2011 Jul;40(4):423-9. doi: 10.1093/ageing/afr051. Epub 2011 May 30.\n\nFrom Duplicate 2 (A review of the measurement of grip strength in clinical and epidemiological studies: towards a standardised approach - Roberts, H C; Denison, H J; Martin, H J; Patel, H P; Syddall, H; Cooper, C; Sayer, A A)\nAnd Duplicate 3 (A review of the measurement of grip strength in clinical and epidemiological studies: towards a standardised approach - Roberts, H C; Denison, H J; Martin, H J; Patel, H P; Syddall, H; Cooper, C; Sayer, A A)\nAnd Duplicate 4 (A review of the measurement of grip strength in clinical and epidemiological studies: towards a standardised approach - Roberts, H C; Denison, H J; Martin, H J; Patel, H P; Syddall, H; Cooper, C; Sayer, A A)\n\nRoberts, Helen C\nDenison, Hayley J\nMartin, Helen J\nPatel, Harnish P\nSyddall, Holly\nCooper, Cyrus\nSayer, Avan Aihie\nMedical Research Council/United Kingdom\nEngland\nAge Ageing. 2011 Jul;40(4):423-9. doi: 10.1093/ageing/afr051. Epub 2011 May 30.\n\nFrom Duplicate 5 (A review of the measurement of grip strength in clinical and epidemiological studies: towards a standardised approach - Roberts, H C; Denison, H J; Martin, H J; Patel, H P; Syddall, H; Cooper, C; Sayer, A A)\n\nRoberts, Helen C\nDenison, Hayley J\nMartin, Helen J\nPatel, Harnish P\nSyddall, Holly\nCooper, Cyrus\nSayer, Avan Aihie\nMC_UP_A620_1015/Medical Research Council/United Kingdom\nMedical Research Council/United Kingdom\nEngland\nAge Ageing. 2011 Jul;40(4):423-9. doi: 10.1093/ageing/afr051. Epub 2011 May 30.","page":"423-429","title":"A review of the measurement of grip strength in clinical and epidemiological studies: towards a standardised approach","type":"article-journal","volume":"40"},"uris":["http://www.mendeley.com/documents/?uuid=df6a44f5-96e1-4cf8-8929-c81e1ff4166b"]}],"mendeley":{"formattedCitation":"[56]","plainTextFormattedCitation":"[56]","previouslyFormattedCitation":"[54]"},"properties":{"noteIndex":0},"schema":"https://github.com/citation-style-language/schema/raw/master/csl-citation.json"}</w:instrText>
      </w:r>
      <w:r w:rsidR="000B496C">
        <w:rPr>
          <w:rFonts w:ascii="Palatino Linotype" w:hAnsi="Palatino Linotype"/>
          <w:color w:val="000000" w:themeColor="text1"/>
          <w:lang w:val="en-GB"/>
        </w:rPr>
        <w:fldChar w:fldCharType="separate"/>
      </w:r>
      <w:r w:rsidR="009D3AAF" w:rsidRPr="009D3AAF">
        <w:rPr>
          <w:rFonts w:ascii="Palatino Linotype" w:hAnsi="Palatino Linotype"/>
          <w:noProof/>
          <w:color w:val="000000" w:themeColor="text1"/>
          <w:lang w:val="en-GB"/>
        </w:rPr>
        <w:t>[56]</w:t>
      </w:r>
      <w:r w:rsidR="000B496C">
        <w:rPr>
          <w:rFonts w:ascii="Palatino Linotype" w:hAnsi="Palatino Linotype"/>
          <w:color w:val="000000" w:themeColor="text1"/>
          <w:lang w:val="en-GB"/>
        </w:rPr>
        <w:fldChar w:fldCharType="end"/>
      </w:r>
      <w:r w:rsidR="002F0DBB">
        <w:rPr>
          <w:rFonts w:ascii="Palatino Linotype" w:hAnsi="Palatino Linotype"/>
          <w:color w:val="000000" w:themeColor="text1"/>
          <w:lang w:val="en-GB"/>
        </w:rPr>
        <w:t xml:space="preserve"> should be applied. Because different brand</w:t>
      </w:r>
      <w:r w:rsidR="000B496C">
        <w:rPr>
          <w:rFonts w:ascii="Palatino Linotype" w:hAnsi="Palatino Linotype"/>
          <w:color w:val="000000" w:themeColor="text1"/>
          <w:lang w:val="en-GB"/>
        </w:rPr>
        <w:t>s</w:t>
      </w:r>
      <w:r w:rsidR="002F0DBB">
        <w:rPr>
          <w:rFonts w:ascii="Palatino Linotype" w:hAnsi="Palatino Linotype"/>
          <w:color w:val="000000" w:themeColor="text1"/>
          <w:lang w:val="en-GB"/>
        </w:rPr>
        <w:t xml:space="preserve"> of device</w:t>
      </w:r>
      <w:r w:rsidR="000B496C">
        <w:rPr>
          <w:rFonts w:ascii="Palatino Linotype" w:hAnsi="Palatino Linotype"/>
          <w:color w:val="000000" w:themeColor="text1"/>
          <w:lang w:val="en-GB"/>
        </w:rPr>
        <w:t>s</w:t>
      </w:r>
      <w:r w:rsidR="002F0DBB">
        <w:rPr>
          <w:rFonts w:ascii="Palatino Linotype" w:hAnsi="Palatino Linotype"/>
          <w:color w:val="000000" w:themeColor="text1"/>
          <w:lang w:val="en-GB"/>
        </w:rPr>
        <w:t xml:space="preserve"> could lead to different measures of strength</w:t>
      </w:r>
      <w:r w:rsidR="006D50D1">
        <w:rPr>
          <w:rFonts w:ascii="Palatino Linotype" w:hAnsi="Palatino Linotype"/>
          <w:color w:val="000000" w:themeColor="text1"/>
          <w:lang w:val="en-GB"/>
        </w:rPr>
        <w:t xml:space="preserve"> </w:t>
      </w:r>
      <w:r w:rsidR="000B496C">
        <w:rPr>
          <w:rFonts w:ascii="Palatino Linotype" w:hAnsi="Palatino Linotype"/>
          <w:color w:val="000000" w:themeColor="text1"/>
          <w:lang w:val="en-GB"/>
        </w:rPr>
        <w:fldChar w:fldCharType="begin" w:fldLock="1"/>
      </w:r>
      <w:r w:rsidR="009D3AAF">
        <w:rPr>
          <w:rFonts w:ascii="Palatino Linotype" w:hAnsi="Palatino Linotype"/>
          <w:color w:val="000000" w:themeColor="text1"/>
          <w:lang w:val="en-GB"/>
        </w:rPr>
        <w:instrText>ADDIN CSL_CITATION {"citationItems":[{"id":"ITEM-1","itemData":{"DOI":"10.1016/j.exger.2014.11.014","ISSN":"18736815","abstract":"© 2014 Elsevier Inc. Background: Sarcopenia is defined as a progressive and generalized loss of muscle mass with either a loss of muscle strength or a loss of physical performance but there is no recommendation regarding the diagnostic tools that have to be used. In this study, we compared the prevalence of sarcopenia assessed using different diagnostic tools. Methods: To measure muscle mass, muscle strength and physical performance, we used for each outcome two different diagnostic tools. For muscle mass, we used Dual Energy X-Ray Absorptiometry (DXA) and bio-electrical impedance analysis (BIA); for muscle strength, we used a hydraulic dynamometer and a pneumatic dynamometer; for physical performance we used the Short Physical Performance Battery test (SPPB test) and the walk speed. Eight diagnostic groups were hereby established. Results: A total of 250 consecutive subjects were recruited in an outpatient clinic in Liège, Belgium. Estimated prevalence of sarcopenia varied from 8.4% to 27.6% depending on the method of diagnosis used. Regarding muscle mass, BIA systematically overestimated muscle mass compared to DXA (mean estimated prevalence with BIA. = 12.8%; mean prevalence with DXA. = 21%). For muscle strength, the pneumatic dynamometer diagnosed twice more sarcopenic subjects than the hydraulic dynamometer (mean estimated prevalence with PD. = 22.4%; mean estimated prevalence with HD. = 11.4%). Finally, no difference in prevalence was observed when the walking speed or the SPPB test was used. A weak overall kappa coefficient was observed (0.53), suggesting that the 8 methods of diagnosis are moderately concordant. Conclusion: Within the same definition of sarcopenia, prevalence of sarcopenia is highly dependent on the diagnostic tools used.","author":[{"dropping-particle":"","family":"Beaudart","given":"C.","non-dropping-particle":"","parse-names":false,"suffix":""},{"dropping-particle":"","family":"Reginster","given":"J.Y.","non-dropping-particle":"","parse-names":false,"suffix":""},{"dropping-particle":"","family":"Slomian","given":"J.","non-dropping-particle":"","parse-names":false,"suffix":""},{"dropping-particle":"","family":"Buckinx","given":"F.","non-dropping-particle":"","parse-names":false,"suffix":""},{"dropping-particle":"","family":"Dardenne","given":"N.","non-dropping-particle":"","parse-names":false,"suffix":""},{"dropping-particle":"","family":"Quabron","given":"A.","non-dropping-particle":"","parse-names":false,"suffix":""},{"dropping-particle":"","family":"Slangen","given":"C.","non-dropping-particle":"","parse-names":false,"suffix":""},{"dropping-particle":"","family":"Gillain","given":"S.","non-dropping-particle":"","parse-names":false,"suffix":""},{"dropping-particle":"","family":"Petermans","given":"J.","non-dropping-particle":"","parse-names":false,"suffix":""},{"dropping-particle":"","family":"Bruyère","given":"O.","non-dropping-particle":"","parse-names":false,"suffix":""}],"container-title":"Experimental Gerontology","id":"ITEM-1","issued":{"date-parts":[["2015"]]},"title":"Estimation of sarcopenia prevalence using various assessment tools","type":"article-journal","volume":"61"},"uris":["http://www.mendeley.com/documents/?uuid=541fd848-d5ea-38f0-8bb9-f735664c58e1","http://www.mendeley.com/documents/?uuid=0e3c6484-ec04-4f58-b182-bc747c101cdc"]}],"mendeley":{"formattedCitation":"[57]","plainTextFormattedCitation":"[57]","previouslyFormattedCitation":"[55]"},"properties":{"noteIndex":0},"schema":"https://github.com/citation-style-language/schema/raw/master/csl-citation.json"}</w:instrText>
      </w:r>
      <w:r w:rsidR="000B496C">
        <w:rPr>
          <w:rFonts w:ascii="Palatino Linotype" w:hAnsi="Palatino Linotype"/>
          <w:color w:val="000000" w:themeColor="text1"/>
          <w:lang w:val="en-GB"/>
        </w:rPr>
        <w:fldChar w:fldCharType="separate"/>
      </w:r>
      <w:r w:rsidR="009D3AAF" w:rsidRPr="009D3AAF">
        <w:rPr>
          <w:rFonts w:ascii="Palatino Linotype" w:hAnsi="Palatino Linotype"/>
          <w:noProof/>
          <w:color w:val="000000" w:themeColor="text1"/>
          <w:lang w:val="en-GB"/>
        </w:rPr>
        <w:t>[57]</w:t>
      </w:r>
      <w:r w:rsidR="000B496C">
        <w:rPr>
          <w:rFonts w:ascii="Palatino Linotype" w:hAnsi="Palatino Linotype"/>
          <w:color w:val="000000" w:themeColor="text1"/>
          <w:lang w:val="en-GB"/>
        </w:rPr>
        <w:fldChar w:fldCharType="end"/>
      </w:r>
      <w:r w:rsidR="002F0DBB">
        <w:rPr>
          <w:rFonts w:ascii="Palatino Linotype" w:hAnsi="Palatino Linotype"/>
          <w:color w:val="000000" w:themeColor="text1"/>
          <w:lang w:val="en-GB"/>
        </w:rPr>
        <w:t>, we also recommend the use of the hydraulic handheld JAMAR device (or similar) to be as standardized as possible.</w:t>
      </w:r>
      <w:r w:rsidR="000B496C">
        <w:rPr>
          <w:rFonts w:ascii="Palatino Linotype" w:hAnsi="Palatino Linotype"/>
          <w:color w:val="000000" w:themeColor="text1"/>
          <w:lang w:val="en-GB"/>
        </w:rPr>
        <w:t xml:space="preserve"> Unfortunately, so far, </w:t>
      </w:r>
      <w:r w:rsidR="00214CA4">
        <w:rPr>
          <w:rFonts w:ascii="Palatino Linotype" w:hAnsi="Palatino Linotype"/>
          <w:color w:val="000000" w:themeColor="text1"/>
          <w:lang w:val="en-GB"/>
        </w:rPr>
        <w:t>data on sensitivity of change in grip strength to interventions are still rather limited and inconsistent</w:t>
      </w:r>
      <w:r w:rsidR="006D50D1">
        <w:rPr>
          <w:rFonts w:ascii="Palatino Linotype" w:hAnsi="Palatino Linotype"/>
          <w:color w:val="000000" w:themeColor="text1"/>
          <w:lang w:val="en-GB"/>
        </w:rPr>
        <w:t xml:space="preserve"> </w:t>
      </w:r>
      <w:r w:rsidR="000B496C">
        <w:rPr>
          <w:rFonts w:ascii="Palatino Linotype" w:hAnsi="Palatino Linotype"/>
          <w:color w:val="000000" w:themeColor="text1"/>
          <w:lang w:val="en-GB"/>
        </w:rPr>
        <w:fldChar w:fldCharType="begin" w:fldLock="1"/>
      </w:r>
      <w:r w:rsidR="009D3AAF">
        <w:rPr>
          <w:rFonts w:ascii="Palatino Linotype" w:hAnsi="Palatino Linotype"/>
          <w:color w:val="000000" w:themeColor="text1"/>
          <w:lang w:val="en-GB"/>
        </w:rPr>
        <w:instrText>ADDIN CSL_CITATION {"citationItems":[{"id":"ITEM-1","itemData":{"DOI":"10.14283/jfa.2017.8","ISSN":"2260-1341","PMID":"28555708","abstract":"A systematic review was performed to summarize literature describing the test-retest reliability of grip strength measures obtained from older adults. Relevant literature was identified via a PubMed search. Seventeen articles were deemed appropriate based on inclusion and exclusion criteria. The relative test-retest reliability of grip strength measures obtained by dynamometry was good to excellent (intra-class correlation coefficients &gt; 0.80) in all but 3 studies, which involved older adults with severe dementia. Absolute reliability, as indicated by summary statistics such as the minimum detectable change (95%), was more variable. As a percentage, that change ranged from 14.5% to 98.5%. Consequently, clinicians can be confident in the relative reliability of grip strength measures obtained from at risk older adults. However, relatively large percentage changes in grip strength may be necessary to conclude with confidence that a real change has occurred over time in some populations.","author":[{"dropping-particle":"","family":"Bohannon","given":"R W","non-dropping-particle":"","parse-names":false,"suffix":""}],"container-title":"The Journal of frailty &amp; aging","id":"ITEM-1","issue":"2","issued":{"date-parts":[["2017"]]},"page":"83-87","title":"Test-Retest Reliability of Measurements of Hand-Grip Strength Obtained by Dynamometry from Older Adults: A Systematic Review of Research in the PubMed Database.","type":"article-journal","volume":"6"},"uris":["http://www.mendeley.com/documents/?uuid=7a2ed71d-fbfd-3a65-9731-8b9262614a37","http://www.mendeley.com/documents/?uuid=8ef5a33b-d0b6-4dc4-9b3b-0a05d56817a6"]},{"id":"ITEM-2","itemData":{"DOI":"10.1111/jgs.14804","ISSN":"00028614","PMID":"28221668","abstract":"BACKGROUND Physical activity (PA) reduces the rate of mobility disability, compared with health education (HE), in at risk older adults. It is important to understand aspects of performance contributing to this benefit. OBJECTIVE To evaluate intervention effects on tertiary physical performance outcomes. DESIGN The Lifestyle Interventions and Independence for Elders (LIFE) was a multi-centered, single-blind randomized trial of older adults. SETTING Eight field centers throughout the United States. PARTICIPANTS 1635 adults aged 78.9 ± 5.2 years, 67.2% women at risk for mobility disability (Short Physical Performance Battery [SPPB] &lt;10). INTERVENTIONS Moderate PA including walking, resistance and balance training compared with HE consisting of topics relevant to older adults. OUTCOMES Grip strength, SPPB score and its components (balance, 4 m gait speed, and chair-stands), as well as 400 m walking speed. RESULTS Total SPPB score was higher in PA versus HE across all follow-up times (overall P = .04) as was the chair-stand component (overall P &lt; .001). No intervention effects were observed for balance (overall P = .12), 4 m gait speed (overall P = .78), or grip strength (overall P = .62). However, 400 m walking speed was faster in PA versus HE group (overall P =&lt;.001). In separate models, 29% of the rate reduction of major mobility disability in the PA versus HE group was explained by change in SPPB score, while 39% was explained by change in the chair stand component. CONCLUSION Lower extremity performance (SPPB) was significantly higher in the PA compared with HE group. Changes in chair-stand score explained a considerable portion of the effect of PA on the reduction of major mobility disability-consistent with the idea that preserving muscle strength/power may be important for the prevention of major mobility disability.","author":[{"dropping-particle":"","family":"Santanasto","given":"Adam J.","non-dropping-particle":"","parse-names":false,"suffix":""},{"dropping-particle":"","family":"Glynn","given":"Nancy W.","non-dropping-particle":"","parse-names":false,"suffix":""},{"dropping-particle":"","family":"Lovato","given":"Laura C.","non-dropping-particle":"","parse-names":false,"suffix":""},{"dropping-particle":"","family":"Blair","given":"Steven N.","non-dropping-particle":"","parse-names":false,"suffix":""},{"dropping-particle":"","family":"Fielding","given":"Roger A.","non-dropping-particle":"","parse-names":false,"suffix":""},{"dropping-particle":"","family":"Gill","given":"Thomas M.","non-dropping-particle":"","parse-names":false,"suffix":""},{"dropping-particle":"","family":"Guralnik","given":"Jack M.","non-dropping-particle":"","parse-names":false,"suffix":""},{"dropping-particle":"","family":"Hsu","given":"Fang-Chi","non-dropping-particle":"","parse-names":false,"suffix":""},{"dropping-particle":"","family":"King","given":"Abby C.","non-dropping-particle":"","parse-names":false,"suffix":""},{"dropping-particle":"","family":"Strotmeyer","given":"Elsa S.","non-dropping-particle":"","parse-names":false,"suffix":""},{"dropping-particle":"","family":"Manini","given":"Todd M.","non-dropping-particle":"","parse-names":false,"suffix":""},{"dropping-particle":"","family":"Marsh","given":"Anthony P.","non-dropping-particle":"","parse-names":false,"suffix":""},{"dropping-particle":"","family":"McDermott","given":"Mary M.","non-dropping-particle":"","parse-names":false,"suffix":""},{"dropping-particle":"","family":"Goodpaster","given":"Bret H.","non-dropping-particle":"","parse-names":false,"suffix":""},{"dropping-particle":"","family":"Pahor","given":"Marco","non-dropping-particle":"","parse-names":false,"suffix":""},{"dropping-particle":"","family":"Newman","given":"Anne B.","non-dropping-particle":"","parse-names":false,"suffix":""},{"dropping-particle":"","family":"LIFE Study Group","given":"","non-dropping-particle":"","parse-names":false,"suffix":""}],"container-title":"Journal of the American Geriatrics Society","id":"ITEM-2","issue":"7","issued":{"date-parts":[["2017","7"]]},"page":"1427-1433","title":"Effect of Physical Activity versus Health Education on Physical Function, Grip Strength and Mobility","type":"article-journal","volume":"65"},"uris":["http://www.mendeley.com/documents/?uuid=d79c7796-75a1-3fb1-ae36-78fd6c77f337","http://www.mendeley.com/documents/?uuid=61a148b1-bcc4-4932-95cc-56c80f38afea"]}],"mendeley":{"formattedCitation":"[58, 59]","plainTextFormattedCitation":"[58, 59]","previouslyFormattedCitation":"[56, 57]"},"properties":{"noteIndex":0},"schema":"https://github.com/citation-style-language/schema/raw/master/csl-citation.json"}</w:instrText>
      </w:r>
      <w:r w:rsidR="000B496C">
        <w:rPr>
          <w:rFonts w:ascii="Palatino Linotype" w:hAnsi="Palatino Linotype"/>
          <w:color w:val="000000" w:themeColor="text1"/>
          <w:lang w:val="en-GB"/>
        </w:rPr>
        <w:fldChar w:fldCharType="separate"/>
      </w:r>
      <w:r w:rsidR="009D3AAF" w:rsidRPr="009D3AAF">
        <w:rPr>
          <w:rFonts w:ascii="Palatino Linotype" w:hAnsi="Palatino Linotype"/>
          <w:noProof/>
          <w:color w:val="000000" w:themeColor="text1"/>
          <w:lang w:val="en-GB"/>
        </w:rPr>
        <w:t>[58, 59]</w:t>
      </w:r>
      <w:r w:rsidR="000B496C">
        <w:rPr>
          <w:rFonts w:ascii="Palatino Linotype" w:hAnsi="Palatino Linotype"/>
          <w:color w:val="000000" w:themeColor="text1"/>
          <w:lang w:val="en-GB"/>
        </w:rPr>
        <w:fldChar w:fldCharType="end"/>
      </w:r>
      <w:r w:rsidR="00214CA4">
        <w:rPr>
          <w:rFonts w:ascii="Palatino Linotype" w:hAnsi="Palatino Linotype"/>
          <w:color w:val="000000" w:themeColor="text1"/>
          <w:lang w:val="en-GB"/>
        </w:rPr>
        <w:t xml:space="preserve">. </w:t>
      </w:r>
      <w:r w:rsidR="004B7CAD">
        <w:rPr>
          <w:rFonts w:ascii="Palatino Linotype" w:hAnsi="Palatino Linotype"/>
          <w:color w:val="000000" w:themeColor="text1"/>
          <w:lang w:val="en-GB"/>
        </w:rPr>
        <w:t>Only one study proposed a minimal change of 6</w:t>
      </w:r>
      <w:r w:rsidR="00663665">
        <w:rPr>
          <w:rFonts w:ascii="Palatino Linotype" w:hAnsi="Palatino Linotype"/>
          <w:color w:val="000000" w:themeColor="text1"/>
          <w:lang w:val="en-GB"/>
        </w:rPr>
        <w:t xml:space="preserve"> </w:t>
      </w:r>
      <w:r w:rsidR="004B7CAD">
        <w:rPr>
          <w:rFonts w:ascii="Palatino Linotype" w:hAnsi="Palatino Linotype"/>
          <w:color w:val="000000" w:themeColor="text1"/>
          <w:lang w:val="en-GB"/>
        </w:rPr>
        <w:t xml:space="preserve">kgs (13.2 lb) in </w:t>
      </w:r>
      <w:r w:rsidR="00BF4649">
        <w:rPr>
          <w:rFonts w:ascii="Palatino Linotype" w:hAnsi="Palatino Linotype"/>
          <w:color w:val="000000" w:themeColor="text1"/>
          <w:lang w:val="en-GB"/>
        </w:rPr>
        <w:t>older</w:t>
      </w:r>
      <w:r w:rsidR="004B7CAD">
        <w:rPr>
          <w:rFonts w:ascii="Palatino Linotype" w:hAnsi="Palatino Linotype"/>
          <w:color w:val="000000" w:themeColor="text1"/>
          <w:lang w:val="en-GB"/>
        </w:rPr>
        <w:t xml:space="preserve"> women to be considered as </w:t>
      </w:r>
      <w:r w:rsidR="005E681F">
        <w:rPr>
          <w:rFonts w:ascii="Palatino Linotype" w:hAnsi="Palatino Linotype"/>
          <w:color w:val="000000" w:themeColor="text1"/>
          <w:lang w:val="en-GB"/>
        </w:rPr>
        <w:t xml:space="preserve">clinically </w:t>
      </w:r>
      <w:r w:rsidR="004B7CAD">
        <w:rPr>
          <w:rFonts w:ascii="Palatino Linotype" w:hAnsi="Palatino Linotype"/>
          <w:color w:val="000000" w:themeColor="text1"/>
          <w:lang w:val="en-GB"/>
        </w:rPr>
        <w:t xml:space="preserve">significant </w:t>
      </w:r>
      <w:r w:rsidR="004B7CAD">
        <w:rPr>
          <w:rFonts w:ascii="Palatino Linotype" w:hAnsi="Palatino Linotype"/>
          <w:color w:val="000000" w:themeColor="text1"/>
          <w:lang w:val="en-GB"/>
        </w:rPr>
        <w:fldChar w:fldCharType="begin" w:fldLock="1"/>
      </w:r>
      <w:r w:rsidR="009D3AAF">
        <w:rPr>
          <w:rFonts w:ascii="Palatino Linotype" w:hAnsi="Palatino Linotype"/>
          <w:color w:val="000000" w:themeColor="text1"/>
          <w:lang w:val="en-GB"/>
        </w:rPr>
        <w:instrText>ADDIN CSL_CITATION {"citationItems":[{"id":"ITEM-1","itemData":{"DOI":"10.1016/S0894-1130(99)80030-1","ISSN":"08941130","PMID":"10192632","abstract":"The aim of this study was twofold: 1) to use estimates of random and systematic error to ascertain the test-retest reliability of grip strength measurements obtained with the Jamar hand dynamometer in healthy and disabled women, and 2) to determine the size of the change required to detect a genuine change in grip strength for accurate and meaningful clinical interpretation. Previous research has shown grip strength measurements obtained with a Jamar hand dynamometer from healthy and disabled subjects on different occasions to be reliable. However, the test-retest reliability has been based on correlation coefficients rather than on the actual size of the test-retest differences required to detect a genuine change in grip. The test-retest reliability of maximum grip strength measurements in 32 healthy women and painfree grip in 10 disabled women with nonspecific regional pain (NSRP) was determined. Reliability, based on estimates of systematic and random error, was high in both subject groups. There was no statistically significant systematic error between tests. Test-retest measurement error was ± 5.7 kg (12.5 lb) and ± 5.9 kg (13.0 lb) in healthy and disabled subjects, respectively, 95% of the time. In this population of healthy women and women with NSRP, any change in grip of less than 6 kg (13.2 lb) could have occurred by chance. The results of our study suggest that a change of more than 6 kg (13.2 lb) is necessary to detect a genuine change in grip strength 95% of the time.","author":[{"dropping-particle":"","family":"Nitschke","given":"Julie E.","non-dropping-particle":"","parse-names":false,"suffix":""},{"dropping-particle":"","family":"McMeeken","given":"Joan M.","non-dropping-particle":"","parse-names":false,"suffix":""},{"dropping-particle":"","family":"Burry","given":"Hugh C.","non-dropping-particle":"","parse-names":false,"suffix":""},{"dropping-particle":"","family":"Matyas","given":"Thomas A.","non-dropping-particle":"","parse-names":false,"suffix":""}],"container-title":"Journal of Hand Therapy","id":"ITEM-1","issue":"1","issued":{"date-parts":[["1999"]]},"page":"25-30","publisher":"Hanley and Belfus Inc.","title":"When is a change a genuine change?: A clinically meaningful interpretation of grip strength measurements in healthy and disabled women","type":"article-journal","volume":"12"},"uris":["http://www.mendeley.com/documents/?uuid=cdd654d9-c164-42d2-a075-4d5e66d57dd7"]}],"mendeley":{"formattedCitation":"[60]","plainTextFormattedCitation":"[60]","previouslyFormattedCitation":"[58]"},"properties":{"noteIndex":0},"schema":"https://github.com/citation-style-language/schema/raw/master/csl-citation.json"}</w:instrText>
      </w:r>
      <w:r w:rsidR="004B7CAD">
        <w:rPr>
          <w:rFonts w:ascii="Palatino Linotype" w:hAnsi="Palatino Linotype"/>
          <w:color w:val="000000" w:themeColor="text1"/>
          <w:lang w:val="en-GB"/>
        </w:rPr>
        <w:fldChar w:fldCharType="separate"/>
      </w:r>
      <w:r w:rsidR="009D3AAF" w:rsidRPr="009D3AAF">
        <w:rPr>
          <w:rFonts w:ascii="Palatino Linotype" w:hAnsi="Palatino Linotype"/>
          <w:noProof/>
          <w:color w:val="000000" w:themeColor="text1"/>
          <w:lang w:val="en-GB"/>
        </w:rPr>
        <w:t>[60]</w:t>
      </w:r>
      <w:r w:rsidR="004B7CAD">
        <w:rPr>
          <w:rFonts w:ascii="Palatino Linotype" w:hAnsi="Palatino Linotype"/>
          <w:color w:val="000000" w:themeColor="text1"/>
          <w:lang w:val="en-GB"/>
        </w:rPr>
        <w:fldChar w:fldCharType="end"/>
      </w:r>
      <w:r w:rsidR="004B7CAD">
        <w:rPr>
          <w:rFonts w:ascii="Palatino Linotype" w:hAnsi="Palatino Linotype"/>
          <w:color w:val="000000" w:themeColor="text1"/>
          <w:lang w:val="en-GB"/>
        </w:rPr>
        <w:t xml:space="preserve">. </w:t>
      </w:r>
      <w:r w:rsidR="00AC088C">
        <w:rPr>
          <w:rFonts w:ascii="Palatino Linotype" w:hAnsi="Palatino Linotype"/>
          <w:color w:val="000000" w:themeColor="text1"/>
          <w:lang w:val="en-GB"/>
        </w:rPr>
        <w:t xml:space="preserve">However, several non-pharmacological intervention studies </w:t>
      </w:r>
      <w:r w:rsidR="0020242C">
        <w:rPr>
          <w:rFonts w:ascii="Palatino Linotype" w:hAnsi="Palatino Linotype"/>
          <w:color w:val="000000" w:themeColor="text1"/>
          <w:lang w:val="en-GB"/>
        </w:rPr>
        <w:t xml:space="preserve">have shown an increase of muscle strength following resistance exercises combined or not with </w:t>
      </w:r>
      <w:r w:rsidR="00765186">
        <w:rPr>
          <w:rFonts w:ascii="Palatino Linotype" w:hAnsi="Palatino Linotype"/>
          <w:color w:val="000000" w:themeColor="text1"/>
          <w:lang w:val="en-GB"/>
        </w:rPr>
        <w:t xml:space="preserve"> nutritional intervention</w:t>
      </w:r>
      <w:r w:rsidR="00CC0B17">
        <w:rPr>
          <w:rFonts w:ascii="Palatino Linotype" w:hAnsi="Palatino Linotype"/>
          <w:color w:val="000000" w:themeColor="text1"/>
          <w:lang w:val="en-GB"/>
        </w:rPr>
        <w:t>s</w:t>
      </w:r>
      <w:r w:rsidR="0020242C">
        <w:rPr>
          <w:rFonts w:ascii="Palatino Linotype" w:hAnsi="Palatino Linotype"/>
          <w:color w:val="000000" w:themeColor="text1"/>
          <w:lang w:val="en-GB"/>
        </w:rPr>
        <w:t xml:space="preserve">, which highlight the potential </w:t>
      </w:r>
      <w:r w:rsidR="005E681F">
        <w:rPr>
          <w:rFonts w:ascii="Palatino Linotype" w:hAnsi="Palatino Linotype"/>
          <w:color w:val="000000" w:themeColor="text1"/>
          <w:lang w:val="en-GB"/>
        </w:rPr>
        <w:t xml:space="preserve">sensitivity to change </w:t>
      </w:r>
      <w:r w:rsidR="0020242C">
        <w:rPr>
          <w:rFonts w:ascii="Palatino Linotype" w:hAnsi="Palatino Linotype"/>
          <w:color w:val="000000" w:themeColor="text1"/>
          <w:lang w:val="en-GB"/>
        </w:rPr>
        <w:t xml:space="preserve">of this measure </w:t>
      </w:r>
      <w:r w:rsidR="00F7045F">
        <w:rPr>
          <w:rFonts w:ascii="Palatino Linotype" w:hAnsi="Palatino Linotype"/>
          <w:color w:val="000000" w:themeColor="text1"/>
          <w:lang w:val="en-GB"/>
        </w:rPr>
        <w:t>following an intervention</w:t>
      </w:r>
      <w:r w:rsidR="00DE2BEF">
        <w:rPr>
          <w:rFonts w:ascii="Palatino Linotype" w:hAnsi="Palatino Linotype"/>
          <w:color w:val="000000" w:themeColor="text1"/>
          <w:lang w:val="en-GB"/>
        </w:rPr>
        <w:fldChar w:fldCharType="begin" w:fldLock="1"/>
      </w:r>
      <w:r w:rsidR="009D3AAF">
        <w:rPr>
          <w:rFonts w:ascii="Palatino Linotype" w:hAnsi="Palatino Linotype"/>
          <w:color w:val="000000" w:themeColor="text1"/>
          <w:lang w:val="en-GB"/>
        </w:rPr>
        <w:instrText xml:space="preserve">ADDIN CSL_CITATION {"citationItems":[{"id":"ITEM-1","itemData":{"DOI":"10.1093/ageing/afu115","ISSN":"1468-2834","PMID":"25241753","abstract":"OBJECTIVE: to examine the clinical evidence reporting the prevalence of sarcopenia and the effect of nutrition and exercise interventions from studies using the consensus definition of sarcopenia proposed by the European Working Group on Sarcopenia in Older People (EWGSOP).\n\nMETHODS: PubMed and Dialog databases were searched (January 2000-October 2013) using pre-defined search terms. Prevalence studies and intervention studies investigating muscle mass plus strength or function outcome measures using the EWGSOP definition of sarcopenia, in well-defined populations of adults aged ≥50 years were selected.\n\nRESULTS: prevalence of sarcopenia was, with regional and age-related variations, 1-29% in community-dwelling populations, 14-33% in long-term care populations and 10% in the only acute hospital-care population examined. Moderate quality evidence suggests that exercise interventions improve muscle strength and physical performance. The results of nutrition interventions are equivocal due to the low number of studies and heterogeneous study design. Essential amino acid (EAA) supplements, including </w:instrText>
      </w:r>
      <w:r w:rsidR="009D3AAF">
        <w:rPr>
          <w:rFonts w:ascii="Cambria Math" w:hAnsi="Cambria Math" w:cs="Cambria Math"/>
          <w:color w:val="000000" w:themeColor="text1"/>
          <w:lang w:val="en-GB"/>
        </w:rPr>
        <w:instrText>∼</w:instrText>
      </w:r>
      <w:r w:rsidR="009D3AAF">
        <w:rPr>
          <w:rFonts w:ascii="Palatino Linotype" w:hAnsi="Palatino Linotype"/>
          <w:color w:val="000000" w:themeColor="text1"/>
          <w:lang w:val="en-GB"/>
        </w:rPr>
        <w:instrText xml:space="preserve">2.5 g of leucine, and </w:instrText>
      </w:r>
      <w:r w:rsidR="009D3AAF">
        <w:rPr>
          <w:rFonts w:ascii="Palatino Linotype" w:hAnsi="Palatino Linotype" w:cs="Palatino Linotype"/>
          <w:color w:val="000000" w:themeColor="text1"/>
          <w:lang w:val="en-GB"/>
        </w:rPr>
        <w:instrText>β</w:instrText>
      </w:r>
      <w:r w:rsidR="009D3AAF">
        <w:rPr>
          <w:rFonts w:ascii="Palatino Linotype" w:hAnsi="Palatino Linotype"/>
          <w:color w:val="000000" w:themeColor="text1"/>
          <w:lang w:val="en-GB"/>
        </w:rPr>
        <w:instrText xml:space="preserve">-hydroxy </w:instrText>
      </w:r>
      <w:r w:rsidR="009D3AAF">
        <w:rPr>
          <w:rFonts w:ascii="Palatino Linotype" w:hAnsi="Palatino Linotype" w:cs="Palatino Linotype"/>
          <w:color w:val="000000" w:themeColor="text1"/>
          <w:lang w:val="en-GB"/>
        </w:rPr>
        <w:instrText>β</w:instrText>
      </w:r>
      <w:r w:rsidR="009D3AAF">
        <w:rPr>
          <w:rFonts w:ascii="Palatino Linotype" w:hAnsi="Palatino Linotype"/>
          <w:color w:val="000000" w:themeColor="text1"/>
          <w:lang w:val="en-GB"/>
        </w:rPr>
        <w:instrText>-methylbutyric acid (HMB) supplements, show some effects in improving muscle mass and function parameters. Protein supplements have not shown consistent benefits on muscle mass and function.\n\nCONCLUSION: prevalence of sarcopenia is substantial in most geriatric settings. Well-designed, standardised studies evaluating exercise or nutrition interventions are needed before treatment guidelines can be developed. Physicians should screen for sarcopenia in both community and geriatric settings, with diagnosis based on muscle mass and function. Supervised resistance exercise is recommended for individuals with sarcopenia. EAA (with leucine) and HMB may improve muscle outcomes.","author":[{"dropping-particle":"","family":"Cruz-Jentoft","given":"Alfonso J","non-dropping-particle":"","parse-names":false,"suffix":""},{"dropping-particle":"","family":"Landi","given":"Francesco","non-dropping-particle":"","parse-names":false,"suffix":""},{"dropping-particle":"","family":"Schneider","given":"Stéphane M","non-dropping-particle":"","parse-names":false,"suffix":""},{"dropping-particle":"","family":"Zúñiga","given":"Clemente","non-dropping-particle":"","parse-names":false,"suffix":""},{"dropping-particle":"","family":"Arai","given":"Hidenori","non-dropping-particle":"","parse-names":false,"suffix":""},{"dropping-particle":"","family":"Boirie","given":"Yves","non-dropping-particle":"","parse-names":false,"suffix":""},{"dropping-particle":"","family":"Chen","given":"Liang-Kung","non-dropping-particle":"","parse-names":false,"suffix":""},{"dropping-particle":"","family":"Fielding","given":"Roger A","non-dropping-particle":"","parse-names":false,"suffix":""},{"dropping-particle":"","family":"Martin","given":"Finbarr C","non-dropping-particle":"","parse-names":false,"suffix":""},{"dropping-particle":"","family":"Michel","given":"Jean-Pierre","non-dropping-particle":"","parse-names":false,"suffix":""},{"dropping-particle":"","family":"Sieber","given":"Cornel","non-dropping-particle":"","parse-names":false,"suffix":""},{"dropping-particle":"","family":"Stout","given":"Jeffrey R","non-dropping-particle":"","parse-names":false,"suffix":""},{"dropping-particle":"","family":"Studenski","given":"Stephanie A","non-dropping-particle":"","parse-names":false,"suffix":""},{"dropping-particle":"","family":"Vellas","given":"Bruno","non-dropping-particle":"","parse-names":false,"suffix":""},{"dropping-particle":"","family":"Woo","given":"Jean","non-dropping-particle":"","parse-names":false,"suffix":""},{"dropping-particle":"","family":"Zamboni","given":"Mauro","non-dropping-particle":"","parse-names":false,"suffix":""},{"dropping-particle":"","family":"Cederholm","given":"Tommy","non-dropping-particle":"","parse-names":false,"suffix":""}],"container-title":"Age and ageing","id":"ITEM-1","issue":"6","issued":{"date-parts":[["2014","11"]]},"page":"748-59","title":"Prevalence of and interventions for sarcopenia in ageing adults: a systematic review. Report of the International Sarcopenia Initiative (EWGSOP and IWGS).","type":"article-journal","volume":"43"},"uris":["http://www.mendeley.com/documents/?uuid=6167a8c9-67a8-4e42-91b1-124ff64df608","http://www.mendeley.com/documents/?uuid=9eee1b63-cd91-4421-b6aa-d1d3eb0267ec"]},{"id":"ITEM-2","itemData":{"DOI":"10.1007/s00198-017-3980-9","ISSN":"14332965","abstract":"© 2017, The Author(s). Summary: This systematic review summarizes the effect of combined exercise and nutrition intervention on muscle mass and muscle function. A total of 37 RCTs were identified. Results indicate that physical exercise has a positive impact on muscle mass and muscle function in subjects aged 65 years and older. However, any interactive effect of dietary supplementation appears to be limited. Introduction: In 2013, Denison et al. conducted a systematic review including 17 randomized controlled trials (RCTs) to explore the effect of combined exercise and nutrition intervention to improve muscle mass, muscle strength, or physical performance in older people. They concluded that further studies were needed to provide evidence upon which public health and clinical recommendations could be based. The purpose of the present work was to update the prior systematic review and include studies published up to October 2015. Methods: Using the electronic databases MEDLINE and EMBASE, we identified RCTs which assessed the combined effect of exercise training and nutritional supplementation on muscle strength, muscle mass, or physical performance in subjects aged 60 years and over. Study selection and data extraction were performed by two independent reviewers. Results: The search strategy identified 21 additional RCTs giving a total of 37 RCTs. Studies were heterogeneous in terms of protocols for physical exercise and dietary supplementation (proteins, essential amino acids, creatine, β-hydroxy-β-methylbuthyrate, vitamin D, multi-nutrients, or other). In 79% of the studies (27/34 RCTs), muscle mass increased with exercise but an additional effect of nutrition was only found in 8 RCTs (23.5%). Muscle strength increased in 82.8% of the studies (29/35 RCTs) following exercise intervention, and dietary supplementation showed additional benefits in only a small number of studies (8/35 RCTS, 22.8%). Finally, the majority of studies showed an increase of physical performance following exercise intervention (26/28 RCTs, 92.8%) but interaction with nutrition supplementation was only found in 14.3% of these studies (4/28 RCTs). Conclusion: Physical exercise has a positive impact on muscle mass and muscle function in healthy subjects aged 60 years and older. The biggest effect of exercise intervention, of any type, has been seen on physical performance (gait speed, chair rising test, balance, SPPB test, etc.). We observed huge variations in regard to the dieta…","author":[{"dropping-particle":"","family":"Beaudart","given":"C.","non-dropping-particle":"","parse-names":false,"suffix":""},{"dropping-particle":"","family":"Dawson","given":"A.","non-dropping-particle":"","parse-names":false,"suffix":""},{"dropping-particle":"","family":"Shaw","given":"S.C.","non-dropping-particle":"","parse-names":false,"suffix":""},{"dropping-particle":"","family":"Harvey","given":"N.C.","non-dropping-particle":"","parse-names":false,"suffix":""},{"dropping-particle":"","family":"Kanis","given":"J.A.","non-dropping-particle":"","parse-names":false,"suffix":""},{"dropping-particle":"","family":"Binkley","given":"N.","non-dropping-particle":"","parse-names":false,"suffix":""},{"dropping-particle":"","family":"Reginster","given":"J.Y.","non-dropping-particle":"","parse-names":false,"suffix":""},{"dropping-particle":"","family":"Chapurlat","given":"R.","non-dropping-particle":"","parse-names":false,"suffix":""},{"dropping-particle":"","family":"Chan","given":"D.C.","non-dropping-particle":"","parse-names":false,"suffix":""},{"dropping-particle":"","family":"Bruyère","given":"O.","non-dropping-particle":"","parse-names":false,"suffix":""},{"dropping-particle":"","family":"Rizzoli","given":"R.","non-dropping-particle":"","parse-names":false,"suffix":""},{"dropping-particle":"","family":"Cooper","given":"C.","non-dropping-particle":"","parse-names":false,"suffix":""},{"dropping-particle":"","family":"Dennison","given":"E.M.","non-dropping-particle":"","parse-names":false,"suffix":""},{"dropping-particle":"","family":"Adib","given":"G.","non-dropping-particle":"","parse-names":false,"suffix":""},{"dropping-particle":"","family":"Brandi","given":"M.L.","non-dropping-particle":"","parse-names":false,"suffix":""},{"dropping-particle":"","family":"Chevalley","given":"T.","non-dropping-particle":"","parse-names":false,"suffix":""},{"dropping-particle":"","family":"Clark","given":"P.","non-dropping-particle":"","parse-names":false,"suffix":""},{"dropping-particle":"","family":"Dawson-Hughes","given":"B.","non-dropping-particle":"","parse-names":false,"suffix":""},{"dropping-particle":"","family":"Maghraoui","given":"A.","non-dropping-particle":"El","parse-names":false,"suffix":""},{"dropping-particle":"","family":"Engelke","given":"K.","non-dropping-particle":"","parse-names":false,"suffix":""},{"dropping-particle":"","family":"Fielding","given":"R.","non-dropping-particle":"","parse-names":false,"suffix":""},{"dropping-particle":"","family":"Foldes","given":"A.J.","non-dropping-particle":"","parse-names":false,"suffix":""},{"dropping-particle":"","family":"Gugliemi","given":"G.","non-dropping-particle":"","parse-names":false,"suffix":""},{"dropping-particle":"","family":"Kaufman","given":"J.M.","non-dropping-particle":"","parse-names":false,"suffix":""},{"dropping-particle":"","family":"Larijani","given":"B.","non-dropping-particle":"","parse-names":false,"suffix":""},{"dropping-particle":"","family":"Lems","given":"W.","non-dropping-particle":"","parse-names":false,"suffix":""},{"dropping-particle":"","family":"Loon","given":"L.J.C.","non-dropping-particle":"van","parse-names":false,"suffix":""},{"dropping-particle":"","family":"Lyritis","given":"G.P.","non-dropping-particle":"","parse-names":false,"suffix":""},{"dropping-particle":"","family":"Maggi","given":"S.","non-dropping-particle":"","parse-names":false,"suffix":""},{"dropping-particle":"","family":"Masi","given":"L.","non-dropping-particle":"","parse-names":false,"suffix":""},{"dropping-particle":"","family":"McCloskey","given":"E.","non-dropping-particle":"","parse-names":false,"suffix":""},{"dropping-particle":"","family":"Messina","given":"O.D.","non-dropping-particle":"","parse-names":false,"suffix":""},{"dropping-particle":"","family":"Papaioannou","given":"A.","non-dropping-particle":"","parse-names":false,"suffix":""},{"dropping-particle":"","family":"Szulc","given":"P.","non-dropping-particle":"","parse-names":false,"suffix":""},{"dropping-particle":"","family":"Veronese","given":"N.","non-dropping-particle":"","parse-names":false,"suffix":""}],"container-title":"Osteoporosis International","id":"ITEM-2","issue":"6","issued":{"date-parts":[["2017"]]},"title":"Nutrition and physical activity in the prevention and treatment of sarcopenia: systematic review","type":"article-journal","volume":"28"},"uris":["http://www.mendeley.com/documents/?uuid=1419442f-4765-3cf8-ac18-bce996ae1edf"]}],"mendeley":{"formattedCitation":"[61, 62]","plainTextFormattedCitation":"[61, 62]","previouslyFormattedCitation":"[59, 60]"},"properties":{"noteIndex":0},"schema":"https://github.com/citation-style-language/schema/raw/master/csl-citation.json"}</w:instrText>
      </w:r>
      <w:r w:rsidR="00DE2BEF">
        <w:rPr>
          <w:rFonts w:ascii="Palatino Linotype" w:hAnsi="Palatino Linotype"/>
          <w:color w:val="000000" w:themeColor="text1"/>
          <w:lang w:val="en-GB"/>
        </w:rPr>
        <w:fldChar w:fldCharType="separate"/>
      </w:r>
      <w:r w:rsidR="009D3AAF" w:rsidRPr="009D3AAF">
        <w:rPr>
          <w:rFonts w:ascii="Palatino Linotype" w:hAnsi="Palatino Linotype"/>
          <w:noProof/>
          <w:color w:val="000000" w:themeColor="text1"/>
          <w:lang w:val="en-GB"/>
        </w:rPr>
        <w:t>[61, 62]</w:t>
      </w:r>
      <w:r w:rsidR="00DE2BEF">
        <w:rPr>
          <w:rFonts w:ascii="Palatino Linotype" w:hAnsi="Palatino Linotype"/>
          <w:color w:val="000000" w:themeColor="text1"/>
          <w:lang w:val="en-GB"/>
        </w:rPr>
        <w:fldChar w:fldCharType="end"/>
      </w:r>
      <w:r w:rsidR="0020242C">
        <w:rPr>
          <w:rFonts w:ascii="Palatino Linotype" w:hAnsi="Palatino Linotype"/>
          <w:color w:val="000000" w:themeColor="text1"/>
          <w:lang w:val="en-GB"/>
        </w:rPr>
        <w:t xml:space="preserve">. </w:t>
      </w:r>
      <w:r w:rsidR="00CC0B17">
        <w:rPr>
          <w:rFonts w:ascii="Palatino Linotype" w:hAnsi="Palatino Linotype"/>
          <w:color w:val="000000" w:themeColor="text1"/>
          <w:lang w:val="en-GB"/>
        </w:rPr>
        <w:t>With regard to</w:t>
      </w:r>
      <w:r w:rsidR="00F7045F">
        <w:rPr>
          <w:rFonts w:ascii="Palatino Linotype" w:hAnsi="Palatino Linotype"/>
          <w:color w:val="000000" w:themeColor="text1"/>
          <w:lang w:val="en-GB"/>
        </w:rPr>
        <w:t xml:space="preserve"> muscle mass</w:t>
      </w:r>
      <w:r w:rsidR="002E550E">
        <w:rPr>
          <w:rFonts w:ascii="Palatino Linotype" w:hAnsi="Palatino Linotype"/>
          <w:color w:val="000000" w:themeColor="text1"/>
          <w:lang w:val="en-GB"/>
        </w:rPr>
        <w:t xml:space="preserve"> </w:t>
      </w:r>
      <w:r w:rsidR="00F7045F">
        <w:rPr>
          <w:rFonts w:ascii="Palatino Linotype" w:hAnsi="Palatino Linotype"/>
          <w:color w:val="000000" w:themeColor="text1"/>
          <w:lang w:val="en-GB"/>
        </w:rPr>
        <w:t>we recommend the use of Dual Energy X-ray absorptiometry</w:t>
      </w:r>
      <w:r w:rsidR="00BC54BA">
        <w:rPr>
          <w:rFonts w:ascii="Palatino Linotype" w:hAnsi="Palatino Linotype"/>
          <w:color w:val="000000" w:themeColor="text1"/>
          <w:lang w:val="en-GB"/>
        </w:rPr>
        <w:t xml:space="preserve"> as </w:t>
      </w:r>
      <w:r w:rsidR="00CC0B17">
        <w:rPr>
          <w:rFonts w:ascii="Palatino Linotype" w:hAnsi="Palatino Linotype"/>
          <w:color w:val="000000" w:themeColor="text1"/>
          <w:lang w:val="en-GB"/>
        </w:rPr>
        <w:t xml:space="preserve">the current </w:t>
      </w:r>
      <w:r w:rsidR="00BC54BA">
        <w:rPr>
          <w:rFonts w:ascii="Palatino Linotype" w:hAnsi="Palatino Linotype"/>
          <w:color w:val="000000" w:themeColor="text1"/>
          <w:lang w:val="en-GB"/>
        </w:rPr>
        <w:t>measure of choice for the assessment of fat-free mass</w:t>
      </w:r>
      <w:r w:rsidR="00663665">
        <w:rPr>
          <w:rFonts w:ascii="Palatino Linotype" w:hAnsi="Palatino Linotype"/>
          <w:color w:val="000000" w:themeColor="text1"/>
          <w:lang w:val="en-GB"/>
        </w:rPr>
        <w:t xml:space="preserve"> and appendicular lean body mass</w:t>
      </w:r>
      <w:r w:rsidR="002E550E">
        <w:rPr>
          <w:rFonts w:ascii="Palatino Linotype" w:hAnsi="Palatino Linotype"/>
          <w:color w:val="000000" w:themeColor="text1"/>
          <w:lang w:val="en-GB"/>
        </w:rPr>
        <w:t xml:space="preserve">, despite its well-known limited accuracy in the estimation of muscle mass and the </w:t>
      </w:r>
      <w:r w:rsidR="00E02188">
        <w:rPr>
          <w:rFonts w:ascii="Palatino Linotype" w:hAnsi="Palatino Linotype"/>
          <w:color w:val="000000" w:themeColor="text1"/>
          <w:lang w:val="en-GB"/>
        </w:rPr>
        <w:t xml:space="preserve">expensive </w:t>
      </w:r>
      <w:r w:rsidR="002E550E">
        <w:rPr>
          <w:rFonts w:ascii="Palatino Linotype" w:hAnsi="Palatino Linotype"/>
          <w:color w:val="000000" w:themeColor="text1"/>
          <w:lang w:val="en-GB"/>
        </w:rPr>
        <w:t>equipment</w:t>
      </w:r>
      <w:r w:rsidR="00D5795C">
        <w:rPr>
          <w:rFonts w:ascii="Palatino Linotype" w:hAnsi="Palatino Linotype"/>
          <w:color w:val="000000" w:themeColor="text1"/>
          <w:lang w:val="en-GB"/>
        </w:rPr>
        <w:t xml:space="preserve">. </w:t>
      </w:r>
      <w:r w:rsidR="00CC0B17">
        <w:rPr>
          <w:rFonts w:ascii="Palatino Linotype" w:hAnsi="Palatino Linotype"/>
          <w:color w:val="000000" w:themeColor="text1"/>
          <w:lang w:val="en-GB"/>
        </w:rPr>
        <w:t>T</w:t>
      </w:r>
      <w:r w:rsidR="00D5795C">
        <w:rPr>
          <w:rFonts w:ascii="Palatino Linotype" w:hAnsi="Palatino Linotype"/>
          <w:color w:val="000000" w:themeColor="text1"/>
          <w:lang w:val="en-GB"/>
        </w:rPr>
        <w:t xml:space="preserve">his measure </w:t>
      </w:r>
      <w:r w:rsidR="00CC0B17">
        <w:rPr>
          <w:rFonts w:ascii="Palatino Linotype" w:hAnsi="Palatino Linotype"/>
          <w:color w:val="000000" w:themeColor="text1"/>
          <w:lang w:val="en-GB"/>
        </w:rPr>
        <w:t xml:space="preserve">has been </w:t>
      </w:r>
      <w:r w:rsidR="00D5795C">
        <w:rPr>
          <w:rFonts w:ascii="Palatino Linotype" w:hAnsi="Palatino Linotype"/>
          <w:color w:val="000000" w:themeColor="text1"/>
          <w:lang w:val="en-GB"/>
        </w:rPr>
        <w:t xml:space="preserve"> widely used and </w:t>
      </w:r>
      <w:r w:rsidR="00F7045F">
        <w:rPr>
          <w:rFonts w:ascii="Palatino Linotype" w:hAnsi="Palatino Linotype"/>
          <w:color w:val="000000" w:themeColor="text1"/>
          <w:lang w:val="en-GB"/>
        </w:rPr>
        <w:t>validated reference ranges</w:t>
      </w:r>
      <w:r w:rsidR="00CC0B17">
        <w:rPr>
          <w:rFonts w:ascii="Palatino Linotype" w:hAnsi="Palatino Linotype"/>
          <w:color w:val="000000" w:themeColor="text1"/>
          <w:lang w:val="en-GB"/>
        </w:rPr>
        <w:t xml:space="preserve"> are available</w:t>
      </w:r>
      <w:r w:rsidR="00F7045F">
        <w:rPr>
          <w:rFonts w:ascii="Palatino Linotype" w:hAnsi="Palatino Linotype"/>
          <w:color w:val="000000" w:themeColor="text1"/>
          <w:lang w:val="en-GB"/>
        </w:rPr>
        <w:t xml:space="preserve"> in the field of sarcopenia</w:t>
      </w:r>
      <w:r w:rsidR="002D75D1">
        <w:rPr>
          <w:rFonts w:ascii="Palatino Linotype" w:hAnsi="Palatino Linotype"/>
          <w:color w:val="000000" w:themeColor="text1"/>
          <w:lang w:val="en-GB"/>
        </w:rPr>
        <w:fldChar w:fldCharType="begin" w:fldLock="1"/>
      </w:r>
      <w:r w:rsidR="009D3AAF">
        <w:rPr>
          <w:rFonts w:ascii="Palatino Linotype" w:hAnsi="Palatino Linotype"/>
          <w:color w:val="000000" w:themeColor="text1"/>
          <w:lang w:val="en-GB"/>
        </w:rPr>
        <w:instrText>ADDIN CSL_CITATION {"citationItems":[{"id":"ITEM-1","itemData":{"DOI":"10.1002/jcsm.12268","ISSN":"21905991","PMID":"29349935","abstract":"BACKGROUND All proposed definitions of sarcopenia include the measurement of muscle mass, but the techniques and threshold values used vary. Indeed, the literature does not establish consensus on the best technique for measuring lean body mass. Thus, the objective measurement of sarcopenia is hampered by limitations intrinsic to assessment tools. The aim of this study was to review the methods to assess muscle mass and to reach consensus on the development of a reference standard. METHODS Literature reviews were performed by members of the European Society for Clinical and Economic Aspects of Osteoporosis and Osteoarthritis working group on frailty and sarcopenia. Face-to-face meetings were organized for the whole group to make amendments and discuss further recommendations. RESULTS A wide range of techniques can be used to assess muscle mass. Cost, availability, and ease of use can determine whether the techniques are better suited to clinical practice or are more useful for research. No one technique subserves all requirements but dual energy X-ray absorptiometry could be considered as a reference standard (but not a gold standard) for measuring muscle lean body mass. CONCLUSIONS Based on the feasibility, accuracy, safety, and low cost, dual energy X-ray absorptiometry can be considered as the reference standard for measuring muscle mass.","author":[{"dropping-particle":"","family":"Buckinx","given":"Fanny","non-dropping-particle":"","parse-names":false,"suffix":""},{"dropping-particle":"","family":"Landi","given":"Francesco","non-dropping-particle":"","parse-names":false,"suffix":""},{"dropping-particle":"","family":"Cesari","given":"Matteo","non-dropping-particle":"","parse-names":false,"suffix":""},{"dropping-particle":"","family":"Fielding","given":"Roger A.","non-dropping-particle":"","parse-names":false,"suffix":""},{"dropping-particle":"","family":"Visser","given":"Marjolein","non-dropping-particle":"","parse-names":false,"suffix":""},{"dropping-particle":"","family":"Engelke","given":"Klaus","non-dropping-particle":"","parse-names":false,"suffix":""},{"dropping-particle":"","family":"Maggi","given":"Stefania","non-dropping-particle":"","parse-names":false,"suffix":""},{"dropping-particle":"","family":"Dennison","given":"Elaine","non-dropping-particle":"","parse-names":false,"suffix":""},{"dropping-particle":"","family":"Al-Daghri","given":"Nasser M.","non-dropping-particle":"","parse-names":false,"suffix":""},{"dropping-particle":"","family":"Allepaerts","given":"Sophie","non-dropping-particle":"","parse-names":false,"suffix":""},{"dropping-particle":"","family":"Bauer","given":"Jurgen","non-dropping-particle":"","parse-names":false,"suffix":""},{"dropping-particle":"","family":"Bautmans","given":"Ivan","non-dropping-particle":"","parse-names":false,"suffix":""},{"dropping-particle":"","family":"Brandi","given":"Maria Luisa","non-dropping-particle":"","parse-names":false,"suffix":""},{"dropping-particle":"","family":"Bruyère","given":"Olivier","non-dropping-particle":"","parse-names":false,"suffix":""},{"dropping-particle":"","family":"Cederholm","given":"Tommy","non-dropping-particle":"","parse-names":false,"suffix":""},{"dropping-particle":"","family":"Cerreta","given":"Francesca","non-dropping-particle":"","parse-names":false,"suffix":""},{"dropping-particle":"","family":"Cherubini","given":"Antonio","non-dropping-particle":"","parse-names":false,"suffix":""},{"dropping-particle":"","family":"Cooper","given":"Cyrus","non-dropping-particle":"","parse-names":false,"suffix":""},{"dropping-particle":"","family":"Cruz-Jentoft","given":"Alphonso","non-dropping-particle":"","parse-names":false,"suffix":""},{"dropping-particle":"","family":"McCloskey","given":"Eugene","non-dropping-particle":"","parse-names":false,"suffix":""},{"dropping-particle":"","family":"Dawson-Hughes","given":"Bess","non-dropping-particle":"","parse-names":false,"suffix":""},{"dropping-particle":"","family":"Kaufman","given":"Jean-Marc Marc","non-dropping-particle":"","parse-names":false,"suffix":""},{"dropping-particle":"","family":"Laslop","given":"Andrea","non-dropping-particle":"","parse-names":false,"suffix":""},{"dropping-particle":"","family":"Petermans","given":"Jean","non-dropping-particle":"","parse-names":false,"suffix":""},{"dropping-particle":"","family":"Reginster","given":"Jean-Yves Yves","non-dropping-particle":"","parse-names":false,"suffix":""},{"dropping-particle":"","family":"Rizzoli","given":"René","non-dropping-particle":"","parse-names":false,"suffix":""},{"dropping-particle":"","family":"Robinson","given":"Sian","non-dropping-particle":"","parse-names":false,"suffix":""},{"dropping-particle":"","family":"Rolland","given":"Yves","non-dropping-particle":"","parse-names":false,"suffix":""},{"dropping-particle":"","family":"Rueda","given":"Ricardo","non-dropping-particle":"","parse-names":false,"suffix":""},{"dropping-particle":"","family":"Vellas","given":"Bruno","non-dropping-particle":"","parse-names":false,"suffix":""},{"dropping-particle":"","family":"Kanis","given":"John A.","non-dropping-particle":"","parse-names":false,"suffix":""}],"container-title":"Journal of Cachexia, Sarcopenia and Muscle","id":"ITEM-1","issue":"2","issued":{"date-parts":[["2018","4","1"]]},"page":"269-278","publisher":"Wiley Blackwell","title":"Pitfalls in the measurement of muscle mass: a need for a reference standard","type":"article-journal","volume":"9"},"uris":["http://www.mendeley.com/documents/?uuid=1a76a46e-8f79-49cd-9f35-31b0bf2a1b10"]},{"id":"ITEM-2","itemData":{"DOI":"10.1093/ageing/afy169","ISSN":"0002-0729","PMID":"30312372","abstract":"Background in 2010, the European Working Group on Sarcopenia in Older People (EWGSOP) published a sarcopenia definition that aimed to foster advances in identifying and caring for people with sarcopenia. In early 2018, the Working Group met again (EWGSOP2) to update the original definition in order to reflect scientific and clinical evidence that has built over the last decade. This paper presents our updated findings. Objectives to increase consistency of research design, clinical diagnoses and ultimately, care for people with sarcopenia. Recommendations sarcopenia is a muscle disease (muscle failure) rooted in adverse muscle changes that accrue across a lifetime; sarcopenia is common among adults of older age but can also occur earlier in life. In this updated consensus paper on sarcopenia, EWGSOP2: (1) focuses on low muscle strength as a key characteristic of sarcopenia, uses detection of low muscle quantity and quality to confirm the sarcopenia diagnosis, and identifies poor physical performance as indicative of severe sarcopenia; (2) updates the clinical algorithm that can be used for sarcopenia case-finding, diagnosis and confirmation, and severity determination and (3) provides clear cut-off points for measurements of variables that identify and characterise sarcopenia. Conclusions EWGSOP2's updated recommendations aim to increase awareness of sarcopenia and its risk. With these new recommendations, EWGSOP2 calls for healthcare professionals who treat patients at risk for sarcopenia to take actions that will promote early detection and treatment. We also encourage more research in the field of sarcopenia in order to prevent or delay adverse health outcomes that incur a heavy burden for patients and healthcare systems.","author":[{"dropping-particle":"","family":"Cruz-Jentoft","given":"Alfonso J","non-dropping-particle":"","parse-names":false,"suffix":""},{"dropping-particle":"","family":"Bahat","given":"Gülistan","non-dropping-particle":"","parse-names":false,"suffix":""},{"dropping-particle":"","family":"Bauer","given":"Jürgen","non-dropping-particle":"","parse-names":false,"suffix":""},{"dropping-particle":"","family":"Boirie","given":"Yves","non-dropping-particle":"","parse-names":false,"suffix":""},{"dropping-particle":"","family":"Bruyère","given":"Olivier","non-dropping-particle":"","parse-names":false,"suffix":""},{"dropping-particle":"","family":"Cederholm","given":"Tommy","non-dropping-particle":"","parse-names":false,"suffix":""},{"dropping-particle":"","family":"Cooper","given":"Cyrus","non-dropping-particle":"","parse-names":false,"suffix":""},{"dropping-particle":"","family":"Landi","given":"Francesco","non-dropping-particle":"","parse-names":false,"suffix":""},{"dropping-particle":"","family":"Rolland","given":"Yves","non-dropping-particle":"","parse-names":false,"suffix":""},{"dropping-particle":"","family":"Sayer","given":"Avan Aihie","non-dropping-particle":"","parse-names":false,"suffix":""},{"dropping-particle":"","family":"Schneider","given":"Stéphane M","non-dropping-particle":"","parse-names":false,"suffix":""},{"dropping-particle":"","family":"Sieber","given":"Cornel C","non-dropping-particle":"","parse-names":false,"suffix":""},{"dropping-particle":"","family":"Topinkova","given":"Eva","non-dropping-particle":"","parse-names":false,"suffix":""},{"dropping-particle":"","family":"Vandewoude","given":"Maurits","non-dropping-particle":"","parse-names":false,"suffix":""},{"dropping-particle":"","family":"Visser","given":"Marjolein","non-dropping-particle":"","parse-names":false,"suffix":""},{"dropping-particle":"","family":"Zamboni","given":"Mauro","non-dropping-particle":"","parse-names":false,"suffix":""},{"dropping-particle":"","family":"Bautmans","given":"Ivan","non-dropping-particle":"","parse-names":false,"suffix":""},{"dropping-particle":"","family":"Baeyens","given":"Jean-Pierre","non-dropping-particle":"","parse-names":false,"suffix":""},{"dropping-particle":"","family":"Cesari","given":"Matteo","non-dropping-particle":"","parse-names":false,"suffix":""},{"dropping-particle":"","family":"Cherubini","given":"Antonio","non-dropping-particle":"","parse-names":false,"suffix":""},{"dropping-particle":"","family":"Kanis","given":"John","non-dropping-particle":"","parse-names":false,"suffix":""},{"dropping-particle":"","family":"Maggio","given":"Marcello","non-dropping-particle":"","parse-names":false,"suffix":""},{"dropping-particle":"","family":"Martin","given":"Finbarr","non-dropping-particle":"","parse-names":false,"suffix":""},{"dropping-particle":"","family":"Michel","given":"Jean-Pierre","non-dropping-particle":"","parse-names":false,"suffix":""},{"dropping-particle":"","family":"Pitkala","given":"Kaisu","non-dropping-particle":"","parse-names":false,"suffix":""},{"dropping-particle":"","family":"Reginster","given":"Jean-Yves","non-dropping-particle":"","parse-names":false,"suffix":""},{"dropping-particle":"","family":"Rizzoli","given":"René","non-dropping-particle":"","parse-names":false,"suffix":""},{"dropping-particle":"","family":"Sánchez-Rodríguez","given":"Dolores","non-dropping-particle":"","parse-names":false,"suffix":""},{"dropping-particle":"","family":"Schols","given":"Jos","non-dropping-particle":"","parse-names":false,"suffix":""}],"container-title":"Age and Ageing","id":"ITEM-2","issue":"1","issued":{"date-parts":[["2019","1","1"]]},"page":"16-31","title":"Sarcopenia: revised European consensus on definition and diagnosis","type":"article-journal","volume":"48"},"uris":["http://www.mendeley.com/documents/?uuid=2f264983-39d6-4d93-921e-e3748277aa8f"]}],"mendeley":{"formattedCitation":"[2, 63]","plainTextFormattedCitation":"[2, 63]","previouslyFormattedCitation":"[2, 61]"},"properties":{"noteIndex":0},"schema":"https://github.com/citation-style-language/schema/raw/master/csl-citation.json"}</w:instrText>
      </w:r>
      <w:r w:rsidR="002D75D1">
        <w:rPr>
          <w:rFonts w:ascii="Palatino Linotype" w:hAnsi="Palatino Linotype"/>
          <w:color w:val="000000" w:themeColor="text1"/>
          <w:lang w:val="en-GB"/>
        </w:rPr>
        <w:fldChar w:fldCharType="separate"/>
      </w:r>
      <w:r w:rsidR="009D3AAF" w:rsidRPr="009D3AAF">
        <w:rPr>
          <w:rFonts w:ascii="Palatino Linotype" w:hAnsi="Palatino Linotype"/>
          <w:noProof/>
          <w:color w:val="000000" w:themeColor="text1"/>
          <w:lang w:val="en-GB"/>
        </w:rPr>
        <w:t>[2, 63]</w:t>
      </w:r>
      <w:r w:rsidR="002D75D1">
        <w:rPr>
          <w:rFonts w:ascii="Palatino Linotype" w:hAnsi="Palatino Linotype"/>
          <w:color w:val="000000" w:themeColor="text1"/>
          <w:lang w:val="en-GB"/>
        </w:rPr>
        <w:fldChar w:fldCharType="end"/>
      </w:r>
      <w:r w:rsidR="00F7045F">
        <w:rPr>
          <w:rFonts w:ascii="Palatino Linotype" w:hAnsi="Palatino Linotype"/>
          <w:color w:val="000000" w:themeColor="text1"/>
          <w:lang w:val="en-GB"/>
        </w:rPr>
        <w:t xml:space="preserve">. </w:t>
      </w:r>
      <w:r w:rsidR="00692786">
        <w:rPr>
          <w:rFonts w:ascii="Palatino Linotype" w:hAnsi="Palatino Linotype"/>
          <w:color w:val="000000" w:themeColor="text1"/>
          <w:lang w:val="en-GB"/>
        </w:rPr>
        <w:t>CT-scans and MRI also constitute appr</w:t>
      </w:r>
      <w:r w:rsidR="00812759">
        <w:rPr>
          <w:rFonts w:ascii="Palatino Linotype" w:hAnsi="Palatino Linotype"/>
          <w:color w:val="000000" w:themeColor="text1"/>
          <w:lang w:val="en-GB"/>
        </w:rPr>
        <w:t>opriate devices for the accurate measure</w:t>
      </w:r>
      <w:r w:rsidR="002E550E">
        <w:rPr>
          <w:rFonts w:ascii="Palatino Linotype" w:hAnsi="Palatino Linotype"/>
          <w:color w:val="000000" w:themeColor="text1"/>
          <w:lang w:val="en-GB"/>
        </w:rPr>
        <w:t>ment</w:t>
      </w:r>
      <w:r w:rsidR="00812759">
        <w:rPr>
          <w:rFonts w:ascii="Palatino Linotype" w:hAnsi="Palatino Linotype"/>
          <w:color w:val="000000" w:themeColor="text1"/>
          <w:lang w:val="en-GB"/>
        </w:rPr>
        <w:t xml:space="preserve"> of muscle mass. </w:t>
      </w:r>
      <w:r w:rsidR="0056097F">
        <w:rPr>
          <w:rFonts w:ascii="Palatino Linotype" w:hAnsi="Palatino Linotype"/>
          <w:color w:val="000000" w:themeColor="text1"/>
          <w:lang w:val="en-GB"/>
        </w:rPr>
        <w:t xml:space="preserve">Both tools are expensive and require </w:t>
      </w:r>
      <w:r w:rsidR="00663665">
        <w:rPr>
          <w:rFonts w:ascii="Palatino Linotype" w:hAnsi="Palatino Linotype"/>
          <w:color w:val="000000" w:themeColor="text1"/>
          <w:lang w:val="en-GB"/>
        </w:rPr>
        <w:t xml:space="preserve">certified </w:t>
      </w:r>
      <w:r w:rsidR="0056097F">
        <w:rPr>
          <w:rFonts w:ascii="Palatino Linotype" w:hAnsi="Palatino Linotype"/>
          <w:color w:val="000000" w:themeColor="text1"/>
          <w:lang w:val="en-GB"/>
        </w:rPr>
        <w:t xml:space="preserve">personnel. </w:t>
      </w:r>
      <w:r w:rsidR="007F56F3">
        <w:rPr>
          <w:rFonts w:ascii="Palatino Linotype" w:hAnsi="Palatino Linotype"/>
          <w:color w:val="000000" w:themeColor="text1"/>
          <w:lang w:val="en-GB"/>
        </w:rPr>
        <w:t xml:space="preserve">There are other </w:t>
      </w:r>
      <w:r w:rsidR="00F7045F">
        <w:rPr>
          <w:rFonts w:ascii="Palatino Linotype" w:hAnsi="Palatino Linotype"/>
          <w:color w:val="000000" w:themeColor="text1"/>
          <w:lang w:val="en-GB"/>
        </w:rPr>
        <w:t>techniques, such as bioelectrical impedance analysis (BIA)</w:t>
      </w:r>
      <w:r w:rsidR="00292DE0">
        <w:rPr>
          <w:rFonts w:ascii="Palatino Linotype" w:hAnsi="Palatino Linotype"/>
          <w:color w:val="000000" w:themeColor="text1"/>
          <w:lang w:val="en-GB"/>
        </w:rPr>
        <w:t>,</w:t>
      </w:r>
      <w:r w:rsidR="00F7045F">
        <w:rPr>
          <w:rFonts w:ascii="Palatino Linotype" w:hAnsi="Palatino Linotype"/>
          <w:color w:val="000000" w:themeColor="text1"/>
          <w:lang w:val="en-GB"/>
        </w:rPr>
        <w:t xml:space="preserve"> </w:t>
      </w:r>
      <w:r w:rsidR="00663665">
        <w:rPr>
          <w:rFonts w:ascii="Palatino Linotype" w:hAnsi="Palatino Linotype"/>
          <w:color w:val="000000" w:themeColor="text1"/>
          <w:lang w:val="en-GB"/>
        </w:rPr>
        <w:t>ultrasound</w:t>
      </w:r>
      <w:r w:rsidR="00CC0B17">
        <w:rPr>
          <w:rFonts w:ascii="Palatino Linotype" w:hAnsi="Palatino Linotype"/>
          <w:color w:val="000000" w:themeColor="text1"/>
          <w:lang w:val="en-GB"/>
        </w:rPr>
        <w:t xml:space="preserve"> and</w:t>
      </w:r>
      <w:r w:rsidR="00663665">
        <w:rPr>
          <w:rFonts w:ascii="Palatino Linotype" w:hAnsi="Palatino Linotype"/>
          <w:color w:val="000000" w:themeColor="text1"/>
          <w:lang w:val="en-GB"/>
        </w:rPr>
        <w:t xml:space="preserve"> </w:t>
      </w:r>
      <w:r w:rsidR="009E5EA4">
        <w:rPr>
          <w:rFonts w:ascii="Palatino Linotype" w:hAnsi="Palatino Linotype"/>
          <w:color w:val="000000" w:themeColor="text1"/>
          <w:lang w:val="en-GB"/>
        </w:rPr>
        <w:t xml:space="preserve">anthropometric measures, but we </w:t>
      </w:r>
      <w:r w:rsidR="009E0596">
        <w:rPr>
          <w:rFonts w:ascii="Palatino Linotype" w:hAnsi="Palatino Linotype"/>
          <w:color w:val="000000" w:themeColor="text1"/>
          <w:lang w:val="en-GB"/>
        </w:rPr>
        <w:t xml:space="preserve">presently </w:t>
      </w:r>
      <w:r w:rsidR="009E5EA4">
        <w:rPr>
          <w:rFonts w:ascii="Palatino Linotype" w:hAnsi="Palatino Linotype"/>
          <w:color w:val="000000" w:themeColor="text1"/>
          <w:lang w:val="en-GB"/>
        </w:rPr>
        <w:t xml:space="preserve">discourage their use in a clinical trial </w:t>
      </w:r>
      <w:r w:rsidR="009E0596">
        <w:rPr>
          <w:rFonts w:ascii="Palatino Linotype" w:hAnsi="Palatino Linotype"/>
          <w:color w:val="000000" w:themeColor="text1"/>
          <w:lang w:val="en-GB"/>
        </w:rPr>
        <w:t xml:space="preserve">as secondary endpoints </w:t>
      </w:r>
      <w:r w:rsidR="009E5EA4">
        <w:rPr>
          <w:rFonts w:ascii="Palatino Linotype" w:hAnsi="Palatino Linotype"/>
          <w:color w:val="000000" w:themeColor="text1"/>
          <w:lang w:val="en-GB"/>
        </w:rPr>
        <w:t>because of their limited accuracy or insufficient published data</w:t>
      </w:r>
      <w:r w:rsidR="00663665">
        <w:rPr>
          <w:rFonts w:ascii="Palatino Linotype" w:hAnsi="Palatino Linotype"/>
          <w:color w:val="000000" w:themeColor="text1"/>
          <w:lang w:val="en-GB"/>
        </w:rPr>
        <w:t xml:space="preserve"> on their validity</w:t>
      </w:r>
      <w:r w:rsidR="009E5EA4">
        <w:rPr>
          <w:rFonts w:ascii="Palatino Linotype" w:hAnsi="Palatino Linotype"/>
          <w:color w:val="000000" w:themeColor="text1"/>
          <w:lang w:val="en-GB"/>
        </w:rPr>
        <w:t xml:space="preserve"> </w:t>
      </w:r>
      <w:r w:rsidR="002D75D1">
        <w:rPr>
          <w:rFonts w:ascii="Palatino Linotype" w:hAnsi="Palatino Linotype"/>
          <w:color w:val="000000" w:themeColor="text1"/>
          <w:lang w:val="en-GB"/>
        </w:rPr>
        <w:fldChar w:fldCharType="begin" w:fldLock="1"/>
      </w:r>
      <w:r w:rsidR="009D3AAF">
        <w:rPr>
          <w:rFonts w:ascii="Palatino Linotype" w:hAnsi="Palatino Linotype"/>
          <w:color w:val="000000" w:themeColor="text1"/>
          <w:lang w:val="en-GB"/>
        </w:rPr>
        <w:instrText>ADDIN CSL_CITATION {"citationItems":[{"id":"ITEM-1","itemData":{"DOI":"10.1186/1475-2891-7-26","ISSN":"1475-2891","PMID":"18778488","abstract":"Percentage of body fat is strongly associated with the risk of several chronic diseases but its accurate measurement is difficult. Bioelectrical impedance analysis (BIA) is a relatively simple, quick and non-invasive technique, to measure body composition. It measures body fat accurately in controlled clinical conditions but its performance in the field is inconsistent. In large epidemiologic studies simpler surrogate techniques such as body mass index (BMI), waist circumference, and waist-hip ratio are frequently used instead of BIA to measure body fatness. We reviewed the rationale, theory, and technique of recently developed systems such as foot (or hand)-to-foot BIA measurement, and the elements that could influence its results in large epidemiologic studies. BIA results are influenced by factors such as the environment, ethnicity, phase of menstrual cycle, and underlying medical conditions. We concluded that BIA measurements validated for specific ethnic groups, populations and conditions can accurately measure body fat in those populations, but not others and suggest that for large epidemiological studies with diverse populations BIA may not be the appropriate choice for body composition measurement unless specific calibration equations are developed for different groups participating in the study.","author":[{"dropping-particle":"","family":"Dehghan","given":"Mahshid","non-dropping-particle":"","parse-names":false,"suffix":""},{"dropping-particle":"","family":"Merchant","given":"Anwar T.","non-dropping-particle":"","parse-names":false,"suffix":""}],"container-title":"Nutrition journal","id":"ITEM-1","issue":"1","issued":{"date-parts":[["2008","9","9"]]},"page":"26","publisher":"BioMed Central","title":"Is bioelectrical impedance accurate for use in large epidemiological studies?","type":"article-journal","volume":"7"},"uris":["http://www.mendeley.com/documents/?uuid=e4374815-64af-489f-acb4-23bebcf40e6c"]},{"id":"ITEM-2","itemData":{"DOI":"10.1111/mcn.12013","ISSN":"17408709","abstract":"Nutritional status of children is commonly assessed by anthropometry both in under and overnutrition. The link between anthropometry and body fat, the body compartment most affected by overnutrition, is well known, but the link with muscle mass, the body compartment most depleted in undernutrition, associated with infections, remains unknown. In this study, we examined the relationship between common anthropometric indices and body composition measured by dual-energy X-ray absorptiometry (DEXA) in a sample of 121 healthy 3-year-old Danish children. Appendicular (arms and legs) lean mass was used to estimate muscle mass. Overall, anthropometric measures were more effective to measure absolute size of fat, lean and muscle mass than their relative sizes. Proportion of the variance explained by anthropometry was 79% for lean mass, 76% for fat mass and 74% for muscle mass. For fat mass and lean mass expressed as percentage of total body mass, this proportion was 51% and 66%, respectively; and for muscle mass as percentage of lean mass it was 34%. All the best reduced multivariate models included weight, skinfold and gender except the model estimating the proportion of muscle mass in lean body mass, which included only mid-upper arm circumference and subscapular skinfold. The power of height in the weight-to-height ratio to determine fat mass proportion was 1.71 with a 95% confidence interval (0.83-2.60) including the value of 2 used in body mass index (BMI). Limitations of anthropometry to assess body composition, and especially for muscle mass as a proportion of lean mass, should be acknowledged.","author":[{"dropping-particle":"","family":"Jensen","given":"Signe M.","non-dropping-particle":"","parse-names":false,"suffix":""},{"dropping-particle":"","family":"Mølgaard","given":"Christian","non-dropping-particle":"","parse-names":false,"suffix":""},{"dropping-particle":"","family":"Ejlerskov","given":"Katrine T.","non-dropping-particle":"","parse-names":false,"suffix":""},{"dropping-particle":"","family":"Christensen","given":"Line B.","non-dropping-particle":"","parse-names":false,"suffix":""},{"dropping-particle":"","family":"Michaelsen","given":"Kim F.","non-dropping-particle":"","parse-names":false,"suffix":""},{"dropping-particle":"","family":"Briend","given":"André","non-dropping-particle":"","parse-names":false,"suffix":""}],"container-title":"Maternal and Child Nutrition","id":"ITEM-2","issue":"3","issued":{"date-parts":[["2015","7","1"]]},"page":"398-408","publisher":"Blackwell Publishing Ltd","title":"Validity of anthropometric measurements to assess body composition, including muscle mass, in 3-year-old children from the SKOT cohort","type":"article-journal","volume":"11"},"uris":["http://www.mendeley.com/documents/?uuid=94877768-15ec-3281-9ab4-f24ee6087dc6","http://www.mendeley.com/documents/?uuid=116ab18b-e151-4811-b91e-3cbb3431e8e9"]},{"id":"ITEM-3","itemData":{"DOI":"10.1002/jcsm.12390","ISSN":"21906009","abstract":"Sarcopenia has been described as the age-associated decrease in skeletal muscle mass. However, virtually every study of sarcopenia has measured lean body mass (LBM) or fat free mass (FFM) rather than muscle mass, specifically. In a number of published sarcopenia studies, LBM or FFM is referred to as muscle mass, leading to an incorrect assumption that measuring LBM or FFM is an accurate measure of muscle mass. As a result, the data on the effects of changes in LBM or FFM in older populations on outcomes such as functional capacity, disability, and risk of injurious falls have been inconsistent resulting in the conclusion that muscle mass is only weakly related to these outcomes. We review and describe the assumptions for the most commonly used measurements of body composition. Dual-energy X-ray absorptiometry (DXA) has become an increasingly common tool for the assessment of LBM or FFM and appendicular lean mass as a surrogate, but inaccurate, measurement of muscle mass. Other previously used methods (total body water, bioelectric impedance, and imaging) also have significant limitations. D 3 -Creatine (D 3 -Cr) dilution provides a direct and accurate measurement of creatine pool size and skeletal muscle mass. In a recent study in older men (MrOS cohort), D 3 -Cr muscle mass was associated with functional capacity and risk of injurious falls and disability, while assessments of LBM or appendicular lean mass by DXA were only weakly or not associated with these outcomes. Inaccurate measurements of muscle mass by DXA and other methods have led to inconsistent results and potentially erroneous conclusions about the importance of skeletal muscle mass in health and disease. The assessment of skeletal muscle mass using the D 3 -Cr dilution method in prospective cohort studies may reveal sarcopenia as a powerful risk factor for late life disability and chronic disease.","author":[{"dropping-particle":"","family":"Evans","given":"William J.","non-dropping-particle":"","parse-names":false,"suffix":""},{"dropping-particle":"","family":"Hellerstein","given":"Marc","non-dropping-particle":"","parse-names":false,"suffix":""},{"dropping-particle":"","family":"Orwoll","given":"Eric","non-dropping-particle":"","parse-names":false,"suffix":""},{"dropping-particle":"","family":"Cummings","given":"Steve","non-dropping-particle":"","parse-names":false,"suffix":""},{"dropping-particle":"","family":"Cawthon","given":"Peggy M.","non-dropping-particle":"","parse-names":false,"suffix":""}],"container-title":"Journal of Cachexia, Sarcopenia and Muscle","id":"ITEM-3","issue":"1","issued":{"date-parts":[["2019","2","1"]]},"page":"14-21","publisher":"Wiley Blackwell","title":"D 3 -Creatine dilution and the importance of accuracy in the assessment of skeletal muscle mass","type":"article","volume":"10"},"uris":["http://www.mendeley.com/documents/?uuid=5b0f9805-377b-3cb4-88ee-ca3b60929eac","http://www.mendeley.com/documents/?uuid=3fe67a4e-6f9c-4006-9578-6ce181e0f62e"]},{"id":"ITEM-4","itemData":{"DOI":"10.1007/s41999-018-0104-9","ISSN":"1878-7657","abstract":"© 2018, European Geriatric Medicine Society. Purpose: Measurement of muscle mass is paramount in the screening and diagnosis of sarcopenia. Besides muscle quantity however, also quality assessment is important. Ultrasonography (US) has the advantage over dual-energy X-ray absorptiometry (DEXA) and bio-impedance analysis (BIA) to give both quantitative and qualitative information on muscle. However, before its use in clinical practice, several methodological aspects still need to be addressed. Both standardization in measurement techniques and the availability of reference values are currently lacking. This review aims to provide an evidence-based standardization of assessing appendicular muscle with the use of US. Methods: A systematic review was performed for ultrasonography to assess muscle in older people. Pubmed, SCOPUS and Web of Sciences were searched. All articles regarding the use of US in assessing appendicular muscle were used. Description of US-specific parameters and localization of the measurement were retrieved. Results: Through this process, five items of muscle assessment were identified in the evaluated articles: thickness, cross-sectional area, echogenicity, fascicle length and pennation angle. Different techniques for measurement and location of measurement used were noted, as also the different muscles in which this was evaluated. Then, a translation for a clinical setting in a standardized way was proposed. Conclusions: The results of this review provide thus an evidence base for an ultrasound protocol in the assessment of skeletal muscle. This standardization of measurements is the first step in creating conditions to further test the applicability of US for use on a large scale as a routine assessment and follow-up tool for appendicular muscle.","author":[{"dropping-particle":"","family":"Perkisas","given":"Stany","non-dropping-particle":"","parse-names":false,"suffix":""},{"dropping-particle":"","family":"Baudry","given":"Stéphane","non-dropping-particle":"","parse-names":false,"suffix":""},{"dropping-particle":"","family":"Bauer","given":"Jürgen","non-dropping-particle":"","parse-names":false,"suffix":""},{"dropping-particle":"","family":"Beckwée","given":"David","non-dropping-particle":"","parse-names":false,"suffix":""},{"dropping-particle":"","family":"Cock","given":"Anne-Marie","non-dropping-particle":"De","parse-names":false,"suffix":""},{"dropping-particle":"","family":"Hobbelen","given":"Hans","non-dropping-particle":"","parse-names":false,"suffix":""},{"dropping-particle":"","family":"Jager-Wittenaar","given":"Harriët","non-dropping-particle":"","parse-names":false,"suffix":""},{"dropping-particle":"","family":"Kasiukiewicz","given":"Agnieszka","non-dropping-particle":"","parse-names":false,"suffix":""},{"dropping-particle":"","family":"Landi","given":"Francesco","non-dropping-particle":"","parse-names":false,"suffix":""},{"dropping-particle":"","family":"Marco","given":"Ester","non-dropping-particle":"","parse-names":false,"suffix":""},{"dropping-particle":"","family":"Merello","given":"Ana","non-dropping-particle":"","parse-names":false,"suffix":""},{"dropping-particle":"","family":"Piotrowicz","given":"Karolina","non-dropping-particle":"","parse-names":false,"suffix":""},{"dropping-particle":"","family":"Sanchez","given":"Elisabet","non-dropping-particle":"","parse-names":false,"suffix":""},{"dropping-particle":"","family":"Sanchez-Rodriguez","given":"Dolores","non-dropping-particle":"","parse-names":false,"suffix":""},{"dropping-particle":"","family":"Scafoglieri","given":"Aldo","non-dropping-particle":"","parse-names":false,"suffix":""},{"dropping-particle":"","family":"Cruz-Jentoft","given":"Alfonso","non-dropping-particle":"","parse-names":false,"suffix":""},{"dropping-particle":"","family":"Vandewoude","given":"Maurits","non-dropping-particle":"","parse-names":false,"suffix":""}],"container-title":"European Geriatric Medicine","id":"ITEM-4","issue":"6","issued":{"date-parts":[["2018","12"]]},"page":"739-757","publisher":"Springer International Publishing","title":"Application of ultrasound for muscle assessment in sarcopenia: towards standardized measurements","type":"article-journal","volume":"9"},"uris":["http://www.mendeley.com/documents/?uuid=da4baab2-8f3a-431b-87e4-2ed0e30acb01"]}],"mendeley":{"formattedCitation":"[64–67]","plainTextFormattedCitation":"[64–67]","previouslyFormattedCitation":"[62–65]"},"properties":{"noteIndex":0},"schema":"https://github.com/citation-style-language/schema/raw/master/csl-citation.json"}</w:instrText>
      </w:r>
      <w:r w:rsidR="002D75D1">
        <w:rPr>
          <w:rFonts w:ascii="Palatino Linotype" w:hAnsi="Palatino Linotype"/>
          <w:color w:val="000000" w:themeColor="text1"/>
          <w:lang w:val="en-GB"/>
        </w:rPr>
        <w:fldChar w:fldCharType="separate"/>
      </w:r>
      <w:r w:rsidR="009D3AAF" w:rsidRPr="009D3AAF">
        <w:rPr>
          <w:rFonts w:ascii="Palatino Linotype" w:hAnsi="Palatino Linotype"/>
          <w:noProof/>
          <w:color w:val="000000" w:themeColor="text1"/>
          <w:lang w:val="en-GB"/>
        </w:rPr>
        <w:t>[64–67]</w:t>
      </w:r>
      <w:r w:rsidR="002D75D1">
        <w:rPr>
          <w:rFonts w:ascii="Palatino Linotype" w:hAnsi="Palatino Linotype"/>
          <w:color w:val="000000" w:themeColor="text1"/>
          <w:lang w:val="en-GB"/>
        </w:rPr>
        <w:fldChar w:fldCharType="end"/>
      </w:r>
      <w:r w:rsidR="00D5795C">
        <w:rPr>
          <w:rFonts w:ascii="Palatino Linotype" w:hAnsi="Palatino Linotype"/>
          <w:color w:val="000000" w:themeColor="text1"/>
          <w:lang w:val="en-GB"/>
        </w:rPr>
        <w:t xml:space="preserve">. </w:t>
      </w:r>
      <w:r w:rsidR="00CC0B17">
        <w:rPr>
          <w:rFonts w:ascii="Palatino Linotype" w:hAnsi="Palatino Linotype"/>
          <w:color w:val="000000" w:themeColor="text1"/>
          <w:lang w:val="en-GB"/>
        </w:rPr>
        <w:t xml:space="preserve">At this moment more studies are needed before the relevance of D3-creatine for the assessment of muscle mass can be estimated on a sound basis. </w:t>
      </w:r>
      <w:r w:rsidR="00AC3D36">
        <w:rPr>
          <w:rFonts w:ascii="Palatino Linotype" w:hAnsi="Palatino Linotype"/>
          <w:color w:val="000000" w:themeColor="text1"/>
          <w:lang w:val="en-GB"/>
        </w:rPr>
        <w:t xml:space="preserve">All possible primary endpoints proposed in </w:t>
      </w:r>
      <w:r w:rsidR="00774593">
        <w:rPr>
          <w:rFonts w:ascii="Palatino Linotype" w:hAnsi="Palatino Linotype"/>
          <w:color w:val="000000" w:themeColor="text1"/>
          <w:lang w:val="en-GB"/>
        </w:rPr>
        <w:t>p</w:t>
      </w:r>
      <w:r w:rsidR="00AC3D36">
        <w:rPr>
          <w:rFonts w:ascii="Palatino Linotype" w:hAnsi="Palatino Linotype"/>
          <w:color w:val="000000" w:themeColor="text1"/>
          <w:lang w:val="en-GB"/>
        </w:rPr>
        <w:t xml:space="preserve">hase II (table 2) could also be proposed as secondary endpoints in phase III trials. </w:t>
      </w:r>
      <w:r w:rsidR="00061138">
        <w:rPr>
          <w:rFonts w:ascii="Palatino Linotype" w:hAnsi="Palatino Linotype"/>
          <w:color w:val="000000" w:themeColor="text1"/>
          <w:lang w:val="en-GB"/>
        </w:rPr>
        <w:t xml:space="preserve">This </w:t>
      </w:r>
      <w:r w:rsidR="00AC3D36">
        <w:rPr>
          <w:rFonts w:ascii="Palatino Linotype" w:hAnsi="Palatino Linotype"/>
          <w:color w:val="000000" w:themeColor="text1"/>
          <w:lang w:val="en-GB"/>
        </w:rPr>
        <w:t>includes</w:t>
      </w:r>
      <w:r w:rsidR="00774593">
        <w:rPr>
          <w:rFonts w:ascii="Palatino Linotype" w:hAnsi="Palatino Linotype"/>
          <w:color w:val="000000" w:themeColor="text1"/>
          <w:lang w:val="en-GB"/>
        </w:rPr>
        <w:t xml:space="preserve">, as exploratory endpoints, </w:t>
      </w:r>
      <w:r w:rsidR="00316D12">
        <w:rPr>
          <w:rFonts w:ascii="Palatino Linotype" w:hAnsi="Palatino Linotype"/>
          <w:color w:val="000000" w:themeColor="text1"/>
          <w:lang w:val="en-GB"/>
        </w:rPr>
        <w:t xml:space="preserve">markers of muscle quality, </w:t>
      </w:r>
      <w:r w:rsidR="00AC3D36">
        <w:rPr>
          <w:rFonts w:ascii="Palatino Linotype" w:hAnsi="Palatino Linotype"/>
          <w:color w:val="000000" w:themeColor="text1"/>
          <w:lang w:val="en-GB"/>
        </w:rPr>
        <w:t xml:space="preserve">biomarkers of muscle metabolism </w:t>
      </w:r>
      <w:r w:rsidR="00CC0B17">
        <w:rPr>
          <w:rFonts w:ascii="Palatino Linotype" w:hAnsi="Palatino Linotype"/>
          <w:color w:val="000000" w:themeColor="text1"/>
          <w:lang w:val="en-GB"/>
        </w:rPr>
        <w:t>and of</w:t>
      </w:r>
      <w:r w:rsidR="00AC3D36">
        <w:rPr>
          <w:rFonts w:ascii="Palatino Linotype" w:hAnsi="Palatino Linotype"/>
          <w:color w:val="000000" w:themeColor="text1"/>
          <w:lang w:val="en-GB"/>
        </w:rPr>
        <w:t xml:space="preserve"> muscle-bone interactions to support the mode of action of </w:t>
      </w:r>
      <w:r w:rsidR="00774593">
        <w:rPr>
          <w:rFonts w:ascii="Palatino Linotype" w:hAnsi="Palatino Linotype"/>
          <w:color w:val="000000" w:themeColor="text1"/>
          <w:lang w:val="en-GB"/>
        </w:rPr>
        <w:t>new chemical entities</w:t>
      </w:r>
      <w:r w:rsidR="00AC3D36">
        <w:rPr>
          <w:rFonts w:ascii="Palatino Linotype" w:hAnsi="Palatino Linotype"/>
          <w:color w:val="000000" w:themeColor="text1"/>
          <w:lang w:val="en-GB"/>
        </w:rPr>
        <w:t xml:space="preserve">. </w:t>
      </w:r>
    </w:p>
    <w:p w14:paraId="6AA1FCE9" w14:textId="07F2ED8A" w:rsidR="00B35C96" w:rsidRPr="00B9449F" w:rsidRDefault="00B35C96" w:rsidP="00B35C96">
      <w:pPr>
        <w:rPr>
          <w:rFonts w:ascii="Palatino Linotype" w:hAnsi="Palatino Linotype"/>
          <w:b/>
          <w:bCs/>
          <w:smallCaps/>
          <w:sz w:val="24"/>
          <w:szCs w:val="24"/>
          <w:u w:val="single"/>
          <w:lang w:val="en-GB"/>
        </w:rPr>
      </w:pPr>
      <w:r w:rsidRPr="00B9449F">
        <w:rPr>
          <w:rFonts w:ascii="Palatino Linotype" w:hAnsi="Palatino Linotype"/>
          <w:b/>
          <w:bCs/>
          <w:smallCaps/>
          <w:sz w:val="24"/>
          <w:szCs w:val="24"/>
          <w:u w:val="single"/>
          <w:lang w:val="en-GB"/>
        </w:rPr>
        <w:t>Study design for pharmacological treatment RCTs in sarcopenia</w:t>
      </w:r>
    </w:p>
    <w:p w14:paraId="6A336F88" w14:textId="7501B69A" w:rsidR="00B35C96" w:rsidRDefault="00BD3B44" w:rsidP="003B3B0F">
      <w:pPr>
        <w:jc w:val="both"/>
        <w:rPr>
          <w:rFonts w:ascii="Palatino Linotype" w:hAnsi="Palatino Linotype"/>
          <w:lang w:val="en-GB"/>
        </w:rPr>
      </w:pPr>
      <w:r w:rsidRPr="00B9449F">
        <w:rPr>
          <w:rFonts w:ascii="Palatino Linotype" w:hAnsi="Palatino Linotype"/>
          <w:lang w:val="en-GB"/>
        </w:rPr>
        <w:t xml:space="preserve">The study design that should be </w:t>
      </w:r>
      <w:r w:rsidR="003B3B0F" w:rsidRPr="00B9449F">
        <w:rPr>
          <w:rFonts w:ascii="Palatino Linotype" w:hAnsi="Palatino Linotype"/>
          <w:lang w:val="en-GB"/>
        </w:rPr>
        <w:t>privilege</w:t>
      </w:r>
      <w:r w:rsidR="002E550E">
        <w:rPr>
          <w:rFonts w:ascii="Palatino Linotype" w:hAnsi="Palatino Linotype"/>
          <w:lang w:val="en-GB"/>
        </w:rPr>
        <w:t>d</w:t>
      </w:r>
      <w:r w:rsidRPr="00B9449F">
        <w:rPr>
          <w:rFonts w:ascii="Palatino Linotype" w:hAnsi="Palatino Linotype"/>
          <w:lang w:val="en-GB"/>
        </w:rPr>
        <w:t xml:space="preserve"> is </w:t>
      </w:r>
      <w:r w:rsidR="002E550E">
        <w:rPr>
          <w:rFonts w:ascii="Palatino Linotype" w:hAnsi="Palatino Linotype"/>
          <w:lang w:val="en-GB"/>
        </w:rPr>
        <w:t>the</w:t>
      </w:r>
      <w:r w:rsidRPr="00B9449F">
        <w:rPr>
          <w:rFonts w:ascii="Palatino Linotype" w:hAnsi="Palatino Linotype"/>
          <w:lang w:val="en-GB"/>
        </w:rPr>
        <w:t xml:space="preserve"> </w:t>
      </w:r>
      <w:r w:rsidR="00F45717" w:rsidRPr="00B9449F">
        <w:rPr>
          <w:rFonts w:ascii="Palatino Linotype" w:hAnsi="Palatino Linotype"/>
          <w:lang w:val="en-GB"/>
        </w:rPr>
        <w:t xml:space="preserve">randomized, placebo-controlled, parallel arm </w:t>
      </w:r>
      <w:r w:rsidRPr="00B9449F">
        <w:rPr>
          <w:rFonts w:ascii="Palatino Linotype" w:hAnsi="Palatino Linotype"/>
          <w:lang w:val="en-GB"/>
        </w:rPr>
        <w:t xml:space="preserve">trial performed </w:t>
      </w:r>
      <w:r w:rsidR="004F5B9A" w:rsidRPr="00B9449F">
        <w:rPr>
          <w:rFonts w:ascii="Palatino Linotype" w:hAnsi="Palatino Linotype"/>
          <w:lang w:val="en-GB"/>
        </w:rPr>
        <w:t>in a</w:t>
      </w:r>
      <w:r w:rsidRPr="00B9449F">
        <w:rPr>
          <w:rFonts w:ascii="Palatino Linotype" w:hAnsi="Palatino Linotype"/>
          <w:lang w:val="en-GB"/>
        </w:rPr>
        <w:t xml:space="preserve"> </w:t>
      </w:r>
      <w:r w:rsidR="004F5B9A" w:rsidRPr="00B9449F">
        <w:rPr>
          <w:rFonts w:ascii="Palatino Linotype" w:hAnsi="Palatino Linotype"/>
          <w:lang w:val="en-GB"/>
        </w:rPr>
        <w:t>double-blind manner</w:t>
      </w:r>
      <w:r w:rsidRPr="00B9449F">
        <w:rPr>
          <w:rFonts w:ascii="Palatino Linotype" w:hAnsi="Palatino Linotype"/>
          <w:lang w:val="en-GB"/>
        </w:rPr>
        <w:t xml:space="preserve">. </w:t>
      </w:r>
      <w:r w:rsidR="008B0F88">
        <w:rPr>
          <w:rFonts w:ascii="Palatino Linotype" w:hAnsi="Palatino Linotype"/>
          <w:lang w:val="en-GB"/>
        </w:rPr>
        <w:t>Randomization procedures</w:t>
      </w:r>
      <w:r w:rsidR="00E02A68" w:rsidRPr="00B9449F">
        <w:rPr>
          <w:rFonts w:ascii="Palatino Linotype" w:hAnsi="Palatino Linotype"/>
          <w:lang w:val="en-GB"/>
        </w:rPr>
        <w:t xml:space="preserve"> should be carefully performed</w:t>
      </w:r>
      <w:r w:rsidR="009E0596">
        <w:rPr>
          <w:rFonts w:ascii="Palatino Linotype" w:hAnsi="Palatino Linotype"/>
          <w:lang w:val="en-GB"/>
        </w:rPr>
        <w:t xml:space="preserve"> with stratification when needed</w:t>
      </w:r>
      <w:r w:rsidR="00E02A68" w:rsidRPr="00B9449F">
        <w:rPr>
          <w:rFonts w:ascii="Palatino Linotype" w:hAnsi="Palatino Linotype"/>
          <w:lang w:val="en-GB"/>
        </w:rPr>
        <w:t xml:space="preserve">. </w:t>
      </w:r>
      <w:r w:rsidRPr="00B9449F">
        <w:rPr>
          <w:rFonts w:ascii="Palatino Linotype" w:hAnsi="Palatino Linotype"/>
          <w:lang w:val="en-GB"/>
        </w:rPr>
        <w:t xml:space="preserve">Primary analyses should ideally be </w:t>
      </w:r>
      <w:r w:rsidR="003B3B0F" w:rsidRPr="00B9449F">
        <w:rPr>
          <w:rFonts w:ascii="Palatino Linotype" w:hAnsi="Palatino Linotype"/>
          <w:lang w:val="en-GB"/>
        </w:rPr>
        <w:t>run</w:t>
      </w:r>
      <w:r w:rsidRPr="00B9449F">
        <w:rPr>
          <w:rFonts w:ascii="Palatino Linotype" w:hAnsi="Palatino Linotype"/>
          <w:lang w:val="en-GB"/>
        </w:rPr>
        <w:t xml:space="preserve"> on an intent-to-treat basis and should include all randomized participants</w:t>
      </w:r>
      <w:r w:rsidR="003B3B0F" w:rsidRPr="00B9449F">
        <w:rPr>
          <w:rFonts w:ascii="Palatino Linotype" w:hAnsi="Palatino Linotype"/>
          <w:lang w:val="en-GB"/>
        </w:rPr>
        <w:t xml:space="preserve"> wh</w:t>
      </w:r>
      <w:r w:rsidR="002E550E">
        <w:rPr>
          <w:rFonts w:ascii="Palatino Linotype" w:hAnsi="Palatino Linotype"/>
          <w:lang w:val="en-GB"/>
        </w:rPr>
        <w:t>o</w:t>
      </w:r>
      <w:r w:rsidR="003B3B0F" w:rsidRPr="00B9449F">
        <w:rPr>
          <w:rFonts w:ascii="Palatino Linotype" w:hAnsi="Palatino Linotype"/>
          <w:lang w:val="en-GB"/>
        </w:rPr>
        <w:t xml:space="preserve"> received at least one dose of treatment</w:t>
      </w:r>
      <w:r w:rsidRPr="00B9449F">
        <w:rPr>
          <w:rFonts w:ascii="Palatino Linotype" w:hAnsi="Palatino Linotype"/>
          <w:lang w:val="en-GB"/>
        </w:rPr>
        <w:t xml:space="preserve">. </w:t>
      </w:r>
    </w:p>
    <w:p w14:paraId="0FCBEFFE" w14:textId="1560D585" w:rsidR="00330EC4" w:rsidRPr="00B9449F" w:rsidRDefault="000344E4" w:rsidP="003B3B0F">
      <w:pPr>
        <w:jc w:val="both"/>
        <w:rPr>
          <w:rFonts w:ascii="Palatino Linotype" w:hAnsi="Palatino Linotype"/>
          <w:lang w:val="en-GB"/>
        </w:rPr>
      </w:pPr>
      <w:r>
        <w:rPr>
          <w:rFonts w:ascii="Palatino Linotype" w:hAnsi="Palatino Linotype"/>
          <w:lang w:val="en-GB"/>
        </w:rPr>
        <w:t xml:space="preserve">The intervention should generally be a single intervention. </w:t>
      </w:r>
      <w:r w:rsidR="00330EC4">
        <w:rPr>
          <w:rFonts w:ascii="Palatino Linotype" w:hAnsi="Palatino Linotype"/>
          <w:lang w:val="en-GB"/>
        </w:rPr>
        <w:t>Multi</w:t>
      </w:r>
      <w:r w:rsidR="003C2DC9">
        <w:rPr>
          <w:rFonts w:ascii="Palatino Linotype" w:hAnsi="Palatino Linotype"/>
          <w:lang w:val="en-GB"/>
        </w:rPr>
        <w:t>-</w:t>
      </w:r>
      <w:r w:rsidR="00330EC4">
        <w:rPr>
          <w:rFonts w:ascii="Palatino Linotype" w:hAnsi="Palatino Linotype"/>
          <w:lang w:val="en-GB"/>
        </w:rPr>
        <w:t xml:space="preserve">domain </w:t>
      </w:r>
      <w:r w:rsidR="00F871B7">
        <w:rPr>
          <w:rFonts w:ascii="Palatino Linotype" w:hAnsi="Palatino Linotype"/>
          <w:lang w:val="en-GB"/>
        </w:rPr>
        <w:t>interventional trials, combining several approaches in one group compared with alternative combined interventio</w:t>
      </w:r>
      <w:r w:rsidR="00A15079">
        <w:rPr>
          <w:rFonts w:ascii="Palatino Linotype" w:hAnsi="Palatino Linotype"/>
          <w:lang w:val="en-GB"/>
        </w:rPr>
        <w:t>ns</w:t>
      </w:r>
      <w:r w:rsidR="00F871B7">
        <w:rPr>
          <w:rFonts w:ascii="Palatino Linotype" w:hAnsi="Palatino Linotype"/>
          <w:lang w:val="en-GB"/>
        </w:rPr>
        <w:t xml:space="preserve"> or</w:t>
      </w:r>
      <w:r w:rsidR="00CC0B17">
        <w:rPr>
          <w:rFonts w:ascii="Palatino Linotype" w:hAnsi="Palatino Linotype"/>
          <w:lang w:val="en-GB"/>
        </w:rPr>
        <w:t xml:space="preserve"> a</w:t>
      </w:r>
      <w:r w:rsidR="00F871B7">
        <w:rPr>
          <w:rFonts w:ascii="Palatino Linotype" w:hAnsi="Palatino Linotype"/>
          <w:lang w:val="en-GB"/>
        </w:rPr>
        <w:t xml:space="preserve"> control group are not recommended because it may increase the difficulty to identify the intervention which is the most effective. </w:t>
      </w:r>
    </w:p>
    <w:p w14:paraId="773108D4" w14:textId="3EEC062A" w:rsidR="00663665" w:rsidRPr="00B9449F" w:rsidRDefault="00663665" w:rsidP="00663665">
      <w:pPr>
        <w:jc w:val="both"/>
        <w:rPr>
          <w:rFonts w:ascii="Palatino Linotype" w:hAnsi="Palatino Linotype"/>
          <w:lang w:val="en-GB"/>
        </w:rPr>
      </w:pPr>
      <w:r w:rsidRPr="00B9449F">
        <w:rPr>
          <w:rFonts w:ascii="Palatino Linotype" w:hAnsi="Palatino Linotype"/>
          <w:lang w:val="en-GB"/>
        </w:rPr>
        <w:t xml:space="preserve">A complete protocol should be </w:t>
      </w:r>
      <w:r>
        <w:rPr>
          <w:rFonts w:ascii="Palatino Linotype" w:hAnsi="Palatino Linotype"/>
          <w:lang w:val="en-GB"/>
        </w:rPr>
        <w:t>registered in a trial registry before participant recruitment starts</w:t>
      </w:r>
      <w:r w:rsidRPr="00B9449F">
        <w:rPr>
          <w:rFonts w:ascii="Palatino Linotype" w:hAnsi="Palatino Linotype"/>
          <w:lang w:val="en-GB"/>
        </w:rPr>
        <w:t>. We also encourage online publication of open</w:t>
      </w:r>
      <w:r>
        <w:rPr>
          <w:rFonts w:ascii="Palatino Linotype" w:hAnsi="Palatino Linotype"/>
          <w:lang w:val="en-GB"/>
        </w:rPr>
        <w:t>-access</w:t>
      </w:r>
      <w:r w:rsidRPr="00B9449F">
        <w:rPr>
          <w:rFonts w:ascii="Palatino Linotype" w:hAnsi="Palatino Linotype"/>
          <w:lang w:val="en-GB"/>
        </w:rPr>
        <w:t xml:space="preserve"> data</w:t>
      </w:r>
      <w:r>
        <w:rPr>
          <w:rFonts w:ascii="Palatino Linotype" w:hAnsi="Palatino Linotype"/>
          <w:lang w:val="en-GB"/>
        </w:rPr>
        <w:t>sets</w:t>
      </w:r>
      <w:r w:rsidRPr="00B9449F">
        <w:rPr>
          <w:rFonts w:ascii="Palatino Linotype" w:hAnsi="Palatino Linotype"/>
          <w:lang w:val="en-GB"/>
        </w:rPr>
        <w:t xml:space="preserve"> for transparency and to encourage the future realisation of </w:t>
      </w:r>
      <w:r>
        <w:rPr>
          <w:rFonts w:ascii="Palatino Linotype" w:hAnsi="Palatino Linotype"/>
          <w:lang w:val="en-GB"/>
        </w:rPr>
        <w:t xml:space="preserve">individual </w:t>
      </w:r>
      <w:r w:rsidRPr="00B9449F">
        <w:rPr>
          <w:rFonts w:ascii="Palatino Linotype" w:hAnsi="Palatino Linotype"/>
          <w:lang w:val="en-GB"/>
        </w:rPr>
        <w:t>patient</w:t>
      </w:r>
      <w:r>
        <w:rPr>
          <w:rFonts w:ascii="Palatino Linotype" w:hAnsi="Palatino Linotype"/>
          <w:lang w:val="en-GB"/>
        </w:rPr>
        <w:t xml:space="preserve"> </w:t>
      </w:r>
      <w:r w:rsidRPr="00B9449F">
        <w:rPr>
          <w:rFonts w:ascii="Palatino Linotype" w:hAnsi="Palatino Linotype"/>
          <w:lang w:val="en-GB"/>
        </w:rPr>
        <w:t xml:space="preserve">data </w:t>
      </w:r>
      <w:r>
        <w:rPr>
          <w:rFonts w:ascii="Palatino Linotype" w:hAnsi="Palatino Linotype"/>
          <w:lang w:val="en-GB"/>
        </w:rPr>
        <w:t xml:space="preserve">(IPD) </w:t>
      </w:r>
      <w:r w:rsidRPr="00B9449F">
        <w:rPr>
          <w:rFonts w:ascii="Palatino Linotype" w:hAnsi="Palatino Linotype"/>
          <w:lang w:val="en-GB"/>
        </w:rPr>
        <w:t xml:space="preserve">meta-analyses. </w:t>
      </w:r>
    </w:p>
    <w:p w14:paraId="524A9F1A" w14:textId="77777777" w:rsidR="00B35C96" w:rsidRPr="00B9449F" w:rsidRDefault="00B35C96" w:rsidP="00B35C96">
      <w:pPr>
        <w:rPr>
          <w:rFonts w:ascii="Palatino Linotype" w:hAnsi="Palatino Linotype"/>
          <w:b/>
          <w:bCs/>
          <w:lang w:val="en-GB"/>
        </w:rPr>
      </w:pPr>
      <w:r w:rsidRPr="00B9449F">
        <w:rPr>
          <w:rFonts w:ascii="Palatino Linotype" w:hAnsi="Palatino Linotype"/>
          <w:b/>
          <w:bCs/>
          <w:lang w:val="en-GB"/>
        </w:rPr>
        <w:t>Length of treatment, follow-up and time point assessment</w:t>
      </w:r>
    </w:p>
    <w:p w14:paraId="5AF30CF1" w14:textId="77777777" w:rsidR="003B3B0F" w:rsidRPr="00B9449F" w:rsidRDefault="003B3B0F" w:rsidP="004D1C13">
      <w:pPr>
        <w:jc w:val="both"/>
        <w:rPr>
          <w:rFonts w:ascii="Palatino Linotype" w:hAnsi="Palatino Linotype"/>
          <w:i/>
          <w:iCs/>
          <w:lang w:val="en-GB"/>
        </w:rPr>
      </w:pPr>
      <w:r w:rsidRPr="00B9449F">
        <w:rPr>
          <w:rFonts w:ascii="Palatino Linotype" w:hAnsi="Palatino Linotype"/>
          <w:i/>
          <w:iCs/>
          <w:lang w:val="en-GB"/>
        </w:rPr>
        <w:t>Phase II</w:t>
      </w:r>
    </w:p>
    <w:p w14:paraId="425B6A4A" w14:textId="207539C1" w:rsidR="00316D12" w:rsidRDefault="00663665" w:rsidP="004D1C13">
      <w:pPr>
        <w:jc w:val="both"/>
        <w:rPr>
          <w:rFonts w:ascii="Palatino Linotype" w:hAnsi="Palatino Linotype"/>
          <w:lang w:val="en-GB"/>
        </w:rPr>
      </w:pPr>
      <w:r>
        <w:rPr>
          <w:rFonts w:ascii="Palatino Linotype" w:hAnsi="Palatino Linotype"/>
          <w:lang w:val="en-GB"/>
        </w:rPr>
        <w:t>Taking into account the annual rate of decline in physical performance, muscle mass and strength</w:t>
      </w:r>
      <w:r w:rsidR="00446B60" w:rsidRPr="00735166">
        <w:rPr>
          <w:rFonts w:ascii="Palatino Linotype" w:hAnsi="Palatino Linotype"/>
          <w:highlight w:val="yellow"/>
          <w:lang w:val="en-GB"/>
        </w:rPr>
        <w:fldChar w:fldCharType="begin" w:fldLock="1"/>
      </w:r>
      <w:r w:rsidR="009D3AAF">
        <w:rPr>
          <w:rFonts w:ascii="Palatino Linotype" w:hAnsi="Palatino Linotype"/>
          <w:highlight w:val="yellow"/>
          <w:lang w:val="en-GB"/>
        </w:rPr>
        <w:instrText>ADDIN CSL_CITATION {"citationItems":[{"id":"ITEM-1","itemData":{"DOI":"10.1111/GGI.12213","ISSN":"1447-0594","PMID":"24450564","author":[{"dropping-particle":"","family":"TW","given":"Auyeung","non-dropping-particle":"","parse-names":false,"suffix":""},{"dropping-particle":"","family":"SW","given":"Lee","non-dropping-particle":"","parse-names":false,"suffix":""},{"dropping-particle":"","family":"J","given":"Leung","non-dropping-particle":"","parse-names":false,"suffix":""},{"dropping-particle":"","family":"T","given":"Kwok","non-dropping-particle":"","parse-names":false,"suffix":""},{"dropping-particle":"","family":"J","given":"Woo","non-dropping-particle":"","parse-names":false,"suffix":""}],"container-title":"Geriatrics &amp; gerontology international","id":"ITEM-1","issued":{"date-parts":[["2014"]]},"publisher":"Geriatr Gerontol Int","title":"Age-associated Decline of Muscle Mass, Grip Strength and Gait Speed: A 4-year Longitudinal Study of 3018 Community-Dwelling Older Chinese","type":"article-journal","volume":"14 Suppl 1"},"uris":["http://www.mendeley.com/documents/?uuid=c9aa1668-e49f-3545-b5e7-b1385338828a"]},{"id":"ITEM-2","itemData":{"DOI":"10.1007/s00223-017-0277-0","ISSN":"1432-0827","PMID":"28421264","abstract":"Sarcopenia is an age-related syndrome characterised by progressive and generalised loss of skeletal muscle mass and strength; it is a major contributor to the risk of physical frailty, functional impairment in older people, poor health-related quality of life and premature death. Many different definitions have been used to describe sarcopenia and have resulted in varying estimates of prevalence of the condition. The most recent attempts of definitions have tried to integrate information on muscle mass, strength and physical function and provide a definition that is useful in both research and clinical settings. This review focuses on the epidemiology of the three distinct physiological components of sarcopenia, and highlights the similarities and differences between their patterns of variation with age, gender, geography and time and the individual risk factors that cluster selectively with muscle mass, strength and physical function. Methods used to measure muscle mass, strength and physical functioning and how differences in these approaches can contribute to the varying prevalence rates will also be described. The evidence for this review was gathered by undertaking a systematic search of the literature. The descriptive characteristics of muscle mass, strength and function described in this review point to the urgent need for a consensual definition of sarcopenia incorporating these parameters.","author":[{"dropping-particle":"","family":"Shaw","given":"S C","non-dropping-particle":"","parse-names":false,"suffix":""},{"dropping-particle":"","family":"Dennison","given":"E M","non-dropping-particle":"","parse-names":false,"suffix":""},{"dropping-particle":"","family":"Cooper","given":"C","non-dropping-particle":"","parse-names":false,"suffix":""}],"container-title":"Calcified tissue international","id":"ITEM-2","issue":"3","issued":{"date-parts":[["2017"]]},"page":"229-247","publisher":"Calcif Tissue Int","title":"Epidemiology of Sarcopenia: Determinants Throughout the Lifecourse.","type":"article-journal","volume":"101"},"uris":["http://www.mendeley.com/documents/?uuid=e1d830e7-954e-31b4-8929-f83d0a98fb8f"]}],"mendeley":{"formattedCitation":"[68, 69]","plainTextFormattedCitation":"[68, 69]","previouslyFormattedCitation":"[66, 67]"},"properties":{"noteIndex":0},"schema":"https://github.com/citation-style-language/schema/raw/master/csl-citation.json"}</w:instrText>
      </w:r>
      <w:r w:rsidR="00446B60" w:rsidRPr="00735166">
        <w:rPr>
          <w:rFonts w:ascii="Palatino Linotype" w:hAnsi="Palatino Linotype"/>
          <w:highlight w:val="yellow"/>
          <w:lang w:val="en-GB"/>
        </w:rPr>
        <w:fldChar w:fldCharType="separate"/>
      </w:r>
      <w:r w:rsidR="009D3AAF" w:rsidRPr="009D3AAF">
        <w:rPr>
          <w:rFonts w:ascii="Palatino Linotype" w:hAnsi="Palatino Linotype"/>
          <w:noProof/>
          <w:highlight w:val="yellow"/>
          <w:lang w:val="en-GB"/>
        </w:rPr>
        <w:t>[68, 69]</w:t>
      </w:r>
      <w:r w:rsidR="00446B60" w:rsidRPr="00735166">
        <w:rPr>
          <w:rFonts w:ascii="Palatino Linotype" w:hAnsi="Palatino Linotype"/>
          <w:highlight w:val="yellow"/>
          <w:lang w:val="en-GB"/>
        </w:rPr>
        <w:fldChar w:fldCharType="end"/>
      </w:r>
      <w:r>
        <w:rPr>
          <w:rFonts w:ascii="Palatino Linotype" w:hAnsi="Palatino Linotype"/>
          <w:lang w:val="en-GB"/>
        </w:rPr>
        <w:t xml:space="preserve">, a recommendation of a minimum 6-month treatment and follow-up period was suggested upon for phase II trials. A shorter period might be acceptable depending on the mode of action. </w:t>
      </w:r>
    </w:p>
    <w:p w14:paraId="13C69B77" w14:textId="48096742" w:rsidR="00B35C96" w:rsidRPr="00B9449F" w:rsidRDefault="00B35C96" w:rsidP="004D1C13">
      <w:pPr>
        <w:jc w:val="both"/>
        <w:rPr>
          <w:rFonts w:ascii="Palatino Linotype" w:hAnsi="Palatino Linotype"/>
          <w:i/>
          <w:iCs/>
          <w:lang w:val="en-GB"/>
        </w:rPr>
      </w:pPr>
      <w:r w:rsidRPr="00B9449F">
        <w:rPr>
          <w:rFonts w:ascii="Palatino Linotype" w:hAnsi="Palatino Linotype"/>
          <w:i/>
          <w:iCs/>
          <w:lang w:val="en-GB"/>
        </w:rPr>
        <w:t>Phase III</w:t>
      </w:r>
    </w:p>
    <w:p w14:paraId="712B1327" w14:textId="1CEEEF9A" w:rsidR="00B35C96" w:rsidRPr="00B9449F" w:rsidRDefault="00306F31" w:rsidP="00512A1B">
      <w:pPr>
        <w:jc w:val="both"/>
        <w:rPr>
          <w:rFonts w:ascii="Palatino Linotype" w:hAnsi="Palatino Linotype"/>
          <w:lang w:val="en-GB"/>
        </w:rPr>
      </w:pPr>
      <w:r w:rsidRPr="00306F31">
        <w:rPr>
          <w:rFonts w:ascii="Palatino Linotype" w:hAnsi="Palatino Linotype"/>
          <w:highlight w:val="yellow"/>
          <w:lang w:val="en-GB"/>
        </w:rPr>
        <w:t xml:space="preserve">The members of the Working Group, who have a close interaction with the European regulatory authorities, feel that a minimum </w:t>
      </w:r>
      <w:r w:rsidR="004D1C13" w:rsidRPr="00306F31">
        <w:rPr>
          <w:rFonts w:ascii="Palatino Linotype" w:hAnsi="Palatino Linotype"/>
          <w:highlight w:val="yellow"/>
          <w:lang w:val="en-GB"/>
        </w:rPr>
        <w:t>of 1 year</w:t>
      </w:r>
      <w:r w:rsidR="004D1C13" w:rsidRPr="00B9449F">
        <w:rPr>
          <w:rFonts w:ascii="Palatino Linotype" w:hAnsi="Palatino Linotype"/>
          <w:lang w:val="en-GB"/>
        </w:rPr>
        <w:t xml:space="preserve"> of follow-up is necessary for safety </w:t>
      </w:r>
      <w:r w:rsidR="005E3510" w:rsidRPr="00B9449F">
        <w:rPr>
          <w:rFonts w:ascii="Palatino Linotype" w:hAnsi="Palatino Linotype"/>
          <w:lang w:val="en-GB"/>
        </w:rPr>
        <w:t>issues.</w:t>
      </w:r>
      <w:r w:rsidR="004D1C13" w:rsidRPr="00B9449F">
        <w:rPr>
          <w:rFonts w:ascii="Palatino Linotype" w:hAnsi="Palatino Linotype"/>
          <w:lang w:val="en-GB"/>
        </w:rPr>
        <w:t xml:space="preserve"> However, treatment studies</w:t>
      </w:r>
      <w:r w:rsidR="001872F5">
        <w:rPr>
          <w:rFonts w:ascii="Palatino Linotype" w:hAnsi="Palatino Linotype"/>
          <w:lang w:val="en-GB"/>
        </w:rPr>
        <w:t xml:space="preserve"> with a longer duration</w:t>
      </w:r>
      <w:r w:rsidR="004D1C13" w:rsidRPr="00B9449F">
        <w:rPr>
          <w:rFonts w:ascii="Palatino Linotype" w:hAnsi="Palatino Linotype"/>
          <w:lang w:val="en-GB"/>
        </w:rPr>
        <w:t xml:space="preserve"> are often confronted </w:t>
      </w:r>
      <w:r w:rsidR="002E550E">
        <w:rPr>
          <w:rFonts w:ascii="Palatino Linotype" w:hAnsi="Palatino Linotype"/>
          <w:lang w:val="en-GB"/>
        </w:rPr>
        <w:t>with</w:t>
      </w:r>
      <w:r w:rsidR="004D1C13" w:rsidRPr="00B9449F">
        <w:rPr>
          <w:rFonts w:ascii="Palatino Linotype" w:hAnsi="Palatino Linotype"/>
          <w:lang w:val="en-GB"/>
        </w:rPr>
        <w:t xml:space="preserve"> </w:t>
      </w:r>
      <w:r w:rsidR="001872F5">
        <w:rPr>
          <w:rFonts w:ascii="Palatino Linotype" w:hAnsi="Palatino Linotype"/>
          <w:lang w:val="en-GB"/>
        </w:rPr>
        <w:t>higher</w:t>
      </w:r>
      <w:r w:rsidR="004D1C13" w:rsidRPr="00B9449F">
        <w:rPr>
          <w:rFonts w:ascii="Palatino Linotype" w:hAnsi="Palatino Linotype"/>
          <w:lang w:val="en-GB"/>
        </w:rPr>
        <w:t xml:space="preserve"> number</w:t>
      </w:r>
      <w:r w:rsidR="001872F5">
        <w:rPr>
          <w:rFonts w:ascii="Palatino Linotype" w:hAnsi="Palatino Linotype"/>
          <w:lang w:val="en-GB"/>
        </w:rPr>
        <w:t>s</w:t>
      </w:r>
      <w:r w:rsidR="004D1C13" w:rsidRPr="00B9449F">
        <w:rPr>
          <w:rFonts w:ascii="Palatino Linotype" w:hAnsi="Palatino Linotype"/>
          <w:lang w:val="en-GB"/>
        </w:rPr>
        <w:t xml:space="preserve"> of </w:t>
      </w:r>
      <w:r w:rsidR="00512A1B" w:rsidRPr="00B9449F">
        <w:rPr>
          <w:rFonts w:ascii="Palatino Linotype" w:hAnsi="Palatino Linotype"/>
          <w:lang w:val="en-GB"/>
        </w:rPr>
        <w:t>dropouts</w:t>
      </w:r>
      <w:r w:rsidR="001872F5">
        <w:rPr>
          <w:rFonts w:ascii="Palatino Linotype" w:hAnsi="Palatino Linotype"/>
          <w:lang w:val="en-GB"/>
        </w:rPr>
        <w:t xml:space="preserve"> which is </w:t>
      </w:r>
      <w:r w:rsidR="00512A1B" w:rsidRPr="00B9449F">
        <w:rPr>
          <w:rFonts w:ascii="Palatino Linotype" w:hAnsi="Palatino Linotype"/>
          <w:lang w:val="en-GB"/>
        </w:rPr>
        <w:t xml:space="preserve">especially </w:t>
      </w:r>
      <w:r w:rsidR="001872F5">
        <w:rPr>
          <w:rFonts w:ascii="Palatino Linotype" w:hAnsi="Palatino Linotype"/>
          <w:lang w:val="en-GB"/>
        </w:rPr>
        <w:t>relevant for</w:t>
      </w:r>
      <w:r w:rsidR="00512A1B" w:rsidRPr="00B9449F">
        <w:rPr>
          <w:rFonts w:ascii="Palatino Linotype" w:hAnsi="Palatino Linotype"/>
          <w:lang w:val="en-GB"/>
        </w:rPr>
        <w:t xml:space="preserve"> older</w:t>
      </w:r>
      <w:r w:rsidR="001872F5">
        <w:rPr>
          <w:rFonts w:ascii="Palatino Linotype" w:hAnsi="Palatino Linotype"/>
          <w:lang w:val="en-GB"/>
        </w:rPr>
        <w:t xml:space="preserve"> study</w:t>
      </w:r>
      <w:r w:rsidR="00512A1B" w:rsidRPr="00B9449F">
        <w:rPr>
          <w:rFonts w:ascii="Palatino Linotype" w:hAnsi="Palatino Linotype"/>
          <w:lang w:val="en-GB"/>
        </w:rPr>
        <w:t xml:space="preserve"> populations</w:t>
      </w:r>
      <w:r w:rsidR="004D1C13" w:rsidRPr="00B9449F">
        <w:rPr>
          <w:rFonts w:ascii="Palatino Linotype" w:hAnsi="Palatino Linotype"/>
          <w:lang w:val="en-GB"/>
        </w:rPr>
        <w:t xml:space="preserve">. </w:t>
      </w:r>
      <w:r w:rsidR="002E550E">
        <w:rPr>
          <w:rFonts w:ascii="Palatino Linotype" w:hAnsi="Palatino Linotype"/>
          <w:lang w:val="en-GB"/>
        </w:rPr>
        <w:t>Based on this</w:t>
      </w:r>
      <w:r w:rsidR="005E3510" w:rsidRPr="00B9449F">
        <w:rPr>
          <w:rFonts w:ascii="Palatino Linotype" w:hAnsi="Palatino Linotype"/>
          <w:lang w:val="en-GB"/>
        </w:rPr>
        <w:t xml:space="preserve"> and to appreciate the offset of action</w:t>
      </w:r>
      <w:r w:rsidR="004D1C13" w:rsidRPr="00B9449F">
        <w:rPr>
          <w:rFonts w:ascii="Palatino Linotype" w:hAnsi="Palatino Linotype"/>
          <w:lang w:val="en-GB"/>
        </w:rPr>
        <w:t xml:space="preserve">, </w:t>
      </w:r>
      <w:r w:rsidR="00512A1B" w:rsidRPr="00B9449F">
        <w:rPr>
          <w:rFonts w:ascii="Palatino Linotype" w:hAnsi="Palatino Linotype"/>
          <w:lang w:val="en-GB"/>
        </w:rPr>
        <w:t xml:space="preserve">phase III clinical trial for sarcopenia </w:t>
      </w:r>
      <w:r w:rsidR="00160063">
        <w:rPr>
          <w:rFonts w:ascii="Palatino Linotype" w:hAnsi="Palatino Linotype"/>
          <w:lang w:val="en-GB"/>
        </w:rPr>
        <w:t>may</w:t>
      </w:r>
      <w:r w:rsidR="00512A1B" w:rsidRPr="00B9449F">
        <w:rPr>
          <w:rFonts w:ascii="Palatino Linotype" w:hAnsi="Palatino Linotype"/>
          <w:lang w:val="en-GB"/>
        </w:rPr>
        <w:t xml:space="preserve"> consist of </w:t>
      </w:r>
      <w:r w:rsidR="00160063">
        <w:rPr>
          <w:rFonts w:ascii="Palatino Linotype" w:hAnsi="Palatino Linotype"/>
          <w:lang w:val="en-GB"/>
        </w:rPr>
        <w:t xml:space="preserve">a </w:t>
      </w:r>
      <w:r w:rsidR="00512A1B" w:rsidRPr="00B9449F">
        <w:rPr>
          <w:rFonts w:ascii="Palatino Linotype" w:hAnsi="Palatino Linotype"/>
          <w:lang w:val="en-GB"/>
        </w:rPr>
        <w:t xml:space="preserve">1-year treatment period.  </w:t>
      </w:r>
      <w:r w:rsidR="00D91A9F">
        <w:rPr>
          <w:rFonts w:ascii="Palatino Linotype" w:hAnsi="Palatino Linotype"/>
          <w:color w:val="000000" w:themeColor="text1"/>
          <w:lang w:val="en-GB"/>
        </w:rPr>
        <w:t>Assessment</w:t>
      </w:r>
      <w:r w:rsidR="00B35C96" w:rsidRPr="00B9449F">
        <w:rPr>
          <w:rFonts w:ascii="Palatino Linotype" w:hAnsi="Palatino Linotype"/>
          <w:color w:val="000000" w:themeColor="text1"/>
          <w:lang w:val="en-GB"/>
        </w:rPr>
        <w:t xml:space="preserve"> of co-primary endpoint</w:t>
      </w:r>
      <w:r w:rsidR="002E550E">
        <w:rPr>
          <w:rFonts w:ascii="Palatino Linotype" w:hAnsi="Palatino Linotype"/>
          <w:color w:val="000000" w:themeColor="text1"/>
          <w:lang w:val="en-GB"/>
        </w:rPr>
        <w:t>s</w:t>
      </w:r>
      <w:r w:rsidR="00B35C96" w:rsidRPr="00B9449F">
        <w:rPr>
          <w:rFonts w:ascii="Palatino Linotype" w:hAnsi="Palatino Linotype"/>
          <w:color w:val="000000" w:themeColor="text1"/>
          <w:lang w:val="en-GB"/>
        </w:rPr>
        <w:t xml:space="preserve"> </w:t>
      </w:r>
      <w:r w:rsidR="00512A1B" w:rsidRPr="00B9449F">
        <w:rPr>
          <w:rFonts w:ascii="Palatino Linotype" w:hAnsi="Palatino Linotype"/>
          <w:color w:val="000000" w:themeColor="text1"/>
          <w:lang w:val="en-GB"/>
        </w:rPr>
        <w:t xml:space="preserve">could be performed </w:t>
      </w:r>
      <w:r w:rsidR="00B35C96" w:rsidRPr="00B9449F">
        <w:rPr>
          <w:rFonts w:ascii="Palatino Linotype" w:hAnsi="Palatino Linotype"/>
          <w:color w:val="000000" w:themeColor="text1"/>
          <w:lang w:val="en-GB"/>
        </w:rPr>
        <w:t>every 3</w:t>
      </w:r>
      <w:r w:rsidR="00512A1B" w:rsidRPr="00B9449F">
        <w:rPr>
          <w:rFonts w:ascii="Palatino Linotype" w:hAnsi="Palatino Linotype"/>
          <w:color w:val="000000" w:themeColor="text1"/>
          <w:lang w:val="en-GB"/>
        </w:rPr>
        <w:t> </w:t>
      </w:r>
      <w:r w:rsidR="00B35C96" w:rsidRPr="00B9449F">
        <w:rPr>
          <w:rFonts w:ascii="Palatino Linotype" w:hAnsi="Palatino Linotype"/>
          <w:color w:val="000000" w:themeColor="text1"/>
          <w:lang w:val="en-GB"/>
        </w:rPr>
        <w:t>months.</w:t>
      </w:r>
      <w:r w:rsidR="00F45717" w:rsidRPr="00B9449F">
        <w:rPr>
          <w:rFonts w:ascii="Palatino Linotype" w:hAnsi="Palatino Linotype"/>
          <w:color w:val="000000" w:themeColor="text1"/>
          <w:lang w:val="en-GB"/>
        </w:rPr>
        <w:t xml:space="preserve"> We encourage </w:t>
      </w:r>
      <w:r w:rsidR="005E3510" w:rsidRPr="00B9449F">
        <w:rPr>
          <w:rFonts w:ascii="Palatino Linotype" w:hAnsi="Palatino Linotype"/>
          <w:color w:val="000000" w:themeColor="text1"/>
          <w:lang w:val="en-GB"/>
        </w:rPr>
        <w:t>trials</w:t>
      </w:r>
      <w:r w:rsidR="00F45717" w:rsidRPr="00B9449F">
        <w:rPr>
          <w:rFonts w:ascii="Palatino Linotype" w:hAnsi="Palatino Linotype"/>
          <w:color w:val="000000" w:themeColor="text1"/>
          <w:lang w:val="en-GB"/>
        </w:rPr>
        <w:t xml:space="preserve"> to use, as much as possible, similar time points for assessment </w:t>
      </w:r>
      <w:r w:rsidR="00A94F4E" w:rsidRPr="00B9449F">
        <w:rPr>
          <w:rFonts w:ascii="Palatino Linotype" w:hAnsi="Palatino Linotype"/>
          <w:color w:val="000000" w:themeColor="text1"/>
          <w:lang w:val="en-GB"/>
        </w:rPr>
        <w:t xml:space="preserve">to allow comparison between studies and </w:t>
      </w:r>
      <w:r w:rsidR="00323F62" w:rsidRPr="00B9449F">
        <w:rPr>
          <w:rFonts w:ascii="Palatino Linotype" w:hAnsi="Palatino Linotype"/>
          <w:color w:val="000000" w:themeColor="text1"/>
          <w:lang w:val="en-GB"/>
        </w:rPr>
        <w:t xml:space="preserve">to reduce the risk of introducing heterogeneity due to time-point assessment in meta-analyses and network meta-analyses. </w:t>
      </w:r>
    </w:p>
    <w:p w14:paraId="03C6C474" w14:textId="77777777" w:rsidR="00B35C96" w:rsidRPr="00B9449F" w:rsidRDefault="00B35C96" w:rsidP="004D1C13">
      <w:pPr>
        <w:jc w:val="both"/>
        <w:rPr>
          <w:rFonts w:ascii="Palatino Linotype" w:hAnsi="Palatino Linotype"/>
          <w:b/>
          <w:bCs/>
          <w:lang w:val="en-GB"/>
        </w:rPr>
      </w:pPr>
      <w:r w:rsidRPr="00B9449F">
        <w:rPr>
          <w:rFonts w:ascii="Palatino Linotype" w:hAnsi="Palatino Linotype"/>
          <w:b/>
          <w:bCs/>
          <w:lang w:val="en-GB"/>
        </w:rPr>
        <w:t>Comparator</w:t>
      </w:r>
    </w:p>
    <w:p w14:paraId="74F56586" w14:textId="2454321E" w:rsidR="008A6D19" w:rsidRPr="00B9449F" w:rsidRDefault="00DB1D51" w:rsidP="004D1C13">
      <w:pPr>
        <w:jc w:val="both"/>
        <w:rPr>
          <w:rFonts w:ascii="Palatino Linotype" w:hAnsi="Palatino Linotype"/>
          <w:lang w:val="en-GB"/>
        </w:rPr>
      </w:pPr>
      <w:r w:rsidRPr="00B9449F">
        <w:rPr>
          <w:rFonts w:ascii="Palatino Linotype" w:hAnsi="Palatino Linotype"/>
          <w:lang w:val="en-GB"/>
        </w:rPr>
        <w:t>The comparator should be placebo</w:t>
      </w:r>
      <w:r w:rsidR="00D91A9F">
        <w:rPr>
          <w:rFonts w:ascii="Palatino Linotype" w:hAnsi="Palatino Linotype"/>
          <w:lang w:val="en-GB"/>
        </w:rPr>
        <w:t xml:space="preserve"> </w:t>
      </w:r>
      <w:r w:rsidR="00292DE0">
        <w:rPr>
          <w:rFonts w:ascii="Palatino Linotype" w:hAnsi="Palatino Linotype"/>
          <w:lang w:val="en-GB"/>
        </w:rPr>
        <w:t>along with standard of care.</w:t>
      </w:r>
    </w:p>
    <w:p w14:paraId="644141C5" w14:textId="6BA4E900" w:rsidR="00DB1D51" w:rsidRPr="00B9449F" w:rsidRDefault="00FB716A" w:rsidP="004D1C13">
      <w:pPr>
        <w:jc w:val="both"/>
        <w:rPr>
          <w:rFonts w:ascii="Palatino Linotype" w:hAnsi="Palatino Linotype"/>
          <w:lang w:val="en-GB"/>
        </w:rPr>
      </w:pPr>
      <w:r>
        <w:rPr>
          <w:rFonts w:ascii="Palatino Linotype" w:hAnsi="Palatino Linotype"/>
          <w:lang w:val="en-GB"/>
        </w:rPr>
        <w:t>Because</w:t>
      </w:r>
      <w:r w:rsidR="00B35C96" w:rsidRPr="00B9449F">
        <w:rPr>
          <w:rFonts w:ascii="Palatino Linotype" w:hAnsi="Palatino Linotype"/>
          <w:lang w:val="en-GB"/>
        </w:rPr>
        <w:t xml:space="preserve"> exercises</w:t>
      </w:r>
      <w:r w:rsidR="00DB1D51" w:rsidRPr="00B9449F">
        <w:rPr>
          <w:rFonts w:ascii="Palatino Linotype" w:hAnsi="Palatino Linotype"/>
          <w:lang w:val="en-GB"/>
        </w:rPr>
        <w:t xml:space="preserve"> and/or</w:t>
      </w:r>
      <w:r w:rsidR="00B35C96" w:rsidRPr="00B9449F">
        <w:rPr>
          <w:rFonts w:ascii="Palatino Linotype" w:hAnsi="Palatino Linotype"/>
          <w:lang w:val="en-GB"/>
        </w:rPr>
        <w:t xml:space="preserve"> nutrition</w:t>
      </w:r>
      <w:r>
        <w:rPr>
          <w:rFonts w:ascii="Palatino Linotype" w:hAnsi="Palatino Linotype"/>
          <w:lang w:val="en-GB"/>
        </w:rPr>
        <w:t xml:space="preserve"> could be defined as usual care, these aspects should be recorde</w:t>
      </w:r>
      <w:r w:rsidR="00926B97">
        <w:rPr>
          <w:rFonts w:ascii="Palatino Linotype" w:hAnsi="Palatino Linotype"/>
          <w:lang w:val="en-GB"/>
        </w:rPr>
        <w:t>d</w:t>
      </w:r>
      <w:r w:rsidR="00A07A19">
        <w:rPr>
          <w:rFonts w:ascii="Palatino Linotype" w:hAnsi="Palatino Linotype"/>
          <w:lang w:val="en-GB"/>
        </w:rPr>
        <w:t xml:space="preserve"> and </w:t>
      </w:r>
      <w:r>
        <w:rPr>
          <w:rFonts w:ascii="Palatino Linotype" w:hAnsi="Palatino Linotype"/>
          <w:lang w:val="en-GB"/>
        </w:rPr>
        <w:t>controlled</w:t>
      </w:r>
      <w:r w:rsidR="00DB1D51" w:rsidRPr="00B9449F">
        <w:rPr>
          <w:rFonts w:ascii="Palatino Linotype" w:hAnsi="Palatino Linotype"/>
          <w:lang w:val="en-GB"/>
        </w:rPr>
        <w:t xml:space="preserve"> </w:t>
      </w:r>
      <w:r w:rsidR="002E550E">
        <w:rPr>
          <w:rFonts w:ascii="Palatino Linotype" w:hAnsi="Palatino Linotype"/>
          <w:lang w:val="en-GB"/>
        </w:rPr>
        <w:t xml:space="preserve">and </w:t>
      </w:r>
      <w:r w:rsidR="00B33387">
        <w:rPr>
          <w:rFonts w:ascii="Palatino Linotype" w:hAnsi="Palatino Linotype"/>
          <w:lang w:val="en-GB"/>
        </w:rPr>
        <w:t>standardized</w:t>
      </w:r>
      <w:r w:rsidR="00A07A19">
        <w:rPr>
          <w:rFonts w:ascii="Palatino Linotype" w:hAnsi="Palatino Linotype"/>
          <w:lang w:val="en-GB"/>
        </w:rPr>
        <w:t xml:space="preserve"> (</w:t>
      </w:r>
      <w:r w:rsidR="00D6589E">
        <w:rPr>
          <w:rFonts w:ascii="Palatino Linotype" w:hAnsi="Palatino Linotype"/>
          <w:lang w:val="en-GB"/>
        </w:rPr>
        <w:t xml:space="preserve">e.g. </w:t>
      </w:r>
      <w:r w:rsidR="00A07A19">
        <w:rPr>
          <w:rFonts w:ascii="Palatino Linotype" w:hAnsi="Palatino Linotype"/>
          <w:lang w:val="en-GB"/>
        </w:rPr>
        <w:t>cross countr</w:t>
      </w:r>
      <w:r w:rsidR="00D6589E">
        <w:rPr>
          <w:rFonts w:ascii="Palatino Linotype" w:hAnsi="Palatino Linotype"/>
          <w:lang w:val="en-GB"/>
        </w:rPr>
        <w:t>ies</w:t>
      </w:r>
      <w:r w:rsidR="00A07A19">
        <w:rPr>
          <w:rFonts w:ascii="Palatino Linotype" w:hAnsi="Palatino Linotype"/>
          <w:lang w:val="en-GB"/>
        </w:rPr>
        <w:t xml:space="preserve"> harmonization for multicentre studies)</w:t>
      </w:r>
      <w:r w:rsidR="00B35C96" w:rsidRPr="00B9449F">
        <w:rPr>
          <w:rFonts w:ascii="Palatino Linotype" w:hAnsi="Palatino Linotype"/>
          <w:lang w:val="en-GB"/>
        </w:rPr>
        <w:t xml:space="preserve"> as much as possible and should be clearly defined in the protocol. </w:t>
      </w:r>
      <w:r w:rsidR="00132446" w:rsidRPr="00B9449F">
        <w:rPr>
          <w:rFonts w:ascii="Palatino Linotype" w:hAnsi="Palatino Linotype"/>
          <w:lang w:val="en-GB"/>
        </w:rPr>
        <w:t xml:space="preserve">This possibility of adding standard care in the protocol of intervention </w:t>
      </w:r>
      <w:r w:rsidR="005E681F">
        <w:rPr>
          <w:rFonts w:ascii="Palatino Linotype" w:hAnsi="Palatino Linotype"/>
          <w:lang w:val="en-GB"/>
        </w:rPr>
        <w:t>is offered</w:t>
      </w:r>
      <w:r w:rsidR="00C862F6" w:rsidRPr="00B9449F">
        <w:rPr>
          <w:rFonts w:ascii="Palatino Linotype" w:hAnsi="Palatino Linotype"/>
          <w:lang w:val="en-GB"/>
        </w:rPr>
        <w:t xml:space="preserve">, </w:t>
      </w:r>
      <w:r w:rsidR="005E681F" w:rsidRPr="00B9449F">
        <w:rPr>
          <w:rFonts w:ascii="Palatino Linotype" w:hAnsi="Palatino Linotype"/>
          <w:lang w:val="en-GB"/>
        </w:rPr>
        <w:t>conside</w:t>
      </w:r>
      <w:r w:rsidR="005E681F">
        <w:rPr>
          <w:rFonts w:ascii="Palatino Linotype" w:hAnsi="Palatino Linotype"/>
          <w:lang w:val="en-GB"/>
        </w:rPr>
        <w:t>ring</w:t>
      </w:r>
      <w:r w:rsidR="005E681F" w:rsidRPr="00B9449F">
        <w:rPr>
          <w:rFonts w:ascii="Palatino Linotype" w:hAnsi="Palatino Linotype"/>
          <w:lang w:val="en-GB"/>
        </w:rPr>
        <w:t xml:space="preserve"> </w:t>
      </w:r>
      <w:r w:rsidR="007F5830" w:rsidRPr="00B9449F">
        <w:rPr>
          <w:rFonts w:ascii="Palatino Linotype" w:hAnsi="Palatino Linotype"/>
          <w:lang w:val="en-GB"/>
        </w:rPr>
        <w:t xml:space="preserve">the length of the clinical trial and to be in accordance with the WHO recommendations </w:t>
      </w:r>
      <w:r w:rsidR="00160063">
        <w:rPr>
          <w:rFonts w:ascii="Palatino Linotype" w:hAnsi="Palatino Linotype"/>
          <w:lang w:val="en-GB"/>
        </w:rPr>
        <w:t xml:space="preserve">for encouraging </w:t>
      </w:r>
      <w:r w:rsidR="007F5830" w:rsidRPr="00B9449F">
        <w:rPr>
          <w:rFonts w:ascii="Palatino Linotype" w:hAnsi="Palatino Linotype"/>
          <w:lang w:val="en-GB"/>
        </w:rPr>
        <w:t xml:space="preserve">of physical activity in older people. </w:t>
      </w:r>
      <w:r w:rsidR="00663665">
        <w:rPr>
          <w:rFonts w:ascii="Palatino Linotype" w:hAnsi="Palatino Linotype"/>
          <w:lang w:val="en-GB"/>
        </w:rPr>
        <w:t>Older adults</w:t>
      </w:r>
      <w:r w:rsidR="007F5830" w:rsidRPr="00B9449F">
        <w:rPr>
          <w:rFonts w:ascii="Palatino Linotype" w:hAnsi="Palatino Linotype"/>
          <w:lang w:val="en-GB"/>
        </w:rPr>
        <w:t xml:space="preserve"> could benefit from physical activity and nutrition, both interventions having</w:t>
      </w:r>
      <w:r w:rsidR="00160063">
        <w:rPr>
          <w:rFonts w:ascii="Palatino Linotype" w:hAnsi="Palatino Linotype"/>
          <w:lang w:val="en-GB"/>
        </w:rPr>
        <w:t xml:space="preserve"> been</w:t>
      </w:r>
      <w:r w:rsidR="007F5830" w:rsidRPr="00B9449F">
        <w:rPr>
          <w:rFonts w:ascii="Palatino Linotype" w:hAnsi="Palatino Linotype"/>
          <w:lang w:val="en-GB"/>
        </w:rPr>
        <w:t xml:space="preserve"> proven </w:t>
      </w:r>
      <w:r w:rsidR="00160063">
        <w:rPr>
          <w:rFonts w:ascii="Palatino Linotype" w:hAnsi="Palatino Linotype"/>
          <w:lang w:val="en-GB"/>
        </w:rPr>
        <w:t>for the improvement of</w:t>
      </w:r>
      <w:r w:rsidR="007F5830" w:rsidRPr="00B9449F">
        <w:rPr>
          <w:rFonts w:ascii="Palatino Linotype" w:hAnsi="Palatino Linotype"/>
          <w:lang w:val="en-GB"/>
        </w:rPr>
        <w:t xml:space="preserve"> </w:t>
      </w:r>
      <w:r w:rsidR="00663665">
        <w:rPr>
          <w:rFonts w:ascii="Palatino Linotype" w:hAnsi="Palatino Linotype"/>
          <w:lang w:val="en-GB"/>
        </w:rPr>
        <w:t>muscle strength and physical performance</w:t>
      </w:r>
      <w:r w:rsidR="00421ECC">
        <w:rPr>
          <w:rFonts w:ascii="Palatino Linotype" w:hAnsi="Palatino Linotype"/>
          <w:lang w:val="en-GB"/>
        </w:rPr>
        <w:t xml:space="preserve"> </w:t>
      </w:r>
      <w:r w:rsidR="002B3892" w:rsidRPr="00B9449F">
        <w:rPr>
          <w:rFonts w:ascii="Palatino Linotype" w:hAnsi="Palatino Linotype"/>
          <w:lang w:val="en-GB"/>
        </w:rPr>
        <w:fldChar w:fldCharType="begin" w:fldLock="1"/>
      </w:r>
      <w:r w:rsidR="009D3AAF">
        <w:rPr>
          <w:rFonts w:ascii="Palatino Linotype" w:hAnsi="Palatino Linotype"/>
          <w:lang w:val="en-GB"/>
        </w:rPr>
        <w:instrText>ADDIN CSL_CITATION {"citationItems":[{"id":"ITEM-1","itemData":{"DOI":"10.1007/s00198-017-3980-9","ISSN":"14332965","abstract":"© 2017, The Author(s). Summary: This systematic review summarizes the effect of combined exercise and nutrition intervention on muscle mass and muscle function. A total of 37 RCTs were identified. Results indicate that physical exercise has a positive impact on muscle mass and muscle function in subjects aged 65 years and older. However, any interactive effect of dietary supplementation appears to be limited. Introduction: In 2013, Denison et al. conducted a systematic review including 17 randomized controlled trials (RCTs) to explore the effect of combined exercise and nutrition intervention to improve muscle mass, muscle strength, or physical performance in older people. They concluded that further studies were needed to provide evidence upon which public health and clinical recommendations could be based. The purpose of the present work was to update the prior systematic review and include studies published up to October 2015. Methods: Using the electronic databases MEDLINE and EMBASE, we identified RCTs which assessed the combined effect of exercise training and nutritional supplementation on muscle strength, muscle mass, or physical performance in subjects aged 60 years and over. Study selection and data extraction were performed by two independent reviewers. Results: The search strategy identified 21 additional RCTs giving a total of 37 RCTs. Studies were heterogeneous in terms of protocols for physical exercise and dietary supplementation (proteins, essential amino acids, creatine, β-hydroxy-β-methylbuthyrate, vitamin D, multi-nutrients, or other). In 79% of the studies (27/34 RCTs), muscle mass increased with exercise but an additional effect of nutrition was only found in 8 RCTs (23.5%). Muscle strength increased in 82.8% of the studies (29/35 RCTs) following exercise intervention, and dietary supplementation showed additional benefits in only a small number of studies (8/35 RCTS, 22.8%). Finally, the majority of studies showed an increase of physical performance following exercise intervention (26/28 RCTs, 92.8%) but interaction with nutrition supplementation was only found in 14.3% of these studies (4/28 RCTs). Conclusion: Physical exercise has a positive impact on muscle mass and muscle function in healthy subjects aged 60 years and older. The biggest effect of exercise intervention, of any type, has been seen on physical performance (gait speed, chair rising test, balance, SPPB test, etc.). We observed huge variations in regard to the dieta…","author":[{"dropping-particle":"","family":"Beaudart","given":"C.","non-dropping-particle":"","parse-names":false,"suffix":""},{"dropping-particle":"","family":"Dawson","given":"A.","non-dropping-particle":"","parse-names":false,"suffix":""},{"dropping-particle":"","family":"Shaw","given":"S.C.","non-dropping-particle":"","parse-names":false,"suffix":""},{"dropping-particle":"","family":"Harvey","given":"N.C.","non-dropping-particle":"","parse-names":false,"suffix":""},{"dropping-particle":"","family":"Kanis","given":"J.A.","non-dropping-particle":"","parse-names":false,"suffix":""},{"dropping-particle":"","family":"Binkley","given":"N.","non-dropping-particle":"","parse-names":false,"suffix":""},{"dropping-particle":"","family":"Reginster","given":"J.Y.","non-dropping-particle":"","parse-names":false,"suffix":""},{"dropping-particle":"","family":"Chapurlat","given":"R.","non-dropping-particle":"","parse-names":false,"suffix":""},{"dropping-particle":"","family":"Chan","given":"D.C.","non-dropping-particle":"","parse-names":false,"suffix":""},{"dropping-particle":"","family":"Bruyère","given":"O.","non-dropping-particle":"","parse-names":false,"suffix":""},{"dropping-particle":"","family":"Rizzoli","given":"R.","non-dropping-particle":"","parse-names":false,"suffix":""},{"dropping-particle":"","family":"Cooper","given":"C.","non-dropping-particle":"","parse-names":false,"suffix":""},{"dropping-particle":"","family":"Dennison","given":"E.M.","non-dropping-particle":"","parse-names":false,"suffix":""},{"dropping-particle":"","family":"Adib","given":"G.","non-dropping-particle":"","parse-names":false,"suffix":""},{"dropping-particle":"","family":"Brandi","given":"M.L.","non-dropping-particle":"","parse-names":false,"suffix":""},{"dropping-particle":"","family":"Chevalley","given":"T.","non-dropping-particle":"","parse-names":false,"suffix":""},{"dropping-particle":"","family":"Clark","given":"P.","non-dropping-particle":"","parse-names":false,"suffix":""},{"dropping-particle":"","family":"Dawson-Hughes","given":"B.","non-dropping-particle":"","parse-names":false,"suffix":""},{"dropping-particle":"","family":"Maghraoui","given":"A.","non-dropping-particle":"El","parse-names":false,"suffix":""},{"dropping-particle":"","family":"Engelke","given":"K.","non-dropping-particle":"","parse-names":false,"suffix":""},{"dropping-particle":"","family":"Fielding","given":"R.","non-dropping-particle":"","parse-names":false,"suffix":""},{"dropping-particle":"","family":"Foldes","given":"A.J.","non-dropping-particle":"","parse-names":false,"suffix":""},{"dropping-particle":"","family":"Gugliemi","given":"G.","non-dropping-particle":"","parse-names":false,"suffix":""},{"dropping-particle":"","family":"Kaufman","given":"J.M.","non-dropping-particle":"","parse-names":false,"suffix":""},{"dropping-particle":"","family":"Larijani","given":"B.","non-dropping-particle":"","parse-names":false,"suffix":""},{"dropping-particle":"","family":"Lems","given":"W.","non-dropping-particle":"","parse-names":false,"suffix":""},{"dropping-particle":"","family":"Loon","given":"L.J.C.","non-dropping-particle":"van","parse-names":false,"suffix":""},{"dropping-particle":"","family":"Lyritis","given":"G.P.","non-dropping-particle":"","parse-names":false,"suffix":""},{"dropping-particle":"","family":"Maggi","given":"S.","non-dropping-particle":"","parse-names":false,"suffix":""},{"dropping-particle":"","family":"Masi","given":"L.","non-dropping-particle":"","parse-names":false,"suffix":""},{"dropping-particle":"","family":"McCloskey","given":"E.","non-dropping-particle":"","parse-names":false,"suffix":""},{"dropping-particle":"","family":"Messina","given":"O.D.","non-dropping-particle":"","parse-names":false,"suffix":""},{"dropping-particle":"","family":"Papaioannou","given":"A.","non-dropping-particle":"","parse-names":false,"suffix":""},{"dropping-particle":"","family":"Szulc","given":"P.","non-dropping-particle":"","parse-names":false,"suffix":""},{"dropping-particle":"","family":"Veronese","given":"N.","non-dropping-particle":"","parse-names":false,"suffix":""}],"container-title":"Osteoporosis International","id":"ITEM-1","issue":"6","issued":{"date-parts":[["2017"]]},"title":"Nutrition and physical activity in the prevention and treatment of sarcopenia: systematic review","type":"article-journal","volume":"28"},"uris":["http://www.mendeley.com/documents/?uuid=1419442f-4765-3cf8-ac18-bce996ae1edf","http://www.mendeley.com/documents/?uuid=89c4579e-0381-4515-b614-f335a91bd614"]},{"id":"ITEM-2","itemData":{"DOI":"10.1093/ageing/afu115","ISBN":"1468-2834 (Electronic)\r0002-0729 (Linking)","ISSN":"1468-2834","PMID":"25241753","abstract":"OBJECTIVE: to examine the clinical evidence reporting the prevalence of sarcopenia and the effect of nutrition and exercise interventions from studies using the consensus definition of sarcopenia proposed by the European Working Group on Sarcopenia in Older People (EWGSOP). METHODS: PubMed and Dialog databases were searched (January 2000-October 2013) using pre-defined search terms. Prevalence studies and intervention studies investigating muscle mass plus strength or function outcome measures using the EWGSOP definition of sarcopenia, in well-defined populations of adults aged &gt;/=50 years were selected. RESULTS: prevalence of sarcopenia was, with regional and age-related variations, 1-29% in community-dwelling populations, 14-33% in long-term care populations and 10% in the only acute hospital-care population examined. Moderate quality evidence suggests that exercise interventions improve muscle strength and physical performance. The results of nutrition interventions are equivocal due to the low number of studies and heterogeneous study design. Essential amino acid (EAA) supplements, including approximately 2.5 g of leucine, and beta-hydroxy beta-methylbutyric acid (HMB) supplements, show some effects in improving muscle mass and function parameters. Protein supplements have not shown consistent benefits on muscle mass and function. CONCLUSION: prevalence of sarcopenia is substantial in most geriatric settings. Well-designed, standardised studies evaluating exercise or nutrition interventions are needed before treatment guidelines can be developed. Physicians should screen for sarcopenia in both community and geriatric settings, with diagnosis based on muscle mass and function. Supervised resistance exercise is recommended for individuals with sarcopenia. EAA (with leucine) and HMB may improve muscle outcomes.","author":[{"dropping-particle":"","family":"Cruz-Jentoft","given":"Alfonso J","non-dropping-particle":"","parse-names":false,"suffix":""},{"dropping-particle":"","family":"Landi","given":"Francesco","non-dropping-particle":"","parse-names":false,"suffix":""},{"dropping-particle":"","family":"Schneider","given":"Stéphane M","non-dropping-particle":"","parse-names":false,"suffix":""},{"dropping-particle":"","family":"Zúñiga","given":"Clemente","non-dropping-particle":"","parse-names":false,"suffix":""},{"dropping-particle":"","family":"Arai","given":"Hidenori","non-dropping-particle":"","parse-names":false,"suffix":""},{"dropping-particle":"","family":"Boirie","given":"Yves","non-dropping-particle":"","parse-names":false,"suffix":""},{"dropping-particle":"","family":"Chen","given":"Liang-Kung K","non-dropping-particle":"","parse-names":false,"suffix":""},{"dropping-particle":"","family":"Fielding","given":"Roger A","non-dropping-particle":"","parse-names":false,"suffix":""},{"dropping-particle":"","family":"Martin","given":"Finbarr C","non-dropping-particle":"","parse-names":false,"suffix":""},{"dropping-particle":"","family":"Michel","given":"Jean-Pierre P","non-dropping-particle":"","parse-names":false,"suffix":""},{"dropping-particle":"","family":"Sieber","given":"Cornel","non-dropping-particle":"","parse-names":false,"suffix":""},{"dropping-particle":"","family":"Stout","given":"Jeffrey R","non-dropping-particle":"","parse-names":false,"suffix":""},{"dropping-particle":"","family":"Studenski","given":"Stephanie A","non-dropping-particle":"","parse-names":false,"suffix":""},{"dropping-particle":"","family":"Vellas","given":"Bruno","non-dropping-particle":"","parse-names":false,"suffix":""},{"dropping-particle":"","family":"Woo","given":"Jean","non-dropping-particle":"","parse-names":false,"suffix":""},{"dropping-particle":"","family":"Zamboni","given":"Mauro","non-dropping-particle":"","parse-names":false,"suffix":""},{"dropping-particle":"","family":"Cederholm","given":"Tommy","non-dropping-particle":"","parse-names":false,"suffix":""},{"dropping-particle":"","family":"Zuniga","given":"C","non-dropping-particle":"","parse-names":false,"suffix":""},{"dropping-particle":"","family":"Arai","given":"Hidenori","non-dropping-particle":"","parse-names":false,"suffix":""},{"dropping-particle":"","family":"Boirie","given":"Yves","non-dropping-particle":"","parse-names":false,"suffix":""},{"dropping-particle":"","family":"Chen","given":"Liang-Kung K","non-dropping-particle":"","parse-names":false,"suffix":""},{"dropping-particle":"","family":"Fielding","given":"Roger A","non-dropping-particle":"","parse-names":false,"suffix":""},{"dropping-particle":"","family":"Martin","given":"Finbarr C","non-dropping-particle":"","parse-names":false,"suffix":""},{"dropping-particle":"","family":"Michel","given":"Jean-Pierre P","non-dropping-particle":"","parse-names":false,"suffix":""},{"dropping-particle":"","family":"Sieber","given":"Cornel","non-dropping-particle":"","parse-names":false,"suffix":""},{"dropping-particle":"","family":"Stout","given":"Jeffrey R","non-dropping-particle":"","parse-names":false,"suffix":""},{"dropping-particle":"","family":"Studenski","given":"Stephanie A","non-dropping-particle":"","parse-names":false,"suffix":""},{"dropping-particle":"","family":"Vellas","given":"Bruno","non-dropping-particle":"","parse-names":false,"suffix":""},{"dropping-particle":"","family":"Woo","given":"Jean","non-dropping-particle":"","parse-names":false,"suffix":""},{"dropping-particle":"","family":"Zamboni","given":"Mauro","non-dropping-particle":"","parse-names":false,"suffix":""},{"dropping-particle":"","family":"Cederholm","given":"Tommy","non-dropping-particle":"","parse-names":false,"suffix":""}],"container-title":"Age and ageing","edition":"2014/09/23","id":"ITEM-2","issue":"6","issued":{"date-parts":[["2014","11"]]},"language":"Eng","note":"From Duplicate 2 (Prevalence of and interventions for sarcopenia in ageing adults: a systematic review. Report of the International Sarcopenia Initiative (EWGSOP and IWGS) - Cruz-Jentoft, Alfonso J; Landi, Francesco; Schneider, Stéphane M; Zúñiga, Clemente; Arai, Hidenori; Boirie, Yves; Chen, Liang-Kung K; Fielding, Roger A; Martin, Finbarr C; Michel, Jean-Pierre P; Sieber, Cornel; Stout, Jeffrey R; Studenski, Stephanie A; Vellas, Bruno; Woo, Jean; Zamboni, Mauro; Cederholm, Tommy; Zuniga, C; Arai, Hidenori; Boirie, Yves; Chen, Liang-Kung K; Fielding, Roger A; Martin, Finbarr C; Michel, Jean-Pierre P; Sieber, Cornel; Stout, Jeffrey R; Studenski, Stephanie A; Vellas, Bruno; Woo, Jean; Zamboni, Mauro; Cederholm, Tommy)\n\nFrom Duplicate 1 (Prevalence of and interventions for sarcopenia in ageing adults: a systematic review. Report of the International Sarcopenia Initiative (EWGSOP and IWGS) - Cruz-Jentoft, A J; Landi, F; Schneider, S M; Zuniga, C; Arai, H; Boirie, Y; Chen, L K; Fielding, R A; Martin, F C; Michel, J P; Sieber, C; Stout, J R; Studenski, S A; Vellas, B; Woo, J; Zamboni, M; Cederholm, T)\nAnd Duplicate 2 (Prevalence of and interventions for sarcopenia in ageing adults: a systematic review. Report of the International Sarcopenia Initiative (EWGSOP and IWGS) - Cruz-Jentoft, A J; Landi, F; Schneider, S M; Zuniga, C; Arai, H; Boirie, Y; Chen, L K; Fielding, R A; Martin, F C; Michel, J P; Sieber, C; Stout, J R; Studenski, S A; Vellas, B; Woo, J; Zamboni, M; Cederholm, T)\nAnd Duplicate 3 (Prevalence of and interventions for sarcopenia in ageing adults: a systematic review. Report of the International Sarcopenia Initiative (EWGSOP and IWGS) - Cruz-Jentoft, A J; Landi, F; Schneider, S M; Zuniga, C; Arai, H; Boirie, Y; Chen, L K; Fielding, R A; Martin, F C; Michel, J P; Sieber, C; Stout, J R; Studenski, S A; Vellas, B; Woo, J; Zamboni, M; Cederholm, T)\n\nCruz-Jentoft, Alfonso J\nLandi, Francesco\nSchneider, Stephane M\nZuniga, Clemente\nArai, Hidenori\nBoirie, Yves\nChen, Liang-Kung\nFielding, Roger A\nMartin, Finbarr C\nMichel, Jean-Pierre\nSieber, Cornel\nStout, Jeffrey R\nStudenski, Stephanie A\nVellas, Bruno\nWoo, Jean\nZamboni, Mauro\nCederholm, Tommy\nAge Ageing. 2014 Sep 21. pii: afu115.","page":"748-59","title":"Prevalence of and interventions for sarcopenia in ageing adults: a systematic review. Report of the International Sarcopenia Initiative (EWGSOP and IWGS)","type":"article-journal","volume":"43"},"uris":["http://www.mendeley.com/documents/?uuid=c932a0b0-1e67-4ab7-82a4-2fa81615faf5"]}],"mendeley":{"formattedCitation":"[14, 62]","plainTextFormattedCitation":"[14, 62]","previouslyFormattedCitation":"[14, 60]"},"properties":{"noteIndex":0},"schema":"https://github.com/citation-style-language/schema/raw/master/csl-citation.json"}</w:instrText>
      </w:r>
      <w:r w:rsidR="002B3892" w:rsidRPr="00B9449F">
        <w:rPr>
          <w:rFonts w:ascii="Palatino Linotype" w:hAnsi="Palatino Linotype"/>
          <w:lang w:val="en-GB"/>
        </w:rPr>
        <w:fldChar w:fldCharType="separate"/>
      </w:r>
      <w:r w:rsidR="009D3AAF" w:rsidRPr="009D3AAF">
        <w:rPr>
          <w:rFonts w:ascii="Palatino Linotype" w:hAnsi="Palatino Linotype"/>
          <w:noProof/>
          <w:lang w:val="en-GB"/>
        </w:rPr>
        <w:t>[14, 62]</w:t>
      </w:r>
      <w:r w:rsidR="002B3892" w:rsidRPr="00B9449F">
        <w:rPr>
          <w:rFonts w:ascii="Palatino Linotype" w:hAnsi="Palatino Linotype"/>
          <w:lang w:val="en-GB"/>
        </w:rPr>
        <w:fldChar w:fldCharType="end"/>
      </w:r>
      <w:r w:rsidR="007F5830" w:rsidRPr="00B9449F">
        <w:rPr>
          <w:rFonts w:ascii="Palatino Linotype" w:hAnsi="Palatino Linotype"/>
          <w:lang w:val="en-GB"/>
        </w:rPr>
        <w:t xml:space="preserve">. </w:t>
      </w:r>
    </w:p>
    <w:p w14:paraId="2CDD1AD3" w14:textId="77777777" w:rsidR="00B35C96" w:rsidRPr="00B9449F" w:rsidRDefault="00B35C96" w:rsidP="004D1C13">
      <w:pPr>
        <w:jc w:val="both"/>
        <w:rPr>
          <w:rFonts w:ascii="Palatino Linotype" w:hAnsi="Palatino Linotype"/>
          <w:b/>
          <w:bCs/>
          <w:lang w:val="en-GB"/>
        </w:rPr>
      </w:pPr>
      <w:r w:rsidRPr="00B9449F">
        <w:rPr>
          <w:rFonts w:ascii="Palatino Linotype" w:hAnsi="Palatino Linotype"/>
          <w:b/>
          <w:bCs/>
          <w:lang w:val="en-GB"/>
        </w:rPr>
        <w:t>Nutrition/Exercise/polypharmacy record</w:t>
      </w:r>
    </w:p>
    <w:p w14:paraId="11AF89F2" w14:textId="1EE7D776" w:rsidR="0029214C" w:rsidRDefault="00B9449F" w:rsidP="004D1C13">
      <w:pPr>
        <w:jc w:val="both"/>
        <w:rPr>
          <w:rFonts w:ascii="Palatino Linotype" w:hAnsi="Palatino Linotype"/>
          <w:lang w:val="en-GB"/>
        </w:rPr>
      </w:pPr>
      <w:r>
        <w:rPr>
          <w:rFonts w:ascii="Palatino Linotype" w:hAnsi="Palatino Linotype"/>
          <w:lang w:val="en-GB"/>
        </w:rPr>
        <w:t>R</w:t>
      </w:r>
      <w:r w:rsidR="002E550E">
        <w:rPr>
          <w:rFonts w:ascii="Palatino Linotype" w:hAnsi="Palatino Linotype"/>
          <w:lang w:val="en-GB"/>
        </w:rPr>
        <w:t>andomized controlled trials</w:t>
      </w:r>
      <w:r>
        <w:rPr>
          <w:rFonts w:ascii="Palatino Linotype" w:hAnsi="Palatino Linotype"/>
          <w:lang w:val="en-GB"/>
        </w:rPr>
        <w:t>, despite being the best design for both Phase II and Phase III trials</w:t>
      </w:r>
      <w:r w:rsidR="0029214C">
        <w:rPr>
          <w:rFonts w:ascii="Palatino Linotype" w:hAnsi="Palatino Linotype"/>
          <w:lang w:val="en-GB"/>
        </w:rPr>
        <w:t xml:space="preserve">, would have to address numerous cofounders. Important exogenous confounders that </w:t>
      </w:r>
      <w:r w:rsidR="009E0596">
        <w:rPr>
          <w:rFonts w:ascii="Palatino Linotype" w:hAnsi="Palatino Linotype"/>
          <w:lang w:val="en-GB"/>
        </w:rPr>
        <w:t>formally require consideration</w:t>
      </w:r>
      <w:r w:rsidR="0029214C">
        <w:rPr>
          <w:rFonts w:ascii="Palatino Linotype" w:hAnsi="Palatino Linotype"/>
          <w:lang w:val="en-GB"/>
        </w:rPr>
        <w:t xml:space="preserve"> are nutritional status, </w:t>
      </w:r>
      <w:r w:rsidR="00515306">
        <w:rPr>
          <w:rFonts w:ascii="Palatino Linotype" w:hAnsi="Palatino Linotype"/>
          <w:lang w:val="en-GB"/>
        </w:rPr>
        <w:t>physical activity level</w:t>
      </w:r>
      <w:r w:rsidR="005E681F">
        <w:rPr>
          <w:rFonts w:ascii="Palatino Linotype" w:hAnsi="Palatino Linotype"/>
          <w:lang w:val="en-GB"/>
        </w:rPr>
        <w:t xml:space="preserve">, </w:t>
      </w:r>
      <w:r w:rsidR="00C850A1">
        <w:rPr>
          <w:rFonts w:ascii="Palatino Linotype" w:hAnsi="Palatino Linotype"/>
          <w:lang w:val="en-GB"/>
        </w:rPr>
        <w:t xml:space="preserve">dietary pattern, </w:t>
      </w:r>
      <w:r w:rsidR="005E681F">
        <w:rPr>
          <w:rFonts w:ascii="Palatino Linotype" w:hAnsi="Palatino Linotype"/>
          <w:lang w:val="en-GB"/>
        </w:rPr>
        <w:t>comorbidities</w:t>
      </w:r>
      <w:r w:rsidR="001F1F65">
        <w:rPr>
          <w:rFonts w:ascii="Palatino Linotype" w:hAnsi="Palatino Linotype"/>
          <w:lang w:val="en-GB"/>
        </w:rPr>
        <w:t xml:space="preserve"> and </w:t>
      </w:r>
      <w:r w:rsidR="00F5271B">
        <w:rPr>
          <w:rFonts w:ascii="Palatino Linotype" w:hAnsi="Palatino Linotype"/>
          <w:lang w:val="en-GB"/>
        </w:rPr>
        <w:t>co-prescriptions.</w:t>
      </w:r>
      <w:r w:rsidR="008B7769" w:rsidRPr="008B7769">
        <w:rPr>
          <w:rFonts w:ascii="Palatino Linotype" w:hAnsi="Palatino Linotype"/>
          <w:lang w:val="en-GB"/>
        </w:rPr>
        <w:t xml:space="preserve"> </w:t>
      </w:r>
      <w:r w:rsidR="008B7769">
        <w:rPr>
          <w:rFonts w:ascii="Palatino Linotype" w:hAnsi="Palatino Linotype"/>
          <w:lang w:val="en-GB"/>
        </w:rPr>
        <w:t>If possible, these confounding factors should be equally matched across treatment arms.</w:t>
      </w:r>
      <w:r w:rsidR="00F5271B" w:rsidRPr="009E0596">
        <w:rPr>
          <w:rFonts w:ascii="Palatino Linotype" w:hAnsi="Palatino Linotype"/>
          <w:lang w:val="en-GB"/>
        </w:rPr>
        <w:t xml:space="preserve"> Since despite</w:t>
      </w:r>
      <w:r w:rsidR="00F5271B" w:rsidRPr="00F5271B">
        <w:rPr>
          <w:rFonts w:ascii="Calibri" w:hAnsi="Calibri" w:cs="Calibri"/>
          <w:color w:val="000000"/>
          <w:shd w:val="clear" w:color="auto" w:fill="FDFCFA"/>
          <w:lang w:val="en-GB"/>
        </w:rPr>
        <w:t xml:space="preserve"> </w:t>
      </w:r>
      <w:r w:rsidR="00F5271B" w:rsidRPr="009E0596">
        <w:rPr>
          <w:rFonts w:ascii="Palatino Linotype" w:hAnsi="Palatino Linotype"/>
          <w:lang w:val="en-GB"/>
        </w:rPr>
        <w:t xml:space="preserve">randomisation, baseline characteristics may differ </w:t>
      </w:r>
      <w:r w:rsidR="00316D12">
        <w:rPr>
          <w:rFonts w:ascii="Palatino Linotype" w:hAnsi="Palatino Linotype"/>
          <w:lang w:val="en-GB"/>
        </w:rPr>
        <w:t>between</w:t>
      </w:r>
      <w:r w:rsidR="00F5271B" w:rsidRPr="009E0596">
        <w:rPr>
          <w:rFonts w:ascii="Palatino Linotype" w:hAnsi="Palatino Linotype"/>
          <w:lang w:val="en-GB"/>
        </w:rPr>
        <w:t xml:space="preserve"> the intervention and the control group, appropriate adjustments for these differences need to be considered in the main analyses.  Some subgroups might be more sensitive to the intervention than the general population. It is the responsibility of the applicant to take this possibility into account.</w:t>
      </w:r>
    </w:p>
    <w:p w14:paraId="3FD58B9C" w14:textId="365C10CA" w:rsidR="00515306" w:rsidRDefault="00515306" w:rsidP="00515306">
      <w:pPr>
        <w:jc w:val="both"/>
        <w:rPr>
          <w:rFonts w:ascii="Palatino Linotype" w:hAnsi="Palatino Linotype"/>
          <w:lang w:val="en-GB"/>
        </w:rPr>
      </w:pPr>
      <w:r w:rsidRPr="00764727">
        <w:rPr>
          <w:rFonts w:ascii="Palatino Linotype" w:hAnsi="Palatino Linotype"/>
          <w:lang w:val="en-GB"/>
        </w:rPr>
        <w:t xml:space="preserve">Ageing is associated with </w:t>
      </w:r>
      <w:r w:rsidR="00D70030">
        <w:rPr>
          <w:rFonts w:ascii="Palatino Linotype" w:hAnsi="Palatino Linotype"/>
          <w:lang w:val="en-GB"/>
        </w:rPr>
        <w:t>anabolic resistance</w:t>
      </w:r>
      <w:r w:rsidR="00446B60">
        <w:rPr>
          <w:rFonts w:ascii="Palatino Linotype" w:hAnsi="Palatino Linotype"/>
          <w:lang w:val="en-GB"/>
        </w:rPr>
        <w:fldChar w:fldCharType="begin" w:fldLock="1"/>
      </w:r>
      <w:r w:rsidR="009D3AAF">
        <w:rPr>
          <w:rFonts w:ascii="Palatino Linotype" w:hAnsi="Palatino Linotype"/>
          <w:lang w:val="en-GB"/>
        </w:rPr>
        <w:instrText>ADDIN CSL_CITATION {"citationItems":[{"id":"ITEM-1","itemData":{"DOI":"10.1007/S13539-012-0068-4","PMID":"22589021","author":[{"dropping-particle":"","family":"Haran","given":"Prashanth H.","non-dropping-particle":"","parse-names":false,"suffix":""},{"dropping-particle":"","family":"Rivas","given":"Donato A.","non-dropping-particle":"","parse-names":false,"suffix":""},{"dropping-particle":"","family":"Fielding","given":"Roger A.","non-dropping-particle":"","parse-names":false,"suffix":""}],"container-title":"Journal of Cachexia, Sarcopenia and Muscle","id":"ITEM-1","issue":"3","issued":{"date-parts":[["2012"]]},"page":"157","publisher":"Wiley-Blackwell","title":"Role and potential mechanisms of anabolic resistance in sarcopenia","type":"article-journal","volume":"3"},"uris":["http://www.mendeley.com/documents/?uuid=30aa0744-e85f-361e-85fd-656836444088"]}],"mendeley":{"formattedCitation":"[70]","plainTextFormattedCitation":"[70]","previouslyFormattedCitation":"[68]"},"properties":{"noteIndex":0},"schema":"https://github.com/citation-style-language/schema/raw/master/csl-citation.json"}</w:instrText>
      </w:r>
      <w:r w:rsidR="00446B60">
        <w:rPr>
          <w:rFonts w:ascii="Palatino Linotype" w:hAnsi="Palatino Linotype"/>
          <w:lang w:val="en-GB"/>
        </w:rPr>
        <w:fldChar w:fldCharType="separate"/>
      </w:r>
      <w:r w:rsidR="009D3AAF" w:rsidRPr="009D3AAF">
        <w:rPr>
          <w:rFonts w:ascii="Palatino Linotype" w:hAnsi="Palatino Linotype"/>
          <w:noProof/>
          <w:lang w:val="en-GB"/>
        </w:rPr>
        <w:t>[70]</w:t>
      </w:r>
      <w:r w:rsidR="00446B60">
        <w:rPr>
          <w:rFonts w:ascii="Palatino Linotype" w:hAnsi="Palatino Linotype"/>
          <w:lang w:val="en-GB"/>
        </w:rPr>
        <w:fldChar w:fldCharType="end"/>
      </w:r>
      <w:r w:rsidR="00D70030">
        <w:rPr>
          <w:rFonts w:ascii="Palatino Linotype" w:hAnsi="Palatino Linotype"/>
          <w:lang w:val="en-GB"/>
        </w:rPr>
        <w:t xml:space="preserve">. </w:t>
      </w:r>
      <w:r w:rsidR="00764727">
        <w:rPr>
          <w:rFonts w:ascii="Palatino Linotype" w:hAnsi="Palatino Linotype"/>
          <w:lang w:val="en-GB"/>
        </w:rPr>
        <w:t xml:space="preserve">Factors such as </w:t>
      </w:r>
      <w:r>
        <w:rPr>
          <w:rFonts w:ascii="Palatino Linotype" w:hAnsi="Palatino Linotype"/>
          <w:lang w:val="en-GB"/>
        </w:rPr>
        <w:t>protein intake</w:t>
      </w:r>
      <w:r w:rsidR="00764727" w:rsidRPr="00764727">
        <w:rPr>
          <w:rFonts w:ascii="Palatino Linotype" w:hAnsi="Palatino Linotype"/>
          <w:lang w:val="en-GB"/>
        </w:rPr>
        <w:t>, vitamin D/calcium, and the acid–base balance of the diet, play an important role in maintaining muscle mass and, muscle strength and physical performance</w:t>
      </w:r>
      <w:r w:rsidR="00421ECC">
        <w:rPr>
          <w:rFonts w:ascii="Palatino Linotype" w:hAnsi="Palatino Linotype"/>
          <w:lang w:val="en-GB"/>
        </w:rPr>
        <w:t xml:space="preserve"> </w:t>
      </w:r>
      <w:r w:rsidR="008918C7">
        <w:rPr>
          <w:rFonts w:ascii="Palatino Linotype" w:hAnsi="Palatino Linotype"/>
          <w:lang w:val="en-GB"/>
        </w:rPr>
        <w:fldChar w:fldCharType="begin" w:fldLock="1"/>
      </w:r>
      <w:r w:rsidR="009D3AAF">
        <w:rPr>
          <w:rFonts w:ascii="Palatino Linotype" w:hAnsi="Palatino Linotype"/>
          <w:lang w:val="en-GB"/>
        </w:rPr>
        <w:instrText>ADDIN CSL_CITATION {"citationItems":[{"id":"ITEM-1","itemData":{"DOI":"10.1016/J.CLNU.2015.11.013","ISSN":"0261-5614","abstract":"BACKGROUND &amp; AIM\nSarcopenia, the age-related decrease in muscle mass, strength, and function, is a main cause of reduced mobility, increased falls, fractures and nursing home admissions. Cross-sectional and prospective studies indicate that sarcopenia may be influenced in part by reversible factors like nutritional intake. The aim of this study was to compare functional and nutritional status, body composition, and quality of life of older adults between age and sex-matched older adults with and without sarcopenia. \n\nMETHODS\nIn a multi-centre setting, non-sarcopenic older adults (n = 66, mean ± SD: 71 ± 4 y), i.e. Short Physical Performance Battery (SPPB): 11–12 and normal skeletal muscle mass index, were recruited to match 1:1 by age and sex to previously recruited adults with sarcopenia: SPPB 4–9 and low skeletal muscle mass index. Health-related quality of life, self-reported physical activity levels and dietary intakes were measured using the EQ-5D scale and index, Physical Activity Scale for the Elderly (PASE), and 3-day prospective diet records, respectively. Concentrations of 25-OH-vitamin D, α-tocopherol (adjusted for cholesterol), folate, and vitamin B-12 were assessed in serum samples. \n\nRESULTS\nIn addition to the defined components of sarcopenia, i.e. muscle mass, strength and function, reported physical activity levels and health-related quality of life were lower in the sarcopenic adults (p &lt; 0.001). For similar energy intakes (mean ± SD: sarcopenic, 1710 ± 418; non-sarcopenic, 1745 ± 513, p = 0.50), the sarcopenic group consumed less protein/kg (−6%), vitamin D (−38%), vitamin B-12 (−22%), magnesium (−6%), phosphorus (−5%), and selenium (−2%) (all p &lt; 0.05) compared to the non-sarcopenic controls. The serum concentration of vitamin B-12 was 15% lower in the sarcopenic group (p = 0.015), and all other nutrient concentrations were similar between groups. \n\nCONCLUSIONS\nIn non-malnourished older adults with and without sarcopenia, we observed that sarcopenia substantially impacted self-reported quality of life and physical activity levels. Differences in nutrient concentrations and dietary intakes were identified, which might be related to the differences in muscle mass, strength and function between the two groups. This study provides information to help strengthen the characterization of this geriatric syndrome sarcopenia and indicates potential target areas for nutritional interventions.","author":[{"dropping-particle":"","family":"Verlaan","given":"Sjors","non-dropping-particle":"","parse-names":false,"suffix":""},{"dropping-particle":"","family":"Aspray","given":"Terry J.","non-dropping-particle":"","parse-names":false,"suffix":""},{"dropping-particle":"","family":"Bauer","given":"Juergen M.","non-dropping-particle":"","parse-names":false,"suffix":""},{"dropping-particle":"","family":"Cederholm","given":"Tommy","non-dropping-particle":"","parse-names":false,"suffix":""},{"dropping-particle":"","family":"Hemsworth","given":"Jaimie","non-dropping-particle":"","parse-names":false,"suffix":""},{"dropping-particle":"","family":"Hill","given":"Tom R.","non-dropping-particle":"","parse-names":false,"suffix":""},{"dropping-particle":"","family":"McPhee","given":"Jamie S.","non-dropping-particle":"","parse-names":false,"suffix":""},{"dropping-particle":"","family":"Piasecki","given":"Mathew","non-dropping-particle":"","parse-names":false,"suffix":""},{"dropping-particle":"","family":"Seal","given":"Chris","non-dropping-particle":"","parse-names":false,"suffix":""},{"dropping-particle":"","family":"Sieber","given":"Cornel C.","non-dropping-particle":"","parse-names":false,"suffix":""},{"dropping-particle":"","family":"Borg","given":"Sovianne","non-dropping-particle":"ter","parse-names":false,"suffix":""},{"dropping-particle":"","family":"Wijers","given":"Sander L.","non-dropping-particle":"","parse-names":false,"suffix":""},{"dropping-particle":"","family":"Brandt","given":"Kirsten","non-dropping-particle":"","parse-names":false,"suffix":""}],"container-title":"Clinical Nutrition","id":"ITEM-1","issue":"1","issued":{"date-parts":[["2017","2"]]},"page":"267-274","publisher":"Churchill Livingstone","title":"Nutritional status, body composition, and quality of life in community-dwelling sarcopenic and non-sarcopenic older adults: A case-control study","type":"article-journal","volume":"36"},"uris":["http://www.mendeley.com/documents/?uuid=14249918-9237-42d9-8461-19698e64f33a","http://www.mendeley.com/documents/?uuid=bccb0b8b-d8e9-4661-8565-b2ae561eb9c8"]},{"id":"ITEM-2","itemData":{"DOI":"10.1016/j.maturitas.2014.07.005","ISSN":"1873-4111","PMID":"25082206","abstract":"From 50 years of age, postmenopausal women are at an increased risk of developing sarcopenia and osteoporosis as a result of deterioration of musculoskeletal health. Both disorders increase the risk of falls and fractures. The risk of developing sarcopenia and osteoporosis may be attenuated through healthy lifestyle changes, which include adequate dietary protein, calcium and vitamin D intakes, and regular physical activity/exercise, besides hormone replacement therapy when appropriate. Protein intake and physical activity are the main anabolic stimuli for muscle protein synthesis. Exercise training leads to increased muscle mass and strength, and the combination of optimal protein intake and exercise produces a greater degree of muscle protein accretion than either intervention alone. Similarly, adequate dietary protein intake and resistance exercise are important contributors to the maintenance of bone strength. Vitamin D helps to maintain muscle mass and strength as well as bone health. These findings suggest that healthy lifestyle measures in women aged &gt;50 years are essential to allow healthy ageing. The European Society for Clinical and Economic Aspects of Osteoporosis and Osteoarthritis (ESCEO) recommends optimal dietary protein intake of 1.0-1.2g/kgbodyweight/d with at least 20-25g of high-quality protein at each main meal, with adequate vitamin D intake at 800IU/d to maintain serum 25-hydroxyvitamin D levels &gt;50nmol/L as well as calcium intake of 1000mg/d, alongside regular physical activity/exercise 3-5 times/week combined with protein intake in close proximity to exercise, in postmenopausal women for prevention of age-related deterioration of musculoskeletal health.","author":[{"dropping-particle":"","family":"Rizzoli","given":"René","non-dropping-particle":"","parse-names":false,"suffix":""},{"dropping-particle":"","family":"Stevenson","given":"John C","non-dropping-particle":"","parse-names":false,"suffix":""},{"dropping-particle":"","family":"Bauer","given":"Jürgen M","non-dropping-particle":"","parse-names":false,"suffix":""},{"dropping-particle":"","family":"Loon","given":"Luc J C","non-dropping-particle":"van","parse-names":false,"suffix":""},{"dropping-particle":"","family":"Walrand","given":"Stéphane","non-dropping-particle":"","parse-names":false,"suffix":""},{"dropping-particle":"","family":"Kanis","given":"John A","non-dropping-particle":"","parse-names":false,"suffix":""},{"dropping-particle":"","family":"Cooper","given":"Cyrus","non-dropping-particle":"","parse-names":false,"suffix":""},{"dropping-particle":"","family":"Brandi","given":"Maria-Luisa","non-dropping-particle":"","parse-names":false,"suffix":""},{"dropping-particle":"","family":"Diez-Perez","given":"Adolfo","non-dropping-particle":"","parse-names":false,"suffix":""},{"dropping-particle":"","family":"Reginster","given":"Jean-Yves","non-dropping-particle":"","parse-names":false,"suffix":""}],"container-title":"Maturitas","id":"ITEM-2","issue":"1","issued":{"date-parts":[["2014","9"]]},"page":"122-32","title":"The role of dietary protein and vitamin D in maintaining musculoskeletal health in postmenopausal women: a consensus statement from the European Society for Clinical and Economic Aspects of Osteoporosis and Osteoarthritis (ESCEO).","type":"article-journal","volume":"79"},"uris":["http://www.mendeley.com/documents/?uuid=1e51d8aa-fca5-4bb1-96f6-6ac386a3d45e","http://www.mendeley.com/documents/?uuid=9990bfe0-19ef-4189-a616-a092e8f0a21b"]},{"id":"ITEM-3","itemData":{"DOI":"10.1097/MCO.0b013e32831cef8b","ISSN":"13631950","abstract":"Purpose of review: To draw attention to recent work on the role of protein and the amount of protein needed with each meal to preserve skeletal muscle mass in ageing. Recent findings: Ageing does not inevitably reduce the anabolic response to a high-quality protein meal. Ingestion of approximately 25-30 g of protein per meal maximally stimulates muscle protein synthesis in both young and older individuals. However, muscle protein synthesis is blunted in elderly when protein and carbohydrate are coingested or when the quantity of protein is less than approximately 20 g per meal. Supplementing regular mixed-nutrient meals with leucine may also enhance the muscle protein synthetic response in elders. Summary: On the basis of recent work, we propose a novel and specific dietary approach to prevent or slow down muscle loss with ageing. Rather than recommending a large, global increase in the recommended dietary allowance (RDA) for protein for all elderly individuals, clinicians should stress the importance of ingesting a sufficient amount of protein with each meal. To maximize muscle protein synthesis while being cognizant of total energy intake, we propose a dietary plan that includes 25-30 g of high quality protein per meal. © 2009 Wolters Kluwer Health | Lippincott Williams &amp; Wilkins.","author":[{"dropping-particle":"","family":"Paddon-Jones","given":"Douglas","non-dropping-particle":"","parse-names":false,"suffix":""},{"dropping-particle":"","family":"Rasmussen","given":"Blake B.","non-dropping-particle":"","parse-names":false,"suffix":""}],"container-title":"Current Opinion in Clinical Nutrition and Metabolic Care","id":"ITEM-3","issue":"1","issued":{"date-parts":[["2009","1"]]},"page":"86-90","publisher":"NIH Public Access","title":"Dietary protein recommendations and the prevention of sarcopenia","type":"article","volume":"12"},"uris":["http://www.mendeley.com/documents/?uuid=f8e6790b-6cee-3aba-a95a-16e5b91c08d9","http://www.mendeley.com/documents/?uuid=860ce68f-af19-4b15-a822-0854088930a0"]},{"id":"ITEM-4","itemData":{"DOI":"10.1016/j.jamda.2012.07.005","ISBN":"1538-9375 (Electronic)\r1525-8610 (Linking)","PMID":"22889730","abstract":"OBJECTIVES: Protein supplementation has been proposed as an effective dietary strategy to increase skeletal muscle mass and improve physical performance in frail elderly people. Our objective was to assess the impact of 24 weeks of dietary protein supplementation on muscle mass, strength, and physical performance in frail elderly people. DESIGN/SETTING/PARTICIPANTS: A total of 65 frail elderly subjects were included and randomly allocated to either daily protein or placebo supplementation (15 g protein at breakfast and lunch). MEASUREMENTS: Skeletal muscle mass (DXA), muscle fiber size (muscle biopsy), strength (1-RM), and physical performance (SPPB) were assessed at baseline, and after 12 and 24 weeks of dietary intervention. RESULTS: Skeletal muscle mass did not change in the protein- (from 45.8 +/- 1.7 to 45.8 +/- 1.7 kg) or placebo-supplemented group (from 46.7 +/- 1.7 to 46.6 +/- 1.7 kg) following 24 weeks of intervention (P &gt; .05). In accordance, type I and II muscle fiber size did not change over time (P &gt; .05). Muscle strength increased significantly in both groups (P &lt; .01), with leg extension strength tending to increase to a greater extent in the protein (57 +/- 5 to 68 +/- 5 kg) compared with the placebo group (57 +/- 5 to 63 +/- 5 kg) (treatment x time interaction effect: P = .059). Physical performance improved significantly from 8.9 +/- 0.6 to 10.0 +/- 0.6 points in the protein group and did not change in the placebo group (from 7.8 +/- 0.6 to 7.9 +/- 0.6 points) (treatment x time interaction effect: P = .02). CONCLUSION: Dietary protein supplementation improves physical performance, but does not increase skeletal muscle mass in frail elderly people.","author":[{"dropping-particle":"","family":"Tieland","given":"M","non-dropping-particle":"","parse-names":false,"suffix":""},{"dropping-particle":"","family":"Rest","given":"O","non-dropping-particle":"van de","parse-names":false,"suffix":""},{"dropping-particle":"","family":"Dirks","given":"M L","non-dropping-particle":"","parse-names":false,"suffix":""},{"dropping-particle":"","family":"Zwaluw","given":"N","non-dropping-particle":"van der","parse-names":false,"suffix":""},{"dropping-particle":"","family":"Mensink","given":"M","non-dropping-particle":"","parse-names":false,"suffix":""},{"dropping-particle":"","family":"Loon","given":"L J","non-dropping-particle":"van","parse-names":false,"suffix":""},{"dropping-particle":"","family":"Groot","given":"L C","non-dropping-particle":"de","parse-names":false,"suffix":""}],"container-title":"J Am Med Dir Assoc","edition":"2012/08/15","id":"ITEM-4","issue":"8","issued":{"date-parts":[["2012"]]},"language":"eng","note":"Tieland, Michael\nvan de Rest, Ondine\nDirks, Marlou L\nvan der Zwaluw, Nikita\nMensink, Marco\nvan Loon, Luc J C\nde Groot, Lisette C P G M\nJ Am Med Dir Assoc. 2012 Oct;13(8):720-6. doi: 10.1016/j.jamda.2012.07.005. Epub 2012 Aug 11.","page":"720-726","title":"Protein supplementation improves physical performance in frail elderly people: a randomized, double-blind, placebo-controlled trial","type":"article-journal","volume":"13"},"uris":["http://www.mendeley.com/documents/?uuid=dee29eeb-710a-4c3d-9997-d023188b33dd","http://www.mendeley.com/documents/?uuid=7df1daf1-fbfc-4a4b-a329-133c605abd6b"]},{"id":"ITEM-5","itemData":{"DOI":"10.1007/s00198-017-3980-9","ISSN":"14332965","abstract":"© 2017, The Author(s). Summary: This systematic review summarizes the effect of combined exercise and nutrition intervention on muscle mass and muscle function. A total of 37 RCTs were identified. Results indicate that physical exercise has a positive impact on muscle mass and muscle function in subjects aged 65 years and older. However, any interactive effect of dietary supplementation appears to be limited. Introduction: In 2013, Denison et al. conducted a systematic review including 17 randomized controlled trials (RCTs) to explore the effect of combined exercise and nutrition intervention to improve muscle mass, muscle strength, or physical performance in older people. They concluded that further studies were needed to provide evidence upon which public health and clinical recommendations could be based. The purpose of the present work was to update the prior systematic review and include studies published up to October 2015. Methods: Using the electronic databases MEDLINE and EMBASE, we identified RCTs which assessed the combined effect of exercise training and nutritional supplementation on muscle strength, muscle mass, or physical performance in subjects aged 60 years and over. Study selection and data extraction were performed by two independent reviewers. Results: The search strategy identified 21 additional RCTs giving a total of 37 RCTs. Studies were heterogeneous in terms of protocols for physical exercise and dietary supplementation (proteins, essential amino acids, creatine, β-hydroxy-β-methylbuthyrate, vitamin D, multi-nutrients, or other). In 79% of the studies (27/34 RCTs), muscle mass increased with exercise but an additional effect of nutrition was only found in 8 RCTs (23.5%). Muscle strength increased in 82.8% of the studies (29/35 RCTs) following exercise intervention, and dietary supplementation showed additional benefits in only a small number of studies (8/35 RCTS, 22.8%). Finally, the majority of studies showed an increase of physical performance following exercise intervention (26/28 RCTs, 92.8%) but interaction with nutrition supplementation was only found in 14.3% of these studies (4/28 RCTs). Conclusion: Physical exercise has a positive impact on muscle mass and muscle function in healthy subjects aged 60 years and older. The biggest effect of exercise intervention, of any type, has been seen on physical performance (gait speed, chair rising test, balance, SPPB test, etc.). We observed huge variations in regard to the dieta…","author":[{"dropping-particle":"","family":"Beaudart","given":"C.","non-dropping-particle":"","parse-names":false,"suffix":""},{"dropping-particle":"","family":"Dawson","given":"A.","non-dropping-particle":"","parse-names":false,"suffix":""},{"dropping-particle":"","family":"Shaw","given":"S.C.","non-dropping-particle":"","parse-names":false,"suffix":""},{"dropping-particle":"","family":"Harvey","given":"N.C.","non-dropping-particle":"","parse-names":false,"suffix":""},{"dropping-particle":"","family":"Kanis","given":"J.A.","non-dropping-particle":"","parse-names":false,"suffix":""},{"dropping-particle":"","family":"Binkley","given":"N.","non-dropping-particle":"","parse-names":false,"suffix":""},{"dropping-particle":"","family":"Reginster","given":"J.Y.","non-dropping-particle":"","parse-names":false,"suffix":""},{"dropping-particle":"","family":"Chapurlat","given":"R.","non-dropping-particle":"","parse-names":false,"suffix":""},{"dropping-particle":"","family":"Chan","given":"D.C.","non-dropping-particle":"","parse-names":false,"suffix":""},{"dropping-particle":"","family":"Bruyère","given":"O.","non-dropping-particle":"","parse-names":false,"suffix":""},{"dropping-particle":"","family":"Rizzoli","given":"R.","non-dropping-particle":"","parse-names":false,"suffix":""},{"dropping-particle":"","family":"Cooper","given":"C.","non-dropping-particle":"","parse-names":false,"suffix":""},{"dropping-particle":"","family":"Dennison","given":"E.M.","non-dropping-particle":"","parse-names":false,"suffix":""},{"dropping-particle":"","family":"Adib","given":"G.","non-dropping-particle":"","parse-names":false,"suffix":""},{"dropping-particle":"","family":"Brandi","given":"M.L.","non-dropping-particle":"","parse-names":false,"suffix":""},{"dropping-particle":"","family":"Chevalley","given":"T.","non-dropping-particle":"","parse-names":false,"suffix":""},{"dropping-particle":"","family":"Clark","given":"P.","non-dropping-particle":"","parse-names":false,"suffix":""},{"dropping-particle":"","family":"Dawson-Hughes","given":"B.","non-dropping-particle":"","parse-names":false,"suffix":""},{"dropping-particle":"","family":"Maghraoui","given":"A.","non-dropping-particle":"El","parse-names":false,"suffix":""},{"dropping-particle":"","family":"Engelke","given":"K.","non-dropping-particle":"","parse-names":false,"suffix":""},{"dropping-particle":"","family":"Fielding","given":"R.","non-dropping-particle":"","parse-names":false,"suffix":""},{"dropping-particle":"","family":"Foldes","given":"A.J.","non-dropping-particle":"","parse-names":false,"suffix":""},{"dropping-particle":"","family":"Gugliemi","given":"G.","non-dropping-particle":"","parse-names":false,"suffix":""},{"dropping-particle":"","family":"Kaufman","given":"J.M.","non-dropping-particle":"","parse-names":false,"suffix":""},{"dropping-particle":"","family":"Larijani","given":"B.","non-dropping-particle":"","parse-names":false,"suffix":""},{"dropping-particle":"","family":"Lems","given":"W.","non-dropping-particle":"","parse-names":false,"suffix":""},{"dropping-particle":"","family":"Loon","given":"L.J.C.","non-dropping-particle":"van","parse-names":false,"suffix":""},{"dropping-particle":"","family":"Lyritis","given":"G.P.","non-dropping-particle":"","parse-names":false,"suffix":""},{"dropping-particle":"","family":"Maggi","given":"S.","non-dropping-particle":"","parse-names":false,"suffix":""},{"dropping-particle":"","family":"Masi","given":"L.","non-dropping-particle":"","parse-names":false,"suffix":""},{"dropping-particle":"","family":"McCloskey","given":"E.","non-dropping-particle":"","parse-names":false,"suffix":""},{"dropping-particle":"","family":"Messina","given":"O.D.","non-dropping-particle":"","parse-names":false,"suffix":""},{"dropping-particle":"","family":"Papaioannou","given":"A.","non-dropping-particle":"","parse-names":false,"suffix":""},{"dropping-particle":"","family":"Szulc","given":"P.","non-dropping-particle":"","parse-names":false,"suffix":""},{"dropping-particle":"","family":"Veronese","given":"N.","non-dropping-particle":"","parse-names":false,"suffix":""}],"container-title":"Osteoporosis International","id":"ITEM-5","issue":"6","issued":{"date-parts":[["2017"]]},"title":"Nutrition and physical activity in the prevention and treatment of sarcopenia: systematic review","type":"article-journal","volume":"28"},"uris":["http://www.mendeley.com/documents/?uuid=89c4579e-0381-4515-b614-f335a91bd614","http://www.mendeley.com/documents/?uuid=1419442f-4765-3cf8-ac18-bce996ae1edf"]},{"id":"ITEM-6","itemData":{"DOI":"10.1007/s40520-020-01519-x","ISSN":"17208319","abstract":"Aims: Safety and tolerability of prolonged supplementation with a vitamin D, calcium and leucine-enriched whey protein medical nutrition drink (WP-MND) was evaluated in sarcopenic older adults. Methods: A 13-week double-blinded, randomized, isocaloric placebo-controlled trial (PROVIDE study; n = 380) was extended with a voluntary 13-week open-label extension (OLE). OLE participants were randomized to receive daily 1 or 2 servings of WP-MND (21 g protein, 3 g leucine, 10 µg vitD and 500 mg calcium per serving). Gastro-intestinal tolerability, kidney function and serum levels of calcidiol, parathyroid hormone (PTH) and calcium were evaluated at week 0, 13 and 26. Results and discussion: In response to the high daily protein intake (median1.5; IQR: 1.3, 1.7 g/kg BW/day), the estimated glomerular filtration rate (eGFR) increased in the test group during the RCT (p = 0.013). The same trend was observed for those participants with moderate chronic kidney disease. During OLE no eGFR change was observed in any of the groups. Serum calcidiol and calcium reached a plateau after 13-week WP-MND supplementation. As expected, PTH significantly changed in the opposite direction, decreasing during RCT in the test group (T vs C: p &lt; 0.001) and during OLE in former control groups. During RCT, 20/366 participants with normal baseline calcidiol reached levels ≥ 100 nmol/L (T: n = 18; C: n = 2) and 6 developed albumin-corrected calcium levels &gt; 2.55 mmol/L (T: n = 3; C: n = 3), without associated adverse events. Conclusion: A 6 months intervention with up to 2 servings of WP-MND did neither result in kidney function deterioration nor symptoms of vitamin D or calcium toxicity. The product was overall well tolerated.","author":[{"dropping-particle":"","family":"Bauer","given":"Jürgen M.","non-dropping-particle":"","parse-names":false,"suffix":""},{"dropping-particle":"","family":"Mikušová","given":"Lucia","non-dropping-particle":"","parse-names":false,"suffix":""},{"dropping-particle":"","family":"Verlaan","given":"Sjors","non-dropping-particle":"","parse-names":false,"suffix":""},{"dropping-particle":"","family":"Bautmans","given":"Ivan","non-dropping-particle":"","parse-names":false,"suffix":""},{"dropping-particle":"","family":"Brandt","given":"Kirsten","non-dropping-particle":"","parse-names":false,"suffix":""},{"dropping-particle":"","family":"Donini","given":"Lorenzo M.","non-dropping-particle":"","parse-names":false,"suffix":""},{"dropping-particle":"","family":"Maggio","given":"Marcello","non-dropping-particle":"","parse-names":false,"suffix":""},{"dropping-particle":"","family":"Mets","given":"Tony","non-dropping-particle":"","parse-names":false,"suffix":""},{"dropping-particle":"","family":"Wijers","given":"Sander L.J.","non-dropping-particle":"","parse-names":false,"suffix":""},{"dropping-particle":"","family":"Garthoff","given":"Jossie A.","non-dropping-particle":"","parse-names":false,"suffix":""},{"dropping-particle":"","family":"Luiking","given":"Yvette","non-dropping-particle":"","parse-names":false,"suffix":""},{"dropping-particle":"","family":"Sieber","given":"Cornel","non-dropping-particle":"","parse-names":false,"suffix":""},{"dropping-particle":"","family":"Cederholm","given":"Tommy","non-dropping-particle":"","parse-names":false,"suffix":""},{"dropping-particle":"","family":"Bauer","given":"Jürgen M.","non-dropping-particle":"","parse-names":false,"suffix":""},{"dropping-particle":"","family":"McMurdo","given":"Marion E.T.","non-dropping-particle":"","parse-names":false,"suffix":""},{"dropping-particle":"","family":"Seal","given":"Chris","non-dropping-particle":"","parse-names":false,"suffix":""},{"dropping-particle":"","family":"Ceda","given":"Gian Paolo","non-dropping-particle":"","parse-names":false,"suffix":""},{"dropping-particle":"","family":"Vito","given":"Giuseppe","non-dropping-particle":"De","parse-names":false,"suffix":""},{"dropping-particle":"","family":"Donders","given":"Gilbert","non-dropping-particle":"","parse-names":false,"suffix":""},{"dropping-particle":"","family":"Drey","given":"Michael","non-dropping-particle":"","parse-names":false,"suffix":""},{"dropping-particle":"","family":"Greig","given":"Carolyn","non-dropping-particle":"","parse-names":false,"suffix":""},{"dropping-particle":"","family":"Holmbäck","given":"Ulf","non-dropping-particle":"","parse-names":false,"suffix":""},{"dropping-particle":"","family":"Narici","given":"Marco","non-dropping-particle":"","parse-names":false,"suffix":""},{"dropping-particle":"","family":"McPhee","given":"Jamie","non-dropping-particle":"","parse-names":false,"suffix":""},{"dropping-particle":"","family":"Poggiogalle","given":"Eleonora","non-dropping-particle":"","parse-names":false,"suffix":""},{"dropping-particle":"","family":"Power","given":"Dermot","non-dropping-particle":"","parse-names":false,"suffix":""},{"dropping-particle":"","family":"Scafoglieri","given":"Aldo","non-dropping-particle":"","parse-names":false,"suffix":""},{"dropping-particle":"","family":"Schultz","given":"Ralf","non-dropping-particle":"","parse-names":false,"suffix":""}],"container-title":"Aging Clinical and Experimental Research","id":"ITEM-6","issued":{"date-parts":[["2020","3","12"]]},"publisher":"Springer","title":"Safety and tolerability of 6-month supplementation with a vitamin D, calcium and leucine-enriched whey protein medical nutrition drink in sarcopenic older adults","type":"article-journal"},"uris":["http://www.mendeley.com/documents/?uuid=b1cc822b-5a91-3421-bcd9-b1345da37d8e","http://www.mendeley.com/documents/?uuid=13ccdc24-d35f-4ce7-8661-cc5a9ef31211"]},{"id":"ITEM-7","itemData":{"DOI":"10.1007/s40520-019-01186-7","ISSN":"1720-8319","PMID":"30955158","abstract":"BACKGROUND It has been suggested that a balanced nutritional intake may be useful in preventing or even reversing sarcopenia. AIM To describe cross-sectional associations between dietary nutrient intake and sarcopenia. METHODS Subjects recruited from the SarcoPhAge study population completed a food frequency questionnaire. The micronutrient and macronutrient intake was evaluated in both sarcopenic and non-sarcopenic participants. The Nutritional Belgian Recommendations of 2016 were used, i.e., adequate intake and estimated average requirement (EAR). For micronutrients, the prevalence of insufficient intake was estimated as the proportion of subjects whose intake was below the EAR. RESULTS A total of 331 subjects (mean age of 74.8 ± 5.9 years, 58.9% women) had complete data and were included in this study. Among them, 51 were diagnosed with sarcopenia (15.4%). In the fully adjusted model, analyses revealed that sarcopenic subjects consumed significantly lower amounts of two macronutrients (proteins, lipids) and five micronutrients (potassium, magnesium, phosphorus, iron, and vitamin K) than non-sarcopenic subjects (all p values &lt; 0.005). A significantly increased prevalence of insufficiency was found for sarcopenic subjects compared to non-sarcopenic subjects for potassium, magnesium, iron, calcium and vitamins E and C (all p values &lt; 0.005). The prevalence of sarcopenic subjects who were also below the Nutritional Belgian Recommendations for protein and lipids was significantly higher than that of non-sarcopenic subjects. DISCUSSION AND CONCLUSIONS Sarcopenic subjects seem to consume significantly reduced amounts of many micronutrients and macronutrients compared to non-sarcopenic subjects. These results suggest that a poorly balanced diet may be associated with sarcopenia and poor musculoskeletal health, although prospective studies are needed to confirm these findings.","author":[{"dropping-particle":"","family":"Beaudart","given":"Charlotte","non-dropping-particle":"","parse-names":false,"suffix":""},{"dropping-particle":"","family":"Locquet","given":"Médéa","non-dropping-particle":"","parse-names":false,"suffix":""},{"dropping-particle":"","family":"Touvier","given":"Mathilde","non-dropping-particle":"","parse-names":false,"suffix":""},{"dropping-particle":"","family":"Reginster","given":"Jean-Yves","non-dropping-particle":"","parse-names":false,"suffix":""},{"dropping-particle":"","family":"Bruyère","given":"Olivier","non-dropping-particle":"","parse-names":false,"suffix":""}],"container-title":"Aging Clinical and Experimental Research","id":"ITEM-7","issued":{"date-parts":[["2019","4","6"]]},"title":"Association between dietary nutrient intake and sarcopenia in the SarcoPhAge study","type":"article-journal"},"uris":["http://www.mendeley.com/documents/?uuid=7d9679d5-4208-3400-aa0c-aa2018774bdc","http://www.mendeley.com/documents/?uuid=2a0797e5-6caf-48cb-ab84-40eeb89f56f0"]}],"mendeley":{"formattedCitation":"[62, 71–76]","plainTextFormattedCitation":"[62, 71–76]","previouslyFormattedCitation":"[60, 69–74]"},"properties":{"noteIndex":0},"schema":"https://github.com/citation-style-language/schema/raw/master/csl-citation.json"}</w:instrText>
      </w:r>
      <w:r w:rsidR="008918C7">
        <w:rPr>
          <w:rFonts w:ascii="Palatino Linotype" w:hAnsi="Palatino Linotype"/>
          <w:lang w:val="en-GB"/>
        </w:rPr>
        <w:fldChar w:fldCharType="separate"/>
      </w:r>
      <w:r w:rsidR="009D3AAF" w:rsidRPr="009D3AAF">
        <w:rPr>
          <w:rFonts w:ascii="Palatino Linotype" w:hAnsi="Palatino Linotype"/>
          <w:noProof/>
          <w:lang w:val="en-GB"/>
        </w:rPr>
        <w:t>[62, 71–76]</w:t>
      </w:r>
      <w:r w:rsidR="008918C7">
        <w:rPr>
          <w:rFonts w:ascii="Palatino Linotype" w:hAnsi="Palatino Linotype"/>
          <w:lang w:val="en-GB"/>
        </w:rPr>
        <w:fldChar w:fldCharType="end"/>
      </w:r>
      <w:r w:rsidR="00764727" w:rsidRPr="00764727">
        <w:rPr>
          <w:rFonts w:ascii="Palatino Linotype" w:hAnsi="Palatino Linotype"/>
          <w:lang w:val="en-GB"/>
        </w:rPr>
        <w:t>. </w:t>
      </w:r>
      <w:r>
        <w:rPr>
          <w:rFonts w:ascii="Palatino Linotype" w:hAnsi="Palatino Linotype"/>
          <w:lang w:val="en-GB"/>
        </w:rPr>
        <w:t xml:space="preserve"> </w:t>
      </w:r>
      <w:r w:rsidR="00764727">
        <w:rPr>
          <w:rFonts w:ascii="Palatino Linotype" w:hAnsi="Palatino Linotype"/>
          <w:lang w:val="en-GB"/>
        </w:rPr>
        <w:t>Poor nutritional status has therefore</w:t>
      </w:r>
      <w:r>
        <w:rPr>
          <w:rFonts w:ascii="Palatino Linotype" w:hAnsi="Palatino Linotype"/>
          <w:lang w:val="en-GB"/>
        </w:rPr>
        <w:t xml:space="preserve"> been recognised as one of the </w:t>
      </w:r>
      <w:r w:rsidR="00160063">
        <w:rPr>
          <w:rFonts w:ascii="Palatino Linotype" w:hAnsi="Palatino Linotype"/>
          <w:lang w:val="en-GB"/>
        </w:rPr>
        <w:t xml:space="preserve">etiologic </w:t>
      </w:r>
      <w:r>
        <w:rPr>
          <w:rFonts w:ascii="Palatino Linotype" w:hAnsi="Palatino Linotype"/>
          <w:lang w:val="en-GB"/>
        </w:rPr>
        <w:t>mechanisms contribut</w:t>
      </w:r>
      <w:r w:rsidR="00764727">
        <w:rPr>
          <w:rFonts w:ascii="Palatino Linotype" w:hAnsi="Palatino Linotype"/>
          <w:lang w:val="en-GB"/>
        </w:rPr>
        <w:t xml:space="preserve">ing </w:t>
      </w:r>
      <w:r>
        <w:rPr>
          <w:rFonts w:ascii="Palatino Linotype" w:hAnsi="Palatino Linotype"/>
          <w:lang w:val="en-GB"/>
        </w:rPr>
        <w:t>to sarcopenia</w:t>
      </w:r>
      <w:r w:rsidR="00421ECC">
        <w:rPr>
          <w:rFonts w:ascii="Palatino Linotype" w:hAnsi="Palatino Linotype"/>
          <w:lang w:val="en-GB"/>
        </w:rPr>
        <w:t xml:space="preserve"> </w:t>
      </w:r>
      <w:r w:rsidR="008918C7">
        <w:rPr>
          <w:rFonts w:ascii="Palatino Linotype" w:hAnsi="Palatino Linotype"/>
          <w:lang w:val="en-GB"/>
        </w:rPr>
        <w:fldChar w:fldCharType="begin" w:fldLock="1"/>
      </w:r>
      <w:r w:rsidR="001B65C6">
        <w:rPr>
          <w:rFonts w:ascii="Palatino Linotype" w:hAnsi="Palatino Linotype"/>
          <w:lang w:val="en-GB"/>
        </w:rPr>
        <w:instrText>ADDIN CSL_CITATION {"citationItems":[{"id":"ITEM-1","itemData":{"DOI":"10.3390/nu11122883","ISSN":"2072-6643","PMID":"31783482","abstract":"&lt;p&gt;This study aims to explore the association between malnutrition diagnosed according to both the Global Leadership Initiative of Malnutrition (GLIM) and the European Society of Clinical Nutrition and Metabolism (ESPEN) criteria and the onset of sarcopenia/severe sarcopenia, diagnosed according to the European Working Group on Sarcopenia in Older People 2 (EWGSOP2) criterion, in the sarcopenia and physical impairment with advancing age (SarcoPhAge) cohort during a four-year follow-up. Adjusted Cox-regression and Kaplan-Meier curves were performed. Among the 534 community-dwelling participants recruited in the SarcoPhAge study, 510 were free from sarcopenia at baseline, of whom 336 had complete data (186 women and 150 men, mean age of 72.5 ± 5.8 years) to apply the GLIM and ESPEN criteria. A significantly higher risk of developing sarcopenia/severe sarcopenia during the four-year follow-up based on the GLIM [sarcopenia: Adjusted hazard ratio (HR) = 3.23 (95% confidence interval (CI) 1.73–6.05); severe sarcopenia: Adjusted HR = 2.87 (95% CI 1.25–6.56)] and ESPEN [sarcopenia: Adjusted HR = 4.28 (95% CI 1.86–9.86); severe sarcopenia: Adjusted HR = 3.86 (95% CI 1.29–11.54)] criteria was observed. Kaplan-Meier curves confirmed this relationship (log rank p &amp;lt; 0.001 for all). These results highlighted the importance of malnutrition since it has been shown to be associated with an approximately fourfold higher risk of developing sarcopenia/severe sarcopenia during a four-year follow-up.&lt;/p&gt;","author":[{"dropping-particle":"","family":"Beaudart","given":"Charlotte","non-dropping-particle":"","parse-names":false,"suffix":""},{"dropping-particle":"","family":"Sanchez-Rodriguez","given":"Dolores","non-dropping-particle":"","parse-names":false,"suffix":""},{"dropping-particle":"","family":"Locquet","given":"Médéa","non-dropping-particle":"","parse-names":false,"suffix":""},{"dropping-particle":"","family":"Reginster","given":"Jean-Yves","non-dropping-particle":"","parse-names":false,"suffix":""},{"dropping-particle":"","family":"Lengelé","given":"Laetitia","non-dropping-particle":"","parse-names":false,"suffix":""},{"dropping-particle":"","family":"Bruyère","given":"Olivier","non-dropping-particle":"","parse-names":false,"suffix":""}],"container-title":"Nutrients","id":"ITEM-1","issue":"12","issued":{"date-parts":[["2019","11","27"]]},"page":"2883","title":"Malnutrition as a Strong Predictor of the Onset of Sarcopenia","type":"article-journal","volume":"11"},"uris":["http://www.mendeley.com/documents/?uuid=33bcafae-eb9a-418e-9646-5e9c90affd41","http://www.mendeley.com/documents/?uuid=be93ec17-cc96-31fc-8cfd-bee368381bcd"]}],"mendeley":{"formattedCitation":"[30]","plainTextFormattedCitation":"[30]","previouslyFormattedCitation":"[30]"},"properties":{"noteIndex":0},"schema":"https://github.com/citation-style-language/schema/raw/master/csl-citation.json"}</w:instrText>
      </w:r>
      <w:r w:rsidR="008918C7">
        <w:rPr>
          <w:rFonts w:ascii="Palatino Linotype" w:hAnsi="Palatino Linotype"/>
          <w:lang w:val="en-GB"/>
        </w:rPr>
        <w:fldChar w:fldCharType="separate"/>
      </w:r>
      <w:r w:rsidR="0038101C" w:rsidRPr="0038101C">
        <w:rPr>
          <w:rFonts w:ascii="Palatino Linotype" w:hAnsi="Palatino Linotype"/>
          <w:noProof/>
          <w:lang w:val="en-GB"/>
        </w:rPr>
        <w:t>[30]</w:t>
      </w:r>
      <w:r w:rsidR="008918C7">
        <w:rPr>
          <w:rFonts w:ascii="Palatino Linotype" w:hAnsi="Palatino Linotype"/>
          <w:lang w:val="en-GB"/>
        </w:rPr>
        <w:fldChar w:fldCharType="end"/>
      </w:r>
      <w:r w:rsidR="00764727">
        <w:rPr>
          <w:rFonts w:ascii="Palatino Linotype" w:hAnsi="Palatino Linotype"/>
          <w:lang w:val="en-GB"/>
        </w:rPr>
        <w:t>.</w:t>
      </w:r>
      <w:r>
        <w:rPr>
          <w:rFonts w:ascii="Palatino Linotype" w:hAnsi="Palatino Linotype"/>
          <w:lang w:val="en-GB"/>
        </w:rPr>
        <w:t xml:space="preserve"> </w:t>
      </w:r>
      <w:r w:rsidR="00764727">
        <w:rPr>
          <w:rFonts w:ascii="Palatino Linotype" w:hAnsi="Palatino Linotype"/>
          <w:lang w:val="en-GB"/>
        </w:rPr>
        <w:t>M</w:t>
      </w:r>
      <w:r w:rsidR="00A15079">
        <w:rPr>
          <w:rFonts w:ascii="Palatino Linotype" w:hAnsi="Palatino Linotype"/>
          <w:lang w:val="en-GB"/>
        </w:rPr>
        <w:t>oreover, m</w:t>
      </w:r>
      <w:r w:rsidR="00764727">
        <w:rPr>
          <w:rFonts w:ascii="Palatino Linotype" w:hAnsi="Palatino Linotype"/>
          <w:lang w:val="en-GB"/>
        </w:rPr>
        <w:t>alnutrition</w:t>
      </w:r>
      <w:r w:rsidR="00764727" w:rsidRPr="00764727">
        <w:rPr>
          <w:rFonts w:ascii="Palatino Linotype" w:hAnsi="Palatino Linotype"/>
          <w:lang w:val="en-GB"/>
        </w:rPr>
        <w:t> is a major cause of adverse health consequences, such as impaired physical function</w:t>
      </w:r>
      <w:r w:rsidR="00764727">
        <w:rPr>
          <w:rFonts w:ascii="Palatino Linotype" w:hAnsi="Palatino Linotype"/>
          <w:lang w:val="en-GB"/>
        </w:rPr>
        <w:t xml:space="preserve">, </w:t>
      </w:r>
      <w:r w:rsidR="00764727" w:rsidRPr="00764727">
        <w:rPr>
          <w:rFonts w:ascii="Palatino Linotype" w:hAnsi="Palatino Linotype"/>
          <w:lang w:val="en-GB"/>
        </w:rPr>
        <w:t>hospitalization</w:t>
      </w:r>
      <w:r w:rsidR="00764727">
        <w:rPr>
          <w:rFonts w:ascii="Palatino Linotype" w:hAnsi="Palatino Linotype"/>
          <w:lang w:val="en-GB"/>
        </w:rPr>
        <w:t xml:space="preserve">, </w:t>
      </w:r>
      <w:r w:rsidR="00764727" w:rsidRPr="00764727">
        <w:rPr>
          <w:rFonts w:ascii="Palatino Linotype" w:hAnsi="Palatino Linotype"/>
          <w:lang w:val="en-GB"/>
        </w:rPr>
        <w:t>and mortality in older people</w:t>
      </w:r>
      <w:r w:rsidR="00764727">
        <w:rPr>
          <w:rFonts w:ascii="Palatino Linotype" w:hAnsi="Palatino Linotype"/>
          <w:lang w:val="en-GB"/>
        </w:rPr>
        <w:t xml:space="preserve"> and could therefore impact negatively the results of</w:t>
      </w:r>
      <w:r w:rsidR="00A15079">
        <w:rPr>
          <w:rFonts w:ascii="Palatino Linotype" w:hAnsi="Palatino Linotype"/>
          <w:lang w:val="en-GB"/>
        </w:rPr>
        <w:t xml:space="preserve"> </w:t>
      </w:r>
      <w:r w:rsidR="00764727">
        <w:rPr>
          <w:rFonts w:ascii="Palatino Linotype" w:hAnsi="Palatino Linotype"/>
          <w:lang w:val="en-GB"/>
        </w:rPr>
        <w:t>clinical trials</w:t>
      </w:r>
      <w:r w:rsidR="00A15079">
        <w:rPr>
          <w:rFonts w:ascii="Palatino Linotype" w:hAnsi="Palatino Linotype"/>
          <w:lang w:val="en-GB"/>
        </w:rPr>
        <w:t xml:space="preserve"> on sarcopenia</w:t>
      </w:r>
      <w:r w:rsidR="00421ECC">
        <w:rPr>
          <w:rFonts w:ascii="Palatino Linotype" w:hAnsi="Palatino Linotype"/>
          <w:lang w:val="en-GB"/>
        </w:rPr>
        <w:t xml:space="preserve"> </w:t>
      </w:r>
      <w:r w:rsidR="00CB5B85">
        <w:rPr>
          <w:rFonts w:ascii="Palatino Linotype" w:hAnsi="Palatino Linotype"/>
          <w:lang w:val="en-GB"/>
        </w:rPr>
        <w:fldChar w:fldCharType="begin" w:fldLock="1"/>
      </w:r>
      <w:r w:rsidR="009D3AAF">
        <w:rPr>
          <w:rFonts w:ascii="Palatino Linotype" w:hAnsi="Palatino Linotype"/>
          <w:lang w:val="en-GB"/>
        </w:rPr>
        <w:instrText>ADDIN CSL_CITATION {"citationItems":[{"id":"ITEM-1","itemData":{"DOI":"10.1016/j.clnu.2016.02.018","ISSN":"1532-1983","PMID":"26997334","abstract":"BACKGROUND &amp; AIMS The European Society for Clinical Nutrition and Metabolism (ESPEN) recently provided new diagnosis criteria of malnutrition and called to confirm those criteria in specific populations. The aims of our study were 1) to determine the prevalence of malnutrition according to the new ESPEN definition in elder hospitalized diabetic patients, and 2) to evaluate whether this new diagnosis of malnutrition predicted clinical outcomes in these patients. METHODS 1014 hospitalized diabetic patients (≥65 years) from 35 hospitals in Spain were screened for being at risk of malnutrition using the short version of the Mini Nutritional Assessment. Subsequently, at risk individuals were considered malnourished if they met at least one of the two options: 1) body mass index (BMI) &lt; 18.5 kg/m(2), or 2) unintentional weight loss &gt;5% of their body weight with reduced BMI (&lt;20 kg/m(2) in subjects younger than 70 years or &lt;22 kg/m(2) in subjects older than 70 years). RESULTS The new ESPEN definition, with MNA-SF as initial screening, identified 68 malnourished geriatric individuals with diabetes (6.73% of the cohort). Additionally, malnutrition lengthened the hospital stay, increased 2.7 times the odds of dying in hospital, and decreased to one third the odds of being discharged home. CONCLUSIONS Our study confirms that the new ESPEN definition for the diagnosis of malnutrition is a reliable tool that is capable of predicting clinical outcomes in a large population of elder hospitalized individuals with diabetes.","author":[{"dropping-particle":"","family":"Sanz-París","given":"Alejandro","non-dropping-particle":"","parse-names":false,"suffix":""},{"dropping-particle":"","family":"Gómez-Candela","given":"Carmen","non-dropping-particle":"","parse-names":false,"suffix":""},{"dropping-particle":"","family":"Martín-Palmero","given":"Ángela","non-dropping-particle":"","parse-names":false,"suffix":""},{"dropping-particle":"","family":"García-Almeida","given":"José M.","non-dropping-particle":"","parse-names":false,"suffix":""},{"dropping-particle":"","family":"Burgos-Pelaez","given":"Rosa","non-dropping-particle":"","parse-names":false,"suffix":""},{"dropping-particle":"","family":"Matía-Martin","given":"Pilar","non-dropping-particle":"","parse-names":false,"suffix":""},{"dropping-particle":"","family":"Arbones-Mainar","given":"Jose M.","non-dropping-particle":"","parse-names":false,"suffix":""},{"dropping-particle":"","family":"Study VIDA group","given":"","non-dropping-particle":"","parse-names":false,"suffix":""}],"container-title":"Clinical nutrition (Edinburgh, Scotland)","id":"ITEM-1","issue":"6","issued":{"date-parts":[["2016","12"]]},"page":"1564-1567","title":"Application of the new ESPEN definition of malnutrition in geriatric diabetic patients during hospitalization: A multicentric study.","type":"article-journal","volume":"35"},"uris":["http://www.mendeley.com/documents/?uuid=ab7c89f2-cc97-4e0e-8854-374225f44ee7","http://www.mendeley.com/documents/?uuid=2512de8c-f646-426e-9505-60d46a53dc48"]},{"id":"ITEM-2","itemData":{"DOI":"10.1016/j.clnu.2018.11.016","ISSN":"1532-1983","PMID":"30551898","abstract":"BACKGROUND The European Society of Clinical Nutrition and Metabolism (ESPEN) has developed a consensus definition of malnutrition. This study aimed to determine the prevalence of malnutrition according to the ESPEN definition in otherwise healthy community-dwelling older women and to explore its value for predicting long-term mortality in this population. METHODS This prospective population-based cohort study included 181 women (age ≥75 years) from a subsample of the EPIDémiologie de l'OStéoporose (EPIDOS) study participants from Toulouse. Inclusion criteria were the availability of the data on variables required to apply the ESPEN definition and survival after 7 years of follow-up. Primary outcome was mortality at 12-year follow-up; main covariates were malnutrition assessment according to the ESPEN consensus and its components (unintentional weight loss, BMI, and FFMI). Body composition was assessed by dual-energy X-ray absorptiometry at baseline and at 7-year follow-up. Kaplan-Meier survival curves and adjusted Cox regressions were performed. Analysis was adjusted for age, hypertension, diabetes mellitus, and coronary heart disease as potential confounders. RESULTS Complete data were available for 179 of the 181 women in the EPIDOS-Toulouse cohort (83.1 ± 2.2 years) and 13 (7.3%) fulfilled the ESPEN definition for malnutrition at 7-year follow-up. Malnutrition was associated with increased risk of mortality (adjusted HR = 4.4 [95%CI: 1.7-11.3]). Among the ESPEN components, only BMI was associated with increased mortality (adjusted HR=0.6 [95%CI: 0.4-0.9]). CONCLUSIONS Although malnutrition prevalence according to the ESPEN definition was relatively low (7.3%) in this sample of otherwise healthy community-dwelling older French women, malnutrition was associated with 4.4-fold higher mortality risk at 12-year follow-up.","author":[{"dropping-particle":"","family":"Sánchez-Rodríguez","given":"Dolores","non-dropping-particle":"","parse-names":false,"suffix":""},{"dropping-particle":"","family":"Marco","given":"Ester","non-dropping-particle":"","parse-names":false,"suffix":""},{"dropping-particle":"","family":"Schott","given":"Anne-Marie","non-dropping-particle":"","parse-names":false,"suffix":""},{"dropping-particle":"","family":"Rolland","given":"Yves","non-dropping-particle":"","parse-names":false,"suffix":""},{"dropping-particle":"","family":"Blain","given":"Hubert","non-dropping-particle":"","parse-names":false,"suffix":""},{"dropping-particle":"","family":"Vázquez-Ibar","given":"Olga","non-dropping-particle":"","parse-names":false,"suffix":""},{"dropping-particle":"","family":"Escalada","given":"Ferran","non-dropping-particle":"","parse-names":false,"suffix":""},{"dropping-particle":"","family":"Duran","given":"Xavier","non-dropping-particle":"","parse-names":false,"suffix":""},{"dropping-particle":"","family":"Muniesa","given":"Josep M","non-dropping-particle":"","parse-names":false,"suffix":""},{"dropping-particle":"","family":"Annweiler","given":"Cédric","non-dropping-particle":"","parse-names":false,"suffix":""}],"container-title":"Clinical nutrition (Edinburgh, Scotland)","id":"ITEM-2","issued":{"date-parts":[["2018","12"]]},"title":"Malnutrition according to ESPEN definition predicts long-term mortality in general older population: Findings from the EPIDOS study-Toulouse cohort.","type":"article-journal"},"uris":["http://www.mendeley.com/documents/?uuid=7f855556-4862-446c-9a0d-6542eb36919b"]}],"mendeley":{"formattedCitation":"[29, 77]","plainTextFormattedCitation":"[29, 77]","previouslyFormattedCitation":"[29, 75]"},"properties":{"noteIndex":0},"schema":"https://github.com/citation-style-language/schema/raw/master/csl-citation.json"}</w:instrText>
      </w:r>
      <w:r w:rsidR="00CB5B85">
        <w:rPr>
          <w:rFonts w:ascii="Palatino Linotype" w:hAnsi="Palatino Linotype"/>
          <w:lang w:val="en-GB"/>
        </w:rPr>
        <w:fldChar w:fldCharType="separate"/>
      </w:r>
      <w:r w:rsidR="009D3AAF" w:rsidRPr="009D3AAF">
        <w:rPr>
          <w:rFonts w:ascii="Palatino Linotype" w:hAnsi="Palatino Linotype"/>
          <w:noProof/>
          <w:lang w:val="en-GB"/>
        </w:rPr>
        <w:t>[29, 77]</w:t>
      </w:r>
      <w:r w:rsidR="00CB5B85">
        <w:rPr>
          <w:rFonts w:ascii="Palatino Linotype" w:hAnsi="Palatino Linotype"/>
          <w:lang w:val="en-GB"/>
        </w:rPr>
        <w:fldChar w:fldCharType="end"/>
      </w:r>
      <w:r w:rsidR="00764727">
        <w:rPr>
          <w:rFonts w:ascii="Palatino Linotype" w:hAnsi="Palatino Linotype"/>
          <w:lang w:val="en-GB"/>
        </w:rPr>
        <w:t>. For these reasons, at</w:t>
      </w:r>
      <w:r>
        <w:rPr>
          <w:rFonts w:ascii="Palatino Linotype" w:hAnsi="Palatino Linotype"/>
          <w:lang w:val="en-GB"/>
        </w:rPr>
        <w:t xml:space="preserve"> baseline, nutrition</w:t>
      </w:r>
      <w:r w:rsidR="009A036C">
        <w:rPr>
          <w:rFonts w:ascii="Palatino Linotype" w:hAnsi="Palatino Linotype"/>
          <w:lang w:val="en-GB"/>
        </w:rPr>
        <w:t>al status</w:t>
      </w:r>
      <w:r>
        <w:rPr>
          <w:rFonts w:ascii="Palatino Linotype" w:hAnsi="Palatino Linotype"/>
          <w:lang w:val="en-GB"/>
        </w:rPr>
        <w:t xml:space="preserve"> should be assessed and, as described in </w:t>
      </w:r>
      <w:r w:rsidR="00061138">
        <w:rPr>
          <w:rFonts w:ascii="Palatino Linotype" w:hAnsi="Palatino Linotype"/>
          <w:lang w:val="en-GB"/>
        </w:rPr>
        <w:t xml:space="preserve">the </w:t>
      </w:r>
      <w:r>
        <w:rPr>
          <w:rFonts w:ascii="Palatino Linotype" w:hAnsi="Palatino Linotype"/>
          <w:lang w:val="en-GB"/>
        </w:rPr>
        <w:t>exclusion criteria, severely malnourished</w:t>
      </w:r>
      <w:r w:rsidR="009E0596">
        <w:rPr>
          <w:rFonts w:ascii="Palatino Linotype" w:hAnsi="Palatino Linotype"/>
          <w:lang w:val="en-GB"/>
        </w:rPr>
        <w:t xml:space="preserve"> participants</w:t>
      </w:r>
      <w:r>
        <w:rPr>
          <w:rFonts w:ascii="Palatino Linotype" w:hAnsi="Palatino Linotype"/>
          <w:lang w:val="en-GB"/>
        </w:rPr>
        <w:t xml:space="preserve"> should not be included in </w:t>
      </w:r>
      <w:r w:rsidR="009E0596">
        <w:rPr>
          <w:rFonts w:ascii="Palatino Linotype" w:hAnsi="Palatino Linotype"/>
          <w:lang w:val="en-GB"/>
        </w:rPr>
        <w:t xml:space="preserve">sarcopenia </w:t>
      </w:r>
      <w:r>
        <w:rPr>
          <w:rFonts w:ascii="Palatino Linotype" w:hAnsi="Palatino Linotype"/>
          <w:lang w:val="en-GB"/>
        </w:rPr>
        <w:t>clinical trials</w:t>
      </w:r>
      <w:r w:rsidR="00885F1B">
        <w:rPr>
          <w:rFonts w:ascii="Palatino Linotype" w:hAnsi="Palatino Linotype"/>
          <w:lang w:val="en-GB"/>
        </w:rPr>
        <w:t>.</w:t>
      </w:r>
      <w:r>
        <w:rPr>
          <w:rFonts w:ascii="Palatino Linotype" w:hAnsi="Palatino Linotype"/>
          <w:lang w:val="en-GB"/>
        </w:rPr>
        <w:t xml:space="preserve"> </w:t>
      </w:r>
      <w:r w:rsidR="009E0596">
        <w:rPr>
          <w:rFonts w:ascii="Palatino Linotype" w:hAnsi="Palatino Linotype"/>
          <w:lang w:val="en-GB"/>
        </w:rPr>
        <w:t>Besides</w:t>
      </w:r>
      <w:r>
        <w:rPr>
          <w:rFonts w:ascii="Palatino Linotype" w:hAnsi="Palatino Linotype"/>
          <w:lang w:val="en-GB"/>
        </w:rPr>
        <w:t xml:space="preserve">, it </w:t>
      </w:r>
      <w:r w:rsidR="009E0596">
        <w:rPr>
          <w:rFonts w:ascii="Palatino Linotype" w:hAnsi="Palatino Linotype"/>
          <w:lang w:val="en-GB"/>
        </w:rPr>
        <w:t xml:space="preserve">is </w:t>
      </w:r>
      <w:r>
        <w:rPr>
          <w:rFonts w:ascii="Palatino Linotype" w:hAnsi="Palatino Linotype"/>
          <w:lang w:val="en-GB"/>
        </w:rPr>
        <w:t>necessary to re-assess nutrition</w:t>
      </w:r>
      <w:r w:rsidR="009A036C">
        <w:rPr>
          <w:rFonts w:ascii="Palatino Linotype" w:hAnsi="Palatino Linotype"/>
          <w:lang w:val="en-GB"/>
        </w:rPr>
        <w:t>al status</w:t>
      </w:r>
      <w:r>
        <w:rPr>
          <w:rFonts w:ascii="Palatino Linotype" w:hAnsi="Palatino Linotype"/>
          <w:lang w:val="en-GB"/>
        </w:rPr>
        <w:t xml:space="preserve"> over time during the trial, at </w:t>
      </w:r>
      <w:r w:rsidR="009E0596">
        <w:rPr>
          <w:rFonts w:ascii="Palatino Linotype" w:hAnsi="Palatino Linotype"/>
          <w:lang w:val="en-GB"/>
        </w:rPr>
        <w:t xml:space="preserve">least on </w:t>
      </w:r>
      <w:r>
        <w:rPr>
          <w:rFonts w:ascii="Palatino Linotype" w:hAnsi="Palatino Linotype"/>
          <w:lang w:val="en-GB"/>
        </w:rPr>
        <w:t>each time point assessments</w:t>
      </w:r>
      <w:r w:rsidR="009A036C">
        <w:rPr>
          <w:rFonts w:ascii="Palatino Linotype" w:hAnsi="Palatino Linotype"/>
          <w:lang w:val="en-GB"/>
        </w:rPr>
        <w:t xml:space="preserve">. In addition, monitoring dietary intake during the trial is advised. </w:t>
      </w:r>
    </w:p>
    <w:p w14:paraId="2C11096E" w14:textId="3B4D3822" w:rsidR="00C16446" w:rsidRPr="00F82896" w:rsidRDefault="00C16446" w:rsidP="00515306">
      <w:pPr>
        <w:jc w:val="both"/>
        <w:rPr>
          <w:rFonts w:ascii="Palatino Linotype" w:hAnsi="Palatino Linotype"/>
        </w:rPr>
      </w:pPr>
      <w:r>
        <w:rPr>
          <w:rFonts w:ascii="Palatino Linotype" w:hAnsi="Palatino Linotype"/>
          <w:lang w:val="en-GB"/>
        </w:rPr>
        <w:t>The positive impact of physical activity on muscle health is well recognized. Numerous studies have highlighted improvement of muscle mass, muscle strength and physical performance following exercises</w:t>
      </w:r>
      <w:r w:rsidR="00421ECC">
        <w:rPr>
          <w:rFonts w:ascii="Palatino Linotype" w:hAnsi="Palatino Linotype"/>
          <w:lang w:val="en-GB"/>
        </w:rPr>
        <w:t xml:space="preserve"> </w:t>
      </w:r>
      <w:r w:rsidR="008918C7">
        <w:rPr>
          <w:rFonts w:ascii="Palatino Linotype" w:hAnsi="Palatino Linotype"/>
          <w:lang w:val="en-GB"/>
        </w:rPr>
        <w:fldChar w:fldCharType="begin" w:fldLock="1"/>
      </w:r>
      <w:r w:rsidR="009D3AAF">
        <w:rPr>
          <w:rFonts w:ascii="Palatino Linotype" w:hAnsi="Palatino Linotype"/>
          <w:lang w:val="en-GB"/>
        </w:rPr>
        <w:instrText>ADDIN CSL_CITATION {"citationItems":[{"id":"ITEM-1","itemData":{"DOI":"10.1016/j.arr.2010.03.004","ISBN":"1872-9649 (Electronic)\r1568-1637 (Linking)","PMID":"20385254","abstract":"PURPOSE: The effectiveness of resistance exercise for strength improvement among aging persons is inconsistent across investigations, and there is a lack of research synthesis for multiple strength outcomes. METHODS: The systematic review followed the Preferred Reporting Items for Systematic Reviews and Meta-Analyses (PRISMA) recommendations. A meta-analysis was conducted to determine the effect of resistance exercise (RE) for multiple strength outcomes in aging adults. Randomized-controlled trials and randomized or non-randomized studies among adults &gt; or = 50 years, were included. Data were pooled using random-effect models. Outcomes for 4 common strength tests were analyzed for main effects. Heterogeneity between studies was assessed using the Cochran Q and I(2) statistics, and publication bias was evaluated through physical inspection of funnel plots as well as formal rank-correlation statistics. A linear mixed model regression was incorporated to examine differences between outcomes, as well as potential study-level predictor variables. RESULTS: Forty-seven studies were included, representing 1079 participants. A positive effect for each of the strength outcomes was determined however there was heterogeneity between studies. Regression revealed that higher intensity training was associated with greater improvement. Strength increases ranged from 9.8 to 31.6 kg, and percent changes were 29+/-2, 24+/-2, 33+/-3, and 25+/-2, respectively for leg press, chest press, knee extension, and lat pull. CONCLUSIONS: RE is effective for improving strength among older adults, particularly with higher intensity training. Findings therefore suggest that RE may be considered a viable strategy to prevent generalized muscular weakness associated with aging.","author":[{"dropping-particle":"","family":"Peterson","given":"M D","non-dropping-particle":"","parse-names":false,"suffix":""},{"dropping-particle":"","family":"Rhea","given":"M R","non-dropping-particle":"","parse-names":false,"suffix":""},{"dropping-particle":"","family":"Sen","given":"A","non-dropping-particle":"","parse-names":false,"suffix":""},{"dropping-particle":"","family":"Gordon","given":"P M","non-dropping-particle":"","parse-names":false,"suffix":""}],"container-title":"Ageing Res Rev","edition":"2010/04/14","id":"ITEM-1","issue":"3","issued":{"date-parts":[["2010"]]},"language":"eng","note":"Peterson, Mark D\nRhea, Matthew R\nSen, Ananda\nGordon, Paul M\n5-T32-HD007422/HD/NICHD NIH HHS/\nT32 HD007422-19/HD/NICHD NIH HHS/\nEngland\nAgeing Res Rev. 2010 Jul;9(3):226-37. doi: 10.1016/j.arr.2010.03.004. Epub 2010 Apr 10.","page":"226-237","title":"Resistance exercise for muscular strength in older adults: a meta-analysis","type":"article-journal","volume":"9"},"uris":["http://www.mendeley.com/documents/?uuid=6352a410-6f41-4361-a8e4-289303636676","http://www.mendeley.com/documents/?uuid=310acd50-8994-4f92-8cf6-a5f175359a1e"]},{"id":"ITEM-2","itemData":{"DOI":"10.1007/s12603-019-1196-8","ISSN":"17604788","PMID":"31233069","abstract":"Objectives: The aim of this systematic review is to provide an overview of the efficacy of different exercise interventions to counter sarcopenia in older adults. This review will allow the Belgian Society of Gerontology and Geriatrics and other scientific societies to formulate specific exercise recommendations in their Clinical Guidelines for Sarcopenia. Design: We used the method of a systematic umbrella-review. Based on the level of evidence, we formulated specific recommendations for clinical practice. Methods: Two databases (Pubmed and Web Of Science) were searched systematically and methodological quality of the reviews was assessed. Extracted data was than mapped to an exercise category and an overall synthesis (bottom line statements) was formulated for each of these exercise categories. Subsequently, we assigned a rating of the quality of the evidence supporting each bottom line statement. Results: We identified 14 systematic reviews or meta-analyses, encompassing four exercise categories: resistance training, resistance training + nutritional supplementation, multimodal exercise programmes and bloodflow restriction training. Importantly, very few systematic reviews or meta-analyses clearly mentioned baseline sarcopenia status. There is high quality evidence for a positive and significant effect of resistance training on muscle mass, muscle strength, and physical performance. The added effect of nutritional supplementation for resistance training on muscle function appears limited. Blood flow restriction training is a novel training method that has a significant impact on muscle strength. Conclusion: Since sarcopenia is affecting all skeletal muscles in the body, we recommend training the large muscle groups in a total body approach. Although low-intensity resistance training (≤50% 1RM) is sufficient to induce strength gains, we recommend a high-intensity resistance training program (i.e. 80% 1RM) to obtain maximal strength gains. Multimodal exercises and blood flow restriction resistance training may be considered as well.","author":[{"dropping-particle":"","family":"Beckwée","given":"D","non-dropping-particle":"","parse-names":false,"suffix":""},{"dropping-particle":"","family":"Delaere","given":"A","non-dropping-particle":"","parse-names":false,"suffix":""},{"dropping-particle":"","family":"Aelbrecht","given":"S","non-dropping-particle":"","parse-names":false,"suffix":""},{"dropping-particle":"","family":"Baert","given":"V","non-dropping-particle":"","parse-names":false,"suffix":""},{"dropping-particle":"","family":"Beaudart","given":"C","non-dropping-particle":"","parse-names":false,"suffix":""},{"dropping-particle":"","family":"Bruyere","given":"O","non-dropping-particle":"","parse-names":false,"suffix":""},{"dropping-particle":"","family":"Saint-Hubert","given":"M","non-dropping-particle":"de","parse-names":false,"suffix":""},{"dropping-particle":"","family":"Bautmans","given":"Ivan","non-dropping-particle":"","parse-names":false,"suffix":""}],"container-title":"Journal of Nutrition, Health and Aging","id":"ITEM-2","issue":"6","issued":{"date-parts":[["2019"]]},"page":"494-502","title":"Exercise Interventions for the Prevention and Treatment of Sarcopenia. A Systematic Umbrella Review","type":"article","volume":"23"},"uris":["http://www.mendeley.com/documents/?uuid=f56b4ced-8c4a-42ed-95eb-803dfef2b0bf","http://www.mendeley.com/documents/?uuid=7cb55ea3-1491-4a92-8486-38107c6ee341"]},{"id":"ITEM-3","itemData":{"DOI":"10.1093/ageing/afu115","ISBN":"1468-2834 (Electronic)\r0002-0729 (Linking)","ISSN":"1468-2834","PMID":"25241753","abstract":"OBJECTIVE: to examine the clinical evidence reporting the prevalence of sarcopenia and the effect of nutrition and exercise interventions from studies using the consensus definition of sarcopenia proposed by the European Working Group on Sarcopenia in Older People (EWGSOP). METHODS: PubMed and Dialog databases were searched (January 2000-October 2013) using pre-defined search terms. Prevalence studies and intervention studies investigating muscle mass plus strength or function outcome measures using the EWGSOP definition of sarcopenia, in well-defined populations of adults aged &gt;/=50 years were selected. RESULTS: prevalence of sarcopenia was, with regional and age-related variations, 1-29% in community-dwelling populations, 14-33% in long-term care populations and 10% in the only acute hospital-care population examined. Moderate quality evidence suggests that exercise interventions improve muscle strength and physical performance. The results of nutrition interventions are equivocal due to the low number of studies and heterogeneous study design. Essential amino acid (EAA) supplements, including approximately 2.5 g of leucine, and beta-hydroxy beta-methylbutyric acid (HMB) supplements, show some effects in improving muscle mass and function parameters. Protein supplements have not shown consistent benefits on muscle mass and function. CONCLUSION: prevalence of sarcopenia is substantial in most geriatric settings. Well-designed, standardised studies evaluating exercise or nutrition interventions are needed before treatment guidelines can be developed. Physicians should screen for sarcopenia in both community and geriatric settings, with diagnosis based on muscle mass and function. Supervised resistance exercise is recommended for individuals with sarcopenia. EAA (with leucine) and HMB may improve muscle outcomes.","author":[{"dropping-particle":"","family":"Cruz-Jentoft","given":"Alfonso J","non-dropping-particle":"","parse-names":false,"suffix":""},{"dropping-particle":"","family":"Landi","given":"Francesco","non-dropping-particle":"","parse-names":false,"suffix":""},{"dropping-particle":"","family":"Schneider","given":"Stéphane M","non-dropping-particle":"","parse-names":false,"suffix":""},{"dropping-particle":"","family":"Zúñiga","given":"Clemente","non-dropping-particle":"","parse-names":false,"suffix":""},{"dropping-particle":"","family":"Arai","given":"Hidenori","non-dropping-particle":"","parse-names":false,"suffix":""},{"dropping-particle":"","family":"Boirie","given":"Yves","non-dropping-particle":"","parse-names":false,"suffix":""},{"dropping-particle":"","family":"Chen","given":"Liang-Kung K","non-dropping-particle":"","parse-names":false,"suffix":""},{"dropping-particle":"","family":"Fielding","given":"Roger A","non-dropping-particle":"","parse-names":false,"suffix":""},{"dropping-particle":"","family":"Martin","given":"Finbarr C","non-dropping-particle":"","parse-names":false,"suffix":""},{"dropping-particle":"","family":"Michel","given":"Jean-Pierre P","non-dropping-particle":"","parse-names":false,"suffix":""},{"dropping-particle":"","family":"Sieber","given":"Cornel","non-dropping-particle":"","parse-names":false,"suffix":""},{"dropping-particle":"","family":"Stout","given":"Jeffrey R","non-dropping-particle":"","parse-names":false,"suffix":""},{"dropping-particle":"","family":"Studenski","given":"Stephanie A","non-dropping-particle":"","parse-names":false,"suffix":""},{"dropping-particle":"","family":"Vellas","given":"Bruno","non-dropping-particle":"","parse-names":false,"suffix":""},{"dropping-particle":"","family":"Woo","given":"Jean","non-dropping-particle":"","parse-names":false,"suffix":""},{"dropping-particle":"","family":"Zamboni","given":"Mauro","non-dropping-particle":"","parse-names":false,"suffix":""},{"dropping-particle":"","family":"Cederholm","given":"Tommy","non-dropping-particle":"","parse-names":false,"suffix":""},{"dropping-particle":"","family":"Zuniga","given":"C","non-dropping-particle":"","parse-names":false,"suffix":""},{"dropping-particle":"","family":"Arai","given":"Hidenori","non-dropping-particle":"","parse-names":false,"suffix":""},{"dropping-particle":"","family":"Boirie","given":"Yves","non-dropping-particle":"","parse-names":false,"suffix":""},{"dropping-particle":"","family":"Chen","given":"Liang-Kung K","non-dropping-particle":"","parse-names":false,"suffix":""},{"dropping-particle":"","family":"Fielding","given":"Roger A","non-dropping-particle":"","parse-names":false,"suffix":""},{"dropping-particle":"","family":"Martin","given":"Finbarr C","non-dropping-particle":"","parse-names":false,"suffix":""},{"dropping-particle":"","family":"Michel","given":"Jean-Pierre P","non-dropping-particle":"","parse-names":false,"suffix":""},{"dropping-particle":"","family":"Sieber","given":"Cornel","non-dropping-particle":"","parse-names":false,"suffix":""},{"dropping-particle":"","family":"Stout","given":"Jeffrey R","non-dropping-particle":"","parse-names":false,"suffix":""},{"dropping-particle":"","family":"Studenski","given":"Stephanie A","non-dropping-particle":"","parse-names":false,"suffix":""},{"dropping-particle":"","family":"Vellas","given":"Bruno","non-dropping-particle":"","parse-names":false,"suffix":""},{"dropping-particle":"","family":"Woo","given":"Jean","non-dropping-particle":"","parse-names":false,"suffix":""},{"dropping-particle":"","family":"Zamboni","given":"Mauro","non-dropping-particle":"","parse-names":false,"suffix":""},{"dropping-particle":"","family":"Cederholm","given":"Tommy","non-dropping-particle":"","parse-names":false,"suffix":""}],"container-title":"Age and ageing","edition":"2014/09/23","id":"ITEM-3","issue":"6","issued":{"date-parts":[["2014","11"]]},"language":"Eng","note":"From Duplicate 2 (Prevalence of and interventions for sarcopenia in ageing adults: a systematic review. Report of the International Sarcopenia Initiative (EWGSOP and IWGS) - Cruz-Jentoft, Alfonso J; Landi, Francesco; Schneider, Stéphane M; Zúñiga, Clemente; Arai, Hidenori; Boirie, Yves; Chen, Liang-Kung K; Fielding, Roger A; Martin, Finbarr C; Michel, Jean-Pierre P; Sieber, Cornel; Stout, Jeffrey R; Studenski, Stephanie A; Vellas, Bruno; Woo, Jean; Zamboni, Mauro; Cederholm, Tommy; Zuniga, C; Arai, Hidenori; Boirie, Yves; Chen, Liang-Kung K; Fielding, Roger A; Martin, Finbarr C; Michel, Jean-Pierre P; Sieber, Cornel; Stout, Jeffrey R; Studenski, Stephanie A; Vellas, Bruno; Woo, Jean; Zamboni, Mauro; Cederholm, Tommy)\n\nFrom Duplicate 1 (Prevalence of and interventions for sarcopenia in ageing adults: a systematic review. Report of the International Sarcopenia Initiative (EWGSOP and IWGS) - Cruz-Jentoft, A J; Landi, F; Schneider, S M; Zuniga, C; Arai, H; Boirie, Y; Chen, L K; Fielding, R A; Martin, F C; Michel, J P; Sieber, C; Stout, J R; Studenski, S A; Vellas, B; Woo, J; Zamboni, M; Cederholm, T)\nAnd Duplicate 2 (Prevalence of and interventions for sarcopenia in ageing adults: a systematic review. Report of the International Sarcopenia Initiative (EWGSOP and IWGS) - Cruz-Jentoft, A J; Landi, F; Schneider, S M; Zuniga, C; Arai, H; Boirie, Y; Chen, L K; Fielding, R A; Martin, F C; Michel, J P; Sieber, C; Stout, J R; Studenski, S A; Vellas, B; Woo, J; Zamboni, M; Cederholm, T)\nAnd Duplicate 3 (Prevalence of and interventions for sarcopenia in ageing adults: a systematic review. Report of the International Sarcopenia Initiative (EWGSOP and IWGS) - Cruz-Jentoft, A J; Landi, F; Schneider, S M; Zuniga, C; Arai, H; Boirie, Y; Chen, L K; Fielding, R A; Martin, F C; Michel, J P; Sieber, C; Stout, J R; Studenski, S A; Vellas, B; Woo, J; Zamboni, M; Cederholm, T)\n\nCruz-Jentoft, Alfonso J\nLandi, Francesco\nSchneider, Stephane M\nZuniga, Clemente\nArai, Hidenori\nBoirie, Yves\nChen, Liang-Kung\nFielding, Roger A\nMartin, Finbarr C\nMichel, Jean-Pierre\nSieber, Cornel\nStout, Jeffrey R\nStudenski, Stephanie A\nVellas, Bruno\nWoo, Jean\nZamboni, Mauro\nCederholm, Tommy\nAge Ageing. 2014 Sep 21. pii: afu115.","page":"748-59","title":"Prevalence of and interventions for sarcopenia in ageing adults: a systematic review. Report of the International Sarcopenia Initiative (EWGSOP and IWGS)","type":"article-journal","volume":"43"},"uris":["http://www.mendeley.com/documents/?uuid=c932a0b0-1e67-4ab7-82a4-2fa81615faf5"]},{"id":"ITEM-4","itemData":{"DOI":"10.1007/s00198-017-3980-9","ISSN":"14332965","abstract":"© 2017, The Author(s). Summary: This systematic review summarizes the effect of combined exercise and nutrition intervention on muscle mass and muscle function. A total of 37 RCTs were identified. Results indicate that physical exercise has a positive impact on muscle mass and muscle function in subjects aged 65 years and older. However, any interactive effect of dietary supplementation appears to be limited. Introduction: In 2013, Denison et al. conducted a systematic review including 17 randomized controlled trials (RCTs) to explore the effect of combined exercise and nutrition intervention to improve muscle mass, muscle strength, or physical performance in older people. They concluded that further studies were needed to provide evidence upon which public health and clinical recommendations could be based. The purpose of the present work was to update the prior systematic review and include studies published up to October 2015. Methods: Using the electronic databases MEDLINE and EMBASE, we identified RCTs which assessed the combined effect of exercise training and nutritional supplementation on muscle strength, muscle mass, or physical performance in subjects aged 60 years and over. Study selection and data extraction were performed by two independent reviewers. Results: The search strategy identified 21 additional RCTs giving a total of 37 RCTs. Studies were heterogeneous in terms of protocols for physical exercise and dietary supplementation (proteins, essential amino acids, creatine, β-hydroxy-β-methylbuthyrate, vitamin D, multi-nutrients, or other). In 79% of the studies (27/34 RCTs), muscle mass increased with exercise but an additional effect of nutrition was only found in 8 RCTs (23.5%). Muscle strength increased in 82.8% of the studies (29/35 RCTs) following exercise intervention, and dietary supplementation showed additional benefits in only a small number of studies (8/35 RCTS, 22.8%). Finally, the majority of studies showed an increase of physical performance following exercise intervention (26/28 RCTs, 92.8%) but interaction with nutrition supplementation was only found in 14.3% of these studies (4/28 RCTs). Conclusion: Physical exercise has a positive impact on muscle mass and muscle function in healthy subjects aged 60 years and older. The biggest effect of exercise intervention, of any type, has been seen on physical performance (gait speed, chair rising test, balance, SPPB test, etc.). We observed huge variations in regard to the dieta…","author":[{"dropping-particle":"","family":"Beaudart","given":"C.","non-dropping-particle":"","parse-names":false,"suffix":""},{"dropping-particle":"","family":"Dawson","given":"A.","non-dropping-particle":"","parse-names":false,"suffix":""},{"dropping-particle":"","family":"Shaw","given":"S.C.","non-dropping-particle":"","parse-names":false,"suffix":""},{"dropping-particle":"","family":"Harvey","given":"N.C.","non-dropping-particle":"","parse-names":false,"suffix":""},{"dropping-particle":"","family":"Kanis","given":"J.A.","non-dropping-particle":"","parse-names":false,"suffix":""},{"dropping-particle":"","family":"Binkley","given":"N.","non-dropping-particle":"","parse-names":false,"suffix":""},{"dropping-particle":"","family":"Reginster","given":"J.Y.","non-dropping-particle":"","parse-names":false,"suffix":""},{"dropping-particle":"","family":"Chapurlat","given":"R.","non-dropping-particle":"","parse-names":false,"suffix":""},{"dropping-particle":"","family":"Chan","given":"D.C.","non-dropping-particle":"","parse-names":false,"suffix":""},{"dropping-particle":"","family":"Bruyère","given":"O.","non-dropping-particle":"","parse-names":false,"suffix":""},{"dropping-particle":"","family":"Rizzoli","given":"R.","non-dropping-particle":"","parse-names":false,"suffix":""},{"dropping-particle":"","family":"Cooper","given":"C.","non-dropping-particle":"","parse-names":false,"suffix":""},{"dropping-particle":"","family":"Dennison","given":"E.M.","non-dropping-particle":"","parse-names":false,"suffix":""},{"dropping-particle":"","family":"Adib","given":"G.","non-dropping-particle":"","parse-names":false,"suffix":""},{"dropping-particle":"","family":"Brandi","given":"M.L.","non-dropping-particle":"","parse-names":false,"suffix":""},{"dropping-particle":"","family":"Chevalley","given":"T.","non-dropping-particle":"","parse-names":false,"suffix":""},{"dropping-particle":"","family":"Clark","given":"P.","non-dropping-particle":"","parse-names":false,"suffix":""},{"dropping-particle":"","family":"Dawson-Hughes","given":"B.","non-dropping-particle":"","parse-names":false,"suffix":""},{"dropping-particle":"","family":"Maghraoui","given":"A.","non-dropping-particle":"El","parse-names":false,"suffix":""},{"dropping-particle":"","family":"Engelke","given":"K.","non-dropping-particle":"","parse-names":false,"suffix":""},{"dropping-particle":"","family":"Fielding","given":"R.","non-dropping-particle":"","parse-names":false,"suffix":""},{"dropping-particle":"","family":"Foldes","given":"A.J.","non-dropping-particle":"","parse-names":false,"suffix":""},{"dropping-particle":"","family":"Gugliemi","given":"G.","non-dropping-particle":"","parse-names":false,"suffix":""},{"dropping-particle":"","family":"Kaufman","given":"J.M.","non-dropping-particle":"","parse-names":false,"suffix":""},{"dropping-particle":"","family":"Larijani","given":"B.","non-dropping-particle":"","parse-names":false,"suffix":""},{"dropping-particle":"","family":"Lems","given":"W.","non-dropping-particle":"","parse-names":false,"suffix":""},{"dropping-particle":"","family":"Loon","given":"L.J.C.","non-dropping-particle":"van","parse-names":false,"suffix":""},{"dropping-particle":"","family":"Lyritis","given":"G.P.","non-dropping-particle":"","parse-names":false,"suffix":""},{"dropping-particle":"","family":"Maggi","given":"S.","non-dropping-particle":"","parse-names":false,"suffix":""},{"dropping-particle":"","family":"Masi","given":"L.","non-dropping-particle":"","parse-names":false,"suffix":""},{"dropping-particle":"","family":"McCloskey","given":"E.","non-dropping-particle":"","parse-names":false,"suffix":""},{"dropping-particle":"","family":"Messina","given":"O.D.","non-dropping-particle":"","parse-names":false,"suffix":""},{"dropping-particle":"","family":"Papaioannou","given":"A.","non-dropping-particle":"","parse-names":false,"suffix":""},{"dropping-particle":"","family":"Szulc","given":"P.","non-dropping-particle":"","parse-names":false,"suffix":""},{"dropping-particle":"","family":"Veronese","given":"N.","non-dropping-particle":"","parse-names":false,"suffix":""}],"container-title":"Osteoporosis International","id":"ITEM-4","issue":"6","issued":{"date-parts":[["2017"]]},"title":"Nutrition and physical activity in the prevention and treatment of sarcopenia: systematic review","type":"article-journal","volume":"28"},"uris":["http://www.mendeley.com/documents/?uuid=89c4579e-0381-4515-b614-f335a91bd614","http://www.mendeley.com/documents/?uuid=1419442f-4765-3cf8-ac18-bce996ae1edf","http://www.mendeley.com/documents/?uuid=ec5b07ba-29ef-4071-81ec-0e90b22b4b94"]},{"id":"ITEM-5","itemData":{"DOI":"10.1007/s40520-019-01371-8","ISSN":"17208319","abstract":"Background: Sarcopenia is prevalent in ever growing older adult populations. Aim: The aim of this study was to quantify the association between physical activity (PA), sedentary time (SED), cardiorespiratory fitness (CRF), and strength (STR) with sarcopenia in community-dwelling older adults using a standard definition of sarcopenia. Method: This cross-sectional study examined a large group of older adults (n = 304) who provided a broad range of health, lifestyle, and socioeconomic variables. PA was assessed using a pedometer worn for 7 days. SED was assessed by survey. CRF was assessed by 400-m walk test performance. Strength (STR) was assessed by one-repetition maximum chest and leg press. The European Working Group on Sarcopenia in Older People (EWGSOP) definition defined 10.9% (n = 33) as sarcopenic. Results: PA, CRF, and STR were significantly associated with sarcopenia components (muscle mass, muscle strength, and muscle function). The upper two-thirds of CRF had significantly lower odds of having sarcopenia, whereas the strongest third of STR was associated with lower odds of sarcopenia. All exposure variables had significant odds ratios associated with at least one component of sarcopenia. Joint analyses indicated additional benefit may be gained from being both active (≥ 5000 daily steps) and fit (top two-thirds), active and strong (top two-thirds), and fit and strong. Discussion: Overall, objectively measured PA, CRF, and STR, and self-reported SED, are associated with sarcopenia and its components. Conclusion: Therefore, older adults who are physically active, maintain higher levels of cardiorespiratory fitness, upper and lower body strength, and avoid sedentary time may have significantly lower odds of sarcopenia.","author":[{"dropping-particle":"","family":"Meier","given":"Nathan F.","non-dropping-particle":"","parse-names":false,"suffix":""},{"dropping-particle":"","family":"Lee","given":"Duck chul","non-dropping-particle":"","parse-names":false,"suffix":""}],"container-title":"Aging Clinical and Experimental Research","id":"ITEM-5","issued":{"date-parts":[["2019","10","17"]]},"page":"1-13","publisher":"Springer International Publishing","title":"Physical activity and sarcopenia in older adults","type":"article-journal"},"uris":["http://www.mendeley.com/documents/?uuid=3b3ab108-e615-3bb2-8e19-9c1f80873913","http://www.mendeley.com/documents/?uuid=d279bb98-8d39-4847-a028-9ef2530c9ef9"]},{"id":"ITEM-6","itemData":{"DOI":"10.1007/s40520-019-01282-8","ISSN":"17208319","abstract":"Healthy aging is defined as the process of developing and maintaining the functional ability that enables wellbeing in older age. Healthy aging is dependent upon intrinsic capacity, a composite of physical and mental capacities, and the environment an individual inhabits and their interactions with it. Maintenance of musculoskeletal health during aging is a key determinant of functional ability. Sarcopenia, osteoporosis and osteoarthritis, are a triad of musculoskeletal diseases of aging that are major contributors to the global burden of disease and disability worldwide. The prevention and management of these disorders is of increasing importance with pressure mounting from the aging population. In a new initiative, the Chinese Medical Association, Chinese Society of Osteoporosis and Bone Mineral Research, and the European Society for Clinical and Economic Aspects of Osteoporosis, Osteoarthritis and Musculoskeletal Diseases jointly organized a symposium to discuss current practices and policies in the management of musculoskeletal aging. The meeting allowed experts from Europe and China to share their experience and recommendations for the management of these three major diseases. Discussing and analyzing similarities and differences in their practice should lead, through a mutual enrichment of knowledge, to better management of these diseases, in order to preserve intrinsic capacity and retard the age-related degradation of physical ability. In future, it is hoped that sharing of knowledge and best practice will advance global strategies to reduce the burden of musculoskeletal disease and promote healthy aging tailored to meet the individual patient’s needs.","author":[{"dropping-particle":"","family":"Xia","given":"Weibo","non-dropping-particle":"","parse-names":false,"suffix":""},{"dropping-particle":"","family":"Cooper","given":"Cyrus","non-dropping-particle":"","parse-names":false,"suffix":""},{"dropping-particle":"","family":"Li","given":"Mei","non-dropping-particle":"","parse-names":false,"suffix":""},{"dropping-particle":"","family":"Xu","given":"Ling","non-dropping-particle":"","parse-names":false,"suffix":""},{"dropping-particle":"","family":"Rizzoli","given":"Rene","non-dropping-particle":"","parse-names":false,"suffix":""},{"dropping-particle":"","family":"Zhu","given":"Mei","non-dropping-particle":"","parse-names":false,"suffix":""},{"dropping-particle":"","family":"Lin","given":"Hua","non-dropping-particle":"","parse-names":false,"suffix":""},{"dropping-particle":"","family":"Beard","given":"John","non-dropping-particle":"","parse-names":false,"suffix":""},{"dropping-particle":"","family":"Ding","given":"Yue","non-dropping-particle":"","parse-names":false,"suffix":""},{"dropping-particle":"","family":"Yu","given":"Wei","non-dropping-particle":"","parse-names":false,"suffix":""},{"dropping-particle":"","family":"Cavalier","given":"Etienne","non-dropping-particle":"","parse-names":false,"suffix":""},{"dropping-particle":"","family":"Zhang","given":"Zhenlin","non-dropping-particle":"","parse-names":false,"suffix":""},{"dropping-particle":"","family":"Kanis","given":"John A.","non-dropping-particle":"","parse-names":false,"suffix":""},{"dropping-particle":"","family":"Cheng","given":"Qun","non-dropping-particle":"","parse-names":false,"suffix":""},{"dropping-particle":"","family":"Wang","given":"Quimei","non-dropping-particle":"","parse-names":false,"suffix":""},{"dropping-particle":"","family":"Reginster","given":"Jean Yves","non-dropping-particle":"","parse-names":false,"suffix":""}],"container-title":"Aging Clinical and Experimental Research","id":"ITEM-6","issue":"10","issued":{"date-parts":[["2019","10","1"]]},"page":"1351-1373","publisher":"Springer International Publishing","title":"East meets West: current practices and policies in the management of musculoskeletal aging","type":"article","volume":"31"},"uris":["http://www.mendeley.com/documents/?uuid=0ee8ecf2-cc4f-35d8-be39-5710918d363d","http://www.mendeley.com/documents/?uuid=3701d032-6fbb-4ff1-bed3-ac83da658b98"]}],"mendeley":{"formattedCitation":"[14, 62, 78–81]","plainTextFormattedCitation":"[14, 62, 78–81]","previouslyFormattedCitation":"[14, 60, 76–79]"},"properties":{"noteIndex":0},"schema":"https://github.com/citation-style-language/schema/raw/master/csl-citation.json"}</w:instrText>
      </w:r>
      <w:r w:rsidR="008918C7">
        <w:rPr>
          <w:rFonts w:ascii="Palatino Linotype" w:hAnsi="Palatino Linotype"/>
          <w:lang w:val="en-GB"/>
        </w:rPr>
        <w:fldChar w:fldCharType="separate"/>
      </w:r>
      <w:r w:rsidR="009D3AAF" w:rsidRPr="009D3AAF">
        <w:rPr>
          <w:rFonts w:ascii="Palatino Linotype" w:hAnsi="Palatino Linotype"/>
          <w:noProof/>
          <w:lang w:val="en-GB"/>
        </w:rPr>
        <w:t>[14, 62, 78–81]</w:t>
      </w:r>
      <w:r w:rsidR="008918C7">
        <w:rPr>
          <w:rFonts w:ascii="Palatino Linotype" w:hAnsi="Palatino Linotype"/>
          <w:lang w:val="en-GB"/>
        </w:rPr>
        <w:fldChar w:fldCharType="end"/>
      </w:r>
      <w:r>
        <w:rPr>
          <w:rFonts w:ascii="Palatino Linotype" w:hAnsi="Palatino Linotype"/>
          <w:lang w:val="en-GB"/>
        </w:rPr>
        <w:t xml:space="preserve">. The level of physical </w:t>
      </w:r>
      <w:r w:rsidR="00E43A1A">
        <w:rPr>
          <w:rFonts w:ascii="Palatino Linotype" w:hAnsi="Palatino Linotype"/>
          <w:lang w:val="en-GB"/>
        </w:rPr>
        <w:t>activity</w:t>
      </w:r>
      <w:r>
        <w:rPr>
          <w:rFonts w:ascii="Palatino Linotype" w:hAnsi="Palatino Linotype"/>
          <w:lang w:val="en-GB"/>
        </w:rPr>
        <w:t xml:space="preserve"> </w:t>
      </w:r>
      <w:r w:rsidR="00220BBF">
        <w:rPr>
          <w:rFonts w:ascii="Palatino Linotype" w:hAnsi="Palatino Linotype"/>
          <w:lang w:val="en-GB"/>
        </w:rPr>
        <w:t>within</w:t>
      </w:r>
      <w:r>
        <w:rPr>
          <w:rFonts w:ascii="Palatino Linotype" w:hAnsi="Palatino Linotype"/>
          <w:lang w:val="en-GB"/>
        </w:rPr>
        <w:t xml:space="preserve"> the included population is therefore an important co</w:t>
      </w:r>
      <w:r w:rsidR="009A036C">
        <w:rPr>
          <w:rFonts w:ascii="Palatino Linotype" w:hAnsi="Palatino Linotype"/>
          <w:lang w:val="en-GB"/>
        </w:rPr>
        <w:t>n</w:t>
      </w:r>
      <w:r>
        <w:rPr>
          <w:rFonts w:ascii="Palatino Linotype" w:hAnsi="Palatino Linotype"/>
          <w:lang w:val="en-GB"/>
        </w:rPr>
        <w:t xml:space="preserve">founding factor. We recommend </w:t>
      </w:r>
      <w:r w:rsidR="00E43A1A">
        <w:rPr>
          <w:rFonts w:ascii="Palatino Linotype" w:hAnsi="Palatino Linotype"/>
          <w:lang w:val="en-GB"/>
        </w:rPr>
        <w:t>recording</w:t>
      </w:r>
      <w:r>
        <w:rPr>
          <w:rFonts w:ascii="Palatino Linotype" w:hAnsi="Palatino Linotype"/>
          <w:lang w:val="en-GB"/>
        </w:rPr>
        <w:t xml:space="preserve"> physical activity</w:t>
      </w:r>
      <w:r w:rsidR="00E43A1A">
        <w:rPr>
          <w:rFonts w:ascii="Palatino Linotype" w:hAnsi="Palatino Linotype"/>
          <w:lang w:val="en-GB"/>
        </w:rPr>
        <w:t xml:space="preserve"> using technologic</w:t>
      </w:r>
      <w:r w:rsidR="009E5EA4">
        <w:rPr>
          <w:rFonts w:ascii="Palatino Linotype" w:hAnsi="Palatino Linotype"/>
          <w:lang w:val="en-GB"/>
        </w:rPr>
        <w:t>al</w:t>
      </w:r>
      <w:r w:rsidR="00E43A1A">
        <w:rPr>
          <w:rFonts w:ascii="Palatino Linotype" w:hAnsi="Palatino Linotype"/>
          <w:lang w:val="en-GB"/>
        </w:rPr>
        <w:t xml:space="preserve"> devices that may record all day activity, and not only exercises (e.g. </w:t>
      </w:r>
      <w:r w:rsidR="00061138">
        <w:rPr>
          <w:rFonts w:ascii="Palatino Linotype" w:hAnsi="Palatino Linotype"/>
          <w:lang w:val="en-GB"/>
        </w:rPr>
        <w:t xml:space="preserve">by an inertial measurement unit, </w:t>
      </w:r>
      <w:r w:rsidR="00E43A1A">
        <w:rPr>
          <w:rFonts w:ascii="Palatino Linotype" w:hAnsi="Palatino Linotype"/>
          <w:lang w:val="en-GB"/>
        </w:rPr>
        <w:t xml:space="preserve">pedometers, connected watches, etc.), and, if not logistically possible, to document carefully the level of physical activity, at </w:t>
      </w:r>
      <w:r w:rsidR="009E0596">
        <w:rPr>
          <w:rFonts w:ascii="Palatino Linotype" w:hAnsi="Palatino Linotype"/>
          <w:lang w:val="en-GB"/>
        </w:rPr>
        <w:t xml:space="preserve">least on </w:t>
      </w:r>
      <w:r w:rsidR="00E43A1A">
        <w:rPr>
          <w:rFonts w:ascii="Palatino Linotype" w:hAnsi="Palatino Linotype"/>
          <w:lang w:val="en-GB"/>
        </w:rPr>
        <w:t>each time point assessment, through physical activity questionnaires</w:t>
      </w:r>
      <w:r w:rsidR="00220BBF">
        <w:rPr>
          <w:rFonts w:ascii="Palatino Linotype" w:hAnsi="Palatino Linotype"/>
          <w:lang w:val="en-GB"/>
        </w:rPr>
        <w:t xml:space="preserve"> that have been validated for use in older populations</w:t>
      </w:r>
      <w:r w:rsidR="00E43A1A">
        <w:rPr>
          <w:rFonts w:ascii="Palatino Linotype" w:hAnsi="Palatino Linotype"/>
          <w:lang w:val="en-GB"/>
        </w:rPr>
        <w:t xml:space="preserve"> (e.g. Minnesota scale</w:t>
      </w:r>
      <w:r w:rsidR="00421ECC">
        <w:rPr>
          <w:rFonts w:ascii="Palatino Linotype" w:hAnsi="Palatino Linotype"/>
          <w:lang w:val="en-GB"/>
        </w:rPr>
        <w:t xml:space="preserve"> </w:t>
      </w:r>
      <w:r w:rsidR="008918C7">
        <w:rPr>
          <w:rFonts w:ascii="Palatino Linotype" w:hAnsi="Palatino Linotype"/>
          <w:lang w:val="en-GB"/>
        </w:rPr>
        <w:fldChar w:fldCharType="begin" w:fldLock="1"/>
      </w:r>
      <w:r w:rsidR="009D3AAF">
        <w:rPr>
          <w:rFonts w:ascii="Palatino Linotype" w:hAnsi="Palatino Linotype"/>
          <w:lang w:val="en-GB"/>
        </w:rPr>
        <w:instrText>ADDIN CSL_CITATION {"citationItems":[{"id":"ITEM-1","itemData":{"DOI":"10.1016/0021-9681(78)90058-9","ISSN":"0021-9681","abstract":"A questionnaire is presented for evaluating energy expenditure in leisure time physical activity (LTA), along with information about its validity. Administered by trained interviewers, the Minnesota LTA questionnaire is valid for use in longitudinal studies in North America of the relationship of physical activity to disease, in weight control</w:instrText>
      </w:r>
      <w:r w:rsidR="009D3AAF" w:rsidRPr="007274EE">
        <w:rPr>
          <w:rFonts w:ascii="Palatino Linotype" w:hAnsi="Palatino Linotype"/>
        </w:rPr>
        <w:instrText xml:space="preserve"> clinics, and in other researches in which leisure time physical activity is of interest.","author":[{"dropping-particle":"","family":"Taylor","given":"Henry L.","non-dropping-particle":"","parse-names":false,"suffix":""},{"dropping-particle":"","family":"Jacobs","given":"David R.","non-dropping-particle":"","parse-names":false,"suffix":""},{"dropping-particle":"","family":"Schucker","given":"Beth","non-dropping-particle":"","parse-names":false,"suffix":""},{"dropping-particle":"","family":"Knudsen","given":"Joan","non-dropping-particle":"","parse-names":false,"suffi</w:instrText>
      </w:r>
      <w:r w:rsidR="009D3AAF" w:rsidRPr="009D3AAF">
        <w:rPr>
          <w:rFonts w:ascii="Palatino Linotype" w:hAnsi="Palatino Linotype"/>
        </w:rPr>
        <w:instrText>x":""},{"dropping-particle":"","family":"Leon","given":"Arthur S.","non-dropping-particle":"","parse-names":false,"suffix":""},{"dropping-particle":"","family":"Debacker","given":"Guy","non-dropping-particle":"","parse-names":false,"suffix":""}],"container-title":"Journal of Chronic Diseases","id":"ITEM-1","issue":"12","issued":{"date-parts":[["1978","1","1"]]},"page":"741-755","publisher":"Elsevier","title":"A questionnaire for the assessment of leisure time physical activities","type":"article-journal","volume":"31"},"uris":["http://www.mendeley.com/documents/?uuid=3d74957a-eaac-34cd-9cbb-bde21999a126","http://www.mendeley.com/documents/?uuid=bfbd7d2f-020e-4980-8810-3e4f8fd806e6"]}],"mendeley":{"formattedCitation":"[82]","plainTextFormattedCitation":"[82]","previouslyFormattedCitation":"[80]"},"properties":{"noteIndex":0},"schema":"https://github.com/citation-style-language/schema/raw/master/csl-citation.json"}</w:instrText>
      </w:r>
      <w:r w:rsidR="008918C7">
        <w:rPr>
          <w:rFonts w:ascii="Palatino Linotype" w:hAnsi="Palatino Linotype"/>
          <w:lang w:val="en-GB"/>
        </w:rPr>
        <w:fldChar w:fldCharType="separate"/>
      </w:r>
      <w:r w:rsidR="009D3AAF" w:rsidRPr="009D3AAF">
        <w:rPr>
          <w:rFonts w:ascii="Palatino Linotype" w:hAnsi="Palatino Linotype"/>
          <w:noProof/>
        </w:rPr>
        <w:t>[82]</w:t>
      </w:r>
      <w:r w:rsidR="008918C7">
        <w:rPr>
          <w:rFonts w:ascii="Palatino Linotype" w:hAnsi="Palatino Linotype"/>
          <w:lang w:val="en-GB"/>
        </w:rPr>
        <w:fldChar w:fldCharType="end"/>
      </w:r>
      <w:r w:rsidR="00E43A1A" w:rsidRPr="00F82896">
        <w:rPr>
          <w:rFonts w:ascii="Palatino Linotype" w:hAnsi="Palatino Linotype"/>
        </w:rPr>
        <w:t xml:space="preserve">, </w:t>
      </w:r>
      <w:r w:rsidR="008918C7" w:rsidRPr="00F82896">
        <w:rPr>
          <w:rFonts w:ascii="Palatino Linotype" w:hAnsi="Palatino Linotype"/>
        </w:rPr>
        <w:t>I</w:t>
      </w:r>
      <w:r w:rsidR="00E43A1A" w:rsidRPr="00F82896">
        <w:rPr>
          <w:rFonts w:ascii="Palatino Linotype" w:hAnsi="Palatino Linotype"/>
        </w:rPr>
        <w:t xml:space="preserve">PAQ-E questionnaire, </w:t>
      </w:r>
      <w:r w:rsidR="00061138" w:rsidRPr="00F82896">
        <w:rPr>
          <w:rFonts w:ascii="Palatino Linotype" w:hAnsi="Palatino Linotype"/>
        </w:rPr>
        <w:t>PASE</w:t>
      </w:r>
      <w:r w:rsidR="00286ACD">
        <w:rPr>
          <w:rFonts w:ascii="Palatino Linotype" w:hAnsi="Palatino Linotype"/>
          <w:lang w:val="en-GB"/>
        </w:rPr>
        <w:fldChar w:fldCharType="begin" w:fldLock="1"/>
      </w:r>
      <w:r w:rsidR="009D3AAF">
        <w:rPr>
          <w:rFonts w:ascii="Palatino Linotype" w:hAnsi="Palatino Linotype"/>
        </w:rPr>
        <w:instrText>ADDIN CSL_CITATION {"citationItems":[{"id":"ITEM-1","itemData":{"DOI":"10.3390/ijerph10093967","ISSN":"16617827","PMID":"23999546","abstract":"A lack of physical activity is common in older adults. With the increasing Canadian senior population, identifying the minimum amount of physical activity required to maintain the health of older adults is essential. This study determined whether relationships existed between the Physical Activity Scale for the Elderly (PASE) questionnaire scores and health-related measurements in community-dwelling older adults who were meal delivery volunteers. Based on observed relationships between PASE scores and health parameters, the study attempted to predict an optimal PASE score that would ensure health parameters fell in desired ranges for older adults. 297 community-dwelling older adults (61.3% female) 60-88 years (72.1 ± 6.5) completed the PASE and were measured for body composition, cardiovascular and blood parameters, flexibility, and handgrip strength. Significant regression models using PASE were produced for the health-related measures, but the relationships were not meaningful due to low predictive capacity. However, correlational data suggested that a minimum PASE score of ~140 for males and ~120 for females predicted a favorable waist circumference. In conclusion, findings demonstrated that PASE scores cannot be used to predict healthy physical measures, although the relationships between PASE and WC could be used to encourage older adults to become more physically active. © 2013 by the authors; licensee MDPI, Basel, Switzerland.","author":[{"dropping-particle":"","family":"Logan","given":"Samantha L.","non-dropping-particle":"","parse-names":false,"suffix":""},{"dropping-particle":"","family":"Gottlieb","given":"Benjamin H.","non-dropping-particle":"","parse-names":false,"suffix":""},{"dropping-particle":"","family":"Maitl","given":"Scott B.","non-dropping-particle":"","parse-names":false,"suffix":""},{"dropping-particle":"","family":"Meegan","given":"Dan","non-dropping-particle":"","parse-names":false,"suffix":""},{"dropping-particle":"","family":"Spriet","given":"Lawrence L.","non-dropping-particle":"","parse-names":false,"suffix":""}],"container-title":"International Journal of Environmental Research and Public Health","id":"ITEM-1","issue":"9","issued":{"date-parts":[["2013"]]},"page":"3967-3986","publisher":"Multidisciplinary Digital Publishing Institute (MDPI)","title":"The physical activity scale for the elderly (PASE) questionnaire; Does it predict physical health?","type":"article-journal","volume":"10"},"uris":["http://www.mendeley.com/documents/?uuid=cc41046d-dd3a-37fc-9385-4adabd17b471"]}],"mendeley":{"formattedCitation":"[83]","plainTextFormattedCitation":"[83]","previouslyFormattedCitation":"[81]"},"properties":{"noteIndex":0},"schema":"https://github.com/citation-style-language/schema/raw/master/csl-citation.json"}</w:instrText>
      </w:r>
      <w:r w:rsidR="00286ACD">
        <w:rPr>
          <w:rFonts w:ascii="Palatino Linotype" w:hAnsi="Palatino Linotype"/>
          <w:lang w:val="en-GB"/>
        </w:rPr>
        <w:fldChar w:fldCharType="separate"/>
      </w:r>
      <w:r w:rsidR="009D3AAF" w:rsidRPr="009D3AAF">
        <w:rPr>
          <w:rFonts w:ascii="Palatino Linotype" w:hAnsi="Palatino Linotype"/>
          <w:noProof/>
        </w:rPr>
        <w:t>[83]</w:t>
      </w:r>
      <w:r w:rsidR="00286ACD">
        <w:rPr>
          <w:rFonts w:ascii="Palatino Linotype" w:hAnsi="Palatino Linotype"/>
          <w:lang w:val="en-GB"/>
        </w:rPr>
        <w:fldChar w:fldCharType="end"/>
      </w:r>
      <w:r w:rsidR="00061138" w:rsidRPr="00F82896">
        <w:rPr>
          <w:rFonts w:ascii="Palatino Linotype" w:hAnsi="Palatino Linotype"/>
        </w:rPr>
        <w:t xml:space="preserve">, </w:t>
      </w:r>
      <w:r w:rsidR="00E43A1A" w:rsidRPr="00F82896">
        <w:rPr>
          <w:rFonts w:ascii="Palatino Linotype" w:hAnsi="Palatino Linotype"/>
        </w:rPr>
        <w:t xml:space="preserve">etc.). </w:t>
      </w:r>
    </w:p>
    <w:p w14:paraId="66CDD31B" w14:textId="70095173" w:rsidR="00ED23CD" w:rsidRDefault="00C13141" w:rsidP="004D1C13">
      <w:pPr>
        <w:jc w:val="both"/>
        <w:rPr>
          <w:rFonts w:ascii="Palatino Linotype" w:hAnsi="Palatino Linotype"/>
          <w:lang w:val="en-GB"/>
        </w:rPr>
      </w:pPr>
      <w:r w:rsidRPr="009D3AAF">
        <w:rPr>
          <w:rFonts w:ascii="Palatino Linotype" w:hAnsi="Palatino Linotype"/>
        </w:rPr>
        <w:t xml:space="preserve">The population of </w:t>
      </w:r>
      <w:proofErr w:type="spellStart"/>
      <w:r w:rsidRPr="009D3AAF">
        <w:rPr>
          <w:rFonts w:ascii="Palatino Linotype" w:hAnsi="Palatino Linotype"/>
        </w:rPr>
        <w:t>interest</w:t>
      </w:r>
      <w:proofErr w:type="spellEnd"/>
      <w:r w:rsidRPr="009D3AAF">
        <w:rPr>
          <w:rFonts w:ascii="Palatino Linotype" w:hAnsi="Palatino Linotype"/>
        </w:rPr>
        <w:t xml:space="preserve"> (e.g. </w:t>
      </w:r>
      <w:proofErr w:type="spellStart"/>
      <w:r w:rsidRPr="009D3AAF">
        <w:rPr>
          <w:rFonts w:ascii="Palatino Linotype" w:hAnsi="Palatino Linotype"/>
        </w:rPr>
        <w:t>older</w:t>
      </w:r>
      <w:proofErr w:type="spellEnd"/>
      <w:r w:rsidRPr="009D3AAF">
        <w:rPr>
          <w:rFonts w:ascii="Palatino Linotype" w:hAnsi="Palatino Linotype"/>
        </w:rPr>
        <w:t xml:space="preserve"> people </w:t>
      </w:r>
      <w:proofErr w:type="spellStart"/>
      <w:r w:rsidRPr="009D3AAF">
        <w:rPr>
          <w:rFonts w:ascii="Palatino Linotype" w:hAnsi="Palatino Linotype"/>
        </w:rPr>
        <w:t>suffering</w:t>
      </w:r>
      <w:proofErr w:type="spellEnd"/>
      <w:r w:rsidRPr="009D3AAF">
        <w:rPr>
          <w:rFonts w:ascii="Palatino Linotype" w:hAnsi="Palatino Linotype"/>
        </w:rPr>
        <w:t xml:space="preserve"> </w:t>
      </w:r>
      <w:proofErr w:type="spellStart"/>
      <w:r w:rsidRPr="009D3AAF">
        <w:rPr>
          <w:rFonts w:ascii="Palatino Linotype" w:hAnsi="Palatino Linotype"/>
        </w:rPr>
        <w:t>from</w:t>
      </w:r>
      <w:proofErr w:type="spellEnd"/>
      <w:r w:rsidRPr="009D3AAF">
        <w:rPr>
          <w:rFonts w:ascii="Palatino Linotype" w:hAnsi="Palatino Linotype"/>
        </w:rPr>
        <w:t xml:space="preserve"> muscle </w:t>
      </w:r>
      <w:proofErr w:type="spellStart"/>
      <w:r w:rsidRPr="009D3AAF">
        <w:rPr>
          <w:rFonts w:ascii="Palatino Linotype" w:hAnsi="Palatino Linotype"/>
        </w:rPr>
        <w:t>impairments</w:t>
      </w:r>
      <w:proofErr w:type="spellEnd"/>
      <w:r w:rsidRPr="009D3AAF">
        <w:rPr>
          <w:rFonts w:ascii="Palatino Linotype" w:hAnsi="Palatino Linotype"/>
        </w:rPr>
        <w:t xml:space="preserve">) </w:t>
      </w:r>
      <w:proofErr w:type="spellStart"/>
      <w:r w:rsidR="00061138" w:rsidRPr="009D3AAF">
        <w:rPr>
          <w:rFonts w:ascii="Palatino Linotype" w:hAnsi="Palatino Linotype"/>
        </w:rPr>
        <w:t>is</w:t>
      </w:r>
      <w:proofErr w:type="spellEnd"/>
      <w:r w:rsidR="00061138" w:rsidRPr="009D3AAF">
        <w:rPr>
          <w:rFonts w:ascii="Palatino Linotype" w:hAnsi="Palatino Linotype"/>
        </w:rPr>
        <w:t xml:space="preserve"> a population at high </w:t>
      </w:r>
      <w:proofErr w:type="spellStart"/>
      <w:r w:rsidR="00061138" w:rsidRPr="009D3AAF">
        <w:rPr>
          <w:rFonts w:ascii="Palatino Linotype" w:hAnsi="Palatino Linotype"/>
        </w:rPr>
        <w:t>risk</w:t>
      </w:r>
      <w:proofErr w:type="spellEnd"/>
      <w:r w:rsidR="00061138" w:rsidRPr="009D3AAF">
        <w:rPr>
          <w:rFonts w:ascii="Palatino Linotype" w:hAnsi="Palatino Linotype"/>
        </w:rPr>
        <w:t xml:space="preserve"> of </w:t>
      </w:r>
      <w:proofErr w:type="spellStart"/>
      <w:r w:rsidR="00061138" w:rsidRPr="009D3AAF">
        <w:rPr>
          <w:rFonts w:ascii="Palatino Linotype" w:hAnsi="Palatino Linotype"/>
        </w:rPr>
        <w:t>polypharmacy</w:t>
      </w:r>
      <w:proofErr w:type="spellEnd"/>
      <w:r w:rsidR="00061138" w:rsidRPr="009D3AAF">
        <w:rPr>
          <w:rFonts w:ascii="Palatino Linotype" w:hAnsi="Palatino Linotype"/>
        </w:rPr>
        <w:t xml:space="preserve">. </w:t>
      </w:r>
      <w:r w:rsidR="00F6786D">
        <w:rPr>
          <w:rFonts w:ascii="Palatino Linotype" w:hAnsi="Palatino Linotype"/>
          <w:lang w:val="en-GB"/>
        </w:rPr>
        <w:t>For good clinical practice, poly</w:t>
      </w:r>
      <w:r w:rsidR="001F1F65">
        <w:rPr>
          <w:rFonts w:ascii="Palatino Linotype" w:hAnsi="Palatino Linotype"/>
          <w:lang w:val="en-GB"/>
        </w:rPr>
        <w:t>-</w:t>
      </w:r>
      <w:r w:rsidR="00F6786D">
        <w:rPr>
          <w:rFonts w:ascii="Palatino Linotype" w:hAnsi="Palatino Linotype"/>
          <w:lang w:val="en-GB"/>
        </w:rPr>
        <w:t>medication</w:t>
      </w:r>
      <w:r w:rsidR="00A15079">
        <w:rPr>
          <w:rFonts w:ascii="Palatino Linotype" w:hAnsi="Palatino Linotype"/>
          <w:lang w:val="en-GB"/>
        </w:rPr>
        <w:t xml:space="preserve"> also</w:t>
      </w:r>
      <w:r w:rsidR="00F6786D">
        <w:rPr>
          <w:rFonts w:ascii="Palatino Linotype" w:hAnsi="Palatino Linotype"/>
          <w:lang w:val="en-GB"/>
        </w:rPr>
        <w:t xml:space="preserve"> needs to be </w:t>
      </w:r>
      <w:r w:rsidR="001F1F65">
        <w:rPr>
          <w:rFonts w:ascii="Palatino Linotype" w:hAnsi="Palatino Linotype"/>
          <w:lang w:val="en-GB"/>
        </w:rPr>
        <w:t>carefully</w:t>
      </w:r>
      <w:r w:rsidR="00F6786D">
        <w:rPr>
          <w:rFonts w:ascii="Palatino Linotype" w:hAnsi="Palatino Linotype"/>
          <w:lang w:val="en-GB"/>
        </w:rPr>
        <w:t xml:space="preserve"> recorded</w:t>
      </w:r>
      <w:r w:rsidR="00D70030">
        <w:rPr>
          <w:rFonts w:ascii="Palatino Linotype" w:hAnsi="Palatino Linotype"/>
          <w:lang w:val="en-GB"/>
        </w:rPr>
        <w:t xml:space="preserve"> at baseline and </w:t>
      </w:r>
      <w:r w:rsidR="007A1DD5">
        <w:rPr>
          <w:rFonts w:ascii="Palatino Linotype" w:hAnsi="Palatino Linotype"/>
          <w:lang w:val="en-GB"/>
        </w:rPr>
        <w:t>at each time point assessment</w:t>
      </w:r>
      <w:r w:rsidR="00E70188">
        <w:rPr>
          <w:rFonts w:ascii="Palatino Linotype" w:hAnsi="Palatino Linotype"/>
          <w:lang w:val="en-GB"/>
        </w:rPr>
        <w:t>,</w:t>
      </w:r>
      <w:r w:rsidR="007B786C">
        <w:rPr>
          <w:rFonts w:ascii="Palatino Linotype" w:hAnsi="Palatino Linotype"/>
          <w:lang w:val="en-GB"/>
        </w:rPr>
        <w:t xml:space="preserve">  specifically in multi-morbid older patients with polypharmacy</w:t>
      </w:r>
      <w:r w:rsidR="00421ECC">
        <w:rPr>
          <w:rFonts w:ascii="Palatino Linotype" w:hAnsi="Palatino Linotype"/>
          <w:lang w:val="en-GB"/>
        </w:rPr>
        <w:t xml:space="preserve"> </w:t>
      </w:r>
      <w:r w:rsidR="007B786C">
        <w:rPr>
          <w:rFonts w:ascii="Palatino Linotype" w:hAnsi="Palatino Linotype"/>
          <w:lang w:val="en-GB"/>
        </w:rPr>
        <w:fldChar w:fldCharType="begin" w:fldLock="1"/>
      </w:r>
      <w:r w:rsidR="009D3AAF">
        <w:rPr>
          <w:rFonts w:ascii="Palatino Linotype" w:hAnsi="Palatino Linotype"/>
          <w:lang w:val="en-GB"/>
        </w:rPr>
        <w:instrText>ADDIN CSL_CITATION {"citationItems":[{"id":"ITEM-1","itemData":{"DOI":"10.1186/s12916-018-1007-9","ISSN":"1741-7015","abstract":"Background: Comparisons of clinical trial findings in systematic reviews can be hindered by the heterogeneity of the outcomes reported. Moreover, the outcomes that matter most to patients might be underreported. A core outcome set can address these issues, as it defines a minimum set of outcomes that should be reported in all clinical trials in a particular area of research. The objective in this study was to develop a core outcome set for clinical trials of medication review in multi-morbid older patients with polypharmacy. Methods: Firstly, eligible outcomes were identified through a systematic review of trials of medication review in older patients (≥65 years) and interviews with 15 older patients. Secondly, an international three-round Delphi survey in four countries involving patients, healthcare professionals, and experts was conducted to validate outcomes to be included in the core outcome set. Consensus meetings were conducted to validate the results. Results: Of the 164 participants invited to take part in the Delphi survey, 150 completed Round 1, including 55 patients or family caregivers, 55 healthcare professionals, and 40 experts. A total of 129 participants completed all three rounds. Sixty-four eligible outcomes were extracted from 47 articles, 32 clinical trial protocols, and patient interviews. Thirty outcomes were removed and one added after Round 1, 18 outcomes were removed after Round 2, and seven after Round 3. Results were discussed during consensus meetings. Consensus was reached on seven outcomes, which constitute the core outcome set: drug-related hospital admissions; drug overuse; drug underuse; potentially inappropriate medications; clinically significant drug-drug interactions; health-related quality of life; pain relief. Conclusions: We developed a core outcome set of seven outcomes which should be used in future trials of medication review in multi-morbid older patients with polypharmacy.","author":[{"dropping-particle":"","family":"Beuscart","given":"Jean-Baptiste","non-dropping-particle":"","parse-names":false,"suffix":""},{"dropping-particle":"","family":"Knol","given":"Wilma","non-dropping-particle":"","parse-names":false,"suffix":""},{"dropping-particle":"","family":"Cullinan","given":"Shane","non-dropping-particle":"","parse-names":false,"suffix":""},{"dropping-particle":"","family":"Schneider","given":"Claudio","non-dropping-particle":"","parse-names":false,"suffix":""},{"dropping-particle":"","family":"Dalleur","given":"Olivia","non-dropping-particle":"","parse-names":false,"suffix":""},{"dropping-particle":"","family":"Boland","given":"Benoit","non-dropping-particle":"","parse-names":false,"suffix":""},{"dropping-particle":"","family":"Thevelin","given":"Stefanie","non-dropping-particle":"","parse-names":false,"suffix":""},{"dropping-particle":"","family":"Jansen","given":"Paul A. F.","non-dropping-particle":"","parse-names":false,"suffix":""},{"dropping-particle":"","family":"O’Mahony","given":"Denis","non-dropping-particle":"","parse-names":false,"suffix":""},{"dropping-particle":"","family":"Rodondi","given":"Nicolas","non-dropping-particle":"","parse-names":false,"suffix":""},{"dropping-particle":"","family":"Spinewine","given":"Anne","non-dropping-particle":"","parse-names":false,"suffix":""}],"container-title":"BMC Medicine","id":"ITEM-1","issue":"1","issued":{"date-parts":[["2018","12","13"]]},"page":"21","publisher":"BioMed Central Ltd.","title":"International core outcome set for clinical trials of medication review in multi-morbid older patients with polypharmacy","type":"article-journal","volume":"16"},"uris":["http://www.mendeley.com/documents/?uuid=2569678b-9d51-35ee-a2a7-404fd3841b73","http://www.mendeley.com/documents/?uuid=12bc5ae9-4da3-4038-a96b-5f4b2d57ff84"]}],"mendeley":{"formattedCitation":"[84]","plainTextFormattedCitation":"[84]","previouslyFormattedCitation":"[82]"},"properties":{"noteIndex":0},"schema":"https://github.com/citation-style-language/schema/raw/master/csl-citation.json"}</w:instrText>
      </w:r>
      <w:r w:rsidR="007B786C">
        <w:rPr>
          <w:rFonts w:ascii="Palatino Linotype" w:hAnsi="Palatino Linotype"/>
          <w:lang w:val="en-GB"/>
        </w:rPr>
        <w:fldChar w:fldCharType="separate"/>
      </w:r>
      <w:r w:rsidR="009D3AAF" w:rsidRPr="009D3AAF">
        <w:rPr>
          <w:rFonts w:ascii="Palatino Linotype" w:hAnsi="Palatino Linotype"/>
          <w:noProof/>
          <w:lang w:val="en-GB"/>
        </w:rPr>
        <w:t>[84]</w:t>
      </w:r>
      <w:r w:rsidR="007B786C">
        <w:rPr>
          <w:rFonts w:ascii="Palatino Linotype" w:hAnsi="Palatino Linotype"/>
          <w:lang w:val="en-GB"/>
        </w:rPr>
        <w:fldChar w:fldCharType="end"/>
      </w:r>
      <w:r w:rsidR="007B786C">
        <w:rPr>
          <w:rFonts w:ascii="Palatino Linotype" w:hAnsi="Palatino Linotype"/>
          <w:lang w:val="en-GB"/>
        </w:rPr>
        <w:t xml:space="preserve">. </w:t>
      </w:r>
      <w:r w:rsidR="00F07B67">
        <w:rPr>
          <w:rFonts w:ascii="Palatino Linotype" w:hAnsi="Palatino Linotype"/>
          <w:lang w:val="en-GB"/>
        </w:rPr>
        <w:t xml:space="preserve"> </w:t>
      </w:r>
    </w:p>
    <w:p w14:paraId="2155889D" w14:textId="6A50E62A" w:rsidR="00F82896" w:rsidRDefault="00F82896" w:rsidP="004D1C13">
      <w:pPr>
        <w:jc w:val="both"/>
        <w:rPr>
          <w:rFonts w:ascii="Palatino Linotype" w:hAnsi="Palatino Linotype"/>
          <w:lang w:val="en-GB"/>
        </w:rPr>
      </w:pPr>
      <w:r>
        <w:rPr>
          <w:rFonts w:ascii="Palatino Linotype" w:hAnsi="Palatino Linotype"/>
          <w:lang w:val="en-GB"/>
        </w:rPr>
        <w:t>Finally, a</w:t>
      </w:r>
      <w:r w:rsidRPr="00F82896">
        <w:rPr>
          <w:rFonts w:ascii="Palatino Linotype" w:hAnsi="Palatino Linotype"/>
          <w:lang w:val="en-GB"/>
        </w:rPr>
        <w:t>part from recording major comorbidities at study entry, a measure of the global burden of comorbidities (</w:t>
      </w:r>
      <w:r>
        <w:rPr>
          <w:rFonts w:ascii="Palatino Linotype" w:hAnsi="Palatino Linotype"/>
          <w:lang w:val="en-GB"/>
        </w:rPr>
        <w:t xml:space="preserve">e.g. </w:t>
      </w:r>
      <w:proofErr w:type="spellStart"/>
      <w:r w:rsidRPr="00F82896">
        <w:rPr>
          <w:rFonts w:ascii="Palatino Linotype" w:hAnsi="Palatino Linotype"/>
          <w:lang w:val="en-GB"/>
        </w:rPr>
        <w:t>Charlson</w:t>
      </w:r>
      <w:proofErr w:type="spellEnd"/>
      <w:r>
        <w:rPr>
          <w:rFonts w:ascii="Palatino Linotype" w:hAnsi="Palatino Linotype"/>
          <w:lang w:val="en-GB"/>
        </w:rPr>
        <w:t xml:space="preserve"> comorbidity index or</w:t>
      </w:r>
      <w:r w:rsidRPr="00F82896">
        <w:rPr>
          <w:rFonts w:ascii="Palatino Linotype" w:hAnsi="Palatino Linotype"/>
          <w:lang w:val="en-GB"/>
        </w:rPr>
        <w:t xml:space="preserve"> </w:t>
      </w:r>
      <w:r>
        <w:rPr>
          <w:rFonts w:ascii="Palatino Linotype" w:hAnsi="Palatino Linotype"/>
          <w:lang w:val="en-GB"/>
        </w:rPr>
        <w:t>Cumulative Illness Rating Scale (</w:t>
      </w:r>
      <w:r w:rsidRPr="00F82896">
        <w:rPr>
          <w:rFonts w:ascii="Palatino Linotype" w:hAnsi="Palatino Linotype"/>
          <w:lang w:val="en-GB"/>
        </w:rPr>
        <w:t>CIRS-G</w:t>
      </w:r>
      <w:r>
        <w:rPr>
          <w:rFonts w:ascii="Palatino Linotype" w:hAnsi="Palatino Linotype"/>
          <w:lang w:val="en-GB"/>
        </w:rPr>
        <w:t>)</w:t>
      </w:r>
      <w:r w:rsidRPr="00F82896">
        <w:rPr>
          <w:rFonts w:ascii="Palatino Linotype" w:hAnsi="Palatino Linotype"/>
          <w:lang w:val="en-GB"/>
        </w:rPr>
        <w:t xml:space="preserve">) may </w:t>
      </w:r>
      <w:r>
        <w:rPr>
          <w:rFonts w:ascii="Palatino Linotype" w:hAnsi="Palatino Linotype"/>
          <w:lang w:val="en-GB"/>
        </w:rPr>
        <w:t xml:space="preserve">also </w:t>
      </w:r>
      <w:r w:rsidRPr="00F82896">
        <w:rPr>
          <w:rFonts w:ascii="Palatino Linotype" w:hAnsi="Palatino Linotype"/>
          <w:lang w:val="en-GB"/>
        </w:rPr>
        <w:t xml:space="preserve">be proposed. </w:t>
      </w:r>
      <w:r w:rsidR="001B3594" w:rsidRPr="001B3594">
        <w:rPr>
          <w:rFonts w:ascii="Palatino Linotype" w:hAnsi="Palatino Linotype"/>
          <w:highlight w:val="yellow"/>
          <w:lang w:val="en-GB"/>
        </w:rPr>
        <w:t xml:space="preserve">Thymic disorders, cognitive disorders and frailty status are also </w:t>
      </w:r>
      <w:r w:rsidR="007274EE">
        <w:rPr>
          <w:rFonts w:ascii="Palatino Linotype" w:hAnsi="Palatino Linotype"/>
          <w:highlight w:val="yellow"/>
          <w:lang w:val="en-GB"/>
        </w:rPr>
        <w:t>recommended</w:t>
      </w:r>
      <w:r w:rsidR="001B3594" w:rsidRPr="001B3594">
        <w:rPr>
          <w:rFonts w:ascii="Palatino Linotype" w:hAnsi="Palatino Linotype"/>
          <w:highlight w:val="yellow"/>
          <w:lang w:val="en-GB"/>
        </w:rPr>
        <w:t xml:space="preserve"> to be recorded and consider</w:t>
      </w:r>
      <w:r w:rsidR="007274EE">
        <w:rPr>
          <w:rFonts w:ascii="Palatino Linotype" w:hAnsi="Palatino Linotype"/>
          <w:highlight w:val="yellow"/>
          <w:lang w:val="en-GB"/>
        </w:rPr>
        <w:t>ed</w:t>
      </w:r>
      <w:r w:rsidR="001B3594" w:rsidRPr="001B3594">
        <w:rPr>
          <w:rFonts w:ascii="Palatino Linotype" w:hAnsi="Palatino Linotype"/>
          <w:highlight w:val="yellow"/>
          <w:lang w:val="en-GB"/>
        </w:rPr>
        <w:t xml:space="preserve"> as potential cofounding factors.</w:t>
      </w:r>
      <w:r w:rsidR="001B3594">
        <w:rPr>
          <w:rFonts w:ascii="Palatino Linotype" w:hAnsi="Palatino Linotype"/>
          <w:lang w:val="en-GB"/>
        </w:rPr>
        <w:t xml:space="preserve"> </w:t>
      </w:r>
    </w:p>
    <w:p w14:paraId="5EE023C2" w14:textId="40542F4C" w:rsidR="00472A19" w:rsidRDefault="00472A19" w:rsidP="004D1C13">
      <w:pPr>
        <w:jc w:val="both"/>
        <w:rPr>
          <w:rFonts w:ascii="Palatino Linotype" w:hAnsi="Palatino Linotype"/>
          <w:lang w:val="en-GB"/>
        </w:rPr>
      </w:pPr>
      <w:r w:rsidRPr="00952BB8">
        <w:rPr>
          <w:rFonts w:ascii="Palatino Linotype" w:hAnsi="Palatino Linotype"/>
          <w:highlight w:val="yellow"/>
          <w:lang w:val="en-GB"/>
        </w:rPr>
        <w:t xml:space="preserve">Health events should also be recorder throughout all the study period. Among them, hospitalisations, falls, fractures, functional decline and institutionalization should be </w:t>
      </w:r>
      <w:r w:rsidR="007274EE">
        <w:rPr>
          <w:rFonts w:ascii="Palatino Linotype" w:hAnsi="Palatino Linotype"/>
          <w:highlight w:val="yellow"/>
          <w:lang w:val="en-GB"/>
        </w:rPr>
        <w:t>documented</w:t>
      </w:r>
      <w:r w:rsidRPr="00952BB8">
        <w:rPr>
          <w:rFonts w:ascii="Palatino Linotype" w:hAnsi="Palatino Linotype"/>
          <w:highlight w:val="yellow"/>
          <w:lang w:val="en-GB"/>
        </w:rPr>
        <w:t xml:space="preserve"> in each time point assessment. These health events should be considered as either as a marker of efficacy (</w:t>
      </w:r>
      <w:r w:rsidR="00952BB8" w:rsidRPr="00952BB8">
        <w:rPr>
          <w:rFonts w:ascii="Palatino Linotype" w:hAnsi="Palatino Linotype"/>
          <w:highlight w:val="yellow"/>
          <w:lang w:val="en-GB"/>
        </w:rPr>
        <w:t xml:space="preserve">i.e. </w:t>
      </w:r>
      <w:r w:rsidRPr="00952BB8">
        <w:rPr>
          <w:rFonts w:ascii="Palatino Linotype" w:hAnsi="Palatino Linotype"/>
          <w:highlight w:val="yellow"/>
          <w:lang w:val="en-GB"/>
        </w:rPr>
        <w:t>their absence) either as an important confounder (</w:t>
      </w:r>
      <w:r w:rsidR="00952BB8" w:rsidRPr="00952BB8">
        <w:rPr>
          <w:rFonts w:ascii="Palatino Linotype" w:hAnsi="Palatino Linotype"/>
          <w:highlight w:val="yellow"/>
          <w:lang w:val="en-GB"/>
        </w:rPr>
        <w:t>e.g.</w:t>
      </w:r>
      <w:r w:rsidRPr="00952BB8">
        <w:rPr>
          <w:rFonts w:ascii="Palatino Linotype" w:hAnsi="Palatino Linotype"/>
          <w:highlight w:val="yellow"/>
          <w:lang w:val="en-GB"/>
        </w:rPr>
        <w:t xml:space="preserve"> long stay at the hospital for an infectious disease requiring a 6-weeks antibiotics treatment is supposed to have serious muscle consequences).</w:t>
      </w:r>
      <w:r w:rsidR="00952BB8">
        <w:rPr>
          <w:rFonts w:ascii="Palatino Linotype" w:hAnsi="Palatino Linotype"/>
          <w:lang w:val="en-GB"/>
        </w:rPr>
        <w:t xml:space="preserve"> </w:t>
      </w:r>
    </w:p>
    <w:p w14:paraId="6BF4E6BA" w14:textId="77777777" w:rsidR="00B35C96" w:rsidRPr="00B9449F" w:rsidRDefault="00B35C96" w:rsidP="004D1C13">
      <w:pPr>
        <w:jc w:val="both"/>
        <w:rPr>
          <w:rFonts w:ascii="Palatino Linotype" w:hAnsi="Palatino Linotype"/>
          <w:b/>
          <w:bCs/>
          <w:lang w:val="en-GB"/>
        </w:rPr>
      </w:pPr>
      <w:r w:rsidRPr="00B9449F">
        <w:rPr>
          <w:rFonts w:ascii="Palatino Linotype" w:hAnsi="Palatino Linotype"/>
          <w:b/>
          <w:bCs/>
          <w:lang w:val="en-GB"/>
        </w:rPr>
        <w:t xml:space="preserve">Stratification </w:t>
      </w:r>
    </w:p>
    <w:p w14:paraId="32B033A6" w14:textId="342AD109" w:rsidR="00B35C96" w:rsidRPr="00E57093" w:rsidRDefault="00BC36A3" w:rsidP="004D1C13">
      <w:pPr>
        <w:jc w:val="both"/>
        <w:rPr>
          <w:rFonts w:ascii="Palatino Linotype" w:hAnsi="Palatino Linotype"/>
          <w:lang w:val="en-GB"/>
        </w:rPr>
      </w:pPr>
      <w:r w:rsidRPr="00BC36A3">
        <w:rPr>
          <w:rFonts w:ascii="Palatino Linotype" w:hAnsi="Palatino Linotype"/>
          <w:highlight w:val="yellow"/>
          <w:lang w:val="en-GB"/>
        </w:rPr>
        <w:t>Stratification in clinical trials consists of partitioning subjects and results into subgroups differenced by factors other than the treatment given.</w:t>
      </w:r>
      <w:r>
        <w:rPr>
          <w:rFonts w:ascii="Palatino Linotype" w:hAnsi="Palatino Linotype"/>
          <w:lang w:val="en-GB"/>
        </w:rPr>
        <w:t xml:space="preserve"> </w:t>
      </w:r>
      <w:r w:rsidR="00F5271B" w:rsidRPr="007A1DD5">
        <w:rPr>
          <w:rFonts w:ascii="Palatino Linotype" w:hAnsi="Palatino Linotype"/>
          <w:lang w:val="en-GB"/>
        </w:rPr>
        <w:t>In order to consider as many confounders or discrepant levels of response in some subgroups</w:t>
      </w:r>
      <w:r w:rsidR="00F37D90">
        <w:rPr>
          <w:rFonts w:ascii="Palatino Linotype" w:hAnsi="Palatino Linotype"/>
          <w:lang w:val="en-GB"/>
        </w:rPr>
        <w:t>, performing stratification could</w:t>
      </w:r>
      <w:r>
        <w:rPr>
          <w:rFonts w:ascii="Palatino Linotype" w:hAnsi="Palatino Linotype"/>
          <w:lang w:val="en-GB"/>
        </w:rPr>
        <w:t xml:space="preserve"> therefore</w:t>
      </w:r>
      <w:r w:rsidR="00F37D90">
        <w:rPr>
          <w:rFonts w:ascii="Palatino Linotype" w:hAnsi="Palatino Linotype"/>
          <w:lang w:val="en-GB"/>
        </w:rPr>
        <w:t xml:space="preserve"> be a solution. </w:t>
      </w:r>
      <w:r w:rsidR="00E57093">
        <w:rPr>
          <w:rFonts w:ascii="Palatino Linotype" w:hAnsi="Palatino Linotype"/>
          <w:lang w:val="en-GB"/>
        </w:rPr>
        <w:t xml:space="preserve">Any subgroup analysis in phase III trials should be pre-specified. </w:t>
      </w:r>
      <w:r w:rsidR="00F37D90">
        <w:rPr>
          <w:rFonts w:ascii="Palatino Linotype" w:hAnsi="Palatino Linotype"/>
          <w:lang w:val="en-GB"/>
        </w:rPr>
        <w:t>It could be therefore possible</w:t>
      </w:r>
      <w:r w:rsidR="00B35C96" w:rsidRPr="00B9449F">
        <w:rPr>
          <w:rFonts w:ascii="Palatino Linotype" w:hAnsi="Palatino Linotype"/>
          <w:lang w:val="en-GB"/>
        </w:rPr>
        <w:t xml:space="preserve"> to stratify </w:t>
      </w:r>
      <w:r w:rsidR="00F37D90">
        <w:rPr>
          <w:rFonts w:ascii="Palatino Linotype" w:hAnsi="Palatino Linotype"/>
          <w:lang w:val="en-GB"/>
        </w:rPr>
        <w:t xml:space="preserve">results on </w:t>
      </w:r>
      <w:r w:rsidR="00E57093">
        <w:rPr>
          <w:rFonts w:ascii="Palatino Linotype" w:hAnsi="Palatino Linotype"/>
          <w:lang w:val="en-GB"/>
        </w:rPr>
        <w:t>different</w:t>
      </w:r>
      <w:r w:rsidR="007A1DD5">
        <w:rPr>
          <w:rFonts w:ascii="Palatino Linotype" w:hAnsi="Palatino Linotype"/>
          <w:lang w:val="en-GB"/>
        </w:rPr>
        <w:t xml:space="preserve"> </w:t>
      </w:r>
      <w:r w:rsidR="00F37D90">
        <w:rPr>
          <w:rFonts w:ascii="Palatino Linotype" w:hAnsi="Palatino Linotype"/>
          <w:lang w:val="en-GB"/>
        </w:rPr>
        <w:t xml:space="preserve">parameters: </w:t>
      </w:r>
      <w:r w:rsidR="00B35C96" w:rsidRPr="00B9449F">
        <w:rPr>
          <w:rFonts w:ascii="Palatino Linotype" w:hAnsi="Palatino Linotype"/>
          <w:lang w:val="en-GB"/>
        </w:rPr>
        <w:t>on the value of primary outcome at baseline</w:t>
      </w:r>
      <w:r w:rsidR="00F37D90">
        <w:rPr>
          <w:rFonts w:ascii="Palatino Linotype" w:hAnsi="Palatino Linotype"/>
          <w:lang w:val="en-GB"/>
        </w:rPr>
        <w:t xml:space="preserve"> (time recorde</w:t>
      </w:r>
      <w:r w:rsidR="00220BBF">
        <w:rPr>
          <w:rFonts w:ascii="Palatino Linotype" w:hAnsi="Palatino Linotype"/>
          <w:lang w:val="en-GB"/>
        </w:rPr>
        <w:t>d</w:t>
      </w:r>
      <w:r w:rsidR="00F37D90">
        <w:rPr>
          <w:rFonts w:ascii="Palatino Linotype" w:hAnsi="Palatino Linotype"/>
          <w:lang w:val="en-GB"/>
        </w:rPr>
        <w:t xml:space="preserve"> for the 400m walk test)</w:t>
      </w:r>
      <w:r w:rsidR="00B35C96" w:rsidRPr="00B9449F">
        <w:rPr>
          <w:rFonts w:ascii="Palatino Linotype" w:hAnsi="Palatino Linotype"/>
          <w:lang w:val="en-GB"/>
        </w:rPr>
        <w:t xml:space="preserve">, </w:t>
      </w:r>
      <w:r w:rsidR="007A1DD5">
        <w:rPr>
          <w:rFonts w:ascii="Palatino Linotype" w:hAnsi="Palatino Linotype"/>
          <w:lang w:val="en-GB"/>
        </w:rPr>
        <w:t xml:space="preserve">on gender, </w:t>
      </w:r>
      <w:r w:rsidR="00F37D90">
        <w:rPr>
          <w:rFonts w:ascii="Palatino Linotype" w:hAnsi="Palatino Linotype"/>
          <w:lang w:val="en-GB"/>
        </w:rPr>
        <w:t>on age, on comorbidities</w:t>
      </w:r>
      <w:r w:rsidR="007A1DD5">
        <w:rPr>
          <w:rFonts w:ascii="Palatino Linotype" w:hAnsi="Palatino Linotype"/>
          <w:lang w:val="en-GB"/>
        </w:rPr>
        <w:t>,</w:t>
      </w:r>
      <w:r w:rsidR="00421ECC">
        <w:rPr>
          <w:rFonts w:ascii="Palatino Linotype" w:hAnsi="Palatino Linotype"/>
          <w:lang w:val="en-GB"/>
        </w:rPr>
        <w:t xml:space="preserve"> on frailty status at baseline</w:t>
      </w:r>
      <w:r w:rsidR="007A1DD5">
        <w:rPr>
          <w:rFonts w:ascii="Palatino Linotype" w:hAnsi="Palatino Linotype"/>
          <w:lang w:val="en-GB"/>
        </w:rPr>
        <w:t xml:space="preserve"> and, finally, on the baseline value of the variable that is intervened on (e.g. with a intervention on protein metabolism, it is possible to stratify on baseline protein intake)</w:t>
      </w:r>
      <w:r w:rsidR="00E57093">
        <w:rPr>
          <w:rFonts w:ascii="Palatino Linotype" w:hAnsi="Palatino Linotype"/>
          <w:lang w:val="en-GB"/>
        </w:rPr>
        <w:t>, etc</w:t>
      </w:r>
      <w:r w:rsidR="007A1DD5">
        <w:rPr>
          <w:rFonts w:ascii="Palatino Linotype" w:hAnsi="Palatino Linotype"/>
          <w:lang w:val="en-GB"/>
        </w:rPr>
        <w:t xml:space="preserve">. </w:t>
      </w:r>
    </w:p>
    <w:p w14:paraId="2CBA23B3" w14:textId="77777777" w:rsidR="00B35C96" w:rsidRPr="00B9449F" w:rsidRDefault="00B35C96" w:rsidP="004D1C13">
      <w:pPr>
        <w:jc w:val="both"/>
        <w:rPr>
          <w:rFonts w:ascii="Palatino Linotype" w:hAnsi="Palatino Linotype"/>
          <w:b/>
          <w:bCs/>
          <w:lang w:val="en-GB"/>
        </w:rPr>
      </w:pPr>
      <w:r w:rsidRPr="00B9449F">
        <w:rPr>
          <w:rFonts w:ascii="Palatino Linotype" w:hAnsi="Palatino Linotype"/>
          <w:b/>
          <w:bCs/>
          <w:lang w:val="en-GB"/>
        </w:rPr>
        <w:t>Rescue medications</w:t>
      </w:r>
    </w:p>
    <w:p w14:paraId="7BF84CEF" w14:textId="0DF1379F" w:rsidR="00B35C96" w:rsidRDefault="00B35C96" w:rsidP="004D1C13">
      <w:pPr>
        <w:jc w:val="both"/>
        <w:rPr>
          <w:rFonts w:ascii="Palatino Linotype" w:hAnsi="Palatino Linotype"/>
          <w:lang w:val="en-GB"/>
        </w:rPr>
      </w:pPr>
      <w:r w:rsidRPr="00B9449F">
        <w:rPr>
          <w:rFonts w:ascii="Palatino Linotype" w:hAnsi="Palatino Linotype"/>
          <w:lang w:val="en-GB"/>
        </w:rPr>
        <w:t xml:space="preserve">Given that no drugs are currently available, the </w:t>
      </w:r>
      <w:r w:rsidR="007A1DD5">
        <w:rPr>
          <w:rFonts w:ascii="Palatino Linotype" w:hAnsi="Palatino Linotype"/>
          <w:lang w:val="en-GB"/>
        </w:rPr>
        <w:t>issue</w:t>
      </w:r>
      <w:r w:rsidR="007A1DD5" w:rsidRPr="00B9449F">
        <w:rPr>
          <w:rFonts w:ascii="Palatino Linotype" w:hAnsi="Palatino Linotype"/>
          <w:lang w:val="en-GB"/>
        </w:rPr>
        <w:t xml:space="preserve"> </w:t>
      </w:r>
      <w:r w:rsidRPr="00B9449F">
        <w:rPr>
          <w:rFonts w:ascii="Palatino Linotype" w:hAnsi="Palatino Linotype"/>
          <w:lang w:val="en-GB"/>
        </w:rPr>
        <w:t>of rescue medications is not applicable.</w:t>
      </w:r>
    </w:p>
    <w:p w14:paraId="3F4BC21E" w14:textId="2406D5EE" w:rsidR="00AB223D" w:rsidRPr="00B9449F" w:rsidRDefault="00AB223D" w:rsidP="00AB223D">
      <w:pPr>
        <w:rPr>
          <w:rFonts w:ascii="Palatino Linotype" w:hAnsi="Palatino Linotype"/>
          <w:b/>
          <w:bCs/>
          <w:smallCaps/>
          <w:sz w:val="24"/>
          <w:szCs w:val="24"/>
          <w:u w:val="single"/>
          <w:lang w:val="en-GB"/>
        </w:rPr>
      </w:pPr>
      <w:r w:rsidRPr="00B9449F">
        <w:rPr>
          <w:rFonts w:ascii="Palatino Linotype" w:hAnsi="Palatino Linotype"/>
          <w:b/>
          <w:bCs/>
          <w:smallCaps/>
          <w:sz w:val="24"/>
          <w:szCs w:val="24"/>
          <w:u w:val="single"/>
          <w:lang w:val="en-GB"/>
        </w:rPr>
        <w:t>CONSENSUS</w:t>
      </w:r>
    </w:p>
    <w:p w14:paraId="3549DB30" w14:textId="7D1960E3" w:rsidR="005058D1" w:rsidRPr="00B9449F" w:rsidRDefault="005058D1" w:rsidP="005058D1">
      <w:pPr>
        <w:jc w:val="both"/>
        <w:rPr>
          <w:rFonts w:ascii="Palatino Linotype" w:hAnsi="Palatino Linotype"/>
          <w:lang w:val="en-GB"/>
        </w:rPr>
      </w:pPr>
      <w:r w:rsidRPr="00B9449F">
        <w:rPr>
          <w:rFonts w:ascii="Palatino Linotype" w:hAnsi="Palatino Linotype"/>
          <w:lang w:val="en-GB"/>
        </w:rPr>
        <w:t xml:space="preserve">The summary of the consensus is presented in table 3 which includes all the recommended criteria for the conduct of any new phase II and phase III pharmacological trial in sarcopenia. </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3473"/>
        <w:gridCol w:w="3473"/>
      </w:tblGrid>
      <w:tr w:rsidR="00AB223D" w:rsidRPr="00B9449F" w14:paraId="50D3211E" w14:textId="77777777" w:rsidTr="00B9449F">
        <w:tc>
          <w:tcPr>
            <w:tcW w:w="2268" w:type="dxa"/>
            <w:tcBorders>
              <w:top w:val="single" w:sz="4" w:space="0" w:color="auto"/>
              <w:bottom w:val="single" w:sz="4" w:space="0" w:color="auto"/>
            </w:tcBorders>
          </w:tcPr>
          <w:p w14:paraId="6DB9B6F1" w14:textId="77777777" w:rsidR="00AB223D" w:rsidRPr="00B9449F" w:rsidRDefault="00AB223D" w:rsidP="00AB223D">
            <w:pPr>
              <w:rPr>
                <w:rFonts w:ascii="Palatino Linotype" w:hAnsi="Palatino Linotype"/>
                <w:lang w:val="en-GB"/>
              </w:rPr>
            </w:pPr>
          </w:p>
        </w:tc>
        <w:tc>
          <w:tcPr>
            <w:tcW w:w="3473" w:type="dxa"/>
            <w:tcBorders>
              <w:top w:val="single" w:sz="4" w:space="0" w:color="auto"/>
              <w:bottom w:val="single" w:sz="4" w:space="0" w:color="auto"/>
            </w:tcBorders>
          </w:tcPr>
          <w:p w14:paraId="08AC3038" w14:textId="499FC888" w:rsidR="00AB223D" w:rsidRPr="00B9449F" w:rsidRDefault="00AB223D" w:rsidP="00AB223D">
            <w:pPr>
              <w:spacing w:after="160" w:line="259" w:lineRule="auto"/>
              <w:jc w:val="both"/>
              <w:rPr>
                <w:rFonts w:ascii="Palatino Linotype" w:hAnsi="Palatino Linotype"/>
                <w:lang w:val="en-GB"/>
              </w:rPr>
            </w:pPr>
            <w:r w:rsidRPr="00B9449F">
              <w:rPr>
                <w:rFonts w:ascii="Palatino Linotype" w:hAnsi="Palatino Linotype"/>
                <w:lang w:val="en-GB"/>
              </w:rPr>
              <w:t>Phase II trials</w:t>
            </w:r>
          </w:p>
        </w:tc>
        <w:tc>
          <w:tcPr>
            <w:tcW w:w="3473" w:type="dxa"/>
            <w:tcBorders>
              <w:top w:val="single" w:sz="4" w:space="0" w:color="auto"/>
              <w:bottom w:val="single" w:sz="4" w:space="0" w:color="auto"/>
            </w:tcBorders>
          </w:tcPr>
          <w:p w14:paraId="50C280C7" w14:textId="0923B068" w:rsidR="00AB223D" w:rsidRPr="00B9449F" w:rsidRDefault="00AB223D" w:rsidP="00AB223D">
            <w:pPr>
              <w:spacing w:after="160" w:line="259" w:lineRule="auto"/>
              <w:jc w:val="both"/>
              <w:rPr>
                <w:rFonts w:ascii="Palatino Linotype" w:hAnsi="Palatino Linotype"/>
                <w:lang w:val="en-GB"/>
              </w:rPr>
            </w:pPr>
            <w:r w:rsidRPr="00B9449F">
              <w:rPr>
                <w:rFonts w:ascii="Palatino Linotype" w:hAnsi="Palatino Linotype"/>
                <w:lang w:val="en-GB"/>
              </w:rPr>
              <w:t>Phase III trials</w:t>
            </w:r>
          </w:p>
        </w:tc>
      </w:tr>
      <w:tr w:rsidR="00AB223D" w:rsidRPr="007274EE" w14:paraId="060148B2" w14:textId="77777777" w:rsidTr="00B9449F">
        <w:tc>
          <w:tcPr>
            <w:tcW w:w="2268" w:type="dxa"/>
            <w:tcBorders>
              <w:top w:val="single" w:sz="4" w:space="0" w:color="auto"/>
              <w:bottom w:val="dotted" w:sz="4" w:space="0" w:color="auto"/>
            </w:tcBorders>
          </w:tcPr>
          <w:p w14:paraId="7B3AB2AE" w14:textId="0442F795" w:rsidR="00AB223D" w:rsidRPr="00B9449F" w:rsidRDefault="00AB223D" w:rsidP="00AB223D">
            <w:pPr>
              <w:rPr>
                <w:rFonts w:ascii="Palatino Linotype" w:hAnsi="Palatino Linotype"/>
                <w:lang w:val="en-GB"/>
              </w:rPr>
            </w:pPr>
            <w:r w:rsidRPr="00B9449F">
              <w:rPr>
                <w:rFonts w:ascii="Palatino Linotype" w:hAnsi="Palatino Linotype"/>
                <w:lang w:val="en-GB"/>
              </w:rPr>
              <w:t>Appropriate study design</w:t>
            </w:r>
          </w:p>
        </w:tc>
        <w:tc>
          <w:tcPr>
            <w:tcW w:w="3473" w:type="dxa"/>
            <w:tcBorders>
              <w:top w:val="single" w:sz="4" w:space="0" w:color="auto"/>
              <w:bottom w:val="dotted" w:sz="4" w:space="0" w:color="auto"/>
            </w:tcBorders>
          </w:tcPr>
          <w:p w14:paraId="15E5C476" w14:textId="0666EA89" w:rsidR="00AB223D" w:rsidRPr="00B9449F" w:rsidRDefault="00AB223D" w:rsidP="00AB223D">
            <w:pPr>
              <w:jc w:val="both"/>
              <w:rPr>
                <w:rFonts w:ascii="Palatino Linotype" w:hAnsi="Palatino Linotype"/>
                <w:lang w:val="en-GB"/>
              </w:rPr>
            </w:pPr>
            <w:r w:rsidRPr="00B9449F">
              <w:rPr>
                <w:rFonts w:ascii="Palatino Linotype" w:hAnsi="Palatino Linotype"/>
                <w:lang w:val="en-GB"/>
              </w:rPr>
              <w:t>RCT, placebo-controlled double blind</w:t>
            </w:r>
          </w:p>
        </w:tc>
        <w:tc>
          <w:tcPr>
            <w:tcW w:w="3473" w:type="dxa"/>
            <w:tcBorders>
              <w:top w:val="single" w:sz="4" w:space="0" w:color="auto"/>
              <w:bottom w:val="dotted" w:sz="4" w:space="0" w:color="auto"/>
            </w:tcBorders>
          </w:tcPr>
          <w:p w14:paraId="2AAE9119" w14:textId="34C905C6" w:rsidR="00AB223D" w:rsidRPr="00B9449F" w:rsidRDefault="00AB223D" w:rsidP="00AB223D">
            <w:pPr>
              <w:jc w:val="both"/>
              <w:rPr>
                <w:rFonts w:ascii="Palatino Linotype" w:hAnsi="Palatino Linotype"/>
                <w:lang w:val="en-GB"/>
              </w:rPr>
            </w:pPr>
            <w:r w:rsidRPr="00B9449F">
              <w:rPr>
                <w:rFonts w:ascii="Palatino Linotype" w:hAnsi="Palatino Linotype"/>
                <w:lang w:val="en-GB"/>
              </w:rPr>
              <w:t>RCT, placebo-controlled double blind</w:t>
            </w:r>
          </w:p>
        </w:tc>
      </w:tr>
      <w:tr w:rsidR="00AB223D" w:rsidRPr="007274EE" w14:paraId="1680D8BB" w14:textId="77777777" w:rsidTr="00B9449F">
        <w:tc>
          <w:tcPr>
            <w:tcW w:w="2268" w:type="dxa"/>
            <w:tcBorders>
              <w:top w:val="dotted" w:sz="4" w:space="0" w:color="auto"/>
              <w:bottom w:val="dotted" w:sz="4" w:space="0" w:color="auto"/>
            </w:tcBorders>
          </w:tcPr>
          <w:p w14:paraId="7DB7E605" w14:textId="75945421" w:rsidR="00AB223D" w:rsidRPr="00B9449F" w:rsidRDefault="00AB223D" w:rsidP="00AB223D">
            <w:pPr>
              <w:rPr>
                <w:rFonts w:ascii="Palatino Linotype" w:hAnsi="Palatino Linotype"/>
                <w:lang w:val="en-GB"/>
              </w:rPr>
            </w:pPr>
            <w:r w:rsidRPr="00B9449F">
              <w:rPr>
                <w:rFonts w:ascii="Palatino Linotype" w:hAnsi="Palatino Linotype"/>
                <w:lang w:val="en-GB"/>
              </w:rPr>
              <w:t>Inclusion criteria</w:t>
            </w:r>
          </w:p>
        </w:tc>
        <w:tc>
          <w:tcPr>
            <w:tcW w:w="3473" w:type="dxa"/>
            <w:tcBorders>
              <w:top w:val="dotted" w:sz="4" w:space="0" w:color="auto"/>
              <w:bottom w:val="dotted" w:sz="4" w:space="0" w:color="auto"/>
            </w:tcBorders>
          </w:tcPr>
          <w:p w14:paraId="69A09B86" w14:textId="77777777" w:rsidR="00AB223D" w:rsidRPr="00B9449F" w:rsidRDefault="00AB223D" w:rsidP="00AB223D">
            <w:pPr>
              <w:jc w:val="both"/>
              <w:rPr>
                <w:rFonts w:ascii="Palatino Linotype" w:hAnsi="Palatino Linotype"/>
                <w:lang w:val="en-GB"/>
              </w:rPr>
            </w:pPr>
            <w:r w:rsidRPr="00B9449F">
              <w:rPr>
                <w:rFonts w:ascii="Palatino Linotype" w:hAnsi="Palatino Linotype"/>
                <w:lang w:val="en-GB"/>
              </w:rPr>
              <w:t>Age 70 and +</w:t>
            </w:r>
          </w:p>
          <w:p w14:paraId="1D08E77D" w14:textId="77777777" w:rsidR="00AB223D" w:rsidRPr="00B9449F" w:rsidRDefault="00AB223D" w:rsidP="00AB223D">
            <w:pPr>
              <w:jc w:val="both"/>
              <w:rPr>
                <w:rFonts w:ascii="Palatino Linotype" w:hAnsi="Palatino Linotype"/>
                <w:lang w:val="en-GB"/>
              </w:rPr>
            </w:pPr>
            <w:r w:rsidRPr="00B9449F">
              <w:rPr>
                <w:rFonts w:ascii="Palatino Linotype" w:hAnsi="Palatino Linotype"/>
                <w:lang w:val="en-GB"/>
              </w:rPr>
              <w:t>Able to walk</w:t>
            </w:r>
          </w:p>
          <w:p w14:paraId="13004255" w14:textId="43AEECAC" w:rsidR="00AB223D" w:rsidRPr="00B9449F" w:rsidRDefault="00AB223D" w:rsidP="00AB223D">
            <w:pPr>
              <w:jc w:val="both"/>
              <w:rPr>
                <w:rFonts w:ascii="Palatino Linotype" w:hAnsi="Palatino Linotype"/>
                <w:lang w:val="en-GB"/>
              </w:rPr>
            </w:pPr>
            <w:r w:rsidRPr="00B9449F">
              <w:rPr>
                <w:rFonts w:ascii="Palatino Linotype" w:hAnsi="Palatino Linotype"/>
                <w:lang w:val="en-GB"/>
              </w:rPr>
              <w:t>Low muscle strength + low physical performance</w:t>
            </w:r>
          </w:p>
        </w:tc>
        <w:tc>
          <w:tcPr>
            <w:tcW w:w="3473" w:type="dxa"/>
            <w:tcBorders>
              <w:top w:val="dotted" w:sz="4" w:space="0" w:color="auto"/>
              <w:bottom w:val="dotted" w:sz="4" w:space="0" w:color="auto"/>
            </w:tcBorders>
          </w:tcPr>
          <w:p w14:paraId="1D9AAED3" w14:textId="77777777" w:rsidR="00AB223D" w:rsidRPr="00B9449F" w:rsidRDefault="00AB223D" w:rsidP="00AB223D">
            <w:pPr>
              <w:jc w:val="both"/>
              <w:rPr>
                <w:rFonts w:ascii="Palatino Linotype" w:hAnsi="Palatino Linotype"/>
                <w:lang w:val="en-GB"/>
              </w:rPr>
            </w:pPr>
            <w:r w:rsidRPr="00B9449F">
              <w:rPr>
                <w:rFonts w:ascii="Palatino Linotype" w:hAnsi="Palatino Linotype"/>
                <w:lang w:val="en-GB"/>
              </w:rPr>
              <w:t>Age 70 and +</w:t>
            </w:r>
          </w:p>
          <w:p w14:paraId="523189DA" w14:textId="77777777" w:rsidR="00AB223D" w:rsidRPr="00B9449F" w:rsidRDefault="00AB223D" w:rsidP="00AB223D">
            <w:pPr>
              <w:jc w:val="both"/>
              <w:rPr>
                <w:rFonts w:ascii="Palatino Linotype" w:hAnsi="Palatino Linotype"/>
                <w:lang w:val="en-GB"/>
              </w:rPr>
            </w:pPr>
            <w:r w:rsidRPr="00B9449F">
              <w:rPr>
                <w:rFonts w:ascii="Palatino Linotype" w:hAnsi="Palatino Linotype"/>
                <w:lang w:val="en-GB"/>
              </w:rPr>
              <w:t>Able to walk</w:t>
            </w:r>
          </w:p>
          <w:p w14:paraId="0BFD7BBE" w14:textId="518248AF" w:rsidR="00AB223D" w:rsidRPr="00B9449F" w:rsidRDefault="00AB223D" w:rsidP="00AB223D">
            <w:pPr>
              <w:jc w:val="both"/>
              <w:rPr>
                <w:rFonts w:ascii="Palatino Linotype" w:hAnsi="Palatino Linotype"/>
                <w:lang w:val="en-GB"/>
              </w:rPr>
            </w:pPr>
            <w:r w:rsidRPr="00B9449F">
              <w:rPr>
                <w:rFonts w:ascii="Palatino Linotype" w:hAnsi="Palatino Linotype"/>
                <w:lang w:val="en-GB"/>
              </w:rPr>
              <w:t>Low muscle strength + low physical performance</w:t>
            </w:r>
          </w:p>
        </w:tc>
      </w:tr>
      <w:tr w:rsidR="00AB223D" w:rsidRPr="007274EE" w14:paraId="604700F4" w14:textId="77777777" w:rsidTr="00B9449F">
        <w:tc>
          <w:tcPr>
            <w:tcW w:w="2268" w:type="dxa"/>
            <w:tcBorders>
              <w:top w:val="dotted" w:sz="4" w:space="0" w:color="auto"/>
              <w:bottom w:val="dotted" w:sz="4" w:space="0" w:color="auto"/>
            </w:tcBorders>
          </w:tcPr>
          <w:p w14:paraId="1298E19F" w14:textId="6FC01648" w:rsidR="00AB223D" w:rsidRPr="00B9449F" w:rsidRDefault="00AB223D" w:rsidP="00AB223D">
            <w:pPr>
              <w:rPr>
                <w:rFonts w:ascii="Palatino Linotype" w:hAnsi="Palatino Linotype"/>
                <w:lang w:val="en-GB"/>
              </w:rPr>
            </w:pPr>
            <w:r w:rsidRPr="00B9449F">
              <w:rPr>
                <w:rFonts w:ascii="Palatino Linotype" w:hAnsi="Palatino Linotype"/>
                <w:lang w:val="en-GB"/>
              </w:rPr>
              <w:t>Exclusion criteria</w:t>
            </w:r>
          </w:p>
        </w:tc>
        <w:tc>
          <w:tcPr>
            <w:tcW w:w="3473" w:type="dxa"/>
            <w:tcBorders>
              <w:top w:val="dotted" w:sz="4" w:space="0" w:color="auto"/>
              <w:bottom w:val="dotted" w:sz="4" w:space="0" w:color="auto"/>
            </w:tcBorders>
          </w:tcPr>
          <w:p w14:paraId="6DDAC822" w14:textId="77777777" w:rsidR="00AB223D" w:rsidRDefault="00DF4F9A" w:rsidP="00AB223D">
            <w:pPr>
              <w:jc w:val="both"/>
              <w:rPr>
                <w:rFonts w:ascii="Palatino Linotype" w:hAnsi="Palatino Linotype"/>
                <w:lang w:val="en-GB"/>
              </w:rPr>
            </w:pPr>
            <w:r w:rsidRPr="00B9449F">
              <w:rPr>
                <w:rFonts w:ascii="Palatino Linotype" w:hAnsi="Palatino Linotype"/>
                <w:lang w:val="en-GB"/>
              </w:rPr>
              <w:t>Severe malnutrition</w:t>
            </w:r>
          </w:p>
          <w:p w14:paraId="3C0E2C85" w14:textId="77777777" w:rsidR="00A17DEC" w:rsidRPr="00EE4C06" w:rsidRDefault="00A17DEC" w:rsidP="00AB223D">
            <w:pPr>
              <w:jc w:val="both"/>
              <w:rPr>
                <w:rFonts w:ascii="Palatino Linotype" w:hAnsi="Palatino Linotype"/>
                <w:highlight w:val="yellow"/>
                <w:lang w:val="en-GB"/>
              </w:rPr>
            </w:pPr>
            <w:r w:rsidRPr="00EE4C06">
              <w:rPr>
                <w:rFonts w:ascii="Palatino Linotype" w:hAnsi="Palatino Linotype"/>
                <w:highlight w:val="yellow"/>
                <w:lang w:val="en-GB"/>
              </w:rPr>
              <w:t>Acute immobility</w:t>
            </w:r>
          </w:p>
          <w:p w14:paraId="08FC06BE" w14:textId="77777777" w:rsidR="00A17DEC" w:rsidRPr="00EE4C06" w:rsidRDefault="00A17DEC" w:rsidP="00AB223D">
            <w:pPr>
              <w:jc w:val="both"/>
              <w:rPr>
                <w:rFonts w:ascii="Palatino Linotype" w:hAnsi="Palatino Linotype"/>
                <w:highlight w:val="yellow"/>
                <w:lang w:val="en-GB"/>
              </w:rPr>
            </w:pPr>
            <w:r w:rsidRPr="00EE4C06">
              <w:rPr>
                <w:rFonts w:ascii="Palatino Linotype" w:hAnsi="Palatino Linotype"/>
                <w:highlight w:val="yellow"/>
                <w:lang w:val="en-GB"/>
              </w:rPr>
              <w:t>Specific advanced pathologies</w:t>
            </w:r>
          </w:p>
          <w:p w14:paraId="0E145ED7" w14:textId="0B37DAB4" w:rsidR="00A17DEC" w:rsidRPr="00B9449F" w:rsidRDefault="00A17DEC" w:rsidP="00AB223D">
            <w:pPr>
              <w:jc w:val="both"/>
              <w:rPr>
                <w:rFonts w:ascii="Palatino Linotype" w:hAnsi="Palatino Linotype"/>
                <w:lang w:val="en-GB"/>
              </w:rPr>
            </w:pPr>
            <w:r w:rsidRPr="00EE4C06">
              <w:rPr>
                <w:rFonts w:ascii="Palatino Linotype" w:hAnsi="Palatino Linotype"/>
                <w:highlight w:val="yellow"/>
                <w:lang w:val="en-GB"/>
              </w:rPr>
              <w:t>Physical limitation attributable to a specific disease other than sarcopenia</w:t>
            </w:r>
          </w:p>
        </w:tc>
        <w:tc>
          <w:tcPr>
            <w:tcW w:w="3473" w:type="dxa"/>
            <w:tcBorders>
              <w:top w:val="dotted" w:sz="4" w:space="0" w:color="auto"/>
              <w:bottom w:val="dotted" w:sz="4" w:space="0" w:color="auto"/>
            </w:tcBorders>
          </w:tcPr>
          <w:p w14:paraId="5A8F5D97" w14:textId="77777777" w:rsidR="00A17DEC" w:rsidRDefault="00A17DEC" w:rsidP="00A17DEC">
            <w:pPr>
              <w:jc w:val="both"/>
              <w:rPr>
                <w:rFonts w:ascii="Palatino Linotype" w:hAnsi="Palatino Linotype"/>
                <w:lang w:val="en-GB"/>
              </w:rPr>
            </w:pPr>
            <w:r w:rsidRPr="00B9449F">
              <w:rPr>
                <w:rFonts w:ascii="Palatino Linotype" w:hAnsi="Palatino Linotype"/>
                <w:lang w:val="en-GB"/>
              </w:rPr>
              <w:t>Severe malnutrition</w:t>
            </w:r>
          </w:p>
          <w:p w14:paraId="490650BB" w14:textId="77777777" w:rsidR="00A17DEC" w:rsidRPr="00EE4C06" w:rsidRDefault="00A17DEC" w:rsidP="00A17DEC">
            <w:pPr>
              <w:jc w:val="both"/>
              <w:rPr>
                <w:rFonts w:ascii="Palatino Linotype" w:hAnsi="Palatino Linotype"/>
                <w:highlight w:val="yellow"/>
                <w:lang w:val="en-GB"/>
              </w:rPr>
            </w:pPr>
            <w:r w:rsidRPr="00EE4C06">
              <w:rPr>
                <w:rFonts w:ascii="Palatino Linotype" w:hAnsi="Palatino Linotype"/>
                <w:highlight w:val="yellow"/>
                <w:lang w:val="en-GB"/>
              </w:rPr>
              <w:t>Acute immobility</w:t>
            </w:r>
          </w:p>
          <w:p w14:paraId="1253FED6" w14:textId="77777777" w:rsidR="00A17DEC" w:rsidRPr="00EE4C06" w:rsidRDefault="00A17DEC" w:rsidP="00A17DEC">
            <w:pPr>
              <w:jc w:val="both"/>
              <w:rPr>
                <w:rFonts w:ascii="Palatino Linotype" w:hAnsi="Palatino Linotype"/>
                <w:highlight w:val="yellow"/>
                <w:lang w:val="en-GB"/>
              </w:rPr>
            </w:pPr>
            <w:r w:rsidRPr="00EE4C06">
              <w:rPr>
                <w:rFonts w:ascii="Palatino Linotype" w:hAnsi="Palatino Linotype"/>
                <w:highlight w:val="yellow"/>
                <w:lang w:val="en-GB"/>
              </w:rPr>
              <w:t>Specific advanced pathologies</w:t>
            </w:r>
          </w:p>
          <w:p w14:paraId="3E871BEC" w14:textId="3B64169C" w:rsidR="00AB223D" w:rsidRPr="00B9449F" w:rsidRDefault="00A17DEC" w:rsidP="00A17DEC">
            <w:pPr>
              <w:jc w:val="both"/>
              <w:rPr>
                <w:rFonts w:ascii="Palatino Linotype" w:hAnsi="Palatino Linotype"/>
                <w:lang w:val="en-GB"/>
              </w:rPr>
            </w:pPr>
            <w:r w:rsidRPr="00EE4C06">
              <w:rPr>
                <w:rFonts w:ascii="Palatino Linotype" w:hAnsi="Palatino Linotype"/>
                <w:highlight w:val="yellow"/>
                <w:lang w:val="en-GB"/>
              </w:rPr>
              <w:t>Physical limitation attributable to a specific disease other than sarcopenia</w:t>
            </w:r>
          </w:p>
        </w:tc>
      </w:tr>
      <w:tr w:rsidR="00AB223D" w:rsidRPr="007274EE" w14:paraId="01B36B3C" w14:textId="77777777" w:rsidTr="00B9449F">
        <w:tc>
          <w:tcPr>
            <w:tcW w:w="2268" w:type="dxa"/>
            <w:tcBorders>
              <w:top w:val="dotted" w:sz="4" w:space="0" w:color="auto"/>
              <w:bottom w:val="dotted" w:sz="4" w:space="0" w:color="auto"/>
            </w:tcBorders>
          </w:tcPr>
          <w:p w14:paraId="40B6B909" w14:textId="6BDD783F" w:rsidR="00AB223D" w:rsidRPr="00B9449F" w:rsidRDefault="00AB223D" w:rsidP="00AB223D">
            <w:pPr>
              <w:rPr>
                <w:rFonts w:ascii="Palatino Linotype" w:hAnsi="Palatino Linotype"/>
                <w:lang w:val="en-GB"/>
              </w:rPr>
            </w:pPr>
            <w:r w:rsidRPr="00B9449F">
              <w:rPr>
                <w:rFonts w:ascii="Palatino Linotype" w:hAnsi="Palatino Linotype"/>
                <w:lang w:val="en-GB"/>
              </w:rPr>
              <w:t>Primary outcome</w:t>
            </w:r>
          </w:p>
        </w:tc>
        <w:tc>
          <w:tcPr>
            <w:tcW w:w="3473" w:type="dxa"/>
            <w:tcBorders>
              <w:top w:val="dotted" w:sz="4" w:space="0" w:color="auto"/>
              <w:bottom w:val="dotted" w:sz="4" w:space="0" w:color="auto"/>
            </w:tcBorders>
          </w:tcPr>
          <w:p w14:paraId="02192F16" w14:textId="52816E63" w:rsidR="00AB223D" w:rsidRDefault="00AB223D" w:rsidP="00AB223D">
            <w:pPr>
              <w:jc w:val="both"/>
              <w:rPr>
                <w:rFonts w:ascii="Palatino Linotype" w:hAnsi="Palatino Linotype"/>
                <w:lang w:val="en-GB"/>
              </w:rPr>
            </w:pPr>
          </w:p>
          <w:p w14:paraId="3CE5651D" w14:textId="4A02C4BD" w:rsidR="005E681F" w:rsidRPr="00B9449F" w:rsidRDefault="005E681F" w:rsidP="00AB223D">
            <w:pPr>
              <w:jc w:val="both"/>
              <w:rPr>
                <w:rFonts w:ascii="Palatino Linotype" w:hAnsi="Palatino Linotype"/>
                <w:lang w:val="en-GB"/>
              </w:rPr>
            </w:pPr>
            <w:r w:rsidRPr="00B9449F">
              <w:rPr>
                <w:rFonts w:ascii="Palatino Linotype" w:hAnsi="Palatino Linotype"/>
                <w:lang w:val="en-GB"/>
              </w:rPr>
              <w:t>See list on table 2</w:t>
            </w:r>
          </w:p>
        </w:tc>
        <w:tc>
          <w:tcPr>
            <w:tcW w:w="3473" w:type="dxa"/>
            <w:tcBorders>
              <w:top w:val="dotted" w:sz="4" w:space="0" w:color="auto"/>
              <w:bottom w:val="dotted" w:sz="4" w:space="0" w:color="auto"/>
            </w:tcBorders>
          </w:tcPr>
          <w:p w14:paraId="4764D104" w14:textId="4A74A6DA" w:rsidR="005E681F" w:rsidRPr="00B9449F" w:rsidRDefault="005E681F" w:rsidP="00AB223D">
            <w:pPr>
              <w:jc w:val="both"/>
              <w:rPr>
                <w:rFonts w:ascii="Palatino Linotype" w:hAnsi="Palatino Linotype"/>
                <w:lang w:val="en-GB"/>
              </w:rPr>
            </w:pPr>
            <w:r w:rsidRPr="00B9449F">
              <w:rPr>
                <w:rFonts w:ascii="Palatino Linotype" w:hAnsi="Palatino Linotype"/>
                <w:lang w:val="en-GB"/>
              </w:rPr>
              <w:t>Co-primary endpoint: 1/ incidence of inability to walk the 400-meter walk test + 2/ PROM</w:t>
            </w:r>
          </w:p>
        </w:tc>
      </w:tr>
      <w:tr w:rsidR="00AB223D" w:rsidRPr="007274EE" w14:paraId="42B11D9D" w14:textId="77777777" w:rsidTr="00B9449F">
        <w:tc>
          <w:tcPr>
            <w:tcW w:w="2268" w:type="dxa"/>
            <w:tcBorders>
              <w:top w:val="dotted" w:sz="4" w:space="0" w:color="auto"/>
              <w:bottom w:val="dotted" w:sz="4" w:space="0" w:color="auto"/>
            </w:tcBorders>
          </w:tcPr>
          <w:p w14:paraId="3191651A" w14:textId="6AEB1356" w:rsidR="00AB223D" w:rsidRPr="00B9449F" w:rsidRDefault="00AB223D" w:rsidP="00AB223D">
            <w:pPr>
              <w:rPr>
                <w:rFonts w:ascii="Palatino Linotype" w:hAnsi="Palatino Linotype"/>
                <w:lang w:val="en-GB"/>
              </w:rPr>
            </w:pPr>
            <w:r w:rsidRPr="00B9449F">
              <w:rPr>
                <w:rFonts w:ascii="Palatino Linotype" w:hAnsi="Palatino Linotype"/>
                <w:lang w:val="en-GB"/>
              </w:rPr>
              <w:t>Secondary outcome</w:t>
            </w:r>
          </w:p>
        </w:tc>
        <w:tc>
          <w:tcPr>
            <w:tcW w:w="3473" w:type="dxa"/>
            <w:tcBorders>
              <w:top w:val="dotted" w:sz="4" w:space="0" w:color="auto"/>
              <w:bottom w:val="dotted" w:sz="4" w:space="0" w:color="auto"/>
            </w:tcBorders>
          </w:tcPr>
          <w:p w14:paraId="7809E557" w14:textId="2F802404" w:rsidR="005E681F" w:rsidRDefault="005E681F" w:rsidP="00AB223D">
            <w:pPr>
              <w:jc w:val="both"/>
              <w:rPr>
                <w:rFonts w:ascii="Palatino Linotype" w:hAnsi="Palatino Linotype"/>
                <w:lang w:val="en-GB"/>
              </w:rPr>
            </w:pPr>
            <w:r w:rsidRPr="00B9449F">
              <w:rPr>
                <w:rFonts w:ascii="Palatino Linotype" w:hAnsi="Palatino Linotype"/>
                <w:lang w:val="en-GB"/>
              </w:rPr>
              <w:t>See list on table 2</w:t>
            </w:r>
          </w:p>
          <w:p w14:paraId="31E05337" w14:textId="25D434EB" w:rsidR="00F62CBD" w:rsidRPr="00B9449F" w:rsidRDefault="00F62CBD" w:rsidP="00AB223D">
            <w:pPr>
              <w:jc w:val="both"/>
              <w:rPr>
                <w:rFonts w:ascii="Palatino Linotype" w:hAnsi="Palatino Linotype"/>
                <w:lang w:val="en-GB"/>
              </w:rPr>
            </w:pPr>
          </w:p>
        </w:tc>
        <w:tc>
          <w:tcPr>
            <w:tcW w:w="3473" w:type="dxa"/>
            <w:tcBorders>
              <w:top w:val="dotted" w:sz="4" w:space="0" w:color="auto"/>
              <w:bottom w:val="dotted" w:sz="4" w:space="0" w:color="auto"/>
            </w:tcBorders>
          </w:tcPr>
          <w:p w14:paraId="2DCA761D" w14:textId="0CA80DB0" w:rsidR="005E681F" w:rsidRPr="00B9449F" w:rsidRDefault="005E681F" w:rsidP="005E681F">
            <w:pPr>
              <w:jc w:val="both"/>
              <w:rPr>
                <w:rFonts w:ascii="Palatino Linotype" w:hAnsi="Palatino Linotype"/>
                <w:lang w:val="en-GB"/>
              </w:rPr>
            </w:pPr>
            <w:r w:rsidRPr="00B9449F">
              <w:rPr>
                <w:rFonts w:ascii="Palatino Linotype" w:hAnsi="Palatino Linotype"/>
                <w:lang w:val="en-GB"/>
              </w:rPr>
              <w:t>Muscle strength</w:t>
            </w:r>
            <w:r>
              <w:rPr>
                <w:rFonts w:ascii="Palatino Linotype" w:hAnsi="Palatino Linotype"/>
                <w:lang w:val="en-GB"/>
              </w:rPr>
              <w:t xml:space="preserve"> (JAMAR dynamometer)</w:t>
            </w:r>
          </w:p>
          <w:p w14:paraId="05E52460" w14:textId="2621D0B0" w:rsidR="00AB223D" w:rsidRPr="00B9449F" w:rsidRDefault="005E681F" w:rsidP="005E681F">
            <w:pPr>
              <w:jc w:val="both"/>
              <w:rPr>
                <w:rFonts w:ascii="Palatino Linotype" w:hAnsi="Palatino Linotype"/>
                <w:lang w:val="en-GB"/>
              </w:rPr>
            </w:pPr>
            <w:r w:rsidRPr="00B9449F">
              <w:rPr>
                <w:rFonts w:ascii="Palatino Linotype" w:hAnsi="Palatino Linotype"/>
                <w:lang w:val="en-GB"/>
              </w:rPr>
              <w:t>Muscle mass</w:t>
            </w:r>
            <w:r>
              <w:rPr>
                <w:rFonts w:ascii="Palatino Linotype" w:hAnsi="Palatino Linotype"/>
                <w:lang w:val="en-GB"/>
              </w:rPr>
              <w:t xml:space="preserve"> (DXA)</w:t>
            </w:r>
          </w:p>
        </w:tc>
      </w:tr>
      <w:tr w:rsidR="005E681F" w:rsidRPr="007274EE" w14:paraId="663ECE7F" w14:textId="77777777" w:rsidTr="00B9449F">
        <w:tc>
          <w:tcPr>
            <w:tcW w:w="2268" w:type="dxa"/>
            <w:tcBorders>
              <w:top w:val="dotted" w:sz="4" w:space="0" w:color="auto"/>
              <w:bottom w:val="dotted" w:sz="4" w:space="0" w:color="auto"/>
            </w:tcBorders>
          </w:tcPr>
          <w:p w14:paraId="149BBD12" w14:textId="0D3E2EDC" w:rsidR="005E681F" w:rsidRPr="00B9449F" w:rsidRDefault="005E681F" w:rsidP="005E681F">
            <w:pPr>
              <w:rPr>
                <w:rFonts w:ascii="Palatino Linotype" w:hAnsi="Palatino Linotype"/>
                <w:lang w:val="en-GB"/>
              </w:rPr>
            </w:pPr>
            <w:r w:rsidRPr="00B9449F">
              <w:rPr>
                <w:rFonts w:ascii="Palatino Linotype" w:hAnsi="Palatino Linotype"/>
                <w:lang w:val="en-GB"/>
              </w:rPr>
              <w:t>Length of treatment / follow-up</w:t>
            </w:r>
          </w:p>
        </w:tc>
        <w:tc>
          <w:tcPr>
            <w:tcW w:w="3473" w:type="dxa"/>
            <w:tcBorders>
              <w:top w:val="dotted" w:sz="4" w:space="0" w:color="auto"/>
              <w:bottom w:val="dotted" w:sz="4" w:space="0" w:color="auto"/>
            </w:tcBorders>
          </w:tcPr>
          <w:p w14:paraId="54A68915" w14:textId="42692B78" w:rsidR="005E681F" w:rsidRDefault="005E681F" w:rsidP="005E681F">
            <w:pPr>
              <w:jc w:val="both"/>
              <w:rPr>
                <w:rFonts w:ascii="Palatino Linotype" w:hAnsi="Palatino Linotype"/>
                <w:lang w:val="en-GB"/>
              </w:rPr>
            </w:pPr>
          </w:p>
          <w:p w14:paraId="35B110BD" w14:textId="13E5C84B" w:rsidR="005E681F" w:rsidRPr="00B9449F" w:rsidRDefault="005E681F" w:rsidP="005E681F">
            <w:pPr>
              <w:jc w:val="both"/>
              <w:rPr>
                <w:rFonts w:ascii="Palatino Linotype" w:hAnsi="Palatino Linotype"/>
                <w:lang w:val="en-GB"/>
              </w:rPr>
            </w:pPr>
            <w:r w:rsidRPr="00B9449F">
              <w:rPr>
                <w:rFonts w:ascii="Palatino Linotype" w:hAnsi="Palatino Linotype"/>
                <w:lang w:val="en-GB"/>
              </w:rPr>
              <w:t>6 months of treatment and follow-up</w:t>
            </w:r>
          </w:p>
        </w:tc>
        <w:tc>
          <w:tcPr>
            <w:tcW w:w="3473" w:type="dxa"/>
            <w:tcBorders>
              <w:top w:val="dotted" w:sz="4" w:space="0" w:color="auto"/>
              <w:bottom w:val="dotted" w:sz="4" w:space="0" w:color="auto"/>
            </w:tcBorders>
          </w:tcPr>
          <w:p w14:paraId="64DBFB26" w14:textId="67FE4F75" w:rsidR="005E681F" w:rsidRPr="00B9449F" w:rsidRDefault="005E681F" w:rsidP="005E681F">
            <w:pPr>
              <w:jc w:val="both"/>
              <w:rPr>
                <w:rFonts w:ascii="Palatino Linotype" w:hAnsi="Palatino Linotype"/>
                <w:lang w:val="en-GB"/>
              </w:rPr>
            </w:pPr>
            <w:r w:rsidRPr="00B9449F">
              <w:rPr>
                <w:rFonts w:ascii="Palatino Linotype" w:hAnsi="Palatino Linotype"/>
                <w:lang w:val="en-GB"/>
              </w:rPr>
              <w:t>1 year of treatment and follow-u</w:t>
            </w:r>
            <w:r>
              <w:rPr>
                <w:rFonts w:ascii="Palatino Linotype" w:hAnsi="Palatino Linotype"/>
                <w:lang w:val="en-GB"/>
              </w:rPr>
              <w:t>p</w:t>
            </w:r>
          </w:p>
        </w:tc>
      </w:tr>
      <w:tr w:rsidR="005E681F" w:rsidRPr="007274EE" w14:paraId="0B686891" w14:textId="77777777" w:rsidTr="00B9449F">
        <w:tc>
          <w:tcPr>
            <w:tcW w:w="2268" w:type="dxa"/>
            <w:tcBorders>
              <w:top w:val="dotted" w:sz="4" w:space="0" w:color="auto"/>
              <w:bottom w:val="dotted" w:sz="4" w:space="0" w:color="auto"/>
            </w:tcBorders>
          </w:tcPr>
          <w:p w14:paraId="52420330" w14:textId="15D147CC" w:rsidR="005E681F" w:rsidRPr="00B9449F" w:rsidRDefault="005E681F" w:rsidP="005E681F">
            <w:pPr>
              <w:rPr>
                <w:rFonts w:ascii="Palatino Linotype" w:hAnsi="Palatino Linotype"/>
                <w:lang w:val="en-GB"/>
              </w:rPr>
            </w:pPr>
            <w:r w:rsidRPr="00B9449F">
              <w:rPr>
                <w:rFonts w:ascii="Palatino Linotype" w:hAnsi="Palatino Linotype"/>
                <w:lang w:val="en-GB"/>
              </w:rPr>
              <w:t>Time point assessment</w:t>
            </w:r>
          </w:p>
        </w:tc>
        <w:tc>
          <w:tcPr>
            <w:tcW w:w="3473" w:type="dxa"/>
            <w:tcBorders>
              <w:top w:val="dotted" w:sz="4" w:space="0" w:color="auto"/>
              <w:bottom w:val="dotted" w:sz="4" w:space="0" w:color="auto"/>
            </w:tcBorders>
          </w:tcPr>
          <w:p w14:paraId="49812DF7" w14:textId="139A33C7" w:rsidR="005E681F" w:rsidRPr="00B9449F" w:rsidRDefault="009A036C" w:rsidP="005E681F">
            <w:pPr>
              <w:jc w:val="both"/>
              <w:rPr>
                <w:rFonts w:ascii="Palatino Linotype" w:hAnsi="Palatino Linotype"/>
                <w:lang w:val="en-GB"/>
              </w:rPr>
            </w:pPr>
            <w:r>
              <w:rPr>
                <w:rFonts w:ascii="Palatino Linotype" w:hAnsi="Palatino Linotype"/>
                <w:lang w:val="en-GB"/>
              </w:rPr>
              <w:t xml:space="preserve">Every </w:t>
            </w:r>
            <w:r w:rsidR="005E681F" w:rsidRPr="00B9449F">
              <w:rPr>
                <w:rFonts w:ascii="Palatino Linotype" w:hAnsi="Palatino Linotype"/>
                <w:lang w:val="en-GB"/>
              </w:rPr>
              <w:t>3 months</w:t>
            </w:r>
          </w:p>
        </w:tc>
        <w:tc>
          <w:tcPr>
            <w:tcW w:w="3473" w:type="dxa"/>
            <w:tcBorders>
              <w:top w:val="dotted" w:sz="4" w:space="0" w:color="auto"/>
              <w:bottom w:val="dotted" w:sz="4" w:space="0" w:color="auto"/>
            </w:tcBorders>
          </w:tcPr>
          <w:p w14:paraId="7BCD3B49" w14:textId="6EB155A4" w:rsidR="005E681F" w:rsidRPr="00B9449F" w:rsidRDefault="009A036C" w:rsidP="005E681F">
            <w:pPr>
              <w:jc w:val="both"/>
              <w:rPr>
                <w:rFonts w:ascii="Palatino Linotype" w:hAnsi="Palatino Linotype"/>
                <w:lang w:val="en-GB"/>
              </w:rPr>
            </w:pPr>
            <w:r>
              <w:rPr>
                <w:rFonts w:ascii="Palatino Linotype" w:hAnsi="Palatino Linotype"/>
                <w:lang w:val="en-GB"/>
              </w:rPr>
              <w:t xml:space="preserve">Every </w:t>
            </w:r>
            <w:r w:rsidR="005E681F" w:rsidRPr="00B9449F">
              <w:rPr>
                <w:rFonts w:ascii="Palatino Linotype" w:hAnsi="Palatino Linotype"/>
                <w:lang w:val="en-GB"/>
              </w:rPr>
              <w:t>3 months</w:t>
            </w:r>
            <w:r>
              <w:rPr>
                <w:rFonts w:ascii="Palatino Linotype" w:hAnsi="Palatino Linotype"/>
                <w:lang w:val="en-GB"/>
              </w:rPr>
              <w:t xml:space="preserve"> but at least every 6 months</w:t>
            </w:r>
          </w:p>
        </w:tc>
      </w:tr>
      <w:tr w:rsidR="005E681F" w:rsidRPr="00B9449F" w14:paraId="10D893AB" w14:textId="77777777" w:rsidTr="00B9449F">
        <w:tc>
          <w:tcPr>
            <w:tcW w:w="2268" w:type="dxa"/>
            <w:tcBorders>
              <w:top w:val="dotted" w:sz="4" w:space="0" w:color="auto"/>
              <w:bottom w:val="dotted" w:sz="4" w:space="0" w:color="auto"/>
            </w:tcBorders>
          </w:tcPr>
          <w:p w14:paraId="2C1D797B" w14:textId="7D4E4448" w:rsidR="005E681F" w:rsidRPr="00B9449F" w:rsidRDefault="005E681F" w:rsidP="005E681F">
            <w:pPr>
              <w:rPr>
                <w:rFonts w:ascii="Palatino Linotype" w:hAnsi="Palatino Linotype"/>
                <w:lang w:val="en-GB"/>
              </w:rPr>
            </w:pPr>
            <w:r w:rsidRPr="00B9449F">
              <w:rPr>
                <w:rFonts w:ascii="Palatino Linotype" w:hAnsi="Palatino Linotype"/>
                <w:lang w:val="en-GB"/>
              </w:rPr>
              <w:t>Comparator</w:t>
            </w:r>
          </w:p>
        </w:tc>
        <w:tc>
          <w:tcPr>
            <w:tcW w:w="3473" w:type="dxa"/>
            <w:tcBorders>
              <w:top w:val="dotted" w:sz="4" w:space="0" w:color="auto"/>
              <w:bottom w:val="dotted" w:sz="4" w:space="0" w:color="auto"/>
            </w:tcBorders>
          </w:tcPr>
          <w:p w14:paraId="01CA1D9B" w14:textId="623E530F" w:rsidR="005E681F" w:rsidRPr="00B9449F" w:rsidRDefault="005E681F" w:rsidP="005E681F">
            <w:pPr>
              <w:jc w:val="both"/>
              <w:rPr>
                <w:rFonts w:ascii="Palatino Linotype" w:hAnsi="Palatino Linotype"/>
                <w:lang w:val="en-GB"/>
              </w:rPr>
            </w:pPr>
            <w:r w:rsidRPr="00B9449F">
              <w:rPr>
                <w:rFonts w:ascii="Palatino Linotype" w:hAnsi="Palatino Linotype"/>
                <w:lang w:val="en-GB"/>
              </w:rPr>
              <w:t>Placebo</w:t>
            </w:r>
          </w:p>
        </w:tc>
        <w:tc>
          <w:tcPr>
            <w:tcW w:w="3473" w:type="dxa"/>
            <w:tcBorders>
              <w:top w:val="dotted" w:sz="4" w:space="0" w:color="auto"/>
              <w:bottom w:val="dotted" w:sz="4" w:space="0" w:color="auto"/>
            </w:tcBorders>
          </w:tcPr>
          <w:p w14:paraId="41DE8672" w14:textId="0AA24F37" w:rsidR="005E681F" w:rsidRPr="00B9449F" w:rsidRDefault="005E681F" w:rsidP="005E681F">
            <w:pPr>
              <w:jc w:val="both"/>
              <w:rPr>
                <w:rFonts w:ascii="Palatino Linotype" w:hAnsi="Palatino Linotype"/>
                <w:lang w:val="en-GB"/>
              </w:rPr>
            </w:pPr>
            <w:r w:rsidRPr="00B9449F">
              <w:rPr>
                <w:rFonts w:ascii="Palatino Linotype" w:hAnsi="Palatino Linotype"/>
                <w:lang w:val="en-GB"/>
              </w:rPr>
              <w:t>Placebo</w:t>
            </w:r>
          </w:p>
        </w:tc>
      </w:tr>
      <w:tr w:rsidR="005E681F" w:rsidRPr="007274EE" w14:paraId="07AAAFEB" w14:textId="77777777" w:rsidTr="00B9449F">
        <w:tc>
          <w:tcPr>
            <w:tcW w:w="2268" w:type="dxa"/>
            <w:tcBorders>
              <w:top w:val="dotted" w:sz="4" w:space="0" w:color="auto"/>
              <w:bottom w:val="dotted" w:sz="4" w:space="0" w:color="auto"/>
            </w:tcBorders>
          </w:tcPr>
          <w:p w14:paraId="07625CFE" w14:textId="4A29F59F" w:rsidR="005E681F" w:rsidRPr="00B9449F" w:rsidRDefault="005E681F" w:rsidP="005E681F">
            <w:pPr>
              <w:rPr>
                <w:rFonts w:ascii="Palatino Linotype" w:hAnsi="Palatino Linotype"/>
                <w:lang w:val="en-GB"/>
              </w:rPr>
            </w:pPr>
            <w:r w:rsidRPr="00B9449F">
              <w:rPr>
                <w:rFonts w:ascii="Palatino Linotype" w:hAnsi="Palatino Linotype"/>
                <w:lang w:val="en-GB"/>
              </w:rPr>
              <w:t>Co-treatment</w:t>
            </w:r>
          </w:p>
        </w:tc>
        <w:tc>
          <w:tcPr>
            <w:tcW w:w="3473" w:type="dxa"/>
            <w:tcBorders>
              <w:top w:val="dotted" w:sz="4" w:space="0" w:color="auto"/>
              <w:bottom w:val="dotted" w:sz="4" w:space="0" w:color="auto"/>
            </w:tcBorders>
          </w:tcPr>
          <w:p w14:paraId="63961FCA" w14:textId="4EBD1B9D" w:rsidR="005E681F" w:rsidRPr="00B9449F" w:rsidRDefault="005E681F" w:rsidP="005E681F">
            <w:pPr>
              <w:jc w:val="both"/>
              <w:rPr>
                <w:rFonts w:ascii="Palatino Linotype" w:hAnsi="Palatino Linotype"/>
                <w:lang w:val="en-GB"/>
              </w:rPr>
            </w:pPr>
            <w:r w:rsidRPr="00B9449F">
              <w:rPr>
                <w:rFonts w:ascii="Palatino Linotype" w:hAnsi="Palatino Linotype"/>
                <w:lang w:val="en-GB"/>
              </w:rPr>
              <w:t>Standard care for both groups</w:t>
            </w:r>
          </w:p>
        </w:tc>
        <w:tc>
          <w:tcPr>
            <w:tcW w:w="3473" w:type="dxa"/>
            <w:tcBorders>
              <w:top w:val="dotted" w:sz="4" w:space="0" w:color="auto"/>
              <w:bottom w:val="dotted" w:sz="4" w:space="0" w:color="auto"/>
            </w:tcBorders>
          </w:tcPr>
          <w:p w14:paraId="114E65F9" w14:textId="24420CC8" w:rsidR="005E681F" w:rsidRPr="00B9449F" w:rsidRDefault="005E681F" w:rsidP="005E681F">
            <w:pPr>
              <w:jc w:val="both"/>
              <w:rPr>
                <w:rFonts w:ascii="Palatino Linotype" w:hAnsi="Palatino Linotype"/>
                <w:lang w:val="en-GB"/>
              </w:rPr>
            </w:pPr>
            <w:r w:rsidRPr="00B9449F">
              <w:rPr>
                <w:rFonts w:ascii="Palatino Linotype" w:hAnsi="Palatino Linotype"/>
                <w:lang w:val="en-GB"/>
              </w:rPr>
              <w:t>Standard care for both groups</w:t>
            </w:r>
          </w:p>
        </w:tc>
      </w:tr>
      <w:tr w:rsidR="005E681F" w:rsidRPr="009D3AAF" w14:paraId="33146C34" w14:textId="77777777" w:rsidTr="00B9449F">
        <w:tc>
          <w:tcPr>
            <w:tcW w:w="2268" w:type="dxa"/>
            <w:tcBorders>
              <w:top w:val="dotted" w:sz="4" w:space="0" w:color="auto"/>
              <w:bottom w:val="dotted" w:sz="4" w:space="0" w:color="auto"/>
            </w:tcBorders>
          </w:tcPr>
          <w:p w14:paraId="0D2A56DC" w14:textId="14421425" w:rsidR="005E681F" w:rsidRPr="00B9449F" w:rsidRDefault="005E681F" w:rsidP="005E681F">
            <w:pPr>
              <w:rPr>
                <w:rFonts w:ascii="Palatino Linotype" w:hAnsi="Palatino Linotype"/>
                <w:lang w:val="en-GB"/>
              </w:rPr>
            </w:pPr>
            <w:r w:rsidRPr="00B9449F">
              <w:rPr>
                <w:rFonts w:ascii="Palatino Linotype" w:hAnsi="Palatino Linotype"/>
                <w:lang w:val="en-GB"/>
              </w:rPr>
              <w:t>Co</w:t>
            </w:r>
            <w:r w:rsidR="00421ECC">
              <w:rPr>
                <w:rFonts w:ascii="Palatino Linotype" w:hAnsi="Palatino Linotype"/>
                <w:lang w:val="en-GB"/>
              </w:rPr>
              <w:t>n</w:t>
            </w:r>
            <w:r w:rsidRPr="00B9449F">
              <w:rPr>
                <w:rFonts w:ascii="Palatino Linotype" w:hAnsi="Palatino Linotype"/>
                <w:lang w:val="en-GB"/>
              </w:rPr>
              <w:t>founding</w:t>
            </w:r>
          </w:p>
        </w:tc>
        <w:tc>
          <w:tcPr>
            <w:tcW w:w="3473" w:type="dxa"/>
            <w:tcBorders>
              <w:top w:val="dotted" w:sz="4" w:space="0" w:color="auto"/>
              <w:bottom w:val="dotted" w:sz="4" w:space="0" w:color="auto"/>
            </w:tcBorders>
          </w:tcPr>
          <w:p w14:paraId="22C832CC" w14:textId="07408B04" w:rsidR="005E681F" w:rsidRPr="00B9449F" w:rsidRDefault="005E681F" w:rsidP="005E681F">
            <w:pPr>
              <w:jc w:val="both"/>
              <w:rPr>
                <w:rFonts w:ascii="Palatino Linotype" w:hAnsi="Palatino Linotype"/>
                <w:lang w:val="en-GB"/>
              </w:rPr>
            </w:pPr>
            <w:r w:rsidRPr="00B9449F">
              <w:rPr>
                <w:rFonts w:ascii="Palatino Linotype" w:hAnsi="Palatino Linotype"/>
                <w:lang w:val="en-GB"/>
              </w:rPr>
              <w:t>Nutrition</w:t>
            </w:r>
            <w:r w:rsidR="009A036C">
              <w:rPr>
                <w:rFonts w:ascii="Palatino Linotype" w:hAnsi="Palatino Linotype"/>
                <w:lang w:val="en-GB"/>
              </w:rPr>
              <w:t>al status</w:t>
            </w:r>
          </w:p>
          <w:p w14:paraId="3EDDAF05" w14:textId="5221C496" w:rsidR="005E681F" w:rsidRPr="00B9449F" w:rsidRDefault="005E681F" w:rsidP="005E681F">
            <w:pPr>
              <w:jc w:val="both"/>
              <w:rPr>
                <w:rFonts w:ascii="Palatino Linotype" w:hAnsi="Palatino Linotype"/>
                <w:lang w:val="en-GB"/>
              </w:rPr>
            </w:pPr>
            <w:r w:rsidRPr="00B9449F">
              <w:rPr>
                <w:rFonts w:ascii="Palatino Linotype" w:hAnsi="Palatino Linotype"/>
                <w:lang w:val="en-GB"/>
              </w:rPr>
              <w:t>Physical activity</w:t>
            </w:r>
          </w:p>
          <w:p w14:paraId="4F5E9557" w14:textId="7D0CB90E" w:rsidR="005E681F" w:rsidRDefault="002A48CA" w:rsidP="005E681F">
            <w:pPr>
              <w:jc w:val="both"/>
              <w:rPr>
                <w:rFonts w:ascii="Palatino Linotype" w:hAnsi="Palatino Linotype"/>
                <w:lang w:val="en-GB"/>
              </w:rPr>
            </w:pPr>
            <w:r>
              <w:rPr>
                <w:rFonts w:ascii="Palatino Linotype" w:hAnsi="Palatino Linotype"/>
                <w:lang w:val="en-GB"/>
              </w:rPr>
              <w:t xml:space="preserve">Co-prescriptions </w:t>
            </w:r>
          </w:p>
          <w:p w14:paraId="3EFAF577" w14:textId="77777777" w:rsidR="001B3594" w:rsidRDefault="001B3594" w:rsidP="005E681F">
            <w:pPr>
              <w:jc w:val="both"/>
              <w:rPr>
                <w:rFonts w:ascii="Palatino Linotype" w:hAnsi="Palatino Linotype"/>
                <w:lang w:val="en-GB"/>
              </w:rPr>
            </w:pPr>
            <w:r w:rsidRPr="001B3594">
              <w:rPr>
                <w:rFonts w:ascii="Palatino Linotype" w:hAnsi="Palatino Linotype"/>
                <w:highlight w:val="yellow"/>
                <w:lang w:val="en-GB"/>
              </w:rPr>
              <w:t>Comorbidities</w:t>
            </w:r>
          </w:p>
          <w:p w14:paraId="2C52F84F" w14:textId="131C02A5" w:rsidR="002A48CA" w:rsidRPr="00B9449F" w:rsidRDefault="002A48CA" w:rsidP="005E681F">
            <w:pPr>
              <w:jc w:val="both"/>
              <w:rPr>
                <w:rFonts w:ascii="Palatino Linotype" w:hAnsi="Palatino Linotype"/>
                <w:lang w:val="en-GB"/>
              </w:rPr>
            </w:pPr>
            <w:r w:rsidRPr="002A48CA">
              <w:rPr>
                <w:rFonts w:ascii="Palatino Linotype" w:hAnsi="Palatino Linotype"/>
                <w:highlight w:val="yellow"/>
                <w:lang w:val="en-GB"/>
              </w:rPr>
              <w:t>Health events</w:t>
            </w:r>
          </w:p>
        </w:tc>
        <w:tc>
          <w:tcPr>
            <w:tcW w:w="3473" w:type="dxa"/>
            <w:tcBorders>
              <w:top w:val="dotted" w:sz="4" w:space="0" w:color="auto"/>
              <w:bottom w:val="dotted" w:sz="4" w:space="0" w:color="auto"/>
            </w:tcBorders>
          </w:tcPr>
          <w:p w14:paraId="1C2C0D80" w14:textId="7A4FA8CE" w:rsidR="005E681F" w:rsidRPr="00B9449F" w:rsidRDefault="005E681F" w:rsidP="005E681F">
            <w:pPr>
              <w:jc w:val="both"/>
              <w:rPr>
                <w:rFonts w:ascii="Palatino Linotype" w:hAnsi="Palatino Linotype"/>
                <w:lang w:val="en-GB"/>
              </w:rPr>
            </w:pPr>
            <w:r w:rsidRPr="00B9449F">
              <w:rPr>
                <w:rFonts w:ascii="Palatino Linotype" w:hAnsi="Palatino Linotype"/>
                <w:lang w:val="en-GB"/>
              </w:rPr>
              <w:t>Nutrition</w:t>
            </w:r>
            <w:r w:rsidR="009A036C">
              <w:rPr>
                <w:rFonts w:ascii="Palatino Linotype" w:hAnsi="Palatino Linotype"/>
                <w:lang w:val="en-GB"/>
              </w:rPr>
              <w:t>al status</w:t>
            </w:r>
          </w:p>
          <w:p w14:paraId="610EB340" w14:textId="5D0BE1DE" w:rsidR="005E681F" w:rsidRPr="00B9449F" w:rsidRDefault="005E681F" w:rsidP="005E681F">
            <w:pPr>
              <w:jc w:val="both"/>
              <w:rPr>
                <w:rFonts w:ascii="Palatino Linotype" w:hAnsi="Palatino Linotype"/>
                <w:lang w:val="en-GB"/>
              </w:rPr>
            </w:pPr>
            <w:r w:rsidRPr="00B9449F">
              <w:rPr>
                <w:rFonts w:ascii="Palatino Linotype" w:hAnsi="Palatino Linotype"/>
                <w:lang w:val="en-GB"/>
              </w:rPr>
              <w:t>Physical activity</w:t>
            </w:r>
          </w:p>
          <w:p w14:paraId="6FAD321D" w14:textId="2D00B285" w:rsidR="005E681F" w:rsidRDefault="002A48CA" w:rsidP="005E681F">
            <w:pPr>
              <w:jc w:val="both"/>
              <w:rPr>
                <w:rFonts w:ascii="Palatino Linotype" w:hAnsi="Palatino Linotype"/>
                <w:lang w:val="en-GB"/>
              </w:rPr>
            </w:pPr>
            <w:r>
              <w:rPr>
                <w:rFonts w:ascii="Palatino Linotype" w:hAnsi="Palatino Linotype"/>
                <w:lang w:val="en-GB"/>
              </w:rPr>
              <w:t xml:space="preserve">Co-prescriptions </w:t>
            </w:r>
          </w:p>
          <w:p w14:paraId="33A596AC" w14:textId="77777777" w:rsidR="001B3594" w:rsidRDefault="001B3594" w:rsidP="005E681F">
            <w:pPr>
              <w:jc w:val="both"/>
              <w:rPr>
                <w:rFonts w:ascii="Palatino Linotype" w:hAnsi="Palatino Linotype"/>
                <w:lang w:val="en-GB"/>
              </w:rPr>
            </w:pPr>
            <w:r w:rsidRPr="001B3594">
              <w:rPr>
                <w:rFonts w:ascii="Palatino Linotype" w:hAnsi="Palatino Linotype"/>
                <w:highlight w:val="yellow"/>
                <w:lang w:val="en-GB"/>
              </w:rPr>
              <w:t>Comorbidities</w:t>
            </w:r>
          </w:p>
          <w:p w14:paraId="060CC5FF" w14:textId="1360DE90" w:rsidR="002A48CA" w:rsidRPr="00B9449F" w:rsidRDefault="002A48CA" w:rsidP="005E681F">
            <w:pPr>
              <w:jc w:val="both"/>
              <w:rPr>
                <w:rFonts w:ascii="Palatino Linotype" w:hAnsi="Palatino Linotype"/>
                <w:lang w:val="en-GB"/>
              </w:rPr>
            </w:pPr>
            <w:r w:rsidRPr="002A48CA">
              <w:rPr>
                <w:rFonts w:ascii="Palatino Linotype" w:hAnsi="Palatino Linotype"/>
                <w:highlight w:val="yellow"/>
                <w:lang w:val="en-GB"/>
              </w:rPr>
              <w:t>Health events</w:t>
            </w:r>
          </w:p>
        </w:tc>
      </w:tr>
      <w:tr w:rsidR="005E681F" w:rsidRPr="007274EE" w14:paraId="7F350EC7" w14:textId="77777777" w:rsidTr="00B9449F">
        <w:tc>
          <w:tcPr>
            <w:tcW w:w="2268" w:type="dxa"/>
            <w:tcBorders>
              <w:top w:val="dotted" w:sz="4" w:space="0" w:color="auto"/>
              <w:bottom w:val="dotted" w:sz="4" w:space="0" w:color="auto"/>
            </w:tcBorders>
          </w:tcPr>
          <w:p w14:paraId="6F31E30B" w14:textId="6C96D1E0" w:rsidR="005E681F" w:rsidRPr="00B9449F" w:rsidRDefault="005E681F" w:rsidP="005E681F">
            <w:pPr>
              <w:rPr>
                <w:rFonts w:ascii="Palatino Linotype" w:hAnsi="Palatino Linotype"/>
                <w:lang w:val="en-GB"/>
              </w:rPr>
            </w:pPr>
            <w:r w:rsidRPr="00B9449F">
              <w:rPr>
                <w:rFonts w:ascii="Palatino Linotype" w:hAnsi="Palatino Linotype"/>
                <w:lang w:val="en-GB"/>
              </w:rPr>
              <w:t>Stratification</w:t>
            </w:r>
          </w:p>
        </w:tc>
        <w:tc>
          <w:tcPr>
            <w:tcW w:w="3473" w:type="dxa"/>
            <w:tcBorders>
              <w:top w:val="dotted" w:sz="4" w:space="0" w:color="auto"/>
              <w:bottom w:val="dotted" w:sz="4" w:space="0" w:color="auto"/>
            </w:tcBorders>
          </w:tcPr>
          <w:p w14:paraId="61E1CC9E" w14:textId="0228FBB7" w:rsidR="005E681F" w:rsidRDefault="005E681F" w:rsidP="005E681F">
            <w:pPr>
              <w:jc w:val="both"/>
              <w:rPr>
                <w:rFonts w:ascii="Palatino Linotype" w:hAnsi="Palatino Linotype"/>
                <w:lang w:val="en-GB"/>
              </w:rPr>
            </w:pPr>
            <w:r w:rsidRPr="00B9449F">
              <w:rPr>
                <w:rFonts w:ascii="Palatino Linotype" w:hAnsi="Palatino Linotype"/>
                <w:lang w:val="en-GB"/>
              </w:rPr>
              <w:t>Value of primary outcome at baseline</w:t>
            </w:r>
          </w:p>
          <w:p w14:paraId="1EFAD6AD" w14:textId="794D5566" w:rsidR="007A1DD5" w:rsidRDefault="007A1DD5" w:rsidP="005E681F">
            <w:pPr>
              <w:jc w:val="both"/>
              <w:rPr>
                <w:rFonts w:ascii="Palatino Linotype" w:hAnsi="Palatino Linotype"/>
                <w:lang w:val="en-GB"/>
              </w:rPr>
            </w:pPr>
            <w:r>
              <w:rPr>
                <w:rFonts w:ascii="Palatino Linotype" w:hAnsi="Palatino Linotype"/>
                <w:lang w:val="en-GB"/>
              </w:rPr>
              <w:t>Gender</w:t>
            </w:r>
          </w:p>
          <w:p w14:paraId="0634F229" w14:textId="26D2138F" w:rsidR="007A1DD5" w:rsidRPr="00B9449F" w:rsidRDefault="007A1DD5" w:rsidP="005E681F">
            <w:pPr>
              <w:jc w:val="both"/>
              <w:rPr>
                <w:rFonts w:ascii="Palatino Linotype" w:hAnsi="Palatino Linotype"/>
                <w:lang w:val="en-GB"/>
              </w:rPr>
            </w:pPr>
            <w:r>
              <w:rPr>
                <w:rFonts w:ascii="Palatino Linotype" w:hAnsi="Palatino Linotype"/>
                <w:lang w:val="en-GB"/>
              </w:rPr>
              <w:t xml:space="preserve">Age </w:t>
            </w:r>
          </w:p>
          <w:p w14:paraId="2C379D6C" w14:textId="496677FE" w:rsidR="005E681F" w:rsidRDefault="005E681F" w:rsidP="005E681F">
            <w:pPr>
              <w:jc w:val="both"/>
              <w:rPr>
                <w:rFonts w:ascii="Palatino Linotype" w:hAnsi="Palatino Linotype"/>
                <w:lang w:val="en-GB"/>
              </w:rPr>
            </w:pPr>
            <w:r>
              <w:rPr>
                <w:rFonts w:ascii="Palatino Linotype" w:hAnsi="Palatino Linotype"/>
                <w:lang w:val="en-GB"/>
              </w:rPr>
              <w:t>Comorbidities</w:t>
            </w:r>
          </w:p>
          <w:p w14:paraId="3D15AE34" w14:textId="684B791A" w:rsidR="00494359" w:rsidRDefault="00494359" w:rsidP="005E681F">
            <w:pPr>
              <w:jc w:val="both"/>
              <w:rPr>
                <w:rFonts w:ascii="Palatino Linotype" w:hAnsi="Palatino Linotype"/>
                <w:lang w:val="en-GB"/>
              </w:rPr>
            </w:pPr>
            <w:r>
              <w:rPr>
                <w:rFonts w:ascii="Palatino Linotype" w:hAnsi="Palatino Linotype"/>
                <w:lang w:val="en-GB"/>
              </w:rPr>
              <w:t>Frailty status</w:t>
            </w:r>
          </w:p>
          <w:p w14:paraId="67E0139B" w14:textId="5CD6DD37" w:rsidR="00494359" w:rsidRPr="00B9449F" w:rsidRDefault="00494359" w:rsidP="005E681F">
            <w:pPr>
              <w:jc w:val="both"/>
              <w:rPr>
                <w:rFonts w:ascii="Palatino Linotype" w:hAnsi="Palatino Linotype"/>
                <w:lang w:val="en-GB"/>
              </w:rPr>
            </w:pPr>
            <w:r>
              <w:rPr>
                <w:rFonts w:ascii="Palatino Linotype" w:hAnsi="Palatino Linotype"/>
                <w:lang w:val="en-GB"/>
              </w:rPr>
              <w:t>Variable intervened</w:t>
            </w:r>
          </w:p>
        </w:tc>
        <w:tc>
          <w:tcPr>
            <w:tcW w:w="3473" w:type="dxa"/>
            <w:tcBorders>
              <w:top w:val="dotted" w:sz="4" w:space="0" w:color="auto"/>
              <w:bottom w:val="dotted" w:sz="4" w:space="0" w:color="auto"/>
            </w:tcBorders>
          </w:tcPr>
          <w:p w14:paraId="5C75D923" w14:textId="3271D913" w:rsidR="00494359" w:rsidRDefault="00494359" w:rsidP="00494359">
            <w:pPr>
              <w:jc w:val="both"/>
              <w:rPr>
                <w:rFonts w:ascii="Palatino Linotype" w:hAnsi="Palatino Linotype"/>
                <w:lang w:val="en-GB"/>
              </w:rPr>
            </w:pPr>
            <w:r w:rsidRPr="00B9449F">
              <w:rPr>
                <w:rFonts w:ascii="Palatino Linotype" w:hAnsi="Palatino Linotype"/>
                <w:lang w:val="en-GB"/>
              </w:rPr>
              <w:t>Value of primary outcome at baseline</w:t>
            </w:r>
          </w:p>
          <w:p w14:paraId="3017F20D" w14:textId="54A186B1" w:rsidR="00494359" w:rsidRDefault="00494359" w:rsidP="00494359">
            <w:pPr>
              <w:jc w:val="both"/>
              <w:rPr>
                <w:rFonts w:ascii="Palatino Linotype" w:hAnsi="Palatino Linotype"/>
                <w:lang w:val="en-GB"/>
              </w:rPr>
            </w:pPr>
            <w:r>
              <w:rPr>
                <w:rFonts w:ascii="Palatino Linotype" w:hAnsi="Palatino Linotype"/>
                <w:lang w:val="en-GB"/>
              </w:rPr>
              <w:t>Gender</w:t>
            </w:r>
          </w:p>
          <w:p w14:paraId="21ADAA80" w14:textId="53B91781" w:rsidR="00494359" w:rsidRPr="00B9449F" w:rsidRDefault="00494359" w:rsidP="00494359">
            <w:pPr>
              <w:jc w:val="both"/>
              <w:rPr>
                <w:rFonts w:ascii="Palatino Linotype" w:hAnsi="Palatino Linotype"/>
                <w:lang w:val="en-GB"/>
              </w:rPr>
            </w:pPr>
            <w:r>
              <w:rPr>
                <w:rFonts w:ascii="Palatino Linotype" w:hAnsi="Palatino Linotype"/>
                <w:lang w:val="en-GB"/>
              </w:rPr>
              <w:t xml:space="preserve">Age </w:t>
            </w:r>
          </w:p>
          <w:p w14:paraId="32289B8A" w14:textId="4ACEEF79" w:rsidR="00494359" w:rsidRDefault="00494359" w:rsidP="00494359">
            <w:pPr>
              <w:jc w:val="both"/>
              <w:rPr>
                <w:rFonts w:ascii="Palatino Linotype" w:hAnsi="Palatino Linotype"/>
                <w:lang w:val="en-GB"/>
              </w:rPr>
            </w:pPr>
            <w:r>
              <w:rPr>
                <w:rFonts w:ascii="Palatino Linotype" w:hAnsi="Palatino Linotype"/>
                <w:lang w:val="en-GB"/>
              </w:rPr>
              <w:t>Comorbidities</w:t>
            </w:r>
          </w:p>
          <w:p w14:paraId="5AE3DBC4" w14:textId="3D03FB92" w:rsidR="00494359" w:rsidRDefault="00494359" w:rsidP="00494359">
            <w:pPr>
              <w:jc w:val="both"/>
              <w:rPr>
                <w:rFonts w:ascii="Palatino Linotype" w:hAnsi="Palatino Linotype"/>
                <w:lang w:val="en-GB"/>
              </w:rPr>
            </w:pPr>
            <w:r>
              <w:rPr>
                <w:rFonts w:ascii="Palatino Linotype" w:hAnsi="Palatino Linotype"/>
                <w:lang w:val="en-GB"/>
              </w:rPr>
              <w:t>Frailty status</w:t>
            </w:r>
          </w:p>
          <w:p w14:paraId="1A5D0FD5" w14:textId="39F16444" w:rsidR="005E681F" w:rsidRPr="00B9449F" w:rsidRDefault="00494359" w:rsidP="005E681F">
            <w:pPr>
              <w:jc w:val="both"/>
              <w:rPr>
                <w:rFonts w:ascii="Palatino Linotype" w:hAnsi="Palatino Linotype"/>
                <w:lang w:val="en-GB"/>
              </w:rPr>
            </w:pPr>
            <w:r>
              <w:rPr>
                <w:rFonts w:ascii="Palatino Linotype" w:hAnsi="Palatino Linotype"/>
                <w:lang w:val="en-GB"/>
              </w:rPr>
              <w:t>Variable intervened</w:t>
            </w:r>
          </w:p>
        </w:tc>
      </w:tr>
      <w:tr w:rsidR="005E681F" w:rsidRPr="00B9449F" w14:paraId="00860726" w14:textId="77777777" w:rsidTr="00B9449F">
        <w:tc>
          <w:tcPr>
            <w:tcW w:w="2268" w:type="dxa"/>
            <w:tcBorders>
              <w:top w:val="dotted" w:sz="4" w:space="0" w:color="auto"/>
              <w:bottom w:val="single" w:sz="4" w:space="0" w:color="auto"/>
            </w:tcBorders>
          </w:tcPr>
          <w:p w14:paraId="64CE53C8" w14:textId="54487ABE" w:rsidR="005E681F" w:rsidRPr="00B9449F" w:rsidRDefault="005E681F" w:rsidP="005E681F">
            <w:pPr>
              <w:rPr>
                <w:rFonts w:ascii="Palatino Linotype" w:hAnsi="Palatino Linotype"/>
                <w:lang w:val="en-GB"/>
              </w:rPr>
            </w:pPr>
            <w:r w:rsidRPr="00B9449F">
              <w:rPr>
                <w:rFonts w:ascii="Palatino Linotype" w:hAnsi="Palatino Linotype"/>
                <w:lang w:val="en-GB"/>
              </w:rPr>
              <w:t>Rescue medication</w:t>
            </w:r>
          </w:p>
        </w:tc>
        <w:tc>
          <w:tcPr>
            <w:tcW w:w="3473" w:type="dxa"/>
            <w:tcBorders>
              <w:top w:val="dotted" w:sz="4" w:space="0" w:color="auto"/>
              <w:bottom w:val="single" w:sz="4" w:space="0" w:color="auto"/>
            </w:tcBorders>
          </w:tcPr>
          <w:p w14:paraId="5A710C4D" w14:textId="358F978F" w:rsidR="005E681F" w:rsidRPr="00B9449F" w:rsidRDefault="005E681F" w:rsidP="005E681F">
            <w:pPr>
              <w:jc w:val="both"/>
              <w:rPr>
                <w:rFonts w:ascii="Palatino Linotype" w:hAnsi="Palatino Linotype"/>
                <w:lang w:val="en-GB"/>
              </w:rPr>
            </w:pPr>
            <w:r w:rsidRPr="00B9449F">
              <w:rPr>
                <w:rFonts w:ascii="Palatino Linotype" w:hAnsi="Palatino Linotype"/>
                <w:lang w:val="en-GB"/>
              </w:rPr>
              <w:t>NA</w:t>
            </w:r>
          </w:p>
        </w:tc>
        <w:tc>
          <w:tcPr>
            <w:tcW w:w="3473" w:type="dxa"/>
            <w:tcBorders>
              <w:top w:val="dotted" w:sz="4" w:space="0" w:color="auto"/>
              <w:bottom w:val="single" w:sz="4" w:space="0" w:color="auto"/>
            </w:tcBorders>
          </w:tcPr>
          <w:p w14:paraId="3DF1CE59" w14:textId="4305F7B9" w:rsidR="005E681F" w:rsidRPr="00B9449F" w:rsidRDefault="005E681F" w:rsidP="005E681F">
            <w:pPr>
              <w:jc w:val="both"/>
              <w:rPr>
                <w:rFonts w:ascii="Palatino Linotype" w:hAnsi="Palatino Linotype"/>
                <w:lang w:val="en-GB"/>
              </w:rPr>
            </w:pPr>
            <w:r w:rsidRPr="00B9449F">
              <w:rPr>
                <w:rFonts w:ascii="Palatino Linotype" w:hAnsi="Palatino Linotype"/>
                <w:lang w:val="en-GB"/>
              </w:rPr>
              <w:t>NA</w:t>
            </w:r>
          </w:p>
        </w:tc>
      </w:tr>
    </w:tbl>
    <w:p w14:paraId="49258406" w14:textId="17437FA5" w:rsidR="007B23C7" w:rsidRPr="00B9449F" w:rsidRDefault="005058D1" w:rsidP="00166195">
      <w:pPr>
        <w:rPr>
          <w:rFonts w:ascii="Palatino Linotype" w:hAnsi="Palatino Linotype"/>
          <w:lang w:val="en-US"/>
        </w:rPr>
      </w:pPr>
      <w:r w:rsidRPr="00B9449F">
        <w:rPr>
          <w:rFonts w:ascii="Palatino Linotype" w:hAnsi="Palatino Linotype"/>
          <w:lang w:val="en-GB"/>
        </w:rPr>
        <w:t>Table 3.</w:t>
      </w:r>
      <w:r w:rsidRPr="00B9449F">
        <w:rPr>
          <w:rFonts w:ascii="Palatino Linotype" w:hAnsi="Palatino Linotype"/>
          <w:lang w:val="en-US"/>
        </w:rPr>
        <w:t xml:space="preserve"> </w:t>
      </w:r>
      <w:r w:rsidR="009044CB" w:rsidRPr="00B9449F">
        <w:rPr>
          <w:rFonts w:ascii="Palatino Linotype" w:hAnsi="Palatino Linotype"/>
          <w:lang w:val="en-GB"/>
        </w:rPr>
        <w:t>recommended</w:t>
      </w:r>
      <w:r w:rsidRPr="00B9449F">
        <w:rPr>
          <w:rFonts w:ascii="Palatino Linotype" w:hAnsi="Palatino Linotype"/>
          <w:lang w:val="en-GB"/>
        </w:rPr>
        <w:t xml:space="preserve"> criteria for the conduct of any new phase II </w:t>
      </w:r>
      <w:r w:rsidR="00DF4F9A" w:rsidRPr="00B9449F">
        <w:rPr>
          <w:rFonts w:ascii="Palatino Linotype" w:hAnsi="Palatino Linotype"/>
          <w:lang w:val="en-GB"/>
        </w:rPr>
        <w:t>or</w:t>
      </w:r>
      <w:r w:rsidRPr="00B9449F">
        <w:rPr>
          <w:rFonts w:ascii="Palatino Linotype" w:hAnsi="Palatino Linotype"/>
          <w:lang w:val="en-GB"/>
        </w:rPr>
        <w:t xml:space="preserve"> phase III pharmacological trial in sarcopenia</w:t>
      </w:r>
    </w:p>
    <w:p w14:paraId="1BA58A2D" w14:textId="77777777" w:rsidR="00635A8E" w:rsidRDefault="00635A8E" w:rsidP="00166195">
      <w:pPr>
        <w:rPr>
          <w:rFonts w:ascii="Palatino Linotype" w:hAnsi="Palatino Linotype"/>
          <w:b/>
          <w:bCs/>
          <w:smallCaps/>
          <w:sz w:val="24"/>
          <w:szCs w:val="24"/>
          <w:u w:val="single"/>
          <w:lang w:val="en-GB"/>
        </w:rPr>
      </w:pPr>
    </w:p>
    <w:p w14:paraId="513B9722" w14:textId="4476C663" w:rsidR="00B9449F" w:rsidRPr="00B9449F" w:rsidRDefault="00B9449F" w:rsidP="00166195">
      <w:pPr>
        <w:rPr>
          <w:rFonts w:ascii="Palatino Linotype" w:hAnsi="Palatino Linotype"/>
          <w:b/>
          <w:bCs/>
          <w:smallCaps/>
          <w:sz w:val="24"/>
          <w:szCs w:val="24"/>
          <w:u w:val="single"/>
          <w:lang w:val="en-GB"/>
        </w:rPr>
      </w:pPr>
      <w:r w:rsidRPr="00B9449F">
        <w:rPr>
          <w:rFonts w:ascii="Palatino Linotype" w:hAnsi="Palatino Linotype"/>
          <w:b/>
          <w:bCs/>
          <w:smallCaps/>
          <w:sz w:val="24"/>
          <w:szCs w:val="24"/>
          <w:u w:val="single"/>
          <w:lang w:val="en-GB"/>
        </w:rPr>
        <w:t>Conclusion</w:t>
      </w:r>
    </w:p>
    <w:p w14:paraId="79EE90FC" w14:textId="011E02F7" w:rsidR="007B23C7" w:rsidRDefault="00422E7D" w:rsidP="00422E7D">
      <w:pPr>
        <w:jc w:val="both"/>
        <w:rPr>
          <w:rFonts w:ascii="Palatino Linotype" w:hAnsi="Palatino Linotype"/>
          <w:lang w:val="en-GB"/>
        </w:rPr>
      </w:pPr>
      <w:r w:rsidRPr="00422E7D">
        <w:rPr>
          <w:rFonts w:ascii="Palatino Linotype" w:hAnsi="Palatino Linotype"/>
          <w:lang w:val="en-GB"/>
        </w:rPr>
        <w:t xml:space="preserve">The </w:t>
      </w:r>
      <w:r w:rsidR="00885F1B">
        <w:rPr>
          <w:rFonts w:ascii="Palatino Linotype" w:hAnsi="Palatino Linotype"/>
          <w:lang w:val="en-GB"/>
        </w:rPr>
        <w:t xml:space="preserve">present </w:t>
      </w:r>
      <w:r w:rsidRPr="00422E7D">
        <w:rPr>
          <w:rFonts w:ascii="Palatino Linotype" w:hAnsi="Palatino Linotype"/>
          <w:lang w:val="en-GB"/>
        </w:rPr>
        <w:t xml:space="preserve">ESCEO working group was born out of concern that we may be overlooking a drug treatment for sarcopenia because we </w:t>
      </w:r>
      <w:r w:rsidR="009A036C">
        <w:rPr>
          <w:rFonts w:ascii="Palatino Linotype" w:hAnsi="Palatino Linotype"/>
          <w:lang w:val="en-GB"/>
        </w:rPr>
        <w:t>did not</w:t>
      </w:r>
      <w:r w:rsidR="00A07A19">
        <w:rPr>
          <w:rFonts w:ascii="Palatino Linotype" w:hAnsi="Palatino Linotype"/>
          <w:lang w:val="en-GB"/>
        </w:rPr>
        <w:t xml:space="preserve"> </w:t>
      </w:r>
      <w:r w:rsidRPr="00422E7D">
        <w:rPr>
          <w:rFonts w:ascii="Palatino Linotype" w:hAnsi="Palatino Linotype"/>
          <w:lang w:val="en-GB"/>
        </w:rPr>
        <w:t xml:space="preserve">design the </w:t>
      </w:r>
      <w:r w:rsidR="00885F1B">
        <w:rPr>
          <w:rFonts w:ascii="Palatino Linotype" w:hAnsi="Palatino Linotype"/>
          <w:lang w:val="en-GB"/>
        </w:rPr>
        <w:t>appropriate</w:t>
      </w:r>
      <w:r w:rsidRPr="00422E7D">
        <w:rPr>
          <w:rFonts w:ascii="Palatino Linotype" w:hAnsi="Palatino Linotype"/>
          <w:lang w:val="en-GB"/>
        </w:rPr>
        <w:t xml:space="preserve"> trial for </w:t>
      </w:r>
      <w:r w:rsidR="00885F1B">
        <w:rPr>
          <w:rFonts w:ascii="Palatino Linotype" w:hAnsi="Palatino Linotype"/>
          <w:lang w:val="en-GB"/>
        </w:rPr>
        <w:t>this purpose</w:t>
      </w:r>
      <w:r w:rsidRPr="00422E7D">
        <w:rPr>
          <w:rFonts w:ascii="Palatino Linotype" w:hAnsi="Palatino Linotype"/>
          <w:lang w:val="en-GB"/>
        </w:rPr>
        <w:t xml:space="preserve">. Much </w:t>
      </w:r>
      <w:r w:rsidR="00494359">
        <w:rPr>
          <w:rFonts w:ascii="Palatino Linotype" w:hAnsi="Palatino Linotype"/>
          <w:lang w:val="en-GB"/>
        </w:rPr>
        <w:t>knowledge</w:t>
      </w:r>
      <w:r w:rsidR="00494359" w:rsidRPr="00422E7D">
        <w:rPr>
          <w:rFonts w:ascii="Palatino Linotype" w:hAnsi="Palatino Linotype"/>
          <w:lang w:val="en-GB"/>
        </w:rPr>
        <w:t xml:space="preserve"> </w:t>
      </w:r>
      <w:r w:rsidRPr="00422E7D">
        <w:rPr>
          <w:rFonts w:ascii="Palatino Linotype" w:hAnsi="Palatino Linotype"/>
          <w:lang w:val="en-GB"/>
        </w:rPr>
        <w:t xml:space="preserve">has been </w:t>
      </w:r>
      <w:r w:rsidR="00494359" w:rsidRPr="00422E7D">
        <w:rPr>
          <w:rFonts w:ascii="Palatino Linotype" w:hAnsi="Palatino Linotype"/>
          <w:lang w:val="en-GB"/>
        </w:rPr>
        <w:t>ga</w:t>
      </w:r>
      <w:r w:rsidR="00494359">
        <w:rPr>
          <w:rFonts w:ascii="Palatino Linotype" w:hAnsi="Palatino Linotype"/>
          <w:lang w:val="en-GB"/>
        </w:rPr>
        <w:t>thered</w:t>
      </w:r>
      <w:r w:rsidR="00494359" w:rsidRPr="00422E7D">
        <w:rPr>
          <w:rFonts w:ascii="Palatino Linotype" w:hAnsi="Palatino Linotype"/>
          <w:lang w:val="en-GB"/>
        </w:rPr>
        <w:t xml:space="preserve"> </w:t>
      </w:r>
      <w:r w:rsidRPr="00422E7D">
        <w:rPr>
          <w:rFonts w:ascii="Palatino Linotype" w:hAnsi="Palatino Linotype"/>
          <w:lang w:val="en-GB"/>
        </w:rPr>
        <w:t xml:space="preserve">in the last few years with regards to clinical trials investigating pharmaceutical interventions in sarcopenia, and the working group convened to discuss the lessons learned from recent clinical trials. The working group has formulated consensus recommendations on specific aspects of trial design, and in doing so hopes to contribute to an improvement of the methodological robustness and comparability of clinical trials, but also acknowledges that uncertainties remain. Sarcopenia remains an important challenge for ageing individuals, and it </w:t>
      </w:r>
      <w:r w:rsidR="00E70188">
        <w:rPr>
          <w:rFonts w:ascii="Palatino Linotype" w:hAnsi="Palatino Linotype"/>
          <w:lang w:val="en-GB"/>
        </w:rPr>
        <w:t xml:space="preserve">is therefore </w:t>
      </w:r>
      <w:r w:rsidRPr="00422E7D">
        <w:rPr>
          <w:rFonts w:ascii="Palatino Linotype" w:hAnsi="Palatino Linotype"/>
          <w:lang w:val="en-GB"/>
        </w:rPr>
        <w:t xml:space="preserve">important to </w:t>
      </w:r>
      <w:r w:rsidR="00494359">
        <w:rPr>
          <w:rFonts w:ascii="Palatino Linotype" w:hAnsi="Palatino Linotype"/>
          <w:lang w:val="en-GB"/>
        </w:rPr>
        <w:t>devote</w:t>
      </w:r>
      <w:r w:rsidR="00494359" w:rsidRPr="00422E7D">
        <w:rPr>
          <w:rFonts w:ascii="Palatino Linotype" w:hAnsi="Palatino Linotype"/>
          <w:lang w:val="en-GB"/>
        </w:rPr>
        <w:t xml:space="preserve"> </w:t>
      </w:r>
      <w:r w:rsidRPr="00422E7D">
        <w:rPr>
          <w:rFonts w:ascii="Palatino Linotype" w:hAnsi="Palatino Linotype"/>
          <w:lang w:val="en-GB"/>
        </w:rPr>
        <w:t>time and effort to the search for ways to prevent, slow</w:t>
      </w:r>
      <w:r w:rsidR="00E70188">
        <w:rPr>
          <w:rFonts w:ascii="Palatino Linotype" w:hAnsi="Palatino Linotype"/>
          <w:lang w:val="en-GB"/>
        </w:rPr>
        <w:t xml:space="preserve"> down</w:t>
      </w:r>
      <w:r w:rsidRPr="00422E7D">
        <w:rPr>
          <w:rFonts w:ascii="Palatino Linotype" w:hAnsi="Palatino Linotype"/>
          <w:lang w:val="en-GB"/>
        </w:rPr>
        <w:t xml:space="preserve"> or treat muscle weakness.</w:t>
      </w:r>
    </w:p>
    <w:p w14:paraId="604FB2D8" w14:textId="77777777" w:rsidR="00CE5542" w:rsidRDefault="00CE5542" w:rsidP="00CE5542">
      <w:pPr>
        <w:rPr>
          <w:rFonts w:ascii="Palatino Linotype" w:hAnsi="Palatino Linotype"/>
          <w:lang w:val="en-US"/>
        </w:rPr>
      </w:pPr>
    </w:p>
    <w:p w14:paraId="6C8CED8B" w14:textId="77777777" w:rsidR="00CE5542" w:rsidRDefault="00CE5542" w:rsidP="00CE5542">
      <w:pPr>
        <w:rPr>
          <w:rFonts w:ascii="Palatino Linotype" w:hAnsi="Palatino Linotype"/>
          <w:b/>
          <w:bCs/>
          <w:smallCaps/>
          <w:sz w:val="24"/>
          <w:szCs w:val="24"/>
          <w:u w:val="single"/>
          <w:lang w:val="en-GB"/>
        </w:rPr>
      </w:pPr>
      <w:r w:rsidRPr="00D741A9">
        <w:rPr>
          <w:rFonts w:ascii="Palatino Linotype" w:hAnsi="Palatino Linotype"/>
          <w:b/>
          <w:bCs/>
          <w:smallCaps/>
          <w:sz w:val="24"/>
          <w:szCs w:val="24"/>
          <w:u w:val="single"/>
          <w:lang w:val="en-GB"/>
        </w:rPr>
        <w:t>Conflict of interest</w:t>
      </w:r>
      <w:r>
        <w:rPr>
          <w:rFonts w:ascii="Palatino Linotype" w:hAnsi="Palatino Linotype"/>
          <w:b/>
          <w:bCs/>
          <w:smallCaps/>
          <w:sz w:val="24"/>
          <w:szCs w:val="24"/>
          <w:u w:val="single"/>
          <w:lang w:val="en-GB"/>
        </w:rPr>
        <w:t xml:space="preserve">: </w:t>
      </w:r>
    </w:p>
    <w:p w14:paraId="7581EEF8" w14:textId="77777777" w:rsidR="00CE5542" w:rsidRPr="00E27286" w:rsidRDefault="00CE5542" w:rsidP="00CE5542">
      <w:pPr>
        <w:jc w:val="both"/>
        <w:rPr>
          <w:rFonts w:ascii="Palatino Linotype" w:hAnsi="Palatino Linotype"/>
          <w:lang w:val="en-GB"/>
        </w:rPr>
      </w:pPr>
      <w:r w:rsidRPr="00E27286">
        <w:rPr>
          <w:rFonts w:ascii="Palatino Linotype" w:hAnsi="Palatino Linotype"/>
          <w:lang w:val="en-GB"/>
        </w:rPr>
        <w:t>The views expressed in this article are the personal views of the authors and may not be understood or quoted as being made on behalf of or reflecting the position of the agencies or organizations with which the authors are affiliated.</w:t>
      </w:r>
    </w:p>
    <w:p w14:paraId="14B99B81" w14:textId="77777777" w:rsidR="00CE5542" w:rsidRDefault="00CE5542" w:rsidP="00CE5542">
      <w:pPr>
        <w:jc w:val="both"/>
        <w:rPr>
          <w:rFonts w:ascii="Palatino Linotype" w:hAnsi="Palatino Linotype"/>
          <w:lang w:val="en-GB"/>
        </w:rPr>
      </w:pPr>
      <w:r>
        <w:rPr>
          <w:rFonts w:ascii="Palatino Linotype" w:hAnsi="Palatino Linotype"/>
          <w:lang w:val="en-GB"/>
        </w:rPr>
        <w:t>C. Beaudart</w:t>
      </w:r>
      <w:r w:rsidRPr="00E27286">
        <w:rPr>
          <w:rFonts w:ascii="Palatino Linotype" w:hAnsi="Palatino Linotype"/>
          <w:lang w:val="en-GB"/>
        </w:rPr>
        <w:t xml:space="preserve"> </w:t>
      </w:r>
      <w:r>
        <w:rPr>
          <w:rFonts w:ascii="Palatino Linotype" w:hAnsi="Palatino Linotype"/>
          <w:lang w:val="en-GB"/>
        </w:rPr>
        <w:t xml:space="preserve">reports to be </w:t>
      </w:r>
      <w:r w:rsidRPr="00E27286">
        <w:rPr>
          <w:rFonts w:ascii="Palatino Linotype" w:hAnsi="Palatino Linotype"/>
          <w:lang w:val="en-GB"/>
        </w:rPr>
        <w:t xml:space="preserve">a shareholder of </w:t>
      </w:r>
      <w:r w:rsidRPr="00724301">
        <w:rPr>
          <w:rFonts w:ascii="Garamond" w:hAnsi="Garamond"/>
          <w:sz w:val="24"/>
          <w:szCs w:val="24"/>
          <w:lang w:val="en-US"/>
        </w:rPr>
        <w:t>SARQOL SPRL</w:t>
      </w:r>
      <w:r w:rsidRPr="00E27286">
        <w:rPr>
          <w:rFonts w:ascii="Palatino Linotype" w:hAnsi="Palatino Linotype"/>
          <w:lang w:val="en-GB"/>
        </w:rPr>
        <w:t>, a spin-off of the University of Liege</w:t>
      </w:r>
    </w:p>
    <w:p w14:paraId="2F8F5DA2" w14:textId="77777777" w:rsidR="00CE5542" w:rsidRDefault="00CE5542" w:rsidP="00CE5542">
      <w:pPr>
        <w:jc w:val="both"/>
        <w:rPr>
          <w:rFonts w:ascii="Palatino Linotype" w:hAnsi="Palatino Linotype"/>
          <w:lang w:val="en-GB"/>
        </w:rPr>
      </w:pPr>
      <w:r w:rsidRPr="00E27286">
        <w:rPr>
          <w:rFonts w:ascii="Palatino Linotype" w:hAnsi="Palatino Linotype"/>
          <w:lang w:val="en-GB"/>
        </w:rPr>
        <w:t>O.</w:t>
      </w:r>
      <w:r>
        <w:rPr>
          <w:rFonts w:ascii="Palatino Linotype" w:hAnsi="Palatino Linotype"/>
          <w:lang w:val="en-GB"/>
        </w:rPr>
        <w:t xml:space="preserve"> </w:t>
      </w:r>
      <w:r w:rsidRPr="00E27286">
        <w:rPr>
          <w:rFonts w:ascii="Palatino Linotype" w:hAnsi="Palatino Linotype"/>
          <w:lang w:val="en-GB"/>
        </w:rPr>
        <w:t>Bruyere reports grants or fees from </w:t>
      </w:r>
      <w:r w:rsidRPr="00724301">
        <w:rPr>
          <w:rFonts w:ascii="Garamond" w:hAnsi="Garamond"/>
          <w:sz w:val="24"/>
          <w:szCs w:val="24"/>
          <w:lang w:val="en-US"/>
        </w:rPr>
        <w:t>AMGEN, APTISSEN, BIOPHYTIS, IBSA</w:t>
      </w:r>
      <w:r w:rsidRPr="00E27286">
        <w:rPr>
          <w:rFonts w:ascii="Palatino Linotype" w:hAnsi="Palatino Linotype"/>
          <w:lang w:val="en-GB"/>
        </w:rPr>
        <w:t xml:space="preserve">, </w:t>
      </w:r>
      <w:r w:rsidRPr="00724301">
        <w:rPr>
          <w:rFonts w:ascii="Garamond" w:hAnsi="Garamond"/>
          <w:sz w:val="24"/>
          <w:szCs w:val="24"/>
          <w:lang w:val="en-US"/>
        </w:rPr>
        <w:t>MEDA, SANOFI, SERVIER, SMB</w:t>
      </w:r>
      <w:r>
        <w:rPr>
          <w:rFonts w:ascii="Palatino Linotype" w:hAnsi="Palatino Linotype"/>
          <w:lang w:val="en-GB"/>
        </w:rPr>
        <w:t xml:space="preserve">, </w:t>
      </w:r>
      <w:r w:rsidRPr="00724301">
        <w:rPr>
          <w:rFonts w:ascii="Garamond" w:hAnsi="Garamond"/>
          <w:sz w:val="24"/>
          <w:szCs w:val="24"/>
          <w:lang w:val="en-US"/>
        </w:rPr>
        <w:t>THERAMEX</w:t>
      </w:r>
      <w:r>
        <w:rPr>
          <w:rFonts w:ascii="Palatino Linotype" w:hAnsi="Palatino Linotype"/>
          <w:lang w:val="en-GB"/>
        </w:rPr>
        <w:t xml:space="preserve"> </w:t>
      </w:r>
      <w:r w:rsidRPr="00E27286">
        <w:rPr>
          <w:rFonts w:ascii="Palatino Linotype" w:hAnsi="Palatino Linotype"/>
          <w:lang w:val="en-GB"/>
        </w:rPr>
        <w:t xml:space="preserve">and </w:t>
      </w:r>
      <w:r w:rsidRPr="00724301">
        <w:rPr>
          <w:rFonts w:ascii="Garamond" w:hAnsi="Garamond"/>
          <w:sz w:val="24"/>
          <w:szCs w:val="24"/>
          <w:lang w:val="en-US"/>
        </w:rPr>
        <w:t>UCB</w:t>
      </w:r>
      <w:r w:rsidRPr="00E27286">
        <w:rPr>
          <w:rFonts w:ascii="Palatino Linotype" w:hAnsi="Palatino Linotype"/>
          <w:lang w:val="en-GB"/>
        </w:rPr>
        <w:t xml:space="preserve">.  He also a shareholder of </w:t>
      </w:r>
      <w:r w:rsidRPr="00724301">
        <w:rPr>
          <w:rFonts w:ascii="Garamond" w:hAnsi="Garamond"/>
          <w:sz w:val="24"/>
          <w:szCs w:val="24"/>
          <w:lang w:val="en-US"/>
        </w:rPr>
        <w:t>SARQOL SPRL</w:t>
      </w:r>
      <w:r w:rsidRPr="00E27286">
        <w:rPr>
          <w:rFonts w:ascii="Palatino Linotype" w:hAnsi="Palatino Linotype"/>
          <w:lang w:val="en-GB"/>
        </w:rPr>
        <w:t>, a spin-off of the University of Liege</w:t>
      </w:r>
      <w:r>
        <w:rPr>
          <w:rFonts w:ascii="Palatino Linotype" w:hAnsi="Palatino Linotype"/>
          <w:lang w:val="en-GB"/>
        </w:rPr>
        <w:t>.</w:t>
      </w:r>
    </w:p>
    <w:p w14:paraId="2A07EB6A" w14:textId="77777777" w:rsidR="00CE5542" w:rsidRDefault="00CE5542" w:rsidP="00CE5542">
      <w:pPr>
        <w:jc w:val="both"/>
        <w:rPr>
          <w:rFonts w:ascii="Palatino Linotype" w:hAnsi="Palatino Linotype"/>
          <w:lang w:val="en-GB"/>
        </w:rPr>
      </w:pPr>
      <w:r w:rsidRPr="00E27286">
        <w:rPr>
          <w:rFonts w:ascii="Palatino Linotype" w:hAnsi="Palatino Linotype"/>
          <w:lang w:val="en-GB"/>
        </w:rPr>
        <w:t>E</w:t>
      </w:r>
      <w:r>
        <w:rPr>
          <w:rFonts w:ascii="Palatino Linotype" w:hAnsi="Palatino Linotype"/>
          <w:lang w:val="en-GB"/>
        </w:rPr>
        <w:t xml:space="preserve">. </w:t>
      </w:r>
      <w:r w:rsidRPr="00E27286">
        <w:rPr>
          <w:rFonts w:ascii="Palatino Linotype" w:hAnsi="Palatino Linotype"/>
          <w:lang w:val="en-GB"/>
        </w:rPr>
        <w:t xml:space="preserve">Dennison </w:t>
      </w:r>
      <w:r>
        <w:rPr>
          <w:rFonts w:ascii="Palatino Linotype" w:hAnsi="Palatino Linotype"/>
          <w:lang w:val="en-GB"/>
        </w:rPr>
        <w:t>reports</w:t>
      </w:r>
      <w:r w:rsidRPr="00E27286">
        <w:rPr>
          <w:rFonts w:ascii="Palatino Linotype" w:hAnsi="Palatino Linotype"/>
          <w:lang w:val="en-GB"/>
        </w:rPr>
        <w:t xml:space="preserve"> honoraria from </w:t>
      </w:r>
      <w:r w:rsidRPr="00724301">
        <w:rPr>
          <w:rFonts w:ascii="Garamond" w:hAnsi="Garamond"/>
          <w:sz w:val="24"/>
          <w:szCs w:val="24"/>
          <w:lang w:val="en-US"/>
        </w:rPr>
        <w:t>UCB</w:t>
      </w:r>
      <w:r w:rsidRPr="00E27286">
        <w:rPr>
          <w:rFonts w:ascii="Palatino Linotype" w:hAnsi="Palatino Linotype"/>
          <w:lang w:val="en-GB"/>
        </w:rPr>
        <w:t xml:space="preserve"> and </w:t>
      </w:r>
      <w:r w:rsidRPr="00724301">
        <w:rPr>
          <w:rFonts w:ascii="Garamond" w:hAnsi="Garamond"/>
          <w:sz w:val="24"/>
          <w:szCs w:val="24"/>
          <w:lang w:val="en-US"/>
        </w:rPr>
        <w:t>PFIZER</w:t>
      </w:r>
      <w:r>
        <w:rPr>
          <w:rFonts w:ascii="Palatino Linotype" w:hAnsi="Palatino Linotype"/>
          <w:lang w:val="en-GB"/>
        </w:rPr>
        <w:t xml:space="preserve">. </w:t>
      </w:r>
    </w:p>
    <w:p w14:paraId="0CDF1A00" w14:textId="77777777" w:rsidR="00CE5542" w:rsidRDefault="00CE5542" w:rsidP="00CE5542">
      <w:pPr>
        <w:jc w:val="both"/>
        <w:rPr>
          <w:rFonts w:ascii="Palatino Linotype" w:hAnsi="Palatino Linotype"/>
          <w:lang w:val="en-GB"/>
        </w:rPr>
      </w:pPr>
      <w:r w:rsidRPr="00E27286">
        <w:rPr>
          <w:rFonts w:ascii="Palatino Linotype" w:hAnsi="Palatino Linotype"/>
          <w:lang w:val="en-GB"/>
        </w:rPr>
        <w:t xml:space="preserve">E. Gielen reports consultancy fees from </w:t>
      </w:r>
      <w:r w:rsidRPr="00724301">
        <w:rPr>
          <w:rFonts w:ascii="Garamond" w:hAnsi="Garamond"/>
          <w:sz w:val="24"/>
          <w:szCs w:val="24"/>
          <w:lang w:val="en-US"/>
        </w:rPr>
        <w:t>UCB</w:t>
      </w:r>
      <w:r w:rsidRPr="00E27286">
        <w:rPr>
          <w:rFonts w:ascii="Palatino Linotype" w:hAnsi="Palatino Linotype"/>
          <w:lang w:val="en-GB"/>
        </w:rPr>
        <w:t xml:space="preserve">, </w:t>
      </w:r>
      <w:r w:rsidRPr="00724301">
        <w:rPr>
          <w:rFonts w:ascii="Garamond" w:hAnsi="Garamond"/>
          <w:sz w:val="24"/>
          <w:szCs w:val="24"/>
          <w:lang w:val="en-US"/>
        </w:rPr>
        <w:t>ALEXION</w:t>
      </w:r>
      <w:r w:rsidRPr="00E27286">
        <w:rPr>
          <w:rFonts w:ascii="Palatino Linotype" w:hAnsi="Palatino Linotype"/>
          <w:lang w:val="en-GB"/>
        </w:rPr>
        <w:t xml:space="preserve">, and </w:t>
      </w:r>
      <w:r w:rsidRPr="00724301">
        <w:rPr>
          <w:rFonts w:ascii="Garamond" w:hAnsi="Garamond"/>
          <w:sz w:val="24"/>
          <w:szCs w:val="24"/>
          <w:lang w:val="en-US"/>
        </w:rPr>
        <w:t>TAKEDA,</w:t>
      </w:r>
      <w:r w:rsidRPr="00E27286">
        <w:rPr>
          <w:rFonts w:ascii="Palatino Linotype" w:hAnsi="Palatino Linotype"/>
          <w:lang w:val="en-GB"/>
        </w:rPr>
        <w:t xml:space="preserve"> and speaker’s fees from </w:t>
      </w:r>
      <w:r w:rsidRPr="00724301">
        <w:rPr>
          <w:rFonts w:ascii="Garamond" w:hAnsi="Garamond"/>
          <w:sz w:val="24"/>
          <w:szCs w:val="24"/>
          <w:lang w:val="en-US"/>
        </w:rPr>
        <w:t>AMGEN</w:t>
      </w:r>
      <w:r w:rsidRPr="00E27286">
        <w:rPr>
          <w:rFonts w:ascii="Palatino Linotype" w:hAnsi="Palatino Linotype"/>
          <w:lang w:val="en-GB"/>
        </w:rPr>
        <w:t xml:space="preserve"> and </w:t>
      </w:r>
      <w:r w:rsidRPr="00724301">
        <w:rPr>
          <w:rFonts w:ascii="Garamond" w:hAnsi="Garamond"/>
          <w:sz w:val="24"/>
          <w:szCs w:val="24"/>
          <w:lang w:val="en-US"/>
        </w:rPr>
        <w:t>TAKEDA.</w:t>
      </w:r>
    </w:p>
    <w:p w14:paraId="65F53954" w14:textId="77777777" w:rsidR="00CE5542" w:rsidRPr="00E814BD" w:rsidRDefault="00CE5542" w:rsidP="00CE5542">
      <w:pPr>
        <w:jc w:val="both"/>
        <w:rPr>
          <w:rFonts w:ascii="Palatino Linotype" w:hAnsi="Palatino Linotype"/>
          <w:lang w:val="en-GB"/>
        </w:rPr>
      </w:pPr>
      <w:r w:rsidRPr="00AC259A">
        <w:rPr>
          <w:rFonts w:ascii="Garamond" w:hAnsi="Garamond"/>
          <w:sz w:val="24"/>
          <w:szCs w:val="24"/>
          <w:lang w:val="en-US"/>
        </w:rPr>
        <w:t xml:space="preserve">J-Y. </w:t>
      </w:r>
      <w:proofErr w:type="spellStart"/>
      <w:r w:rsidRPr="00AC259A">
        <w:rPr>
          <w:rFonts w:ascii="Garamond" w:hAnsi="Garamond"/>
          <w:sz w:val="24"/>
          <w:szCs w:val="24"/>
          <w:lang w:val="en-US"/>
        </w:rPr>
        <w:t>Reginster</w:t>
      </w:r>
      <w:proofErr w:type="spellEnd"/>
      <w:r>
        <w:rPr>
          <w:rFonts w:ascii="Garamond" w:hAnsi="Garamond"/>
          <w:sz w:val="24"/>
          <w:szCs w:val="24"/>
          <w:lang w:val="en-US"/>
        </w:rPr>
        <w:t xml:space="preserve"> reports c</w:t>
      </w:r>
      <w:r w:rsidRPr="00CA78C2">
        <w:rPr>
          <w:rFonts w:ascii="Garamond" w:hAnsi="Garamond"/>
          <w:sz w:val="24"/>
          <w:szCs w:val="24"/>
          <w:lang w:val="en-US"/>
        </w:rPr>
        <w:t>onsulting fees or paid advisory boards</w:t>
      </w:r>
      <w:r>
        <w:rPr>
          <w:rFonts w:ascii="Garamond" w:hAnsi="Garamond"/>
          <w:sz w:val="24"/>
          <w:szCs w:val="24"/>
          <w:lang w:val="en-US"/>
        </w:rPr>
        <w:t xml:space="preserve"> (</w:t>
      </w:r>
      <w:r w:rsidRPr="00CA78C2">
        <w:rPr>
          <w:rFonts w:ascii="Garamond" w:hAnsi="Garamond"/>
          <w:sz w:val="24"/>
          <w:szCs w:val="24"/>
          <w:lang w:val="en-US"/>
        </w:rPr>
        <w:t>IBSA-GENEVRIER, MYLAN, RADIUS HEALTH, PIERRE FABRE, ECHOLIGHT, TEVA</w:t>
      </w:r>
      <w:r>
        <w:rPr>
          <w:rFonts w:ascii="Garamond" w:hAnsi="Garamond"/>
          <w:sz w:val="24"/>
          <w:szCs w:val="24"/>
          <w:lang w:val="en-US"/>
        </w:rPr>
        <w:t>), l</w:t>
      </w:r>
      <w:r w:rsidRPr="00CA78C2">
        <w:rPr>
          <w:rFonts w:ascii="Garamond" w:hAnsi="Garamond"/>
          <w:sz w:val="24"/>
          <w:szCs w:val="24"/>
          <w:lang w:val="en-US"/>
        </w:rPr>
        <w:t>ecture fees when speaking at the invitation of sponsor</w:t>
      </w:r>
      <w:r>
        <w:rPr>
          <w:rFonts w:ascii="Garamond" w:hAnsi="Garamond"/>
          <w:sz w:val="24"/>
          <w:szCs w:val="24"/>
          <w:lang w:val="en-US"/>
        </w:rPr>
        <w:t xml:space="preserve"> (</w:t>
      </w:r>
      <w:r w:rsidRPr="00CA78C2">
        <w:rPr>
          <w:rFonts w:ascii="Garamond" w:hAnsi="Garamond"/>
          <w:sz w:val="24"/>
          <w:szCs w:val="24"/>
          <w:lang w:val="en-US"/>
        </w:rPr>
        <w:t>IBSA-GENEVRIER, MYLAN, CNIEL, DAIRY RESEARCH COUNCIL (DRC), TEVA</w:t>
      </w:r>
      <w:r>
        <w:rPr>
          <w:rFonts w:ascii="Garamond" w:hAnsi="Garamond"/>
          <w:sz w:val="24"/>
          <w:szCs w:val="24"/>
          <w:lang w:val="en-US"/>
        </w:rPr>
        <w:t>), g</w:t>
      </w:r>
      <w:r w:rsidRPr="00CA78C2">
        <w:rPr>
          <w:rFonts w:ascii="Garamond" w:hAnsi="Garamond"/>
          <w:sz w:val="24"/>
          <w:szCs w:val="24"/>
          <w:lang w:val="en-US"/>
        </w:rPr>
        <w:t>rant Support from Industry (All through Institution)</w:t>
      </w:r>
      <w:r>
        <w:rPr>
          <w:rFonts w:ascii="Garamond" w:hAnsi="Garamond"/>
          <w:sz w:val="24"/>
          <w:szCs w:val="24"/>
          <w:lang w:val="en-US"/>
        </w:rPr>
        <w:t xml:space="preserve"> (</w:t>
      </w:r>
      <w:r w:rsidRPr="00CA78C2">
        <w:rPr>
          <w:rFonts w:ascii="Garamond" w:hAnsi="Garamond"/>
          <w:sz w:val="24"/>
          <w:szCs w:val="24"/>
          <w:lang w:val="en-US"/>
        </w:rPr>
        <w:t>IBSA-GENEVRIER, MYLAN, CNIEL, RADIUS HEALTH</w:t>
      </w:r>
      <w:r>
        <w:rPr>
          <w:rFonts w:ascii="Garamond" w:hAnsi="Garamond"/>
          <w:sz w:val="24"/>
          <w:szCs w:val="24"/>
          <w:lang w:val="en-US"/>
        </w:rPr>
        <w:t xml:space="preserve">). </w:t>
      </w:r>
      <w:r w:rsidRPr="00E27286">
        <w:rPr>
          <w:rFonts w:ascii="Palatino Linotype" w:hAnsi="Palatino Linotype"/>
          <w:lang w:val="en-GB"/>
        </w:rPr>
        <w:t xml:space="preserve">He also a shareholder of </w:t>
      </w:r>
      <w:r w:rsidRPr="00724301">
        <w:rPr>
          <w:rFonts w:ascii="Garamond" w:hAnsi="Garamond"/>
          <w:sz w:val="24"/>
          <w:szCs w:val="24"/>
          <w:lang w:val="en-US"/>
        </w:rPr>
        <w:t>SARQOL SPRL</w:t>
      </w:r>
      <w:r w:rsidRPr="00E27286">
        <w:rPr>
          <w:rFonts w:ascii="Palatino Linotype" w:hAnsi="Palatino Linotype"/>
          <w:lang w:val="en-GB"/>
        </w:rPr>
        <w:t>, a spin-off of the University of Liege</w:t>
      </w:r>
      <w:r>
        <w:rPr>
          <w:rFonts w:ascii="Palatino Linotype" w:hAnsi="Palatino Linotype"/>
          <w:lang w:val="en-GB"/>
        </w:rPr>
        <w:t>.</w:t>
      </w:r>
    </w:p>
    <w:p w14:paraId="0BA548B9" w14:textId="77777777" w:rsidR="00CE5542" w:rsidRPr="00E27286" w:rsidRDefault="00CE5542" w:rsidP="00CE5542">
      <w:pPr>
        <w:jc w:val="both"/>
        <w:rPr>
          <w:rFonts w:ascii="Palatino Linotype" w:hAnsi="Palatino Linotype"/>
          <w:lang w:val="en-GB"/>
        </w:rPr>
      </w:pPr>
      <w:r>
        <w:rPr>
          <w:rFonts w:ascii="Palatino Linotype" w:hAnsi="Palatino Linotype"/>
          <w:lang w:val="en-GB"/>
        </w:rPr>
        <w:t xml:space="preserve">N. Veronese </w:t>
      </w:r>
      <w:r w:rsidRPr="00E27286">
        <w:rPr>
          <w:rFonts w:ascii="Palatino Linotype" w:hAnsi="Palatino Linotype"/>
          <w:lang w:val="en-GB"/>
        </w:rPr>
        <w:t xml:space="preserve">reports personal fees from </w:t>
      </w:r>
      <w:r w:rsidRPr="00724301">
        <w:rPr>
          <w:rFonts w:ascii="Garamond" w:hAnsi="Garamond"/>
          <w:sz w:val="24"/>
          <w:szCs w:val="24"/>
          <w:lang w:val="en-US"/>
        </w:rPr>
        <w:t>MYLAN</w:t>
      </w:r>
      <w:r w:rsidRPr="00E27286">
        <w:rPr>
          <w:rFonts w:ascii="Palatino Linotype" w:hAnsi="Palatino Linotype"/>
          <w:lang w:val="en-GB"/>
        </w:rPr>
        <w:t xml:space="preserve">, </w:t>
      </w:r>
      <w:r w:rsidRPr="00724301">
        <w:rPr>
          <w:rFonts w:ascii="Garamond" w:hAnsi="Garamond"/>
          <w:sz w:val="24"/>
          <w:szCs w:val="24"/>
          <w:lang w:val="en-US"/>
        </w:rPr>
        <w:t>FIDIA</w:t>
      </w:r>
      <w:r w:rsidRPr="00E27286">
        <w:rPr>
          <w:rFonts w:ascii="Palatino Linotype" w:hAnsi="Palatino Linotype"/>
          <w:lang w:val="en-GB"/>
        </w:rPr>
        <w:t xml:space="preserve">, </w:t>
      </w:r>
      <w:r>
        <w:rPr>
          <w:rFonts w:ascii="Garamond" w:hAnsi="Garamond"/>
          <w:sz w:val="24"/>
          <w:szCs w:val="24"/>
          <w:lang w:val="en-US"/>
        </w:rPr>
        <w:t>IBSA</w:t>
      </w:r>
      <w:r w:rsidRPr="00E27286">
        <w:rPr>
          <w:rFonts w:ascii="Palatino Linotype" w:hAnsi="Palatino Linotype"/>
          <w:lang w:val="en-GB"/>
        </w:rPr>
        <w:t xml:space="preserve">. </w:t>
      </w:r>
    </w:p>
    <w:p w14:paraId="5EE3A8B0" w14:textId="57D6E709" w:rsidR="00CE5542" w:rsidRDefault="00CE5542" w:rsidP="00CE5542">
      <w:pPr>
        <w:jc w:val="both"/>
        <w:rPr>
          <w:rFonts w:ascii="Palatino Linotype" w:hAnsi="Palatino Linotype"/>
          <w:lang w:val="en-GB"/>
        </w:rPr>
      </w:pPr>
      <w:r w:rsidRPr="00E27286">
        <w:rPr>
          <w:rFonts w:ascii="Palatino Linotype" w:hAnsi="Palatino Linotype"/>
          <w:lang w:val="en-GB"/>
        </w:rPr>
        <w:t xml:space="preserve">Other authors </w:t>
      </w:r>
      <w:r>
        <w:rPr>
          <w:rFonts w:ascii="Palatino Linotype" w:hAnsi="Palatino Linotype"/>
          <w:lang w:val="en-GB"/>
        </w:rPr>
        <w:t>reported no conflicts of interest.</w:t>
      </w:r>
    </w:p>
    <w:p w14:paraId="6A6A2693" w14:textId="77777777" w:rsidR="00CE5542" w:rsidRPr="00F848C9" w:rsidRDefault="00CE5542" w:rsidP="00CE5542">
      <w:pPr>
        <w:jc w:val="both"/>
        <w:rPr>
          <w:rFonts w:ascii="Palatino Linotype" w:hAnsi="Palatino Linotype"/>
          <w:lang w:val="en-GB"/>
        </w:rPr>
      </w:pPr>
    </w:p>
    <w:p w14:paraId="11933855" w14:textId="791261CA" w:rsidR="00CE5542" w:rsidRDefault="00CE5542" w:rsidP="00EE1F32">
      <w:pPr>
        <w:jc w:val="both"/>
        <w:rPr>
          <w:rFonts w:ascii="Palatino Linotype" w:hAnsi="Palatino Linotype"/>
          <w:b/>
          <w:bCs/>
          <w:smallCaps/>
          <w:sz w:val="24"/>
          <w:szCs w:val="24"/>
          <w:u w:val="single"/>
          <w:lang w:val="en-GB"/>
        </w:rPr>
      </w:pPr>
      <w:r w:rsidRPr="00D741A9">
        <w:rPr>
          <w:rFonts w:ascii="Palatino Linotype" w:hAnsi="Palatino Linotype"/>
          <w:b/>
          <w:bCs/>
          <w:smallCaps/>
          <w:sz w:val="24"/>
          <w:szCs w:val="24"/>
          <w:u w:val="single"/>
          <w:lang w:val="en-GB"/>
        </w:rPr>
        <w:t>Funding</w:t>
      </w:r>
      <w:r>
        <w:rPr>
          <w:rFonts w:ascii="Palatino Linotype" w:hAnsi="Palatino Linotype"/>
          <w:b/>
          <w:bCs/>
          <w:smallCaps/>
          <w:sz w:val="24"/>
          <w:szCs w:val="24"/>
          <w:u w:val="single"/>
          <w:lang w:val="en-GB"/>
        </w:rPr>
        <w:t xml:space="preserve">: </w:t>
      </w:r>
      <w:r w:rsidR="00EE1F32" w:rsidRPr="00EE1F32">
        <w:rPr>
          <w:rFonts w:ascii="Palatino Linotype" w:hAnsi="Palatino Linotype"/>
          <w:lang w:val="en-GB"/>
        </w:rPr>
        <w:t>The ESCEO Working Group was funded by ESCEO.  The ESCEO receives  Unrestricted Education Grants to support its educational and scientific activities from non-governmental organisations, not-for-profit organisations, non-commercial or corporate partners.  The choice of topics, participants, content and agenda of the Working Group as well as the writing, editing, submission and reviewing of the manuscript are under the sole responsibility of the ESCEO, without any influence from third parties</w:t>
      </w:r>
    </w:p>
    <w:p w14:paraId="5664034E" w14:textId="7A92A261" w:rsidR="00B77C7C" w:rsidRDefault="00B77C7C" w:rsidP="00E23EDC">
      <w:pPr>
        <w:autoSpaceDE w:val="0"/>
        <w:autoSpaceDN w:val="0"/>
        <w:adjustRightInd w:val="0"/>
        <w:spacing w:after="0" w:line="240" w:lineRule="auto"/>
        <w:jc w:val="both"/>
        <w:rPr>
          <w:rFonts w:ascii="Palatino Linotype" w:hAnsi="Palatino Linotype"/>
          <w:lang w:val="en-GB"/>
        </w:rPr>
      </w:pPr>
      <w:r>
        <w:rPr>
          <w:rFonts w:ascii="Palatino Linotype" w:hAnsi="Palatino Linotype"/>
          <w:b/>
          <w:bCs/>
          <w:smallCaps/>
          <w:sz w:val="24"/>
          <w:szCs w:val="24"/>
          <w:u w:val="single"/>
          <w:lang w:val="en-GB"/>
        </w:rPr>
        <w:t>Authors’ contribution:</w:t>
      </w:r>
      <w:r w:rsidRPr="00B77C7C">
        <w:rPr>
          <w:rFonts w:ascii="Palatino Linotype" w:hAnsi="Palatino Linotype"/>
          <w:b/>
          <w:bCs/>
          <w:smallCaps/>
          <w:sz w:val="24"/>
          <w:szCs w:val="24"/>
          <w:lang w:val="en-GB"/>
        </w:rPr>
        <w:t xml:space="preserve"> </w:t>
      </w:r>
      <w:r w:rsidRPr="00B77C7C">
        <w:rPr>
          <w:rFonts w:ascii="Palatino Linotype" w:hAnsi="Palatino Linotype"/>
          <w:lang w:val="en-GB"/>
        </w:rPr>
        <w:t xml:space="preserve">JYR organized the meeting. </w:t>
      </w:r>
      <w:r>
        <w:rPr>
          <w:rFonts w:ascii="Palatino Linotype" w:hAnsi="Palatino Linotype"/>
          <w:lang w:val="en-GB"/>
        </w:rPr>
        <w:t xml:space="preserve">JB, CB, FC, MC, </w:t>
      </w:r>
      <w:r w:rsidRPr="00B77C7C">
        <w:rPr>
          <w:rFonts w:ascii="Palatino Linotype" w:hAnsi="Palatino Linotype"/>
          <w:lang w:val="en-GB"/>
        </w:rPr>
        <w:t>ACJ,</w:t>
      </w:r>
      <w:r>
        <w:rPr>
          <w:rFonts w:ascii="Palatino Linotype" w:hAnsi="Palatino Linotype"/>
          <w:lang w:val="en-GB"/>
        </w:rPr>
        <w:t xml:space="preserve"> FL </w:t>
      </w:r>
      <w:r w:rsidRPr="00B77C7C">
        <w:rPr>
          <w:rFonts w:ascii="Palatino Linotype" w:hAnsi="Palatino Linotype"/>
          <w:lang w:val="en-GB"/>
        </w:rPr>
        <w:t>and RF performed the literature review. JYR, RF, CC and CB has drafted the manuscript. All authors have taken part in the discussion and meeting and have critically revised, and given inputs to the final manuscript.</w:t>
      </w:r>
    </w:p>
    <w:p w14:paraId="4FB74733" w14:textId="45333EE0" w:rsidR="00B77C7C" w:rsidRDefault="00B77C7C" w:rsidP="00B77C7C">
      <w:pPr>
        <w:autoSpaceDE w:val="0"/>
        <w:autoSpaceDN w:val="0"/>
        <w:adjustRightInd w:val="0"/>
        <w:spacing w:after="0" w:line="240" w:lineRule="auto"/>
        <w:rPr>
          <w:rFonts w:ascii="Palatino Linotype" w:hAnsi="Palatino Linotype"/>
          <w:lang w:val="en-GB"/>
        </w:rPr>
      </w:pPr>
    </w:p>
    <w:p w14:paraId="7FA1F452" w14:textId="44BD299B" w:rsidR="00CE5542" w:rsidRPr="00D741A9" w:rsidRDefault="00CE5542" w:rsidP="00CE5542">
      <w:pPr>
        <w:rPr>
          <w:rFonts w:ascii="Palatino Linotype" w:hAnsi="Palatino Linotype"/>
          <w:b/>
          <w:bCs/>
          <w:smallCaps/>
          <w:sz w:val="24"/>
          <w:szCs w:val="24"/>
          <w:u w:val="single"/>
          <w:lang w:val="en-GB"/>
        </w:rPr>
      </w:pPr>
      <w:r w:rsidRPr="00D741A9">
        <w:rPr>
          <w:rFonts w:ascii="Palatino Linotype" w:hAnsi="Palatino Linotype"/>
          <w:b/>
          <w:bCs/>
          <w:smallCaps/>
          <w:sz w:val="24"/>
          <w:szCs w:val="24"/>
          <w:u w:val="single"/>
          <w:lang w:val="en-GB"/>
        </w:rPr>
        <w:t>Availability of data and transparency: NA</w:t>
      </w:r>
    </w:p>
    <w:p w14:paraId="6813BA17" w14:textId="77777777" w:rsidR="00CE5542" w:rsidRPr="00D741A9" w:rsidRDefault="00CE5542" w:rsidP="00CE5542">
      <w:pPr>
        <w:rPr>
          <w:rFonts w:ascii="Palatino Linotype" w:hAnsi="Palatino Linotype"/>
          <w:b/>
          <w:bCs/>
          <w:smallCaps/>
          <w:sz w:val="24"/>
          <w:szCs w:val="24"/>
          <w:u w:val="single"/>
          <w:lang w:val="en-GB"/>
        </w:rPr>
      </w:pPr>
      <w:r w:rsidRPr="00D741A9">
        <w:rPr>
          <w:rFonts w:ascii="Palatino Linotype" w:hAnsi="Palatino Linotype"/>
          <w:b/>
          <w:bCs/>
          <w:smallCaps/>
          <w:sz w:val="24"/>
          <w:szCs w:val="24"/>
          <w:u w:val="single"/>
          <w:lang w:val="en-GB"/>
        </w:rPr>
        <w:t>Code availability: NA</w:t>
      </w:r>
    </w:p>
    <w:p w14:paraId="77645CF9" w14:textId="77777777" w:rsidR="00CE5542" w:rsidRPr="00422E7D" w:rsidRDefault="00CE5542" w:rsidP="00422E7D">
      <w:pPr>
        <w:jc w:val="both"/>
        <w:rPr>
          <w:rFonts w:ascii="Palatino Linotype" w:hAnsi="Palatino Linotype"/>
          <w:lang w:val="en-GB"/>
        </w:rPr>
      </w:pPr>
    </w:p>
    <w:p w14:paraId="51AD0430" w14:textId="75867B4D" w:rsidR="007B23C7" w:rsidRPr="00B9449F" w:rsidRDefault="007B23C7" w:rsidP="00166195">
      <w:pPr>
        <w:rPr>
          <w:rFonts w:ascii="Palatino Linotype" w:hAnsi="Palatino Linotype"/>
          <w:lang w:val="en-US"/>
        </w:rPr>
      </w:pPr>
    </w:p>
    <w:p w14:paraId="4A1B36D0" w14:textId="3D37BD16" w:rsidR="007B23C7" w:rsidRPr="00B9449F" w:rsidRDefault="00D741A9" w:rsidP="00166195">
      <w:pPr>
        <w:rPr>
          <w:rFonts w:ascii="Palatino Linotype" w:hAnsi="Palatino Linotype"/>
          <w:b/>
          <w:bCs/>
          <w:smallCaps/>
          <w:sz w:val="24"/>
          <w:szCs w:val="24"/>
          <w:u w:val="single"/>
          <w:lang w:val="en-GB"/>
        </w:rPr>
      </w:pPr>
      <w:r>
        <w:rPr>
          <w:rFonts w:ascii="Palatino Linotype" w:hAnsi="Palatino Linotype"/>
          <w:b/>
          <w:bCs/>
          <w:smallCaps/>
          <w:sz w:val="24"/>
          <w:szCs w:val="24"/>
          <w:u w:val="single"/>
          <w:lang w:val="en-GB"/>
        </w:rPr>
        <w:t>REFERENCES</w:t>
      </w:r>
    </w:p>
    <w:p w14:paraId="41B57D28" w14:textId="7C225EC4" w:rsidR="009D3AAF" w:rsidRPr="007274EE" w:rsidRDefault="007B23C7" w:rsidP="009D3AAF">
      <w:pPr>
        <w:widowControl w:val="0"/>
        <w:autoSpaceDE w:val="0"/>
        <w:autoSpaceDN w:val="0"/>
        <w:adjustRightInd w:val="0"/>
        <w:spacing w:line="240" w:lineRule="auto"/>
        <w:ind w:left="640" w:hanging="640"/>
        <w:rPr>
          <w:rFonts w:ascii="Palatino Linotype" w:hAnsi="Palatino Linotype" w:cs="Times New Roman"/>
          <w:noProof/>
          <w:szCs w:val="24"/>
          <w:lang w:val="en-GB"/>
        </w:rPr>
      </w:pPr>
      <w:r w:rsidRPr="00B9449F">
        <w:rPr>
          <w:rFonts w:ascii="Palatino Linotype" w:hAnsi="Palatino Linotype"/>
          <w:lang w:val="en-US"/>
        </w:rPr>
        <w:fldChar w:fldCharType="begin" w:fldLock="1"/>
      </w:r>
      <w:r w:rsidRPr="00B9449F">
        <w:rPr>
          <w:rFonts w:ascii="Palatino Linotype" w:hAnsi="Palatino Linotype"/>
          <w:lang w:val="en-US"/>
        </w:rPr>
        <w:instrText xml:space="preserve">ADDIN Mendeley Bibliography CSL_BIBLIOGRAPHY </w:instrText>
      </w:r>
      <w:r w:rsidRPr="00B9449F">
        <w:rPr>
          <w:rFonts w:ascii="Palatino Linotype" w:hAnsi="Palatino Linotype"/>
          <w:lang w:val="en-US"/>
        </w:rPr>
        <w:fldChar w:fldCharType="separate"/>
      </w:r>
      <w:r w:rsidR="009D3AAF" w:rsidRPr="007274EE">
        <w:rPr>
          <w:rFonts w:ascii="Palatino Linotype" w:hAnsi="Palatino Linotype" w:cs="Times New Roman"/>
          <w:noProof/>
          <w:szCs w:val="24"/>
          <w:lang w:val="en-GB"/>
        </w:rPr>
        <w:t xml:space="preserve">1. </w:t>
      </w:r>
      <w:r w:rsidR="009D3AAF" w:rsidRPr="007274EE">
        <w:rPr>
          <w:rFonts w:ascii="Palatino Linotype" w:hAnsi="Palatino Linotype" w:cs="Times New Roman"/>
          <w:noProof/>
          <w:szCs w:val="24"/>
          <w:lang w:val="en-GB"/>
        </w:rPr>
        <w:tab/>
        <w:t>Reginster J-Y, Cooper C, Rizzoli R, et al (2016) Recommendations for the conduct of clinical trials for drugs to treat or prevent sarcopenia. Aging Clin Exp Res 28:47–58. doi: 10.1007/s40520-015-0517-y</w:t>
      </w:r>
    </w:p>
    <w:p w14:paraId="6A8F4E1B" w14:textId="77777777" w:rsidR="009D3AAF" w:rsidRPr="007274EE" w:rsidRDefault="009D3AAF" w:rsidP="009D3AAF">
      <w:pPr>
        <w:widowControl w:val="0"/>
        <w:autoSpaceDE w:val="0"/>
        <w:autoSpaceDN w:val="0"/>
        <w:adjustRightInd w:val="0"/>
        <w:spacing w:line="240" w:lineRule="auto"/>
        <w:ind w:left="640" w:hanging="640"/>
        <w:rPr>
          <w:rFonts w:ascii="Palatino Linotype" w:hAnsi="Palatino Linotype" w:cs="Times New Roman"/>
          <w:noProof/>
          <w:szCs w:val="24"/>
          <w:lang w:val="en-GB"/>
        </w:rPr>
      </w:pPr>
      <w:r w:rsidRPr="007274EE">
        <w:rPr>
          <w:rFonts w:ascii="Palatino Linotype" w:hAnsi="Palatino Linotype" w:cs="Times New Roman"/>
          <w:noProof/>
          <w:szCs w:val="24"/>
          <w:lang w:val="en-GB"/>
        </w:rPr>
        <w:t xml:space="preserve">2. </w:t>
      </w:r>
      <w:r w:rsidRPr="007274EE">
        <w:rPr>
          <w:rFonts w:ascii="Palatino Linotype" w:hAnsi="Palatino Linotype" w:cs="Times New Roman"/>
          <w:noProof/>
          <w:szCs w:val="24"/>
          <w:lang w:val="en-GB"/>
        </w:rPr>
        <w:tab/>
        <w:t>Cruz-Jentoft AJ, Bahat G, Bauer J, et al (2019) Sarcopenia: revised European consensus on definition and diagnosis. Age Ageing 48:16–31. doi: 10.1093/ageing/afy169</w:t>
      </w:r>
    </w:p>
    <w:p w14:paraId="16B45533" w14:textId="77777777" w:rsidR="009D3AAF" w:rsidRPr="007274EE" w:rsidRDefault="009D3AAF" w:rsidP="009D3AAF">
      <w:pPr>
        <w:widowControl w:val="0"/>
        <w:autoSpaceDE w:val="0"/>
        <w:autoSpaceDN w:val="0"/>
        <w:adjustRightInd w:val="0"/>
        <w:spacing w:line="240" w:lineRule="auto"/>
        <w:ind w:left="640" w:hanging="640"/>
        <w:rPr>
          <w:rFonts w:ascii="Palatino Linotype" w:hAnsi="Palatino Linotype" w:cs="Times New Roman"/>
          <w:noProof/>
          <w:szCs w:val="24"/>
          <w:lang w:val="en-GB"/>
        </w:rPr>
      </w:pPr>
      <w:r w:rsidRPr="007274EE">
        <w:rPr>
          <w:rFonts w:ascii="Palatino Linotype" w:hAnsi="Palatino Linotype" w:cs="Times New Roman"/>
          <w:noProof/>
          <w:szCs w:val="24"/>
          <w:lang w:val="en-GB"/>
        </w:rPr>
        <w:t xml:space="preserve">3. </w:t>
      </w:r>
      <w:r w:rsidRPr="007274EE">
        <w:rPr>
          <w:rFonts w:ascii="Palatino Linotype" w:hAnsi="Palatino Linotype" w:cs="Times New Roman"/>
          <w:noProof/>
          <w:szCs w:val="24"/>
          <w:lang w:val="en-GB"/>
        </w:rPr>
        <w:tab/>
        <w:t>Kilsby AJ, Sayer AA, Witham MD (2017) Selecting Potential Pharmacological Interventions in Sarcopenia. Drugs and Aging 34:233–240. doi: 10.1007/s40266-017-0444-z</w:t>
      </w:r>
    </w:p>
    <w:p w14:paraId="1F3554E1" w14:textId="77777777" w:rsidR="009D3AAF" w:rsidRPr="007274EE" w:rsidRDefault="009D3AAF" w:rsidP="009D3AAF">
      <w:pPr>
        <w:widowControl w:val="0"/>
        <w:autoSpaceDE w:val="0"/>
        <w:autoSpaceDN w:val="0"/>
        <w:adjustRightInd w:val="0"/>
        <w:spacing w:line="240" w:lineRule="auto"/>
        <w:ind w:left="640" w:hanging="640"/>
        <w:rPr>
          <w:rFonts w:ascii="Palatino Linotype" w:hAnsi="Palatino Linotype" w:cs="Times New Roman"/>
          <w:noProof/>
          <w:szCs w:val="24"/>
          <w:lang w:val="en-GB"/>
        </w:rPr>
      </w:pPr>
      <w:r w:rsidRPr="007274EE">
        <w:rPr>
          <w:rFonts w:ascii="Palatino Linotype" w:hAnsi="Palatino Linotype" w:cs="Times New Roman"/>
          <w:noProof/>
          <w:szCs w:val="24"/>
          <w:lang w:val="en-GB"/>
        </w:rPr>
        <w:t xml:space="preserve">4. </w:t>
      </w:r>
      <w:r w:rsidRPr="007274EE">
        <w:rPr>
          <w:rFonts w:ascii="Palatino Linotype" w:hAnsi="Palatino Linotype" w:cs="Times New Roman"/>
          <w:noProof/>
          <w:szCs w:val="24"/>
          <w:lang w:val="en-GB"/>
        </w:rPr>
        <w:tab/>
        <w:t>Peña Ordóñez GG, Bustamante Montes LP, Ramírez Duran N, et al (2017) Populations and outcome measures used in ongoing research in sarcopenia. Aging Clin Exp Res 29:695–700. doi: 10.1007/s40520-016-0610-x</w:t>
      </w:r>
    </w:p>
    <w:p w14:paraId="5C05FCED" w14:textId="77777777" w:rsidR="009D3AAF" w:rsidRPr="007274EE" w:rsidRDefault="009D3AAF" w:rsidP="009D3AAF">
      <w:pPr>
        <w:widowControl w:val="0"/>
        <w:autoSpaceDE w:val="0"/>
        <w:autoSpaceDN w:val="0"/>
        <w:adjustRightInd w:val="0"/>
        <w:spacing w:line="240" w:lineRule="auto"/>
        <w:ind w:left="640" w:hanging="640"/>
        <w:rPr>
          <w:rFonts w:ascii="Palatino Linotype" w:hAnsi="Palatino Linotype" w:cs="Times New Roman"/>
          <w:noProof/>
          <w:szCs w:val="24"/>
          <w:lang w:val="en-GB"/>
        </w:rPr>
      </w:pPr>
      <w:r w:rsidRPr="007274EE">
        <w:rPr>
          <w:rFonts w:ascii="Palatino Linotype" w:hAnsi="Palatino Linotype" w:cs="Times New Roman"/>
          <w:noProof/>
          <w:szCs w:val="24"/>
          <w:lang w:val="en-GB"/>
        </w:rPr>
        <w:t xml:space="preserve">5. </w:t>
      </w:r>
      <w:r w:rsidRPr="007274EE">
        <w:rPr>
          <w:rFonts w:ascii="Palatino Linotype" w:hAnsi="Palatino Linotype" w:cs="Times New Roman"/>
          <w:noProof/>
          <w:szCs w:val="24"/>
          <w:lang w:val="en-GB"/>
        </w:rPr>
        <w:tab/>
        <w:t>Chen LK, Woo J, Assantachai P, et al (2020) Asian Working Group for Sarcopenia: 2019 Consensus Update on Sarcopenia Diagnosis and Treatment. J Am Med Dir Assoc 21:300-307.e2. doi: 10.1016/j.jamda.2019.12.012</w:t>
      </w:r>
    </w:p>
    <w:p w14:paraId="6CC4EAFC" w14:textId="77777777" w:rsidR="009D3AAF" w:rsidRPr="007274EE" w:rsidRDefault="009D3AAF" w:rsidP="009D3AAF">
      <w:pPr>
        <w:widowControl w:val="0"/>
        <w:autoSpaceDE w:val="0"/>
        <w:autoSpaceDN w:val="0"/>
        <w:adjustRightInd w:val="0"/>
        <w:spacing w:line="240" w:lineRule="auto"/>
        <w:ind w:left="640" w:hanging="640"/>
        <w:rPr>
          <w:rFonts w:ascii="Palatino Linotype" w:hAnsi="Palatino Linotype" w:cs="Times New Roman"/>
          <w:noProof/>
          <w:szCs w:val="24"/>
          <w:lang w:val="en-GB"/>
        </w:rPr>
      </w:pPr>
      <w:r w:rsidRPr="007274EE">
        <w:rPr>
          <w:rFonts w:ascii="Palatino Linotype" w:hAnsi="Palatino Linotype" w:cs="Times New Roman"/>
          <w:noProof/>
          <w:szCs w:val="24"/>
          <w:lang w:val="en-GB"/>
        </w:rPr>
        <w:t xml:space="preserve">6. </w:t>
      </w:r>
      <w:r w:rsidRPr="007274EE">
        <w:rPr>
          <w:rFonts w:ascii="Palatino Linotype" w:hAnsi="Palatino Linotype" w:cs="Times New Roman"/>
          <w:noProof/>
          <w:szCs w:val="24"/>
          <w:lang w:val="en-GB"/>
        </w:rPr>
        <w:tab/>
        <w:t>Bhasin S, Travison TG, Manini TM, et al (2020) Sarcopenia Definition: The Position Statements of the Sarcopenia Definition and Outcomes Consortium. J Am Geriatr Soc. doi: 10.1111/jgs.16372</w:t>
      </w:r>
    </w:p>
    <w:p w14:paraId="5977AC0C" w14:textId="77777777" w:rsidR="009D3AAF" w:rsidRPr="007274EE" w:rsidRDefault="009D3AAF" w:rsidP="009D3AAF">
      <w:pPr>
        <w:widowControl w:val="0"/>
        <w:autoSpaceDE w:val="0"/>
        <w:autoSpaceDN w:val="0"/>
        <w:adjustRightInd w:val="0"/>
        <w:spacing w:line="240" w:lineRule="auto"/>
        <w:ind w:left="640" w:hanging="640"/>
        <w:rPr>
          <w:rFonts w:ascii="Palatino Linotype" w:hAnsi="Palatino Linotype" w:cs="Times New Roman"/>
          <w:noProof/>
          <w:szCs w:val="24"/>
          <w:lang w:val="en-GB"/>
        </w:rPr>
      </w:pPr>
      <w:r w:rsidRPr="007274EE">
        <w:rPr>
          <w:rFonts w:ascii="Palatino Linotype" w:hAnsi="Palatino Linotype" w:cs="Times New Roman"/>
          <w:noProof/>
          <w:szCs w:val="24"/>
          <w:lang w:val="en-GB"/>
        </w:rPr>
        <w:t xml:space="preserve">7. </w:t>
      </w:r>
      <w:r w:rsidRPr="007274EE">
        <w:rPr>
          <w:rFonts w:ascii="Palatino Linotype" w:hAnsi="Palatino Linotype" w:cs="Times New Roman"/>
          <w:noProof/>
          <w:szCs w:val="24"/>
          <w:lang w:val="en-GB"/>
        </w:rPr>
        <w:tab/>
        <w:t>Saggini R, Carmignano S, Cosenza L, et al (2017) Sarcopenia in Chronic Illness and Rehabilitative Approaches. Frailty Sarcopenia Onset, Dev Clin challenges. doi: 10.1016/j.colsurfa.2011.12.014</w:t>
      </w:r>
    </w:p>
    <w:p w14:paraId="5F1034C7" w14:textId="77777777" w:rsidR="009D3AAF" w:rsidRPr="007274EE" w:rsidRDefault="009D3AAF" w:rsidP="009D3AAF">
      <w:pPr>
        <w:widowControl w:val="0"/>
        <w:autoSpaceDE w:val="0"/>
        <w:autoSpaceDN w:val="0"/>
        <w:adjustRightInd w:val="0"/>
        <w:spacing w:line="240" w:lineRule="auto"/>
        <w:ind w:left="640" w:hanging="640"/>
        <w:rPr>
          <w:rFonts w:ascii="Palatino Linotype" w:hAnsi="Palatino Linotype" w:cs="Times New Roman"/>
          <w:noProof/>
          <w:szCs w:val="24"/>
          <w:lang w:val="en-GB"/>
        </w:rPr>
      </w:pPr>
      <w:r w:rsidRPr="007274EE">
        <w:rPr>
          <w:rFonts w:ascii="Palatino Linotype" w:hAnsi="Palatino Linotype" w:cs="Times New Roman"/>
          <w:noProof/>
          <w:szCs w:val="24"/>
          <w:lang w:val="en-GB"/>
        </w:rPr>
        <w:t xml:space="preserve">8. </w:t>
      </w:r>
      <w:r w:rsidRPr="007274EE">
        <w:rPr>
          <w:rFonts w:ascii="Palatino Linotype" w:hAnsi="Palatino Linotype" w:cs="Times New Roman"/>
          <w:noProof/>
          <w:szCs w:val="24"/>
          <w:lang w:val="en-GB"/>
        </w:rPr>
        <w:tab/>
        <w:t>Anker SD, Morley JE, von Haehling S (2016) Welcome to the ICD-10 code for sarcopenia. J Cachexia Sarcopenia Muscle 7:512–514. doi: 10.1002/jcsm.12147</w:t>
      </w:r>
    </w:p>
    <w:p w14:paraId="0BC5B021" w14:textId="77777777" w:rsidR="009D3AAF" w:rsidRPr="007274EE" w:rsidRDefault="009D3AAF" w:rsidP="009D3AAF">
      <w:pPr>
        <w:widowControl w:val="0"/>
        <w:autoSpaceDE w:val="0"/>
        <w:autoSpaceDN w:val="0"/>
        <w:adjustRightInd w:val="0"/>
        <w:spacing w:line="240" w:lineRule="auto"/>
        <w:ind w:left="640" w:hanging="640"/>
        <w:rPr>
          <w:rFonts w:ascii="Palatino Linotype" w:hAnsi="Palatino Linotype" w:cs="Times New Roman"/>
          <w:noProof/>
          <w:szCs w:val="24"/>
          <w:lang w:val="en-GB"/>
        </w:rPr>
      </w:pPr>
      <w:r w:rsidRPr="007274EE">
        <w:rPr>
          <w:rFonts w:ascii="Palatino Linotype" w:hAnsi="Palatino Linotype" w:cs="Times New Roman"/>
          <w:noProof/>
          <w:szCs w:val="24"/>
          <w:lang w:val="en-GB"/>
        </w:rPr>
        <w:t xml:space="preserve">9. </w:t>
      </w:r>
      <w:r w:rsidRPr="007274EE">
        <w:rPr>
          <w:rFonts w:ascii="Palatino Linotype" w:hAnsi="Palatino Linotype" w:cs="Times New Roman"/>
          <w:noProof/>
          <w:szCs w:val="24"/>
          <w:lang w:val="en-GB"/>
        </w:rPr>
        <w:tab/>
        <w:t>Vellas B, Fielding RA, Bens C, et al (2018) Implications of ICD-10 for Sarcopenia Clinical Practice and Clinical Trials: Report by the International Conference on Frailty and Sarcopenia Research Task Force. J frailty aging 7:2–9. doi: 10.14283/jfa.2017.30</w:t>
      </w:r>
    </w:p>
    <w:p w14:paraId="3A02A2CD" w14:textId="77777777" w:rsidR="009D3AAF" w:rsidRPr="007274EE" w:rsidRDefault="009D3AAF" w:rsidP="009D3AAF">
      <w:pPr>
        <w:widowControl w:val="0"/>
        <w:autoSpaceDE w:val="0"/>
        <w:autoSpaceDN w:val="0"/>
        <w:adjustRightInd w:val="0"/>
        <w:spacing w:line="240" w:lineRule="auto"/>
        <w:ind w:left="640" w:hanging="640"/>
        <w:rPr>
          <w:rFonts w:ascii="Palatino Linotype" w:hAnsi="Palatino Linotype" w:cs="Times New Roman"/>
          <w:noProof/>
          <w:szCs w:val="24"/>
          <w:lang w:val="en-GB"/>
        </w:rPr>
      </w:pPr>
      <w:r w:rsidRPr="007274EE">
        <w:rPr>
          <w:rFonts w:ascii="Palatino Linotype" w:hAnsi="Palatino Linotype" w:cs="Times New Roman"/>
          <w:noProof/>
          <w:szCs w:val="24"/>
          <w:lang w:val="en-GB"/>
        </w:rPr>
        <w:t xml:space="preserve">10. </w:t>
      </w:r>
      <w:r w:rsidRPr="007274EE">
        <w:rPr>
          <w:rFonts w:ascii="Palatino Linotype" w:hAnsi="Palatino Linotype" w:cs="Times New Roman"/>
          <w:noProof/>
          <w:szCs w:val="24"/>
          <w:lang w:val="en-GB"/>
        </w:rPr>
        <w:tab/>
        <w:t>Hardee JP, Lynch GS (2019) Current pharmacotherapies for sarcopenia. Expert Opin Pharmacother 20:1645–1657. doi: 10.1080/14656566.2019.1622093</w:t>
      </w:r>
    </w:p>
    <w:p w14:paraId="122C70E3" w14:textId="77777777" w:rsidR="009D3AAF" w:rsidRPr="007274EE" w:rsidRDefault="009D3AAF" w:rsidP="009D3AAF">
      <w:pPr>
        <w:widowControl w:val="0"/>
        <w:autoSpaceDE w:val="0"/>
        <w:autoSpaceDN w:val="0"/>
        <w:adjustRightInd w:val="0"/>
        <w:spacing w:line="240" w:lineRule="auto"/>
        <w:ind w:left="640" w:hanging="640"/>
        <w:rPr>
          <w:rFonts w:ascii="Palatino Linotype" w:hAnsi="Palatino Linotype" w:cs="Times New Roman"/>
          <w:noProof/>
          <w:szCs w:val="24"/>
          <w:lang w:val="en-GB"/>
        </w:rPr>
      </w:pPr>
      <w:r w:rsidRPr="007274EE">
        <w:rPr>
          <w:rFonts w:ascii="Palatino Linotype" w:hAnsi="Palatino Linotype" w:cs="Times New Roman"/>
          <w:noProof/>
          <w:szCs w:val="24"/>
          <w:lang w:val="en-GB"/>
        </w:rPr>
        <w:t xml:space="preserve">11. </w:t>
      </w:r>
      <w:r w:rsidRPr="007274EE">
        <w:rPr>
          <w:rFonts w:ascii="Palatino Linotype" w:hAnsi="Palatino Linotype" w:cs="Times New Roman"/>
          <w:noProof/>
          <w:szCs w:val="24"/>
          <w:lang w:val="en-GB"/>
        </w:rPr>
        <w:tab/>
        <w:t>Morley JE (2016) Pharmacologic Options for the Treatment of Sarcopenia. Calcif Tissue Int 98:319–333. doi: 10.1007/s00223-015-0022-5</w:t>
      </w:r>
    </w:p>
    <w:p w14:paraId="4DF362D8" w14:textId="77777777" w:rsidR="009D3AAF" w:rsidRPr="007274EE" w:rsidRDefault="009D3AAF" w:rsidP="009D3AAF">
      <w:pPr>
        <w:widowControl w:val="0"/>
        <w:autoSpaceDE w:val="0"/>
        <w:autoSpaceDN w:val="0"/>
        <w:adjustRightInd w:val="0"/>
        <w:spacing w:line="240" w:lineRule="auto"/>
        <w:ind w:left="640" w:hanging="640"/>
        <w:rPr>
          <w:rFonts w:ascii="Palatino Linotype" w:hAnsi="Palatino Linotype" w:cs="Times New Roman"/>
          <w:noProof/>
          <w:szCs w:val="24"/>
          <w:lang w:val="en-GB"/>
        </w:rPr>
      </w:pPr>
      <w:r w:rsidRPr="007274EE">
        <w:rPr>
          <w:rFonts w:ascii="Palatino Linotype" w:hAnsi="Palatino Linotype" w:cs="Times New Roman"/>
          <w:noProof/>
          <w:szCs w:val="24"/>
          <w:lang w:val="en-GB"/>
        </w:rPr>
        <w:t xml:space="preserve">12. </w:t>
      </w:r>
      <w:r w:rsidRPr="007274EE">
        <w:rPr>
          <w:rFonts w:ascii="Palatino Linotype" w:hAnsi="Palatino Linotype" w:cs="Times New Roman"/>
          <w:noProof/>
          <w:szCs w:val="24"/>
          <w:lang w:val="en-GB"/>
        </w:rPr>
        <w:tab/>
        <w:t>Rooks D, Roubenoff R (2019) Development of Pharmacotherapies for the Treatment of Sarcopenia. J frailty aging 8:120–130. doi: 10.14283/jfa.2019.11</w:t>
      </w:r>
    </w:p>
    <w:p w14:paraId="0D23E305" w14:textId="77777777" w:rsidR="009D3AAF" w:rsidRPr="007274EE" w:rsidRDefault="009D3AAF" w:rsidP="009D3AAF">
      <w:pPr>
        <w:widowControl w:val="0"/>
        <w:autoSpaceDE w:val="0"/>
        <w:autoSpaceDN w:val="0"/>
        <w:adjustRightInd w:val="0"/>
        <w:spacing w:line="240" w:lineRule="auto"/>
        <w:ind w:left="640" w:hanging="640"/>
        <w:rPr>
          <w:rFonts w:ascii="Palatino Linotype" w:hAnsi="Palatino Linotype" w:cs="Times New Roman"/>
          <w:noProof/>
          <w:szCs w:val="24"/>
          <w:lang w:val="en-GB"/>
        </w:rPr>
      </w:pPr>
      <w:r w:rsidRPr="007274EE">
        <w:rPr>
          <w:rFonts w:ascii="Palatino Linotype" w:hAnsi="Palatino Linotype" w:cs="Times New Roman"/>
          <w:noProof/>
          <w:szCs w:val="24"/>
          <w:lang w:val="en-GB"/>
        </w:rPr>
        <w:t xml:space="preserve">13. </w:t>
      </w:r>
      <w:r w:rsidRPr="007274EE">
        <w:rPr>
          <w:rFonts w:ascii="Palatino Linotype" w:hAnsi="Palatino Linotype" w:cs="Times New Roman"/>
          <w:noProof/>
          <w:szCs w:val="24"/>
          <w:lang w:val="en-GB"/>
        </w:rPr>
        <w:tab/>
        <w:t>Chumlea WC, Cesari M, Evans WJ, et al (2011) Sarcopenia: designing phase IIB trials. J Nutr Health Aging 15:450–5.</w:t>
      </w:r>
    </w:p>
    <w:p w14:paraId="34C8F588" w14:textId="77777777" w:rsidR="009D3AAF" w:rsidRPr="007274EE" w:rsidRDefault="009D3AAF" w:rsidP="009D3AAF">
      <w:pPr>
        <w:widowControl w:val="0"/>
        <w:autoSpaceDE w:val="0"/>
        <w:autoSpaceDN w:val="0"/>
        <w:adjustRightInd w:val="0"/>
        <w:spacing w:line="240" w:lineRule="auto"/>
        <w:ind w:left="640" w:hanging="640"/>
        <w:rPr>
          <w:rFonts w:ascii="Palatino Linotype" w:hAnsi="Palatino Linotype" w:cs="Times New Roman"/>
          <w:noProof/>
          <w:szCs w:val="24"/>
          <w:lang w:val="en-GB"/>
        </w:rPr>
      </w:pPr>
      <w:r w:rsidRPr="007274EE">
        <w:rPr>
          <w:rFonts w:ascii="Palatino Linotype" w:hAnsi="Palatino Linotype" w:cs="Times New Roman"/>
          <w:noProof/>
          <w:szCs w:val="24"/>
          <w:lang w:val="en-GB"/>
        </w:rPr>
        <w:t xml:space="preserve">14. </w:t>
      </w:r>
      <w:r w:rsidRPr="007274EE">
        <w:rPr>
          <w:rFonts w:ascii="Palatino Linotype" w:hAnsi="Palatino Linotype" w:cs="Times New Roman"/>
          <w:noProof/>
          <w:szCs w:val="24"/>
          <w:lang w:val="en-GB"/>
        </w:rPr>
        <w:tab/>
        <w:t>Cruz-Jentoft AJ, Landi F, Schneider SM, et al (2014) Prevalence of and interventions for sarcopenia in ageing adults: a systematic review. Report of the International Sarcopenia Initiative (EWGSOP and IWGS). Age Ageing 43:748–59. doi: 10.1093/ageing/afu115</w:t>
      </w:r>
    </w:p>
    <w:p w14:paraId="1C803D86" w14:textId="77777777" w:rsidR="009D3AAF" w:rsidRPr="007274EE" w:rsidRDefault="009D3AAF" w:rsidP="009D3AAF">
      <w:pPr>
        <w:widowControl w:val="0"/>
        <w:autoSpaceDE w:val="0"/>
        <w:autoSpaceDN w:val="0"/>
        <w:adjustRightInd w:val="0"/>
        <w:spacing w:line="240" w:lineRule="auto"/>
        <w:ind w:left="640" w:hanging="640"/>
        <w:rPr>
          <w:rFonts w:ascii="Palatino Linotype" w:hAnsi="Palatino Linotype" w:cs="Times New Roman"/>
          <w:noProof/>
          <w:szCs w:val="24"/>
          <w:lang w:val="en-GB"/>
        </w:rPr>
      </w:pPr>
      <w:r w:rsidRPr="007274EE">
        <w:rPr>
          <w:rFonts w:ascii="Palatino Linotype" w:hAnsi="Palatino Linotype" w:cs="Times New Roman"/>
          <w:noProof/>
          <w:szCs w:val="24"/>
          <w:lang w:val="en-GB"/>
        </w:rPr>
        <w:t xml:space="preserve">15. </w:t>
      </w:r>
      <w:r w:rsidRPr="007274EE">
        <w:rPr>
          <w:rFonts w:ascii="Palatino Linotype" w:hAnsi="Palatino Linotype" w:cs="Times New Roman"/>
          <w:noProof/>
          <w:szCs w:val="24"/>
          <w:lang w:val="en-GB"/>
        </w:rPr>
        <w:tab/>
        <w:t>Abellan Van Kan G, Cameron Chumlea W, Gillette-Guyonet S, et al (2011) Clinical Trials on Sarcopenia: Methodological Issues Regarding Phase 3 Trials NIH Public Access. Clin Geriatr Med 27:471–482. doi: 10.1016/j.cger.2011.03.010</w:t>
      </w:r>
    </w:p>
    <w:p w14:paraId="7EC4EC5B" w14:textId="77777777" w:rsidR="009D3AAF" w:rsidRPr="007274EE" w:rsidRDefault="009D3AAF" w:rsidP="009D3AAF">
      <w:pPr>
        <w:widowControl w:val="0"/>
        <w:autoSpaceDE w:val="0"/>
        <w:autoSpaceDN w:val="0"/>
        <w:adjustRightInd w:val="0"/>
        <w:spacing w:line="240" w:lineRule="auto"/>
        <w:ind w:left="640" w:hanging="640"/>
        <w:rPr>
          <w:rFonts w:ascii="Palatino Linotype" w:hAnsi="Palatino Linotype" w:cs="Times New Roman"/>
          <w:noProof/>
          <w:szCs w:val="24"/>
          <w:lang w:val="en-GB"/>
        </w:rPr>
      </w:pPr>
      <w:r w:rsidRPr="007274EE">
        <w:rPr>
          <w:rFonts w:ascii="Palatino Linotype" w:hAnsi="Palatino Linotype" w:cs="Times New Roman"/>
          <w:noProof/>
          <w:szCs w:val="24"/>
          <w:lang w:val="en-GB"/>
        </w:rPr>
        <w:t xml:space="preserve">16. </w:t>
      </w:r>
      <w:r w:rsidRPr="007274EE">
        <w:rPr>
          <w:rFonts w:ascii="Palatino Linotype" w:hAnsi="Palatino Linotype" w:cs="Times New Roman"/>
          <w:noProof/>
          <w:szCs w:val="24"/>
          <w:lang w:val="en-GB"/>
        </w:rPr>
        <w:tab/>
        <w:t>Visser M, Goodpaster BH, Kritchevsky SB, et al (2005) Muscle mass, muscle strength, and muscle fat infiltration as predictors of incident mobility limitations in well-functioning older persons. J Gerontol A Biol Sci Med Sci 60:324–33.</w:t>
      </w:r>
    </w:p>
    <w:p w14:paraId="63AC657A" w14:textId="77777777" w:rsidR="009D3AAF" w:rsidRPr="007274EE" w:rsidRDefault="009D3AAF" w:rsidP="009D3AAF">
      <w:pPr>
        <w:widowControl w:val="0"/>
        <w:autoSpaceDE w:val="0"/>
        <w:autoSpaceDN w:val="0"/>
        <w:adjustRightInd w:val="0"/>
        <w:spacing w:line="240" w:lineRule="auto"/>
        <w:ind w:left="640" w:hanging="640"/>
        <w:rPr>
          <w:rFonts w:ascii="Palatino Linotype" w:hAnsi="Palatino Linotype" w:cs="Times New Roman"/>
          <w:noProof/>
          <w:szCs w:val="24"/>
          <w:lang w:val="en-GB"/>
        </w:rPr>
      </w:pPr>
      <w:r w:rsidRPr="007274EE">
        <w:rPr>
          <w:rFonts w:ascii="Palatino Linotype" w:hAnsi="Palatino Linotype" w:cs="Times New Roman"/>
          <w:noProof/>
          <w:szCs w:val="24"/>
          <w:lang w:val="en-GB"/>
        </w:rPr>
        <w:t xml:space="preserve">17. </w:t>
      </w:r>
      <w:r w:rsidRPr="007274EE">
        <w:rPr>
          <w:rFonts w:ascii="Palatino Linotype" w:hAnsi="Palatino Linotype" w:cs="Times New Roman"/>
          <w:noProof/>
          <w:szCs w:val="24"/>
          <w:lang w:val="en-GB"/>
        </w:rPr>
        <w:tab/>
        <w:t>Landi F, Cesari M, Calvani R, et al (2017) The “Sarcopenia and Physical fRailty IN older people: multi-componenT Treatment strategies” (SPRINTT) randomized controlled trial: design and methods. Aging Clin Exp Res 29:89–100. doi: 10.1007/s40520-016-0715-2</w:t>
      </w:r>
    </w:p>
    <w:p w14:paraId="67BDF46D" w14:textId="77777777" w:rsidR="009D3AAF" w:rsidRPr="007274EE" w:rsidRDefault="009D3AAF" w:rsidP="009D3AAF">
      <w:pPr>
        <w:widowControl w:val="0"/>
        <w:autoSpaceDE w:val="0"/>
        <w:autoSpaceDN w:val="0"/>
        <w:adjustRightInd w:val="0"/>
        <w:spacing w:line="240" w:lineRule="auto"/>
        <w:ind w:left="640" w:hanging="640"/>
        <w:rPr>
          <w:rFonts w:ascii="Palatino Linotype" w:hAnsi="Palatino Linotype" w:cs="Times New Roman"/>
          <w:noProof/>
          <w:szCs w:val="24"/>
          <w:lang w:val="en-GB"/>
        </w:rPr>
      </w:pPr>
      <w:r w:rsidRPr="007274EE">
        <w:rPr>
          <w:rFonts w:ascii="Palatino Linotype" w:hAnsi="Palatino Linotype" w:cs="Times New Roman"/>
          <w:noProof/>
          <w:szCs w:val="24"/>
          <w:lang w:val="en-GB"/>
        </w:rPr>
        <w:t xml:space="preserve">18. </w:t>
      </w:r>
      <w:r w:rsidRPr="007274EE">
        <w:rPr>
          <w:rFonts w:ascii="Palatino Linotype" w:hAnsi="Palatino Linotype" w:cs="Times New Roman"/>
          <w:noProof/>
          <w:szCs w:val="24"/>
          <w:lang w:val="en-GB"/>
        </w:rPr>
        <w:tab/>
        <w:t>Pahor M, Guralnik JM, Ambrosius WT, et al (2014) Effect of structured physical activity on prevention of major mobility disability in older adults: the LIFE study randomized clinical trial. JAMA 311:2387–96. doi: 10.1001/jama.2014.5616</w:t>
      </w:r>
    </w:p>
    <w:p w14:paraId="7D56E424" w14:textId="77777777" w:rsidR="009D3AAF" w:rsidRPr="007274EE" w:rsidRDefault="009D3AAF" w:rsidP="009D3AAF">
      <w:pPr>
        <w:widowControl w:val="0"/>
        <w:autoSpaceDE w:val="0"/>
        <w:autoSpaceDN w:val="0"/>
        <w:adjustRightInd w:val="0"/>
        <w:spacing w:line="240" w:lineRule="auto"/>
        <w:ind w:left="640" w:hanging="640"/>
        <w:rPr>
          <w:rFonts w:ascii="Palatino Linotype" w:hAnsi="Palatino Linotype" w:cs="Times New Roman"/>
          <w:noProof/>
          <w:szCs w:val="24"/>
          <w:lang w:val="en-GB"/>
        </w:rPr>
      </w:pPr>
      <w:r w:rsidRPr="007274EE">
        <w:rPr>
          <w:rFonts w:ascii="Palatino Linotype" w:hAnsi="Palatino Linotype" w:cs="Times New Roman"/>
          <w:noProof/>
          <w:szCs w:val="24"/>
          <w:lang w:val="en-GB"/>
        </w:rPr>
        <w:t xml:space="preserve">19. </w:t>
      </w:r>
      <w:r w:rsidRPr="007274EE">
        <w:rPr>
          <w:rFonts w:ascii="Palatino Linotype" w:hAnsi="Palatino Linotype" w:cs="Times New Roman"/>
          <w:noProof/>
          <w:szCs w:val="24"/>
          <w:lang w:val="en-GB"/>
        </w:rPr>
        <w:tab/>
        <w:t>Beaudart C, Rolland Y, Cruz-Jentoft AJ, et al (2019) Assessment of Muscle Function and Physical Performance in Daily Clinical Practice</w:t>
      </w:r>
      <w:r w:rsidRPr="007274EE">
        <w:rPr>
          <w:rFonts w:ascii="Times New Roman" w:hAnsi="Times New Roman" w:cs="Times New Roman"/>
          <w:noProof/>
          <w:szCs w:val="24"/>
          <w:lang w:val="en-GB"/>
        </w:rPr>
        <w:t> </w:t>
      </w:r>
      <w:r w:rsidRPr="007274EE">
        <w:rPr>
          <w:rFonts w:ascii="Palatino Linotype" w:hAnsi="Palatino Linotype" w:cs="Times New Roman"/>
          <w:noProof/>
          <w:szCs w:val="24"/>
          <w:lang w:val="en-GB"/>
        </w:rPr>
        <w:t>: A position paper endorsed by the European Society for Clinical and Economic Aspects of Osteoporosis, Osteoarthritis and Musculoskeletal Diseases (ESCEO). Calcif Tissue Int 105:1–14. doi: 10.1007/s00223-019-00545-w</w:t>
      </w:r>
    </w:p>
    <w:p w14:paraId="097B4486" w14:textId="77777777" w:rsidR="009D3AAF" w:rsidRPr="007274EE" w:rsidRDefault="009D3AAF" w:rsidP="009D3AAF">
      <w:pPr>
        <w:widowControl w:val="0"/>
        <w:autoSpaceDE w:val="0"/>
        <w:autoSpaceDN w:val="0"/>
        <w:adjustRightInd w:val="0"/>
        <w:spacing w:line="240" w:lineRule="auto"/>
        <w:ind w:left="640" w:hanging="640"/>
        <w:rPr>
          <w:rFonts w:ascii="Palatino Linotype" w:hAnsi="Palatino Linotype" w:cs="Times New Roman"/>
          <w:noProof/>
          <w:szCs w:val="24"/>
          <w:lang w:val="en-GB"/>
        </w:rPr>
      </w:pPr>
      <w:r w:rsidRPr="007274EE">
        <w:rPr>
          <w:rFonts w:ascii="Palatino Linotype" w:hAnsi="Palatino Linotype" w:cs="Times New Roman"/>
          <w:noProof/>
          <w:szCs w:val="24"/>
          <w:lang w:val="en-GB"/>
        </w:rPr>
        <w:t xml:space="preserve">20. </w:t>
      </w:r>
      <w:r w:rsidRPr="007274EE">
        <w:rPr>
          <w:rFonts w:ascii="Palatino Linotype" w:hAnsi="Palatino Linotype" w:cs="Times New Roman"/>
          <w:noProof/>
          <w:szCs w:val="24"/>
          <w:lang w:val="en-GB"/>
        </w:rPr>
        <w:tab/>
        <w:t>Schaap LA, Fox B, Henwood T, et al (2016) Grip strength measurement: Towards a standardized approach in sarcopenia research and practice. Eur Geriatr Med. doi: 10.1016/j.eurger.2015.11.012</w:t>
      </w:r>
    </w:p>
    <w:p w14:paraId="59007D81" w14:textId="77777777" w:rsidR="009D3AAF" w:rsidRPr="007274EE" w:rsidRDefault="009D3AAF" w:rsidP="009D3AAF">
      <w:pPr>
        <w:widowControl w:val="0"/>
        <w:autoSpaceDE w:val="0"/>
        <w:autoSpaceDN w:val="0"/>
        <w:adjustRightInd w:val="0"/>
        <w:spacing w:line="240" w:lineRule="auto"/>
        <w:ind w:left="640" w:hanging="640"/>
        <w:rPr>
          <w:rFonts w:ascii="Palatino Linotype" w:hAnsi="Palatino Linotype" w:cs="Times New Roman"/>
          <w:noProof/>
          <w:szCs w:val="24"/>
          <w:lang w:val="en-GB"/>
        </w:rPr>
      </w:pPr>
      <w:r w:rsidRPr="007274EE">
        <w:rPr>
          <w:rFonts w:ascii="Palatino Linotype" w:hAnsi="Palatino Linotype" w:cs="Times New Roman"/>
          <w:noProof/>
          <w:szCs w:val="24"/>
          <w:lang w:val="en-GB"/>
        </w:rPr>
        <w:t xml:space="preserve">21. </w:t>
      </w:r>
      <w:r w:rsidRPr="007274EE">
        <w:rPr>
          <w:rFonts w:ascii="Palatino Linotype" w:hAnsi="Palatino Linotype" w:cs="Times New Roman"/>
          <w:noProof/>
          <w:szCs w:val="24"/>
          <w:lang w:val="en-GB"/>
        </w:rPr>
        <w:tab/>
        <w:t>Dodds RM, Syddall HHE, Cooper R, et al (2014) Grip strength across the life course: normative data from twelve British studies. PLoS One 9:e113637. doi: 10.1371/journal.pone.0113637</w:t>
      </w:r>
    </w:p>
    <w:p w14:paraId="02DB99E1" w14:textId="77777777" w:rsidR="009D3AAF" w:rsidRPr="007274EE" w:rsidRDefault="009D3AAF" w:rsidP="009D3AAF">
      <w:pPr>
        <w:widowControl w:val="0"/>
        <w:autoSpaceDE w:val="0"/>
        <w:autoSpaceDN w:val="0"/>
        <w:adjustRightInd w:val="0"/>
        <w:spacing w:line="240" w:lineRule="auto"/>
        <w:ind w:left="640" w:hanging="640"/>
        <w:rPr>
          <w:rFonts w:ascii="Palatino Linotype" w:hAnsi="Palatino Linotype" w:cs="Times New Roman"/>
          <w:noProof/>
          <w:szCs w:val="24"/>
          <w:lang w:val="en-GB"/>
        </w:rPr>
      </w:pPr>
      <w:r w:rsidRPr="007274EE">
        <w:rPr>
          <w:rFonts w:ascii="Palatino Linotype" w:hAnsi="Palatino Linotype" w:cs="Times New Roman"/>
          <w:noProof/>
          <w:szCs w:val="24"/>
          <w:lang w:val="en-GB"/>
        </w:rPr>
        <w:t xml:space="preserve">22. </w:t>
      </w:r>
      <w:r w:rsidRPr="007274EE">
        <w:rPr>
          <w:rFonts w:ascii="Palatino Linotype" w:hAnsi="Palatino Linotype" w:cs="Times New Roman"/>
          <w:noProof/>
          <w:szCs w:val="24"/>
          <w:lang w:val="en-GB"/>
        </w:rPr>
        <w:tab/>
        <w:t>Cesari M, Kritchevsky SB, Newman AB, et al (2009) Added value of physical performance measures in predicting adverse health-related events: results from the Health, Aging And Body Composition Study. J Am Geriatr Soc 57:251–259. doi: 10.1111/j.1532-5415.2008.02126.x</w:t>
      </w:r>
    </w:p>
    <w:p w14:paraId="3DAB0250" w14:textId="77777777" w:rsidR="009D3AAF" w:rsidRPr="007274EE" w:rsidRDefault="009D3AAF" w:rsidP="009D3AAF">
      <w:pPr>
        <w:widowControl w:val="0"/>
        <w:autoSpaceDE w:val="0"/>
        <w:autoSpaceDN w:val="0"/>
        <w:adjustRightInd w:val="0"/>
        <w:spacing w:line="240" w:lineRule="auto"/>
        <w:ind w:left="640" w:hanging="640"/>
        <w:rPr>
          <w:rFonts w:ascii="Palatino Linotype" w:hAnsi="Palatino Linotype" w:cs="Times New Roman"/>
          <w:noProof/>
          <w:szCs w:val="24"/>
          <w:lang w:val="en-GB"/>
        </w:rPr>
      </w:pPr>
      <w:r w:rsidRPr="007274EE">
        <w:rPr>
          <w:rFonts w:ascii="Palatino Linotype" w:hAnsi="Palatino Linotype" w:cs="Times New Roman"/>
          <w:noProof/>
          <w:szCs w:val="24"/>
          <w:lang w:val="en-GB"/>
        </w:rPr>
        <w:t xml:space="preserve">23. </w:t>
      </w:r>
      <w:r w:rsidRPr="007274EE">
        <w:rPr>
          <w:rFonts w:ascii="Palatino Linotype" w:hAnsi="Palatino Linotype" w:cs="Times New Roman"/>
          <w:noProof/>
          <w:szCs w:val="24"/>
          <w:lang w:val="en-GB"/>
        </w:rPr>
        <w:tab/>
        <w:t>Pavasini R, Guralnik J, Brown JC, et al (2016) Short Physical Performance Battery and all-cause mortality: systematic review and meta-analysis. BMC Med 14:215. doi: 10.1186/s12916-016-0763-7</w:t>
      </w:r>
    </w:p>
    <w:p w14:paraId="64848C08" w14:textId="77777777" w:rsidR="009D3AAF" w:rsidRPr="007274EE" w:rsidRDefault="009D3AAF" w:rsidP="009D3AAF">
      <w:pPr>
        <w:widowControl w:val="0"/>
        <w:autoSpaceDE w:val="0"/>
        <w:autoSpaceDN w:val="0"/>
        <w:adjustRightInd w:val="0"/>
        <w:spacing w:line="240" w:lineRule="auto"/>
        <w:ind w:left="640" w:hanging="640"/>
        <w:rPr>
          <w:rFonts w:ascii="Palatino Linotype" w:hAnsi="Palatino Linotype" w:cs="Times New Roman"/>
          <w:noProof/>
          <w:szCs w:val="24"/>
          <w:lang w:val="en-GB"/>
        </w:rPr>
      </w:pPr>
      <w:r w:rsidRPr="007274EE">
        <w:rPr>
          <w:rFonts w:ascii="Palatino Linotype" w:hAnsi="Palatino Linotype" w:cs="Times New Roman"/>
          <w:noProof/>
          <w:szCs w:val="24"/>
          <w:lang w:val="en-GB"/>
        </w:rPr>
        <w:t xml:space="preserve">24. </w:t>
      </w:r>
      <w:r w:rsidRPr="007274EE">
        <w:rPr>
          <w:rFonts w:ascii="Palatino Linotype" w:hAnsi="Palatino Linotype" w:cs="Times New Roman"/>
          <w:noProof/>
          <w:szCs w:val="24"/>
          <w:lang w:val="en-GB"/>
        </w:rPr>
        <w:tab/>
        <w:t>Studenski S, Perera S, Patel K, et al (2011) Gait speed and survival in older adults. JAMA 305:50–8. doi: 10.1001/jama.2010.1923</w:t>
      </w:r>
    </w:p>
    <w:p w14:paraId="4BFCFF00" w14:textId="77777777" w:rsidR="009D3AAF" w:rsidRPr="007274EE" w:rsidRDefault="009D3AAF" w:rsidP="009D3AAF">
      <w:pPr>
        <w:widowControl w:val="0"/>
        <w:autoSpaceDE w:val="0"/>
        <w:autoSpaceDN w:val="0"/>
        <w:adjustRightInd w:val="0"/>
        <w:spacing w:line="240" w:lineRule="auto"/>
        <w:ind w:left="640" w:hanging="640"/>
        <w:rPr>
          <w:rFonts w:ascii="Palatino Linotype" w:hAnsi="Palatino Linotype" w:cs="Times New Roman"/>
          <w:noProof/>
          <w:szCs w:val="24"/>
          <w:lang w:val="en-GB"/>
        </w:rPr>
      </w:pPr>
      <w:r w:rsidRPr="007274EE">
        <w:rPr>
          <w:rFonts w:ascii="Palatino Linotype" w:hAnsi="Palatino Linotype" w:cs="Times New Roman"/>
          <w:noProof/>
          <w:szCs w:val="24"/>
          <w:lang w:val="en-GB"/>
        </w:rPr>
        <w:t xml:space="preserve">25. </w:t>
      </w:r>
      <w:r w:rsidRPr="007274EE">
        <w:rPr>
          <w:rFonts w:ascii="Palatino Linotype" w:hAnsi="Palatino Linotype" w:cs="Times New Roman"/>
          <w:noProof/>
          <w:szCs w:val="24"/>
          <w:lang w:val="en-GB"/>
        </w:rPr>
        <w:tab/>
        <w:t>Bischoff HA, Stähelin HB, Monsch AU, et al (2003) Identifying a cut-off point for normal mobility: A comparison of the timed “up and go” test in community-dwelling and institutionalised elderly women. Age Ageing 32:315–320. doi: 10.1093/ageing/32.3.315</w:t>
      </w:r>
    </w:p>
    <w:p w14:paraId="43CF72A6" w14:textId="77777777" w:rsidR="009D3AAF" w:rsidRPr="007274EE" w:rsidRDefault="009D3AAF" w:rsidP="009D3AAF">
      <w:pPr>
        <w:widowControl w:val="0"/>
        <w:autoSpaceDE w:val="0"/>
        <w:autoSpaceDN w:val="0"/>
        <w:adjustRightInd w:val="0"/>
        <w:spacing w:line="240" w:lineRule="auto"/>
        <w:ind w:left="640" w:hanging="640"/>
        <w:rPr>
          <w:rFonts w:ascii="Palatino Linotype" w:hAnsi="Palatino Linotype" w:cs="Times New Roman"/>
          <w:noProof/>
          <w:szCs w:val="24"/>
          <w:lang w:val="en-GB"/>
        </w:rPr>
      </w:pPr>
      <w:r w:rsidRPr="007274EE">
        <w:rPr>
          <w:rFonts w:ascii="Palatino Linotype" w:hAnsi="Palatino Linotype" w:cs="Times New Roman"/>
          <w:noProof/>
          <w:szCs w:val="24"/>
          <w:lang w:val="en-GB"/>
        </w:rPr>
        <w:t xml:space="preserve">26. </w:t>
      </w:r>
      <w:r w:rsidRPr="007274EE">
        <w:rPr>
          <w:rFonts w:ascii="Palatino Linotype" w:hAnsi="Palatino Linotype" w:cs="Times New Roman"/>
          <w:noProof/>
          <w:szCs w:val="24"/>
          <w:lang w:val="en-GB"/>
        </w:rPr>
        <w:tab/>
        <w:t>Guigoz Y, Vellas B, Garry PJ (1996) Assessing the nutritional status of the elderly: The Mini Nutritional Assessment as part of the geriatric evaluation. Nutr Rev 54:S59-65.</w:t>
      </w:r>
    </w:p>
    <w:p w14:paraId="086E275F" w14:textId="77777777" w:rsidR="009D3AAF" w:rsidRPr="007274EE" w:rsidRDefault="009D3AAF" w:rsidP="009D3AAF">
      <w:pPr>
        <w:widowControl w:val="0"/>
        <w:autoSpaceDE w:val="0"/>
        <w:autoSpaceDN w:val="0"/>
        <w:adjustRightInd w:val="0"/>
        <w:spacing w:line="240" w:lineRule="auto"/>
        <w:ind w:left="640" w:hanging="640"/>
        <w:rPr>
          <w:rFonts w:ascii="Palatino Linotype" w:hAnsi="Palatino Linotype" w:cs="Times New Roman"/>
          <w:noProof/>
          <w:szCs w:val="24"/>
          <w:lang w:val="en-GB"/>
        </w:rPr>
      </w:pPr>
      <w:r w:rsidRPr="007274EE">
        <w:rPr>
          <w:rFonts w:ascii="Palatino Linotype" w:hAnsi="Palatino Linotype" w:cs="Times New Roman"/>
          <w:noProof/>
          <w:szCs w:val="24"/>
          <w:lang w:val="en-GB"/>
        </w:rPr>
        <w:t xml:space="preserve">27. </w:t>
      </w:r>
      <w:r w:rsidRPr="007274EE">
        <w:rPr>
          <w:rFonts w:ascii="Palatino Linotype" w:hAnsi="Palatino Linotype" w:cs="Times New Roman"/>
          <w:noProof/>
          <w:szCs w:val="24"/>
          <w:lang w:val="en-GB"/>
        </w:rPr>
        <w:tab/>
        <w:t>Cederholm T, Jensen GL (2017) To create a consensus on malnutrition diagnostic criteria: A report from the Global Leadership Initiative on Malnutrition (GLIM) meeting at the ESPEN Congress 2016. Clin Nutr 36:7–10. doi: 10.1016/j.clnu.2016.12.001</w:t>
      </w:r>
    </w:p>
    <w:p w14:paraId="04E90B8E" w14:textId="77777777" w:rsidR="009D3AAF" w:rsidRPr="007274EE" w:rsidRDefault="009D3AAF" w:rsidP="009D3AAF">
      <w:pPr>
        <w:widowControl w:val="0"/>
        <w:autoSpaceDE w:val="0"/>
        <w:autoSpaceDN w:val="0"/>
        <w:adjustRightInd w:val="0"/>
        <w:spacing w:line="240" w:lineRule="auto"/>
        <w:ind w:left="640" w:hanging="640"/>
        <w:rPr>
          <w:rFonts w:ascii="Palatino Linotype" w:hAnsi="Palatino Linotype" w:cs="Times New Roman"/>
          <w:noProof/>
          <w:szCs w:val="24"/>
          <w:lang w:val="en-GB"/>
        </w:rPr>
      </w:pPr>
      <w:r w:rsidRPr="007274EE">
        <w:rPr>
          <w:rFonts w:ascii="Palatino Linotype" w:hAnsi="Palatino Linotype" w:cs="Times New Roman"/>
          <w:noProof/>
          <w:szCs w:val="24"/>
          <w:lang w:val="en-GB"/>
        </w:rPr>
        <w:t xml:space="preserve">28. </w:t>
      </w:r>
      <w:r w:rsidRPr="007274EE">
        <w:rPr>
          <w:rFonts w:ascii="Palatino Linotype" w:hAnsi="Palatino Linotype" w:cs="Times New Roman"/>
          <w:noProof/>
          <w:szCs w:val="24"/>
          <w:lang w:val="en-GB"/>
        </w:rPr>
        <w:tab/>
        <w:t>Cederholm T, Jensen GLGLGL, Correia MITDITDTD, et al (2019) GLIM criteria for the diagnosis of malnutrition - A consensus report from the global clinical nutrition community. J Cachexia Sarcopenia Muscle 38:1–9. doi: 10.1016/j.clnu.2018.08.002</w:t>
      </w:r>
    </w:p>
    <w:p w14:paraId="7B6D0838" w14:textId="77777777" w:rsidR="009D3AAF" w:rsidRPr="007274EE" w:rsidRDefault="009D3AAF" w:rsidP="009D3AAF">
      <w:pPr>
        <w:widowControl w:val="0"/>
        <w:autoSpaceDE w:val="0"/>
        <w:autoSpaceDN w:val="0"/>
        <w:adjustRightInd w:val="0"/>
        <w:spacing w:line="240" w:lineRule="auto"/>
        <w:ind w:left="640" w:hanging="640"/>
        <w:rPr>
          <w:rFonts w:ascii="Palatino Linotype" w:hAnsi="Palatino Linotype" w:cs="Times New Roman"/>
          <w:noProof/>
          <w:szCs w:val="24"/>
          <w:lang w:val="en-GB"/>
        </w:rPr>
      </w:pPr>
      <w:r w:rsidRPr="007274EE">
        <w:rPr>
          <w:rFonts w:ascii="Palatino Linotype" w:hAnsi="Palatino Linotype" w:cs="Times New Roman"/>
          <w:noProof/>
          <w:szCs w:val="24"/>
          <w:lang w:val="en-GB"/>
        </w:rPr>
        <w:t xml:space="preserve">29. </w:t>
      </w:r>
      <w:r w:rsidRPr="007274EE">
        <w:rPr>
          <w:rFonts w:ascii="Palatino Linotype" w:hAnsi="Palatino Linotype" w:cs="Times New Roman"/>
          <w:noProof/>
          <w:szCs w:val="24"/>
          <w:lang w:val="en-GB"/>
        </w:rPr>
        <w:tab/>
        <w:t>Sánchez-Rodríguez D, Marco E, Schott A-M, et al (2018) Malnutrition according to ESPEN definition predicts long-term mortality in general older population: Findings from the EPIDOS study-Toulouse cohort. Clin Nutr. doi: 10.1016/j.clnu.2018.11.016</w:t>
      </w:r>
    </w:p>
    <w:p w14:paraId="20E1510B" w14:textId="77777777" w:rsidR="009D3AAF" w:rsidRPr="007274EE" w:rsidRDefault="009D3AAF" w:rsidP="009D3AAF">
      <w:pPr>
        <w:widowControl w:val="0"/>
        <w:autoSpaceDE w:val="0"/>
        <w:autoSpaceDN w:val="0"/>
        <w:adjustRightInd w:val="0"/>
        <w:spacing w:line="240" w:lineRule="auto"/>
        <w:ind w:left="640" w:hanging="640"/>
        <w:rPr>
          <w:rFonts w:ascii="Palatino Linotype" w:hAnsi="Palatino Linotype" w:cs="Times New Roman"/>
          <w:noProof/>
          <w:szCs w:val="24"/>
          <w:lang w:val="en-GB"/>
        </w:rPr>
      </w:pPr>
      <w:r w:rsidRPr="007274EE">
        <w:rPr>
          <w:rFonts w:ascii="Palatino Linotype" w:hAnsi="Palatino Linotype" w:cs="Times New Roman"/>
          <w:noProof/>
          <w:szCs w:val="24"/>
          <w:lang w:val="en-GB"/>
        </w:rPr>
        <w:t xml:space="preserve">30. </w:t>
      </w:r>
      <w:r w:rsidRPr="007274EE">
        <w:rPr>
          <w:rFonts w:ascii="Palatino Linotype" w:hAnsi="Palatino Linotype" w:cs="Times New Roman"/>
          <w:noProof/>
          <w:szCs w:val="24"/>
          <w:lang w:val="en-GB"/>
        </w:rPr>
        <w:tab/>
        <w:t>Beaudart C, Sanchez-Rodriguez D, Locquet M, et al (2019) Malnutrition as a Strong Predictor of the Onset of Sarcopenia. Nutrients 11:2883. doi: 10.3390/nu11122883</w:t>
      </w:r>
    </w:p>
    <w:p w14:paraId="7EEEE0D8" w14:textId="77777777" w:rsidR="009D3AAF" w:rsidRPr="007274EE" w:rsidRDefault="009D3AAF" w:rsidP="009D3AAF">
      <w:pPr>
        <w:widowControl w:val="0"/>
        <w:autoSpaceDE w:val="0"/>
        <w:autoSpaceDN w:val="0"/>
        <w:adjustRightInd w:val="0"/>
        <w:spacing w:line="240" w:lineRule="auto"/>
        <w:ind w:left="640" w:hanging="640"/>
        <w:rPr>
          <w:rFonts w:ascii="Palatino Linotype" w:hAnsi="Palatino Linotype" w:cs="Times New Roman"/>
          <w:noProof/>
          <w:szCs w:val="24"/>
          <w:lang w:val="en-GB"/>
        </w:rPr>
      </w:pPr>
      <w:r w:rsidRPr="007274EE">
        <w:rPr>
          <w:rFonts w:ascii="Palatino Linotype" w:hAnsi="Palatino Linotype" w:cs="Times New Roman"/>
          <w:noProof/>
          <w:szCs w:val="24"/>
          <w:lang w:val="en-GB"/>
        </w:rPr>
        <w:t xml:space="preserve">31. </w:t>
      </w:r>
      <w:r w:rsidRPr="007274EE">
        <w:rPr>
          <w:rFonts w:ascii="Palatino Linotype" w:hAnsi="Palatino Linotype" w:cs="Times New Roman"/>
          <w:noProof/>
          <w:szCs w:val="24"/>
          <w:lang w:val="en-GB"/>
        </w:rPr>
        <w:tab/>
        <w:t>Delanaye P, Bataille S, Quinonez K, et al (2019) Myostatin and Insulin-Like Growth Factor 1 Are Biomarkers of Muscle Strength, Muscle Mass, and Mortality in Patients on Hemodialysis. J Ren Nutr 29:511–520. doi: 10.1053/j.jrn.2018.11.010</w:t>
      </w:r>
    </w:p>
    <w:p w14:paraId="2D34B41C" w14:textId="77777777" w:rsidR="009D3AAF" w:rsidRPr="007274EE" w:rsidRDefault="009D3AAF" w:rsidP="009D3AAF">
      <w:pPr>
        <w:widowControl w:val="0"/>
        <w:autoSpaceDE w:val="0"/>
        <w:autoSpaceDN w:val="0"/>
        <w:adjustRightInd w:val="0"/>
        <w:spacing w:line="240" w:lineRule="auto"/>
        <w:ind w:left="640" w:hanging="640"/>
        <w:rPr>
          <w:rFonts w:ascii="Palatino Linotype" w:hAnsi="Palatino Linotype" w:cs="Times New Roman"/>
          <w:noProof/>
          <w:szCs w:val="24"/>
          <w:lang w:val="en-GB"/>
        </w:rPr>
      </w:pPr>
      <w:r w:rsidRPr="007274EE">
        <w:rPr>
          <w:rFonts w:ascii="Palatino Linotype" w:hAnsi="Palatino Linotype" w:cs="Times New Roman"/>
          <w:noProof/>
          <w:szCs w:val="24"/>
          <w:lang w:val="en-GB"/>
        </w:rPr>
        <w:t xml:space="preserve">32. </w:t>
      </w:r>
      <w:r w:rsidRPr="007274EE">
        <w:rPr>
          <w:rFonts w:ascii="Palatino Linotype" w:hAnsi="Palatino Linotype" w:cs="Times New Roman"/>
          <w:noProof/>
          <w:szCs w:val="24"/>
          <w:lang w:val="en-GB"/>
        </w:rPr>
        <w:tab/>
        <w:t>Beaudart C, McCloskey E, Bruyère O, et al (2016) Sarcopenia in daily practice: assessment and management. BMC Geriatr 16:170. doi: 10.1186/s12877-016-0349-4</w:t>
      </w:r>
    </w:p>
    <w:p w14:paraId="59EE508A" w14:textId="77777777" w:rsidR="009D3AAF" w:rsidRPr="007274EE" w:rsidRDefault="009D3AAF" w:rsidP="009D3AAF">
      <w:pPr>
        <w:widowControl w:val="0"/>
        <w:autoSpaceDE w:val="0"/>
        <w:autoSpaceDN w:val="0"/>
        <w:adjustRightInd w:val="0"/>
        <w:spacing w:line="240" w:lineRule="auto"/>
        <w:ind w:left="640" w:hanging="640"/>
        <w:rPr>
          <w:rFonts w:ascii="Palatino Linotype" w:hAnsi="Palatino Linotype" w:cs="Times New Roman"/>
          <w:noProof/>
          <w:szCs w:val="24"/>
          <w:lang w:val="en-GB"/>
        </w:rPr>
      </w:pPr>
      <w:r w:rsidRPr="007274EE">
        <w:rPr>
          <w:rFonts w:ascii="Palatino Linotype" w:hAnsi="Palatino Linotype" w:cs="Times New Roman"/>
          <w:noProof/>
          <w:szCs w:val="24"/>
          <w:lang w:val="en-GB"/>
        </w:rPr>
        <w:t xml:space="preserve">33. </w:t>
      </w:r>
      <w:r w:rsidRPr="007274EE">
        <w:rPr>
          <w:rFonts w:ascii="Palatino Linotype" w:hAnsi="Palatino Linotype" w:cs="Times New Roman"/>
          <w:noProof/>
          <w:szCs w:val="24"/>
          <w:lang w:val="en-GB"/>
        </w:rPr>
        <w:tab/>
        <w:t>Veronese N, Demurtas J, Soysal P, et al (2019) Sarcopenia and health-related outcomes: an umbrella review of observational studies. Eur Geriatr Med 10:853–862. doi: 10.1007/s41999-019-00233-w</w:t>
      </w:r>
    </w:p>
    <w:p w14:paraId="2694AB15" w14:textId="77777777" w:rsidR="009D3AAF" w:rsidRPr="007274EE" w:rsidRDefault="009D3AAF" w:rsidP="009D3AAF">
      <w:pPr>
        <w:widowControl w:val="0"/>
        <w:autoSpaceDE w:val="0"/>
        <w:autoSpaceDN w:val="0"/>
        <w:adjustRightInd w:val="0"/>
        <w:spacing w:line="240" w:lineRule="auto"/>
        <w:ind w:left="640" w:hanging="640"/>
        <w:rPr>
          <w:rFonts w:ascii="Palatino Linotype" w:hAnsi="Palatino Linotype" w:cs="Times New Roman"/>
          <w:noProof/>
          <w:szCs w:val="24"/>
          <w:lang w:val="en-GB"/>
        </w:rPr>
      </w:pPr>
      <w:r w:rsidRPr="007274EE">
        <w:rPr>
          <w:rFonts w:ascii="Palatino Linotype" w:hAnsi="Palatino Linotype" w:cs="Times New Roman"/>
          <w:noProof/>
          <w:szCs w:val="24"/>
          <w:lang w:val="en-GB"/>
        </w:rPr>
        <w:t xml:space="preserve">34. </w:t>
      </w:r>
      <w:r w:rsidRPr="007274EE">
        <w:rPr>
          <w:rFonts w:ascii="Palatino Linotype" w:hAnsi="Palatino Linotype" w:cs="Times New Roman"/>
          <w:noProof/>
          <w:szCs w:val="24"/>
          <w:lang w:val="en-GB"/>
        </w:rPr>
        <w:tab/>
        <w:t>de Wit M, Cooper C, Reginster JY (2019) Practical guidance for patient-centred health research. Lancet 393:1095–1096. doi: 10.1016/S0140-6736(19)30034-0</w:t>
      </w:r>
    </w:p>
    <w:p w14:paraId="3073FC27" w14:textId="77777777" w:rsidR="009D3AAF" w:rsidRPr="007274EE" w:rsidRDefault="009D3AAF" w:rsidP="009D3AAF">
      <w:pPr>
        <w:widowControl w:val="0"/>
        <w:autoSpaceDE w:val="0"/>
        <w:autoSpaceDN w:val="0"/>
        <w:adjustRightInd w:val="0"/>
        <w:spacing w:line="240" w:lineRule="auto"/>
        <w:ind w:left="640" w:hanging="640"/>
        <w:rPr>
          <w:rFonts w:ascii="Palatino Linotype" w:hAnsi="Palatino Linotype" w:cs="Times New Roman"/>
          <w:noProof/>
          <w:szCs w:val="24"/>
          <w:lang w:val="en-GB"/>
        </w:rPr>
      </w:pPr>
      <w:r w:rsidRPr="007274EE">
        <w:rPr>
          <w:rFonts w:ascii="Palatino Linotype" w:hAnsi="Palatino Linotype" w:cs="Times New Roman"/>
          <w:noProof/>
          <w:szCs w:val="24"/>
          <w:lang w:val="en-GB"/>
        </w:rPr>
        <w:t xml:space="preserve">35. </w:t>
      </w:r>
      <w:r w:rsidRPr="007274EE">
        <w:rPr>
          <w:rFonts w:ascii="Palatino Linotype" w:hAnsi="Palatino Linotype" w:cs="Times New Roman"/>
          <w:noProof/>
          <w:szCs w:val="24"/>
          <w:lang w:val="en-GB"/>
        </w:rPr>
        <w:tab/>
        <w:t>de Wit M, Cooper C, Tugwell P, et al (2019) Practical guidance for engaging patients in health research, treatment guidelines and regulatory processes: results of an expert group meeting organized by the World Health Organization (WHO) and the European Society for Clinical and Economic Aspects of O. Aging Clin Exp Res. doi: 10.1007/s40520-019-01193-8</w:t>
      </w:r>
    </w:p>
    <w:p w14:paraId="6C9D2E7F" w14:textId="77777777" w:rsidR="009D3AAF" w:rsidRPr="007274EE" w:rsidRDefault="009D3AAF" w:rsidP="009D3AAF">
      <w:pPr>
        <w:widowControl w:val="0"/>
        <w:autoSpaceDE w:val="0"/>
        <w:autoSpaceDN w:val="0"/>
        <w:adjustRightInd w:val="0"/>
        <w:spacing w:line="240" w:lineRule="auto"/>
        <w:ind w:left="640" w:hanging="640"/>
        <w:rPr>
          <w:rFonts w:ascii="Palatino Linotype" w:hAnsi="Palatino Linotype" w:cs="Times New Roman"/>
          <w:noProof/>
          <w:szCs w:val="24"/>
          <w:lang w:val="en-GB"/>
        </w:rPr>
      </w:pPr>
      <w:r w:rsidRPr="007274EE">
        <w:rPr>
          <w:rFonts w:ascii="Palatino Linotype" w:hAnsi="Palatino Linotype" w:cs="Times New Roman"/>
          <w:noProof/>
          <w:szCs w:val="24"/>
          <w:lang w:val="en-GB"/>
        </w:rPr>
        <w:t xml:space="preserve">36. </w:t>
      </w:r>
      <w:r w:rsidRPr="007274EE">
        <w:rPr>
          <w:rFonts w:ascii="Palatino Linotype" w:hAnsi="Palatino Linotype" w:cs="Times New Roman"/>
          <w:noProof/>
          <w:szCs w:val="24"/>
          <w:lang w:val="en-GB"/>
        </w:rPr>
        <w:tab/>
        <w:t>Mercieca-Bebber R, King MT, Calvert MJ, et al (2018) The importance of patient-reported outcomes in clinical trials and strategies for future optimization. Patient Relat Outcome Meas Volume 9:353–367. doi: 10.2147/prom.s156279</w:t>
      </w:r>
    </w:p>
    <w:p w14:paraId="650D9F2B" w14:textId="77777777" w:rsidR="009D3AAF" w:rsidRPr="007274EE" w:rsidRDefault="009D3AAF" w:rsidP="009D3AAF">
      <w:pPr>
        <w:widowControl w:val="0"/>
        <w:autoSpaceDE w:val="0"/>
        <w:autoSpaceDN w:val="0"/>
        <w:adjustRightInd w:val="0"/>
        <w:spacing w:line="240" w:lineRule="auto"/>
        <w:ind w:left="640" w:hanging="640"/>
        <w:rPr>
          <w:rFonts w:ascii="Palatino Linotype" w:hAnsi="Palatino Linotype" w:cs="Times New Roman"/>
          <w:noProof/>
          <w:szCs w:val="24"/>
          <w:lang w:val="en-GB"/>
        </w:rPr>
      </w:pPr>
      <w:r w:rsidRPr="007274EE">
        <w:rPr>
          <w:rFonts w:ascii="Palatino Linotype" w:hAnsi="Palatino Linotype" w:cs="Times New Roman"/>
          <w:noProof/>
          <w:szCs w:val="24"/>
          <w:lang w:val="en-GB"/>
        </w:rPr>
        <w:t xml:space="preserve">37. </w:t>
      </w:r>
      <w:r w:rsidRPr="007274EE">
        <w:rPr>
          <w:rFonts w:ascii="Palatino Linotype" w:hAnsi="Palatino Linotype" w:cs="Times New Roman"/>
          <w:noProof/>
          <w:szCs w:val="24"/>
          <w:lang w:val="en-GB"/>
        </w:rPr>
        <w:tab/>
        <w:t>Qian HL (2009) Evaluating co-primary endpoints collectively in clinical trials §. Biometrical J 51:137–145. doi: 10.1002/bimj.200710497</w:t>
      </w:r>
    </w:p>
    <w:p w14:paraId="56A01727" w14:textId="77777777" w:rsidR="009D3AAF" w:rsidRPr="007274EE" w:rsidRDefault="009D3AAF" w:rsidP="009D3AAF">
      <w:pPr>
        <w:widowControl w:val="0"/>
        <w:autoSpaceDE w:val="0"/>
        <w:autoSpaceDN w:val="0"/>
        <w:adjustRightInd w:val="0"/>
        <w:spacing w:line="240" w:lineRule="auto"/>
        <w:ind w:left="640" w:hanging="640"/>
        <w:rPr>
          <w:rFonts w:ascii="Palatino Linotype" w:hAnsi="Palatino Linotype" w:cs="Times New Roman"/>
          <w:noProof/>
          <w:szCs w:val="24"/>
          <w:lang w:val="en-GB"/>
        </w:rPr>
      </w:pPr>
      <w:r w:rsidRPr="007274EE">
        <w:rPr>
          <w:rFonts w:ascii="Palatino Linotype" w:hAnsi="Palatino Linotype" w:cs="Times New Roman"/>
          <w:noProof/>
          <w:szCs w:val="24"/>
          <w:lang w:val="en-GB"/>
        </w:rPr>
        <w:t xml:space="preserve">38. </w:t>
      </w:r>
      <w:r w:rsidRPr="007274EE">
        <w:rPr>
          <w:rFonts w:ascii="Palatino Linotype" w:hAnsi="Palatino Linotype" w:cs="Times New Roman"/>
          <w:noProof/>
          <w:szCs w:val="24"/>
          <w:lang w:val="en-GB"/>
        </w:rPr>
        <w:tab/>
        <w:t>McLeod C, Norman R, Litton E, et al (2019) Choosing primary endpoints for clinical trials of health care interventions. Contemp Clin Trials Commun 16:100486. doi: 10.1016/j.conctc.2019.100486</w:t>
      </w:r>
    </w:p>
    <w:p w14:paraId="56A50789" w14:textId="77777777" w:rsidR="009D3AAF" w:rsidRPr="007274EE" w:rsidRDefault="009D3AAF" w:rsidP="009D3AAF">
      <w:pPr>
        <w:widowControl w:val="0"/>
        <w:autoSpaceDE w:val="0"/>
        <w:autoSpaceDN w:val="0"/>
        <w:adjustRightInd w:val="0"/>
        <w:spacing w:line="240" w:lineRule="auto"/>
        <w:ind w:left="640" w:hanging="640"/>
        <w:rPr>
          <w:rFonts w:ascii="Palatino Linotype" w:hAnsi="Palatino Linotype" w:cs="Times New Roman"/>
          <w:noProof/>
          <w:szCs w:val="24"/>
          <w:lang w:val="en-GB"/>
        </w:rPr>
      </w:pPr>
      <w:r w:rsidRPr="007274EE">
        <w:rPr>
          <w:rFonts w:ascii="Palatino Linotype" w:hAnsi="Palatino Linotype" w:cs="Times New Roman"/>
          <w:noProof/>
          <w:szCs w:val="24"/>
          <w:lang w:val="en-GB"/>
        </w:rPr>
        <w:t xml:space="preserve">39. </w:t>
      </w:r>
      <w:r w:rsidRPr="007274EE">
        <w:rPr>
          <w:rFonts w:ascii="Palatino Linotype" w:hAnsi="Palatino Linotype" w:cs="Times New Roman"/>
          <w:noProof/>
          <w:szCs w:val="24"/>
          <w:lang w:val="en-GB"/>
        </w:rPr>
        <w:tab/>
        <w:t>Tsekoura M, Billis E, Tsepis E, et al (2018) The Effects of Group and Home-Based Exercise Programs in Elderly with Sarcopenia: A Randomized Controlled Trial. J Clin Med 7:480. doi: 10.3390/jcm7120480</w:t>
      </w:r>
    </w:p>
    <w:p w14:paraId="141F00D8" w14:textId="77777777" w:rsidR="009D3AAF" w:rsidRPr="007274EE" w:rsidRDefault="009D3AAF" w:rsidP="009D3AAF">
      <w:pPr>
        <w:widowControl w:val="0"/>
        <w:autoSpaceDE w:val="0"/>
        <w:autoSpaceDN w:val="0"/>
        <w:adjustRightInd w:val="0"/>
        <w:spacing w:line="240" w:lineRule="auto"/>
        <w:ind w:left="640" w:hanging="640"/>
        <w:rPr>
          <w:rFonts w:ascii="Palatino Linotype" w:hAnsi="Palatino Linotype" w:cs="Times New Roman"/>
          <w:noProof/>
          <w:szCs w:val="24"/>
          <w:lang w:val="en-GB"/>
        </w:rPr>
      </w:pPr>
      <w:r w:rsidRPr="007274EE">
        <w:rPr>
          <w:rFonts w:ascii="Palatino Linotype" w:hAnsi="Palatino Linotype" w:cs="Times New Roman"/>
          <w:noProof/>
          <w:szCs w:val="24"/>
          <w:lang w:val="en-GB"/>
        </w:rPr>
        <w:t xml:space="preserve">40. </w:t>
      </w:r>
      <w:r w:rsidRPr="007274EE">
        <w:rPr>
          <w:rFonts w:ascii="Palatino Linotype" w:hAnsi="Palatino Linotype" w:cs="Times New Roman"/>
          <w:noProof/>
          <w:szCs w:val="24"/>
          <w:lang w:val="en-GB"/>
        </w:rPr>
        <w:tab/>
        <w:t>Geerinck A, Bruyere O, Locquet M, et al (2018) Evaluation of the Responsiveness of the SarQoL((R)) Questionnaire, a Patient-Reported Outcome Measure Specific to Sarcopenia. Adv Ther 35:1842–1858. doi: 10.1007/s12325-018-0820-z</w:t>
      </w:r>
    </w:p>
    <w:p w14:paraId="04700B6E" w14:textId="77777777" w:rsidR="009D3AAF" w:rsidRPr="007274EE" w:rsidRDefault="009D3AAF" w:rsidP="009D3AAF">
      <w:pPr>
        <w:widowControl w:val="0"/>
        <w:autoSpaceDE w:val="0"/>
        <w:autoSpaceDN w:val="0"/>
        <w:adjustRightInd w:val="0"/>
        <w:spacing w:line="240" w:lineRule="auto"/>
        <w:ind w:left="640" w:hanging="640"/>
        <w:rPr>
          <w:rFonts w:ascii="Palatino Linotype" w:hAnsi="Palatino Linotype" w:cs="Times New Roman"/>
          <w:noProof/>
          <w:szCs w:val="24"/>
          <w:lang w:val="en-GB"/>
        </w:rPr>
      </w:pPr>
      <w:r w:rsidRPr="007274EE">
        <w:rPr>
          <w:rFonts w:ascii="Palatino Linotype" w:hAnsi="Palatino Linotype" w:cs="Times New Roman"/>
          <w:noProof/>
          <w:szCs w:val="24"/>
          <w:lang w:val="en-GB"/>
        </w:rPr>
        <w:t xml:space="preserve">41. </w:t>
      </w:r>
      <w:r w:rsidRPr="007274EE">
        <w:rPr>
          <w:rFonts w:ascii="Palatino Linotype" w:hAnsi="Palatino Linotype" w:cs="Times New Roman"/>
          <w:noProof/>
          <w:szCs w:val="24"/>
          <w:lang w:val="en-GB"/>
        </w:rPr>
        <w:tab/>
        <w:t>Kwon S, Perera S, Pahor M, et al (2009) What is a meaningful change in physical performance? Findings from a clinical trial in older adults (The LIFE-P study). J Nutr Heal Aging 13:538–544. doi: 10.1007/s12603-009-0104-z</w:t>
      </w:r>
    </w:p>
    <w:p w14:paraId="59732DD6" w14:textId="77777777" w:rsidR="009D3AAF" w:rsidRPr="007274EE" w:rsidRDefault="009D3AAF" w:rsidP="009D3AAF">
      <w:pPr>
        <w:widowControl w:val="0"/>
        <w:autoSpaceDE w:val="0"/>
        <w:autoSpaceDN w:val="0"/>
        <w:adjustRightInd w:val="0"/>
        <w:spacing w:line="240" w:lineRule="auto"/>
        <w:ind w:left="640" w:hanging="640"/>
        <w:rPr>
          <w:rFonts w:ascii="Palatino Linotype" w:hAnsi="Palatino Linotype" w:cs="Times New Roman"/>
          <w:noProof/>
          <w:szCs w:val="24"/>
          <w:lang w:val="en-GB"/>
        </w:rPr>
      </w:pPr>
      <w:r w:rsidRPr="007274EE">
        <w:rPr>
          <w:rFonts w:ascii="Palatino Linotype" w:hAnsi="Palatino Linotype" w:cs="Times New Roman"/>
          <w:noProof/>
          <w:szCs w:val="24"/>
          <w:lang w:val="en-GB"/>
        </w:rPr>
        <w:t xml:space="preserve">42. </w:t>
      </w:r>
      <w:r w:rsidRPr="007274EE">
        <w:rPr>
          <w:rFonts w:ascii="Palatino Linotype" w:hAnsi="Palatino Linotype" w:cs="Times New Roman"/>
          <w:noProof/>
          <w:szCs w:val="24"/>
          <w:lang w:val="en-GB"/>
        </w:rPr>
        <w:tab/>
        <w:t>Vestergaard S, Patel K V., Bandinelli S, et al (2009) Characteristics of 400-meter walk test performance and subsequent mortality in older adults. Rejuvenation Res 12:177–84. doi: 10.1089/rej.2009.0853</w:t>
      </w:r>
    </w:p>
    <w:p w14:paraId="32B25165" w14:textId="77777777" w:rsidR="009D3AAF" w:rsidRPr="007274EE" w:rsidRDefault="009D3AAF" w:rsidP="009D3AAF">
      <w:pPr>
        <w:widowControl w:val="0"/>
        <w:autoSpaceDE w:val="0"/>
        <w:autoSpaceDN w:val="0"/>
        <w:adjustRightInd w:val="0"/>
        <w:spacing w:line="240" w:lineRule="auto"/>
        <w:ind w:left="640" w:hanging="640"/>
        <w:rPr>
          <w:rFonts w:ascii="Palatino Linotype" w:hAnsi="Palatino Linotype" w:cs="Times New Roman"/>
          <w:noProof/>
          <w:szCs w:val="24"/>
          <w:lang w:val="en-GB"/>
        </w:rPr>
      </w:pPr>
      <w:r w:rsidRPr="007274EE">
        <w:rPr>
          <w:rFonts w:ascii="Palatino Linotype" w:hAnsi="Palatino Linotype" w:cs="Times New Roman"/>
          <w:noProof/>
          <w:szCs w:val="24"/>
          <w:lang w:val="en-GB"/>
        </w:rPr>
        <w:t xml:space="preserve">43. </w:t>
      </w:r>
      <w:r w:rsidRPr="007274EE">
        <w:rPr>
          <w:rFonts w:ascii="Palatino Linotype" w:hAnsi="Palatino Linotype" w:cs="Times New Roman"/>
          <w:noProof/>
          <w:szCs w:val="24"/>
          <w:lang w:val="en-GB"/>
        </w:rPr>
        <w:tab/>
        <w:t>Newman AB, Simonsick EM, Naydeck BL, et al (2006) Association of long-distance corridor walk performance with mortality, cardiovascular disease, mobility limitation, and disability. JAMA 295:2018–26. doi: 10.1001/jama.295.17.2018</w:t>
      </w:r>
    </w:p>
    <w:p w14:paraId="7DE963AF" w14:textId="77777777" w:rsidR="009D3AAF" w:rsidRPr="007274EE" w:rsidRDefault="009D3AAF" w:rsidP="009D3AAF">
      <w:pPr>
        <w:widowControl w:val="0"/>
        <w:autoSpaceDE w:val="0"/>
        <w:autoSpaceDN w:val="0"/>
        <w:adjustRightInd w:val="0"/>
        <w:spacing w:line="240" w:lineRule="auto"/>
        <w:ind w:left="640" w:hanging="640"/>
        <w:rPr>
          <w:rFonts w:ascii="Palatino Linotype" w:hAnsi="Palatino Linotype" w:cs="Times New Roman"/>
          <w:noProof/>
          <w:szCs w:val="24"/>
          <w:lang w:val="en-GB"/>
        </w:rPr>
      </w:pPr>
      <w:r w:rsidRPr="007274EE">
        <w:rPr>
          <w:rFonts w:ascii="Palatino Linotype" w:hAnsi="Palatino Linotype" w:cs="Times New Roman"/>
          <w:noProof/>
          <w:szCs w:val="24"/>
          <w:lang w:val="en-GB"/>
        </w:rPr>
        <w:t xml:space="preserve">44. </w:t>
      </w:r>
      <w:r w:rsidRPr="007274EE">
        <w:rPr>
          <w:rFonts w:ascii="Palatino Linotype" w:hAnsi="Palatino Linotype" w:cs="Times New Roman"/>
          <w:noProof/>
          <w:szCs w:val="24"/>
          <w:lang w:val="en-GB"/>
        </w:rPr>
        <w:tab/>
        <w:t>Hardy SE, Kang Y, Studenski SA, Degenholtz HB (2011) Ability to walk 1/4 mile predicts subsequent disability, mortality, and health care costs. J Gen Intern Med 26:130–5. doi: 10.1007/s11606-010-1543-2</w:t>
      </w:r>
    </w:p>
    <w:p w14:paraId="7DA22229" w14:textId="77777777" w:rsidR="009D3AAF" w:rsidRPr="007274EE" w:rsidRDefault="009D3AAF" w:rsidP="009D3AAF">
      <w:pPr>
        <w:widowControl w:val="0"/>
        <w:autoSpaceDE w:val="0"/>
        <w:autoSpaceDN w:val="0"/>
        <w:adjustRightInd w:val="0"/>
        <w:spacing w:line="240" w:lineRule="auto"/>
        <w:ind w:left="640" w:hanging="640"/>
        <w:rPr>
          <w:rFonts w:ascii="Palatino Linotype" w:hAnsi="Palatino Linotype" w:cs="Times New Roman"/>
          <w:noProof/>
          <w:szCs w:val="24"/>
          <w:lang w:val="en-GB"/>
        </w:rPr>
      </w:pPr>
      <w:r w:rsidRPr="007274EE">
        <w:rPr>
          <w:rFonts w:ascii="Palatino Linotype" w:hAnsi="Palatino Linotype" w:cs="Times New Roman"/>
          <w:noProof/>
          <w:szCs w:val="24"/>
          <w:lang w:val="en-GB"/>
        </w:rPr>
        <w:t xml:space="preserve">45. </w:t>
      </w:r>
      <w:r w:rsidRPr="007274EE">
        <w:rPr>
          <w:rFonts w:ascii="Palatino Linotype" w:hAnsi="Palatino Linotype" w:cs="Times New Roman"/>
          <w:noProof/>
          <w:szCs w:val="24"/>
          <w:lang w:val="en-GB"/>
        </w:rPr>
        <w:tab/>
        <w:t>Vasunilashorn S, Coppin AK, Patel K V., et al (2009) Use of the Short Physical Performance Battery Score to Predict Loss of Ability to Walk 400 Meters: Analysis From the InCHIANTI Study. Journals Gerontol Ser A Biol Sci Med Sci 64A:223–229. doi: 10.1093/gerona/gln022</w:t>
      </w:r>
    </w:p>
    <w:p w14:paraId="50058D2F" w14:textId="77777777" w:rsidR="009D3AAF" w:rsidRPr="007274EE" w:rsidRDefault="009D3AAF" w:rsidP="009D3AAF">
      <w:pPr>
        <w:widowControl w:val="0"/>
        <w:autoSpaceDE w:val="0"/>
        <w:autoSpaceDN w:val="0"/>
        <w:adjustRightInd w:val="0"/>
        <w:spacing w:line="240" w:lineRule="auto"/>
        <w:ind w:left="640" w:hanging="640"/>
        <w:rPr>
          <w:rFonts w:ascii="Palatino Linotype" w:hAnsi="Palatino Linotype" w:cs="Times New Roman"/>
          <w:noProof/>
          <w:szCs w:val="24"/>
          <w:lang w:val="en-GB"/>
        </w:rPr>
      </w:pPr>
      <w:r w:rsidRPr="007274EE">
        <w:rPr>
          <w:rFonts w:ascii="Palatino Linotype" w:hAnsi="Palatino Linotype" w:cs="Times New Roman"/>
          <w:noProof/>
          <w:szCs w:val="24"/>
          <w:lang w:val="en-GB"/>
        </w:rPr>
        <w:t xml:space="preserve">46. </w:t>
      </w:r>
      <w:r w:rsidRPr="007274EE">
        <w:rPr>
          <w:rFonts w:ascii="Palatino Linotype" w:hAnsi="Palatino Linotype" w:cs="Times New Roman"/>
          <w:noProof/>
          <w:szCs w:val="24"/>
          <w:lang w:val="en-GB"/>
        </w:rPr>
        <w:tab/>
        <w:t>Cesari M, Onder G, Zamboni V, et al (2008) Physical function and self-rated health status as predictors of mortality: results from longitudinal analysis in the ilSIRENTE study. BMC Geriatr 8:34. doi: 10.1186/1471-2318-8-34</w:t>
      </w:r>
    </w:p>
    <w:p w14:paraId="00061B85" w14:textId="77777777" w:rsidR="009D3AAF" w:rsidRPr="007274EE" w:rsidRDefault="009D3AAF" w:rsidP="009D3AAF">
      <w:pPr>
        <w:widowControl w:val="0"/>
        <w:autoSpaceDE w:val="0"/>
        <w:autoSpaceDN w:val="0"/>
        <w:adjustRightInd w:val="0"/>
        <w:spacing w:line="240" w:lineRule="auto"/>
        <w:ind w:left="640" w:hanging="640"/>
        <w:rPr>
          <w:rFonts w:ascii="Palatino Linotype" w:hAnsi="Palatino Linotype" w:cs="Times New Roman"/>
          <w:noProof/>
          <w:szCs w:val="24"/>
          <w:lang w:val="en-GB"/>
        </w:rPr>
      </w:pPr>
      <w:r w:rsidRPr="007274EE">
        <w:rPr>
          <w:rFonts w:ascii="Palatino Linotype" w:hAnsi="Palatino Linotype" w:cs="Times New Roman"/>
          <w:noProof/>
          <w:szCs w:val="24"/>
          <w:lang w:val="en-GB"/>
        </w:rPr>
        <w:t xml:space="preserve">47. </w:t>
      </w:r>
      <w:r w:rsidRPr="007274EE">
        <w:rPr>
          <w:rFonts w:ascii="Palatino Linotype" w:hAnsi="Palatino Linotype" w:cs="Times New Roman"/>
          <w:noProof/>
          <w:szCs w:val="24"/>
          <w:lang w:val="en-GB"/>
        </w:rPr>
        <w:tab/>
        <w:t>Hedman S, Nydahl M, Faxén-Irving G (2016) Individually prescribed diet is fundamental to optimize nutritional treatment in geriatric patients. Clin Nutr 35:692–698. doi: 10.1016/j.clnu.2015.04.018</w:t>
      </w:r>
    </w:p>
    <w:p w14:paraId="055A6FD2" w14:textId="77777777" w:rsidR="009D3AAF" w:rsidRPr="007274EE" w:rsidRDefault="009D3AAF" w:rsidP="009D3AAF">
      <w:pPr>
        <w:widowControl w:val="0"/>
        <w:autoSpaceDE w:val="0"/>
        <w:autoSpaceDN w:val="0"/>
        <w:adjustRightInd w:val="0"/>
        <w:spacing w:line="240" w:lineRule="auto"/>
        <w:ind w:left="640" w:hanging="640"/>
        <w:rPr>
          <w:rFonts w:ascii="Palatino Linotype" w:hAnsi="Palatino Linotype" w:cs="Times New Roman"/>
          <w:noProof/>
          <w:szCs w:val="24"/>
          <w:lang w:val="en-GB"/>
        </w:rPr>
      </w:pPr>
      <w:r w:rsidRPr="007274EE">
        <w:rPr>
          <w:rFonts w:ascii="Palatino Linotype" w:hAnsi="Palatino Linotype" w:cs="Times New Roman"/>
          <w:noProof/>
          <w:szCs w:val="24"/>
          <w:lang w:val="en-GB"/>
        </w:rPr>
        <w:t xml:space="preserve">48. </w:t>
      </w:r>
      <w:r w:rsidRPr="007274EE">
        <w:rPr>
          <w:rFonts w:ascii="Palatino Linotype" w:hAnsi="Palatino Linotype" w:cs="Times New Roman"/>
          <w:noProof/>
          <w:szCs w:val="24"/>
          <w:lang w:val="en-GB"/>
        </w:rPr>
        <w:tab/>
        <w:t>Hiligsmann M, Beaudart C, Bruyère O, et al (2019) Outcome Priorities for Older Persons With Sarcopenia. J Am Med Dir Assoc. doi: 10.1016/j.jamda.2019.08.026</w:t>
      </w:r>
    </w:p>
    <w:p w14:paraId="79808F19" w14:textId="77777777" w:rsidR="009D3AAF" w:rsidRPr="007274EE" w:rsidRDefault="009D3AAF" w:rsidP="009D3AAF">
      <w:pPr>
        <w:widowControl w:val="0"/>
        <w:autoSpaceDE w:val="0"/>
        <w:autoSpaceDN w:val="0"/>
        <w:adjustRightInd w:val="0"/>
        <w:spacing w:line="240" w:lineRule="auto"/>
        <w:ind w:left="640" w:hanging="640"/>
        <w:rPr>
          <w:rFonts w:ascii="Palatino Linotype" w:hAnsi="Palatino Linotype" w:cs="Times New Roman"/>
          <w:noProof/>
          <w:szCs w:val="24"/>
          <w:lang w:val="en-GB"/>
        </w:rPr>
      </w:pPr>
      <w:r w:rsidRPr="007274EE">
        <w:rPr>
          <w:rFonts w:ascii="Palatino Linotype" w:hAnsi="Palatino Linotype" w:cs="Times New Roman"/>
          <w:noProof/>
          <w:szCs w:val="24"/>
          <w:lang w:val="en-GB"/>
        </w:rPr>
        <w:t xml:space="preserve">49. </w:t>
      </w:r>
      <w:r w:rsidRPr="007274EE">
        <w:rPr>
          <w:rFonts w:ascii="Palatino Linotype" w:hAnsi="Palatino Linotype" w:cs="Times New Roman"/>
          <w:noProof/>
          <w:szCs w:val="24"/>
          <w:lang w:val="en-GB"/>
        </w:rPr>
        <w:tab/>
        <w:t>Evans CJ, Chiou C-F, Fitzgerald KA, et al (2011) Development of a new patient-reported outcome measure in sarcopenia. J Am Med Dir Assoc 12:226–33. doi: 10.1016/j.jamda.2010.09.010</w:t>
      </w:r>
    </w:p>
    <w:p w14:paraId="53FEA856" w14:textId="77777777" w:rsidR="009D3AAF" w:rsidRPr="007274EE" w:rsidRDefault="009D3AAF" w:rsidP="009D3AAF">
      <w:pPr>
        <w:widowControl w:val="0"/>
        <w:autoSpaceDE w:val="0"/>
        <w:autoSpaceDN w:val="0"/>
        <w:adjustRightInd w:val="0"/>
        <w:spacing w:line="240" w:lineRule="auto"/>
        <w:ind w:left="640" w:hanging="640"/>
        <w:rPr>
          <w:rFonts w:ascii="Palatino Linotype" w:hAnsi="Palatino Linotype" w:cs="Times New Roman"/>
          <w:noProof/>
          <w:szCs w:val="24"/>
          <w:lang w:val="en-GB"/>
        </w:rPr>
      </w:pPr>
      <w:r w:rsidRPr="007274EE">
        <w:rPr>
          <w:rFonts w:ascii="Palatino Linotype" w:hAnsi="Palatino Linotype" w:cs="Times New Roman"/>
          <w:noProof/>
          <w:szCs w:val="24"/>
          <w:lang w:val="en-GB"/>
        </w:rPr>
        <w:t xml:space="preserve">50. </w:t>
      </w:r>
      <w:r w:rsidRPr="007274EE">
        <w:rPr>
          <w:rFonts w:ascii="Palatino Linotype" w:hAnsi="Palatino Linotype" w:cs="Times New Roman"/>
          <w:noProof/>
          <w:szCs w:val="24"/>
          <w:lang w:val="en-GB"/>
        </w:rPr>
        <w:tab/>
        <w:t>Beaudart C, Biver E, Reginster J-Y, et al (2015) Development of a self-administrated quality of life questionnaire for sarcopenia in elderly subjects: the SarQoL. Age Ageing 44:960–966. doi: 10.1093/ageing/afv133</w:t>
      </w:r>
    </w:p>
    <w:p w14:paraId="6B8CD56A" w14:textId="77777777" w:rsidR="009D3AAF" w:rsidRPr="007274EE" w:rsidRDefault="009D3AAF" w:rsidP="009D3AAF">
      <w:pPr>
        <w:widowControl w:val="0"/>
        <w:autoSpaceDE w:val="0"/>
        <w:autoSpaceDN w:val="0"/>
        <w:adjustRightInd w:val="0"/>
        <w:spacing w:line="240" w:lineRule="auto"/>
        <w:ind w:left="640" w:hanging="640"/>
        <w:rPr>
          <w:rFonts w:ascii="Palatino Linotype" w:hAnsi="Palatino Linotype" w:cs="Times New Roman"/>
          <w:noProof/>
          <w:szCs w:val="24"/>
          <w:lang w:val="en-GB"/>
        </w:rPr>
      </w:pPr>
      <w:r w:rsidRPr="007274EE">
        <w:rPr>
          <w:rFonts w:ascii="Palatino Linotype" w:hAnsi="Palatino Linotype" w:cs="Times New Roman"/>
          <w:noProof/>
          <w:szCs w:val="24"/>
          <w:lang w:val="en-GB"/>
        </w:rPr>
        <w:t xml:space="preserve">51. </w:t>
      </w:r>
      <w:r w:rsidRPr="007274EE">
        <w:rPr>
          <w:rFonts w:ascii="Palatino Linotype" w:hAnsi="Palatino Linotype" w:cs="Times New Roman"/>
          <w:noProof/>
          <w:szCs w:val="24"/>
          <w:lang w:val="en-GB"/>
        </w:rPr>
        <w:tab/>
        <w:t>Beaudart C, Biver E, Reginster J-Y, et al (2017) Validation of the SarQoL®, a specific health-related quality of life questionnaire for Sarcopenia. J Cachexia Sarcopenia Muscle. doi: 10.1002/jcsm.12149</w:t>
      </w:r>
    </w:p>
    <w:p w14:paraId="14E42C1C" w14:textId="77777777" w:rsidR="009D3AAF" w:rsidRPr="007274EE" w:rsidRDefault="009D3AAF" w:rsidP="009D3AAF">
      <w:pPr>
        <w:widowControl w:val="0"/>
        <w:autoSpaceDE w:val="0"/>
        <w:autoSpaceDN w:val="0"/>
        <w:adjustRightInd w:val="0"/>
        <w:spacing w:line="240" w:lineRule="auto"/>
        <w:ind w:left="640" w:hanging="640"/>
        <w:rPr>
          <w:rFonts w:ascii="Palatino Linotype" w:hAnsi="Palatino Linotype" w:cs="Times New Roman"/>
          <w:noProof/>
          <w:szCs w:val="24"/>
          <w:lang w:val="en-GB"/>
        </w:rPr>
      </w:pPr>
      <w:r w:rsidRPr="007274EE">
        <w:rPr>
          <w:rFonts w:ascii="Palatino Linotype" w:hAnsi="Palatino Linotype" w:cs="Times New Roman"/>
          <w:noProof/>
          <w:szCs w:val="24"/>
          <w:lang w:val="en-GB"/>
        </w:rPr>
        <w:t xml:space="preserve">52. </w:t>
      </w:r>
      <w:r w:rsidRPr="007274EE">
        <w:rPr>
          <w:rFonts w:ascii="Palatino Linotype" w:hAnsi="Palatino Linotype" w:cs="Times New Roman"/>
          <w:noProof/>
          <w:szCs w:val="24"/>
          <w:lang w:val="en-GB"/>
        </w:rPr>
        <w:tab/>
        <w:t>Geerinck A, Alekna V, Beaudart C, et al (2019) Standard error of measurement and smallest detectable change of the Sarcopenia Quality of Life (Sarqol) questionnaire: An analysis of subjects from 9 validation studies. PLoS One 14:e0216065. doi: 10.1371/journal.pone.0216065</w:t>
      </w:r>
    </w:p>
    <w:p w14:paraId="107CF788" w14:textId="77777777" w:rsidR="009D3AAF" w:rsidRPr="007274EE" w:rsidRDefault="009D3AAF" w:rsidP="009D3AAF">
      <w:pPr>
        <w:widowControl w:val="0"/>
        <w:autoSpaceDE w:val="0"/>
        <w:autoSpaceDN w:val="0"/>
        <w:adjustRightInd w:val="0"/>
        <w:spacing w:line="240" w:lineRule="auto"/>
        <w:ind w:left="640" w:hanging="640"/>
        <w:rPr>
          <w:rFonts w:ascii="Palatino Linotype" w:hAnsi="Palatino Linotype" w:cs="Times New Roman"/>
          <w:noProof/>
          <w:szCs w:val="24"/>
          <w:lang w:val="en-GB"/>
        </w:rPr>
      </w:pPr>
      <w:r w:rsidRPr="007274EE">
        <w:rPr>
          <w:rFonts w:ascii="Palatino Linotype" w:hAnsi="Palatino Linotype" w:cs="Times New Roman"/>
          <w:noProof/>
          <w:szCs w:val="24"/>
          <w:lang w:val="en-GB"/>
        </w:rPr>
        <w:t xml:space="preserve">53. </w:t>
      </w:r>
      <w:r w:rsidRPr="007274EE">
        <w:rPr>
          <w:rFonts w:ascii="Palatino Linotype" w:hAnsi="Palatino Linotype" w:cs="Times New Roman"/>
          <w:noProof/>
          <w:szCs w:val="24"/>
          <w:lang w:val="en-GB"/>
        </w:rPr>
        <w:tab/>
        <w:t>Ader DN (2007) Developing the Patient-Reported Outcomes Measurement Information System (PROMIS). Med Care 45:1–2. doi: 10.1097/01.mlr.0000260537.45076.74</w:t>
      </w:r>
    </w:p>
    <w:p w14:paraId="2530C937" w14:textId="77777777" w:rsidR="009D3AAF" w:rsidRPr="007274EE" w:rsidRDefault="009D3AAF" w:rsidP="009D3AAF">
      <w:pPr>
        <w:widowControl w:val="0"/>
        <w:autoSpaceDE w:val="0"/>
        <w:autoSpaceDN w:val="0"/>
        <w:adjustRightInd w:val="0"/>
        <w:spacing w:line="240" w:lineRule="auto"/>
        <w:ind w:left="640" w:hanging="640"/>
        <w:rPr>
          <w:rFonts w:ascii="Palatino Linotype" w:hAnsi="Palatino Linotype" w:cs="Times New Roman"/>
          <w:noProof/>
          <w:szCs w:val="24"/>
          <w:lang w:val="en-GB"/>
        </w:rPr>
      </w:pPr>
      <w:r w:rsidRPr="007274EE">
        <w:rPr>
          <w:rFonts w:ascii="Palatino Linotype" w:hAnsi="Palatino Linotype" w:cs="Times New Roman"/>
          <w:noProof/>
          <w:szCs w:val="24"/>
          <w:lang w:val="en-GB"/>
        </w:rPr>
        <w:t xml:space="preserve">54. </w:t>
      </w:r>
      <w:r w:rsidRPr="007274EE">
        <w:rPr>
          <w:rFonts w:ascii="Palatino Linotype" w:hAnsi="Palatino Linotype" w:cs="Times New Roman"/>
          <w:noProof/>
          <w:szCs w:val="24"/>
          <w:lang w:val="en-GB"/>
        </w:rPr>
        <w:tab/>
        <w:t xml:space="preserve">Zeeshan B, David C, Jensen S, Shaunfield S Development of a context of use and PROMIS Physical Function outcome assessment for patients with sarcopenia. </w:t>
      </w:r>
    </w:p>
    <w:p w14:paraId="5BA40E48" w14:textId="77777777" w:rsidR="009D3AAF" w:rsidRPr="007274EE" w:rsidRDefault="009D3AAF" w:rsidP="009D3AAF">
      <w:pPr>
        <w:widowControl w:val="0"/>
        <w:autoSpaceDE w:val="0"/>
        <w:autoSpaceDN w:val="0"/>
        <w:adjustRightInd w:val="0"/>
        <w:spacing w:line="240" w:lineRule="auto"/>
        <w:ind w:left="640" w:hanging="640"/>
        <w:rPr>
          <w:rFonts w:ascii="Palatino Linotype" w:hAnsi="Palatino Linotype" w:cs="Times New Roman"/>
          <w:noProof/>
          <w:szCs w:val="24"/>
          <w:lang w:val="en-GB"/>
        </w:rPr>
      </w:pPr>
      <w:r w:rsidRPr="007274EE">
        <w:rPr>
          <w:rFonts w:ascii="Palatino Linotype" w:hAnsi="Palatino Linotype" w:cs="Times New Roman"/>
          <w:noProof/>
          <w:szCs w:val="24"/>
          <w:lang w:val="en-GB"/>
        </w:rPr>
        <w:t xml:space="preserve">55. </w:t>
      </w:r>
      <w:r w:rsidRPr="007274EE">
        <w:rPr>
          <w:rFonts w:ascii="Palatino Linotype" w:hAnsi="Palatino Linotype" w:cs="Times New Roman"/>
          <w:noProof/>
          <w:szCs w:val="24"/>
          <w:lang w:val="en-GB"/>
        </w:rPr>
        <w:tab/>
        <w:t>Bodilsen AC, Juul-Larsen HG, Petersen J, et al (2015) Feasibility and inter-rater reliability of physical performance measures in acutely admitted older medical patients. PLoS One 10:e0118248. doi: 10.1371/journal.pone.0118248</w:t>
      </w:r>
    </w:p>
    <w:p w14:paraId="3FC4CF0D" w14:textId="77777777" w:rsidR="009D3AAF" w:rsidRPr="007274EE" w:rsidRDefault="009D3AAF" w:rsidP="009D3AAF">
      <w:pPr>
        <w:widowControl w:val="0"/>
        <w:autoSpaceDE w:val="0"/>
        <w:autoSpaceDN w:val="0"/>
        <w:adjustRightInd w:val="0"/>
        <w:spacing w:line="240" w:lineRule="auto"/>
        <w:ind w:left="640" w:hanging="640"/>
        <w:rPr>
          <w:rFonts w:ascii="Palatino Linotype" w:hAnsi="Palatino Linotype" w:cs="Times New Roman"/>
          <w:noProof/>
          <w:szCs w:val="24"/>
          <w:lang w:val="en-GB"/>
        </w:rPr>
      </w:pPr>
      <w:r w:rsidRPr="007274EE">
        <w:rPr>
          <w:rFonts w:ascii="Palatino Linotype" w:hAnsi="Palatino Linotype" w:cs="Times New Roman"/>
          <w:noProof/>
          <w:szCs w:val="24"/>
          <w:lang w:val="en-GB"/>
        </w:rPr>
        <w:t xml:space="preserve">56. </w:t>
      </w:r>
      <w:r w:rsidRPr="007274EE">
        <w:rPr>
          <w:rFonts w:ascii="Palatino Linotype" w:hAnsi="Palatino Linotype" w:cs="Times New Roman"/>
          <w:noProof/>
          <w:szCs w:val="24"/>
          <w:lang w:val="en-GB"/>
        </w:rPr>
        <w:tab/>
        <w:t>Roberts HC, Denison HJ, Martin HJ, et al (2011) A review of the measurement of grip strength in clinical and epidemiological studies: towards a standardised approach. Age Ageing 40:423–429. doi: 10.1093/ageing/afr051</w:t>
      </w:r>
    </w:p>
    <w:p w14:paraId="7C47F8F7" w14:textId="77777777" w:rsidR="009D3AAF" w:rsidRPr="007274EE" w:rsidRDefault="009D3AAF" w:rsidP="009D3AAF">
      <w:pPr>
        <w:widowControl w:val="0"/>
        <w:autoSpaceDE w:val="0"/>
        <w:autoSpaceDN w:val="0"/>
        <w:adjustRightInd w:val="0"/>
        <w:spacing w:line="240" w:lineRule="auto"/>
        <w:ind w:left="640" w:hanging="640"/>
        <w:rPr>
          <w:rFonts w:ascii="Palatino Linotype" w:hAnsi="Palatino Linotype" w:cs="Times New Roman"/>
          <w:noProof/>
          <w:szCs w:val="24"/>
          <w:lang w:val="en-GB"/>
        </w:rPr>
      </w:pPr>
      <w:r w:rsidRPr="007274EE">
        <w:rPr>
          <w:rFonts w:ascii="Palatino Linotype" w:hAnsi="Palatino Linotype" w:cs="Times New Roman"/>
          <w:noProof/>
          <w:szCs w:val="24"/>
          <w:lang w:val="en-GB"/>
        </w:rPr>
        <w:t xml:space="preserve">57. </w:t>
      </w:r>
      <w:r w:rsidRPr="007274EE">
        <w:rPr>
          <w:rFonts w:ascii="Palatino Linotype" w:hAnsi="Palatino Linotype" w:cs="Times New Roman"/>
          <w:noProof/>
          <w:szCs w:val="24"/>
          <w:lang w:val="en-GB"/>
        </w:rPr>
        <w:tab/>
        <w:t>Beaudart C, Reginster JY, Slomian J, et al (2015) Estimation of sarcopenia prevalence using various assessment tools. Exp Gerontol. doi: 10.1016/j.exger.2014.11.014</w:t>
      </w:r>
    </w:p>
    <w:p w14:paraId="7027145D" w14:textId="77777777" w:rsidR="009D3AAF" w:rsidRPr="007274EE" w:rsidRDefault="009D3AAF" w:rsidP="009D3AAF">
      <w:pPr>
        <w:widowControl w:val="0"/>
        <w:autoSpaceDE w:val="0"/>
        <w:autoSpaceDN w:val="0"/>
        <w:adjustRightInd w:val="0"/>
        <w:spacing w:line="240" w:lineRule="auto"/>
        <w:ind w:left="640" w:hanging="640"/>
        <w:rPr>
          <w:rFonts w:ascii="Palatino Linotype" w:hAnsi="Palatino Linotype" w:cs="Times New Roman"/>
          <w:noProof/>
          <w:szCs w:val="24"/>
          <w:lang w:val="en-GB"/>
        </w:rPr>
      </w:pPr>
      <w:r w:rsidRPr="007274EE">
        <w:rPr>
          <w:rFonts w:ascii="Palatino Linotype" w:hAnsi="Palatino Linotype" w:cs="Times New Roman"/>
          <w:noProof/>
          <w:szCs w:val="24"/>
          <w:lang w:val="en-GB"/>
        </w:rPr>
        <w:t xml:space="preserve">58. </w:t>
      </w:r>
      <w:r w:rsidRPr="007274EE">
        <w:rPr>
          <w:rFonts w:ascii="Palatino Linotype" w:hAnsi="Palatino Linotype" w:cs="Times New Roman"/>
          <w:noProof/>
          <w:szCs w:val="24"/>
          <w:lang w:val="en-GB"/>
        </w:rPr>
        <w:tab/>
        <w:t>Bohannon RW (2017) Test-Retest Reliability of Measurements of Hand-Grip Strength Obtained by Dynamometry from Older Adults: A Systematic Review of Research in the PubMed Database. J frailty aging 6:83–87. doi: 10.14283/jfa.2017.8</w:t>
      </w:r>
    </w:p>
    <w:p w14:paraId="26451EB6" w14:textId="77777777" w:rsidR="009D3AAF" w:rsidRPr="007274EE" w:rsidRDefault="009D3AAF" w:rsidP="009D3AAF">
      <w:pPr>
        <w:widowControl w:val="0"/>
        <w:autoSpaceDE w:val="0"/>
        <w:autoSpaceDN w:val="0"/>
        <w:adjustRightInd w:val="0"/>
        <w:spacing w:line="240" w:lineRule="auto"/>
        <w:ind w:left="640" w:hanging="640"/>
        <w:rPr>
          <w:rFonts w:ascii="Palatino Linotype" w:hAnsi="Palatino Linotype" w:cs="Times New Roman"/>
          <w:noProof/>
          <w:szCs w:val="24"/>
          <w:lang w:val="en-GB"/>
        </w:rPr>
      </w:pPr>
      <w:r w:rsidRPr="007274EE">
        <w:rPr>
          <w:rFonts w:ascii="Palatino Linotype" w:hAnsi="Palatino Linotype" w:cs="Times New Roman"/>
          <w:noProof/>
          <w:szCs w:val="24"/>
          <w:lang w:val="en-GB"/>
        </w:rPr>
        <w:t xml:space="preserve">59. </w:t>
      </w:r>
      <w:r w:rsidRPr="007274EE">
        <w:rPr>
          <w:rFonts w:ascii="Palatino Linotype" w:hAnsi="Palatino Linotype" w:cs="Times New Roman"/>
          <w:noProof/>
          <w:szCs w:val="24"/>
          <w:lang w:val="en-GB"/>
        </w:rPr>
        <w:tab/>
        <w:t>Santanasto AJ, Glynn NW, Lovato LC, et al (2017) Effect of Physical Activity versus Health Education on Physical Function, Grip Strength and Mobility. J Am Geriatr Soc 65:1427–1433. doi: 10.1111/jgs.14804</w:t>
      </w:r>
    </w:p>
    <w:p w14:paraId="44B7E763" w14:textId="77777777" w:rsidR="009D3AAF" w:rsidRPr="007274EE" w:rsidRDefault="009D3AAF" w:rsidP="009D3AAF">
      <w:pPr>
        <w:widowControl w:val="0"/>
        <w:autoSpaceDE w:val="0"/>
        <w:autoSpaceDN w:val="0"/>
        <w:adjustRightInd w:val="0"/>
        <w:spacing w:line="240" w:lineRule="auto"/>
        <w:ind w:left="640" w:hanging="640"/>
        <w:rPr>
          <w:rFonts w:ascii="Palatino Linotype" w:hAnsi="Palatino Linotype" w:cs="Times New Roman"/>
          <w:noProof/>
          <w:szCs w:val="24"/>
          <w:lang w:val="en-GB"/>
        </w:rPr>
      </w:pPr>
      <w:r w:rsidRPr="007274EE">
        <w:rPr>
          <w:rFonts w:ascii="Palatino Linotype" w:hAnsi="Palatino Linotype" w:cs="Times New Roman"/>
          <w:noProof/>
          <w:szCs w:val="24"/>
          <w:lang w:val="en-GB"/>
        </w:rPr>
        <w:t xml:space="preserve">60. </w:t>
      </w:r>
      <w:r w:rsidRPr="007274EE">
        <w:rPr>
          <w:rFonts w:ascii="Palatino Linotype" w:hAnsi="Palatino Linotype" w:cs="Times New Roman"/>
          <w:noProof/>
          <w:szCs w:val="24"/>
          <w:lang w:val="en-GB"/>
        </w:rPr>
        <w:tab/>
        <w:t>Nitschke JE, McMeeken JM, Burry HC, Matyas TA (1999) When is a change a genuine change?: A clinically meaningful interpretation of grip strength measurements in healthy and disabled women. J Hand Ther 12:25–30. doi: 10.1016/S0894-1130(99)80030-1</w:t>
      </w:r>
    </w:p>
    <w:p w14:paraId="5E348E70" w14:textId="77777777" w:rsidR="009D3AAF" w:rsidRPr="007274EE" w:rsidRDefault="009D3AAF" w:rsidP="009D3AAF">
      <w:pPr>
        <w:widowControl w:val="0"/>
        <w:autoSpaceDE w:val="0"/>
        <w:autoSpaceDN w:val="0"/>
        <w:adjustRightInd w:val="0"/>
        <w:spacing w:line="240" w:lineRule="auto"/>
        <w:ind w:left="640" w:hanging="640"/>
        <w:rPr>
          <w:rFonts w:ascii="Palatino Linotype" w:hAnsi="Palatino Linotype" w:cs="Times New Roman"/>
          <w:noProof/>
          <w:szCs w:val="24"/>
          <w:lang w:val="en-GB"/>
        </w:rPr>
      </w:pPr>
      <w:r w:rsidRPr="007274EE">
        <w:rPr>
          <w:rFonts w:ascii="Palatino Linotype" w:hAnsi="Palatino Linotype" w:cs="Times New Roman"/>
          <w:noProof/>
          <w:szCs w:val="24"/>
          <w:lang w:val="en-GB"/>
        </w:rPr>
        <w:t xml:space="preserve">61. </w:t>
      </w:r>
      <w:r w:rsidRPr="007274EE">
        <w:rPr>
          <w:rFonts w:ascii="Palatino Linotype" w:hAnsi="Palatino Linotype" w:cs="Times New Roman"/>
          <w:noProof/>
          <w:szCs w:val="24"/>
          <w:lang w:val="en-GB"/>
        </w:rPr>
        <w:tab/>
        <w:t>Cruz-Jentoft AJ, Landi F, Schneider SM, et al (2014) Prevalence of and interventions for sarcopenia in ageing adults: a systematic review. Report of the International Sarcopenia Initiative (EWGSOP and IWGS). Age Ageing 43:748–59. doi: 10.1093/ageing/afu115</w:t>
      </w:r>
    </w:p>
    <w:p w14:paraId="214957D9" w14:textId="77777777" w:rsidR="009D3AAF" w:rsidRPr="007274EE" w:rsidRDefault="009D3AAF" w:rsidP="009D3AAF">
      <w:pPr>
        <w:widowControl w:val="0"/>
        <w:autoSpaceDE w:val="0"/>
        <w:autoSpaceDN w:val="0"/>
        <w:adjustRightInd w:val="0"/>
        <w:spacing w:line="240" w:lineRule="auto"/>
        <w:ind w:left="640" w:hanging="640"/>
        <w:rPr>
          <w:rFonts w:ascii="Palatino Linotype" w:hAnsi="Palatino Linotype" w:cs="Times New Roman"/>
          <w:noProof/>
          <w:szCs w:val="24"/>
          <w:lang w:val="en-GB"/>
        </w:rPr>
      </w:pPr>
      <w:r w:rsidRPr="007274EE">
        <w:rPr>
          <w:rFonts w:ascii="Palatino Linotype" w:hAnsi="Palatino Linotype" w:cs="Times New Roman"/>
          <w:noProof/>
          <w:szCs w:val="24"/>
          <w:lang w:val="en-GB"/>
        </w:rPr>
        <w:t xml:space="preserve">62. </w:t>
      </w:r>
      <w:r w:rsidRPr="007274EE">
        <w:rPr>
          <w:rFonts w:ascii="Palatino Linotype" w:hAnsi="Palatino Linotype" w:cs="Times New Roman"/>
          <w:noProof/>
          <w:szCs w:val="24"/>
          <w:lang w:val="en-GB"/>
        </w:rPr>
        <w:tab/>
        <w:t>Beaudart C, Dawson A, Shaw SC, et al (2017) Nutrition and physical activity in the prevention and treatment of sarcopenia: systematic review. Osteoporos Int. doi: 10.1007/s00198-017-3980-9</w:t>
      </w:r>
    </w:p>
    <w:p w14:paraId="15BBEEA9" w14:textId="77777777" w:rsidR="009D3AAF" w:rsidRPr="007274EE" w:rsidRDefault="009D3AAF" w:rsidP="009D3AAF">
      <w:pPr>
        <w:widowControl w:val="0"/>
        <w:autoSpaceDE w:val="0"/>
        <w:autoSpaceDN w:val="0"/>
        <w:adjustRightInd w:val="0"/>
        <w:spacing w:line="240" w:lineRule="auto"/>
        <w:ind w:left="640" w:hanging="640"/>
        <w:rPr>
          <w:rFonts w:ascii="Palatino Linotype" w:hAnsi="Palatino Linotype" w:cs="Times New Roman"/>
          <w:noProof/>
          <w:szCs w:val="24"/>
          <w:lang w:val="en-GB"/>
        </w:rPr>
      </w:pPr>
      <w:r w:rsidRPr="007274EE">
        <w:rPr>
          <w:rFonts w:ascii="Palatino Linotype" w:hAnsi="Palatino Linotype" w:cs="Times New Roman"/>
          <w:noProof/>
          <w:szCs w:val="24"/>
          <w:lang w:val="en-GB"/>
        </w:rPr>
        <w:t xml:space="preserve">63. </w:t>
      </w:r>
      <w:r w:rsidRPr="007274EE">
        <w:rPr>
          <w:rFonts w:ascii="Palatino Linotype" w:hAnsi="Palatino Linotype" w:cs="Times New Roman"/>
          <w:noProof/>
          <w:szCs w:val="24"/>
          <w:lang w:val="en-GB"/>
        </w:rPr>
        <w:tab/>
        <w:t>Buckinx F, Landi F, Cesari M, et al (2018) Pitfalls in the measurement of muscle mass: a need for a reference standard. J Cachexia Sarcopenia Muscle 9:269–278. doi: 10.1002/jcsm.12268</w:t>
      </w:r>
    </w:p>
    <w:p w14:paraId="65BF802A" w14:textId="77777777" w:rsidR="009D3AAF" w:rsidRPr="007274EE" w:rsidRDefault="009D3AAF" w:rsidP="009D3AAF">
      <w:pPr>
        <w:widowControl w:val="0"/>
        <w:autoSpaceDE w:val="0"/>
        <w:autoSpaceDN w:val="0"/>
        <w:adjustRightInd w:val="0"/>
        <w:spacing w:line="240" w:lineRule="auto"/>
        <w:ind w:left="640" w:hanging="640"/>
        <w:rPr>
          <w:rFonts w:ascii="Palatino Linotype" w:hAnsi="Palatino Linotype" w:cs="Times New Roman"/>
          <w:noProof/>
          <w:szCs w:val="24"/>
          <w:lang w:val="en-GB"/>
        </w:rPr>
      </w:pPr>
      <w:r w:rsidRPr="007274EE">
        <w:rPr>
          <w:rFonts w:ascii="Palatino Linotype" w:hAnsi="Palatino Linotype" w:cs="Times New Roman"/>
          <w:noProof/>
          <w:szCs w:val="24"/>
          <w:lang w:val="en-GB"/>
        </w:rPr>
        <w:t xml:space="preserve">64. </w:t>
      </w:r>
      <w:r w:rsidRPr="007274EE">
        <w:rPr>
          <w:rFonts w:ascii="Palatino Linotype" w:hAnsi="Palatino Linotype" w:cs="Times New Roman"/>
          <w:noProof/>
          <w:szCs w:val="24"/>
          <w:lang w:val="en-GB"/>
        </w:rPr>
        <w:tab/>
        <w:t>Dehghan M, Merchant AT (2008) Is bioelectrical impedance accurate for use in large epidemiological studies? Nutr J 7:26. doi: 10.1186/1475-2891-7-26</w:t>
      </w:r>
    </w:p>
    <w:p w14:paraId="7EA4C2FD" w14:textId="77777777" w:rsidR="009D3AAF" w:rsidRPr="007274EE" w:rsidRDefault="009D3AAF" w:rsidP="009D3AAF">
      <w:pPr>
        <w:widowControl w:val="0"/>
        <w:autoSpaceDE w:val="0"/>
        <w:autoSpaceDN w:val="0"/>
        <w:adjustRightInd w:val="0"/>
        <w:spacing w:line="240" w:lineRule="auto"/>
        <w:ind w:left="640" w:hanging="640"/>
        <w:rPr>
          <w:rFonts w:ascii="Palatino Linotype" w:hAnsi="Palatino Linotype" w:cs="Times New Roman"/>
          <w:noProof/>
          <w:szCs w:val="24"/>
          <w:lang w:val="en-GB"/>
        </w:rPr>
      </w:pPr>
      <w:r w:rsidRPr="007274EE">
        <w:rPr>
          <w:rFonts w:ascii="Palatino Linotype" w:hAnsi="Palatino Linotype" w:cs="Times New Roman"/>
          <w:noProof/>
          <w:szCs w:val="24"/>
          <w:lang w:val="en-GB"/>
        </w:rPr>
        <w:t xml:space="preserve">65. </w:t>
      </w:r>
      <w:r w:rsidRPr="007274EE">
        <w:rPr>
          <w:rFonts w:ascii="Palatino Linotype" w:hAnsi="Palatino Linotype" w:cs="Times New Roman"/>
          <w:noProof/>
          <w:szCs w:val="24"/>
          <w:lang w:val="en-GB"/>
        </w:rPr>
        <w:tab/>
        <w:t>Jensen SM, Mølgaard C, Ejlerskov KT, et al (2015) Validity of anthropometric measurements to assess body composition, including muscle mass, in 3-year-old children from the SKOT cohort. Matern Child Nutr 11:398–408. doi: 10.1111/mcn.12013</w:t>
      </w:r>
    </w:p>
    <w:p w14:paraId="11D96E28" w14:textId="77777777" w:rsidR="009D3AAF" w:rsidRPr="007274EE" w:rsidRDefault="009D3AAF" w:rsidP="009D3AAF">
      <w:pPr>
        <w:widowControl w:val="0"/>
        <w:autoSpaceDE w:val="0"/>
        <w:autoSpaceDN w:val="0"/>
        <w:adjustRightInd w:val="0"/>
        <w:spacing w:line="240" w:lineRule="auto"/>
        <w:ind w:left="640" w:hanging="640"/>
        <w:rPr>
          <w:rFonts w:ascii="Palatino Linotype" w:hAnsi="Palatino Linotype" w:cs="Times New Roman"/>
          <w:noProof/>
          <w:szCs w:val="24"/>
          <w:lang w:val="en-GB"/>
        </w:rPr>
      </w:pPr>
      <w:r w:rsidRPr="007274EE">
        <w:rPr>
          <w:rFonts w:ascii="Palatino Linotype" w:hAnsi="Palatino Linotype" w:cs="Times New Roman"/>
          <w:noProof/>
          <w:szCs w:val="24"/>
          <w:lang w:val="en-GB"/>
        </w:rPr>
        <w:t xml:space="preserve">66. </w:t>
      </w:r>
      <w:r w:rsidRPr="007274EE">
        <w:rPr>
          <w:rFonts w:ascii="Palatino Linotype" w:hAnsi="Palatino Linotype" w:cs="Times New Roman"/>
          <w:noProof/>
          <w:szCs w:val="24"/>
          <w:lang w:val="en-GB"/>
        </w:rPr>
        <w:tab/>
        <w:t>Evans WJ, Hellerstein M, Orwoll E, et al (2019) D 3 -Creatine dilution and the importance of accuracy in the assessment of skeletal muscle mass. J Cachexia Sarcopenia Muscle 10:14–21. doi: 10.1002/jcsm.12390</w:t>
      </w:r>
    </w:p>
    <w:p w14:paraId="5D63ACF3" w14:textId="77777777" w:rsidR="009D3AAF" w:rsidRPr="007274EE" w:rsidRDefault="009D3AAF" w:rsidP="009D3AAF">
      <w:pPr>
        <w:widowControl w:val="0"/>
        <w:autoSpaceDE w:val="0"/>
        <w:autoSpaceDN w:val="0"/>
        <w:adjustRightInd w:val="0"/>
        <w:spacing w:line="240" w:lineRule="auto"/>
        <w:ind w:left="640" w:hanging="640"/>
        <w:rPr>
          <w:rFonts w:ascii="Palatino Linotype" w:hAnsi="Palatino Linotype" w:cs="Times New Roman"/>
          <w:noProof/>
          <w:szCs w:val="24"/>
          <w:lang w:val="en-GB"/>
        </w:rPr>
      </w:pPr>
      <w:r w:rsidRPr="007274EE">
        <w:rPr>
          <w:rFonts w:ascii="Palatino Linotype" w:hAnsi="Palatino Linotype" w:cs="Times New Roman"/>
          <w:noProof/>
          <w:szCs w:val="24"/>
          <w:lang w:val="en-GB"/>
        </w:rPr>
        <w:t xml:space="preserve">67. </w:t>
      </w:r>
      <w:r w:rsidRPr="007274EE">
        <w:rPr>
          <w:rFonts w:ascii="Palatino Linotype" w:hAnsi="Palatino Linotype" w:cs="Times New Roman"/>
          <w:noProof/>
          <w:szCs w:val="24"/>
          <w:lang w:val="en-GB"/>
        </w:rPr>
        <w:tab/>
        <w:t>Perkisas S, Baudry S, Bauer J, et al (2018) Application of ultrasound for muscle assessment in sarcopenia: towards standardized measurements. Eur Geriatr Med 9:739–757. doi: 10.1007/s41999-018-0104-9</w:t>
      </w:r>
    </w:p>
    <w:p w14:paraId="53EEDDDD" w14:textId="77777777" w:rsidR="009D3AAF" w:rsidRPr="007274EE" w:rsidRDefault="009D3AAF" w:rsidP="009D3AAF">
      <w:pPr>
        <w:widowControl w:val="0"/>
        <w:autoSpaceDE w:val="0"/>
        <w:autoSpaceDN w:val="0"/>
        <w:adjustRightInd w:val="0"/>
        <w:spacing w:line="240" w:lineRule="auto"/>
        <w:ind w:left="640" w:hanging="640"/>
        <w:rPr>
          <w:rFonts w:ascii="Palatino Linotype" w:hAnsi="Palatino Linotype" w:cs="Times New Roman"/>
          <w:noProof/>
          <w:szCs w:val="24"/>
          <w:lang w:val="en-GB"/>
        </w:rPr>
      </w:pPr>
      <w:r w:rsidRPr="007274EE">
        <w:rPr>
          <w:rFonts w:ascii="Palatino Linotype" w:hAnsi="Palatino Linotype" w:cs="Times New Roman"/>
          <w:noProof/>
          <w:szCs w:val="24"/>
          <w:lang w:val="en-GB"/>
        </w:rPr>
        <w:t xml:space="preserve">68. </w:t>
      </w:r>
      <w:r w:rsidRPr="007274EE">
        <w:rPr>
          <w:rFonts w:ascii="Palatino Linotype" w:hAnsi="Palatino Linotype" w:cs="Times New Roman"/>
          <w:noProof/>
          <w:szCs w:val="24"/>
          <w:lang w:val="en-GB"/>
        </w:rPr>
        <w:tab/>
        <w:t>TW A, SW L, J L, et al (2014) Age-associated Decline of Muscle Mass, Grip Strength and Gait Speed: A 4-year Longitudinal Study of 3018 Community-Dwelling Older Chinese. Geriatr Gerontol Int. doi: 10.1111/GGI.12213</w:t>
      </w:r>
    </w:p>
    <w:p w14:paraId="0DC23D3B" w14:textId="77777777" w:rsidR="009D3AAF" w:rsidRPr="007274EE" w:rsidRDefault="009D3AAF" w:rsidP="009D3AAF">
      <w:pPr>
        <w:widowControl w:val="0"/>
        <w:autoSpaceDE w:val="0"/>
        <w:autoSpaceDN w:val="0"/>
        <w:adjustRightInd w:val="0"/>
        <w:spacing w:line="240" w:lineRule="auto"/>
        <w:ind w:left="640" w:hanging="640"/>
        <w:rPr>
          <w:rFonts w:ascii="Palatino Linotype" w:hAnsi="Palatino Linotype" w:cs="Times New Roman"/>
          <w:noProof/>
          <w:szCs w:val="24"/>
          <w:lang w:val="en-GB"/>
        </w:rPr>
      </w:pPr>
      <w:r w:rsidRPr="007274EE">
        <w:rPr>
          <w:rFonts w:ascii="Palatino Linotype" w:hAnsi="Palatino Linotype" w:cs="Times New Roman"/>
          <w:noProof/>
          <w:szCs w:val="24"/>
          <w:lang w:val="en-GB"/>
        </w:rPr>
        <w:t xml:space="preserve">69. </w:t>
      </w:r>
      <w:r w:rsidRPr="007274EE">
        <w:rPr>
          <w:rFonts w:ascii="Palatino Linotype" w:hAnsi="Palatino Linotype" w:cs="Times New Roman"/>
          <w:noProof/>
          <w:szCs w:val="24"/>
          <w:lang w:val="en-GB"/>
        </w:rPr>
        <w:tab/>
        <w:t>Shaw SC, Dennison EM, Cooper C (2017) Epidemiology of Sarcopenia: Determinants Throughout the Lifecourse. Calcif Tissue Int 101:229–247. doi: 10.1007/s00223-017-0277-0</w:t>
      </w:r>
    </w:p>
    <w:p w14:paraId="6FB3C105" w14:textId="77777777" w:rsidR="009D3AAF" w:rsidRPr="007274EE" w:rsidRDefault="009D3AAF" w:rsidP="009D3AAF">
      <w:pPr>
        <w:widowControl w:val="0"/>
        <w:autoSpaceDE w:val="0"/>
        <w:autoSpaceDN w:val="0"/>
        <w:adjustRightInd w:val="0"/>
        <w:spacing w:line="240" w:lineRule="auto"/>
        <w:ind w:left="640" w:hanging="640"/>
        <w:rPr>
          <w:rFonts w:ascii="Palatino Linotype" w:hAnsi="Palatino Linotype" w:cs="Times New Roman"/>
          <w:noProof/>
          <w:szCs w:val="24"/>
          <w:lang w:val="en-GB"/>
        </w:rPr>
      </w:pPr>
      <w:r w:rsidRPr="007274EE">
        <w:rPr>
          <w:rFonts w:ascii="Palatino Linotype" w:hAnsi="Palatino Linotype" w:cs="Times New Roman"/>
          <w:noProof/>
          <w:szCs w:val="24"/>
          <w:lang w:val="en-GB"/>
        </w:rPr>
        <w:t xml:space="preserve">70. </w:t>
      </w:r>
      <w:r w:rsidRPr="007274EE">
        <w:rPr>
          <w:rFonts w:ascii="Palatino Linotype" w:hAnsi="Palatino Linotype" w:cs="Times New Roman"/>
          <w:noProof/>
          <w:szCs w:val="24"/>
          <w:lang w:val="en-GB"/>
        </w:rPr>
        <w:tab/>
        <w:t>Haran PH, Rivas DA, Fielding RA (2012) Role and potential mechanisms of anabolic resistance in sarcopenia. J Cachexia Sarcopenia Muscle 3:157. doi: 10.1007/S13539-012-0068-4</w:t>
      </w:r>
    </w:p>
    <w:p w14:paraId="5E00CCAF" w14:textId="77777777" w:rsidR="009D3AAF" w:rsidRPr="007274EE" w:rsidRDefault="009D3AAF" w:rsidP="009D3AAF">
      <w:pPr>
        <w:widowControl w:val="0"/>
        <w:autoSpaceDE w:val="0"/>
        <w:autoSpaceDN w:val="0"/>
        <w:adjustRightInd w:val="0"/>
        <w:spacing w:line="240" w:lineRule="auto"/>
        <w:ind w:left="640" w:hanging="640"/>
        <w:rPr>
          <w:rFonts w:ascii="Palatino Linotype" w:hAnsi="Palatino Linotype" w:cs="Times New Roman"/>
          <w:noProof/>
          <w:szCs w:val="24"/>
          <w:lang w:val="en-GB"/>
        </w:rPr>
      </w:pPr>
      <w:r w:rsidRPr="007274EE">
        <w:rPr>
          <w:rFonts w:ascii="Palatino Linotype" w:hAnsi="Palatino Linotype" w:cs="Times New Roman"/>
          <w:noProof/>
          <w:szCs w:val="24"/>
          <w:lang w:val="en-GB"/>
        </w:rPr>
        <w:t xml:space="preserve">71. </w:t>
      </w:r>
      <w:r w:rsidRPr="007274EE">
        <w:rPr>
          <w:rFonts w:ascii="Palatino Linotype" w:hAnsi="Palatino Linotype" w:cs="Times New Roman"/>
          <w:noProof/>
          <w:szCs w:val="24"/>
          <w:lang w:val="en-GB"/>
        </w:rPr>
        <w:tab/>
        <w:t>Verlaan S, Aspray TJ, Bauer JM, et al (2017) Nutritional status, body composition, and quality of life in community-dwelling sarcopenic and non-sarcopenic older adults: A case-control study. Clin Nutr 36:267–274. doi: 10.1016/J.CLNU.2015.11.013</w:t>
      </w:r>
    </w:p>
    <w:p w14:paraId="5FB936C1" w14:textId="77777777" w:rsidR="009D3AAF" w:rsidRPr="007274EE" w:rsidRDefault="009D3AAF" w:rsidP="009D3AAF">
      <w:pPr>
        <w:widowControl w:val="0"/>
        <w:autoSpaceDE w:val="0"/>
        <w:autoSpaceDN w:val="0"/>
        <w:adjustRightInd w:val="0"/>
        <w:spacing w:line="240" w:lineRule="auto"/>
        <w:ind w:left="640" w:hanging="640"/>
        <w:rPr>
          <w:rFonts w:ascii="Palatino Linotype" w:hAnsi="Palatino Linotype" w:cs="Times New Roman"/>
          <w:noProof/>
          <w:szCs w:val="24"/>
          <w:lang w:val="en-GB"/>
        </w:rPr>
      </w:pPr>
      <w:r w:rsidRPr="007274EE">
        <w:rPr>
          <w:rFonts w:ascii="Palatino Linotype" w:hAnsi="Palatino Linotype" w:cs="Times New Roman"/>
          <w:noProof/>
          <w:szCs w:val="24"/>
          <w:lang w:val="en-GB"/>
        </w:rPr>
        <w:t xml:space="preserve">72. </w:t>
      </w:r>
      <w:r w:rsidRPr="007274EE">
        <w:rPr>
          <w:rFonts w:ascii="Palatino Linotype" w:hAnsi="Palatino Linotype" w:cs="Times New Roman"/>
          <w:noProof/>
          <w:szCs w:val="24"/>
          <w:lang w:val="en-GB"/>
        </w:rPr>
        <w:tab/>
        <w:t>Rizzoli R, Stevenson JC, Bauer JM, et al (2014) The role of dietary protein and vitamin D in maintaining musculoskeletal health in postmenopausal women: a consensus statement from the European Society for Clinical and Economic Aspects of Osteoporosis and Osteoarthritis (ESCEO). Maturitas 79:122–32. doi: 10.1016/j.maturitas.2014.07.005</w:t>
      </w:r>
    </w:p>
    <w:p w14:paraId="5F767A81" w14:textId="77777777" w:rsidR="009D3AAF" w:rsidRPr="007274EE" w:rsidRDefault="009D3AAF" w:rsidP="009D3AAF">
      <w:pPr>
        <w:widowControl w:val="0"/>
        <w:autoSpaceDE w:val="0"/>
        <w:autoSpaceDN w:val="0"/>
        <w:adjustRightInd w:val="0"/>
        <w:spacing w:line="240" w:lineRule="auto"/>
        <w:ind w:left="640" w:hanging="640"/>
        <w:rPr>
          <w:rFonts w:ascii="Palatino Linotype" w:hAnsi="Palatino Linotype" w:cs="Times New Roman"/>
          <w:noProof/>
          <w:szCs w:val="24"/>
          <w:lang w:val="en-GB"/>
        </w:rPr>
      </w:pPr>
      <w:r w:rsidRPr="007274EE">
        <w:rPr>
          <w:rFonts w:ascii="Palatino Linotype" w:hAnsi="Palatino Linotype" w:cs="Times New Roman"/>
          <w:noProof/>
          <w:szCs w:val="24"/>
          <w:lang w:val="en-GB"/>
        </w:rPr>
        <w:t xml:space="preserve">73. </w:t>
      </w:r>
      <w:r w:rsidRPr="007274EE">
        <w:rPr>
          <w:rFonts w:ascii="Palatino Linotype" w:hAnsi="Palatino Linotype" w:cs="Times New Roman"/>
          <w:noProof/>
          <w:szCs w:val="24"/>
          <w:lang w:val="en-GB"/>
        </w:rPr>
        <w:tab/>
        <w:t>Paddon-Jones D, Rasmussen BB (2009) Dietary protein recommendations and the prevention of sarcopenia. Curr Opin Clin Nutr Metab Care 12:86–90. doi: 10.1097/MCO.0b013e32831cef8b</w:t>
      </w:r>
    </w:p>
    <w:p w14:paraId="5F469262" w14:textId="77777777" w:rsidR="009D3AAF" w:rsidRPr="007274EE" w:rsidRDefault="009D3AAF" w:rsidP="009D3AAF">
      <w:pPr>
        <w:widowControl w:val="0"/>
        <w:autoSpaceDE w:val="0"/>
        <w:autoSpaceDN w:val="0"/>
        <w:adjustRightInd w:val="0"/>
        <w:spacing w:line="240" w:lineRule="auto"/>
        <w:ind w:left="640" w:hanging="640"/>
        <w:rPr>
          <w:rFonts w:ascii="Palatino Linotype" w:hAnsi="Palatino Linotype" w:cs="Times New Roman"/>
          <w:noProof/>
          <w:szCs w:val="24"/>
          <w:lang w:val="en-GB"/>
        </w:rPr>
      </w:pPr>
      <w:r w:rsidRPr="007274EE">
        <w:rPr>
          <w:rFonts w:ascii="Palatino Linotype" w:hAnsi="Palatino Linotype" w:cs="Times New Roman"/>
          <w:noProof/>
          <w:szCs w:val="24"/>
          <w:lang w:val="en-GB"/>
        </w:rPr>
        <w:t xml:space="preserve">74. </w:t>
      </w:r>
      <w:r w:rsidRPr="007274EE">
        <w:rPr>
          <w:rFonts w:ascii="Palatino Linotype" w:hAnsi="Palatino Linotype" w:cs="Times New Roman"/>
          <w:noProof/>
          <w:szCs w:val="24"/>
          <w:lang w:val="en-GB"/>
        </w:rPr>
        <w:tab/>
        <w:t>Tieland M, van de Rest O, Dirks ML, et al (2012) Protein supplementation improves physical performance in frail elderly people: a randomized, double-blind, placebo-controlled trial. J Am Med Dir Assoc 13:720–726. doi: 10.1016/j.jamda.2012.07.005</w:t>
      </w:r>
    </w:p>
    <w:p w14:paraId="316AAC8B" w14:textId="77777777" w:rsidR="009D3AAF" w:rsidRPr="007274EE" w:rsidRDefault="009D3AAF" w:rsidP="009D3AAF">
      <w:pPr>
        <w:widowControl w:val="0"/>
        <w:autoSpaceDE w:val="0"/>
        <w:autoSpaceDN w:val="0"/>
        <w:adjustRightInd w:val="0"/>
        <w:spacing w:line="240" w:lineRule="auto"/>
        <w:ind w:left="640" w:hanging="640"/>
        <w:rPr>
          <w:rFonts w:ascii="Palatino Linotype" w:hAnsi="Palatino Linotype" w:cs="Times New Roman"/>
          <w:noProof/>
          <w:szCs w:val="24"/>
          <w:lang w:val="en-GB"/>
        </w:rPr>
      </w:pPr>
      <w:r w:rsidRPr="007274EE">
        <w:rPr>
          <w:rFonts w:ascii="Palatino Linotype" w:hAnsi="Palatino Linotype" w:cs="Times New Roman"/>
          <w:noProof/>
          <w:szCs w:val="24"/>
          <w:lang w:val="en-GB"/>
        </w:rPr>
        <w:t xml:space="preserve">75. </w:t>
      </w:r>
      <w:r w:rsidRPr="007274EE">
        <w:rPr>
          <w:rFonts w:ascii="Palatino Linotype" w:hAnsi="Palatino Linotype" w:cs="Times New Roman"/>
          <w:noProof/>
          <w:szCs w:val="24"/>
          <w:lang w:val="en-GB"/>
        </w:rPr>
        <w:tab/>
        <w:t>Bauer JM, Mikušová L, Verlaan S, et al (2020) Safety and tolerability of 6-month supplementation with a vitamin D, calcium and leucine-enriched whey protein medical nutrition drink in sarcopenic older adults. Aging Clin Exp Res. doi: 10.1007/s40520-020-01519-x</w:t>
      </w:r>
    </w:p>
    <w:p w14:paraId="646A1C66" w14:textId="77777777" w:rsidR="009D3AAF" w:rsidRPr="007274EE" w:rsidRDefault="009D3AAF" w:rsidP="009D3AAF">
      <w:pPr>
        <w:widowControl w:val="0"/>
        <w:autoSpaceDE w:val="0"/>
        <w:autoSpaceDN w:val="0"/>
        <w:adjustRightInd w:val="0"/>
        <w:spacing w:line="240" w:lineRule="auto"/>
        <w:ind w:left="640" w:hanging="640"/>
        <w:rPr>
          <w:rFonts w:ascii="Palatino Linotype" w:hAnsi="Palatino Linotype" w:cs="Times New Roman"/>
          <w:noProof/>
          <w:szCs w:val="24"/>
          <w:lang w:val="en-GB"/>
        </w:rPr>
      </w:pPr>
      <w:r w:rsidRPr="007274EE">
        <w:rPr>
          <w:rFonts w:ascii="Palatino Linotype" w:hAnsi="Palatino Linotype" w:cs="Times New Roman"/>
          <w:noProof/>
          <w:szCs w:val="24"/>
          <w:lang w:val="en-GB"/>
        </w:rPr>
        <w:t xml:space="preserve">76. </w:t>
      </w:r>
      <w:r w:rsidRPr="007274EE">
        <w:rPr>
          <w:rFonts w:ascii="Palatino Linotype" w:hAnsi="Palatino Linotype" w:cs="Times New Roman"/>
          <w:noProof/>
          <w:szCs w:val="24"/>
          <w:lang w:val="en-GB"/>
        </w:rPr>
        <w:tab/>
        <w:t>Beaudart C, Locquet M, Touvier M, et al (2019) Association between dietary nutrient intake and sarcopenia in the SarcoPhAge study. Aging Clin Exp Res. doi: 10.1007/s40520-019-01186-7</w:t>
      </w:r>
    </w:p>
    <w:p w14:paraId="55D04EF8" w14:textId="77777777" w:rsidR="009D3AAF" w:rsidRPr="007274EE" w:rsidRDefault="009D3AAF" w:rsidP="009D3AAF">
      <w:pPr>
        <w:widowControl w:val="0"/>
        <w:autoSpaceDE w:val="0"/>
        <w:autoSpaceDN w:val="0"/>
        <w:adjustRightInd w:val="0"/>
        <w:spacing w:line="240" w:lineRule="auto"/>
        <w:ind w:left="640" w:hanging="640"/>
        <w:rPr>
          <w:rFonts w:ascii="Palatino Linotype" w:hAnsi="Palatino Linotype" w:cs="Times New Roman"/>
          <w:noProof/>
          <w:szCs w:val="24"/>
          <w:lang w:val="en-GB"/>
        </w:rPr>
      </w:pPr>
      <w:r w:rsidRPr="007274EE">
        <w:rPr>
          <w:rFonts w:ascii="Palatino Linotype" w:hAnsi="Palatino Linotype" w:cs="Times New Roman"/>
          <w:noProof/>
          <w:szCs w:val="24"/>
          <w:lang w:val="en-GB"/>
        </w:rPr>
        <w:t xml:space="preserve">77. </w:t>
      </w:r>
      <w:r w:rsidRPr="007274EE">
        <w:rPr>
          <w:rFonts w:ascii="Palatino Linotype" w:hAnsi="Palatino Linotype" w:cs="Times New Roman"/>
          <w:noProof/>
          <w:szCs w:val="24"/>
          <w:lang w:val="en-GB"/>
        </w:rPr>
        <w:tab/>
        <w:t>Sanz-París A, Gómez-Candela C, Martín-Palmero Á, et al (2016) Application of the new ESPEN definition of malnutrition in geriatric diabetic patients during hospitalization: A multicentric study. Clin Nutr 35:1564–1567. doi: 10.1016/j.clnu.2016.02.018</w:t>
      </w:r>
    </w:p>
    <w:p w14:paraId="337258BC" w14:textId="77777777" w:rsidR="009D3AAF" w:rsidRPr="007274EE" w:rsidRDefault="009D3AAF" w:rsidP="009D3AAF">
      <w:pPr>
        <w:widowControl w:val="0"/>
        <w:autoSpaceDE w:val="0"/>
        <w:autoSpaceDN w:val="0"/>
        <w:adjustRightInd w:val="0"/>
        <w:spacing w:line="240" w:lineRule="auto"/>
        <w:ind w:left="640" w:hanging="640"/>
        <w:rPr>
          <w:rFonts w:ascii="Palatino Linotype" w:hAnsi="Palatino Linotype" w:cs="Times New Roman"/>
          <w:noProof/>
          <w:szCs w:val="24"/>
          <w:lang w:val="en-GB"/>
        </w:rPr>
      </w:pPr>
      <w:r w:rsidRPr="007274EE">
        <w:rPr>
          <w:rFonts w:ascii="Palatino Linotype" w:hAnsi="Palatino Linotype" w:cs="Times New Roman"/>
          <w:noProof/>
          <w:szCs w:val="24"/>
          <w:lang w:val="en-GB"/>
        </w:rPr>
        <w:t xml:space="preserve">78. </w:t>
      </w:r>
      <w:r w:rsidRPr="007274EE">
        <w:rPr>
          <w:rFonts w:ascii="Palatino Linotype" w:hAnsi="Palatino Linotype" w:cs="Times New Roman"/>
          <w:noProof/>
          <w:szCs w:val="24"/>
          <w:lang w:val="en-GB"/>
        </w:rPr>
        <w:tab/>
        <w:t>Peterson MD, Rhea MR, Sen A, Gordon PM (2010) Resistance exercise for muscular strength in older adults: a meta-analysis. Ageing Res Rev 9:226–237. doi: 10.1016/j.arr.2010.03.004</w:t>
      </w:r>
    </w:p>
    <w:p w14:paraId="44C2F991" w14:textId="77777777" w:rsidR="009D3AAF" w:rsidRPr="007274EE" w:rsidRDefault="009D3AAF" w:rsidP="009D3AAF">
      <w:pPr>
        <w:widowControl w:val="0"/>
        <w:autoSpaceDE w:val="0"/>
        <w:autoSpaceDN w:val="0"/>
        <w:adjustRightInd w:val="0"/>
        <w:spacing w:line="240" w:lineRule="auto"/>
        <w:ind w:left="640" w:hanging="640"/>
        <w:rPr>
          <w:rFonts w:ascii="Palatino Linotype" w:hAnsi="Palatino Linotype" w:cs="Times New Roman"/>
          <w:noProof/>
          <w:szCs w:val="24"/>
          <w:lang w:val="en-GB"/>
        </w:rPr>
      </w:pPr>
      <w:r w:rsidRPr="007274EE">
        <w:rPr>
          <w:rFonts w:ascii="Palatino Linotype" w:hAnsi="Palatino Linotype" w:cs="Times New Roman"/>
          <w:noProof/>
          <w:szCs w:val="24"/>
          <w:lang w:val="en-GB"/>
        </w:rPr>
        <w:t xml:space="preserve">79. </w:t>
      </w:r>
      <w:r w:rsidRPr="007274EE">
        <w:rPr>
          <w:rFonts w:ascii="Palatino Linotype" w:hAnsi="Palatino Linotype" w:cs="Times New Roman"/>
          <w:noProof/>
          <w:szCs w:val="24"/>
          <w:lang w:val="en-GB"/>
        </w:rPr>
        <w:tab/>
        <w:t>Beckwée D, Delaere A, Aelbrecht S, et al (2019) Exercise Interventions for the Prevention and Treatment of Sarcopenia. A Systematic Umbrella Review. J Nutr Heal Aging 23:494–502. doi: 10.1007/s12603-019-1196-8</w:t>
      </w:r>
    </w:p>
    <w:p w14:paraId="06ECFE48" w14:textId="77777777" w:rsidR="009D3AAF" w:rsidRPr="007274EE" w:rsidRDefault="009D3AAF" w:rsidP="009D3AAF">
      <w:pPr>
        <w:widowControl w:val="0"/>
        <w:autoSpaceDE w:val="0"/>
        <w:autoSpaceDN w:val="0"/>
        <w:adjustRightInd w:val="0"/>
        <w:spacing w:line="240" w:lineRule="auto"/>
        <w:ind w:left="640" w:hanging="640"/>
        <w:rPr>
          <w:rFonts w:ascii="Palatino Linotype" w:hAnsi="Palatino Linotype" w:cs="Times New Roman"/>
          <w:noProof/>
          <w:szCs w:val="24"/>
          <w:lang w:val="en-GB"/>
        </w:rPr>
      </w:pPr>
      <w:r w:rsidRPr="007274EE">
        <w:rPr>
          <w:rFonts w:ascii="Palatino Linotype" w:hAnsi="Palatino Linotype" w:cs="Times New Roman"/>
          <w:noProof/>
          <w:szCs w:val="24"/>
          <w:lang w:val="en-GB"/>
        </w:rPr>
        <w:t xml:space="preserve">80. </w:t>
      </w:r>
      <w:r w:rsidRPr="007274EE">
        <w:rPr>
          <w:rFonts w:ascii="Palatino Linotype" w:hAnsi="Palatino Linotype" w:cs="Times New Roman"/>
          <w:noProof/>
          <w:szCs w:val="24"/>
          <w:lang w:val="en-GB"/>
        </w:rPr>
        <w:tab/>
        <w:t>Meier NF, Lee D chul (2019) Physical activity and sarcopenia in older adults. Aging Clin Exp Res 1–13. doi: 10.1007/s40520-019-01371-8</w:t>
      </w:r>
    </w:p>
    <w:p w14:paraId="4CE3B206" w14:textId="77777777" w:rsidR="009D3AAF" w:rsidRPr="007274EE" w:rsidRDefault="009D3AAF" w:rsidP="009D3AAF">
      <w:pPr>
        <w:widowControl w:val="0"/>
        <w:autoSpaceDE w:val="0"/>
        <w:autoSpaceDN w:val="0"/>
        <w:adjustRightInd w:val="0"/>
        <w:spacing w:line="240" w:lineRule="auto"/>
        <w:ind w:left="640" w:hanging="640"/>
        <w:rPr>
          <w:rFonts w:ascii="Palatino Linotype" w:hAnsi="Palatino Linotype" w:cs="Times New Roman"/>
          <w:noProof/>
          <w:szCs w:val="24"/>
          <w:lang w:val="en-GB"/>
        </w:rPr>
      </w:pPr>
      <w:r w:rsidRPr="007274EE">
        <w:rPr>
          <w:rFonts w:ascii="Palatino Linotype" w:hAnsi="Palatino Linotype" w:cs="Times New Roman"/>
          <w:noProof/>
          <w:szCs w:val="24"/>
          <w:lang w:val="en-GB"/>
        </w:rPr>
        <w:t xml:space="preserve">81. </w:t>
      </w:r>
      <w:r w:rsidRPr="007274EE">
        <w:rPr>
          <w:rFonts w:ascii="Palatino Linotype" w:hAnsi="Palatino Linotype" w:cs="Times New Roman"/>
          <w:noProof/>
          <w:szCs w:val="24"/>
          <w:lang w:val="en-GB"/>
        </w:rPr>
        <w:tab/>
        <w:t>Xia W, Cooper C, Li M, et al (2019) East meets West: current practices and policies in the management of musculoskeletal aging. Aging Clin Exp Res 31:1351–1373. doi: 10.1007/s40520-019-01282-8</w:t>
      </w:r>
    </w:p>
    <w:p w14:paraId="56316DEA" w14:textId="77777777" w:rsidR="009D3AAF" w:rsidRPr="007274EE" w:rsidRDefault="009D3AAF" w:rsidP="009D3AAF">
      <w:pPr>
        <w:widowControl w:val="0"/>
        <w:autoSpaceDE w:val="0"/>
        <w:autoSpaceDN w:val="0"/>
        <w:adjustRightInd w:val="0"/>
        <w:spacing w:line="240" w:lineRule="auto"/>
        <w:ind w:left="640" w:hanging="640"/>
        <w:rPr>
          <w:rFonts w:ascii="Palatino Linotype" w:hAnsi="Palatino Linotype" w:cs="Times New Roman"/>
          <w:noProof/>
          <w:szCs w:val="24"/>
          <w:lang w:val="en-GB"/>
        </w:rPr>
      </w:pPr>
      <w:r w:rsidRPr="007274EE">
        <w:rPr>
          <w:rFonts w:ascii="Palatino Linotype" w:hAnsi="Palatino Linotype" w:cs="Times New Roman"/>
          <w:noProof/>
          <w:szCs w:val="24"/>
          <w:lang w:val="en-GB"/>
        </w:rPr>
        <w:t xml:space="preserve">82. </w:t>
      </w:r>
      <w:r w:rsidRPr="007274EE">
        <w:rPr>
          <w:rFonts w:ascii="Palatino Linotype" w:hAnsi="Palatino Linotype" w:cs="Times New Roman"/>
          <w:noProof/>
          <w:szCs w:val="24"/>
          <w:lang w:val="en-GB"/>
        </w:rPr>
        <w:tab/>
        <w:t>Taylor HL, Jacobs DR, Schucker B, et al (1978) A questionnaire for the assessment of leisure time physical activities. J Chronic Dis 31:741–755. doi: 10.1016/0021-9681(78)90058-9</w:t>
      </w:r>
    </w:p>
    <w:p w14:paraId="41528CC3" w14:textId="77777777" w:rsidR="009D3AAF" w:rsidRPr="007274EE" w:rsidRDefault="009D3AAF" w:rsidP="009D3AAF">
      <w:pPr>
        <w:widowControl w:val="0"/>
        <w:autoSpaceDE w:val="0"/>
        <w:autoSpaceDN w:val="0"/>
        <w:adjustRightInd w:val="0"/>
        <w:spacing w:line="240" w:lineRule="auto"/>
        <w:ind w:left="640" w:hanging="640"/>
        <w:rPr>
          <w:rFonts w:ascii="Palatino Linotype" w:hAnsi="Palatino Linotype" w:cs="Times New Roman"/>
          <w:noProof/>
          <w:szCs w:val="24"/>
          <w:lang w:val="en-GB"/>
        </w:rPr>
      </w:pPr>
      <w:r w:rsidRPr="007274EE">
        <w:rPr>
          <w:rFonts w:ascii="Palatino Linotype" w:hAnsi="Palatino Linotype" w:cs="Times New Roman"/>
          <w:noProof/>
          <w:szCs w:val="24"/>
          <w:lang w:val="en-GB"/>
        </w:rPr>
        <w:t xml:space="preserve">83. </w:t>
      </w:r>
      <w:r w:rsidRPr="007274EE">
        <w:rPr>
          <w:rFonts w:ascii="Palatino Linotype" w:hAnsi="Palatino Linotype" w:cs="Times New Roman"/>
          <w:noProof/>
          <w:szCs w:val="24"/>
          <w:lang w:val="en-GB"/>
        </w:rPr>
        <w:tab/>
        <w:t>Logan SL, Gottlieb BH, Maitl SB, et al (2013) The physical activity scale for the elderly (PASE) questionnaire; Does it predict physical health? Int J Environ Res Public Health 10:3967–3986. doi: 10.3390/ijerph10093967</w:t>
      </w:r>
    </w:p>
    <w:p w14:paraId="16EEFE1E" w14:textId="77777777" w:rsidR="009D3AAF" w:rsidRPr="009D3AAF" w:rsidRDefault="009D3AAF" w:rsidP="009D3AAF">
      <w:pPr>
        <w:widowControl w:val="0"/>
        <w:autoSpaceDE w:val="0"/>
        <w:autoSpaceDN w:val="0"/>
        <w:adjustRightInd w:val="0"/>
        <w:spacing w:line="240" w:lineRule="auto"/>
        <w:ind w:left="640" w:hanging="640"/>
        <w:rPr>
          <w:rFonts w:ascii="Palatino Linotype" w:hAnsi="Palatino Linotype"/>
          <w:noProof/>
        </w:rPr>
      </w:pPr>
      <w:r w:rsidRPr="007274EE">
        <w:rPr>
          <w:rFonts w:ascii="Palatino Linotype" w:hAnsi="Palatino Linotype" w:cs="Times New Roman"/>
          <w:noProof/>
          <w:szCs w:val="24"/>
          <w:lang w:val="en-GB"/>
        </w:rPr>
        <w:t xml:space="preserve">84. </w:t>
      </w:r>
      <w:r w:rsidRPr="007274EE">
        <w:rPr>
          <w:rFonts w:ascii="Palatino Linotype" w:hAnsi="Palatino Linotype" w:cs="Times New Roman"/>
          <w:noProof/>
          <w:szCs w:val="24"/>
          <w:lang w:val="en-GB"/>
        </w:rPr>
        <w:tab/>
        <w:t xml:space="preserve">Beuscart J-B, Knol W, Cullinan S, et al (2018) International core outcome set for clinical trials of medication review in multi-morbid older patients with polypharmacy. </w:t>
      </w:r>
      <w:r w:rsidRPr="009D3AAF">
        <w:rPr>
          <w:rFonts w:ascii="Palatino Linotype" w:hAnsi="Palatino Linotype" w:cs="Times New Roman"/>
          <w:noProof/>
          <w:szCs w:val="24"/>
        </w:rPr>
        <w:t>BMC Med 16:21. doi: 10.1186/s12916-018-1007-9</w:t>
      </w:r>
    </w:p>
    <w:p w14:paraId="5C1D6297" w14:textId="12CA9760" w:rsidR="00D741A9" w:rsidRPr="00D741A9" w:rsidRDefault="007B23C7" w:rsidP="00CE5542">
      <w:pPr>
        <w:rPr>
          <w:rFonts w:ascii="Palatino Linotype" w:hAnsi="Palatino Linotype"/>
          <w:b/>
          <w:bCs/>
          <w:smallCaps/>
          <w:sz w:val="24"/>
          <w:szCs w:val="24"/>
          <w:u w:val="single"/>
          <w:lang w:val="en-GB"/>
        </w:rPr>
      </w:pPr>
      <w:r w:rsidRPr="00B9449F">
        <w:rPr>
          <w:rFonts w:ascii="Palatino Linotype" w:hAnsi="Palatino Linotype"/>
          <w:lang w:val="en-US"/>
        </w:rPr>
        <w:fldChar w:fldCharType="end"/>
      </w:r>
    </w:p>
    <w:p w14:paraId="63FF15B5" w14:textId="5522DC46" w:rsidR="00D741A9" w:rsidRPr="00B9449F" w:rsidRDefault="00D741A9" w:rsidP="00166195">
      <w:pPr>
        <w:rPr>
          <w:rFonts w:ascii="Palatino Linotype" w:hAnsi="Palatino Linotype"/>
          <w:lang w:val="en-US"/>
        </w:rPr>
      </w:pPr>
    </w:p>
    <w:sectPr w:rsidR="00D741A9" w:rsidRPr="00B9449F" w:rsidSect="002C0409">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91869" w14:textId="77777777" w:rsidR="007822B2" w:rsidRDefault="007822B2" w:rsidP="005A243F">
      <w:pPr>
        <w:spacing w:after="0" w:line="240" w:lineRule="auto"/>
      </w:pPr>
      <w:r>
        <w:separator/>
      </w:r>
    </w:p>
  </w:endnote>
  <w:endnote w:type="continuationSeparator" w:id="0">
    <w:p w14:paraId="7DAAE119" w14:textId="77777777" w:rsidR="007822B2" w:rsidRDefault="007822B2" w:rsidP="005A2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7070887"/>
      <w:docPartObj>
        <w:docPartGallery w:val="Page Numbers (Bottom of Page)"/>
        <w:docPartUnique/>
      </w:docPartObj>
    </w:sdtPr>
    <w:sdtEndPr/>
    <w:sdtContent>
      <w:p w14:paraId="105F75C9" w14:textId="73ACA6A0" w:rsidR="009D3AAF" w:rsidRDefault="009D3AAF">
        <w:pPr>
          <w:pStyle w:val="Footer"/>
          <w:jc w:val="right"/>
        </w:pPr>
        <w:r>
          <w:fldChar w:fldCharType="begin"/>
        </w:r>
        <w:r>
          <w:instrText>PAGE   \* MERGEFORMAT</w:instrText>
        </w:r>
        <w:r>
          <w:fldChar w:fldCharType="separate"/>
        </w:r>
        <w:r>
          <w:rPr>
            <w:lang w:val="fr-FR"/>
          </w:rPr>
          <w:t>2</w:t>
        </w:r>
        <w:r>
          <w:fldChar w:fldCharType="end"/>
        </w:r>
      </w:p>
    </w:sdtContent>
  </w:sdt>
  <w:p w14:paraId="442F1AF3" w14:textId="77777777" w:rsidR="009D3AAF" w:rsidRDefault="009D3A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F650F" w14:textId="77777777" w:rsidR="007822B2" w:rsidRDefault="007822B2" w:rsidP="005A243F">
      <w:pPr>
        <w:spacing w:after="0" w:line="240" w:lineRule="auto"/>
      </w:pPr>
      <w:r>
        <w:separator/>
      </w:r>
    </w:p>
  </w:footnote>
  <w:footnote w:type="continuationSeparator" w:id="0">
    <w:p w14:paraId="14A238EA" w14:textId="77777777" w:rsidR="007822B2" w:rsidRDefault="007822B2" w:rsidP="005A24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12B00"/>
    <w:multiLevelType w:val="hybridMultilevel"/>
    <w:tmpl w:val="C7A6E2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015CEF"/>
    <w:multiLevelType w:val="hybridMultilevel"/>
    <w:tmpl w:val="09F2E3FC"/>
    <w:lvl w:ilvl="0" w:tplc="6BD44400">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3CC4ED9"/>
    <w:multiLevelType w:val="hybridMultilevel"/>
    <w:tmpl w:val="C9C87E24"/>
    <w:lvl w:ilvl="0" w:tplc="6770B150">
      <w:start w:val="1"/>
      <w:numFmt w:val="bullet"/>
      <w:lvlText w:val=""/>
      <w:lvlJc w:val="left"/>
      <w:pPr>
        <w:ind w:left="720" w:hanging="360"/>
      </w:pPr>
      <w:rPr>
        <w:rFonts w:ascii="Wingdings" w:eastAsiaTheme="minorHAnsi" w:hAnsi="Wingdings"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 w15:restartNumberingAfterBreak="0">
    <w:nsid w:val="049F7072"/>
    <w:multiLevelType w:val="hybridMultilevel"/>
    <w:tmpl w:val="1198452A"/>
    <w:lvl w:ilvl="0" w:tplc="94446B40">
      <w:numFmt w:val="bullet"/>
      <w:lvlText w:val=""/>
      <w:lvlJc w:val="left"/>
      <w:pPr>
        <w:ind w:left="720" w:hanging="360"/>
      </w:pPr>
      <w:rPr>
        <w:rFonts w:ascii="Wingdings" w:eastAsiaTheme="minorHAnsi" w:hAnsi="Wingdings" w:cs="Courier New" w:hint="default"/>
        <w:color w:val="333333"/>
        <w:sz w:val="21"/>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B4753BD"/>
    <w:multiLevelType w:val="hybridMultilevel"/>
    <w:tmpl w:val="55285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F40E6"/>
    <w:multiLevelType w:val="hybridMultilevel"/>
    <w:tmpl w:val="8B6E76AA"/>
    <w:lvl w:ilvl="0" w:tplc="D59C816C">
      <w:numFmt w:val="bullet"/>
      <w:lvlText w:val="-"/>
      <w:lvlJc w:val="left"/>
      <w:pPr>
        <w:ind w:left="720" w:hanging="360"/>
      </w:pPr>
      <w:rPr>
        <w:rFonts w:ascii="Palatino Linotype" w:eastAsiaTheme="minorHAnsi" w:hAnsi="Palatino Linotype"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3EA1B54"/>
    <w:multiLevelType w:val="hybridMultilevel"/>
    <w:tmpl w:val="8750AEFE"/>
    <w:lvl w:ilvl="0" w:tplc="EE5E2980">
      <w:numFmt w:val="bullet"/>
      <w:lvlText w:val=""/>
      <w:lvlJc w:val="left"/>
      <w:pPr>
        <w:ind w:left="720" w:hanging="360"/>
      </w:pPr>
      <w:rPr>
        <w:rFonts w:ascii="Wingdings" w:eastAsiaTheme="minorHAnsi" w:hAnsi="Wingdings" w:cs="Courier New" w:hint="default"/>
        <w:color w:val="333333"/>
        <w:sz w:val="21"/>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4953D2A"/>
    <w:multiLevelType w:val="hybridMultilevel"/>
    <w:tmpl w:val="CCF21C04"/>
    <w:lvl w:ilvl="0" w:tplc="E66AEBBA">
      <w:numFmt w:val="bullet"/>
      <w:lvlText w:val=""/>
      <w:lvlJc w:val="left"/>
      <w:pPr>
        <w:ind w:left="720" w:hanging="360"/>
      </w:pPr>
      <w:rPr>
        <w:rFonts w:ascii="Wingdings" w:eastAsiaTheme="minorHAnsi" w:hAnsi="Wingdings" w:cs="Courier New" w:hint="default"/>
        <w:color w:val="333333"/>
        <w:sz w:val="21"/>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67A79AD"/>
    <w:multiLevelType w:val="hybridMultilevel"/>
    <w:tmpl w:val="ACDC24E4"/>
    <w:lvl w:ilvl="0" w:tplc="B73E55C4">
      <w:numFmt w:val="bullet"/>
      <w:lvlText w:val=""/>
      <w:lvlJc w:val="left"/>
      <w:pPr>
        <w:ind w:left="720" w:hanging="360"/>
      </w:pPr>
      <w:rPr>
        <w:rFonts w:ascii="Wingdings" w:eastAsiaTheme="minorHAnsi" w:hAnsi="Wingdings" w:cs="Courier New" w:hint="default"/>
        <w:color w:val="333333"/>
        <w:sz w:val="21"/>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F42557F"/>
    <w:multiLevelType w:val="hybridMultilevel"/>
    <w:tmpl w:val="0B44A1DE"/>
    <w:lvl w:ilvl="0" w:tplc="322C29AC">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3A115F6"/>
    <w:multiLevelType w:val="hybridMultilevel"/>
    <w:tmpl w:val="F30466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5E86AD7"/>
    <w:multiLevelType w:val="hybridMultilevel"/>
    <w:tmpl w:val="EFA40FA2"/>
    <w:lvl w:ilvl="0" w:tplc="50B832CA">
      <w:numFmt w:val="bullet"/>
      <w:lvlText w:val=""/>
      <w:lvlJc w:val="left"/>
      <w:pPr>
        <w:ind w:left="720" w:hanging="360"/>
      </w:pPr>
      <w:rPr>
        <w:rFonts w:ascii="Wingdings" w:eastAsiaTheme="minorHAnsi" w:hAnsi="Wingdings" w:cs="Courier New" w:hint="default"/>
        <w:color w:val="333333"/>
        <w:sz w:val="21"/>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8C24996"/>
    <w:multiLevelType w:val="hybridMultilevel"/>
    <w:tmpl w:val="1294F4A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3" w15:restartNumberingAfterBreak="0">
    <w:nsid w:val="2EAA7CAA"/>
    <w:multiLevelType w:val="hybridMultilevel"/>
    <w:tmpl w:val="AE0A2C8C"/>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4" w15:restartNumberingAfterBreak="0">
    <w:nsid w:val="3009764E"/>
    <w:multiLevelType w:val="hybridMultilevel"/>
    <w:tmpl w:val="AE7AED80"/>
    <w:lvl w:ilvl="0" w:tplc="E34691CC">
      <w:numFmt w:val="bullet"/>
      <w:lvlText w:val=""/>
      <w:lvlJc w:val="left"/>
      <w:pPr>
        <w:ind w:left="720" w:hanging="360"/>
      </w:pPr>
      <w:rPr>
        <w:rFonts w:ascii="Wingdings" w:eastAsiaTheme="minorHAnsi" w:hAnsi="Wingdings" w:cs="Courier New" w:hint="default"/>
        <w:color w:val="333333"/>
        <w:sz w:val="21"/>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3941253E"/>
    <w:multiLevelType w:val="hybridMultilevel"/>
    <w:tmpl w:val="25802388"/>
    <w:lvl w:ilvl="0" w:tplc="126E4D7C">
      <w:numFmt w:val="bullet"/>
      <w:lvlText w:val=""/>
      <w:lvlJc w:val="left"/>
      <w:pPr>
        <w:ind w:left="720" w:hanging="360"/>
      </w:pPr>
      <w:rPr>
        <w:rFonts w:ascii="Wingdings" w:eastAsiaTheme="minorHAnsi" w:hAnsi="Wingdings" w:cs="Courier New" w:hint="default"/>
        <w:color w:val="333333"/>
        <w:sz w:val="21"/>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5EF1812"/>
    <w:multiLevelType w:val="hybridMultilevel"/>
    <w:tmpl w:val="C740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7541402"/>
    <w:multiLevelType w:val="hybridMultilevel"/>
    <w:tmpl w:val="A392C452"/>
    <w:lvl w:ilvl="0" w:tplc="675829E6">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48731C1B"/>
    <w:multiLevelType w:val="hybridMultilevel"/>
    <w:tmpl w:val="472231F6"/>
    <w:lvl w:ilvl="0" w:tplc="935247D0">
      <w:numFmt w:val="bullet"/>
      <w:lvlText w:val=""/>
      <w:lvlJc w:val="left"/>
      <w:pPr>
        <w:ind w:left="720" w:hanging="360"/>
      </w:pPr>
      <w:rPr>
        <w:rFonts w:ascii="Wingdings" w:eastAsiaTheme="minorHAnsi" w:hAnsi="Wingdings" w:cs="Courier New" w:hint="default"/>
        <w:color w:val="333333"/>
        <w:sz w:val="21"/>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218197D"/>
    <w:multiLevelType w:val="hybridMultilevel"/>
    <w:tmpl w:val="EF66E3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7E4700A"/>
    <w:multiLevelType w:val="hybridMultilevel"/>
    <w:tmpl w:val="C6BA50AE"/>
    <w:lvl w:ilvl="0" w:tplc="A136FC82">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6F137B27"/>
    <w:multiLevelType w:val="hybridMultilevel"/>
    <w:tmpl w:val="D77AF5A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712C7868"/>
    <w:multiLevelType w:val="hybridMultilevel"/>
    <w:tmpl w:val="EE2EE2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75E9350E"/>
    <w:multiLevelType w:val="hybridMultilevel"/>
    <w:tmpl w:val="B956C054"/>
    <w:lvl w:ilvl="0" w:tplc="1390C964">
      <w:numFmt w:val="bullet"/>
      <w:lvlText w:val=""/>
      <w:lvlJc w:val="left"/>
      <w:pPr>
        <w:ind w:left="720" w:hanging="360"/>
      </w:pPr>
      <w:rPr>
        <w:rFonts w:ascii="Wingdings" w:eastAsiaTheme="minorHAnsi" w:hAnsi="Wingdings" w:cs="Courier New" w:hint="default"/>
        <w:color w:val="333333"/>
        <w:sz w:val="21"/>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76974744"/>
    <w:multiLevelType w:val="hybridMultilevel"/>
    <w:tmpl w:val="8F3EE778"/>
    <w:lvl w:ilvl="0" w:tplc="45788CD0">
      <w:start w:val="18"/>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7BAE1442"/>
    <w:multiLevelType w:val="hybridMultilevel"/>
    <w:tmpl w:val="BD7230F8"/>
    <w:lvl w:ilvl="0" w:tplc="CF6AA378">
      <w:numFmt w:val="bullet"/>
      <w:lvlText w:val=""/>
      <w:lvlJc w:val="left"/>
      <w:pPr>
        <w:ind w:left="720" w:hanging="360"/>
      </w:pPr>
      <w:rPr>
        <w:rFonts w:ascii="Wingdings" w:eastAsiaTheme="minorHAnsi" w:hAnsi="Wingdings" w:cs="Courier New" w:hint="default"/>
        <w:color w:val="333333"/>
        <w:sz w:val="21"/>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16"/>
  </w:num>
  <w:num w:numId="4">
    <w:abstractNumId w:val="19"/>
  </w:num>
  <w:num w:numId="5">
    <w:abstractNumId w:val="10"/>
  </w:num>
  <w:num w:numId="6">
    <w:abstractNumId w:val="4"/>
  </w:num>
  <w:num w:numId="7">
    <w:abstractNumId w:val="0"/>
  </w:num>
  <w:num w:numId="8">
    <w:abstractNumId w:val="5"/>
  </w:num>
  <w:num w:numId="9">
    <w:abstractNumId w:val="1"/>
  </w:num>
  <w:num w:numId="10">
    <w:abstractNumId w:val="21"/>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1"/>
  </w:num>
  <w:num w:numId="16">
    <w:abstractNumId w:val="15"/>
  </w:num>
  <w:num w:numId="17">
    <w:abstractNumId w:val="14"/>
  </w:num>
  <w:num w:numId="18">
    <w:abstractNumId w:val="3"/>
  </w:num>
  <w:num w:numId="19">
    <w:abstractNumId w:val="8"/>
  </w:num>
  <w:num w:numId="20">
    <w:abstractNumId w:val="18"/>
  </w:num>
  <w:num w:numId="21">
    <w:abstractNumId w:val="6"/>
  </w:num>
  <w:num w:numId="22">
    <w:abstractNumId w:val="23"/>
  </w:num>
  <w:num w:numId="23">
    <w:abstractNumId w:val="9"/>
  </w:num>
  <w:num w:numId="24">
    <w:abstractNumId w:val="25"/>
  </w:num>
  <w:num w:numId="25">
    <w:abstractNumId w:val="17"/>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95"/>
    <w:rsid w:val="00024E79"/>
    <w:rsid w:val="000344E4"/>
    <w:rsid w:val="0003626D"/>
    <w:rsid w:val="00037500"/>
    <w:rsid w:val="00042470"/>
    <w:rsid w:val="00050CAD"/>
    <w:rsid w:val="00055549"/>
    <w:rsid w:val="00061138"/>
    <w:rsid w:val="00061CA4"/>
    <w:rsid w:val="0006527B"/>
    <w:rsid w:val="00066507"/>
    <w:rsid w:val="00080530"/>
    <w:rsid w:val="00096A6B"/>
    <w:rsid w:val="000A17BD"/>
    <w:rsid w:val="000A6561"/>
    <w:rsid w:val="000B0571"/>
    <w:rsid w:val="000B185C"/>
    <w:rsid w:val="000B2444"/>
    <w:rsid w:val="000B496C"/>
    <w:rsid w:val="000B4EFF"/>
    <w:rsid w:val="000C0D32"/>
    <w:rsid w:val="000C679B"/>
    <w:rsid w:val="000D06B1"/>
    <w:rsid w:val="000D175A"/>
    <w:rsid w:val="000D5144"/>
    <w:rsid w:val="000D7672"/>
    <w:rsid w:val="000E0598"/>
    <w:rsid w:val="000F0D09"/>
    <w:rsid w:val="000F44AA"/>
    <w:rsid w:val="00100A75"/>
    <w:rsid w:val="00101337"/>
    <w:rsid w:val="00104392"/>
    <w:rsid w:val="0010493D"/>
    <w:rsid w:val="00112E78"/>
    <w:rsid w:val="00114BD7"/>
    <w:rsid w:val="00117810"/>
    <w:rsid w:val="001313CF"/>
    <w:rsid w:val="00131B94"/>
    <w:rsid w:val="00132446"/>
    <w:rsid w:val="00134673"/>
    <w:rsid w:val="00144D03"/>
    <w:rsid w:val="00153326"/>
    <w:rsid w:val="00160063"/>
    <w:rsid w:val="00166195"/>
    <w:rsid w:val="00166A6F"/>
    <w:rsid w:val="00173426"/>
    <w:rsid w:val="0018007B"/>
    <w:rsid w:val="001872F5"/>
    <w:rsid w:val="001A6249"/>
    <w:rsid w:val="001A678E"/>
    <w:rsid w:val="001A69B0"/>
    <w:rsid w:val="001B3594"/>
    <w:rsid w:val="001B6466"/>
    <w:rsid w:val="001B65C6"/>
    <w:rsid w:val="001C0D03"/>
    <w:rsid w:val="001C37C8"/>
    <w:rsid w:val="001C4D30"/>
    <w:rsid w:val="001E0E69"/>
    <w:rsid w:val="001E3E68"/>
    <w:rsid w:val="001F1F65"/>
    <w:rsid w:val="00202111"/>
    <w:rsid w:val="0020242C"/>
    <w:rsid w:val="00207A10"/>
    <w:rsid w:val="00214CA4"/>
    <w:rsid w:val="00217158"/>
    <w:rsid w:val="00220BBF"/>
    <w:rsid w:val="00221F13"/>
    <w:rsid w:val="00223EE1"/>
    <w:rsid w:val="00226EBA"/>
    <w:rsid w:val="0022780A"/>
    <w:rsid w:val="002331C5"/>
    <w:rsid w:val="002467E7"/>
    <w:rsid w:val="00250A70"/>
    <w:rsid w:val="0025343F"/>
    <w:rsid w:val="002556C3"/>
    <w:rsid w:val="00263A5B"/>
    <w:rsid w:val="00264435"/>
    <w:rsid w:val="00271C63"/>
    <w:rsid w:val="00276C82"/>
    <w:rsid w:val="00283B5D"/>
    <w:rsid w:val="00286ACD"/>
    <w:rsid w:val="0029214C"/>
    <w:rsid w:val="00292288"/>
    <w:rsid w:val="00292DE0"/>
    <w:rsid w:val="002A1335"/>
    <w:rsid w:val="002A22E7"/>
    <w:rsid w:val="002A48CA"/>
    <w:rsid w:val="002A7EE5"/>
    <w:rsid w:val="002B13F7"/>
    <w:rsid w:val="002B169A"/>
    <w:rsid w:val="002B265E"/>
    <w:rsid w:val="002B3522"/>
    <w:rsid w:val="002B3892"/>
    <w:rsid w:val="002C0409"/>
    <w:rsid w:val="002D019B"/>
    <w:rsid w:val="002D26E0"/>
    <w:rsid w:val="002D4F7E"/>
    <w:rsid w:val="002D5005"/>
    <w:rsid w:val="002D5513"/>
    <w:rsid w:val="002D6C3E"/>
    <w:rsid w:val="002D75D1"/>
    <w:rsid w:val="002E550E"/>
    <w:rsid w:val="002E73F9"/>
    <w:rsid w:val="002F0DBB"/>
    <w:rsid w:val="002F4BB2"/>
    <w:rsid w:val="00306CE2"/>
    <w:rsid w:val="00306F31"/>
    <w:rsid w:val="00316D12"/>
    <w:rsid w:val="00322BC4"/>
    <w:rsid w:val="00323F62"/>
    <w:rsid w:val="00330EC4"/>
    <w:rsid w:val="00331C8C"/>
    <w:rsid w:val="00333318"/>
    <w:rsid w:val="00342B3D"/>
    <w:rsid w:val="00343F44"/>
    <w:rsid w:val="00344778"/>
    <w:rsid w:val="003543DC"/>
    <w:rsid w:val="003545F0"/>
    <w:rsid w:val="00356447"/>
    <w:rsid w:val="00361135"/>
    <w:rsid w:val="003655A2"/>
    <w:rsid w:val="00370BB2"/>
    <w:rsid w:val="0037778A"/>
    <w:rsid w:val="00377BA3"/>
    <w:rsid w:val="0038101C"/>
    <w:rsid w:val="00386A09"/>
    <w:rsid w:val="003B2E48"/>
    <w:rsid w:val="003B37AF"/>
    <w:rsid w:val="003B3B0F"/>
    <w:rsid w:val="003B526B"/>
    <w:rsid w:val="003B7CB3"/>
    <w:rsid w:val="003C2DC9"/>
    <w:rsid w:val="003C5A15"/>
    <w:rsid w:val="003D101F"/>
    <w:rsid w:val="003D2AA4"/>
    <w:rsid w:val="004057EF"/>
    <w:rsid w:val="004210CE"/>
    <w:rsid w:val="00421ECC"/>
    <w:rsid w:val="00422E7D"/>
    <w:rsid w:val="0042405C"/>
    <w:rsid w:val="00425A05"/>
    <w:rsid w:val="00432506"/>
    <w:rsid w:val="00433358"/>
    <w:rsid w:val="00434FBF"/>
    <w:rsid w:val="004374A4"/>
    <w:rsid w:val="00442FDB"/>
    <w:rsid w:val="00446B60"/>
    <w:rsid w:val="00452746"/>
    <w:rsid w:val="004565D1"/>
    <w:rsid w:val="00457B1D"/>
    <w:rsid w:val="00472A19"/>
    <w:rsid w:val="004758E5"/>
    <w:rsid w:val="00482D9E"/>
    <w:rsid w:val="004928D8"/>
    <w:rsid w:val="004933CD"/>
    <w:rsid w:val="00494359"/>
    <w:rsid w:val="004A287F"/>
    <w:rsid w:val="004A3FCA"/>
    <w:rsid w:val="004B7CAD"/>
    <w:rsid w:val="004C0947"/>
    <w:rsid w:val="004D1C13"/>
    <w:rsid w:val="004D5605"/>
    <w:rsid w:val="004D6FD3"/>
    <w:rsid w:val="004E3F7E"/>
    <w:rsid w:val="004F28FB"/>
    <w:rsid w:val="004F5B9A"/>
    <w:rsid w:val="004F5E35"/>
    <w:rsid w:val="005058D1"/>
    <w:rsid w:val="00512A1B"/>
    <w:rsid w:val="00515018"/>
    <w:rsid w:val="00515306"/>
    <w:rsid w:val="00515A35"/>
    <w:rsid w:val="00521B75"/>
    <w:rsid w:val="00522693"/>
    <w:rsid w:val="00527185"/>
    <w:rsid w:val="005346DD"/>
    <w:rsid w:val="00544D37"/>
    <w:rsid w:val="005464FF"/>
    <w:rsid w:val="00552365"/>
    <w:rsid w:val="00554443"/>
    <w:rsid w:val="0056097F"/>
    <w:rsid w:val="005616AD"/>
    <w:rsid w:val="005629D4"/>
    <w:rsid w:val="00581B6A"/>
    <w:rsid w:val="0059149C"/>
    <w:rsid w:val="005921F1"/>
    <w:rsid w:val="005A243F"/>
    <w:rsid w:val="005A4E7E"/>
    <w:rsid w:val="005C12E5"/>
    <w:rsid w:val="005C5E18"/>
    <w:rsid w:val="005D5DB4"/>
    <w:rsid w:val="005E2D99"/>
    <w:rsid w:val="005E3510"/>
    <w:rsid w:val="005E681F"/>
    <w:rsid w:val="005F7F47"/>
    <w:rsid w:val="0062564C"/>
    <w:rsid w:val="00627185"/>
    <w:rsid w:val="006346F1"/>
    <w:rsid w:val="00635A8E"/>
    <w:rsid w:val="00642536"/>
    <w:rsid w:val="0064725E"/>
    <w:rsid w:val="006529AC"/>
    <w:rsid w:val="006558B0"/>
    <w:rsid w:val="006626BC"/>
    <w:rsid w:val="00663665"/>
    <w:rsid w:val="00671D61"/>
    <w:rsid w:val="00675C57"/>
    <w:rsid w:val="006773F2"/>
    <w:rsid w:val="00681DC3"/>
    <w:rsid w:val="0068318D"/>
    <w:rsid w:val="00692786"/>
    <w:rsid w:val="0069445A"/>
    <w:rsid w:val="006A297D"/>
    <w:rsid w:val="006B1623"/>
    <w:rsid w:val="006C530D"/>
    <w:rsid w:val="006D4AAB"/>
    <w:rsid w:val="006D50D1"/>
    <w:rsid w:val="00717EB6"/>
    <w:rsid w:val="00724301"/>
    <w:rsid w:val="007271C2"/>
    <w:rsid w:val="007274EE"/>
    <w:rsid w:val="0073140D"/>
    <w:rsid w:val="00735166"/>
    <w:rsid w:val="0074410E"/>
    <w:rsid w:val="00757A64"/>
    <w:rsid w:val="007608F9"/>
    <w:rsid w:val="00764727"/>
    <w:rsid w:val="00765186"/>
    <w:rsid w:val="00765FBB"/>
    <w:rsid w:val="00774593"/>
    <w:rsid w:val="00774F1C"/>
    <w:rsid w:val="007822B2"/>
    <w:rsid w:val="00786583"/>
    <w:rsid w:val="007A1DD5"/>
    <w:rsid w:val="007A3578"/>
    <w:rsid w:val="007B23C7"/>
    <w:rsid w:val="007B349A"/>
    <w:rsid w:val="007B5F7D"/>
    <w:rsid w:val="007B786C"/>
    <w:rsid w:val="007C7753"/>
    <w:rsid w:val="007D1E37"/>
    <w:rsid w:val="007D3F6B"/>
    <w:rsid w:val="007F0533"/>
    <w:rsid w:val="007F56F3"/>
    <w:rsid w:val="007F5830"/>
    <w:rsid w:val="007F7AB9"/>
    <w:rsid w:val="008023C7"/>
    <w:rsid w:val="00803F88"/>
    <w:rsid w:val="008122B2"/>
    <w:rsid w:val="00812759"/>
    <w:rsid w:val="00822F32"/>
    <w:rsid w:val="00840D17"/>
    <w:rsid w:val="00847813"/>
    <w:rsid w:val="00860402"/>
    <w:rsid w:val="00863CA6"/>
    <w:rsid w:val="008774CB"/>
    <w:rsid w:val="00884946"/>
    <w:rsid w:val="00885F1B"/>
    <w:rsid w:val="0088671C"/>
    <w:rsid w:val="00891278"/>
    <w:rsid w:val="008918C7"/>
    <w:rsid w:val="008A0505"/>
    <w:rsid w:val="008A61D1"/>
    <w:rsid w:val="008A6D19"/>
    <w:rsid w:val="008B0F88"/>
    <w:rsid w:val="008B4D37"/>
    <w:rsid w:val="008B7769"/>
    <w:rsid w:val="008B7FA3"/>
    <w:rsid w:val="008D19B4"/>
    <w:rsid w:val="008D2588"/>
    <w:rsid w:val="008D608F"/>
    <w:rsid w:val="008E7583"/>
    <w:rsid w:val="0090052C"/>
    <w:rsid w:val="00901014"/>
    <w:rsid w:val="00902B2A"/>
    <w:rsid w:val="009044CB"/>
    <w:rsid w:val="00925E4E"/>
    <w:rsid w:val="00926B97"/>
    <w:rsid w:val="00932164"/>
    <w:rsid w:val="00934E06"/>
    <w:rsid w:val="00941195"/>
    <w:rsid w:val="00947920"/>
    <w:rsid w:val="00952BB8"/>
    <w:rsid w:val="00962803"/>
    <w:rsid w:val="00963985"/>
    <w:rsid w:val="009660B5"/>
    <w:rsid w:val="009830EB"/>
    <w:rsid w:val="009857F7"/>
    <w:rsid w:val="009976B2"/>
    <w:rsid w:val="009A036C"/>
    <w:rsid w:val="009A72E9"/>
    <w:rsid w:val="009B2278"/>
    <w:rsid w:val="009B6F13"/>
    <w:rsid w:val="009C0EC7"/>
    <w:rsid w:val="009D2ED3"/>
    <w:rsid w:val="009D3AAF"/>
    <w:rsid w:val="009D7B80"/>
    <w:rsid w:val="009E0596"/>
    <w:rsid w:val="009E1176"/>
    <w:rsid w:val="009E1CEE"/>
    <w:rsid w:val="009E5EA4"/>
    <w:rsid w:val="009E7486"/>
    <w:rsid w:val="009F342B"/>
    <w:rsid w:val="009F7238"/>
    <w:rsid w:val="00A02123"/>
    <w:rsid w:val="00A07A19"/>
    <w:rsid w:val="00A107CE"/>
    <w:rsid w:val="00A15079"/>
    <w:rsid w:val="00A152B5"/>
    <w:rsid w:val="00A17DEC"/>
    <w:rsid w:val="00A22CA5"/>
    <w:rsid w:val="00A23779"/>
    <w:rsid w:val="00A27258"/>
    <w:rsid w:val="00A35DB8"/>
    <w:rsid w:val="00A51127"/>
    <w:rsid w:val="00A53E73"/>
    <w:rsid w:val="00A62497"/>
    <w:rsid w:val="00A63E3E"/>
    <w:rsid w:val="00A641BB"/>
    <w:rsid w:val="00A7094A"/>
    <w:rsid w:val="00A72B9D"/>
    <w:rsid w:val="00A755E8"/>
    <w:rsid w:val="00A85197"/>
    <w:rsid w:val="00A85829"/>
    <w:rsid w:val="00A94F4E"/>
    <w:rsid w:val="00A964F0"/>
    <w:rsid w:val="00A97663"/>
    <w:rsid w:val="00AA26E6"/>
    <w:rsid w:val="00AB223D"/>
    <w:rsid w:val="00AC088C"/>
    <w:rsid w:val="00AC3D36"/>
    <w:rsid w:val="00AC553E"/>
    <w:rsid w:val="00AC7CBC"/>
    <w:rsid w:val="00AD0E33"/>
    <w:rsid w:val="00AD129C"/>
    <w:rsid w:val="00AD2651"/>
    <w:rsid w:val="00AD343E"/>
    <w:rsid w:val="00AD7218"/>
    <w:rsid w:val="00AE4FF4"/>
    <w:rsid w:val="00AF08CB"/>
    <w:rsid w:val="00AF68BB"/>
    <w:rsid w:val="00B02AAF"/>
    <w:rsid w:val="00B137D0"/>
    <w:rsid w:val="00B33387"/>
    <w:rsid w:val="00B35ADB"/>
    <w:rsid w:val="00B35C96"/>
    <w:rsid w:val="00B375E1"/>
    <w:rsid w:val="00B4316F"/>
    <w:rsid w:val="00B46B65"/>
    <w:rsid w:val="00B77C7C"/>
    <w:rsid w:val="00B81557"/>
    <w:rsid w:val="00B84F39"/>
    <w:rsid w:val="00B91C66"/>
    <w:rsid w:val="00B9449F"/>
    <w:rsid w:val="00BA1135"/>
    <w:rsid w:val="00BB088B"/>
    <w:rsid w:val="00BB59BC"/>
    <w:rsid w:val="00BB708F"/>
    <w:rsid w:val="00BC1A05"/>
    <w:rsid w:val="00BC1A75"/>
    <w:rsid w:val="00BC36A3"/>
    <w:rsid w:val="00BC54BA"/>
    <w:rsid w:val="00BD3A74"/>
    <w:rsid w:val="00BD3B44"/>
    <w:rsid w:val="00BF366F"/>
    <w:rsid w:val="00BF4649"/>
    <w:rsid w:val="00BF5717"/>
    <w:rsid w:val="00C0056D"/>
    <w:rsid w:val="00C0124B"/>
    <w:rsid w:val="00C04DED"/>
    <w:rsid w:val="00C055DC"/>
    <w:rsid w:val="00C13141"/>
    <w:rsid w:val="00C16446"/>
    <w:rsid w:val="00C17F02"/>
    <w:rsid w:val="00C37958"/>
    <w:rsid w:val="00C423E9"/>
    <w:rsid w:val="00C4703E"/>
    <w:rsid w:val="00C50B9E"/>
    <w:rsid w:val="00C519BF"/>
    <w:rsid w:val="00C55F9D"/>
    <w:rsid w:val="00C571B1"/>
    <w:rsid w:val="00C64E66"/>
    <w:rsid w:val="00C660D4"/>
    <w:rsid w:val="00C7341F"/>
    <w:rsid w:val="00C742F5"/>
    <w:rsid w:val="00C74C14"/>
    <w:rsid w:val="00C76451"/>
    <w:rsid w:val="00C77F0B"/>
    <w:rsid w:val="00C82841"/>
    <w:rsid w:val="00C82D75"/>
    <w:rsid w:val="00C850A1"/>
    <w:rsid w:val="00C862F6"/>
    <w:rsid w:val="00C9431F"/>
    <w:rsid w:val="00C957D2"/>
    <w:rsid w:val="00CB5B85"/>
    <w:rsid w:val="00CB5DAC"/>
    <w:rsid w:val="00CC0B17"/>
    <w:rsid w:val="00CD0B9F"/>
    <w:rsid w:val="00CD0C87"/>
    <w:rsid w:val="00CE5542"/>
    <w:rsid w:val="00D01B9E"/>
    <w:rsid w:val="00D104B3"/>
    <w:rsid w:val="00D1192E"/>
    <w:rsid w:val="00D14511"/>
    <w:rsid w:val="00D31D3E"/>
    <w:rsid w:val="00D44B40"/>
    <w:rsid w:val="00D574D3"/>
    <w:rsid w:val="00D5795C"/>
    <w:rsid w:val="00D57B26"/>
    <w:rsid w:val="00D6478F"/>
    <w:rsid w:val="00D6589E"/>
    <w:rsid w:val="00D65C36"/>
    <w:rsid w:val="00D6700D"/>
    <w:rsid w:val="00D67822"/>
    <w:rsid w:val="00D70030"/>
    <w:rsid w:val="00D70CD3"/>
    <w:rsid w:val="00D741A9"/>
    <w:rsid w:val="00D7444C"/>
    <w:rsid w:val="00D76C46"/>
    <w:rsid w:val="00D76FF4"/>
    <w:rsid w:val="00D8668B"/>
    <w:rsid w:val="00D91A9F"/>
    <w:rsid w:val="00DB1D51"/>
    <w:rsid w:val="00DC3CC2"/>
    <w:rsid w:val="00DD3F57"/>
    <w:rsid w:val="00DE2BEF"/>
    <w:rsid w:val="00DE7FB6"/>
    <w:rsid w:val="00DF4F9A"/>
    <w:rsid w:val="00E02188"/>
    <w:rsid w:val="00E02A68"/>
    <w:rsid w:val="00E23EDC"/>
    <w:rsid w:val="00E26F96"/>
    <w:rsid w:val="00E27286"/>
    <w:rsid w:val="00E374DF"/>
    <w:rsid w:val="00E379E0"/>
    <w:rsid w:val="00E4172E"/>
    <w:rsid w:val="00E41F42"/>
    <w:rsid w:val="00E43A1A"/>
    <w:rsid w:val="00E454E2"/>
    <w:rsid w:val="00E46898"/>
    <w:rsid w:val="00E54C3F"/>
    <w:rsid w:val="00E57093"/>
    <w:rsid w:val="00E60D9E"/>
    <w:rsid w:val="00E637A8"/>
    <w:rsid w:val="00E668C5"/>
    <w:rsid w:val="00E70188"/>
    <w:rsid w:val="00E70B13"/>
    <w:rsid w:val="00E76BA2"/>
    <w:rsid w:val="00E814BD"/>
    <w:rsid w:val="00E86BBF"/>
    <w:rsid w:val="00E907E8"/>
    <w:rsid w:val="00E93666"/>
    <w:rsid w:val="00EA49DA"/>
    <w:rsid w:val="00EB2CB8"/>
    <w:rsid w:val="00EB30BC"/>
    <w:rsid w:val="00EC32AC"/>
    <w:rsid w:val="00ED0478"/>
    <w:rsid w:val="00ED23CD"/>
    <w:rsid w:val="00EE1F32"/>
    <w:rsid w:val="00EE23CB"/>
    <w:rsid w:val="00EE3924"/>
    <w:rsid w:val="00EE4C06"/>
    <w:rsid w:val="00EF31F3"/>
    <w:rsid w:val="00F023B6"/>
    <w:rsid w:val="00F02EDB"/>
    <w:rsid w:val="00F040ED"/>
    <w:rsid w:val="00F062A4"/>
    <w:rsid w:val="00F07B67"/>
    <w:rsid w:val="00F22C45"/>
    <w:rsid w:val="00F277B9"/>
    <w:rsid w:val="00F3041F"/>
    <w:rsid w:val="00F37D90"/>
    <w:rsid w:val="00F403FC"/>
    <w:rsid w:val="00F45717"/>
    <w:rsid w:val="00F50493"/>
    <w:rsid w:val="00F5271B"/>
    <w:rsid w:val="00F54441"/>
    <w:rsid w:val="00F6113F"/>
    <w:rsid w:val="00F6256B"/>
    <w:rsid w:val="00F62CBD"/>
    <w:rsid w:val="00F6786D"/>
    <w:rsid w:val="00F7045F"/>
    <w:rsid w:val="00F71822"/>
    <w:rsid w:val="00F72D4B"/>
    <w:rsid w:val="00F755A2"/>
    <w:rsid w:val="00F8273D"/>
    <w:rsid w:val="00F82896"/>
    <w:rsid w:val="00F848C9"/>
    <w:rsid w:val="00F871B7"/>
    <w:rsid w:val="00F92D10"/>
    <w:rsid w:val="00FA107F"/>
    <w:rsid w:val="00FA287C"/>
    <w:rsid w:val="00FA66AA"/>
    <w:rsid w:val="00FA6774"/>
    <w:rsid w:val="00FB716A"/>
    <w:rsid w:val="00FD3E89"/>
    <w:rsid w:val="00FE008D"/>
    <w:rsid w:val="00FE151C"/>
    <w:rsid w:val="00FE5F05"/>
    <w:rsid w:val="00FF317B"/>
    <w:rsid w:val="00FF6C80"/>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4AA34C"/>
  <w15:docId w15:val="{15360FE3-D177-47DB-8A48-E01E70CD2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82D75"/>
    <w:rPr>
      <w:sz w:val="16"/>
      <w:szCs w:val="16"/>
    </w:rPr>
  </w:style>
  <w:style w:type="paragraph" w:styleId="CommentText">
    <w:name w:val="annotation text"/>
    <w:basedOn w:val="Normal"/>
    <w:link w:val="CommentTextChar"/>
    <w:uiPriority w:val="99"/>
    <w:unhideWhenUsed/>
    <w:rsid w:val="00C82D75"/>
    <w:pPr>
      <w:spacing w:line="240" w:lineRule="auto"/>
    </w:pPr>
    <w:rPr>
      <w:sz w:val="20"/>
      <w:szCs w:val="20"/>
    </w:rPr>
  </w:style>
  <w:style w:type="character" w:customStyle="1" w:styleId="CommentTextChar">
    <w:name w:val="Comment Text Char"/>
    <w:basedOn w:val="DefaultParagraphFont"/>
    <w:link w:val="CommentText"/>
    <w:uiPriority w:val="99"/>
    <w:rsid w:val="00C82D75"/>
    <w:rPr>
      <w:sz w:val="20"/>
      <w:szCs w:val="20"/>
    </w:rPr>
  </w:style>
  <w:style w:type="paragraph" w:styleId="CommentSubject">
    <w:name w:val="annotation subject"/>
    <w:basedOn w:val="CommentText"/>
    <w:next w:val="CommentText"/>
    <w:link w:val="CommentSubjectChar"/>
    <w:uiPriority w:val="99"/>
    <w:semiHidden/>
    <w:unhideWhenUsed/>
    <w:rsid w:val="00C82D75"/>
    <w:rPr>
      <w:b/>
      <w:bCs/>
    </w:rPr>
  </w:style>
  <w:style w:type="character" w:customStyle="1" w:styleId="CommentSubjectChar">
    <w:name w:val="Comment Subject Char"/>
    <w:basedOn w:val="CommentTextChar"/>
    <w:link w:val="CommentSubject"/>
    <w:uiPriority w:val="99"/>
    <w:semiHidden/>
    <w:rsid w:val="00C82D75"/>
    <w:rPr>
      <w:b/>
      <w:bCs/>
      <w:sz w:val="20"/>
      <w:szCs w:val="20"/>
    </w:rPr>
  </w:style>
  <w:style w:type="paragraph" w:styleId="BalloonText">
    <w:name w:val="Balloon Text"/>
    <w:basedOn w:val="Normal"/>
    <w:link w:val="BalloonTextChar"/>
    <w:uiPriority w:val="99"/>
    <w:semiHidden/>
    <w:unhideWhenUsed/>
    <w:rsid w:val="00C82D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D75"/>
    <w:rPr>
      <w:rFonts w:ascii="Segoe UI" w:hAnsi="Segoe UI" w:cs="Segoe UI"/>
      <w:sz w:val="18"/>
      <w:szCs w:val="18"/>
    </w:rPr>
  </w:style>
  <w:style w:type="paragraph" w:styleId="ListParagraph">
    <w:name w:val="List Paragraph"/>
    <w:basedOn w:val="Normal"/>
    <w:uiPriority w:val="34"/>
    <w:qFormat/>
    <w:rsid w:val="001B6466"/>
    <w:pPr>
      <w:ind w:left="720"/>
      <w:contextualSpacing/>
    </w:pPr>
  </w:style>
  <w:style w:type="character" w:styleId="Hyperlink">
    <w:name w:val="Hyperlink"/>
    <w:basedOn w:val="DefaultParagraphFont"/>
    <w:uiPriority w:val="99"/>
    <w:unhideWhenUsed/>
    <w:rsid w:val="00B35C96"/>
    <w:rPr>
      <w:color w:val="0000FF"/>
      <w:u w:val="single"/>
    </w:rPr>
  </w:style>
  <w:style w:type="table" w:styleId="TableGrid">
    <w:name w:val="Table Grid"/>
    <w:basedOn w:val="TableNormal"/>
    <w:uiPriority w:val="39"/>
    <w:rsid w:val="003B3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8D19B4"/>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Mentionnonrsolue1">
    <w:name w:val="Mention non résolue1"/>
    <w:basedOn w:val="DefaultParagraphFont"/>
    <w:uiPriority w:val="99"/>
    <w:semiHidden/>
    <w:unhideWhenUsed/>
    <w:rsid w:val="008D19B4"/>
    <w:rPr>
      <w:color w:val="605E5C"/>
      <w:shd w:val="clear" w:color="auto" w:fill="E1DFDD"/>
    </w:rPr>
  </w:style>
  <w:style w:type="paragraph" w:styleId="Title">
    <w:name w:val="Title"/>
    <w:aliases w:val="title"/>
    <w:basedOn w:val="Normal"/>
    <w:link w:val="TitleChar"/>
    <w:uiPriority w:val="10"/>
    <w:qFormat/>
    <w:rsid w:val="004928D8"/>
    <w:pPr>
      <w:spacing w:before="100" w:beforeAutospacing="1" w:after="100" w:afterAutospacing="1" w:line="240" w:lineRule="auto"/>
    </w:pPr>
    <w:rPr>
      <w:rFonts w:ascii="Times New Roman" w:hAnsi="Times New Roman" w:cs="Times New Roman"/>
      <w:sz w:val="24"/>
      <w:szCs w:val="24"/>
      <w:lang w:val="en-US"/>
    </w:rPr>
  </w:style>
  <w:style w:type="character" w:customStyle="1" w:styleId="TitleChar">
    <w:name w:val="Title Char"/>
    <w:aliases w:val="title Char"/>
    <w:basedOn w:val="DefaultParagraphFont"/>
    <w:link w:val="Title"/>
    <w:uiPriority w:val="10"/>
    <w:rsid w:val="004928D8"/>
    <w:rPr>
      <w:rFonts w:ascii="Times New Roman" w:hAnsi="Times New Roman" w:cs="Times New Roman"/>
      <w:sz w:val="24"/>
      <w:szCs w:val="24"/>
      <w:lang w:val="en-US"/>
    </w:rPr>
  </w:style>
  <w:style w:type="paragraph" w:customStyle="1" w:styleId="desc">
    <w:name w:val="desc"/>
    <w:basedOn w:val="Normal"/>
    <w:rsid w:val="004928D8"/>
    <w:pPr>
      <w:spacing w:before="100" w:beforeAutospacing="1" w:after="100" w:afterAutospacing="1" w:line="240" w:lineRule="auto"/>
    </w:pPr>
    <w:rPr>
      <w:rFonts w:ascii="Times New Roman" w:hAnsi="Times New Roman" w:cs="Times New Roman"/>
      <w:sz w:val="24"/>
      <w:szCs w:val="24"/>
      <w:lang w:val="en-US"/>
    </w:rPr>
  </w:style>
  <w:style w:type="character" w:customStyle="1" w:styleId="apple-converted-space">
    <w:name w:val="apple-converted-space"/>
    <w:basedOn w:val="DefaultParagraphFont"/>
    <w:rsid w:val="004928D8"/>
  </w:style>
  <w:style w:type="paragraph" w:customStyle="1" w:styleId="details">
    <w:name w:val="details"/>
    <w:basedOn w:val="Normal"/>
    <w:rsid w:val="004928D8"/>
    <w:pPr>
      <w:spacing w:before="100" w:beforeAutospacing="1" w:after="100" w:afterAutospacing="1" w:line="240" w:lineRule="auto"/>
    </w:pPr>
    <w:rPr>
      <w:rFonts w:ascii="Times New Roman" w:hAnsi="Times New Roman" w:cs="Times New Roman"/>
      <w:sz w:val="24"/>
      <w:szCs w:val="24"/>
      <w:lang w:val="en-US"/>
    </w:rPr>
  </w:style>
  <w:style w:type="character" w:customStyle="1" w:styleId="jrnl">
    <w:name w:val="jrnl"/>
    <w:basedOn w:val="DefaultParagraphFont"/>
    <w:rsid w:val="004928D8"/>
  </w:style>
  <w:style w:type="paragraph" w:styleId="BodyText">
    <w:name w:val="Body Text"/>
    <w:basedOn w:val="Normal"/>
    <w:link w:val="BodyTextChar"/>
    <w:uiPriority w:val="99"/>
    <w:rsid w:val="006D50D1"/>
    <w:pPr>
      <w:spacing w:after="0" w:line="480" w:lineRule="auto"/>
    </w:pPr>
    <w:rPr>
      <w:rFonts w:ascii="Times New Roman" w:eastAsia="MS Mincho" w:hAnsi="Times New Roman" w:cs="Times New Roman"/>
      <w:sz w:val="24"/>
      <w:szCs w:val="20"/>
      <w:lang w:val="en-GB" w:eastAsia="fr-FR"/>
    </w:rPr>
  </w:style>
  <w:style w:type="character" w:customStyle="1" w:styleId="BodyTextChar">
    <w:name w:val="Body Text Char"/>
    <w:basedOn w:val="DefaultParagraphFont"/>
    <w:link w:val="BodyText"/>
    <w:uiPriority w:val="99"/>
    <w:rsid w:val="006D50D1"/>
    <w:rPr>
      <w:rFonts w:ascii="Times New Roman" w:eastAsia="MS Mincho" w:hAnsi="Times New Roman" w:cs="Times New Roman"/>
      <w:sz w:val="24"/>
      <w:szCs w:val="20"/>
      <w:lang w:val="en-GB" w:eastAsia="fr-FR"/>
    </w:rPr>
  </w:style>
  <w:style w:type="character" w:customStyle="1" w:styleId="object">
    <w:name w:val="object"/>
    <w:basedOn w:val="DefaultParagraphFont"/>
    <w:rsid w:val="002D019B"/>
  </w:style>
  <w:style w:type="paragraph" w:styleId="NormalWeb">
    <w:name w:val="Normal (Web)"/>
    <w:basedOn w:val="Normal"/>
    <w:uiPriority w:val="99"/>
    <w:semiHidden/>
    <w:unhideWhenUsed/>
    <w:rsid w:val="00131B94"/>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Header">
    <w:name w:val="header"/>
    <w:basedOn w:val="Normal"/>
    <w:link w:val="HeaderChar"/>
    <w:uiPriority w:val="99"/>
    <w:unhideWhenUsed/>
    <w:rsid w:val="00D6700D"/>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700D"/>
  </w:style>
  <w:style w:type="paragraph" w:styleId="Footer">
    <w:name w:val="footer"/>
    <w:basedOn w:val="Normal"/>
    <w:link w:val="FooterChar"/>
    <w:uiPriority w:val="99"/>
    <w:unhideWhenUsed/>
    <w:rsid w:val="00D6700D"/>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7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452856">
      <w:bodyDiv w:val="1"/>
      <w:marLeft w:val="0"/>
      <w:marRight w:val="0"/>
      <w:marTop w:val="0"/>
      <w:marBottom w:val="0"/>
      <w:divBdr>
        <w:top w:val="none" w:sz="0" w:space="0" w:color="auto"/>
        <w:left w:val="none" w:sz="0" w:space="0" w:color="auto"/>
        <w:bottom w:val="none" w:sz="0" w:space="0" w:color="auto"/>
        <w:right w:val="none" w:sz="0" w:space="0" w:color="auto"/>
      </w:divBdr>
    </w:div>
    <w:div w:id="255947884">
      <w:bodyDiv w:val="1"/>
      <w:marLeft w:val="0"/>
      <w:marRight w:val="0"/>
      <w:marTop w:val="0"/>
      <w:marBottom w:val="0"/>
      <w:divBdr>
        <w:top w:val="none" w:sz="0" w:space="0" w:color="auto"/>
        <w:left w:val="none" w:sz="0" w:space="0" w:color="auto"/>
        <w:bottom w:val="none" w:sz="0" w:space="0" w:color="auto"/>
        <w:right w:val="none" w:sz="0" w:space="0" w:color="auto"/>
      </w:divBdr>
      <w:divsChild>
        <w:div w:id="455297286">
          <w:marLeft w:val="0"/>
          <w:marRight w:val="0"/>
          <w:marTop w:val="34"/>
          <w:marBottom w:val="34"/>
          <w:divBdr>
            <w:top w:val="none" w:sz="0" w:space="0" w:color="auto"/>
            <w:left w:val="none" w:sz="0" w:space="0" w:color="auto"/>
            <w:bottom w:val="none" w:sz="0" w:space="0" w:color="auto"/>
            <w:right w:val="none" w:sz="0" w:space="0" w:color="auto"/>
          </w:divBdr>
        </w:div>
      </w:divsChild>
    </w:div>
    <w:div w:id="261111208">
      <w:bodyDiv w:val="1"/>
      <w:marLeft w:val="0"/>
      <w:marRight w:val="0"/>
      <w:marTop w:val="0"/>
      <w:marBottom w:val="0"/>
      <w:divBdr>
        <w:top w:val="none" w:sz="0" w:space="0" w:color="auto"/>
        <w:left w:val="none" w:sz="0" w:space="0" w:color="auto"/>
        <w:bottom w:val="none" w:sz="0" w:space="0" w:color="auto"/>
        <w:right w:val="none" w:sz="0" w:space="0" w:color="auto"/>
      </w:divBdr>
    </w:div>
    <w:div w:id="538054359">
      <w:bodyDiv w:val="1"/>
      <w:marLeft w:val="0"/>
      <w:marRight w:val="0"/>
      <w:marTop w:val="0"/>
      <w:marBottom w:val="0"/>
      <w:divBdr>
        <w:top w:val="none" w:sz="0" w:space="0" w:color="auto"/>
        <w:left w:val="none" w:sz="0" w:space="0" w:color="auto"/>
        <w:bottom w:val="none" w:sz="0" w:space="0" w:color="auto"/>
        <w:right w:val="none" w:sz="0" w:space="0" w:color="auto"/>
      </w:divBdr>
    </w:div>
    <w:div w:id="618875947">
      <w:bodyDiv w:val="1"/>
      <w:marLeft w:val="0"/>
      <w:marRight w:val="0"/>
      <w:marTop w:val="0"/>
      <w:marBottom w:val="0"/>
      <w:divBdr>
        <w:top w:val="none" w:sz="0" w:space="0" w:color="auto"/>
        <w:left w:val="none" w:sz="0" w:space="0" w:color="auto"/>
        <w:bottom w:val="none" w:sz="0" w:space="0" w:color="auto"/>
        <w:right w:val="none" w:sz="0" w:space="0" w:color="auto"/>
      </w:divBdr>
    </w:div>
    <w:div w:id="941379524">
      <w:bodyDiv w:val="1"/>
      <w:marLeft w:val="0"/>
      <w:marRight w:val="0"/>
      <w:marTop w:val="0"/>
      <w:marBottom w:val="0"/>
      <w:divBdr>
        <w:top w:val="none" w:sz="0" w:space="0" w:color="auto"/>
        <w:left w:val="none" w:sz="0" w:space="0" w:color="auto"/>
        <w:bottom w:val="none" w:sz="0" w:space="0" w:color="auto"/>
        <w:right w:val="none" w:sz="0" w:space="0" w:color="auto"/>
      </w:divBdr>
    </w:div>
    <w:div w:id="975329410">
      <w:bodyDiv w:val="1"/>
      <w:marLeft w:val="0"/>
      <w:marRight w:val="0"/>
      <w:marTop w:val="0"/>
      <w:marBottom w:val="0"/>
      <w:divBdr>
        <w:top w:val="none" w:sz="0" w:space="0" w:color="auto"/>
        <w:left w:val="none" w:sz="0" w:space="0" w:color="auto"/>
        <w:bottom w:val="none" w:sz="0" w:space="0" w:color="auto"/>
        <w:right w:val="none" w:sz="0" w:space="0" w:color="auto"/>
      </w:divBdr>
    </w:div>
    <w:div w:id="1447892463">
      <w:bodyDiv w:val="1"/>
      <w:marLeft w:val="0"/>
      <w:marRight w:val="0"/>
      <w:marTop w:val="0"/>
      <w:marBottom w:val="0"/>
      <w:divBdr>
        <w:top w:val="none" w:sz="0" w:space="0" w:color="auto"/>
        <w:left w:val="none" w:sz="0" w:space="0" w:color="auto"/>
        <w:bottom w:val="none" w:sz="0" w:space="0" w:color="auto"/>
        <w:right w:val="none" w:sz="0" w:space="0" w:color="auto"/>
      </w:divBdr>
      <w:divsChild>
        <w:div w:id="1775588265">
          <w:marLeft w:val="0"/>
          <w:marRight w:val="0"/>
          <w:marTop w:val="0"/>
          <w:marBottom w:val="0"/>
          <w:divBdr>
            <w:top w:val="none" w:sz="0" w:space="0" w:color="auto"/>
            <w:left w:val="none" w:sz="0" w:space="0" w:color="auto"/>
            <w:bottom w:val="none" w:sz="0" w:space="0" w:color="auto"/>
            <w:right w:val="none" w:sz="0" w:space="0" w:color="auto"/>
          </w:divBdr>
        </w:div>
        <w:div w:id="195047950">
          <w:marLeft w:val="0"/>
          <w:marRight w:val="0"/>
          <w:marTop w:val="0"/>
          <w:marBottom w:val="0"/>
          <w:divBdr>
            <w:top w:val="none" w:sz="0" w:space="0" w:color="auto"/>
            <w:left w:val="none" w:sz="0" w:space="0" w:color="auto"/>
            <w:bottom w:val="none" w:sz="0" w:space="0" w:color="auto"/>
            <w:right w:val="none" w:sz="0" w:space="0" w:color="auto"/>
          </w:divBdr>
        </w:div>
      </w:divsChild>
    </w:div>
    <w:div w:id="1455751451">
      <w:bodyDiv w:val="1"/>
      <w:marLeft w:val="0"/>
      <w:marRight w:val="0"/>
      <w:marTop w:val="0"/>
      <w:marBottom w:val="0"/>
      <w:divBdr>
        <w:top w:val="none" w:sz="0" w:space="0" w:color="auto"/>
        <w:left w:val="none" w:sz="0" w:space="0" w:color="auto"/>
        <w:bottom w:val="none" w:sz="0" w:space="0" w:color="auto"/>
        <w:right w:val="none" w:sz="0" w:space="0" w:color="auto"/>
      </w:divBdr>
    </w:div>
    <w:div w:id="1708676613">
      <w:bodyDiv w:val="1"/>
      <w:marLeft w:val="0"/>
      <w:marRight w:val="0"/>
      <w:marTop w:val="0"/>
      <w:marBottom w:val="0"/>
      <w:divBdr>
        <w:top w:val="none" w:sz="0" w:space="0" w:color="auto"/>
        <w:left w:val="none" w:sz="0" w:space="0" w:color="auto"/>
        <w:bottom w:val="none" w:sz="0" w:space="0" w:color="auto"/>
        <w:right w:val="none" w:sz="0" w:space="0" w:color="auto"/>
      </w:divBdr>
    </w:div>
    <w:div w:id="1935936228">
      <w:bodyDiv w:val="1"/>
      <w:marLeft w:val="0"/>
      <w:marRight w:val="0"/>
      <w:marTop w:val="0"/>
      <w:marBottom w:val="0"/>
      <w:divBdr>
        <w:top w:val="none" w:sz="0" w:space="0" w:color="auto"/>
        <w:left w:val="none" w:sz="0" w:space="0" w:color="auto"/>
        <w:bottom w:val="none" w:sz="0" w:space="0" w:color="auto"/>
        <w:right w:val="none" w:sz="0" w:space="0" w:color="auto"/>
      </w:divBdr>
      <w:divsChild>
        <w:div w:id="2024934589">
          <w:marLeft w:val="0"/>
          <w:marRight w:val="0"/>
          <w:marTop w:val="0"/>
          <w:marBottom w:val="0"/>
          <w:divBdr>
            <w:top w:val="none" w:sz="0" w:space="0" w:color="auto"/>
            <w:left w:val="none" w:sz="0" w:space="0" w:color="auto"/>
            <w:bottom w:val="none" w:sz="0" w:space="0" w:color="auto"/>
            <w:right w:val="none" w:sz="0" w:space="0" w:color="auto"/>
          </w:divBdr>
        </w:div>
        <w:div w:id="1074207605">
          <w:marLeft w:val="0"/>
          <w:marRight w:val="0"/>
          <w:marTop w:val="0"/>
          <w:marBottom w:val="0"/>
          <w:divBdr>
            <w:top w:val="none" w:sz="0" w:space="0" w:color="auto"/>
            <w:left w:val="none" w:sz="0" w:space="0" w:color="auto"/>
            <w:bottom w:val="none" w:sz="0" w:space="0" w:color="auto"/>
            <w:right w:val="none" w:sz="0" w:space="0" w:color="auto"/>
          </w:divBdr>
        </w:div>
      </w:divsChild>
    </w:div>
    <w:div w:id="208333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0827-530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uleuven.be/wieiswie/en/unit/50000687" TargetMode="External"/><Relationship Id="rId5" Type="http://schemas.openxmlformats.org/officeDocument/2006/relationships/webSettings" Target="webSettings.xml"/><Relationship Id="rId10" Type="http://schemas.openxmlformats.org/officeDocument/2006/relationships/hyperlink" Target="https://www.kuleuven.be/wieiswie/en/unit/50000630" TargetMode="External"/><Relationship Id="rId4" Type="http://schemas.openxmlformats.org/officeDocument/2006/relationships/settings" Target="settings.xml"/><Relationship Id="rId9" Type="http://schemas.openxmlformats.org/officeDocument/2006/relationships/hyperlink" Target="mailto:c.beaudart@uliege.be"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C5A06-0447-4F71-BA7E-EA93AF60D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83370</Words>
  <Characters>475212</Characters>
  <Application>Microsoft Office Word</Application>
  <DocSecurity>0</DocSecurity>
  <Lines>3960</Lines>
  <Paragraphs>1114</Paragraphs>
  <ScaleCrop>false</ScaleCrop>
  <HeadingPairs>
    <vt:vector size="6" baseType="variant">
      <vt:variant>
        <vt:lpstr>Titre</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557468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Geerinck</dc:creator>
  <cp:keywords/>
  <dc:description/>
  <cp:lastModifiedBy>Drake K.A.</cp:lastModifiedBy>
  <cp:revision>2</cp:revision>
  <cp:lastPrinted>2020-04-08T06:33:00Z</cp:lastPrinted>
  <dcterms:created xsi:type="dcterms:W3CDTF">2020-08-11T08:46:00Z</dcterms:created>
  <dcterms:modified xsi:type="dcterms:W3CDTF">2020-08-11T08:46:00Z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http://www.zotero.org/styles/aging-clinical-and-experimental-research</vt:lpwstr>
  </property>
  <property fmtid="{D5CDD505-2E9C-101B-9397-08002B2CF9AE}" pid="3" name="Mendeley Recent Style Name 0_1">
    <vt:lpwstr>Aging Clinical and Experimental Research</vt:lpwstr>
  </property>
  <property fmtid="{D5CDD505-2E9C-101B-9397-08002B2CF9AE}" pid="4" name="Mendeley Recent Style Id 1_1">
    <vt:lpwstr>http://www.zotero.org/styles/arthritis-and-rheumatism</vt:lpwstr>
  </property>
  <property fmtid="{D5CDD505-2E9C-101B-9397-08002B2CF9AE}" pid="5" name="Mendeley Recent Style Name 1_1">
    <vt:lpwstr>Arthritis &amp; Rheumatism</vt:lpwstr>
  </property>
  <property fmtid="{D5CDD505-2E9C-101B-9397-08002B2CF9AE}" pid="6" name="Mendeley Recent Style Id 2_1">
    <vt:lpwstr>http://csl.mendeley.com/styles/546632391/Vancouver-QOL-CJ-2</vt:lpwstr>
  </property>
  <property fmtid="{D5CDD505-2E9C-101B-9397-08002B2CF9AE}" pid="7" name="Mendeley Recent Style Name 2_1">
    <vt:lpwstr>Elsevier - Vancouver - Anton Geerinck</vt:lpwstr>
  </property>
  <property fmtid="{D5CDD505-2E9C-101B-9397-08002B2CF9AE}" pid="8" name="Mendeley Recent Style Id 3_1">
    <vt:lpwstr>http://www.zotero.org/styles/european-geriatric-medicine</vt:lpwstr>
  </property>
  <property fmtid="{D5CDD505-2E9C-101B-9397-08002B2CF9AE}" pid="9" name="Mendeley Recent Style Name 3_1">
    <vt:lpwstr>European Geriatric Medicine</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http://www.zotero.org/styles/jama</vt:lpwstr>
  </property>
  <property fmtid="{D5CDD505-2E9C-101B-9397-08002B2CF9AE}" pid="15" name="Mendeley Recent Style Name 6_1">
    <vt:lpwstr>JAMA (The Journal of the American Medical Association)</vt:lpwstr>
  </property>
  <property fmtid="{D5CDD505-2E9C-101B-9397-08002B2CF9AE}" pid="16" name="Mendeley Recent Style Id 7_1">
    <vt:lpwstr>http://www.zotero.org/styles/journal-of-internal-medicine</vt:lpwstr>
  </property>
  <property fmtid="{D5CDD505-2E9C-101B-9397-08002B2CF9AE}" pid="17" name="Mendeley Recent Style Name 7_1">
    <vt:lpwstr>Journal of Internal Medicine</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http://www.zotero.org/styles/quality-of-life-research</vt:lpwstr>
  </property>
  <property fmtid="{D5CDD505-2E9C-101B-9397-08002B2CF9AE}" pid="21" name="Mendeley Recent Style Name 9_1">
    <vt:lpwstr>Quality of Life Research</vt:lpwstr>
  </property>
  <property fmtid="{D5CDD505-2E9C-101B-9397-08002B2CF9AE}" pid="22" name="Mendeley Document_1">
    <vt:lpwstr>True</vt:lpwstr>
  </property>
  <property fmtid="{D5CDD505-2E9C-101B-9397-08002B2CF9AE}" pid="23" name="Mendeley Unique User Id_1">
    <vt:lpwstr>366fed36-77c5-32c7-a74d-19411602433f</vt:lpwstr>
  </property>
  <property fmtid="{D5CDD505-2E9C-101B-9397-08002B2CF9AE}" pid="24" name="Mendeley Citation Style_1">
    <vt:lpwstr>http://www.zotero.org/styles/aging-clinical-and-experimental-research</vt:lpwstr>
  </property>
  <property fmtid="{D5CDD505-2E9C-101B-9397-08002B2CF9AE}" pid="25" name="MSIP_Label_afe1b31d-cec0-4074-b4bd-f07689e43d84_Enabled">
    <vt:lpwstr>True</vt:lpwstr>
  </property>
  <property fmtid="{D5CDD505-2E9C-101B-9397-08002B2CF9AE}" pid="26" name="MSIP_Label_afe1b31d-cec0-4074-b4bd-f07689e43d84_SiteId">
    <vt:lpwstr>bc9dc15c-61bc-4f03-b60b-e5b6d8922839</vt:lpwstr>
  </property>
  <property fmtid="{D5CDD505-2E9C-101B-9397-08002B2CF9AE}" pid="27" name="MSIP_Label_afe1b31d-cec0-4074-b4bd-f07689e43d84_Owner">
    <vt:lpwstr>Nathalie.Bere@ema.europa.eu</vt:lpwstr>
  </property>
  <property fmtid="{D5CDD505-2E9C-101B-9397-08002B2CF9AE}" pid="28" name="MSIP_Label_afe1b31d-cec0-4074-b4bd-f07689e43d84_SetDate">
    <vt:lpwstr>2020-05-06T21:02:41.6576235Z</vt:lpwstr>
  </property>
  <property fmtid="{D5CDD505-2E9C-101B-9397-08002B2CF9AE}" pid="29" name="MSIP_Label_afe1b31d-cec0-4074-b4bd-f07689e43d84_Name">
    <vt:lpwstr>Internal</vt:lpwstr>
  </property>
  <property fmtid="{D5CDD505-2E9C-101B-9397-08002B2CF9AE}" pid="30" name="MSIP_Label_afe1b31d-cec0-4074-b4bd-f07689e43d84_Application">
    <vt:lpwstr>Microsoft Azure Information Protection</vt:lpwstr>
  </property>
  <property fmtid="{D5CDD505-2E9C-101B-9397-08002B2CF9AE}" pid="31" name="MSIP_Label_afe1b31d-cec0-4074-b4bd-f07689e43d84_ActionId">
    <vt:lpwstr>8c1d364a-7490-4368-b457-6282076ecfb5</vt:lpwstr>
  </property>
  <property fmtid="{D5CDD505-2E9C-101B-9397-08002B2CF9AE}" pid="32" name="MSIP_Label_afe1b31d-cec0-4074-b4bd-f07689e43d84_Extended_MSFT_Method">
    <vt:lpwstr>Automatic</vt:lpwstr>
  </property>
  <property fmtid="{D5CDD505-2E9C-101B-9397-08002B2CF9AE}" pid="33" name="MSIP_Label_0eea11ca-d417-4147-80ed-01a58412c458_Enabled">
    <vt:lpwstr>True</vt:lpwstr>
  </property>
  <property fmtid="{D5CDD505-2E9C-101B-9397-08002B2CF9AE}" pid="34" name="MSIP_Label_0eea11ca-d417-4147-80ed-01a58412c458_SiteId">
    <vt:lpwstr>bc9dc15c-61bc-4f03-b60b-e5b6d8922839</vt:lpwstr>
  </property>
  <property fmtid="{D5CDD505-2E9C-101B-9397-08002B2CF9AE}" pid="35" name="MSIP_Label_0eea11ca-d417-4147-80ed-01a58412c458_Owner">
    <vt:lpwstr>Nathalie.Bere@ema.europa.eu</vt:lpwstr>
  </property>
  <property fmtid="{D5CDD505-2E9C-101B-9397-08002B2CF9AE}" pid="36" name="MSIP_Label_0eea11ca-d417-4147-80ed-01a58412c458_SetDate">
    <vt:lpwstr>2020-05-06T21:02:41.6576235Z</vt:lpwstr>
  </property>
  <property fmtid="{D5CDD505-2E9C-101B-9397-08002B2CF9AE}" pid="37" name="MSIP_Label_0eea11ca-d417-4147-80ed-01a58412c458_Name">
    <vt:lpwstr>All EMA Staff and Contractors</vt:lpwstr>
  </property>
  <property fmtid="{D5CDD505-2E9C-101B-9397-08002B2CF9AE}" pid="38" name="MSIP_Label_0eea11ca-d417-4147-80ed-01a58412c458_Application">
    <vt:lpwstr>Microsoft Azure Information Protection</vt:lpwstr>
  </property>
  <property fmtid="{D5CDD505-2E9C-101B-9397-08002B2CF9AE}" pid="39" name="MSIP_Label_0eea11ca-d417-4147-80ed-01a58412c458_ActionId">
    <vt:lpwstr>8c1d364a-7490-4368-b457-6282076ecfb5</vt:lpwstr>
  </property>
  <property fmtid="{D5CDD505-2E9C-101B-9397-08002B2CF9AE}" pid="40" name="MSIP_Label_0eea11ca-d417-4147-80ed-01a58412c458_Parent">
    <vt:lpwstr>afe1b31d-cec0-4074-b4bd-f07689e43d84</vt:lpwstr>
  </property>
  <property fmtid="{D5CDD505-2E9C-101B-9397-08002B2CF9AE}" pid="41" name="MSIP_Label_0eea11ca-d417-4147-80ed-01a58412c458_Extended_MSFT_Method">
    <vt:lpwstr>Automatic</vt:lpwstr>
  </property>
  <property fmtid="{D5CDD505-2E9C-101B-9397-08002B2CF9AE}" pid="42" name="Classification">
    <vt:lpwstr>Internal All EMA Staff and Contractors</vt:lpwstr>
  </property>
</Properties>
</file>