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B1" w:rsidRDefault="00721DB1" w:rsidP="004A362A">
      <w:pPr>
        <w:spacing w:line="480" w:lineRule="auto"/>
      </w:pPr>
      <w:bookmarkStart w:id="0" w:name="_GoBack"/>
      <w:bookmarkEnd w:id="0"/>
    </w:p>
    <w:p w:rsidR="00F85AD1" w:rsidRDefault="00F85AD1" w:rsidP="004A362A">
      <w:pPr>
        <w:spacing w:line="480" w:lineRule="auto"/>
        <w:rPr>
          <w:sz w:val="28"/>
          <w:szCs w:val="28"/>
        </w:rPr>
      </w:pPr>
    </w:p>
    <w:p w:rsidR="00F85AD1" w:rsidRDefault="00F85AD1" w:rsidP="004A362A">
      <w:pPr>
        <w:spacing w:line="480" w:lineRule="auto"/>
        <w:rPr>
          <w:sz w:val="28"/>
          <w:szCs w:val="28"/>
        </w:rPr>
      </w:pPr>
    </w:p>
    <w:p w:rsidR="00DE10A6" w:rsidRPr="0038465A" w:rsidRDefault="008A2E99" w:rsidP="004A362A">
      <w:pPr>
        <w:spacing w:line="480" w:lineRule="auto"/>
        <w:rPr>
          <w:sz w:val="28"/>
          <w:szCs w:val="28"/>
        </w:rPr>
      </w:pPr>
      <w:r>
        <w:rPr>
          <w:sz w:val="28"/>
          <w:szCs w:val="28"/>
        </w:rPr>
        <w:t>Fracture Risk A</w:t>
      </w:r>
      <w:r w:rsidR="00DE10A6" w:rsidRPr="0038465A">
        <w:rPr>
          <w:sz w:val="28"/>
          <w:szCs w:val="28"/>
        </w:rPr>
        <w:t>ssessment in Celiac Disease: A registry-based cohort study</w:t>
      </w:r>
    </w:p>
    <w:p w:rsidR="00DE10A6" w:rsidRDefault="00DE10A6" w:rsidP="004A362A">
      <w:pPr>
        <w:spacing w:line="480" w:lineRule="auto"/>
      </w:pPr>
    </w:p>
    <w:p w:rsidR="005D5B55" w:rsidRDefault="005D5B55" w:rsidP="005D5B55">
      <w:pPr>
        <w:spacing w:line="480" w:lineRule="auto"/>
      </w:pPr>
    </w:p>
    <w:p w:rsidR="0077585B" w:rsidRDefault="0077585B" w:rsidP="0077585B">
      <w:pPr>
        <w:jc w:val="center"/>
        <w:outlineLvl w:val="0"/>
      </w:pPr>
      <w:r>
        <w:t>Donald R Duerksen MD ORCID 0000-0002-6744-2722</w:t>
      </w:r>
      <w:r w:rsidRPr="00E812ED">
        <w:rPr>
          <w:vertAlign w:val="superscript"/>
        </w:rPr>
        <w:t>1</w:t>
      </w:r>
      <w:r>
        <w:t>; dduerkse@sbgh.mb.ca</w:t>
      </w:r>
    </w:p>
    <w:p w:rsidR="0077585B" w:rsidRPr="00386B1B" w:rsidRDefault="0077585B" w:rsidP="0077585B">
      <w:pPr>
        <w:jc w:val="center"/>
        <w:outlineLvl w:val="0"/>
        <w:rPr>
          <w:lang w:val="it-IT"/>
        </w:rPr>
      </w:pPr>
      <w:r w:rsidRPr="00E812ED">
        <w:rPr>
          <w:lang w:val="it-IT"/>
        </w:rPr>
        <w:t xml:space="preserve">Lisa M. Lix, PhD </w:t>
      </w:r>
      <w:r w:rsidRPr="00E812ED">
        <w:rPr>
          <w:vertAlign w:val="superscript"/>
          <w:lang w:val="it-IT"/>
        </w:rPr>
        <w:t>1</w:t>
      </w:r>
      <w:r w:rsidRPr="00E812ED">
        <w:rPr>
          <w:lang w:val="it-IT"/>
        </w:rPr>
        <w:t xml:space="preserve">; </w:t>
      </w:r>
      <w:hyperlink r:id="rId6" w:history="1">
        <w:r w:rsidRPr="00E812ED">
          <w:rPr>
            <w:rStyle w:val="Hyperlink"/>
            <w:lang w:val="it-IT"/>
          </w:rPr>
          <w:t>Lisa.Lix@umanitoba.ca</w:t>
        </w:r>
      </w:hyperlink>
    </w:p>
    <w:p w:rsidR="0077585B" w:rsidRPr="00386B1B" w:rsidRDefault="0077585B" w:rsidP="0077585B">
      <w:pPr>
        <w:jc w:val="center"/>
        <w:outlineLvl w:val="0"/>
        <w:rPr>
          <w:lang w:val="it-IT"/>
        </w:rPr>
      </w:pPr>
      <w:r w:rsidRPr="003236AD">
        <w:rPr>
          <w:lang w:val="sv-SE"/>
        </w:rPr>
        <w:t>Helena Johansson</w:t>
      </w:r>
      <w:r>
        <w:rPr>
          <w:lang w:val="sv-SE"/>
        </w:rPr>
        <w:t xml:space="preserve"> PhD</w:t>
      </w:r>
      <w:r w:rsidRPr="003236AD">
        <w:rPr>
          <w:lang w:val="sv-SE"/>
        </w:rPr>
        <w:t xml:space="preserve"> </w:t>
      </w:r>
      <w:r w:rsidRPr="00E812ED">
        <w:t xml:space="preserve"> </w:t>
      </w:r>
      <w:r>
        <w:rPr>
          <w:vertAlign w:val="superscript"/>
        </w:rPr>
        <w:t>2,3</w:t>
      </w:r>
      <w:r w:rsidRPr="003236AD">
        <w:rPr>
          <w:lang w:val="sv-SE"/>
        </w:rPr>
        <w:t xml:space="preserve">; </w:t>
      </w:r>
      <w:hyperlink r:id="rId7" w:history="1">
        <w:r w:rsidRPr="00386B1B">
          <w:rPr>
            <w:rStyle w:val="Hyperlink"/>
            <w:lang w:val="it-IT"/>
          </w:rPr>
          <w:t>helena@statiq.se</w:t>
        </w:r>
      </w:hyperlink>
    </w:p>
    <w:p w:rsidR="0077585B" w:rsidRDefault="0077585B" w:rsidP="0077585B">
      <w:pPr>
        <w:jc w:val="center"/>
        <w:outlineLvl w:val="0"/>
        <w:rPr>
          <w:lang w:val="sv-SE"/>
        </w:rPr>
      </w:pPr>
      <w:r w:rsidRPr="003236AD">
        <w:rPr>
          <w:lang w:val="sv-SE"/>
        </w:rPr>
        <w:t>Eugene V. McCloskey</w:t>
      </w:r>
      <w:r>
        <w:rPr>
          <w:lang w:val="sv-SE"/>
        </w:rPr>
        <w:t xml:space="preserve"> MD</w:t>
      </w:r>
      <w:r w:rsidRPr="003236AD">
        <w:rPr>
          <w:lang w:val="sv-SE"/>
        </w:rPr>
        <w:t xml:space="preserve"> </w:t>
      </w:r>
      <w:r>
        <w:rPr>
          <w:vertAlign w:val="superscript"/>
          <w:lang w:val="sv-SE"/>
        </w:rPr>
        <w:t>2,4</w:t>
      </w:r>
      <w:r w:rsidRPr="003236AD">
        <w:rPr>
          <w:lang w:val="sv-SE"/>
        </w:rPr>
        <w:t>;</w:t>
      </w:r>
      <w:r w:rsidRPr="003236AD">
        <w:rPr>
          <w:lang w:val="de-DE"/>
        </w:rPr>
        <w:t xml:space="preserve"> </w:t>
      </w:r>
      <w:hyperlink r:id="rId8" w:history="1">
        <w:r w:rsidRPr="003236AD">
          <w:rPr>
            <w:rStyle w:val="Hyperlink"/>
            <w:lang w:val="sv-SE"/>
          </w:rPr>
          <w:t>e.v.mccloskey@sheffield.ac.uk</w:t>
        </w:r>
      </w:hyperlink>
    </w:p>
    <w:p w:rsidR="0077585B" w:rsidRPr="003236AD" w:rsidRDefault="0077585B" w:rsidP="0077585B">
      <w:pPr>
        <w:jc w:val="center"/>
        <w:outlineLvl w:val="0"/>
        <w:rPr>
          <w:lang w:val="sv-SE"/>
        </w:rPr>
      </w:pPr>
      <w:r w:rsidRPr="003236AD">
        <w:rPr>
          <w:lang w:val="en-GB"/>
        </w:rPr>
        <w:t>Nicholas C. Harvey</w:t>
      </w:r>
      <w:r>
        <w:rPr>
          <w:lang w:val="en-GB"/>
        </w:rPr>
        <w:t xml:space="preserve"> MD PhD </w:t>
      </w:r>
      <w:r w:rsidRPr="005601C7">
        <w:rPr>
          <w:vertAlign w:val="superscript"/>
          <w:lang w:val="en-GB"/>
        </w:rPr>
        <w:t>5,6</w:t>
      </w:r>
      <w:r>
        <w:rPr>
          <w:lang w:val="en-GB"/>
        </w:rPr>
        <w:t>;</w:t>
      </w:r>
      <w:r w:rsidRPr="003236AD">
        <w:rPr>
          <w:lang w:val="en-GB"/>
        </w:rPr>
        <w:t xml:space="preserve"> </w:t>
      </w:r>
      <w:r w:rsidRPr="003236AD">
        <w:rPr>
          <w:lang w:val="sv-SE"/>
        </w:rPr>
        <w:t xml:space="preserve"> </w:t>
      </w:r>
      <w:hyperlink r:id="rId9" w:history="1">
        <w:r w:rsidRPr="00824CCF">
          <w:rPr>
            <w:rStyle w:val="Hyperlink"/>
            <w:lang w:val="sv-SE"/>
          </w:rPr>
          <w:t>nch@mrc.soton.ac.uk</w:t>
        </w:r>
      </w:hyperlink>
    </w:p>
    <w:p w:rsidR="0077585B" w:rsidRPr="00E812ED" w:rsidRDefault="0077585B" w:rsidP="0077585B">
      <w:pPr>
        <w:jc w:val="center"/>
        <w:outlineLvl w:val="0"/>
      </w:pPr>
      <w:r w:rsidRPr="003236AD">
        <w:rPr>
          <w:lang w:val="sv-SE"/>
        </w:rPr>
        <w:t>John A. Kanis</w:t>
      </w:r>
      <w:r>
        <w:rPr>
          <w:lang w:val="sv-SE"/>
        </w:rPr>
        <w:t xml:space="preserve"> MD </w:t>
      </w:r>
      <w:r w:rsidRPr="00093FC8">
        <w:rPr>
          <w:lang w:val="sv-SE"/>
        </w:rPr>
        <w:t>ORCID: 0000-0002-3129-4326</w:t>
      </w:r>
      <w:r w:rsidRPr="003236AD">
        <w:rPr>
          <w:lang w:val="sv-SE"/>
        </w:rPr>
        <w:t xml:space="preserve"> </w:t>
      </w:r>
      <w:r w:rsidRPr="005601C7">
        <w:rPr>
          <w:vertAlign w:val="superscript"/>
          <w:lang w:val="sv-SE"/>
        </w:rPr>
        <w:t>2,3</w:t>
      </w:r>
      <w:r w:rsidRPr="003236AD">
        <w:rPr>
          <w:lang w:val="sv-SE"/>
        </w:rPr>
        <w:t xml:space="preserve">; </w:t>
      </w:r>
      <w:hyperlink r:id="rId10" w:history="1">
        <w:r w:rsidRPr="003236AD">
          <w:rPr>
            <w:rStyle w:val="Hyperlink"/>
          </w:rPr>
          <w:t>jakanis@outlook.com</w:t>
        </w:r>
      </w:hyperlink>
    </w:p>
    <w:p w:rsidR="0077585B" w:rsidRDefault="0077585B" w:rsidP="0077585B">
      <w:pPr>
        <w:jc w:val="center"/>
        <w:outlineLvl w:val="0"/>
        <w:rPr>
          <w:lang w:val="en-GB"/>
        </w:rPr>
      </w:pPr>
      <w:r w:rsidRPr="00E812ED">
        <w:t xml:space="preserve">William D. Leslie, MD MSc ORCID 0000-0002-1056-1691 </w:t>
      </w:r>
      <w:r w:rsidRPr="00E812ED">
        <w:rPr>
          <w:vertAlign w:val="superscript"/>
        </w:rPr>
        <w:t>1</w:t>
      </w:r>
      <w:r w:rsidRPr="00E812ED">
        <w:t xml:space="preserve">; </w:t>
      </w:r>
      <w:hyperlink r:id="rId11" w:history="1">
        <w:r w:rsidRPr="00E812ED">
          <w:rPr>
            <w:rStyle w:val="Hyperlink"/>
          </w:rPr>
          <w:t>bleslie@sbgh.mb.ca</w:t>
        </w:r>
      </w:hyperlink>
    </w:p>
    <w:p w:rsidR="0077585B" w:rsidRPr="00E812ED" w:rsidRDefault="0077585B" w:rsidP="0077585B">
      <w:pPr>
        <w:jc w:val="center"/>
        <w:outlineLvl w:val="0"/>
      </w:pPr>
    </w:p>
    <w:p w:rsidR="0077585B" w:rsidRDefault="0077585B" w:rsidP="0077585B">
      <w:pPr>
        <w:jc w:val="center"/>
        <w:outlineLvl w:val="0"/>
        <w:rPr>
          <w:lang w:val="sv-SE"/>
        </w:rPr>
      </w:pPr>
      <w:r w:rsidRPr="00BD5B17">
        <w:rPr>
          <w:lang w:val="sv-SE"/>
        </w:rPr>
        <w:t>(1) University of Manitoba, Winnipeg, Canada;</w:t>
      </w:r>
    </w:p>
    <w:p w:rsidR="0077585B" w:rsidRPr="00466C08" w:rsidRDefault="0077585B" w:rsidP="0077585B">
      <w:pPr>
        <w:jc w:val="center"/>
        <w:outlineLvl w:val="0"/>
        <w:rPr>
          <w:lang w:val="sv-SE"/>
        </w:rPr>
      </w:pPr>
      <w:r>
        <w:rPr>
          <w:lang w:val="sv-SE"/>
        </w:rPr>
        <w:t>(2)</w:t>
      </w:r>
      <w:r w:rsidRPr="00466C08">
        <w:rPr>
          <w:lang w:val="sv-SE"/>
        </w:rPr>
        <w:t xml:space="preserve"> Centre for Metabolic Bone Diseases, University of Sheffield Medical School, UK</w:t>
      </w:r>
    </w:p>
    <w:p w:rsidR="0077585B" w:rsidRPr="00466C08" w:rsidRDefault="0077585B" w:rsidP="0077585B">
      <w:pPr>
        <w:jc w:val="center"/>
        <w:outlineLvl w:val="0"/>
        <w:rPr>
          <w:lang w:val="sv-SE"/>
        </w:rPr>
      </w:pPr>
      <w:r>
        <w:rPr>
          <w:lang w:val="sv-SE"/>
        </w:rPr>
        <w:t>(3)</w:t>
      </w:r>
      <w:r w:rsidRPr="00466C08">
        <w:rPr>
          <w:lang w:val="sv-SE"/>
        </w:rPr>
        <w:t xml:space="preserve"> Mary McKillop Health Institute, Australian Catholic University, Melbourne, Australia</w:t>
      </w:r>
    </w:p>
    <w:p w:rsidR="0077585B" w:rsidRPr="00466C08" w:rsidRDefault="0077585B" w:rsidP="0077585B">
      <w:pPr>
        <w:jc w:val="center"/>
        <w:outlineLvl w:val="0"/>
        <w:rPr>
          <w:lang w:val="sv-SE"/>
        </w:rPr>
      </w:pPr>
      <w:r>
        <w:rPr>
          <w:lang w:val="sv-SE"/>
        </w:rPr>
        <w:t>(4)</w:t>
      </w:r>
      <w:r w:rsidRPr="00466C08">
        <w:rPr>
          <w:lang w:val="sv-SE"/>
        </w:rPr>
        <w:t xml:space="preserve"> Centre for Integrated </w:t>
      </w:r>
      <w:r>
        <w:rPr>
          <w:lang w:val="sv-SE"/>
        </w:rPr>
        <w:t>R</w:t>
      </w:r>
      <w:r w:rsidRPr="00466C08">
        <w:rPr>
          <w:lang w:val="sv-SE"/>
        </w:rPr>
        <w:t>esearch in Musculoskeletal Ageing (CIMA), Mellanby Centre for Bone Research, University of Sheffield, Sheffield, UK</w:t>
      </w:r>
    </w:p>
    <w:p w:rsidR="0077585B" w:rsidRPr="00466C08" w:rsidRDefault="0077585B" w:rsidP="0077585B">
      <w:pPr>
        <w:jc w:val="center"/>
        <w:outlineLvl w:val="0"/>
        <w:rPr>
          <w:lang w:val="sv-SE"/>
        </w:rPr>
      </w:pPr>
      <w:r>
        <w:rPr>
          <w:lang w:val="sv-SE"/>
        </w:rPr>
        <w:t>(5)</w:t>
      </w:r>
      <w:r w:rsidRPr="00466C08">
        <w:rPr>
          <w:lang w:val="sv-SE"/>
        </w:rPr>
        <w:t xml:space="preserve"> MRC Lifecourse Epidemiology Unit, University of Southampton, Southampton, UK</w:t>
      </w:r>
    </w:p>
    <w:p w:rsidR="005D5B55" w:rsidRDefault="0077585B" w:rsidP="0077585B">
      <w:pPr>
        <w:jc w:val="center"/>
      </w:pPr>
      <w:r>
        <w:rPr>
          <w:lang w:val="sv-SE"/>
        </w:rPr>
        <w:t>(6)</w:t>
      </w:r>
      <w:r w:rsidRPr="00466C08">
        <w:rPr>
          <w:lang w:val="sv-SE"/>
        </w:rPr>
        <w:t xml:space="preserve"> NIHR Southampton Biomedical Research Centre, University of South</w:t>
      </w:r>
      <w:r>
        <w:rPr>
          <w:lang w:val="sv-SE"/>
        </w:rPr>
        <w:t xml:space="preserve">ampton and </w:t>
      </w:r>
      <w:r w:rsidRPr="00466C08">
        <w:rPr>
          <w:lang w:val="sv-SE"/>
        </w:rPr>
        <w:t>University Hospital Southampton NHS Foundation Trust, Southampton</w:t>
      </w:r>
      <w:r>
        <w:rPr>
          <w:lang w:val="sv-SE"/>
        </w:rPr>
        <w:t xml:space="preserve"> UK</w:t>
      </w:r>
    </w:p>
    <w:p w:rsidR="005D5B55" w:rsidRDefault="005D5B55" w:rsidP="004A362A">
      <w:pPr>
        <w:spacing w:line="480" w:lineRule="auto"/>
      </w:pPr>
    </w:p>
    <w:p w:rsidR="005D5B55" w:rsidRDefault="005D5B55" w:rsidP="004A362A">
      <w:pPr>
        <w:spacing w:line="480" w:lineRule="auto"/>
      </w:pPr>
    </w:p>
    <w:p w:rsidR="005D5B55" w:rsidRDefault="008A7A13" w:rsidP="004A362A">
      <w:pPr>
        <w:spacing w:line="480" w:lineRule="auto"/>
      </w:pPr>
      <w:r>
        <w:t>Word count: 2665</w:t>
      </w:r>
    </w:p>
    <w:p w:rsidR="008A7A13" w:rsidRDefault="008A7A13" w:rsidP="004A362A">
      <w:pPr>
        <w:spacing w:line="480" w:lineRule="auto"/>
      </w:pPr>
      <w:r>
        <w:t>Table count: 3</w:t>
      </w:r>
    </w:p>
    <w:p w:rsidR="008A7A13" w:rsidRDefault="008A7A13" w:rsidP="004A362A">
      <w:pPr>
        <w:spacing w:line="480" w:lineRule="auto"/>
      </w:pPr>
      <w:r>
        <w:t>Figure count: 1</w:t>
      </w:r>
    </w:p>
    <w:p w:rsidR="008A7A13" w:rsidRDefault="008A7A13" w:rsidP="004A362A">
      <w:pPr>
        <w:spacing w:line="480" w:lineRule="auto"/>
      </w:pPr>
      <w:r>
        <w:t>Reference count: 24</w:t>
      </w:r>
    </w:p>
    <w:p w:rsidR="00A457DF" w:rsidRDefault="00A457DF">
      <w:r>
        <w:br w:type="page"/>
      </w:r>
    </w:p>
    <w:p w:rsidR="008A7A13" w:rsidRDefault="008A7A13" w:rsidP="008A7A13">
      <w:pPr>
        <w:spacing w:line="480" w:lineRule="auto"/>
      </w:pPr>
      <w:r>
        <w:lastRenderedPageBreak/>
        <w:t>Mini Abstract</w:t>
      </w:r>
    </w:p>
    <w:p w:rsidR="008A7A13" w:rsidRDefault="008A7A13" w:rsidP="008A7A13">
      <w:pPr>
        <w:spacing w:line="480" w:lineRule="auto"/>
      </w:pPr>
      <w:r>
        <w:t>Celiac disease is associated with an increased fracture risk but is not a direct input to the FRAX</w:t>
      </w:r>
      <w:r w:rsidRPr="00C9516D">
        <w:rPr>
          <w:rFonts w:cs="Times New Roman"/>
          <w:vertAlign w:val="superscript"/>
        </w:rPr>
        <w:t>®</w:t>
      </w:r>
      <w:r>
        <w:t xml:space="preserve"> calculation.  When celiac disease is considered as a secondary osteoporosis risk factor or BMD is included in the FRAX assessment, FRAX accurately predicts fracture risk.</w:t>
      </w:r>
    </w:p>
    <w:p w:rsidR="00A457DF" w:rsidRDefault="003F7FAB" w:rsidP="008A7A13">
      <w:pPr>
        <w:spacing w:line="480" w:lineRule="auto"/>
      </w:pPr>
      <w:r>
        <w:t>Abstract</w:t>
      </w:r>
    </w:p>
    <w:p w:rsidR="00A457DF" w:rsidRDefault="00A457DF" w:rsidP="008A7A13">
      <w:pPr>
        <w:spacing w:line="480" w:lineRule="auto"/>
      </w:pPr>
      <w:r>
        <w:t>Purpose:</w:t>
      </w:r>
      <w:r w:rsidRPr="00A457DF">
        <w:t xml:space="preserve"> The fracture risk assessment tool (FRAX</w:t>
      </w:r>
      <w:r w:rsidR="009F013F" w:rsidRPr="00C9516D">
        <w:rPr>
          <w:rFonts w:cs="Times New Roman"/>
          <w:vertAlign w:val="superscript"/>
        </w:rPr>
        <w:t>®</w:t>
      </w:r>
      <w:r w:rsidRPr="00A457DF">
        <w:t>) uses clinical factors and bone mineral density</w:t>
      </w:r>
      <w:r w:rsidR="00F73DB8">
        <w:t xml:space="preserve"> </w:t>
      </w:r>
      <w:r w:rsidR="008401D1">
        <w:t>(BMD)</w:t>
      </w:r>
      <w:r w:rsidRPr="00A457DF">
        <w:t xml:space="preserve"> </w:t>
      </w:r>
      <w:r w:rsidR="008401D1">
        <w:t xml:space="preserve">measurement </w:t>
      </w:r>
      <w:r w:rsidR="00B87167">
        <w:t xml:space="preserve">to predict 10-year major osteoporotic (MOF) </w:t>
      </w:r>
      <w:r w:rsidRPr="00A457DF">
        <w:t xml:space="preserve">fracture </w:t>
      </w:r>
      <w:r w:rsidR="009F013F">
        <w:t>probability</w:t>
      </w:r>
      <w:r w:rsidRPr="00A457DF">
        <w:t>.  The</w:t>
      </w:r>
      <w:r w:rsidR="0077585B">
        <w:t xml:space="preserve"> study</w:t>
      </w:r>
      <w:r w:rsidRPr="00A457DF">
        <w:t xml:space="preserve"> aim was to determine whether celiac disease affects </w:t>
      </w:r>
      <w:r w:rsidR="00B87167">
        <w:t>MOF</w:t>
      </w:r>
      <w:r w:rsidRPr="00A457DF">
        <w:t xml:space="preserve"> risk independent of FRAX score.</w:t>
      </w:r>
    </w:p>
    <w:p w:rsidR="00A457DF" w:rsidRDefault="00A457DF" w:rsidP="008A7A13">
      <w:pPr>
        <w:spacing w:line="480" w:lineRule="auto"/>
      </w:pPr>
      <w:r>
        <w:t>Methods</w:t>
      </w:r>
      <w:r w:rsidR="007C178D">
        <w:t>:</w:t>
      </w:r>
      <w:r w:rsidR="003F1540">
        <w:t xml:space="preserve"> The Manitoba </w:t>
      </w:r>
      <w:r w:rsidR="00F73DB8">
        <w:t>BMD Registry</w:t>
      </w:r>
      <w:r w:rsidR="00AE7779">
        <w:t xml:space="preserve"> includes </w:t>
      </w:r>
      <w:r w:rsidR="008401D1">
        <w:t xml:space="preserve">clinical </w:t>
      </w:r>
      <w:r w:rsidR="00AE7779">
        <w:t>data</w:t>
      </w:r>
      <w:r w:rsidR="00D261AD">
        <w:t>, BMD measurements</w:t>
      </w:r>
      <w:r w:rsidR="00F73DB8">
        <w:t>,</w:t>
      </w:r>
      <w:r w:rsidR="00F26855">
        <w:t xml:space="preserve"> </w:t>
      </w:r>
      <w:r w:rsidR="00D261AD">
        <w:t xml:space="preserve">10-year </w:t>
      </w:r>
      <w:r w:rsidR="00D261AD" w:rsidRPr="0030167F">
        <w:rPr>
          <w:lang w:val="en-GB"/>
        </w:rPr>
        <w:t xml:space="preserve">probability of </w:t>
      </w:r>
      <w:r w:rsidR="00D261AD">
        <w:rPr>
          <w:lang w:val="en-GB"/>
        </w:rPr>
        <w:t>MOF</w:t>
      </w:r>
      <w:r w:rsidR="00D261AD" w:rsidRPr="0030167F">
        <w:rPr>
          <w:lang w:val="en-GB"/>
        </w:rPr>
        <w:t xml:space="preserve"> calculated for each </w:t>
      </w:r>
      <w:r w:rsidR="00F73DB8">
        <w:rPr>
          <w:lang w:val="en-GB"/>
        </w:rPr>
        <w:t xml:space="preserve">individual </w:t>
      </w:r>
      <w:r w:rsidR="00D261AD" w:rsidRPr="0030167F">
        <w:rPr>
          <w:lang w:val="en-GB"/>
        </w:rPr>
        <w:t>using the Canadian FRAX tool</w:t>
      </w:r>
      <w:r w:rsidR="009F013F">
        <w:rPr>
          <w:lang w:val="en-GB"/>
        </w:rPr>
        <w:t xml:space="preserve"> </w:t>
      </w:r>
      <w:r w:rsidR="00F73DB8">
        <w:rPr>
          <w:lang w:val="en-GB"/>
        </w:rPr>
        <w:t xml:space="preserve">and </w:t>
      </w:r>
      <w:r w:rsidR="00F73DB8">
        <w:t>diagnosed celiac disease</w:t>
      </w:r>
      <w:r w:rsidR="00D261AD">
        <w:rPr>
          <w:lang w:val="en-GB"/>
        </w:rPr>
        <w:t>.</w:t>
      </w:r>
      <w:r w:rsidR="00F73DB8">
        <w:rPr>
          <w:lang w:val="en-GB"/>
        </w:rPr>
        <w:t xml:space="preserve">  Using linkage to</w:t>
      </w:r>
      <w:r w:rsidR="00F73DB8" w:rsidRPr="00F73DB8">
        <w:rPr>
          <w:lang w:val="en-GB"/>
        </w:rPr>
        <w:t xml:space="preserve"> population-based healthcare </w:t>
      </w:r>
      <w:r w:rsidR="00F73DB8">
        <w:rPr>
          <w:lang w:val="en-GB"/>
        </w:rPr>
        <w:t>databases</w:t>
      </w:r>
      <w:r w:rsidR="00F73DB8" w:rsidRPr="00F73DB8">
        <w:rPr>
          <w:lang w:val="en-GB"/>
        </w:rPr>
        <w:t xml:space="preserve">, we </w:t>
      </w:r>
      <w:r w:rsidR="00F73DB8">
        <w:rPr>
          <w:lang w:val="en-GB"/>
        </w:rPr>
        <w:t>identified incident MOF diagnoses over the next 10 years</w:t>
      </w:r>
      <w:r w:rsidR="003642E5">
        <w:rPr>
          <w:lang w:val="en-GB"/>
        </w:rPr>
        <w:t xml:space="preserve"> for celiac disease and general population cohorts</w:t>
      </w:r>
      <w:r w:rsidR="00F73DB8">
        <w:rPr>
          <w:lang w:val="en-GB"/>
        </w:rPr>
        <w:t>.</w:t>
      </w:r>
    </w:p>
    <w:p w:rsidR="00A457DF" w:rsidRDefault="00A457DF" w:rsidP="008A7A13">
      <w:pPr>
        <w:spacing w:line="480" w:lineRule="auto"/>
      </w:pPr>
      <w:r>
        <w:t xml:space="preserve">Results: </w:t>
      </w:r>
      <w:r w:rsidRPr="00A457DF">
        <w:t>Celiac disease</w:t>
      </w:r>
      <w:r w:rsidR="00583333">
        <w:t xml:space="preserve"> (N=693)</w:t>
      </w:r>
      <w:r w:rsidRPr="00A457DF">
        <w:t xml:space="preserve"> was associated with increased fracture risk adjusted for FRAX score computed without secondary osteoporosis or BMD (adjusted </w:t>
      </w:r>
      <w:r w:rsidR="00843400">
        <w:t>hazard ratio [</w:t>
      </w:r>
      <w:r w:rsidRPr="00A457DF">
        <w:t>HR</w:t>
      </w:r>
      <w:r w:rsidR="00843400">
        <w:t>]</w:t>
      </w:r>
      <w:r w:rsidRPr="00A457DF">
        <w:t xml:space="preserve"> 1.43, 95% </w:t>
      </w:r>
      <w:r w:rsidR="00843400">
        <w:t>confidence interval [</w:t>
      </w:r>
      <w:r w:rsidRPr="00A457DF">
        <w:t>CI</w:t>
      </w:r>
      <w:r w:rsidR="00843400">
        <w:t>]</w:t>
      </w:r>
      <w:r w:rsidRPr="00A457DF">
        <w:t xml:space="preserve"> 1.11-1.86).  </w:t>
      </w:r>
      <w:r w:rsidR="00F73DB8">
        <w:t xml:space="preserve"> </w:t>
      </w:r>
      <w:r w:rsidR="00F86A99">
        <w:t xml:space="preserve">Celiac disease </w:t>
      </w:r>
      <w:r w:rsidR="00F86A99" w:rsidRPr="00C8745B">
        <w:t xml:space="preserve">was no longer a significant risk factor for </w:t>
      </w:r>
      <w:r w:rsidR="00F86A99">
        <w:t xml:space="preserve">fracture </w:t>
      </w:r>
      <w:r w:rsidR="00F86A99" w:rsidRPr="00C8745B">
        <w:t xml:space="preserve">when secondary osteoporosis or </w:t>
      </w:r>
      <w:r w:rsidR="00F86A99">
        <w:t xml:space="preserve">BMD </w:t>
      </w:r>
      <w:r w:rsidR="00F86A99" w:rsidRPr="00C8745B">
        <w:t>were included in the FRAX calculation (p&gt;0.1).</w:t>
      </w:r>
      <w:r w:rsidR="00F86A99">
        <w:t xml:space="preserve"> </w:t>
      </w:r>
      <w:r w:rsidR="00843400">
        <w:t xml:space="preserve"> </w:t>
      </w:r>
      <w:r w:rsidR="003F7FAB">
        <w:t xml:space="preserve">In subjects with celiac disease, each SD increase in FRAX score </w:t>
      </w:r>
      <w:r w:rsidR="00843400">
        <w:t>(</w:t>
      </w:r>
      <w:r w:rsidR="00F86A99">
        <w:t xml:space="preserve">calculated </w:t>
      </w:r>
      <w:r w:rsidR="00843400">
        <w:t xml:space="preserve">with </w:t>
      </w:r>
      <w:r w:rsidR="002F7535">
        <w:t xml:space="preserve">and </w:t>
      </w:r>
      <w:r w:rsidR="00843400">
        <w:t xml:space="preserve">without secondary osteoporosis or BMD) </w:t>
      </w:r>
      <w:r w:rsidR="003F7FAB">
        <w:t xml:space="preserve">was associated with higher risk of incident </w:t>
      </w:r>
      <w:r w:rsidR="00843400">
        <w:t xml:space="preserve">MOF </w:t>
      </w:r>
      <w:r w:rsidR="003F7FAB">
        <w:t>(adjusted HR 1.66 to 1.80)</w:t>
      </w:r>
      <w:r w:rsidR="002F7535">
        <w:t>, similar to the general population (p-interaction &gt; 0.2)</w:t>
      </w:r>
      <w:r w:rsidR="003F7FAB">
        <w:t>.</w:t>
      </w:r>
      <w:r w:rsidR="006F559A" w:rsidRPr="006F559A">
        <w:t xml:space="preserve"> </w:t>
      </w:r>
      <w:r w:rsidR="006F559A">
        <w:t xml:space="preserve"> </w:t>
      </w:r>
      <w:r w:rsidR="002F7535">
        <w:t xml:space="preserve">Including </w:t>
      </w:r>
      <w:r w:rsidR="006F559A">
        <w:t xml:space="preserve">celiac disease as secondary osteoporosis </w:t>
      </w:r>
      <w:r w:rsidR="00843400">
        <w:t xml:space="preserve">or </w:t>
      </w:r>
      <w:r w:rsidR="002F7535">
        <w:t xml:space="preserve">including </w:t>
      </w:r>
      <w:r w:rsidR="006F559A">
        <w:t xml:space="preserve">BMD </w:t>
      </w:r>
      <w:r w:rsidR="002F7535">
        <w:t xml:space="preserve">in FRAX </w:t>
      </w:r>
      <w:r w:rsidR="00843400">
        <w:t xml:space="preserve">10-year MOF probability </w:t>
      </w:r>
      <w:r w:rsidR="002F7535">
        <w:t>calculation</w:t>
      </w:r>
      <w:r w:rsidR="00F86A99">
        <w:t>s</w:t>
      </w:r>
      <w:r w:rsidR="002F7535">
        <w:t xml:space="preserve"> </w:t>
      </w:r>
      <w:r w:rsidR="000D2522">
        <w:t>(10.1</w:t>
      </w:r>
      <w:r w:rsidR="00843400">
        <w:t>% and</w:t>
      </w:r>
      <w:r w:rsidR="000D2522">
        <w:t xml:space="preserve"> 8.6</w:t>
      </w:r>
      <w:r w:rsidR="00843400">
        <w:t>%</w:t>
      </w:r>
      <w:r w:rsidR="000D2522">
        <w:t xml:space="preserve"> respectively) </w:t>
      </w:r>
      <w:r w:rsidR="006F559A">
        <w:t>approximate</w:t>
      </w:r>
      <w:r w:rsidR="002F7535">
        <w:t>d</w:t>
      </w:r>
      <w:r w:rsidR="006F559A">
        <w:t xml:space="preserve"> the observed </w:t>
      </w:r>
      <w:r w:rsidR="00843400">
        <w:t xml:space="preserve">cumulative 10-year </w:t>
      </w:r>
      <w:r w:rsidR="000D2522">
        <w:t>MOF</w:t>
      </w:r>
      <w:r w:rsidR="006F559A">
        <w:t xml:space="preserve"> probability (10.8</w:t>
      </w:r>
      <w:r w:rsidR="00843400">
        <w:t>%</w:t>
      </w:r>
      <w:r w:rsidR="002F7535">
        <w:t>, 95 % CI 7.8-13.9%</w:t>
      </w:r>
      <w:r w:rsidR="006F559A">
        <w:t xml:space="preserve">).  </w:t>
      </w:r>
    </w:p>
    <w:p w:rsidR="00A457DF" w:rsidRDefault="00A457DF" w:rsidP="008A7A13">
      <w:pPr>
        <w:spacing w:line="480" w:lineRule="auto"/>
      </w:pPr>
      <w:r>
        <w:lastRenderedPageBreak/>
        <w:t>Conclusions</w:t>
      </w:r>
      <w:r w:rsidR="00A26D41">
        <w:t xml:space="preserve">: </w:t>
      </w:r>
      <w:r w:rsidR="003F7FAB">
        <w:t>Celiac disease is associated with an</w:t>
      </w:r>
      <w:r w:rsidR="00A26D41">
        <w:t xml:space="preserve"> increased </w:t>
      </w:r>
      <w:r w:rsidR="003F7FAB">
        <w:t>risk of major osteoporotic fractures</w:t>
      </w:r>
      <w:r w:rsidR="00A26D41">
        <w:t xml:space="preserve">. When celiac disease is considered as a secondary osteoporosis risk factor or BMD is included in FRAX assessment, FRAX accurately predicts fracture risk.  </w:t>
      </w:r>
    </w:p>
    <w:p w:rsidR="00A979A3" w:rsidRDefault="00A979A3"/>
    <w:p w:rsidR="005D5B55" w:rsidRDefault="005D5B55" w:rsidP="004A362A">
      <w:pPr>
        <w:spacing w:line="480" w:lineRule="auto"/>
      </w:pPr>
    </w:p>
    <w:p w:rsidR="003A1CE8" w:rsidRDefault="003A1CE8" w:rsidP="003A1CE8">
      <w:pPr>
        <w:spacing w:line="480" w:lineRule="auto"/>
      </w:pPr>
      <w:r>
        <w:t>Keywords</w:t>
      </w:r>
    </w:p>
    <w:p w:rsidR="003A1CE8" w:rsidRDefault="003A1CE8" w:rsidP="003A1CE8">
      <w:pPr>
        <w:spacing w:line="480" w:lineRule="auto"/>
      </w:pPr>
      <w:r>
        <w:t>FRAX score</w:t>
      </w:r>
    </w:p>
    <w:p w:rsidR="003A1CE8" w:rsidRDefault="003A1CE8" w:rsidP="003A1CE8">
      <w:pPr>
        <w:spacing w:line="480" w:lineRule="auto"/>
      </w:pPr>
      <w:r>
        <w:t>Major osteoporotic fracture risk</w:t>
      </w:r>
    </w:p>
    <w:p w:rsidR="00A37052" w:rsidRDefault="003A1CE8" w:rsidP="003A1CE8">
      <w:pPr>
        <w:spacing w:line="480" w:lineRule="auto"/>
      </w:pPr>
      <w:r>
        <w:t>Celiac disease</w:t>
      </w:r>
    </w:p>
    <w:p w:rsidR="00A37052" w:rsidRDefault="00A37052" w:rsidP="003A1CE8">
      <w:pPr>
        <w:spacing w:line="480" w:lineRule="auto"/>
      </w:pPr>
      <w:r>
        <w:t>Osteoporosis</w:t>
      </w:r>
    </w:p>
    <w:p w:rsidR="00A37052" w:rsidRDefault="00A37052" w:rsidP="003A1CE8">
      <w:pPr>
        <w:spacing w:line="480" w:lineRule="auto"/>
      </w:pPr>
      <w:r>
        <w:t>Epidemiology</w:t>
      </w:r>
    </w:p>
    <w:p w:rsidR="003A1CE8" w:rsidRDefault="003A1CE8" w:rsidP="003A1CE8">
      <w:pPr>
        <w:spacing w:line="480" w:lineRule="auto"/>
      </w:pPr>
    </w:p>
    <w:p w:rsidR="00C50746" w:rsidRDefault="00C50746">
      <w:r>
        <w:br w:type="page"/>
      </w:r>
    </w:p>
    <w:p w:rsidR="005D5B55" w:rsidRDefault="005D5B55" w:rsidP="004A362A">
      <w:pPr>
        <w:spacing w:line="480" w:lineRule="auto"/>
      </w:pPr>
    </w:p>
    <w:p w:rsidR="00721DB1" w:rsidRDefault="00721DB1" w:rsidP="004A362A">
      <w:pPr>
        <w:spacing w:line="480" w:lineRule="auto"/>
      </w:pPr>
      <w:r>
        <w:t>Introduction</w:t>
      </w:r>
    </w:p>
    <w:p w:rsidR="000860D0" w:rsidRDefault="007B65FD" w:rsidP="004A362A">
      <w:pPr>
        <w:spacing w:line="480" w:lineRule="auto"/>
        <w:ind w:firstLine="720"/>
      </w:pPr>
      <w:r>
        <w:t>Celiac disease is an autoimmune disorder characterized by small intestinal inflammation and villous atrophy upon exposure to gluten</w:t>
      </w:r>
      <w:r w:rsidR="00AA286B">
        <w:t xml:space="preserve"> in genetically susceptible individuals</w:t>
      </w:r>
      <w:r>
        <w:t>.</w:t>
      </w:r>
      <w:hyperlink w:anchor="_ENREF_1" w:tooltip="Lebwohl, 2018 #2402" w:history="1">
        <w:r w:rsidR="00B8363A">
          <w:fldChar w:fldCharType="begin"/>
        </w:r>
        <w:r w:rsidR="001658CA">
          <w:instrText xml:space="preserve"> ADDIN EN.CITE &lt;EndNote&gt;&lt;Cite&gt;&lt;Author&gt;Lebwohl&lt;/Author&gt;&lt;Year&gt;2018&lt;/Year&gt;&lt;RecNum&gt;2402&lt;/RecNum&gt;&lt;DisplayText&gt;&lt;style face="superscript"&gt;1&lt;/style&gt;&lt;/DisplayText&gt;&lt;record&gt;&lt;rec-number&gt;2402&lt;/rec-number&gt;&lt;foreign-keys&gt;&lt;key app="EN" db-id="tddepx9stepaa2ewwwy5xsraz9xvaz0x20zx" timestamp="1578863198"&gt;2402&lt;/key&gt;&lt;/foreign-keys&gt;&lt;ref-type name="Journal Article"&gt;17&lt;/ref-type&gt;&lt;contributors&gt;&lt;authors&gt;&lt;author&gt;Lebwohl, B.&lt;/author&gt;&lt;author&gt;Sanders, D. S.&lt;/author&gt;&lt;author&gt;Green, P. H. R.&lt;/author&gt;&lt;/authors&gt;&lt;/contributors&gt;&lt;auth-address&gt;Celiac Disease Center, College of Physicians and Surgeons, Columbia University Medical Center, New York, NY, USA; Department of Epidemiology, Mailman School of Public Health, Columbia University Medical Center, New York, NY, USA.&amp;#xD;Academic Unit of Gastroenterology, Royal Hallamshire Hospital &amp;amp; University of Sheffield, UK.&amp;#xD;Celiac Disease Center, College of Physicians and Surgeons, Columbia University Medical Center, New York, NY, USA. Electronic address: pg11@columbia.edu.&lt;/auth-address&gt;&lt;titles&gt;&lt;title&gt;Coeliac disease&lt;/title&gt;&lt;secondary-title&gt;Lancet&lt;/secondary-title&gt;&lt;/titles&gt;&lt;periodical&gt;&lt;full-title&gt;Lancet&lt;/full-title&gt;&lt;/periodical&gt;&lt;pages&gt;70-81&lt;/pages&gt;&lt;volume&gt;391&lt;/volume&gt;&lt;number&gt;10115&lt;/number&gt;&lt;keywords&gt;&lt;keyword&gt;*Celiac Disease/diagnosis/etiology/therapy&lt;/keyword&gt;&lt;keyword&gt;Humans&lt;/keyword&gt;&lt;/keywords&gt;&lt;dates&gt;&lt;year&gt;2018&lt;/year&gt;&lt;pub-dates&gt;&lt;date&gt;Jan 6&lt;/date&gt;&lt;/pub-dates&gt;&lt;/dates&gt;&lt;isbn&gt;1474-547X (Electronic)&amp;#xD;0140-6736 (Linking)&lt;/isbn&gt;&lt;accession-num&gt;28760445&lt;/accession-num&gt;&lt;urls&gt;&lt;related-urls&gt;&lt;url&gt;http://www.ncbi.nlm.nih.gov/pubmed/28760445&lt;/url&gt;&lt;/related-urls&gt;&lt;/urls&gt;&lt;electronic-resource-num&gt;10.1016/S0140-6736(17)31796-8&lt;/electronic-resource-num&gt;&lt;/record&gt;&lt;/Cite&gt;&lt;/EndNote&gt;</w:instrText>
        </w:r>
        <w:r w:rsidR="00B8363A">
          <w:fldChar w:fldCharType="separate"/>
        </w:r>
        <w:r w:rsidR="001658CA" w:rsidRPr="00CC40C0">
          <w:rPr>
            <w:noProof/>
            <w:vertAlign w:val="superscript"/>
          </w:rPr>
          <w:t>1</w:t>
        </w:r>
        <w:r w:rsidR="00B8363A">
          <w:fldChar w:fldCharType="end"/>
        </w:r>
      </w:hyperlink>
      <w:r w:rsidR="00AF4A16">
        <w:t xml:space="preserve"> </w:t>
      </w:r>
      <w:r>
        <w:t>This clinical syndrome of</w:t>
      </w:r>
      <w:r w:rsidR="00E256D6">
        <w:t xml:space="preserve"> varying manifest</w:t>
      </w:r>
      <w:r w:rsidR="00107E52">
        <w:t>ations</w:t>
      </w:r>
      <w:r w:rsidR="00E256D6">
        <w:t xml:space="preserve"> can include</w:t>
      </w:r>
      <w:r>
        <w:t xml:space="preserve"> gastrointestinal symptoms, extra</w:t>
      </w:r>
      <w:r w:rsidR="0095796B">
        <w:t>-</w:t>
      </w:r>
      <w:r>
        <w:t>intestinal mani</w:t>
      </w:r>
      <w:r w:rsidR="00E256D6">
        <w:t>festations and malabsorption</w:t>
      </w:r>
      <w:r w:rsidR="0095796B">
        <w:t xml:space="preserve"> of </w:t>
      </w:r>
      <w:r>
        <w:t xml:space="preserve">nutrients including </w:t>
      </w:r>
      <w:r w:rsidR="001C4DCF">
        <w:t>calcium</w:t>
      </w:r>
      <w:r w:rsidR="00107E52">
        <w:t xml:space="preserve"> and vitamin D</w:t>
      </w:r>
      <w:r w:rsidR="001C4DCF">
        <w:t xml:space="preserve">.  </w:t>
      </w:r>
      <w:r w:rsidR="00E256D6">
        <w:t>There is frequently a</w:t>
      </w:r>
      <w:r w:rsidR="001C4DCF">
        <w:t xml:space="preserve"> </w:t>
      </w:r>
      <w:r w:rsidR="009873FC">
        <w:t>significant</w:t>
      </w:r>
      <w:r w:rsidR="001C4DCF">
        <w:t xml:space="preserve"> </w:t>
      </w:r>
      <w:r w:rsidR="0095796B">
        <w:t xml:space="preserve">delay in the initial diagnosis </w:t>
      </w:r>
      <w:r w:rsidR="00EE1A84">
        <w:t xml:space="preserve">of celiac disease </w:t>
      </w:r>
      <w:r w:rsidR="0095796B">
        <w:t xml:space="preserve">and thus, malabsorption may </w:t>
      </w:r>
      <w:r w:rsidR="00E256D6">
        <w:t>be</w:t>
      </w:r>
      <w:r w:rsidR="0095796B">
        <w:t xml:space="preserve"> present for many years</w:t>
      </w:r>
      <w:r w:rsidR="00E256D6">
        <w:t xml:space="preserve"> prior to definitive treatment</w:t>
      </w:r>
      <w:r w:rsidR="0095796B">
        <w:t>.</w:t>
      </w:r>
    </w:p>
    <w:p w:rsidR="0095796B" w:rsidRDefault="00EE1A84" w:rsidP="004A362A">
      <w:pPr>
        <w:spacing w:line="480" w:lineRule="auto"/>
        <w:ind w:firstLine="720"/>
      </w:pPr>
      <w:r>
        <w:rPr>
          <w:bCs/>
          <w:color w:val="000000"/>
        </w:rPr>
        <w:t xml:space="preserve">Individuals with celiac disease (CD) are at increased risk </w:t>
      </w:r>
      <w:r w:rsidR="000860D0">
        <w:rPr>
          <w:bCs/>
          <w:color w:val="000000"/>
        </w:rPr>
        <w:t xml:space="preserve">of </w:t>
      </w:r>
      <w:r>
        <w:rPr>
          <w:bCs/>
          <w:color w:val="000000"/>
        </w:rPr>
        <w:t>low bone mineral density (BMD)</w:t>
      </w:r>
      <w:r w:rsidR="00DD7F61">
        <w:rPr>
          <w:bCs/>
          <w:color w:val="000000"/>
        </w:rPr>
        <w:t xml:space="preserve"> and </w:t>
      </w:r>
      <w:r>
        <w:rPr>
          <w:bCs/>
          <w:color w:val="000000"/>
        </w:rPr>
        <w:t>osteoporosis</w:t>
      </w:r>
      <w:r w:rsidR="00DD7F61">
        <w:rPr>
          <w:bCs/>
          <w:color w:val="000000"/>
        </w:rPr>
        <w:t>-related fractures</w:t>
      </w:r>
      <w:r w:rsidR="00107E52">
        <w:t>.</w:t>
      </w:r>
      <w:hyperlink w:anchor="_ENREF_2" w:tooltip="Bernstein, 2003 #1155" w:history="1">
        <w:r w:rsidR="00B8363A">
          <w:fldChar w:fldCharType="begin"/>
        </w:r>
        <w:r w:rsidR="001658CA">
          <w:instrText xml:space="preserve"> ADDIN EN.CITE &lt;EndNote&gt;&lt;Cite&gt;&lt;Author&gt;Bernstein&lt;/Author&gt;&lt;Year&gt;2003&lt;/Year&gt;&lt;RecNum&gt;1155&lt;/RecNum&gt;&lt;DisplayText&gt;&lt;style face="superscript"&gt;2&lt;/style&gt;&lt;/DisplayText&gt;&lt;record&gt;&lt;rec-number&gt;1155&lt;/rec-number&gt;&lt;foreign-keys&gt;&lt;key app="EN" db-id="tddepx9stepaa2ewwwy5xsraz9xvaz0x20zx" timestamp="1486295814"&gt;1155&lt;/key&gt;&lt;/foreign-keys&gt;&lt;ref-type name="Journal Article"&gt;17&lt;/ref-type&gt;&lt;contributors&gt;&lt;authors&gt;&lt;author&gt;Bernstein, C. N.&lt;/author&gt;&lt;author&gt;Leslie, W. D.&lt;/author&gt;&lt;author&gt;Leboff, M. S.&lt;/author&gt;&lt;/authors&gt;&lt;/contributors&gt;&lt;auth-address&gt;Department of Internal Medicine and Inflammatory Bowel Disease Clinical and Research Centre University of Manitoba Winnipeg, Manitoba, Canada.&lt;/auth-address&gt;&lt;titles&gt;&lt;title&gt;AGA technical review on osteoporosis in gastrointestinal diseases&lt;/title&gt;&lt;secondary-title&gt;Gastroenterology&lt;/secondary-title&gt;&lt;/titles&gt;&lt;periodical&gt;&lt;full-title&gt;Gastroenterology&lt;/full-title&gt;&lt;/periodical&gt;&lt;pages&gt;795-841&lt;/pages&gt;&lt;volume&gt;124&lt;/volume&gt;&lt;number&gt;3&lt;/number&gt;&lt;keywords&gt;&lt;keyword&gt;Celiac Disease/complications&lt;/keyword&gt;&lt;keyword&gt;Gastrectomy/adverse effects&lt;/keyword&gt;&lt;keyword&gt;Gastrointestinal Diseases/*complications&lt;/keyword&gt;&lt;keyword&gt;Humans&lt;/keyword&gt;&lt;keyword&gt;Inflammatory Bowel Diseases/complications&lt;/keyword&gt;&lt;keyword&gt;Osteoporosis/*etiology/*therapy&lt;/keyword&gt;&lt;/keywords&gt;&lt;dates&gt;&lt;year&gt;2003&lt;/year&gt;&lt;pub-dates&gt;&lt;date&gt;Mar&lt;/date&gt;&lt;/pub-dates&gt;&lt;/dates&gt;&lt;isbn&gt;0016-5085 (Print)&amp;#xD;0016-5085 (Linking)&lt;/isbn&gt;&lt;accession-num&gt;12612917&lt;/accession-num&gt;&lt;urls&gt;&lt;related-urls&gt;&lt;url&gt;http://www.ncbi.nlm.nih.gov/pubmed/12612917&lt;/url&gt;&lt;/related-urls&gt;&lt;/urls&gt;&lt;electronic-resource-num&gt;10.1053/gast.2003.50106&lt;/electronic-resource-num&gt;&lt;/record&gt;&lt;/Cite&gt;&lt;/EndNote&gt;</w:instrText>
        </w:r>
        <w:r w:rsidR="00B8363A">
          <w:fldChar w:fldCharType="separate"/>
        </w:r>
        <w:r w:rsidR="001658CA" w:rsidRPr="00CC40C0">
          <w:rPr>
            <w:noProof/>
            <w:vertAlign w:val="superscript"/>
          </w:rPr>
          <w:t>2</w:t>
        </w:r>
        <w:r w:rsidR="00B8363A">
          <w:fldChar w:fldCharType="end"/>
        </w:r>
      </w:hyperlink>
      <w:r w:rsidR="00AE0E18">
        <w:t xml:space="preserve">  </w:t>
      </w:r>
      <w:r w:rsidR="0009750E">
        <w:t xml:space="preserve"> The mechanisms for these effects include </w:t>
      </w:r>
      <w:r w:rsidR="0009750E">
        <w:rPr>
          <w:bCs/>
          <w:color w:val="000000"/>
        </w:rPr>
        <w:t>calcium and vitamin D malabsorption,</w:t>
      </w:r>
      <w:r w:rsidR="000860D0">
        <w:rPr>
          <w:bCs/>
          <w:color w:val="000000"/>
        </w:rPr>
        <w:t xml:space="preserve"> and</w:t>
      </w:r>
      <w:r w:rsidR="0009750E">
        <w:rPr>
          <w:bCs/>
          <w:color w:val="000000"/>
        </w:rPr>
        <w:t xml:space="preserve"> chronic inflammation with the secretio</w:t>
      </w:r>
      <w:r w:rsidR="000860D0">
        <w:rPr>
          <w:bCs/>
          <w:color w:val="000000"/>
        </w:rPr>
        <w:t>n of pro-inflammatory cytokines</w:t>
      </w:r>
      <w:r w:rsidR="0009750E">
        <w:rPr>
          <w:bCs/>
          <w:color w:val="000000"/>
        </w:rPr>
        <w:t>.</w:t>
      </w:r>
      <w:hyperlink w:anchor="_ENREF_3" w:tooltip="Larussa, 2012 #1158" w:history="1">
        <w:r w:rsidR="00B8363A">
          <w:rPr>
            <w:bCs/>
            <w:color w:val="000000"/>
          </w:rPr>
          <w:fldChar w:fldCharType="begin"/>
        </w:r>
        <w:r w:rsidR="001658CA">
          <w:rPr>
            <w:bCs/>
            <w:color w:val="000000"/>
          </w:rPr>
          <w:instrText xml:space="preserve"> ADDIN EN.CITE &lt;EndNote&gt;&lt;Cite&gt;&lt;Author&gt;Larussa&lt;/Author&gt;&lt;Year&gt;2012&lt;/Year&gt;&lt;RecNum&gt;1158&lt;/RecNum&gt;&lt;DisplayText&gt;&lt;style face="superscript"&gt;3&lt;/style&gt;&lt;/DisplayText&gt;&lt;record&gt;&lt;rec-number&gt;1158&lt;/rec-number&gt;&lt;foreign-keys&gt;&lt;key app="EN" db-id="tddepx9stepaa2ewwwy5xsraz9xvaz0x20zx" timestamp="1486296219"&gt;1158&lt;/key&gt;&lt;/foreign-keys&gt;&lt;ref-type name="Journal Article"&gt;17&lt;/ref-type&gt;&lt;contributors&gt;&lt;authors&gt;&lt;author&gt;Larussa, T.&lt;/author&gt;&lt;author&gt;Suraci, E.&lt;/author&gt;&lt;author&gt;Nazionale, I.&lt;/author&gt;&lt;author&gt;Abenavoli, L.&lt;/author&gt;&lt;author&gt;Imeneo, M.&lt;/author&gt;&lt;author&gt;Luzza, F.&lt;/author&gt;&lt;/authors&gt;&lt;/contributors&gt;&lt;auth-address&gt;Department of Health Science, University of Catanzaro &amp;quot;Magna Graecia&amp;quot;, University Campus of Germaneto, Viale Europa, 88100 Catanzaro, Italy.&lt;/auth-address&gt;&lt;titles&gt;&lt;title&gt;Bone mineralization in celiac disease&lt;/title&gt;&lt;secondary-title&gt;Gastroenterol Res Pract&lt;/secondary-title&gt;&lt;/titles&gt;&lt;periodical&gt;&lt;full-title&gt;Gastroenterol Res Pract&lt;/full-title&gt;&lt;/periodical&gt;&lt;pages&gt;198025&lt;/pages&gt;&lt;volume&gt;2012&lt;/volume&gt;&lt;dates&gt;&lt;year&gt;2012&lt;/year&gt;&lt;/dates&gt;&lt;isbn&gt;1687-630X (Electronic)&amp;#xD;1687-6121 (Linking)&lt;/isbn&gt;&lt;accession-num&gt;22737164&lt;/accession-num&gt;&lt;urls&gt;&lt;related-urls&gt;&lt;url&gt;http://www.ncbi.nlm.nih.gov/pubmed/22737164&lt;/url&gt;&lt;/related-urls&gt;&lt;/urls&gt;&lt;custom2&gt;PMC3378976&lt;/custom2&gt;&lt;electronic-resource-num&gt;10.1155/2012/198025&lt;/electronic-resource-num&gt;&lt;/record&gt;&lt;/Cite&gt;&lt;/EndNote&gt;</w:instrText>
        </w:r>
        <w:r w:rsidR="00B8363A">
          <w:rPr>
            <w:bCs/>
            <w:color w:val="000000"/>
          </w:rPr>
          <w:fldChar w:fldCharType="separate"/>
        </w:r>
        <w:r w:rsidR="001658CA" w:rsidRPr="00CC40C0">
          <w:rPr>
            <w:bCs/>
            <w:noProof/>
            <w:color w:val="000000"/>
            <w:vertAlign w:val="superscript"/>
          </w:rPr>
          <w:t>3</w:t>
        </w:r>
        <w:r w:rsidR="00B8363A">
          <w:rPr>
            <w:bCs/>
            <w:color w:val="000000"/>
          </w:rPr>
          <w:fldChar w:fldCharType="end"/>
        </w:r>
      </w:hyperlink>
      <w:r w:rsidR="0009750E">
        <w:rPr>
          <w:bCs/>
          <w:color w:val="000000"/>
        </w:rPr>
        <w:t xml:space="preserve">  </w:t>
      </w:r>
      <w:r>
        <w:rPr>
          <w:bCs/>
          <w:color w:val="000000"/>
        </w:rPr>
        <w:t xml:space="preserve">A gluten free diet is associated with an improvement in BMD as measured by dual-energy X-ray absorptiometry (DXA), although the </w:t>
      </w:r>
      <w:r w:rsidR="001F48AC">
        <w:rPr>
          <w:bCs/>
          <w:color w:val="000000"/>
        </w:rPr>
        <w:t>rep</w:t>
      </w:r>
      <w:r w:rsidR="003C3081">
        <w:rPr>
          <w:bCs/>
          <w:color w:val="000000"/>
        </w:rPr>
        <w:t xml:space="preserve">orted </w:t>
      </w:r>
      <w:r>
        <w:rPr>
          <w:bCs/>
          <w:color w:val="000000"/>
        </w:rPr>
        <w:t>magnitude of improvement has varied in the literature.</w:t>
      </w:r>
      <w:hyperlink w:anchor="_ENREF_4" w:tooltip="Grace-Farfaglia, 2015 #1163" w:history="1">
        <w:r w:rsidR="00B8363A">
          <w:rPr>
            <w:bCs/>
            <w:color w:val="000000"/>
          </w:rPr>
          <w:fldChar w:fldCharType="begin"/>
        </w:r>
        <w:r w:rsidR="001658CA">
          <w:rPr>
            <w:bCs/>
            <w:color w:val="000000"/>
          </w:rPr>
          <w:instrText xml:space="preserve"> ADDIN EN.CITE &lt;EndNote&gt;&lt;Cite&gt;&lt;Author&gt;Grace-Farfaglia&lt;/Author&gt;&lt;Year&gt;2015&lt;/Year&gt;&lt;RecNum&gt;1163&lt;/RecNum&gt;&lt;DisplayText&gt;&lt;style face="superscript"&gt;4&lt;/style&gt;&lt;/DisplayText&gt;&lt;record&gt;&lt;rec-number&gt;1163&lt;/rec-number&gt;&lt;foreign-keys&gt;&lt;key app="EN" db-id="tddepx9stepaa2ewwwy5xsraz9xvaz0x20zx" timestamp="1486296312"&gt;1163&lt;/key&gt;&lt;/foreign-keys&gt;&lt;ref-type name="Journal Article"&gt;17&lt;/ref-type&gt;&lt;contributors&gt;&lt;authors&gt;&lt;author&gt;Grace-Farfaglia, P.&lt;/author&gt;&lt;/authors&gt;&lt;/contributors&gt;&lt;auth-address&gt;Department of Nutritional Sciences, The University of Connecticut, Waterbury, CT 06702, USA. patricia.grace-farfaglia@uconn.edu.&amp;#xD;Health and Wellness Promotion, Rocky Mountain University of Health Professions, Provo, UT 84606, USA. patricia.grace-farfaglia@uconn.edu.&lt;/auth-address&gt;&lt;titles&gt;&lt;title&gt;Bones of contention: bone mineral density recovery in celiac disease--a systematic review&lt;/title&gt;&lt;secondary-title&gt;Nutrients&lt;/secondary-title&gt;&lt;/titles&gt;&lt;periodical&gt;&lt;full-title&gt;Nutrients&lt;/full-title&gt;&lt;/periodical&gt;&lt;pages&gt;3347-69&lt;/pages&gt;&lt;volume&gt;7&lt;/volume&gt;&lt;number&gt;5&lt;/number&gt;&lt;keywords&gt;&lt;keyword&gt;*Bone Density&lt;/keyword&gt;&lt;keyword&gt;Bone Diseases, Metabolic/complications/*therapy&lt;/keyword&gt;&lt;keyword&gt;Bone and Bones/*metabolism/pathology&lt;/keyword&gt;&lt;keyword&gt;Celiac Disease/*complications/diet therapy&lt;/keyword&gt;&lt;keyword&gt;*Diet, Gluten-Free&lt;/keyword&gt;&lt;keyword&gt;Diphosphonates/therapeutic use&lt;/keyword&gt;&lt;keyword&gt;Exercise&lt;/keyword&gt;&lt;keyword&gt;Glutens/*administration &amp;amp; dosage/adverse effects&lt;/keyword&gt;&lt;keyword&gt;Humans&lt;/keyword&gt;&lt;keyword&gt;Micronutrients/pharmacology/*therapeutic use&lt;/keyword&gt;&lt;/keywords&gt;&lt;dates&gt;&lt;year&gt;2015&lt;/year&gt;&lt;pub-dates&gt;&lt;date&gt;May 07&lt;/date&gt;&lt;/pub-dates&gt;&lt;/dates&gt;&lt;isbn&gt;2072-6643 (Electronic)&amp;#xD;2072-6643 (Linking)&lt;/isbn&gt;&lt;accession-num&gt;25961322&lt;/accession-num&gt;&lt;urls&gt;&lt;related-urls&gt;&lt;url&gt;http://www.ncbi.nlm.nih.gov/pubmed/25961322&lt;/url&gt;&lt;/related-urls&gt;&lt;/urls&gt;&lt;custom2&gt;PMC4446755&lt;/custom2&gt;&lt;electronic-resource-num&gt;10.3390/nu7053347&lt;/electronic-resource-num&gt;&lt;/record&gt;&lt;/Cite&gt;&lt;/EndNote&gt;</w:instrText>
        </w:r>
        <w:r w:rsidR="00B8363A">
          <w:rPr>
            <w:bCs/>
            <w:color w:val="000000"/>
          </w:rPr>
          <w:fldChar w:fldCharType="separate"/>
        </w:r>
        <w:r w:rsidR="001658CA" w:rsidRPr="00CC40C0">
          <w:rPr>
            <w:bCs/>
            <w:noProof/>
            <w:color w:val="000000"/>
            <w:vertAlign w:val="superscript"/>
          </w:rPr>
          <w:t>4</w:t>
        </w:r>
        <w:r w:rsidR="00B8363A">
          <w:rPr>
            <w:bCs/>
            <w:color w:val="000000"/>
          </w:rPr>
          <w:fldChar w:fldCharType="end"/>
        </w:r>
      </w:hyperlink>
      <w:r>
        <w:rPr>
          <w:bCs/>
          <w:color w:val="000000"/>
        </w:rPr>
        <w:t xml:space="preserve"> </w:t>
      </w:r>
      <w:r w:rsidR="00107E52">
        <w:t xml:space="preserve">Fracture risk, including </w:t>
      </w:r>
      <w:r w:rsidR="00DB0D21">
        <w:t xml:space="preserve">that for </w:t>
      </w:r>
      <w:r w:rsidR="003F130E">
        <w:t>hip fracture</w:t>
      </w:r>
      <w:r w:rsidR="000B2165">
        <w:t>,</w:t>
      </w:r>
      <w:r w:rsidR="003F130E">
        <w:t xml:space="preserve"> appears to be</w:t>
      </w:r>
      <w:r w:rsidR="00107E52">
        <w:t xml:space="preserve"> increased </w:t>
      </w:r>
      <w:r w:rsidR="00AE0E18">
        <w:t>in patients with celiac disease</w:t>
      </w:r>
      <w:r w:rsidR="0040359C">
        <w:t xml:space="preserve"> although the effect</w:t>
      </w:r>
      <w:r w:rsidR="00E964BA">
        <w:t xml:space="preserve"> </w:t>
      </w:r>
      <w:r w:rsidR="00DB0D21">
        <w:t xml:space="preserve">size </w:t>
      </w:r>
      <w:r w:rsidR="000B2165">
        <w:t xml:space="preserve">is </w:t>
      </w:r>
      <w:r w:rsidR="00E964BA">
        <w:t>uncertain</w:t>
      </w:r>
      <w:r w:rsidR="00AE0E18">
        <w:t>.</w:t>
      </w:r>
      <w:hyperlink w:anchor="_ENREF_5" w:tooltip="Heikkila, 2015 #1200" w:history="1">
        <w:r w:rsidR="00B8363A">
          <w:fldChar w:fldCharType="begin"/>
        </w:r>
        <w:r w:rsidR="001658CA">
          <w:instrText xml:space="preserve"> ADDIN EN.CITE &lt;EndNote&gt;&lt;Cite&gt;&lt;Author&gt;Heikkila&lt;/Author&gt;&lt;Year&gt;2015&lt;/Year&gt;&lt;RecNum&gt;1200&lt;/RecNum&gt;&lt;DisplayText&gt;&lt;style face="superscript"&gt;5&lt;/style&gt;&lt;/DisplayText&gt;&lt;record&gt;&lt;rec-number&gt;1200&lt;/rec-number&gt;&lt;foreign-keys&gt;&lt;key app="EN" db-id="tddepx9stepaa2ewwwy5xsraz9xvaz0x20zx" timestamp="1486296437"&gt;1200&lt;/key&gt;&lt;/foreign-keys&gt;&lt;ref-type name="Journal Article"&gt;17&lt;/ref-type&gt;&lt;contributors&gt;&lt;authors&gt;&lt;author&gt;Heikkila, K.&lt;/author&gt;&lt;author&gt;Pearce, J.&lt;/author&gt;&lt;author&gt;Maki, M.&lt;/author&gt;&lt;author&gt;Kaukinen, K.&lt;/author&gt;&lt;/authors&gt;&lt;/contributors&gt;&lt;auth-address&gt;School of Medicine (K.H., K.K.), University of Tampere, Tampere 33520, Finland; Division of Nutritional Sciences (J.P.), School of Biosciences, University of Nottingham, Nottingham LE12 5RD, United Kingdom; Tampere Centre for Child Health Research (M.M.), University of Tampere and Tampere University Hospital, Tampere 33520, Finland; Department of Internal Medicine (K.K.), Tampere University Hospital, Tampere 33520, Finland; Department of Internal Medicine (K.K.), Seinajoki Central Hospital, Seinajoki 60220, Finland.&lt;/auth-address&gt;&lt;titles&gt;&lt;title&gt;Celiac disease and bone fractures: a systematic review and meta-analysis&lt;/title&gt;&lt;secondary-title&gt;J Clin Endocrinol Metab&lt;/secondary-title&gt;&lt;/titles&gt;&lt;periodical&gt;&lt;full-title&gt;J Clin Endocrinol Metab&lt;/full-title&gt;&lt;/periodical&gt;&lt;pages&gt;25-34&lt;/pages&gt;&lt;volume&gt;100&lt;/volume&gt;&lt;number&gt;1&lt;/number&gt;&lt;keywords&gt;&lt;keyword&gt;*Bone Density&lt;/keyword&gt;&lt;keyword&gt;Celiac Disease/*epidemiology&lt;/keyword&gt;&lt;keyword&gt;Comorbidity&lt;/keyword&gt;&lt;keyword&gt;Fractures, Bone/*epidemiology&lt;/keyword&gt;&lt;keyword&gt;Humans&lt;/keyword&gt;&lt;keyword&gt;Incidence&lt;/keyword&gt;&lt;keyword&gt;Prevalence&lt;/keyword&gt;&lt;/keywords&gt;&lt;dates&gt;&lt;year&gt;2015&lt;/year&gt;&lt;pub-dates&gt;&lt;date&gt;Jan&lt;/date&gt;&lt;/pub-dates&gt;&lt;/dates&gt;&lt;isbn&gt;1945-7197 (Electronic)&amp;#xD;0021-972X (Linking)&lt;/isbn&gt;&lt;accession-num&gt;25279497&lt;/accession-num&gt;&lt;urls&gt;&lt;related-urls&gt;&lt;url&gt;http://www.ncbi.nlm.nih.gov/pubmed/25279497&lt;/url&gt;&lt;/related-urls&gt;&lt;/urls&gt;&lt;electronic-resource-num&gt;10.1210/jc.2014-1858&lt;/electronic-resource-num&gt;&lt;/record&gt;&lt;/Cite&gt;&lt;/EndNote&gt;</w:instrText>
        </w:r>
        <w:r w:rsidR="00B8363A">
          <w:fldChar w:fldCharType="separate"/>
        </w:r>
        <w:r w:rsidR="001658CA" w:rsidRPr="00CC40C0">
          <w:rPr>
            <w:noProof/>
            <w:vertAlign w:val="superscript"/>
          </w:rPr>
          <w:t>5</w:t>
        </w:r>
        <w:r w:rsidR="00B8363A">
          <w:fldChar w:fldCharType="end"/>
        </w:r>
      </w:hyperlink>
      <w:r w:rsidR="00AE0E18">
        <w:t xml:space="preserve"> </w:t>
      </w:r>
    </w:p>
    <w:p w:rsidR="00DD7F61" w:rsidRDefault="00DD47A6" w:rsidP="004A362A">
      <w:pPr>
        <w:spacing w:line="480" w:lineRule="auto"/>
        <w:ind w:firstLine="720"/>
      </w:pPr>
      <w:r>
        <w:t xml:space="preserve">The most widely </w:t>
      </w:r>
      <w:r w:rsidR="00A37052">
        <w:t>used approach to patient stratification for fracture risk is the FRAX</w:t>
      </w:r>
      <w:r w:rsidR="00A37052" w:rsidRPr="00C9516D">
        <w:rPr>
          <w:rFonts w:cs="Times New Roman"/>
          <w:vertAlign w:val="superscript"/>
        </w:rPr>
        <w:t>®</w:t>
      </w:r>
      <w:r>
        <w:t xml:space="preserve"> fracture risk assessment tool, which combines clinical factors that independently predict fracture risk as well as </w:t>
      </w:r>
      <w:r w:rsidR="000B2165">
        <w:t xml:space="preserve">(optionally) BMD </w:t>
      </w:r>
      <w:r>
        <w:t>at the femoral neck</w:t>
      </w:r>
      <w:r w:rsidR="000B2165">
        <w:t xml:space="preserve"> to predict 10-year probability of major osteoporotic fracture (MOF; a composite of hip, clinical vertebral, forearm and </w:t>
      </w:r>
      <w:proofErr w:type="spellStart"/>
      <w:r w:rsidR="000B2165">
        <w:t>humerus</w:t>
      </w:r>
      <w:proofErr w:type="spellEnd"/>
      <w:r w:rsidR="000E07E6">
        <w:t xml:space="preserve"> fractures</w:t>
      </w:r>
      <w:r w:rsidR="000B2165">
        <w:t>) and 10-year probability of hip fracture</w:t>
      </w:r>
      <w:r>
        <w:t>.</w:t>
      </w:r>
      <w:hyperlink w:anchor="_ENREF_6" w:tooltip="Kanis, 2007 #1211" w:history="1">
        <w:r w:rsidR="00B8363A">
          <w:fldChar w:fldCharType="begin">
            <w:fldData xml:space="preserve">PEVuZE5vdGU+PENpdGU+PEF1dGhvcj5LYW5pczwvQXV0aG9yPjxZZWFyPjIwMDc8L1llYXI+PFJl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=
</w:fldData>
          </w:fldChar>
        </w:r>
        <w:r w:rsidR="001658CA">
          <w:instrText xml:space="preserve"> ADDIN EN.CITE </w:instrText>
        </w:r>
        <w:r w:rsidR="00B8363A">
          <w:fldChar w:fldCharType="begin">
            <w:fldData xml:space="preserve">PEVuZE5vdGU+PENpdGU+PEF1dGhvcj5LYW5pczwvQXV0aG9yPjxZZWFyPjIwMDc8L1llYXI+PFJl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=
</w:fldData>
          </w:fldChar>
        </w:r>
        <w:r w:rsidR="001658CA">
          <w:instrText xml:space="preserve"> ADDIN EN.CITE.DATA </w:instrText>
        </w:r>
        <w:r w:rsidR="00B8363A">
          <w:fldChar w:fldCharType="end"/>
        </w:r>
        <w:r w:rsidR="00B8363A">
          <w:fldChar w:fldCharType="separate"/>
        </w:r>
        <w:r w:rsidR="001658CA" w:rsidRPr="00CC40C0">
          <w:rPr>
            <w:noProof/>
            <w:vertAlign w:val="superscript"/>
          </w:rPr>
          <w:t>6</w:t>
        </w:r>
        <w:r w:rsidR="00B8363A">
          <w:fldChar w:fldCharType="end"/>
        </w:r>
      </w:hyperlink>
      <w:r w:rsidR="005076E0" w:rsidRPr="005076E0">
        <w:t xml:space="preserve"> </w:t>
      </w:r>
      <w:r w:rsidR="005076E0">
        <w:t xml:space="preserve">The FRAX </w:t>
      </w:r>
      <w:r w:rsidR="00DD7F61">
        <w:t xml:space="preserve">tool </w:t>
      </w:r>
      <w:r w:rsidR="005076E0">
        <w:t>was initially developed for use</w:t>
      </w:r>
      <w:r w:rsidR="00515FA8">
        <w:t xml:space="preserve"> in general practice</w:t>
      </w:r>
      <w:r w:rsidR="00DD7F61">
        <w:t>.  S</w:t>
      </w:r>
      <w:r w:rsidR="005076E0">
        <w:t xml:space="preserve">ince </w:t>
      </w:r>
      <w:r w:rsidR="00DD7F61">
        <w:t xml:space="preserve">its </w:t>
      </w:r>
      <w:r w:rsidR="005076E0">
        <w:t>initial development it has been included in over 100 clinical practice guidelines and is the most widel</w:t>
      </w:r>
      <w:r w:rsidR="00246A5D">
        <w:t>y used fracture prediction tool</w:t>
      </w:r>
      <w:r w:rsidR="00DD7F61">
        <w:t xml:space="preserve"> worldwide</w:t>
      </w:r>
      <w:r w:rsidR="00246A5D">
        <w:t xml:space="preserve">. </w:t>
      </w:r>
      <w:hyperlink w:anchor="_ENREF_7" w:tooltip="Kanis, 2016 #2040" w:history="1">
        <w:r w:rsidR="00B8363A">
          <w:fldChar w:fldCharType="begin">
            <w:fldData xml:space="preserve">PEVuZE5vdGU+PENpdGU+PEF1dGhvcj5LYW5pczwvQXV0aG9yPjxZZWFyPjIwMTY8L1llYXI+PFJl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</w:fldData>
          </w:fldChar>
        </w:r>
        <w:r w:rsidR="001658CA">
          <w:instrText xml:space="preserve"> ADDIN EN.CITE </w:instrText>
        </w:r>
        <w:r w:rsidR="00B8363A">
          <w:fldChar w:fldCharType="begin">
            <w:fldData xml:space="preserve">PEVuZE5vdGU+PENpdGU+PEF1dGhvcj5LYW5pczwvQXV0aG9yPjxZZWFyPjIwMTY8L1llYXI+PFJl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</w:fldData>
          </w:fldChar>
        </w:r>
        <w:r w:rsidR="001658CA">
          <w:instrText xml:space="preserve"> ADDIN EN.CITE.DATA </w:instrText>
        </w:r>
        <w:r w:rsidR="00B8363A">
          <w:fldChar w:fldCharType="end"/>
        </w:r>
        <w:r w:rsidR="00B8363A">
          <w:fldChar w:fldCharType="separate"/>
        </w:r>
        <w:r w:rsidR="001658CA" w:rsidRPr="00CC40C0">
          <w:rPr>
            <w:noProof/>
            <w:vertAlign w:val="superscript"/>
          </w:rPr>
          <w:t>7</w:t>
        </w:r>
        <w:r w:rsidR="00B8363A">
          <w:fldChar w:fldCharType="end"/>
        </w:r>
      </w:hyperlink>
      <w:r w:rsidR="00AE0E18">
        <w:t xml:space="preserve"> </w:t>
      </w:r>
      <w:r w:rsidR="007735C8">
        <w:t>CD</w:t>
      </w:r>
      <w:r w:rsidR="00DD7F61">
        <w:t xml:space="preserve"> is not a direct input to FRAX.  A</w:t>
      </w:r>
      <w:r w:rsidR="000B2165">
        <w:t xml:space="preserve">n input for </w:t>
      </w:r>
      <w:r w:rsidR="00756EE6">
        <w:t xml:space="preserve">secondary osteoporosis </w:t>
      </w:r>
      <w:r w:rsidR="000B2165">
        <w:t xml:space="preserve">(including malabsorption) is </w:t>
      </w:r>
      <w:r w:rsidR="00756EE6">
        <w:t xml:space="preserve">included in </w:t>
      </w:r>
      <w:r w:rsidR="00DD7F61">
        <w:t xml:space="preserve">the FRAX algorithm which </w:t>
      </w:r>
      <w:r w:rsidR="000B2165">
        <w:t>affects the output when BMD is not available</w:t>
      </w:r>
      <w:r w:rsidR="00DD7F61">
        <w:t xml:space="preserve">, but does not affect the risk calculation when BMD is </w:t>
      </w:r>
      <w:r w:rsidR="00A37052">
        <w:t>included</w:t>
      </w:r>
      <w:r w:rsidR="00DD7F61">
        <w:t xml:space="preserve">.  </w:t>
      </w:r>
    </w:p>
    <w:p w:rsidR="000860D0" w:rsidRDefault="00756EE6" w:rsidP="00DD7F61">
      <w:pPr>
        <w:spacing w:line="480" w:lineRule="auto"/>
        <w:ind w:firstLine="720"/>
      </w:pPr>
      <w:r>
        <w:t>The aim of this</w:t>
      </w:r>
      <w:r w:rsidR="00721DB1">
        <w:t xml:space="preserve"> study was to determine whether </w:t>
      </w:r>
      <w:r w:rsidR="007735C8">
        <w:t>CD</w:t>
      </w:r>
      <w:r w:rsidR="00721DB1">
        <w:t xml:space="preserve"> </w:t>
      </w:r>
      <w:r w:rsidR="00DD7F61">
        <w:t xml:space="preserve">affects </w:t>
      </w:r>
      <w:r w:rsidR="00721DB1">
        <w:t>ma</w:t>
      </w:r>
      <w:r>
        <w:t xml:space="preserve">jor osteoporotic fracture risk </w:t>
      </w:r>
      <w:r w:rsidR="007B65FD">
        <w:t>inde</w:t>
      </w:r>
      <w:r w:rsidR="00E768B7">
        <w:t>pe</w:t>
      </w:r>
      <w:r w:rsidR="007B65FD">
        <w:t xml:space="preserve">ndent of FRAX </w:t>
      </w:r>
      <w:r w:rsidR="00A37052">
        <w:t>probability</w:t>
      </w:r>
      <w:r w:rsidR="007B65FD">
        <w:t>.</w:t>
      </w:r>
    </w:p>
    <w:p w:rsidR="00902F65" w:rsidRDefault="000860D0" w:rsidP="004A362A">
      <w:pPr>
        <w:spacing w:line="480" w:lineRule="auto"/>
        <w:outlineLvl w:val="0"/>
        <w:rPr>
          <w:b/>
          <w:color w:val="000000"/>
        </w:rPr>
      </w:pPr>
      <w:r>
        <w:br/>
      </w:r>
      <w:r w:rsidRPr="001221BC">
        <w:rPr>
          <w:b/>
          <w:color w:val="000000"/>
        </w:rPr>
        <w:t>Methods</w:t>
      </w:r>
    </w:p>
    <w:p w:rsidR="00902F65" w:rsidRPr="00397AA6" w:rsidRDefault="00902F65" w:rsidP="004A362A">
      <w:pPr>
        <w:spacing w:line="480" w:lineRule="auto"/>
        <w:outlineLvl w:val="0"/>
        <w:rPr>
          <w:bCs/>
          <w:i/>
          <w:iCs/>
          <w:color w:val="000000"/>
        </w:rPr>
      </w:pPr>
      <w:r w:rsidRPr="00397AA6">
        <w:rPr>
          <w:bCs/>
          <w:i/>
          <w:iCs/>
          <w:color w:val="000000"/>
        </w:rPr>
        <w:t>Study Population</w:t>
      </w:r>
    </w:p>
    <w:p w:rsidR="007735C8" w:rsidRDefault="001436B4" w:rsidP="00C766D3">
      <w:pPr>
        <w:spacing w:line="480" w:lineRule="auto"/>
        <w:ind w:firstLine="720"/>
        <w:rPr>
          <w:color w:val="000000"/>
        </w:rPr>
      </w:pPr>
      <w:r w:rsidRPr="00FD36CE">
        <w:rPr>
          <w:rFonts w:cs="Times New Roman"/>
        </w:rPr>
        <w:t>Manitoba is a central Canadian province with a population of approximately 1.3 million</w:t>
      </w:r>
      <w:r>
        <w:rPr>
          <w:rFonts w:cs="Times New Roman"/>
        </w:rPr>
        <w:t xml:space="preserve"> where health care is universal and publicly funded</w:t>
      </w:r>
      <w:r>
        <w:t>.  The provincial health</w:t>
      </w:r>
      <w:r w:rsidR="00190AB9">
        <w:t xml:space="preserve">care </w:t>
      </w:r>
      <w:r>
        <w:t>database</w:t>
      </w:r>
      <w:r w:rsidR="00190AB9">
        <w:t>s</w:t>
      </w:r>
      <w:r>
        <w:t xml:space="preserve"> include </w:t>
      </w:r>
      <w:r w:rsidR="00190AB9">
        <w:t xml:space="preserve">diagnoses from physician </w:t>
      </w:r>
      <w:r>
        <w:t>claims</w:t>
      </w:r>
      <w:r w:rsidR="00190AB9">
        <w:t xml:space="preserve">, </w:t>
      </w:r>
      <w:r>
        <w:t>hospitalizations</w:t>
      </w:r>
      <w:r w:rsidR="00C766D3">
        <w:t xml:space="preserve">, </w:t>
      </w:r>
      <w:r w:rsidR="00190AB9">
        <w:t>pharmacy-dispensed prescription medication use</w:t>
      </w:r>
      <w:r w:rsidR="00C766D3">
        <w:t xml:space="preserve">, and a </w:t>
      </w:r>
      <w:r w:rsidR="00C766D3">
        <w:rPr>
          <w:color w:val="000000"/>
        </w:rPr>
        <w:t>provincial CD serology database</w:t>
      </w:r>
      <w:r w:rsidR="007735C8">
        <w:rPr>
          <w:color w:val="000000"/>
        </w:rPr>
        <w:t>; all databases can be linked using a unique, anonymized personal health identification number</w:t>
      </w:r>
      <w:r>
        <w:t xml:space="preserve">.  The Manitoba Bone Mineral Density </w:t>
      </w:r>
      <w:r w:rsidR="00190AB9">
        <w:t xml:space="preserve">(BMD) </w:t>
      </w:r>
      <w:r>
        <w:t xml:space="preserve">Database includes all clinical DXA data for the </w:t>
      </w:r>
      <w:r w:rsidR="000B01F5">
        <w:t>province</w:t>
      </w:r>
      <w:r>
        <w:t>.</w:t>
      </w:r>
      <w:hyperlink w:anchor="_ENREF_8" w:tooltip="Leslie, 2003 #14" w:history="1">
        <w:r w:rsidR="00B8363A">
          <w:fldChar w:fldCharType="begin"/>
        </w:r>
        <w:r w:rsidR="001658CA">
          <w:instrText xml:space="preserve"> ADDIN EN.CITE &lt;EndNote&gt;&lt;Cite&gt;&lt;Author&gt;Leslie&lt;/Author&gt;&lt;Year&gt;2003&lt;/Year&gt;&lt;RecNum&gt;14&lt;/RecNum&gt;&lt;DisplayText&gt;&lt;style face="superscript"&gt;8&lt;/style&gt;&lt;/DisplayText&gt;&lt;record&gt;&lt;rec-number&gt;14&lt;/rec-number&gt;&lt;foreign-keys&gt;&lt;key app="EN" db-id="vpvwfdtslvrzeie2spdpfw50rwv05te50fzd"&gt;14&lt;/key&gt;&lt;/foreign-keys&gt;&lt;ref-type name="Journal Article"&gt;17&lt;/ref-type&gt;&lt;contributors&gt;&lt;authors&gt;&lt;author&gt;Leslie, William D.&lt;/author&gt;&lt;author&gt;Metge, Colleen&lt;/author&gt;&lt;/authors&gt;&lt;/contributors&gt;&lt;titles&gt;&lt;title&gt;Establishing a regional bone density program: lessons from the Manitoba experience&lt;/title&gt;&lt;secondary-title&gt;Journal of clinical densitometry &lt;/secondary-title&gt;&lt;/titles&gt;&lt;pages&gt;275-82&lt;/pages&gt;&lt;volume&gt;6&lt;/volume&gt;&lt;number&gt;3&lt;/number&gt;&lt;keywords&gt;&lt;keyword&gt;Absorptiometry, Photon&lt;/keyword&gt;&lt;keyword&gt;Absorptiometry, Photon: utilization&lt;/keyword&gt;&lt;keyword&gt;Fractures, Bone&lt;/keyword&gt;&lt;keyword&gt;Fractures, Bone: diagnosis&lt;/keyword&gt;&lt;keyword&gt;Health Services Accessibility&lt;/keyword&gt;&lt;keyword&gt;Humans&lt;/keyword&gt;&lt;keyword&gt;Manitoba&lt;/keyword&gt;&lt;keyword&gt;Program Development&lt;/keyword&gt;&lt;keyword&gt;Regional Medical Programs&lt;/keyword&gt;&lt;keyword&gt;Regional Medical Programs: organization &amp;amp; administ&lt;/keyword&gt;&lt;keyword&gt;Risk Assessment&lt;/keyword&gt;&lt;keyword&gt;Risk Factors&lt;/keyword&gt;&lt;keyword&gt;Waiting Lists&lt;/keyword&gt;&lt;/keywords&gt;&lt;dates&gt;&lt;year&gt;2003&lt;/year&gt;&lt;/dates&gt;&lt;urls&gt;&lt;related-urls&gt;&lt;url&gt;http://www.ncbi.nlm.nih.gov/pubmed/14514998&lt;/url&gt;&lt;/related-urls&gt;&lt;/urls&gt;&lt;/record&gt;&lt;/Cite&gt;&lt;/EndNote&gt;</w:instrText>
        </w:r>
        <w:r w:rsidR="00B8363A">
          <w:fldChar w:fldCharType="separate"/>
        </w:r>
        <w:r w:rsidR="001658CA" w:rsidRPr="001436B4">
          <w:rPr>
            <w:noProof/>
            <w:vertAlign w:val="superscript"/>
          </w:rPr>
          <w:t>8</w:t>
        </w:r>
        <w:r w:rsidR="00B8363A">
          <w:fldChar w:fldCharType="end"/>
        </w:r>
      </w:hyperlink>
      <w:r>
        <w:t xml:space="preserve">  This database has been carefully validated and extensively used for clinical research, with completeness and accuracy in excess of 99%.</w:t>
      </w:r>
      <w:hyperlink w:anchor="_ENREF_9" w:tooltip="Leslie, 2005 #2667" w:history="1">
        <w:r w:rsidR="00B8363A">
          <w:fldChar w:fldCharType="begin"/>
        </w:r>
        <w:r w:rsidR="001658CA">
          <w:instrText xml:space="preserve"> ADDIN EN.CITE &lt;EndNote&gt;&lt;Cite&gt;&lt;Author&gt;Leslie&lt;/Author&gt;&lt;Year&gt;2005&lt;/Year&gt;&lt;RecNum&gt;2667&lt;/RecNum&gt;&lt;DisplayText&gt;&lt;style face="superscript"&gt;9&lt;/style&gt;&lt;/DisplayText&gt;&lt;record&gt;&lt;rec-number&gt;2667&lt;/rec-number&gt;&lt;foreign-keys&gt;&lt;key app="EN" db-id="tddepx9stepaa2ewwwy5xsraz9xvaz0x20zx" timestamp="1591534458"&gt;2667&lt;/key&gt;&lt;/foreign-keys&gt;&lt;ref-type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 Clin Densitom&lt;/full-title&gt;&lt;/periodical&gt;&lt;pages&gt;25-30&lt;/pages&gt;&lt;volume&gt;8&lt;/volume&gt;&lt;number&gt;1&lt;/number&gt;&lt;keywords&gt;&lt;keyword&gt;Absorptiometry, Photon/*statistics &amp;amp; numerical data&lt;/keyword&gt;&lt;keyword&gt;Adult&lt;/keyword&gt;&lt;keyword&gt;Aged&lt;/keyword&gt;&lt;keyword&gt;Aged,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www.ncbi.nlm.nih.gov/pubmed/15722584&lt;/url&gt;&lt;/related-urls&gt;&lt;/urls&gt;&lt;electronic-resource-num&gt;10.1385/jcd:8:1:025&lt;/electronic-resource-num&gt;&lt;/record&gt;&lt;/Cite&gt;&lt;/EndNote&gt;</w:instrText>
        </w:r>
        <w:r w:rsidR="00B8363A">
          <w:fldChar w:fldCharType="separate"/>
        </w:r>
        <w:r w:rsidR="001658CA" w:rsidRPr="00C9516D">
          <w:rPr>
            <w:noProof/>
            <w:vertAlign w:val="superscript"/>
          </w:rPr>
          <w:t>9</w:t>
        </w:r>
        <w:r w:rsidR="00B8363A">
          <w:fldChar w:fldCharType="end"/>
        </w:r>
      </w:hyperlink>
      <w:r>
        <w:t xml:space="preserve">  </w:t>
      </w:r>
      <w:r>
        <w:rPr>
          <w:color w:val="000000"/>
        </w:rPr>
        <w:t>The Manitoba BMD Database was linked to the provincial database</w:t>
      </w:r>
      <w:r w:rsidR="00C766D3">
        <w:rPr>
          <w:color w:val="000000"/>
        </w:rPr>
        <w:t>s listed previously</w:t>
      </w:r>
      <w:r>
        <w:rPr>
          <w:color w:val="000000"/>
        </w:rPr>
        <w:t xml:space="preserve">. </w:t>
      </w:r>
      <w:r w:rsidR="00190AB9">
        <w:rPr>
          <w:color w:val="000000"/>
        </w:rPr>
        <w:t xml:space="preserve"> </w:t>
      </w:r>
    </w:p>
    <w:p w:rsidR="001436B4" w:rsidRDefault="007735C8" w:rsidP="00C766D3">
      <w:pPr>
        <w:spacing w:line="480" w:lineRule="auto"/>
        <w:ind w:firstLine="720"/>
        <w:rPr>
          <w:bCs/>
          <w:color w:val="000000"/>
        </w:rPr>
      </w:pPr>
      <w:r>
        <w:rPr>
          <w:color w:val="000000"/>
        </w:rPr>
        <w:t>Individuals</w:t>
      </w:r>
      <w:r w:rsidR="001436B4">
        <w:rPr>
          <w:color w:val="000000"/>
        </w:rPr>
        <w:t xml:space="preserve"> were included </w:t>
      </w:r>
      <w:r>
        <w:rPr>
          <w:color w:val="000000"/>
        </w:rPr>
        <w:t xml:space="preserve">in the study cohort </w:t>
      </w:r>
      <w:r w:rsidR="001436B4">
        <w:rPr>
          <w:color w:val="000000"/>
        </w:rPr>
        <w:t xml:space="preserve">if they were age 40 or older at </w:t>
      </w:r>
      <w:r w:rsidR="00190AB9">
        <w:rPr>
          <w:color w:val="000000"/>
        </w:rPr>
        <w:t xml:space="preserve">the time of </w:t>
      </w:r>
      <w:r w:rsidR="001436B4">
        <w:rPr>
          <w:color w:val="000000"/>
        </w:rPr>
        <w:t xml:space="preserve">baseline </w:t>
      </w:r>
      <w:r w:rsidR="00190AB9">
        <w:rPr>
          <w:color w:val="000000"/>
        </w:rPr>
        <w:t xml:space="preserve">DXA performed between </w:t>
      </w:r>
      <w:r w:rsidR="003913D6">
        <w:rPr>
          <w:color w:val="000000"/>
        </w:rPr>
        <w:t xml:space="preserve">1 </w:t>
      </w:r>
      <w:r w:rsidR="00190AB9">
        <w:rPr>
          <w:color w:val="000000"/>
        </w:rPr>
        <w:t>January</w:t>
      </w:r>
      <w:r w:rsidR="003913D6">
        <w:rPr>
          <w:color w:val="000000"/>
        </w:rPr>
        <w:t xml:space="preserve"> </w:t>
      </w:r>
      <w:r w:rsidR="00190AB9">
        <w:rPr>
          <w:color w:val="000000"/>
        </w:rPr>
        <w:t xml:space="preserve">1996 and </w:t>
      </w:r>
      <w:r w:rsidR="003913D6">
        <w:rPr>
          <w:color w:val="000000"/>
        </w:rPr>
        <w:t xml:space="preserve">30 </w:t>
      </w:r>
      <w:r w:rsidR="00190AB9">
        <w:rPr>
          <w:color w:val="000000"/>
        </w:rPr>
        <w:t>March 2013</w:t>
      </w:r>
      <w:r w:rsidR="00C766D3">
        <w:rPr>
          <w:color w:val="000000"/>
        </w:rPr>
        <w:t xml:space="preserve"> and were registered with Manitoba Health</w:t>
      </w:r>
      <w:r w:rsidR="001436B4">
        <w:rPr>
          <w:color w:val="000000"/>
        </w:rPr>
        <w:t xml:space="preserve">. </w:t>
      </w:r>
      <w:r w:rsidR="001436B4">
        <w:rPr>
          <w:bCs/>
          <w:color w:val="000000"/>
        </w:rPr>
        <w:t xml:space="preserve">The study protocol was approved by the Faculty of Medicine Research Ethics Board (REB) of the University of Manitoba.  </w:t>
      </w:r>
    </w:p>
    <w:p w:rsidR="001436B4" w:rsidRDefault="001436B4" w:rsidP="004A362A">
      <w:pPr>
        <w:spacing w:line="480" w:lineRule="auto"/>
        <w:ind w:firstLine="720"/>
      </w:pPr>
    </w:p>
    <w:p w:rsidR="001436B4" w:rsidRDefault="001436B4" w:rsidP="00F67A56">
      <w:pPr>
        <w:spacing w:line="480" w:lineRule="auto"/>
      </w:pPr>
      <w:r>
        <w:t xml:space="preserve">Definition of </w:t>
      </w:r>
      <w:r w:rsidR="007735C8">
        <w:t>CD</w:t>
      </w:r>
    </w:p>
    <w:p w:rsidR="001436B4" w:rsidRPr="0077585B" w:rsidRDefault="007735C8" w:rsidP="0077585B">
      <w:pPr>
        <w:spacing w:line="480" w:lineRule="auto"/>
        <w:ind w:firstLine="720"/>
        <w:rPr>
          <w:rFonts w:eastAsia="Times New Roman" w:cs="Times New Roman"/>
        </w:rPr>
      </w:pPr>
      <w:r w:rsidRPr="0077585B">
        <w:t>CD</w:t>
      </w:r>
      <w:r w:rsidR="001436B4" w:rsidRPr="0077585B">
        <w:t xml:space="preserve"> was defined as </w:t>
      </w:r>
      <w:proofErr w:type="spellStart"/>
      <w:r w:rsidR="007837E0" w:rsidRPr="0077585B">
        <w:t>endomysial</w:t>
      </w:r>
      <w:proofErr w:type="spellEnd"/>
      <w:r w:rsidR="007837E0" w:rsidRPr="0077585B">
        <w:t xml:space="preserve"> antibody (</w:t>
      </w:r>
      <w:r w:rsidR="001436B4" w:rsidRPr="0077585B">
        <w:t>EMA</w:t>
      </w:r>
      <w:r w:rsidR="007837E0" w:rsidRPr="0077585B">
        <w:t>)</w:t>
      </w:r>
      <w:r w:rsidR="001436B4" w:rsidRPr="0077585B">
        <w:t xml:space="preserve"> positivity (before 2003) or </w:t>
      </w:r>
      <w:r w:rsidR="007837E0" w:rsidRPr="0077585B">
        <w:t>IgA tissue transglutaminase (</w:t>
      </w:r>
      <w:proofErr w:type="spellStart"/>
      <w:r w:rsidR="001436B4" w:rsidRPr="0077585B">
        <w:t>tTG</w:t>
      </w:r>
      <w:proofErr w:type="spellEnd"/>
      <w:r w:rsidR="007837E0" w:rsidRPr="0077585B">
        <w:t>)</w:t>
      </w:r>
      <w:r w:rsidR="001436B4" w:rsidRPr="0077585B">
        <w:t xml:space="preserve"> and EMA positivity (after 2003) or from administrative healthcare data (2 physician </w:t>
      </w:r>
      <w:r w:rsidRPr="0077585B">
        <w:t xml:space="preserve">claims </w:t>
      </w:r>
      <w:r w:rsidR="001436B4" w:rsidRPr="0077585B">
        <w:t xml:space="preserve">or 1 </w:t>
      </w:r>
      <w:r w:rsidRPr="0077585B">
        <w:t xml:space="preserve">hospitalization with a </w:t>
      </w:r>
      <w:r w:rsidR="0077585B" w:rsidRPr="0077585B">
        <w:rPr>
          <w:rFonts w:eastAsia="Times New Roman" w:cs="Times New Roman"/>
          <w:color w:val="333333"/>
          <w:shd w:val="clear" w:color="auto" w:fill="FFFFFF"/>
        </w:rPr>
        <w:t>ICD-9-CM 579 or ICD-10-CA K90</w:t>
      </w:r>
      <w:r w:rsidR="0077585B">
        <w:rPr>
          <w:rFonts w:eastAsia="Times New Roman" w:cs="Times New Roman"/>
          <w:color w:val="333333"/>
          <w:shd w:val="clear" w:color="auto" w:fill="FFFFFF"/>
        </w:rPr>
        <w:t xml:space="preserve"> diagnostic code for celiac disease).</w:t>
      </w:r>
      <w:r w:rsidR="001436B4" w:rsidRPr="0077585B">
        <w:t xml:space="preserve">  We have previously demonstrated that </w:t>
      </w:r>
      <w:r w:rsidRPr="0077585B">
        <w:t>the administrative case definition for CD</w:t>
      </w:r>
      <w:r w:rsidR="001436B4" w:rsidRPr="0077585B">
        <w:t xml:space="preserve"> has a high sensitivity and</w:t>
      </w:r>
      <w:r w:rsidR="001436B4">
        <w:t xml:space="preserve"> specificity </w:t>
      </w:r>
      <w:r w:rsidR="000B01F5">
        <w:t xml:space="preserve">when assessed using </w:t>
      </w:r>
      <w:r w:rsidR="0077585B">
        <w:t>the serologic</w:t>
      </w:r>
      <w:r w:rsidR="000B01F5">
        <w:t xml:space="preserve"> diagnosis of</w:t>
      </w:r>
      <w:r w:rsidR="001436B4">
        <w:t xml:space="preserve"> </w:t>
      </w:r>
      <w:r w:rsidR="00F227F7">
        <w:t>CD</w:t>
      </w:r>
      <w:r w:rsidR="000B01F5">
        <w:t xml:space="preserve"> as the reference standard</w:t>
      </w:r>
      <w:r w:rsidR="001436B4">
        <w:t>.</w:t>
      </w:r>
      <w:hyperlink w:anchor="_ENREF_10" w:tooltip="Duerksen, 2019 #2090" w:history="1">
        <w:r w:rsidR="00B8363A">
          <w:fldChar w:fldCharType="begin"/>
        </w:r>
        <w:r w:rsidR="001658CA">
          <w:instrText xml:space="preserve"> ADDIN EN.CITE &lt;EndNote&gt;&lt;Cite&gt;&lt;Author&gt;Duerksen&lt;/Author&gt;&lt;Year&gt;2019&lt;/Year&gt;&lt;RecNum&gt;2090&lt;/RecNum&gt;&lt;DisplayText&gt;&lt;style face="superscript"&gt;10&lt;/style&gt;&lt;/DisplayText&gt;&lt;record&gt;&lt;rec-number&gt;2090&lt;/rec-number&gt;&lt;foreign-keys&gt;&lt;key app="EN" db-id="tddepx9stepaa2ewwwy5xsraz9xvaz0x20zx" timestamp="1578772166"&gt;2090&lt;/key&gt;&lt;/foreign-keys&gt;&lt;ref-type name="Journal Article"&gt;17&lt;/ref-type&gt;&lt;contributors&gt;&lt;authors&gt;&lt;author&gt;Duerksen, D. R.&lt;/author&gt;&lt;author&gt;Lix, L. M.&lt;/author&gt;&lt;author&gt;Leslie, W. D.&lt;/author&gt;&lt;/authors&gt;&lt;/contributors&gt;&lt;auth-address&gt;Department of Internal Medicine, Rady Faculty of Health Sciences, University of Manitoba, Winnipeg, MB, Canada. dduerkse@sbgh.mb.ca.&amp;#xD;Department of Medicine, Division of Gastroenterology, St. Boniface Hospital, C5120 409 Tache Ave, Winnipeg, MB, R2H 2A6, Canada. dduerkse@sbgh.mb.ca.&amp;#xD;Department of Community Health Sciences, Rady Faculty of Health Sciences, University of Manitoba, Winnipeg, MB, Canada.&amp;#xD;Department of Internal Medicine, Rady Faculty of Health Sciences, University of Manitoba, Winnipeg, MB, Canada.&lt;/auth-address&gt;&lt;titles&gt;&lt;title&gt;Development of an administrative definition for celiac disease&lt;/title&gt;&lt;secondary-title&gt;BMC Res Notes&lt;/secondary-title&gt;&lt;/titles&gt;&lt;periodical&gt;&lt;full-title&gt;BMC Res Notes&lt;/full-title&gt;&lt;abbr-1&gt;BMC research notes&lt;/abbr-1&gt;&lt;/periodical&gt;&lt;pages&gt;661&lt;/pages&gt;&lt;volume&gt;12&lt;/volume&gt;&lt;number&gt;1&lt;/number&gt;&lt;keywords&gt;&lt;keyword&gt;Celiac disease&lt;/keyword&gt;&lt;keyword&gt;Epidemiology&lt;/keyword&gt;&lt;keyword&gt;Health administrative data&lt;/keyword&gt;&lt;/keywords&gt;&lt;dates&gt;&lt;year&gt;2019&lt;/year&gt;&lt;pub-dates&gt;&lt;date&gt;Oct 17&lt;/date&gt;&lt;/pub-dates&gt;&lt;/dates&gt;&lt;isbn&gt;1756-0500 (Electronic)&amp;#xD;1756-0500 (Linking)&lt;/isbn&gt;&lt;accession-num&gt;31623688&lt;/accession-num&gt;&lt;urls&gt;&lt;related-urls&gt;&lt;url&gt;http://www.ncbi.nlm.nih.gov/pubmed/31623688&lt;/url&gt;&lt;/related-urls&gt;&lt;/urls&gt;&lt;custom2&gt;PMC6798501&lt;/custom2&gt;&lt;electronic-resource-num&gt;10.1186/s13104-019-4693-2&lt;/electronic-resource-num&gt;&lt;/record&gt;&lt;/Cite&gt;&lt;/EndNote&gt;</w:instrText>
        </w:r>
        <w:r w:rsidR="00B8363A">
          <w:fldChar w:fldCharType="separate"/>
        </w:r>
        <w:r w:rsidR="001658CA" w:rsidRPr="001436B4">
          <w:rPr>
            <w:noProof/>
            <w:vertAlign w:val="superscript"/>
          </w:rPr>
          <w:t>10</w:t>
        </w:r>
        <w:r w:rsidR="00B8363A">
          <w:fldChar w:fldCharType="end"/>
        </w:r>
      </w:hyperlink>
      <w:r w:rsidR="001436B4">
        <w:t xml:space="preserve">  </w:t>
      </w:r>
      <w:r w:rsidR="008B0986">
        <w:rPr>
          <w:color w:val="000000"/>
        </w:rPr>
        <w:t>Serol</w:t>
      </w:r>
      <w:r w:rsidR="008E478A">
        <w:rPr>
          <w:color w:val="000000"/>
        </w:rPr>
        <w:t xml:space="preserve">ogic testing </w:t>
      </w:r>
      <w:r w:rsidR="008B0986">
        <w:rPr>
          <w:color w:val="000000"/>
        </w:rPr>
        <w:t xml:space="preserve">with IgA </w:t>
      </w:r>
      <w:proofErr w:type="spellStart"/>
      <w:r w:rsidR="00C9516D">
        <w:rPr>
          <w:color w:val="000000"/>
        </w:rPr>
        <w:t>t</w:t>
      </w:r>
      <w:r w:rsidR="00515FA8">
        <w:rPr>
          <w:color w:val="000000"/>
        </w:rPr>
        <w:t>TG</w:t>
      </w:r>
      <w:proofErr w:type="spellEnd"/>
      <w:r w:rsidR="008B0986">
        <w:rPr>
          <w:color w:val="000000"/>
        </w:rPr>
        <w:t xml:space="preserve"> and IgA </w:t>
      </w:r>
      <w:r w:rsidR="00515FA8">
        <w:rPr>
          <w:color w:val="000000"/>
        </w:rPr>
        <w:t>EMA</w:t>
      </w:r>
      <w:r w:rsidR="0077585B">
        <w:rPr>
          <w:color w:val="000000"/>
        </w:rPr>
        <w:t xml:space="preserve"> antibodies </w:t>
      </w:r>
      <w:r w:rsidR="00F227F7">
        <w:rPr>
          <w:color w:val="000000"/>
        </w:rPr>
        <w:t xml:space="preserve"> </w:t>
      </w:r>
      <w:r w:rsidR="008B0986">
        <w:rPr>
          <w:color w:val="000000"/>
        </w:rPr>
        <w:t>has a high sensitivity and specificity for celiac disease</w:t>
      </w:r>
      <w:r w:rsidR="0077585B">
        <w:rPr>
          <w:color w:val="000000"/>
        </w:rPr>
        <w:t xml:space="preserve"> for biopsy proven celiac disease.</w:t>
      </w:r>
      <w:hyperlink w:anchor="_ENREF_1" w:tooltip="Lebwohl, 2018 #2402" w:history="1">
        <w:r w:rsidR="00B8363A">
          <w:rPr>
            <w:color w:val="000000"/>
          </w:rPr>
          <w:fldChar w:fldCharType="begin"/>
        </w:r>
        <w:r w:rsidR="001658CA">
          <w:rPr>
            <w:color w:val="000000"/>
          </w:rPr>
          <w:instrText xml:space="preserve"> ADDIN EN.CITE &lt;EndNote&gt;&lt;Cite&gt;&lt;Author&gt;Lebwohl&lt;/Author&gt;&lt;Year&gt;2018&lt;/Year&gt;&lt;RecNum&gt;2402&lt;/RecNum&gt;&lt;DisplayText&gt;&lt;style face="superscript"&gt;1&lt;/style&gt;&lt;/DisplayText&gt;&lt;record&gt;&lt;rec-number&gt;2402&lt;/rec-number&gt;&lt;foreign-keys&gt;&lt;key app="EN" db-id="tddepx9stepaa2ewwwy5xsraz9xvaz0x20zx" timestamp="1578863198"&gt;2402&lt;/key&gt;&lt;/foreign-keys&gt;&lt;ref-type name="Journal Article"&gt;17&lt;/ref-type&gt;&lt;contributors&gt;&lt;authors&gt;&lt;author&gt;Lebwohl, B.&lt;/author&gt;&lt;author&gt;Sanders, D. S.&lt;/author&gt;&lt;author&gt;Green, P. H. R.&lt;/author&gt;&lt;/authors&gt;&lt;/contributors&gt;&lt;auth-address&gt;Celiac Disease Center, College of Physicians and Surgeons, Columbia University Medical Center, New York, NY, USA; Department of Epidemiology, Mailman School of Public Health, Columbia University Medical Center, New York, NY, USA.&amp;#xD;Academic Unit of Gastroenterology, Royal Hallamshire Hospital &amp;amp; University of Sheffield, UK.&amp;#xD;Celiac Disease Center, College of Physicians and Surgeons, Columbia University Medical Center, New York, NY, USA. Electronic address: pg11@columbia.edu.&lt;/auth-address&gt;&lt;titles&gt;&lt;title&gt;Coeliac disease&lt;/title&gt;&lt;secondary-title&gt;Lancet&lt;/secondary-title&gt;&lt;/titles&gt;&lt;periodical&gt;&lt;full-title&gt;Lancet&lt;/full-title&gt;&lt;/periodical&gt;&lt;pages&gt;70-81&lt;/pages&gt;&lt;volume&gt;391&lt;/volume&gt;&lt;number&gt;10115&lt;/number&gt;&lt;keywords&gt;&lt;keyword&gt;*Celiac Disease/diagnosis/etiology/therapy&lt;/keyword&gt;&lt;keyword&gt;Humans&lt;/keyword&gt;&lt;/keywords&gt;&lt;dates&gt;&lt;year&gt;2018&lt;/year&gt;&lt;pub-dates&gt;&lt;date&gt;Jan 6&lt;/date&gt;&lt;/pub-dates&gt;&lt;/dates&gt;&lt;isbn&gt;1474-547X (Electronic)&amp;#xD;0140-6736 (Linking)&lt;/isbn&gt;&lt;accession-num&gt;28760445&lt;/accession-num&gt;&lt;urls&gt;&lt;related-urls&gt;&lt;url&gt;http://www.ncbi.nlm.nih.gov/pubmed/28760445&lt;/url&gt;&lt;/related-urls&gt;&lt;/urls&gt;&lt;electronic-resource-num&gt;10.1016/S0140-6736(17)31796-8&lt;/electronic-resource-num&gt;&lt;/record&gt;&lt;/Cite&gt;&lt;/EndNote&gt;</w:instrText>
        </w:r>
        <w:r w:rsidR="00B8363A">
          <w:rPr>
            <w:color w:val="000000"/>
          </w:rPr>
          <w:fldChar w:fldCharType="separate"/>
        </w:r>
        <w:r w:rsidR="001658CA" w:rsidRPr="001663A3">
          <w:rPr>
            <w:noProof/>
            <w:color w:val="000000"/>
            <w:vertAlign w:val="superscript"/>
          </w:rPr>
          <w:t>1</w:t>
        </w:r>
        <w:r w:rsidR="00B8363A">
          <w:rPr>
            <w:color w:val="000000"/>
          </w:rPr>
          <w:fldChar w:fldCharType="end"/>
        </w:r>
      </w:hyperlink>
      <w:r w:rsidR="008B0986">
        <w:rPr>
          <w:color w:val="000000"/>
        </w:rPr>
        <w:t xml:space="preserve"> While small bowel biopsy is recommended for a definitive diagnosis</w:t>
      </w:r>
      <w:r w:rsidR="0077585B">
        <w:rPr>
          <w:color w:val="000000"/>
        </w:rPr>
        <w:t xml:space="preserve"> in adults</w:t>
      </w:r>
      <w:r w:rsidR="008B0986">
        <w:rPr>
          <w:color w:val="000000"/>
        </w:rPr>
        <w:t xml:space="preserve">, positive serologic testing </w:t>
      </w:r>
      <w:r w:rsidR="0077585B">
        <w:rPr>
          <w:color w:val="000000"/>
        </w:rPr>
        <w:t xml:space="preserve">with </w:t>
      </w:r>
      <w:proofErr w:type="spellStart"/>
      <w:r w:rsidR="0077585B">
        <w:rPr>
          <w:color w:val="000000"/>
        </w:rPr>
        <w:t>tTG</w:t>
      </w:r>
      <w:proofErr w:type="spellEnd"/>
      <w:r w:rsidR="0077585B">
        <w:rPr>
          <w:color w:val="000000"/>
        </w:rPr>
        <w:t xml:space="preserve"> and EMA antibodies has a </w:t>
      </w:r>
      <w:r w:rsidR="008B0986">
        <w:rPr>
          <w:color w:val="000000"/>
        </w:rPr>
        <w:t xml:space="preserve"> positive </w:t>
      </w:r>
      <w:r w:rsidR="009B049E">
        <w:rPr>
          <w:color w:val="000000"/>
        </w:rPr>
        <w:t>predictive value</w:t>
      </w:r>
      <w:r w:rsidR="0077585B">
        <w:rPr>
          <w:color w:val="000000"/>
        </w:rPr>
        <w:t xml:space="preserve"> of over 95% for biopsy confirmed celiac disease.</w:t>
      </w:r>
      <w:hyperlink w:anchor="_ENREF_11" w:tooltip="Toftedal, 2010 #2669" w:history="1">
        <w:r w:rsidR="00B8363A">
          <w:rPr>
            <w:color w:val="000000"/>
          </w:rPr>
          <w:fldChar w:fldCharType="begin">
            <w:fldData xml:space="preserve">PEVuZE5vdGU+PENpdGU+PEF1dGhvcj5Ub2Z0ZWRhbDwvQXV0aG9yPjxZZWFyPjIwMTA8L1llYXI+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==
</w:fldData>
          </w:fldChar>
        </w:r>
        <w:r w:rsidR="001658CA">
          <w:rPr>
            <w:color w:val="000000"/>
          </w:rPr>
          <w:instrText xml:space="preserve"> ADDIN EN.CITE </w:instrText>
        </w:r>
        <w:r w:rsidR="00B8363A">
          <w:rPr>
            <w:color w:val="000000"/>
          </w:rPr>
          <w:fldChar w:fldCharType="begin">
            <w:fldData xml:space="preserve">PEVuZE5vdGU+PENpdGU+PEF1dGhvcj5Ub2Z0ZWRhbDwvQXV0aG9yPjxZZWFyPjIwMTA8L1llYXI+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==
</w:fldData>
          </w:fldChar>
        </w:r>
        <w:r w:rsidR="001658CA">
          <w:rPr>
            <w:color w:val="000000"/>
          </w:rPr>
          <w:instrText xml:space="preserve"> ADDIN EN.CITE.DATA </w:instrText>
        </w:r>
        <w:r w:rsidR="00B8363A">
          <w:rPr>
            <w:color w:val="000000"/>
          </w:rPr>
        </w:r>
        <w:r w:rsidR="00B8363A">
          <w:rPr>
            <w:color w:val="000000"/>
          </w:rPr>
          <w:fldChar w:fldCharType="end"/>
        </w:r>
        <w:r w:rsidR="00B8363A">
          <w:rPr>
            <w:color w:val="000000"/>
          </w:rPr>
        </w:r>
        <w:r w:rsidR="00B8363A">
          <w:rPr>
            <w:color w:val="000000"/>
          </w:rPr>
          <w:fldChar w:fldCharType="separate"/>
        </w:r>
        <w:r w:rsidR="001658CA" w:rsidRPr="0077585B">
          <w:rPr>
            <w:noProof/>
            <w:color w:val="000000"/>
            <w:vertAlign w:val="superscript"/>
          </w:rPr>
          <w:t>11</w:t>
        </w:r>
        <w:r w:rsidR="00B8363A">
          <w:rPr>
            <w:color w:val="000000"/>
          </w:rPr>
          <w:fldChar w:fldCharType="end"/>
        </w:r>
      </w:hyperlink>
      <w:r w:rsidR="008B0986">
        <w:rPr>
          <w:color w:val="000000"/>
        </w:rPr>
        <w:t xml:space="preserve">  </w:t>
      </w:r>
      <w:r w:rsidR="001C7DF8">
        <w:rPr>
          <w:bCs/>
          <w:color w:val="000000"/>
        </w:rPr>
        <w:t xml:space="preserve">In Manitoba, all serologic testing for CD is performed by </w:t>
      </w:r>
      <w:r w:rsidR="001C7DF8">
        <w:t>the</w:t>
      </w:r>
      <w:r w:rsidR="001C7DF8" w:rsidRPr="009C6088">
        <w:rPr>
          <w:color w:val="000000" w:themeColor="text1"/>
        </w:rPr>
        <w:t xml:space="preserve"> Immunology Laboratory at St Boniface Hospital, Winnipeg, Canada.</w:t>
      </w:r>
      <w:r w:rsidR="001C7DF8">
        <w:rPr>
          <w:bCs/>
          <w:color w:val="000000"/>
        </w:rPr>
        <w:t xml:space="preserve"> Since 1996, IgA </w:t>
      </w:r>
      <w:proofErr w:type="spellStart"/>
      <w:r w:rsidR="001C7DF8">
        <w:rPr>
          <w:bCs/>
          <w:color w:val="000000"/>
        </w:rPr>
        <w:t>endomysial</w:t>
      </w:r>
      <w:proofErr w:type="spellEnd"/>
      <w:r w:rsidR="001C7DF8">
        <w:rPr>
          <w:bCs/>
          <w:color w:val="000000"/>
        </w:rPr>
        <w:t xml:space="preserve"> antibody (</w:t>
      </w:r>
      <w:r w:rsidR="001C7DF8">
        <w:t>EMA) testing has been performed using fluorescein-conjugated guinea pig IgA antibodies and fluorescence microscopy.  Sera are considered positive if fluorescence is seen at dilutions of 1:5 or greater. IgA tissue transglutaminase (</w:t>
      </w:r>
      <w:proofErr w:type="spellStart"/>
      <w:r w:rsidR="001C7DF8">
        <w:t>tTG</w:t>
      </w:r>
      <w:proofErr w:type="spellEnd"/>
      <w:r w:rsidR="001C7DF8">
        <w:t xml:space="preserve">) antibodies have been measured since 2003. </w:t>
      </w:r>
    </w:p>
    <w:p w:rsidR="001436B4" w:rsidRDefault="001436B4" w:rsidP="00F67A56">
      <w:pPr>
        <w:spacing w:line="480" w:lineRule="auto"/>
        <w:ind w:firstLine="720"/>
        <w:rPr>
          <w:color w:val="000000" w:themeColor="text1"/>
        </w:rPr>
      </w:pPr>
      <w:r>
        <w:t xml:space="preserve">Individuals receiving BMD testing but who did not have positive serologic testing or </w:t>
      </w:r>
      <w:r w:rsidR="007735C8">
        <w:t xml:space="preserve">did not </w:t>
      </w:r>
      <w:r>
        <w:t xml:space="preserve">meet the administrative </w:t>
      </w:r>
      <w:r w:rsidR="001471DB">
        <w:t xml:space="preserve">case definition </w:t>
      </w:r>
      <w:r>
        <w:t>for celiac disease were considered the controls for this study</w:t>
      </w:r>
      <w:r w:rsidR="00024960">
        <w:t xml:space="preserve"> and designated as </w:t>
      </w:r>
      <w:r w:rsidR="00F227F7">
        <w:t xml:space="preserve">members of </w:t>
      </w:r>
      <w:r w:rsidR="00024960">
        <w:t xml:space="preserve">the general population </w:t>
      </w:r>
      <w:r w:rsidR="007735C8">
        <w:t>cohort</w:t>
      </w:r>
      <w:r>
        <w:t>.</w:t>
      </w:r>
    </w:p>
    <w:p w:rsidR="008E478A" w:rsidRDefault="008E478A" w:rsidP="004A362A">
      <w:pPr>
        <w:spacing w:line="480" w:lineRule="auto"/>
        <w:ind w:left="1440" w:firstLine="720"/>
        <w:rPr>
          <w:color w:val="000000"/>
        </w:rPr>
      </w:pPr>
    </w:p>
    <w:p w:rsidR="00233BFA" w:rsidRPr="00337877" w:rsidRDefault="008B0986" w:rsidP="00233BFA">
      <w:pPr>
        <w:spacing w:line="480" w:lineRule="auto"/>
        <w:rPr>
          <w:rFonts w:cs="Times New Roman"/>
        </w:rPr>
      </w:pPr>
      <w:r>
        <w:rPr>
          <w:color w:val="000000"/>
        </w:rPr>
        <w:tab/>
      </w:r>
      <w:r w:rsidR="00233BFA" w:rsidRPr="00F67A56">
        <w:rPr>
          <w:rFonts w:cs="Times New Roman"/>
        </w:rPr>
        <w:t xml:space="preserve">Incident </w:t>
      </w:r>
      <w:r w:rsidR="007735C8">
        <w:rPr>
          <w:rFonts w:cs="Times New Roman"/>
        </w:rPr>
        <w:t>MOF</w:t>
      </w:r>
    </w:p>
    <w:p w:rsidR="00AF4A16" w:rsidRPr="00024960" w:rsidRDefault="00337877" w:rsidP="00024960">
      <w:pPr>
        <w:spacing w:line="480" w:lineRule="auto"/>
        <w:ind w:firstLine="720"/>
        <w:rPr>
          <w:rFonts w:cs="Times New Roman"/>
        </w:rPr>
      </w:pPr>
      <w:r>
        <w:rPr>
          <w:rFonts w:cs="Times New Roman"/>
        </w:rPr>
        <w:t>W</w:t>
      </w:r>
      <w:r w:rsidR="00233BFA" w:rsidRPr="00FD36CE">
        <w:rPr>
          <w:rFonts w:cs="Times New Roman"/>
        </w:rPr>
        <w:t xml:space="preserve">e defined incident MOF as fractures </w:t>
      </w:r>
      <w:r w:rsidR="00F227F7">
        <w:rPr>
          <w:rFonts w:cs="Times New Roman"/>
        </w:rPr>
        <w:t xml:space="preserve">of the hip, wrist, spine, or </w:t>
      </w:r>
      <w:proofErr w:type="spellStart"/>
      <w:r w:rsidR="00F227F7">
        <w:rPr>
          <w:rFonts w:cs="Times New Roman"/>
        </w:rPr>
        <w:t>humerus</w:t>
      </w:r>
      <w:proofErr w:type="spellEnd"/>
      <w:r w:rsidR="00F227F7">
        <w:rPr>
          <w:rFonts w:cs="Times New Roman"/>
        </w:rPr>
        <w:t xml:space="preserve"> </w:t>
      </w:r>
      <w:r w:rsidR="00233BFA" w:rsidRPr="00FD36CE">
        <w:rPr>
          <w:rFonts w:cs="Times New Roman"/>
        </w:rPr>
        <w:t xml:space="preserve">that occurred between the date of BMD screening and </w:t>
      </w:r>
      <w:r w:rsidR="00233BFA">
        <w:rPr>
          <w:rFonts w:cs="Times New Roman"/>
        </w:rPr>
        <w:t>our study end date (</w:t>
      </w:r>
      <w:r w:rsidR="00233BFA" w:rsidRPr="00FD36CE">
        <w:rPr>
          <w:rFonts w:cs="Times New Roman"/>
        </w:rPr>
        <w:t>March 31, 201</w:t>
      </w:r>
      <w:r w:rsidR="00233BFA">
        <w:rPr>
          <w:rFonts w:cs="Times New Roman"/>
        </w:rPr>
        <w:t>3)</w:t>
      </w:r>
      <w:r w:rsidR="00233BFA" w:rsidRPr="00FD36CE">
        <w:rPr>
          <w:rFonts w:cs="Times New Roman"/>
        </w:rPr>
        <w:t xml:space="preserve">. Fractures were ascertained </w:t>
      </w:r>
      <w:r w:rsidR="007735C8">
        <w:rPr>
          <w:rFonts w:cs="Times New Roman"/>
        </w:rPr>
        <w:t>from diagnosis codes in</w:t>
      </w:r>
      <w:r w:rsidR="007735C8" w:rsidRPr="00FD36CE">
        <w:rPr>
          <w:rFonts w:cs="Times New Roman"/>
        </w:rPr>
        <w:t xml:space="preserve"> </w:t>
      </w:r>
      <w:r w:rsidR="00233BFA">
        <w:rPr>
          <w:rFonts w:cs="Times New Roman"/>
        </w:rPr>
        <w:t>physician claims and hospitalization</w:t>
      </w:r>
      <w:r w:rsidR="00F227F7">
        <w:rPr>
          <w:rFonts w:cs="Times New Roman"/>
        </w:rPr>
        <w:t>s</w:t>
      </w:r>
      <w:r w:rsidR="00233BFA">
        <w:rPr>
          <w:rFonts w:cs="Times New Roman"/>
        </w:rPr>
        <w:t xml:space="preserve"> using previously validate</w:t>
      </w:r>
      <w:r w:rsidR="00993F21">
        <w:rPr>
          <w:rFonts w:cs="Times New Roman"/>
        </w:rPr>
        <w:t>d</w:t>
      </w:r>
      <w:r w:rsidR="00233BFA">
        <w:rPr>
          <w:rFonts w:cs="Times New Roman"/>
        </w:rPr>
        <w:t xml:space="preserve"> </w:t>
      </w:r>
      <w:r w:rsidR="00F227F7">
        <w:rPr>
          <w:rFonts w:cs="Times New Roman"/>
        </w:rPr>
        <w:t xml:space="preserve">case </w:t>
      </w:r>
      <w:r w:rsidR="00233BFA">
        <w:rPr>
          <w:rFonts w:cs="Times New Roman"/>
        </w:rPr>
        <w:t>defin</w:t>
      </w:r>
      <w:r w:rsidR="00D25BBB">
        <w:rPr>
          <w:rFonts w:cs="Times New Roman"/>
        </w:rPr>
        <w:t>i</w:t>
      </w:r>
      <w:r w:rsidR="00233BFA">
        <w:rPr>
          <w:rFonts w:cs="Times New Roman"/>
        </w:rPr>
        <w:t>tions</w:t>
      </w:r>
      <w:r w:rsidR="00D25BBB">
        <w:rPr>
          <w:rFonts w:cs="Times New Roman"/>
        </w:rPr>
        <w:t>.</w:t>
      </w:r>
      <w:r w:rsidR="00B8363A">
        <w:rPr>
          <w:rFonts w:cs="Times New Roman"/>
        </w:rPr>
        <w:fldChar w:fldCharType="begin">
          <w:fldData xml:space="preserve">PEVuZE5vdGU+PENpdGU+PEF1dGhvcj5MaXg8L0F1dGhvcj48WWVhcj4yMDEyPC9ZZWFyPjxSZWNO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</w:fldData>
        </w:fldChar>
      </w:r>
      <w:r w:rsidR="0077585B">
        <w:rPr>
          <w:rFonts w:cs="Times New Roman"/>
        </w:rPr>
        <w:instrText xml:space="preserve"> ADDIN EN.CITE </w:instrText>
      </w:r>
      <w:r w:rsidR="00B8363A">
        <w:rPr>
          <w:rFonts w:cs="Times New Roman"/>
        </w:rPr>
        <w:fldChar w:fldCharType="begin">
          <w:fldData xml:space="preserve">PEVuZE5vdGU+PENpdGU+PEF1dGhvcj5MaXg8L0F1dGhvcj48WWVhcj4yMDEyPC9ZZWFyPjxSZWNO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</w:fldData>
        </w:fldChar>
      </w:r>
      <w:r w:rsidR="0077585B">
        <w:rPr>
          <w:rFonts w:cs="Times New Roman"/>
        </w:rPr>
        <w:instrText xml:space="preserve"> ADDIN EN.CITE.DATA </w:instrText>
      </w:r>
      <w:r w:rsidR="00B8363A">
        <w:rPr>
          <w:rFonts w:cs="Times New Roman"/>
        </w:rPr>
      </w:r>
      <w:r w:rsidR="00B8363A">
        <w:rPr>
          <w:rFonts w:cs="Times New Roman"/>
        </w:rPr>
        <w:fldChar w:fldCharType="end"/>
      </w:r>
      <w:r w:rsidR="00B8363A">
        <w:rPr>
          <w:rFonts w:cs="Times New Roman"/>
        </w:rPr>
      </w:r>
      <w:r w:rsidR="00B8363A">
        <w:rPr>
          <w:rFonts w:cs="Times New Roman"/>
        </w:rPr>
        <w:fldChar w:fldCharType="separate"/>
      </w:r>
      <w:hyperlink w:anchor="_ENREF_12" w:tooltip="Lix, 2012 #2440" w:history="1">
        <w:r w:rsidR="001658CA" w:rsidRPr="0077585B">
          <w:rPr>
            <w:rFonts w:cs="Times New Roman"/>
            <w:noProof/>
            <w:vertAlign w:val="superscript"/>
          </w:rPr>
          <w:t>12</w:t>
        </w:r>
      </w:hyperlink>
      <w:r w:rsidR="0077585B" w:rsidRPr="0077585B">
        <w:rPr>
          <w:rFonts w:cs="Times New Roman"/>
          <w:noProof/>
          <w:vertAlign w:val="superscript"/>
        </w:rPr>
        <w:t xml:space="preserve">, </w:t>
      </w:r>
      <w:hyperlink w:anchor="_ENREF_13" w:tooltip="Epp R, 2018 #2586" w:history="1">
        <w:r w:rsidR="001658CA" w:rsidRPr="0077585B">
          <w:rPr>
            <w:rFonts w:cs="Times New Roman"/>
            <w:noProof/>
            <w:vertAlign w:val="superscript"/>
          </w:rPr>
          <w:t>13</w:t>
        </w:r>
      </w:hyperlink>
      <w:r w:rsidR="00B8363A">
        <w:rPr>
          <w:rFonts w:cs="Times New Roman"/>
        </w:rPr>
        <w:fldChar w:fldCharType="end"/>
      </w:r>
      <w:r w:rsidR="00D25BBB">
        <w:rPr>
          <w:rFonts w:cs="Times New Roman"/>
        </w:rPr>
        <w:t xml:space="preserve">  W</w:t>
      </w:r>
      <w:r w:rsidR="00233BFA" w:rsidRPr="00FD36CE">
        <w:rPr>
          <w:rFonts w:cs="Times New Roman"/>
        </w:rPr>
        <w:t xml:space="preserve">e excluded fractures associated with trauma </w:t>
      </w:r>
      <w:r w:rsidR="00233BFA">
        <w:rPr>
          <w:rFonts w:cs="Times New Roman"/>
        </w:rPr>
        <w:t>diagnos</w:t>
      </w:r>
      <w:r w:rsidR="007735C8">
        <w:rPr>
          <w:rFonts w:cs="Times New Roman"/>
        </w:rPr>
        <w:t>is</w:t>
      </w:r>
      <w:r w:rsidR="00233BFA">
        <w:rPr>
          <w:rFonts w:cs="Times New Roman"/>
        </w:rPr>
        <w:t xml:space="preserve"> </w:t>
      </w:r>
      <w:r w:rsidR="00233BFA" w:rsidRPr="00FD36CE">
        <w:rPr>
          <w:rFonts w:cs="Times New Roman"/>
        </w:rPr>
        <w:t xml:space="preserve">codes. </w:t>
      </w:r>
      <w:r w:rsidR="00233BFA">
        <w:rPr>
          <w:rFonts w:cs="Times New Roman"/>
        </w:rPr>
        <w:t xml:space="preserve"> We required a </w:t>
      </w:r>
      <w:r w:rsidR="00233BFA" w:rsidRPr="00FD36CE">
        <w:rPr>
          <w:rFonts w:cs="Times New Roman"/>
        </w:rPr>
        <w:t>site-specific fracture fixation code</w:t>
      </w:r>
      <w:r w:rsidR="00233BFA">
        <w:rPr>
          <w:rFonts w:cs="Times New Roman"/>
        </w:rPr>
        <w:t xml:space="preserve"> and/or </w:t>
      </w:r>
      <w:r w:rsidR="00233BFA" w:rsidRPr="00FD36CE">
        <w:rPr>
          <w:rFonts w:cs="Times New Roman"/>
        </w:rPr>
        <w:t>casting code</w:t>
      </w:r>
      <w:r w:rsidR="00233BFA">
        <w:rPr>
          <w:rFonts w:cs="Times New Roman"/>
        </w:rPr>
        <w:t xml:space="preserve"> for hip fracture or </w:t>
      </w:r>
      <w:proofErr w:type="spellStart"/>
      <w:r w:rsidR="00F227F7">
        <w:rPr>
          <w:rFonts w:cs="Times New Roman"/>
        </w:rPr>
        <w:t>humerus</w:t>
      </w:r>
      <w:proofErr w:type="spellEnd"/>
      <w:r w:rsidR="00F227F7">
        <w:rPr>
          <w:rFonts w:cs="Times New Roman"/>
        </w:rPr>
        <w:t xml:space="preserve"> </w:t>
      </w:r>
      <w:r w:rsidR="00233BFA">
        <w:rPr>
          <w:rFonts w:cs="Times New Roman"/>
        </w:rPr>
        <w:t>fractures</w:t>
      </w:r>
      <w:r w:rsidR="00233BFA" w:rsidRPr="00FD36CE">
        <w:rPr>
          <w:rFonts w:cs="Times New Roman"/>
        </w:rPr>
        <w:t xml:space="preserve">. </w:t>
      </w:r>
      <w:r w:rsidR="00233BFA">
        <w:rPr>
          <w:rFonts w:cs="Times New Roman"/>
        </w:rPr>
        <w:t xml:space="preserve"> </w:t>
      </w:r>
      <w:r w:rsidR="00233BFA" w:rsidRPr="00FD36CE">
        <w:rPr>
          <w:rFonts w:cs="Times New Roman"/>
        </w:rPr>
        <w:t xml:space="preserve">To avoid double-counting health care interactions related to the same injury, we only counted a single fracture for a given site within a 180-day period. </w:t>
      </w:r>
      <w:r w:rsidR="00233BFA">
        <w:rPr>
          <w:rFonts w:cs="Times New Roman"/>
        </w:rPr>
        <w:t xml:space="preserve"> </w:t>
      </w:r>
      <w:r w:rsidR="00233BFA" w:rsidRPr="00FD36CE">
        <w:rPr>
          <w:rFonts w:cs="Times New Roman"/>
        </w:rPr>
        <w:t xml:space="preserve">For individuals with more than one incident MOF, </w:t>
      </w:r>
      <w:r w:rsidR="00233BFA">
        <w:rPr>
          <w:rFonts w:cs="Times New Roman"/>
        </w:rPr>
        <w:t>we</w:t>
      </w:r>
      <w:r w:rsidR="00233BFA" w:rsidRPr="00FD36CE">
        <w:rPr>
          <w:rFonts w:cs="Times New Roman"/>
        </w:rPr>
        <w:t xml:space="preserve"> </w:t>
      </w:r>
      <w:r w:rsidR="00233BFA">
        <w:rPr>
          <w:rFonts w:cs="Times New Roman"/>
        </w:rPr>
        <w:t xml:space="preserve">used </w:t>
      </w:r>
      <w:r w:rsidR="00233BFA" w:rsidRPr="00FD36CE">
        <w:rPr>
          <w:rFonts w:cs="Times New Roman"/>
        </w:rPr>
        <w:t xml:space="preserve">the first qualifying </w:t>
      </w:r>
      <w:r w:rsidR="00F227F7">
        <w:rPr>
          <w:rFonts w:cs="Times New Roman"/>
        </w:rPr>
        <w:t>MOF</w:t>
      </w:r>
      <w:r w:rsidR="00233BFA" w:rsidRPr="00FD36CE">
        <w:rPr>
          <w:rFonts w:cs="Times New Roman"/>
        </w:rPr>
        <w:t xml:space="preserve">. </w:t>
      </w:r>
    </w:p>
    <w:p w:rsidR="004A362A" w:rsidRDefault="004A362A" w:rsidP="004A362A">
      <w:pPr>
        <w:spacing w:line="480" w:lineRule="auto"/>
        <w:ind w:firstLine="720"/>
      </w:pPr>
    </w:p>
    <w:p w:rsidR="004A362A" w:rsidRDefault="004A362A" w:rsidP="004A362A">
      <w:pPr>
        <w:spacing w:line="480" w:lineRule="auto"/>
      </w:pPr>
      <w:r>
        <w:t>Dual</w:t>
      </w:r>
      <w:r w:rsidR="00D913E0">
        <w:t>-energy</w:t>
      </w:r>
      <w:r>
        <w:t xml:space="preserve"> X-ray Absor</w:t>
      </w:r>
      <w:r w:rsidR="00D913E0">
        <w:t>p</w:t>
      </w:r>
      <w:r>
        <w:t>tiometry</w:t>
      </w:r>
      <w:r w:rsidR="00D913E0">
        <w:t xml:space="preserve"> (DXA)</w:t>
      </w:r>
      <w:r w:rsidR="00C766D3">
        <w:t xml:space="preserve"> and FRAX </w:t>
      </w:r>
      <w:r w:rsidR="00B108FA">
        <w:t>Calculation</w:t>
      </w:r>
    </w:p>
    <w:p w:rsidR="00AF4A16" w:rsidRDefault="00AF4A16" w:rsidP="004A362A">
      <w:pPr>
        <w:spacing w:line="480" w:lineRule="auto"/>
        <w:ind w:firstLine="720"/>
      </w:pPr>
      <w:r>
        <w:t>DXA scans were performed and analyzed in accordance with manufacturer recommendations.</w:t>
      </w:r>
      <w:hyperlink w:anchor="_ENREF_9" w:tooltip="Leslie, 2005 #2667" w:history="1">
        <w:r w:rsidR="00B8363A">
          <w:fldChar w:fldCharType="begin"/>
        </w:r>
        <w:r w:rsidR="001658CA">
          <w:instrText xml:space="preserve"> ADDIN EN.CITE &lt;EndNote&gt;&lt;Cite&gt;&lt;Author&gt;Leslie&lt;/Author&gt;&lt;Year&gt;2005&lt;/Year&gt;&lt;RecNum&gt;2667&lt;/RecNum&gt;&lt;DisplayText&gt;&lt;style face="superscript"&gt;9&lt;/style&gt;&lt;/DisplayText&gt;&lt;record&gt;&lt;rec-number&gt;2667&lt;/rec-number&gt;&lt;foreign-keys&gt;&lt;key app="EN" db-id="tddepx9stepaa2ewwwy5xsraz9xvaz0x20zx" timestamp="1591534458"&gt;2667&lt;/key&gt;&lt;/foreign-keys&gt;&lt;ref-type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 Clin Densitom&lt;/full-title&gt;&lt;/periodical&gt;&lt;pages&gt;25-30&lt;/pages&gt;&lt;volume&gt;8&lt;/volume&gt;&lt;number&gt;1&lt;/number&gt;&lt;keywords&gt;&lt;keyword&gt;Absorptiometry, Photon/*statistics &amp;amp; numerical data&lt;/keyword&gt;&lt;keyword&gt;Adult&lt;/keyword&gt;&lt;keyword&gt;Aged&lt;/keyword&gt;&lt;keyword&gt;Aged,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www.ncbi.nlm.nih.gov/pubmed/15722584&lt;/url&gt;&lt;/related-urls&gt;&lt;/urls&gt;&lt;electronic-resource-num&gt;10.1385/jcd:8:1:025&lt;/electronic-resource-num&gt;&lt;/record&gt;&lt;/Cite&gt;&lt;/EndNote&gt;</w:instrText>
        </w:r>
        <w:r w:rsidR="00B8363A">
          <w:fldChar w:fldCharType="separate"/>
        </w:r>
        <w:r w:rsidR="001658CA" w:rsidRPr="00C9516D">
          <w:rPr>
            <w:noProof/>
            <w:vertAlign w:val="superscript"/>
          </w:rPr>
          <w:t>9</w:t>
        </w:r>
        <w:r w:rsidR="00B8363A">
          <w:fldChar w:fldCharType="end"/>
        </w:r>
      </w:hyperlink>
      <w:r>
        <w:t xml:space="preserve"> </w:t>
      </w:r>
      <w:r w:rsidRPr="006902A7">
        <w:t>Hip T-scores were calculated from the NHANES III White female reference values</w:t>
      </w:r>
      <w:r>
        <w:t xml:space="preserve">.  </w:t>
      </w:r>
      <w:r w:rsidR="00EA1370">
        <w:t xml:space="preserve">Age- and sex-matched Z-scores were also computed.  </w:t>
      </w:r>
      <w:r>
        <w:t xml:space="preserve">Prior to 2000, DXA measurements were performed with a pencil-beam instrument (DPX, GE Lunar, Madison WI) and after this date a fan-beam instrument was used (Prodigy or </w:t>
      </w:r>
      <w:proofErr w:type="spellStart"/>
      <w:r>
        <w:t>iDXA</w:t>
      </w:r>
      <w:proofErr w:type="spellEnd"/>
      <w:r>
        <w:t xml:space="preserve">, GE Lunar, Madison WI).  Instruments were </w:t>
      </w:r>
      <w:r w:rsidR="00AE29B1">
        <w:t>cross calibrated</w:t>
      </w:r>
      <w:r>
        <w:t xml:space="preserve"> using anthropomorphic phantoms and volunteers.  No clinically significant differences were identified (femoral neck T-score differences &lt; 0.1).  Therefore</w:t>
      </w:r>
      <w:r w:rsidR="003F1540">
        <w:t>,</w:t>
      </w:r>
      <w:r>
        <w:t xml:space="preserve"> all analyses are based upon the unadjusted numerical results provided by the instrument.  Densitometers showed stable long-term performance (phantom coefficient of variation [CV] &lt; 0.5%) and satisfactory in vivo precision (CV </w:t>
      </w:r>
      <w:r w:rsidRPr="007E42C6">
        <w:rPr>
          <w:color w:val="000000"/>
        </w:rPr>
        <w:t>2.3%</w:t>
      </w:r>
      <w:r w:rsidRPr="007E42C6">
        <w:rPr>
          <w:color w:val="000000"/>
          <w:spacing w:val="-1"/>
        </w:rPr>
        <w:t xml:space="preserve"> </w:t>
      </w:r>
      <w:r>
        <w:rPr>
          <w:color w:val="000000"/>
          <w:spacing w:val="-1"/>
        </w:rPr>
        <w:t>for the femoral neck</w:t>
      </w:r>
      <w:r>
        <w:t>).</w:t>
      </w:r>
      <w:hyperlink w:anchor="_ENREF_14" w:tooltip="Leslie, 2006 #24" w:history="1">
        <w:r w:rsidR="00B8363A">
          <w:fldChar w:fldCharType="begin"/>
        </w:r>
        <w:r w:rsidR="001658CA">
          <w:instrText xml:space="preserve"> ADDIN EN.CITE &lt;EndNote&gt;&lt;Cite&gt;&lt;Author&gt;Leslie&lt;/Author&gt;&lt;Year&gt;2006&lt;/Year&gt;&lt;RecNum&gt;24&lt;/RecNum&gt;&lt;DisplayText&gt;&lt;style face="superscript"&gt;14&lt;/style&gt;&lt;/DisplayText&gt;&lt;record&gt;&lt;rec-number&gt;24&lt;/rec-number&gt;&lt;foreign-keys&gt;&lt;key app="EN" db-id="vpvwfdtslvrzeie2spdpfw50rwv05te50fzd"&gt;24&lt;/key&gt;&lt;/foreign-keys&gt;&lt;ref-type name="Journal Article"&gt;17&lt;/ref-type&gt;&lt;contributors&gt;&lt;authors&gt;&lt;author&gt;Leslie, William D.&lt;/author&gt;&lt;/authors&gt;&lt;/contributors&gt;&lt;titles&gt;&lt;title&gt;The importance of spectrum bias on bone density monitoring in clinical practice&lt;/title&gt;&lt;secondary-title&gt;Bone&lt;/secondary-title&gt;&lt;/titles&gt;&lt;periodical&gt;&lt;full-title&gt;Bone&lt;/full-title&gt;&lt;/periodical&gt;&lt;pages&gt;361-8&lt;/pages&gt;&lt;volume&gt;39&lt;/volume&gt;&lt;number&gt;2&lt;/number&gt;&lt;keywords&gt;&lt;keyword&gt;Absorptiometry, Photon&lt;/keyword&gt;&lt;keyword&gt;Adult&lt;/keyword&gt;&lt;keyword&gt;Aged&lt;/keyword&gt;&lt;keyword&gt;Bone Density&lt;/keyword&gt;&lt;keyword&gt;Databases, Factual&lt;/keyword&gt;&lt;keyword&gt;Databases, Factual: statistics &amp;amp; numerical data&lt;/keyword&gt;&lt;keyword&gt;Female&lt;/keyword&gt;&lt;keyword&gt;Follow-Up Studies&lt;/keyword&gt;&lt;keyword&gt;Hip&lt;/keyword&gt;&lt;keyword&gt;Hip: physiopathology&lt;/keyword&gt;&lt;keyword&gt;Hip: radiography&lt;/keyword&gt;&lt;keyword&gt;Humans&lt;/keyword&gt;&lt;keyword&gt;Lumbar Vertebrae&lt;/keyword&gt;&lt;keyword&gt;Lumbar Vertebrae: physiopathology&lt;/keyword&gt;&lt;keyword&gt;Lumbar Vertebrae: radiography&lt;/keyword&gt;&lt;keyword&gt;Male&lt;/keyword&gt;&lt;keyword&gt;Middle Aged&lt;/keyword&gt;&lt;keyword&gt;Postmenopause&lt;/keyword&gt;&lt;keyword&gt;Reproducibility of Results&lt;/keyword&gt;&lt;keyword&gt;Statistics as Topic&lt;/keyword&gt;&lt;/keywords&gt;&lt;dates&gt;&lt;year&gt;2006&lt;/year&gt;&lt;/dates&gt;&lt;urls&gt;&lt;related-urls&gt;&lt;url&gt;http://www.ncbi.nlm.nih.gov/pubmed/16537116&lt;/url&gt;&lt;/related-urls&gt;&lt;/urls&gt;&lt;/record&gt;&lt;/Cite&gt;&lt;/EndNote&gt;</w:instrText>
        </w:r>
        <w:r w:rsidR="00B8363A">
          <w:fldChar w:fldCharType="separate"/>
        </w:r>
        <w:r w:rsidR="001658CA" w:rsidRPr="0077585B">
          <w:rPr>
            <w:noProof/>
            <w:vertAlign w:val="superscript"/>
          </w:rPr>
          <w:t>14</w:t>
        </w:r>
        <w:r w:rsidR="00B8363A">
          <w:fldChar w:fldCharType="end"/>
        </w:r>
      </w:hyperlink>
      <w:r>
        <w:t xml:space="preserve">  </w:t>
      </w:r>
    </w:p>
    <w:p w:rsidR="00727EC2" w:rsidRPr="00154D3C" w:rsidRDefault="00AF4A16" w:rsidP="00EA1370">
      <w:pPr>
        <w:spacing w:line="480" w:lineRule="auto"/>
        <w:ind w:firstLine="720"/>
      </w:pPr>
      <w:r w:rsidRPr="0030167F">
        <w:rPr>
          <w:lang w:val="en-GB"/>
        </w:rPr>
        <w:t>Ten-year probability of a</w:t>
      </w:r>
      <w:r w:rsidR="003913D6">
        <w:rPr>
          <w:lang w:val="en-GB"/>
        </w:rPr>
        <w:t>n</w:t>
      </w:r>
      <w:r w:rsidRPr="0030167F">
        <w:rPr>
          <w:lang w:val="en-GB"/>
        </w:rPr>
        <w:t xml:space="preserve"> </w:t>
      </w:r>
      <w:r>
        <w:rPr>
          <w:lang w:val="en-GB"/>
        </w:rPr>
        <w:t>MOF</w:t>
      </w:r>
      <w:r w:rsidRPr="0030167F">
        <w:rPr>
          <w:lang w:val="en-GB"/>
        </w:rPr>
        <w:t xml:space="preserve"> was calculated for each subject using the Canadian FRAX tool (FRAX</w:t>
      </w:r>
      <w:r w:rsidRPr="0030167F">
        <w:rPr>
          <w:vertAlign w:val="superscript"/>
          <w:lang w:val="en-GB"/>
        </w:rPr>
        <w:t>®</w:t>
      </w:r>
      <w:r w:rsidRPr="0030167F">
        <w:rPr>
          <w:lang w:val="en-GB"/>
        </w:rPr>
        <w:t xml:space="preserve"> Desktop Multi-Patient Entry, version 3</w:t>
      </w:r>
      <w:r>
        <w:rPr>
          <w:lang w:val="en-GB"/>
        </w:rPr>
        <w:t>.</w:t>
      </w:r>
      <w:r w:rsidRPr="0030167F">
        <w:rPr>
          <w:lang w:val="en-GB"/>
        </w:rPr>
        <w:t>8)</w:t>
      </w:r>
      <w:r>
        <w:rPr>
          <w:lang w:val="en-GB"/>
        </w:rPr>
        <w:t xml:space="preserve">.  </w:t>
      </w:r>
      <w:r w:rsidRPr="0030167F">
        <w:rPr>
          <w:lang w:val="en-GB"/>
        </w:rPr>
        <w:t xml:space="preserve">The Canadian FRAX tool was calibrated using nationwide hip fracture and mortality data </w:t>
      </w:r>
      <w:r w:rsidR="00B8363A">
        <w:rPr>
          <w:lang w:val="en-GB"/>
        </w:rPr>
        <w:fldChar w:fldCharType="begin"/>
      </w:r>
      <w:r>
        <w:rPr>
          <w:lang w:val="en-GB"/>
        </w:rPr>
        <w:instrText xml:space="preserve"> ADDIN REFMGR.CITE &lt;Refman&gt;&lt;Cite&gt;&lt;Author&gt;Leslie&lt;/Author&gt;&lt;Year&gt;2011&lt;/Year&gt;&lt;RecNum&gt;928&lt;/RecNum&gt;&lt;IDText&gt;Construction of a FRAX((R)) model for the assessment of fracture probability in Canada and implications for treatment&lt;/IDText&gt;&lt;MDL Ref_Type="Journal"&gt;&lt;Ref_Type&gt;Journal&lt;/Ref_Type&gt;&lt;Ref_ID&gt;928&lt;/Ref_ID&gt;&lt;Title_Primary&gt;Construction of a FRAX((R)) model for the assessment of fracture probability in Canada and implications for treatment&lt;/Title_Primary&gt;&lt;Authors_Primary&gt;Leslie,W.D.&lt;/Authors_Primary&gt;&lt;Authors_Primary&gt;Lix,L.M.&lt;/Authors_Primary&gt;&lt;Authors_Primary&gt;Langsetmo,L.&lt;/Authors_Primary&gt;&lt;Authors_Primary&gt;Berger,C.&lt;/Authors_Primary&gt;&lt;Authors_Primary&gt;Goltzman,D.&lt;/Authors_Primary&gt;&lt;Authors_Primary&gt;Hanley,D.A.&lt;/Authors_Primary&gt;&lt;Authors_Primary&gt;Adachi,J.D.&lt;/Authors_Primary&gt;&lt;Authors_Primary&gt;Johansson,H.&lt;/Authors_Primary&gt;&lt;Authors_Primary&gt;Oden,A.&lt;/Authors_Primary&gt;&lt;Authors_Primary&gt;McCloskey,E.&lt;/Authors_Primary&gt;&lt;Authors_Primary&gt;Kanis,J.A.&lt;/Authors_Primary&gt;&lt;Date_Primary&gt;2011/3&lt;/Date_Primary&gt;&lt;Keywords&gt;Canada&lt;/Keywords&gt;&lt;Keywords&gt;fracture&lt;/Keywords&gt;&lt;Keywords&gt;fracture risk&lt;/Keywords&gt;&lt;Keywords&gt;FRAX&lt;/Keywords&gt;&lt;Keywords&gt;Health&lt;/Keywords&gt;&lt;Keywords&gt;Hip&lt;/Keywords&gt;&lt;Keywords&gt;Manitoba&lt;/Keywords&gt;&lt;Keywords&gt;methods&lt;/Keywords&gt;&lt;Keywords&gt;mortality&lt;/Keywords&gt;&lt;Keywords&gt;Osteoporosis&lt;/Keywords&gt;&lt;Keywords&gt;Probability&lt;/Keywords&gt;&lt;Keywords&gt;Risk&lt;/Keywords&gt;&lt;Keywords&gt;Risk Assessment&lt;/Keywords&gt;&lt;Keywords&gt;Risk Factors&lt;/Keywords&gt;&lt;Keywords&gt;Spine&lt;/Keywords&gt;&lt;Keywords&gt;treatment&lt;/Keywords&gt;&lt;Keywords&gt;Women&lt;/Keywords&gt;&lt;Keywords&gt;World Health&lt;/Keywords&gt;&lt;Keywords&gt;World Health Organization&lt;/Keywords&gt;&lt;Reprint&gt;Not in File&lt;/Reprint&gt;&lt;Start_Page&gt;817&lt;/Start_Page&gt;&lt;End_Page&gt;827&lt;/End_Page&gt;&lt;Periodical&gt;Osteoporos.Int.&lt;/Periodical&gt;&lt;Volume&gt;22&lt;/Volume&gt;&lt;Issue&gt;3&lt;/Issue&gt;&lt;Address&gt;University of Manitoba, Winnipeg, Canada, bleslie@sbgh.mb.ca&lt;/Address&gt;&lt;Web_URL&gt;PM:21161509&lt;/Web_URL&gt;&lt;ZZ_JournalFull&gt;&lt;f name="System"&gt;Osteoporosis International&lt;/f&gt;&lt;/ZZ_JournalFull&gt;&lt;ZZ_JournalStdAbbrev&gt;&lt;f name="System"&gt;Osteoporos.Int.&lt;/f&gt;&lt;/ZZ_JournalStdAbbrev&gt;&lt;ZZ_WorkformID&gt;1&lt;/ZZ_WorkformID&gt;&lt;/MDL&gt;&lt;/Cite&gt;&lt;/Refman&gt;</w:instrText>
      </w:r>
      <w:r w:rsidR="00B8363A">
        <w:rPr>
          <w:lang w:val="en-GB"/>
        </w:rPr>
        <w:fldChar w:fldCharType="separate"/>
      </w:r>
      <w:r w:rsidRPr="006A0B77">
        <w:rPr>
          <w:lang w:val="en-GB"/>
        </w:rPr>
        <w:t>(17)</w:t>
      </w:r>
      <w:r w:rsidR="00B8363A">
        <w:rPr>
          <w:lang w:val="en-GB"/>
        </w:rPr>
        <w:fldChar w:fldCharType="end"/>
      </w:r>
      <w:r>
        <w:rPr>
          <w:lang w:val="en-GB"/>
        </w:rPr>
        <w:t xml:space="preserve">. </w:t>
      </w:r>
      <w:r w:rsidRPr="0030167F">
        <w:rPr>
          <w:lang w:val="en-GB"/>
        </w:rPr>
        <w:t>The Manitoba BMD Registry was not used in the creation or calibration of the FRAX tool</w:t>
      </w:r>
      <w:r>
        <w:rPr>
          <w:lang w:val="en-GB"/>
        </w:rPr>
        <w:t xml:space="preserve">.  </w:t>
      </w:r>
      <w:r w:rsidRPr="007E42C6">
        <w:rPr>
          <w:color w:val="000000"/>
          <w:spacing w:val="1"/>
        </w:rPr>
        <w:t>W</w:t>
      </w:r>
      <w:r w:rsidRPr="007E42C6">
        <w:rPr>
          <w:color w:val="000000"/>
          <w:spacing w:val="-1"/>
        </w:rPr>
        <w:t>e</w:t>
      </w:r>
      <w:r w:rsidRPr="007E42C6">
        <w:rPr>
          <w:color w:val="000000"/>
        </w:rPr>
        <w:t>i</w:t>
      </w:r>
      <w:r w:rsidRPr="007E42C6">
        <w:rPr>
          <w:color w:val="000000"/>
          <w:spacing w:val="-2"/>
        </w:rPr>
        <w:t>g</w:t>
      </w:r>
      <w:r w:rsidRPr="007E42C6">
        <w:rPr>
          <w:color w:val="000000"/>
        </w:rPr>
        <w:t xml:space="preserve">ht and </w:t>
      </w:r>
      <w:r w:rsidRPr="007E42C6">
        <w:rPr>
          <w:color w:val="000000"/>
          <w:spacing w:val="2"/>
        </w:rPr>
        <w:t>h</w:t>
      </w:r>
      <w:r w:rsidRPr="007E42C6">
        <w:rPr>
          <w:color w:val="000000"/>
          <w:spacing w:val="-1"/>
        </w:rPr>
        <w:t>e</w:t>
      </w:r>
      <w:r w:rsidRPr="007E42C6">
        <w:rPr>
          <w:color w:val="000000"/>
          <w:spacing w:val="3"/>
        </w:rPr>
        <w:t>i</w:t>
      </w:r>
      <w:r w:rsidRPr="007E42C6">
        <w:rPr>
          <w:color w:val="000000"/>
          <w:spacing w:val="-2"/>
        </w:rPr>
        <w:t>g</w:t>
      </w:r>
      <w:r w:rsidRPr="007E42C6">
        <w:rPr>
          <w:color w:val="000000"/>
        </w:rPr>
        <w:t>ht w</w:t>
      </w:r>
      <w:r w:rsidRPr="007E42C6">
        <w:rPr>
          <w:color w:val="000000"/>
          <w:spacing w:val="-1"/>
        </w:rPr>
        <w:t>e</w:t>
      </w:r>
      <w:r w:rsidRPr="007E42C6">
        <w:rPr>
          <w:color w:val="000000"/>
          <w:spacing w:val="1"/>
        </w:rPr>
        <w:t>r</w:t>
      </w:r>
      <w:r w:rsidRPr="007E42C6">
        <w:rPr>
          <w:color w:val="000000"/>
        </w:rPr>
        <w:t>e</w:t>
      </w:r>
      <w:r w:rsidRPr="007E42C6">
        <w:rPr>
          <w:color w:val="000000"/>
          <w:spacing w:val="1"/>
        </w:rPr>
        <w:t xml:space="preserve"> </w:t>
      </w:r>
      <w:r w:rsidRPr="007E42C6">
        <w:rPr>
          <w:color w:val="000000"/>
        </w:rPr>
        <w:t>m</w:t>
      </w:r>
      <w:r w:rsidRPr="007E42C6">
        <w:rPr>
          <w:color w:val="000000"/>
          <w:spacing w:val="2"/>
        </w:rPr>
        <w:t>e</w:t>
      </w:r>
      <w:r w:rsidRPr="007E42C6">
        <w:rPr>
          <w:color w:val="000000"/>
          <w:spacing w:val="-1"/>
        </w:rPr>
        <w:t>a</w:t>
      </w:r>
      <w:r w:rsidRPr="007E42C6">
        <w:rPr>
          <w:color w:val="000000"/>
        </w:rPr>
        <w:t>sur</w:t>
      </w:r>
      <w:r w:rsidRPr="007E42C6">
        <w:rPr>
          <w:color w:val="000000"/>
          <w:spacing w:val="-1"/>
        </w:rPr>
        <w:t>e</w:t>
      </w:r>
      <w:r w:rsidRPr="007E42C6">
        <w:rPr>
          <w:color w:val="000000"/>
        </w:rPr>
        <w:t xml:space="preserve">d </w:t>
      </w:r>
      <w:r w:rsidRPr="007E42C6">
        <w:rPr>
          <w:color w:val="000000"/>
          <w:spacing w:val="-1"/>
        </w:rPr>
        <w:t>a</w:t>
      </w:r>
      <w:r w:rsidRPr="007E42C6">
        <w:rPr>
          <w:color w:val="000000"/>
        </w:rPr>
        <w:t xml:space="preserve">t </w:t>
      </w:r>
      <w:r w:rsidRPr="007E42C6">
        <w:rPr>
          <w:color w:val="000000"/>
          <w:spacing w:val="1"/>
        </w:rPr>
        <w:t>t</w:t>
      </w:r>
      <w:r w:rsidRPr="007E42C6">
        <w:rPr>
          <w:color w:val="000000"/>
        </w:rPr>
        <w:t>he</w:t>
      </w:r>
      <w:r w:rsidRPr="007E42C6">
        <w:rPr>
          <w:color w:val="000000"/>
          <w:spacing w:val="-1"/>
        </w:rPr>
        <w:t xml:space="preserve"> </w:t>
      </w:r>
      <w:r w:rsidRPr="007E42C6">
        <w:rPr>
          <w:color w:val="000000"/>
        </w:rPr>
        <w:t>t</w:t>
      </w:r>
      <w:r w:rsidRPr="007E42C6">
        <w:rPr>
          <w:color w:val="000000"/>
          <w:spacing w:val="1"/>
        </w:rPr>
        <w:t>i</w:t>
      </w:r>
      <w:r w:rsidRPr="007E42C6">
        <w:rPr>
          <w:color w:val="000000"/>
        </w:rPr>
        <w:t>me of D</w:t>
      </w:r>
      <w:r w:rsidRPr="007E42C6">
        <w:rPr>
          <w:color w:val="000000"/>
          <w:spacing w:val="-1"/>
        </w:rPr>
        <w:t>X</w:t>
      </w:r>
      <w:r w:rsidRPr="007E42C6">
        <w:rPr>
          <w:color w:val="000000"/>
        </w:rPr>
        <w:t xml:space="preserve">A, </w:t>
      </w:r>
      <w:r w:rsidRPr="007E42C6">
        <w:rPr>
          <w:color w:val="000000"/>
          <w:spacing w:val="-1"/>
        </w:rPr>
        <w:t>a</w:t>
      </w:r>
      <w:r w:rsidRPr="007E42C6">
        <w:rPr>
          <w:color w:val="000000"/>
        </w:rPr>
        <w:t>nd</w:t>
      </w:r>
      <w:r w:rsidRPr="007E42C6">
        <w:rPr>
          <w:color w:val="000000"/>
          <w:spacing w:val="2"/>
        </w:rPr>
        <w:t xml:space="preserve"> </w:t>
      </w:r>
      <w:r w:rsidR="007735C8">
        <w:rPr>
          <w:color w:val="000000"/>
          <w:spacing w:val="2"/>
        </w:rPr>
        <w:t>body mass index (</w:t>
      </w:r>
      <w:r w:rsidRPr="007E42C6">
        <w:rPr>
          <w:color w:val="000000"/>
          <w:spacing w:val="-2"/>
        </w:rPr>
        <w:t>B</w:t>
      </w:r>
      <w:r w:rsidRPr="007E42C6">
        <w:rPr>
          <w:color w:val="000000"/>
          <w:spacing w:val="2"/>
        </w:rPr>
        <w:t>M</w:t>
      </w:r>
      <w:r w:rsidRPr="007E42C6">
        <w:rPr>
          <w:color w:val="000000"/>
        </w:rPr>
        <w:t>I</w:t>
      </w:r>
      <w:r w:rsidR="007735C8">
        <w:rPr>
          <w:color w:val="000000"/>
        </w:rPr>
        <w:t>)</w:t>
      </w:r>
      <w:r w:rsidRPr="007E42C6">
        <w:rPr>
          <w:color w:val="000000"/>
          <w:spacing w:val="-3"/>
        </w:rPr>
        <w:t xml:space="preserve"> </w:t>
      </w:r>
      <w:r w:rsidRPr="007E42C6">
        <w:rPr>
          <w:color w:val="000000"/>
          <w:spacing w:val="2"/>
        </w:rPr>
        <w:t>w</w:t>
      </w:r>
      <w:r w:rsidRPr="007E42C6">
        <w:rPr>
          <w:color w:val="000000"/>
          <w:spacing w:val="-1"/>
        </w:rPr>
        <w:t>a</w:t>
      </w:r>
      <w:r w:rsidRPr="007E42C6">
        <w:rPr>
          <w:color w:val="000000"/>
        </w:rPr>
        <w:t>s c</w:t>
      </w:r>
      <w:r w:rsidRPr="007E42C6">
        <w:rPr>
          <w:color w:val="000000"/>
          <w:spacing w:val="-2"/>
        </w:rPr>
        <w:t>a</w:t>
      </w:r>
      <w:r w:rsidRPr="007E42C6">
        <w:rPr>
          <w:color w:val="000000"/>
        </w:rPr>
        <w:t>l</w:t>
      </w:r>
      <w:r w:rsidRPr="007E42C6">
        <w:rPr>
          <w:color w:val="000000"/>
          <w:spacing w:val="2"/>
        </w:rPr>
        <w:t>c</w:t>
      </w:r>
      <w:r w:rsidRPr="007E42C6">
        <w:rPr>
          <w:color w:val="000000"/>
        </w:rPr>
        <w:t>ulat</w:t>
      </w:r>
      <w:r w:rsidRPr="007E42C6">
        <w:rPr>
          <w:color w:val="000000"/>
          <w:spacing w:val="-1"/>
        </w:rPr>
        <w:t>e</w:t>
      </w:r>
      <w:r w:rsidRPr="007E42C6">
        <w:rPr>
          <w:color w:val="000000"/>
        </w:rPr>
        <w:t xml:space="preserve">d </w:t>
      </w:r>
      <w:r w:rsidRPr="007E42C6">
        <w:rPr>
          <w:color w:val="000000"/>
          <w:spacing w:val="-1"/>
        </w:rPr>
        <w:t>a</w:t>
      </w:r>
      <w:r w:rsidRPr="007E42C6">
        <w:rPr>
          <w:color w:val="000000"/>
        </w:rPr>
        <w:t>s w</w:t>
      </w:r>
      <w:r w:rsidRPr="007E42C6">
        <w:rPr>
          <w:color w:val="000000"/>
          <w:spacing w:val="-1"/>
        </w:rPr>
        <w:t>e</w:t>
      </w:r>
      <w:r w:rsidRPr="007E42C6">
        <w:rPr>
          <w:color w:val="000000"/>
          <w:spacing w:val="3"/>
        </w:rPr>
        <w:t>i</w:t>
      </w:r>
      <w:r w:rsidRPr="007E42C6">
        <w:rPr>
          <w:color w:val="000000"/>
          <w:spacing w:val="-2"/>
        </w:rPr>
        <w:t>g</w:t>
      </w:r>
      <w:r w:rsidRPr="007E42C6">
        <w:rPr>
          <w:color w:val="000000"/>
        </w:rPr>
        <w:t>ht (in kil</w:t>
      </w:r>
      <w:r w:rsidRPr="007E42C6">
        <w:rPr>
          <w:color w:val="000000"/>
          <w:spacing w:val="3"/>
        </w:rPr>
        <w:t>o</w:t>
      </w:r>
      <w:r w:rsidRPr="007E42C6">
        <w:rPr>
          <w:color w:val="000000"/>
        </w:rPr>
        <w:t>g</w:t>
      </w:r>
      <w:r w:rsidRPr="007E42C6">
        <w:rPr>
          <w:color w:val="000000"/>
          <w:spacing w:val="-1"/>
        </w:rPr>
        <w:t>ra</w:t>
      </w:r>
      <w:r w:rsidRPr="007E42C6">
        <w:rPr>
          <w:color w:val="000000"/>
        </w:rPr>
        <w:t>ms) div</w:t>
      </w:r>
      <w:r w:rsidRPr="007E42C6">
        <w:rPr>
          <w:color w:val="000000"/>
          <w:spacing w:val="1"/>
        </w:rPr>
        <w:t>i</w:t>
      </w:r>
      <w:r w:rsidRPr="007E42C6">
        <w:rPr>
          <w:color w:val="000000"/>
        </w:rPr>
        <w:t>d</w:t>
      </w:r>
      <w:r w:rsidRPr="007E42C6">
        <w:rPr>
          <w:color w:val="000000"/>
          <w:spacing w:val="-1"/>
        </w:rPr>
        <w:t>e</w:t>
      </w:r>
      <w:r w:rsidRPr="007E42C6">
        <w:rPr>
          <w:color w:val="000000"/>
        </w:rPr>
        <w:t xml:space="preserve">d </w:t>
      </w:r>
      <w:r w:rsidRPr="007E42C6">
        <w:rPr>
          <w:color w:val="000000"/>
          <w:spacing w:val="5"/>
        </w:rPr>
        <w:t>b</w:t>
      </w:r>
      <w:r w:rsidRPr="007E42C6">
        <w:rPr>
          <w:color w:val="000000"/>
        </w:rPr>
        <w:t>y</w:t>
      </w:r>
      <w:r w:rsidRPr="007E42C6">
        <w:rPr>
          <w:color w:val="000000"/>
          <w:spacing w:val="-5"/>
        </w:rPr>
        <w:t xml:space="preserve"> </w:t>
      </w:r>
      <w:r w:rsidRPr="007E42C6">
        <w:rPr>
          <w:color w:val="000000"/>
        </w:rPr>
        <w:t>h</w:t>
      </w:r>
      <w:r w:rsidRPr="007E42C6">
        <w:rPr>
          <w:color w:val="000000"/>
          <w:spacing w:val="-1"/>
        </w:rPr>
        <w:t>e</w:t>
      </w:r>
      <w:r w:rsidRPr="007E42C6">
        <w:rPr>
          <w:color w:val="000000"/>
          <w:spacing w:val="3"/>
        </w:rPr>
        <w:t>i</w:t>
      </w:r>
      <w:r w:rsidRPr="007E42C6">
        <w:rPr>
          <w:color w:val="000000"/>
          <w:spacing w:val="-2"/>
        </w:rPr>
        <w:t>g</w:t>
      </w:r>
      <w:r w:rsidRPr="007E42C6">
        <w:rPr>
          <w:color w:val="000000"/>
        </w:rPr>
        <w:t xml:space="preserve">ht </w:t>
      </w:r>
      <w:r w:rsidRPr="007E42C6">
        <w:rPr>
          <w:color w:val="000000"/>
          <w:spacing w:val="2"/>
        </w:rPr>
        <w:t>(</w:t>
      </w:r>
      <w:r w:rsidRPr="007E42C6">
        <w:rPr>
          <w:color w:val="000000"/>
        </w:rPr>
        <w:t xml:space="preserve">in </w:t>
      </w:r>
      <w:r w:rsidRPr="007E42C6">
        <w:rPr>
          <w:color w:val="000000"/>
          <w:spacing w:val="1"/>
        </w:rPr>
        <w:t>m</w:t>
      </w:r>
      <w:r w:rsidRPr="007E42C6">
        <w:rPr>
          <w:color w:val="000000"/>
          <w:spacing w:val="-1"/>
        </w:rPr>
        <w:t>e</w:t>
      </w:r>
      <w:r w:rsidRPr="007E42C6">
        <w:rPr>
          <w:color w:val="000000"/>
        </w:rPr>
        <w:t>te</w:t>
      </w:r>
      <w:r w:rsidRPr="007E42C6">
        <w:rPr>
          <w:color w:val="000000"/>
          <w:spacing w:val="-1"/>
        </w:rPr>
        <w:t>r</w:t>
      </w:r>
      <w:r w:rsidRPr="007E42C6">
        <w:rPr>
          <w:color w:val="000000"/>
        </w:rPr>
        <w:t>s) squ</w:t>
      </w:r>
      <w:r w:rsidRPr="007E42C6">
        <w:rPr>
          <w:color w:val="000000"/>
          <w:spacing w:val="3"/>
        </w:rPr>
        <w:t>a</w:t>
      </w:r>
      <w:r w:rsidRPr="007E42C6">
        <w:rPr>
          <w:color w:val="000000"/>
          <w:spacing w:val="1"/>
        </w:rPr>
        <w:t>r</w:t>
      </w:r>
      <w:r w:rsidRPr="007E42C6">
        <w:rPr>
          <w:color w:val="000000"/>
          <w:spacing w:val="-1"/>
        </w:rPr>
        <w:t>e</w:t>
      </w:r>
      <w:r w:rsidRPr="007E42C6">
        <w:rPr>
          <w:color w:val="000000"/>
        </w:rPr>
        <w:t xml:space="preserve">d.  </w:t>
      </w:r>
      <w:r w:rsidRPr="007E42C6">
        <w:rPr>
          <w:color w:val="000000"/>
          <w:spacing w:val="1"/>
        </w:rPr>
        <w:t>P</w:t>
      </w:r>
      <w:r w:rsidRPr="007E42C6">
        <w:rPr>
          <w:color w:val="000000"/>
        </w:rPr>
        <w:t>rior</w:t>
      </w:r>
      <w:r w:rsidRPr="007E42C6">
        <w:rPr>
          <w:color w:val="000000"/>
          <w:spacing w:val="-1"/>
        </w:rPr>
        <w:t xml:space="preserve"> </w:t>
      </w:r>
      <w:r w:rsidRPr="007E42C6">
        <w:rPr>
          <w:color w:val="000000"/>
        </w:rPr>
        <w:t>f</w:t>
      </w:r>
      <w:r w:rsidRPr="007E42C6">
        <w:rPr>
          <w:color w:val="000000"/>
          <w:spacing w:val="1"/>
        </w:rPr>
        <w:t>r</w:t>
      </w:r>
      <w:r w:rsidRPr="007E42C6">
        <w:rPr>
          <w:color w:val="000000"/>
          <w:spacing w:val="-1"/>
        </w:rPr>
        <w:t>ac</w:t>
      </w:r>
      <w:r w:rsidRPr="007E42C6">
        <w:rPr>
          <w:color w:val="000000"/>
        </w:rPr>
        <w:t>tu</w:t>
      </w:r>
      <w:r w:rsidRPr="007E42C6">
        <w:rPr>
          <w:color w:val="000000"/>
          <w:spacing w:val="2"/>
        </w:rPr>
        <w:t>r</w:t>
      </w:r>
      <w:r w:rsidRPr="007E42C6">
        <w:rPr>
          <w:color w:val="000000"/>
          <w:spacing w:val="-1"/>
        </w:rPr>
        <w:t>e and</w:t>
      </w:r>
      <w:r w:rsidRPr="007E42C6">
        <w:rPr>
          <w:color w:val="000000"/>
        </w:rPr>
        <w:t xml:space="preserve"> other</w:t>
      </w:r>
      <w:r w:rsidRPr="007E42C6">
        <w:rPr>
          <w:color w:val="000000"/>
          <w:spacing w:val="1"/>
        </w:rPr>
        <w:t xml:space="preserve"> </w:t>
      </w:r>
      <w:r w:rsidRPr="007E42C6">
        <w:rPr>
          <w:color w:val="000000"/>
          <w:spacing w:val="-1"/>
        </w:rPr>
        <w:t>F</w:t>
      </w:r>
      <w:r w:rsidRPr="007E42C6">
        <w:rPr>
          <w:color w:val="000000"/>
        </w:rPr>
        <w:t>RAX</w:t>
      </w:r>
      <w:r w:rsidRPr="007E42C6">
        <w:rPr>
          <w:color w:val="000000"/>
          <w:spacing w:val="-1"/>
        </w:rPr>
        <w:t xml:space="preserve"> </w:t>
      </w:r>
      <w:r w:rsidRPr="007E42C6">
        <w:rPr>
          <w:color w:val="000000"/>
        </w:rPr>
        <w:t>input</w:t>
      </w:r>
      <w:r w:rsidRPr="007E42C6">
        <w:rPr>
          <w:color w:val="000000"/>
          <w:spacing w:val="1"/>
        </w:rPr>
        <w:t xml:space="preserve"> </w:t>
      </w:r>
      <w:r w:rsidRPr="007E42C6">
        <w:rPr>
          <w:color w:val="000000"/>
        </w:rPr>
        <w:t>v</w:t>
      </w:r>
      <w:r w:rsidRPr="007E42C6">
        <w:rPr>
          <w:color w:val="000000"/>
          <w:spacing w:val="-1"/>
        </w:rPr>
        <w:t>a</w:t>
      </w:r>
      <w:r w:rsidRPr="007E42C6">
        <w:rPr>
          <w:color w:val="000000"/>
        </w:rPr>
        <w:t>ri</w:t>
      </w:r>
      <w:r w:rsidRPr="007E42C6">
        <w:rPr>
          <w:color w:val="000000"/>
          <w:spacing w:val="-1"/>
        </w:rPr>
        <w:t>a</w:t>
      </w:r>
      <w:r w:rsidRPr="007E42C6">
        <w:rPr>
          <w:color w:val="000000"/>
        </w:rPr>
        <w:t>bles w</w:t>
      </w:r>
      <w:r w:rsidRPr="007E42C6">
        <w:rPr>
          <w:color w:val="000000"/>
          <w:spacing w:val="-1"/>
        </w:rPr>
        <w:t>e</w:t>
      </w:r>
      <w:r w:rsidRPr="007E42C6">
        <w:rPr>
          <w:color w:val="000000"/>
        </w:rPr>
        <w:t>re</w:t>
      </w:r>
      <w:r w:rsidRPr="007E42C6">
        <w:rPr>
          <w:color w:val="000000"/>
          <w:spacing w:val="-2"/>
        </w:rPr>
        <w:t xml:space="preserve"> </w:t>
      </w:r>
      <w:r w:rsidRPr="007E42C6">
        <w:rPr>
          <w:color w:val="000000"/>
          <w:spacing w:val="-1"/>
        </w:rPr>
        <w:t>a</w:t>
      </w:r>
      <w:r w:rsidRPr="007E42C6">
        <w:rPr>
          <w:color w:val="000000"/>
        </w:rPr>
        <w:t>ssess</w:t>
      </w:r>
      <w:r w:rsidRPr="007E42C6">
        <w:rPr>
          <w:color w:val="000000"/>
          <w:spacing w:val="-1"/>
        </w:rPr>
        <w:t>e</w:t>
      </w:r>
      <w:r w:rsidRPr="007E42C6">
        <w:rPr>
          <w:color w:val="000000"/>
        </w:rPr>
        <w:t>d using</w:t>
      </w:r>
      <w:r w:rsidRPr="007E42C6">
        <w:rPr>
          <w:color w:val="000000"/>
          <w:spacing w:val="-2"/>
        </w:rPr>
        <w:t xml:space="preserve"> </w:t>
      </w:r>
      <w:r w:rsidR="00F227F7">
        <w:rPr>
          <w:color w:val="000000"/>
          <w:spacing w:val="-2"/>
        </w:rPr>
        <w:t>administrative health data</w:t>
      </w:r>
      <w:r>
        <w:rPr>
          <w:color w:val="000000"/>
        </w:rPr>
        <w:t>.</w:t>
      </w:r>
      <w:hyperlink w:anchor="_ENREF_15" w:tooltip="Leslie, 2010 #2434" w:history="1">
        <w:r w:rsidR="00B8363A" w:rsidRPr="007E42C6">
          <w:rPr>
            <w:color w:val="000000"/>
          </w:rPr>
          <w:fldChar w:fldCharType="begin"/>
        </w:r>
        <w:r w:rsidR="001658CA">
          <w:rPr>
            <w:color w:val="000000"/>
          </w:rPr>
          <w:instrText xml:space="preserve"> ADDIN EN.CITE &lt;EndNote&gt;&lt;Cite&gt;&lt;Author&gt;Leslie&lt;/Author&gt;&lt;Year&gt;2010&lt;/Year&gt;&lt;RecNum&gt;2434&lt;/RecNum&gt;&lt;DisplayText&gt;&lt;style face="superscript"&gt;15&lt;/style&gt;&lt;/DisplayText&gt;&lt;record&gt;&lt;rec-number&gt;2434&lt;/rec-number&gt;&lt;foreign-keys&gt;&lt;key app="EN" db-id="tddepx9stepaa2ewwwy5xsraz9xvaz0x20zx" timestamp="1586186617"&gt;2434&lt;/key&gt;&lt;/foreign-keys&gt;&lt;ref-type name="Journal Article"&gt;17&lt;/ref-type&gt;&lt;contributors&gt;&lt;authors&gt;&lt;author&gt;Leslie, W. D.&lt;/author&gt;&lt;author&gt;Lix, L. M.&lt;/author&gt;&lt;author&gt;Johansson, H.&lt;/author&gt;&lt;author&gt;Oden, A.&lt;/author&gt;&lt;author&gt;McCloskey, E.&lt;/author&gt;&lt;author&gt;Kanis, J. A.&lt;/author&gt;&lt;author&gt;Manitoba Bone Density, Program&lt;/author&gt;&lt;/authors&gt;&lt;/contributors&gt;&lt;auth-address&gt;Department of Medicine, University of Manitoba, Winnipeg, Canada. bleslie@sbgh.mb.ca&lt;/auth-address&gt;&lt;titles&gt;&lt;title&gt;Independent clinical validation of a Canadian FRAX tool: fracture prediction and model calibration&lt;/title&gt;&lt;secondary-title&gt;J Bone Miner Res&lt;/secondary-title&gt;&lt;/titles&gt;&lt;periodical&gt;&lt;full-title&gt;J Bone Miner Res&lt;/full-title&gt;&lt;/periodical&gt;&lt;pages&gt;2350-8&lt;/pages&gt;&lt;volume&gt;25&lt;/volume&gt;&lt;number&gt;11&lt;/number&gt;&lt;keywords&gt;&lt;keyword&gt;Aged&lt;/keyword&gt;&lt;keyword&gt;Bone Density/physiology&lt;/keyword&gt;&lt;keyword&gt;Calibration&lt;/keyword&gt;&lt;keyword&gt;Canada&lt;/keyword&gt;&lt;keyword&gt;Female&lt;/keyword&gt;&lt;keyword&gt;Femur Neck/physiopathology&lt;/keyword&gt;&lt;keyword&gt;Fractures, Bone/*pathology/physiopathology&lt;/keyword&gt;&lt;keyword&gt;Humans&lt;/keyword&gt;&lt;keyword&gt;Male&lt;/keyword&gt;&lt;keyword&gt;Middle Aged&lt;/keyword&gt;&lt;keyword&gt;*Models, Biological&lt;/keyword&gt;&lt;keyword&gt;Proportional Hazards Models&lt;/keyword&gt;&lt;keyword&gt;ROC Curve&lt;/keyword&gt;&lt;keyword&gt;Reproducibility of Results&lt;/keyword&gt;&lt;keyword&gt;Risk Assessment/*methods&lt;/keyword&gt;&lt;keyword&gt;Risk Factors&lt;/keyword&gt;&lt;/keywords&gt;&lt;dates&gt;&lt;year&gt;2010&lt;/year&gt;&lt;pub-dates&gt;&lt;date&gt;Nov&lt;/date&gt;&lt;/pub-dates&gt;&lt;/dates&gt;&lt;isbn&gt;1523-4681 (Electronic)&amp;#xD;0884-0431 (Linking)&lt;/isbn&gt;&lt;accession-num&gt;20499367&lt;/accession-num&gt;&lt;urls&gt;&lt;related-urls&gt;&lt;url&gt;http://www.ncbi.nlm.nih.gov/pubmed/20499367&lt;/url&gt;&lt;/related-urls&gt;&lt;/urls&gt;&lt;electronic-resource-num&gt;10.1002/jbmr.123&lt;/electronic-resource-num&gt;&lt;/record&gt;&lt;/Cite&gt;&lt;/EndNote&gt;</w:instrText>
        </w:r>
        <w:r w:rsidR="00B8363A" w:rsidRPr="007E42C6">
          <w:rPr>
            <w:color w:val="000000"/>
          </w:rPr>
          <w:fldChar w:fldCharType="separate"/>
        </w:r>
        <w:r w:rsidR="001658CA" w:rsidRPr="0077585B">
          <w:rPr>
            <w:noProof/>
            <w:color w:val="000000"/>
            <w:vertAlign w:val="superscript"/>
          </w:rPr>
          <w:t>15</w:t>
        </w:r>
        <w:r w:rsidR="00B8363A" w:rsidRPr="007E42C6">
          <w:rPr>
            <w:color w:val="000000"/>
          </w:rPr>
          <w:fldChar w:fldCharType="end"/>
        </w:r>
      </w:hyperlink>
      <w:r w:rsidRPr="007E42C6">
        <w:rPr>
          <w:color w:val="000000"/>
        </w:rPr>
        <w:t xml:space="preserve">  </w:t>
      </w:r>
      <w:r w:rsidRPr="007E42C6">
        <w:rPr>
          <w:color w:val="000000"/>
          <w:spacing w:val="1"/>
        </w:rPr>
        <w:t>W</w:t>
      </w:r>
      <w:r w:rsidRPr="007E42C6">
        <w:rPr>
          <w:color w:val="000000"/>
        </w:rPr>
        <w:t>e</w:t>
      </w:r>
      <w:r w:rsidRPr="007E42C6">
        <w:rPr>
          <w:color w:val="000000"/>
          <w:spacing w:val="-1"/>
        </w:rPr>
        <w:t xml:space="preserve"> </w:t>
      </w:r>
      <w:r w:rsidRPr="007E42C6">
        <w:rPr>
          <w:color w:val="000000"/>
        </w:rPr>
        <w:t>d</w:t>
      </w:r>
      <w:r w:rsidRPr="007E42C6">
        <w:rPr>
          <w:color w:val="000000"/>
          <w:spacing w:val="-1"/>
        </w:rPr>
        <w:t>e</w:t>
      </w:r>
      <w:r w:rsidRPr="007E42C6">
        <w:rPr>
          <w:color w:val="000000"/>
        </w:rPr>
        <w:t>fin</w:t>
      </w:r>
      <w:r w:rsidRPr="007E42C6">
        <w:rPr>
          <w:color w:val="000000"/>
          <w:spacing w:val="-1"/>
        </w:rPr>
        <w:t>e</w:t>
      </w:r>
      <w:r w:rsidRPr="007E42C6">
        <w:rPr>
          <w:color w:val="000000"/>
        </w:rPr>
        <w:t>d prior</w:t>
      </w:r>
      <w:r w:rsidRPr="007E42C6">
        <w:rPr>
          <w:color w:val="000000"/>
          <w:spacing w:val="-1"/>
        </w:rPr>
        <w:t xml:space="preserve"> </w:t>
      </w:r>
      <w:r w:rsidRPr="007E42C6">
        <w:rPr>
          <w:color w:val="000000"/>
          <w:spacing w:val="1"/>
        </w:rPr>
        <w:t>f</w:t>
      </w:r>
      <w:r w:rsidRPr="007E42C6">
        <w:rPr>
          <w:color w:val="000000"/>
        </w:rPr>
        <w:t>ra</w:t>
      </w:r>
      <w:r w:rsidRPr="007E42C6">
        <w:rPr>
          <w:color w:val="000000"/>
          <w:spacing w:val="-2"/>
        </w:rPr>
        <w:t>g</w:t>
      </w:r>
      <w:r w:rsidRPr="007E42C6">
        <w:rPr>
          <w:color w:val="000000"/>
        </w:rPr>
        <w:t>i</w:t>
      </w:r>
      <w:r w:rsidRPr="007E42C6">
        <w:rPr>
          <w:color w:val="000000"/>
          <w:spacing w:val="1"/>
        </w:rPr>
        <w:t>l</w:t>
      </w:r>
      <w:r w:rsidRPr="007E42C6">
        <w:rPr>
          <w:color w:val="000000"/>
        </w:rPr>
        <w:t>i</w:t>
      </w:r>
      <w:r w:rsidRPr="007E42C6">
        <w:rPr>
          <w:color w:val="000000"/>
          <w:spacing w:val="1"/>
        </w:rPr>
        <w:t>t</w:t>
      </w:r>
      <w:r w:rsidRPr="007E42C6">
        <w:rPr>
          <w:color w:val="000000"/>
        </w:rPr>
        <w:t>y</w:t>
      </w:r>
      <w:r w:rsidRPr="007E42C6">
        <w:rPr>
          <w:color w:val="000000"/>
          <w:spacing w:val="-3"/>
        </w:rPr>
        <w:t xml:space="preserve"> </w:t>
      </w:r>
      <w:r w:rsidRPr="007E42C6">
        <w:rPr>
          <w:color w:val="000000"/>
          <w:spacing w:val="1"/>
        </w:rPr>
        <w:t>f</w:t>
      </w:r>
      <w:r w:rsidRPr="007E42C6">
        <w:rPr>
          <w:color w:val="000000"/>
        </w:rPr>
        <w:t>r</w:t>
      </w:r>
      <w:r w:rsidRPr="007E42C6">
        <w:rPr>
          <w:color w:val="000000"/>
          <w:spacing w:val="-2"/>
        </w:rPr>
        <w:t>a</w:t>
      </w:r>
      <w:r w:rsidRPr="007E42C6">
        <w:rPr>
          <w:color w:val="000000"/>
          <w:spacing w:val="-1"/>
        </w:rPr>
        <w:t>c</w:t>
      </w:r>
      <w:r w:rsidRPr="007E42C6">
        <w:rPr>
          <w:color w:val="000000"/>
        </w:rPr>
        <w:t>tu</w:t>
      </w:r>
      <w:r w:rsidRPr="007E42C6">
        <w:rPr>
          <w:color w:val="000000"/>
          <w:spacing w:val="2"/>
        </w:rPr>
        <w:t>r</w:t>
      </w:r>
      <w:r w:rsidRPr="007E42C6">
        <w:rPr>
          <w:color w:val="000000"/>
        </w:rPr>
        <w:t>e</w:t>
      </w:r>
      <w:r w:rsidRPr="007E42C6">
        <w:rPr>
          <w:color w:val="000000"/>
          <w:spacing w:val="-1"/>
        </w:rPr>
        <w:t xml:space="preserve"> a</w:t>
      </w:r>
      <w:r w:rsidRPr="007E42C6">
        <w:rPr>
          <w:color w:val="000000"/>
        </w:rPr>
        <w:t>s</w:t>
      </w:r>
      <w:r w:rsidRPr="007E42C6">
        <w:rPr>
          <w:color w:val="000000"/>
          <w:spacing w:val="2"/>
        </w:rPr>
        <w:t xml:space="preserve"> </w:t>
      </w:r>
      <w:r w:rsidRPr="007E42C6">
        <w:rPr>
          <w:color w:val="000000"/>
          <w:spacing w:val="-1"/>
        </w:rPr>
        <w:t>a</w:t>
      </w:r>
      <w:r w:rsidRPr="007E42C6">
        <w:rPr>
          <w:color w:val="000000"/>
          <w:spacing w:val="5"/>
        </w:rPr>
        <w:t>n</w:t>
      </w:r>
      <w:r w:rsidRPr="007E42C6">
        <w:rPr>
          <w:color w:val="000000"/>
        </w:rPr>
        <w:t>y</w:t>
      </w:r>
      <w:r w:rsidRPr="007E42C6">
        <w:rPr>
          <w:color w:val="000000"/>
          <w:spacing w:val="-5"/>
        </w:rPr>
        <w:t xml:space="preserve"> </w:t>
      </w:r>
      <w:r w:rsidRPr="007E42C6">
        <w:rPr>
          <w:color w:val="000000"/>
        </w:rPr>
        <w:t>no</w:t>
      </w:r>
      <w:r w:rsidRPr="007E42C6">
        <w:rPr>
          <w:color w:val="000000"/>
          <w:spacing w:val="3"/>
        </w:rPr>
        <w:t>n</w:t>
      </w:r>
      <w:r w:rsidRPr="007E42C6">
        <w:rPr>
          <w:color w:val="000000"/>
          <w:spacing w:val="-1"/>
        </w:rPr>
        <w:t>-</w:t>
      </w:r>
      <w:r w:rsidRPr="007E42C6">
        <w:rPr>
          <w:color w:val="000000"/>
        </w:rPr>
        <w:t>tr</w:t>
      </w:r>
      <w:r w:rsidRPr="007E42C6">
        <w:rPr>
          <w:color w:val="000000"/>
          <w:spacing w:val="1"/>
        </w:rPr>
        <w:t>a</w:t>
      </w:r>
      <w:r w:rsidRPr="007E42C6">
        <w:rPr>
          <w:color w:val="000000"/>
        </w:rPr>
        <w:t>umatic MOF</w:t>
      </w:r>
      <w:r w:rsidRPr="007E42C6">
        <w:rPr>
          <w:color w:val="000000"/>
          <w:spacing w:val="-2"/>
        </w:rPr>
        <w:t xml:space="preserve"> </w:t>
      </w:r>
      <w:r w:rsidRPr="007E42C6">
        <w:rPr>
          <w:color w:val="000000"/>
        </w:rPr>
        <w:t>that o</w:t>
      </w:r>
      <w:r w:rsidRPr="007E42C6">
        <w:rPr>
          <w:color w:val="000000"/>
          <w:spacing w:val="1"/>
        </w:rPr>
        <w:t>c</w:t>
      </w:r>
      <w:r w:rsidRPr="007E42C6">
        <w:rPr>
          <w:color w:val="000000"/>
          <w:spacing w:val="-1"/>
        </w:rPr>
        <w:t>c</w:t>
      </w:r>
      <w:r w:rsidRPr="007E42C6">
        <w:rPr>
          <w:color w:val="000000"/>
        </w:rPr>
        <w:t>u</w:t>
      </w:r>
      <w:r w:rsidRPr="007E42C6">
        <w:rPr>
          <w:color w:val="000000"/>
          <w:spacing w:val="-1"/>
        </w:rPr>
        <w:t>r</w:t>
      </w:r>
      <w:r w:rsidRPr="007E42C6">
        <w:rPr>
          <w:color w:val="000000"/>
          <w:spacing w:val="1"/>
        </w:rPr>
        <w:t>re</w:t>
      </w:r>
      <w:r w:rsidRPr="007E42C6">
        <w:rPr>
          <w:color w:val="000000"/>
        </w:rPr>
        <w:t>d b</w:t>
      </w:r>
      <w:r w:rsidRPr="007E42C6">
        <w:rPr>
          <w:color w:val="000000"/>
          <w:spacing w:val="-1"/>
        </w:rPr>
        <w:t>e</w:t>
      </w:r>
      <w:r w:rsidRPr="007E42C6">
        <w:rPr>
          <w:color w:val="000000"/>
        </w:rPr>
        <w:t>fo</w:t>
      </w:r>
      <w:r w:rsidRPr="007E42C6">
        <w:rPr>
          <w:color w:val="000000"/>
          <w:spacing w:val="-1"/>
        </w:rPr>
        <w:t>r</w:t>
      </w:r>
      <w:r w:rsidRPr="007E42C6">
        <w:rPr>
          <w:color w:val="000000"/>
        </w:rPr>
        <w:t>e</w:t>
      </w:r>
      <w:r w:rsidRPr="007E42C6">
        <w:rPr>
          <w:color w:val="000000"/>
          <w:spacing w:val="-1"/>
        </w:rPr>
        <w:t xml:space="preserve"> </w:t>
      </w:r>
      <w:r w:rsidRPr="007E42C6">
        <w:rPr>
          <w:color w:val="000000"/>
        </w:rPr>
        <w:t>t</w:t>
      </w:r>
      <w:r w:rsidRPr="007E42C6">
        <w:rPr>
          <w:color w:val="000000"/>
          <w:spacing w:val="3"/>
        </w:rPr>
        <w:t>h</w:t>
      </w:r>
      <w:r w:rsidRPr="007E42C6">
        <w:rPr>
          <w:color w:val="000000"/>
        </w:rPr>
        <w:t>e</w:t>
      </w:r>
      <w:r w:rsidRPr="007E42C6">
        <w:rPr>
          <w:color w:val="000000"/>
          <w:spacing w:val="-1"/>
        </w:rPr>
        <w:t xml:space="preserve"> </w:t>
      </w:r>
      <w:r w:rsidRPr="007E42C6">
        <w:rPr>
          <w:color w:val="000000"/>
        </w:rPr>
        <w:t>b</w:t>
      </w:r>
      <w:r w:rsidRPr="007E42C6">
        <w:rPr>
          <w:color w:val="000000"/>
          <w:spacing w:val="-1"/>
        </w:rPr>
        <w:t>a</w:t>
      </w:r>
      <w:r w:rsidRPr="007E42C6">
        <w:rPr>
          <w:color w:val="000000"/>
        </w:rPr>
        <w:t>s</w:t>
      </w:r>
      <w:r w:rsidRPr="007E42C6">
        <w:rPr>
          <w:color w:val="000000"/>
          <w:spacing w:val="-1"/>
        </w:rPr>
        <w:t>e</w:t>
      </w:r>
      <w:r w:rsidRPr="007E42C6">
        <w:rPr>
          <w:color w:val="000000"/>
        </w:rPr>
        <w:t>l</w:t>
      </w:r>
      <w:r w:rsidRPr="007E42C6">
        <w:rPr>
          <w:color w:val="000000"/>
          <w:spacing w:val="1"/>
        </w:rPr>
        <w:t>i</w:t>
      </w:r>
      <w:r w:rsidRPr="007E42C6">
        <w:rPr>
          <w:color w:val="000000"/>
        </w:rPr>
        <w:t>ne D</w:t>
      </w:r>
      <w:r w:rsidRPr="007E42C6">
        <w:rPr>
          <w:color w:val="000000"/>
          <w:spacing w:val="-1"/>
        </w:rPr>
        <w:t>X</w:t>
      </w:r>
      <w:r w:rsidRPr="007E42C6">
        <w:rPr>
          <w:color w:val="000000"/>
        </w:rPr>
        <w:t>A t</w:t>
      </w:r>
      <w:r w:rsidRPr="007E42C6">
        <w:rPr>
          <w:color w:val="000000"/>
          <w:spacing w:val="-1"/>
        </w:rPr>
        <w:t>e</w:t>
      </w:r>
      <w:r w:rsidRPr="007E42C6">
        <w:rPr>
          <w:color w:val="000000"/>
        </w:rPr>
        <w:t xml:space="preserve">st </w:t>
      </w:r>
      <w:r>
        <w:rPr>
          <w:color w:val="000000"/>
        </w:rPr>
        <w:t>examining</w:t>
      </w:r>
      <w:r w:rsidRPr="007E42C6">
        <w:rPr>
          <w:color w:val="000000"/>
        </w:rPr>
        <w:t xml:space="preserve"> </w:t>
      </w:r>
      <w:r>
        <w:rPr>
          <w:color w:val="000000"/>
        </w:rPr>
        <w:t xml:space="preserve">medical </w:t>
      </w:r>
      <w:r w:rsidRPr="007E42C6">
        <w:rPr>
          <w:color w:val="000000"/>
        </w:rPr>
        <w:t>r</w:t>
      </w:r>
      <w:r w:rsidRPr="007E42C6">
        <w:rPr>
          <w:color w:val="000000"/>
          <w:spacing w:val="-2"/>
        </w:rPr>
        <w:t>e</w:t>
      </w:r>
      <w:r w:rsidRPr="007E42C6">
        <w:rPr>
          <w:color w:val="000000"/>
          <w:spacing w:val="-1"/>
        </w:rPr>
        <w:t>c</w:t>
      </w:r>
      <w:r w:rsidRPr="007E42C6">
        <w:rPr>
          <w:color w:val="000000"/>
          <w:spacing w:val="2"/>
        </w:rPr>
        <w:t>o</w:t>
      </w:r>
      <w:r w:rsidRPr="007E42C6">
        <w:rPr>
          <w:color w:val="000000"/>
        </w:rPr>
        <w:t>rds</w:t>
      </w:r>
      <w:r w:rsidRPr="007E42C6">
        <w:rPr>
          <w:color w:val="000000"/>
          <w:spacing w:val="1"/>
        </w:rPr>
        <w:t xml:space="preserve"> </w:t>
      </w:r>
      <w:r w:rsidRPr="007E42C6">
        <w:rPr>
          <w:color w:val="000000"/>
          <w:spacing w:val="2"/>
        </w:rPr>
        <w:t>b</w:t>
      </w:r>
      <w:r w:rsidRPr="007E42C6">
        <w:rPr>
          <w:color w:val="000000"/>
          <w:spacing w:val="-1"/>
        </w:rPr>
        <w:t>ac</w:t>
      </w:r>
      <w:r w:rsidRPr="007E42C6">
        <w:rPr>
          <w:color w:val="000000"/>
        </w:rPr>
        <w:t>k to 198</w:t>
      </w:r>
      <w:r w:rsidRPr="007E42C6">
        <w:rPr>
          <w:color w:val="000000"/>
          <w:spacing w:val="1"/>
        </w:rPr>
        <w:t>7</w:t>
      </w:r>
      <w:r w:rsidRPr="007E42C6">
        <w:rPr>
          <w:color w:val="000000"/>
        </w:rPr>
        <w:t xml:space="preserve">.  </w:t>
      </w:r>
      <w:r w:rsidRPr="007E42C6">
        <w:rPr>
          <w:color w:val="000000"/>
          <w:spacing w:val="1"/>
        </w:rPr>
        <w:t>P</w:t>
      </w:r>
      <w:r w:rsidRPr="007E42C6">
        <w:rPr>
          <w:color w:val="000000"/>
        </w:rPr>
        <w:t>rolong</w:t>
      </w:r>
      <w:r w:rsidRPr="007E42C6">
        <w:rPr>
          <w:color w:val="000000"/>
          <w:spacing w:val="-1"/>
        </w:rPr>
        <w:t>e</w:t>
      </w:r>
      <w:r w:rsidRPr="007E42C6">
        <w:rPr>
          <w:color w:val="000000"/>
        </w:rPr>
        <w:t xml:space="preserve">d </w:t>
      </w:r>
      <w:r w:rsidRPr="007E42C6">
        <w:rPr>
          <w:color w:val="000000"/>
          <w:spacing w:val="2"/>
        </w:rPr>
        <w:t>o</w:t>
      </w:r>
      <w:r w:rsidRPr="007E42C6">
        <w:rPr>
          <w:color w:val="000000"/>
        </w:rPr>
        <w:t>r</w:t>
      </w:r>
      <w:r w:rsidRPr="007E42C6">
        <w:rPr>
          <w:color w:val="000000"/>
          <w:spacing w:val="-2"/>
        </w:rPr>
        <w:t>a</w:t>
      </w:r>
      <w:r w:rsidRPr="007E42C6">
        <w:rPr>
          <w:color w:val="000000"/>
        </w:rPr>
        <w:t xml:space="preserve">l </w:t>
      </w:r>
      <w:r w:rsidR="004E15E0">
        <w:rPr>
          <w:color w:val="000000"/>
        </w:rPr>
        <w:t>gluco</w:t>
      </w:r>
      <w:r w:rsidRPr="007E42C6">
        <w:rPr>
          <w:color w:val="000000"/>
        </w:rPr>
        <w:t>co</w:t>
      </w:r>
      <w:r w:rsidRPr="007E42C6">
        <w:rPr>
          <w:color w:val="000000"/>
          <w:spacing w:val="-1"/>
        </w:rPr>
        <w:t>r</w:t>
      </w:r>
      <w:r w:rsidRPr="007E42C6">
        <w:rPr>
          <w:color w:val="000000"/>
        </w:rPr>
        <w:t>t</w:t>
      </w:r>
      <w:r w:rsidRPr="007E42C6">
        <w:rPr>
          <w:color w:val="000000"/>
          <w:spacing w:val="1"/>
        </w:rPr>
        <w:t>i</w:t>
      </w:r>
      <w:r w:rsidRPr="007E42C6">
        <w:rPr>
          <w:color w:val="000000"/>
          <w:spacing w:val="-1"/>
        </w:rPr>
        <w:t>c</w:t>
      </w:r>
      <w:r w:rsidRPr="007E42C6">
        <w:rPr>
          <w:color w:val="000000"/>
        </w:rPr>
        <w:t>oid use</w:t>
      </w:r>
      <w:r w:rsidRPr="007E42C6">
        <w:rPr>
          <w:color w:val="000000"/>
          <w:spacing w:val="-1"/>
        </w:rPr>
        <w:t xml:space="preserve"> (&gt;</w:t>
      </w:r>
      <w:r w:rsidRPr="007E42C6">
        <w:rPr>
          <w:color w:val="000000"/>
          <w:spacing w:val="2"/>
        </w:rPr>
        <w:t>9</w:t>
      </w:r>
      <w:r w:rsidRPr="007E42C6">
        <w:rPr>
          <w:color w:val="000000"/>
        </w:rPr>
        <w:t>0 days disp</w:t>
      </w:r>
      <w:r w:rsidRPr="007E42C6">
        <w:rPr>
          <w:color w:val="000000"/>
          <w:spacing w:val="-1"/>
        </w:rPr>
        <w:t>e</w:t>
      </w:r>
      <w:r w:rsidRPr="007E42C6">
        <w:rPr>
          <w:color w:val="000000"/>
        </w:rPr>
        <w:t>nsed</w:t>
      </w:r>
      <w:r w:rsidRPr="007E42C6">
        <w:rPr>
          <w:color w:val="000000"/>
          <w:spacing w:val="-1"/>
        </w:rPr>
        <w:t xml:space="preserve"> </w:t>
      </w:r>
      <w:r w:rsidRPr="007E42C6">
        <w:rPr>
          <w:color w:val="000000"/>
        </w:rPr>
        <w:t xml:space="preserve">in </w:t>
      </w:r>
      <w:r w:rsidRPr="007E42C6">
        <w:rPr>
          <w:color w:val="000000"/>
          <w:spacing w:val="1"/>
        </w:rPr>
        <w:t>t</w:t>
      </w:r>
      <w:r w:rsidRPr="007E42C6">
        <w:rPr>
          <w:color w:val="000000"/>
        </w:rPr>
        <w:t>he</w:t>
      </w:r>
      <w:r w:rsidRPr="007E42C6">
        <w:rPr>
          <w:color w:val="000000"/>
          <w:spacing w:val="-1"/>
        </w:rPr>
        <w:t xml:space="preserve"> </w:t>
      </w:r>
      <w:r w:rsidRPr="007E42C6">
        <w:rPr>
          <w:color w:val="000000"/>
        </w:rPr>
        <w:t xml:space="preserve">1 </w:t>
      </w:r>
      <w:r w:rsidRPr="007E42C6">
        <w:rPr>
          <w:color w:val="000000"/>
          <w:spacing w:val="-5"/>
        </w:rPr>
        <w:t>y</w:t>
      </w:r>
      <w:r w:rsidRPr="007E42C6">
        <w:rPr>
          <w:color w:val="000000"/>
          <w:spacing w:val="1"/>
        </w:rPr>
        <w:t>ea</w:t>
      </w:r>
      <w:r w:rsidRPr="007E42C6">
        <w:rPr>
          <w:color w:val="000000"/>
        </w:rPr>
        <w:t>r</w:t>
      </w:r>
      <w:r w:rsidRPr="007E42C6">
        <w:rPr>
          <w:color w:val="000000"/>
          <w:spacing w:val="-1"/>
        </w:rPr>
        <w:t xml:space="preserve"> </w:t>
      </w:r>
      <w:r w:rsidRPr="007E42C6">
        <w:rPr>
          <w:color w:val="000000"/>
        </w:rPr>
        <w:t>p</w:t>
      </w:r>
      <w:r w:rsidRPr="007E42C6">
        <w:rPr>
          <w:color w:val="000000"/>
          <w:spacing w:val="-1"/>
        </w:rPr>
        <w:t>r</w:t>
      </w:r>
      <w:r w:rsidRPr="007E42C6">
        <w:rPr>
          <w:color w:val="000000"/>
        </w:rPr>
        <w:t>ior to</w:t>
      </w:r>
      <w:r w:rsidRPr="007E42C6">
        <w:rPr>
          <w:color w:val="000000"/>
          <w:spacing w:val="2"/>
        </w:rPr>
        <w:t xml:space="preserve"> </w:t>
      </w:r>
      <w:r w:rsidRPr="007E42C6">
        <w:rPr>
          <w:color w:val="000000"/>
        </w:rPr>
        <w:t>D</w:t>
      </w:r>
      <w:r w:rsidRPr="007E42C6">
        <w:rPr>
          <w:color w:val="000000"/>
          <w:spacing w:val="-1"/>
        </w:rPr>
        <w:t>X</w:t>
      </w:r>
      <w:r w:rsidRPr="007E42C6">
        <w:rPr>
          <w:color w:val="000000"/>
        </w:rPr>
        <w:t>A</w:t>
      </w:r>
      <w:r w:rsidRPr="007E42C6">
        <w:rPr>
          <w:color w:val="000000"/>
          <w:spacing w:val="-1"/>
        </w:rPr>
        <w:t xml:space="preserve">) </w:t>
      </w:r>
      <w:r w:rsidRPr="007E42C6">
        <w:rPr>
          <w:color w:val="000000"/>
        </w:rPr>
        <w:t>w</w:t>
      </w:r>
      <w:r w:rsidRPr="007E42C6">
        <w:rPr>
          <w:color w:val="000000"/>
          <w:spacing w:val="-1"/>
        </w:rPr>
        <w:t>a</w:t>
      </w:r>
      <w:r w:rsidRPr="007E42C6">
        <w:rPr>
          <w:color w:val="000000"/>
        </w:rPr>
        <w:t>s obt</w:t>
      </w:r>
      <w:r w:rsidRPr="007E42C6">
        <w:rPr>
          <w:color w:val="000000"/>
          <w:spacing w:val="-1"/>
        </w:rPr>
        <w:t>a</w:t>
      </w:r>
      <w:r w:rsidRPr="007E42C6">
        <w:rPr>
          <w:color w:val="000000"/>
        </w:rPr>
        <w:t>ined</w:t>
      </w:r>
      <w:r w:rsidRPr="007E42C6">
        <w:rPr>
          <w:color w:val="000000"/>
          <w:spacing w:val="2"/>
        </w:rPr>
        <w:t xml:space="preserve"> </w:t>
      </w:r>
      <w:r w:rsidRPr="007E42C6">
        <w:rPr>
          <w:color w:val="000000"/>
          <w:spacing w:val="1"/>
        </w:rPr>
        <w:t>f</w:t>
      </w:r>
      <w:r w:rsidRPr="007E42C6">
        <w:rPr>
          <w:color w:val="000000"/>
        </w:rPr>
        <w:t>rom the p</w:t>
      </w:r>
      <w:r w:rsidRPr="007E42C6">
        <w:rPr>
          <w:color w:val="000000"/>
          <w:spacing w:val="-1"/>
        </w:rPr>
        <w:t>r</w:t>
      </w:r>
      <w:r w:rsidRPr="007E42C6">
        <w:rPr>
          <w:color w:val="000000"/>
        </w:rPr>
        <w:t>ovinci</w:t>
      </w:r>
      <w:r w:rsidRPr="007E42C6">
        <w:rPr>
          <w:color w:val="000000"/>
          <w:spacing w:val="-1"/>
        </w:rPr>
        <w:t>a</w:t>
      </w:r>
      <w:r w:rsidRPr="007E42C6">
        <w:rPr>
          <w:color w:val="000000"/>
        </w:rPr>
        <w:t>l pha</w:t>
      </w:r>
      <w:r w:rsidRPr="007E42C6">
        <w:rPr>
          <w:color w:val="000000"/>
          <w:spacing w:val="-1"/>
        </w:rPr>
        <w:t>r</w:t>
      </w:r>
      <w:r w:rsidRPr="007E42C6">
        <w:rPr>
          <w:color w:val="000000"/>
          <w:spacing w:val="3"/>
        </w:rPr>
        <w:t>m</w:t>
      </w:r>
      <w:r w:rsidRPr="007E42C6">
        <w:rPr>
          <w:color w:val="000000"/>
          <w:spacing w:val="-1"/>
        </w:rPr>
        <w:t>a</w:t>
      </w:r>
      <w:r w:rsidRPr="007E42C6">
        <w:rPr>
          <w:color w:val="000000"/>
          <w:spacing w:val="4"/>
        </w:rPr>
        <w:t>c</w:t>
      </w:r>
      <w:r w:rsidRPr="007E42C6">
        <w:rPr>
          <w:color w:val="000000"/>
        </w:rPr>
        <w:t>y</w:t>
      </w:r>
      <w:r w:rsidRPr="007E42C6">
        <w:rPr>
          <w:color w:val="000000"/>
          <w:spacing w:val="-5"/>
        </w:rPr>
        <w:t xml:space="preserve"> </w:t>
      </w:r>
      <w:r w:rsidRPr="007E42C6">
        <w:rPr>
          <w:color w:val="000000"/>
          <w:spacing w:val="5"/>
        </w:rPr>
        <w:t>s</w:t>
      </w:r>
      <w:r w:rsidRPr="007E42C6">
        <w:rPr>
          <w:color w:val="000000"/>
          <w:spacing w:val="-5"/>
        </w:rPr>
        <w:t>y</w:t>
      </w:r>
      <w:r w:rsidRPr="007E42C6">
        <w:rPr>
          <w:color w:val="000000"/>
        </w:rPr>
        <w:t>stem</w:t>
      </w:r>
      <w:r>
        <w:rPr>
          <w:color w:val="000000"/>
        </w:rPr>
        <w:t>.</w:t>
      </w:r>
      <w:hyperlink w:anchor="_ENREF_16" w:tooltip="Kozyrskyj, 1998 #5224" w:history="1">
        <w:r w:rsidR="00B8363A" w:rsidRPr="007E42C6">
          <w:rPr>
            <w:color w:val="000000"/>
          </w:rPr>
          <w:fldChar w:fldCharType="begin"/>
        </w:r>
        <w:r w:rsidR="001658CA">
          <w:rPr>
            <w:color w:val="000000"/>
          </w:rPr>
          <w:instrText xml:space="preserve"> ADDIN EN.CITE &lt;EndNote&gt;&lt;Cite&gt;&lt;Author&gt;Kozyrskyj&lt;/Author&gt;&lt;Year&gt;1998&lt;/Year&gt;&lt;RecNum&gt;5224&lt;/RecNum&gt;&lt;DisplayText&gt;&lt;style face="superscript"&gt;16&lt;/style&gt;&lt;/DisplayText&gt;&lt;record&gt;&lt;rec-number&gt;5224&lt;/rec-number&gt;&lt;foreign-keys&gt;&lt;key app="EN" db-id="v0wfa5pxi9rfr3erez5va0ptxx5sf9vfestw" timestamp="1486166111"&gt;5224&lt;/key&gt;&lt;/foreign-keys&gt;&lt;ref-type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Pharmacother&lt;/secondary-title&gt;&lt;/titles&gt;&lt;periodical&gt;&lt;full-title&gt;Annals of Pharmacotherapy&lt;/full-title&gt;&lt;abbr-1&gt;Ann. Pharmacother.&lt;/abbr-1&gt;&lt;abbr-2&gt;Ann Pharmacother&lt;/abbr-2&gt;&lt;/periodical&gt;&lt;pages&gt;1152-1157&lt;/pages&gt;&lt;volume&gt;32&lt;/volume&gt;&lt;number&gt;11&lt;/number&gt;&lt;reprint-edition&gt;NOT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B8363A" w:rsidRPr="007E42C6">
          <w:rPr>
            <w:color w:val="000000"/>
          </w:rPr>
          <w:fldChar w:fldCharType="separate"/>
        </w:r>
        <w:r w:rsidR="001658CA" w:rsidRPr="0077585B">
          <w:rPr>
            <w:noProof/>
            <w:color w:val="000000"/>
            <w:vertAlign w:val="superscript"/>
          </w:rPr>
          <w:t>16</w:t>
        </w:r>
        <w:r w:rsidR="00B8363A" w:rsidRPr="007E42C6">
          <w:rPr>
            <w:color w:val="000000"/>
          </w:rPr>
          <w:fldChar w:fldCharType="end"/>
        </w:r>
      </w:hyperlink>
      <w:r w:rsidRPr="007E42C6">
        <w:rPr>
          <w:color w:val="000000"/>
        </w:rPr>
        <w:t xml:space="preserve">  Parental hip fracture was by self-report from 2005 onwards</w:t>
      </w:r>
      <w:r w:rsidR="00EA1370">
        <w:rPr>
          <w:color w:val="000000"/>
        </w:rPr>
        <w:t xml:space="preserve">.  </w:t>
      </w:r>
      <w:r w:rsidR="00EA1370" w:rsidRPr="00EA1370">
        <w:rPr>
          <w:color w:val="000000"/>
        </w:rPr>
        <w:t>We</w:t>
      </w:r>
      <w:r w:rsidR="00EA1370">
        <w:rPr>
          <w:color w:val="000000"/>
        </w:rPr>
        <w:t xml:space="preserve"> </w:t>
      </w:r>
      <w:r w:rsidR="00EA1370" w:rsidRPr="00EA1370">
        <w:rPr>
          <w:color w:val="000000"/>
        </w:rPr>
        <w:t>adjusted for the effect of incomplete parental hip fracture</w:t>
      </w:r>
      <w:r w:rsidR="00EA1370">
        <w:rPr>
          <w:color w:val="000000"/>
        </w:rPr>
        <w:t xml:space="preserve"> </w:t>
      </w:r>
      <w:r w:rsidR="00EA1370" w:rsidRPr="00EA1370">
        <w:rPr>
          <w:color w:val="000000"/>
        </w:rPr>
        <w:t>information on FRAX probability estimates before 2005 using</w:t>
      </w:r>
      <w:r w:rsidR="00EA1370">
        <w:rPr>
          <w:color w:val="000000"/>
        </w:rPr>
        <w:t xml:space="preserve"> </w:t>
      </w:r>
      <w:r w:rsidR="00EA1370" w:rsidRPr="00EA1370">
        <w:rPr>
          <w:color w:val="000000"/>
        </w:rPr>
        <w:t>age</w:t>
      </w:r>
      <w:r w:rsidR="00EA1370" w:rsidRPr="00EA1370">
        <w:rPr>
          <w:rFonts w:ascii="Cambria Math" w:hAnsi="Cambria Math" w:cs="Cambria Math"/>
          <w:color w:val="000000"/>
        </w:rPr>
        <w:t>‐</w:t>
      </w:r>
      <w:r w:rsidR="00EA1370" w:rsidRPr="00EA1370">
        <w:rPr>
          <w:color w:val="000000"/>
        </w:rPr>
        <w:t xml:space="preserve"> and sex</w:t>
      </w:r>
      <w:r w:rsidR="00EA1370" w:rsidRPr="00EA1370">
        <w:rPr>
          <w:rFonts w:ascii="Cambria Math" w:hAnsi="Cambria Math" w:cs="Cambria Math"/>
          <w:color w:val="000000"/>
        </w:rPr>
        <w:t>‐</w:t>
      </w:r>
      <w:r w:rsidR="00EA1370" w:rsidRPr="00EA1370">
        <w:rPr>
          <w:color w:val="000000"/>
        </w:rPr>
        <w:t xml:space="preserve">specific </w:t>
      </w:r>
      <w:r w:rsidR="00EA1370" w:rsidRPr="00154D3C">
        <w:rPr>
          <w:color w:val="000000"/>
        </w:rPr>
        <w:t>adjustment factors derived from 2005</w:t>
      </w:r>
      <w:r w:rsidR="00EA1370" w:rsidRPr="00154D3C">
        <w:rPr>
          <w:rFonts w:cs="Times New Roman"/>
          <w:color w:val="000000"/>
        </w:rPr>
        <w:t>–</w:t>
      </w:r>
      <w:r w:rsidR="00EA1370" w:rsidRPr="00154D3C">
        <w:rPr>
          <w:color w:val="000000"/>
        </w:rPr>
        <w:t>2008 parental hip fracture responses as previously described.</w:t>
      </w:r>
      <w:r w:rsidRPr="00154D3C">
        <w:rPr>
          <w:color w:val="000000"/>
        </w:rPr>
        <w:t xml:space="preserve"> </w:t>
      </w:r>
      <w:hyperlink w:anchor="_ENREF_15" w:tooltip="Leslie, 2010 #2434" w:history="1">
        <w:r w:rsidR="00B8363A" w:rsidRPr="00154D3C">
          <w:rPr>
            <w:color w:val="000000"/>
          </w:rPr>
          <w:fldChar w:fldCharType="begin"/>
        </w:r>
        <w:r w:rsidR="001658CA" w:rsidRPr="00154D3C">
          <w:rPr>
            <w:color w:val="000000"/>
          </w:rPr>
          <w:instrText xml:space="preserve"> ADDIN EN.CITE &lt;EndNote&gt;&lt;Cite&gt;&lt;Author&gt;Leslie&lt;/Author&gt;&lt;Year&gt;2010&lt;/Year&gt;&lt;RecNum&gt;2434&lt;/RecNum&gt;&lt;DisplayText&gt;&lt;style face="superscript"&gt;15&lt;/style&gt;&lt;/DisplayText&gt;&lt;record&gt;&lt;rec-number&gt;2434&lt;/rec-number&gt;&lt;foreign-keys&gt;&lt;key app="EN" db-id="tddepx9stepaa2ewwwy5xsraz9xvaz0x20zx" timestamp="1586186617"&gt;2434&lt;/key&gt;&lt;/foreign-keys&gt;&lt;ref-type name="Journal Article"&gt;17&lt;/ref-type&gt;&lt;contributors&gt;&lt;authors&gt;&lt;author&gt;Leslie, W. D.&lt;/author&gt;&lt;author&gt;Lix, L. M.&lt;/author&gt;&lt;author&gt;Johansson, H.&lt;/author&gt;&lt;author&gt;Oden, A.&lt;/author&gt;&lt;author&gt;McCloskey, E.&lt;/author&gt;&lt;author&gt;Kanis, J. A.&lt;/author&gt;&lt;author&gt;Manitoba Bone Density, Program&lt;/author&gt;&lt;/authors&gt;&lt;/contributors&gt;&lt;auth-address&gt;Department of Medicine, University of Manitoba, Winnipeg, Canada. bleslie@sbgh.mb.ca&lt;/auth-address&gt;&lt;titles&gt;&lt;title&gt;Independent clinical validation of a Canadian FRAX tool: fracture prediction and model calibration&lt;/title&gt;&lt;secondary-title&gt;J Bone Miner Res&lt;/secondary-title&gt;&lt;/titles&gt;&lt;periodical&gt;&lt;full-title&gt;J Bone Miner Res&lt;/full-title&gt;&lt;/periodical&gt;&lt;pages&gt;2350-8&lt;/pages&gt;&lt;volume&gt;25&lt;/volume&gt;&lt;number&gt;11&lt;/number&gt;&lt;keywords&gt;&lt;keyword&gt;Aged&lt;/keyword&gt;&lt;keyword&gt;Bone Density/physiology&lt;/keyword&gt;&lt;keyword&gt;Calibration&lt;/keyword&gt;&lt;keyword&gt;Canada&lt;/keyword&gt;&lt;keyword&gt;Female&lt;/keyword&gt;&lt;keyword&gt;Femur Neck/physiopathology&lt;/keyword&gt;&lt;keyword&gt;Fractures, Bone/*pathology/physiopathology&lt;/keyword&gt;&lt;keyword&gt;Humans&lt;/keyword&gt;&lt;keyword&gt;Male&lt;/keyword&gt;&lt;keyword&gt;Middle Aged&lt;/keyword&gt;&lt;keyword&gt;*Models, Biological&lt;/keyword&gt;&lt;keyword&gt;Proportional Hazards Models&lt;/keyword&gt;&lt;keyword&gt;ROC Curve&lt;/keyword&gt;&lt;keyword&gt;Reproducibility of Results&lt;/keyword&gt;&lt;keyword&gt;Risk Assessment/*methods&lt;/keyword&gt;&lt;keyword&gt;Risk Factors&lt;/keyword&gt;&lt;/keywords&gt;&lt;dates&gt;&lt;year&gt;2010&lt;/year&gt;&lt;pub-dates&gt;&lt;date&gt;Nov&lt;/date&gt;&lt;/pub-dates&gt;&lt;/dates&gt;&lt;isbn&gt;1523-4681 (Electronic)&amp;#xD;0884-0431 (Linking)&lt;/isbn&gt;&lt;accession-num&gt;20499367&lt;/accession-num&gt;&lt;urls&gt;&lt;related-urls&gt;&lt;url&gt;http://www.ncbi.nlm.nih.gov/pubmed/20499367&lt;/url&gt;&lt;/related-urls&gt;&lt;/urls&gt;&lt;electronic-resource-num&gt;10.1002/jbmr.123&lt;/electronic-resource-num&gt;&lt;/record&gt;&lt;/Cite&gt;&lt;/EndNote&gt;</w:instrText>
        </w:r>
        <w:r w:rsidR="00B8363A" w:rsidRPr="00154D3C">
          <w:rPr>
            <w:color w:val="000000"/>
          </w:rPr>
          <w:fldChar w:fldCharType="separate"/>
        </w:r>
        <w:r w:rsidR="001658CA" w:rsidRPr="00154D3C">
          <w:rPr>
            <w:noProof/>
            <w:color w:val="000000"/>
            <w:vertAlign w:val="superscript"/>
          </w:rPr>
          <w:t>15</w:t>
        </w:r>
        <w:r w:rsidR="00B8363A" w:rsidRPr="00154D3C">
          <w:rPr>
            <w:color w:val="000000"/>
          </w:rPr>
          <w:fldChar w:fldCharType="end"/>
        </w:r>
      </w:hyperlink>
      <w:r w:rsidRPr="00154D3C">
        <w:rPr>
          <w:color w:val="000000"/>
        </w:rPr>
        <w:t xml:space="preserve"> Current smoking was by self-report from 2005 onwards and from a proxy variable in earlier years (chronic obstructive lung disease diagnosis codes</w:t>
      </w:r>
      <w:r w:rsidR="00F227F7" w:rsidRPr="00154D3C">
        <w:rPr>
          <w:color w:val="000000"/>
        </w:rPr>
        <w:t xml:space="preserve"> in administrative data</w:t>
      </w:r>
      <w:r w:rsidRPr="00154D3C">
        <w:rPr>
          <w:color w:val="000000"/>
        </w:rPr>
        <w:t>).  High alcohol use from 2012 onwards and from a proxy variable in earlier years (alcohol substance abuse diagnosis codes</w:t>
      </w:r>
      <w:r w:rsidR="00F227F7" w:rsidRPr="00154D3C">
        <w:rPr>
          <w:color w:val="000000"/>
        </w:rPr>
        <w:t xml:space="preserve"> in administrative data</w:t>
      </w:r>
      <w:r w:rsidRPr="00154D3C">
        <w:rPr>
          <w:color w:val="000000"/>
        </w:rPr>
        <w:t xml:space="preserve">).  </w:t>
      </w:r>
      <w:r w:rsidR="00EA1370" w:rsidRPr="00154D3C">
        <w:rPr>
          <w:color w:val="000000"/>
        </w:rPr>
        <w:t xml:space="preserve">For each subject we computed three FRAX MOF probability scores: from clinical predictors only (without secondary osteoporosis </w:t>
      </w:r>
      <w:r w:rsidR="00F227F7" w:rsidRPr="00154D3C">
        <w:rPr>
          <w:color w:val="000000"/>
        </w:rPr>
        <w:t>CD</w:t>
      </w:r>
      <w:r w:rsidR="00EA1370" w:rsidRPr="00154D3C">
        <w:rPr>
          <w:color w:val="000000"/>
        </w:rPr>
        <w:t xml:space="preserve">), from clinical predictors with secondary osteoporosis (for </w:t>
      </w:r>
      <w:r w:rsidR="00F227F7" w:rsidRPr="00154D3C">
        <w:rPr>
          <w:color w:val="000000"/>
        </w:rPr>
        <w:t>cohort members with CD</w:t>
      </w:r>
      <w:r w:rsidR="00EA1370" w:rsidRPr="00154D3C">
        <w:rPr>
          <w:color w:val="000000"/>
        </w:rPr>
        <w:t>), and from clinical predictors including BMD.</w:t>
      </w:r>
    </w:p>
    <w:p w:rsidR="000860D0" w:rsidRPr="00154D3C" w:rsidRDefault="000860D0" w:rsidP="004A362A">
      <w:pPr>
        <w:spacing w:line="480" w:lineRule="auto"/>
        <w:rPr>
          <w:bCs/>
          <w:color w:val="000000"/>
        </w:rPr>
      </w:pPr>
    </w:p>
    <w:p w:rsidR="000860D0" w:rsidRPr="00154D3C" w:rsidRDefault="000860D0" w:rsidP="004A362A">
      <w:pPr>
        <w:spacing w:line="480" w:lineRule="auto"/>
        <w:outlineLvl w:val="0"/>
        <w:rPr>
          <w:bCs/>
          <w:i/>
          <w:iCs/>
          <w:color w:val="000000"/>
        </w:rPr>
      </w:pPr>
      <w:r w:rsidRPr="00154D3C">
        <w:rPr>
          <w:bCs/>
          <w:i/>
          <w:iCs/>
          <w:color w:val="000000"/>
        </w:rPr>
        <w:t>Statistical Analysis</w:t>
      </w:r>
    </w:p>
    <w:p w:rsidR="005076E0" w:rsidRPr="00154D3C" w:rsidRDefault="005076E0" w:rsidP="000B6ACD">
      <w:pPr>
        <w:spacing w:line="480" w:lineRule="auto"/>
        <w:ind w:firstLine="720"/>
        <w:rPr>
          <w:color w:val="000000"/>
        </w:rPr>
      </w:pPr>
      <w:r w:rsidRPr="00154D3C">
        <w:rPr>
          <w:color w:val="000000"/>
        </w:rPr>
        <w:t xml:space="preserve">Statistical analyses were performed with </w:t>
      </w:r>
      <w:proofErr w:type="spellStart"/>
      <w:r w:rsidRPr="00154D3C">
        <w:rPr>
          <w:color w:val="000000"/>
        </w:rPr>
        <w:t>Statistica</w:t>
      </w:r>
      <w:proofErr w:type="spellEnd"/>
      <w:r w:rsidRPr="00154D3C">
        <w:rPr>
          <w:color w:val="000000"/>
        </w:rPr>
        <w:t xml:space="preserve"> (Version 13.0, </w:t>
      </w:r>
      <w:proofErr w:type="spellStart"/>
      <w:r w:rsidRPr="00154D3C">
        <w:rPr>
          <w:color w:val="000000"/>
        </w:rPr>
        <w:t>StatSoft</w:t>
      </w:r>
      <w:proofErr w:type="spellEnd"/>
      <w:r w:rsidRPr="00154D3C">
        <w:rPr>
          <w:color w:val="000000"/>
        </w:rPr>
        <w:t xml:space="preserve"> Inc, Tulsa, OK).  D</w:t>
      </w:r>
      <w:r w:rsidRPr="00154D3C">
        <w:rPr>
          <w:color w:val="000000"/>
          <w:spacing w:val="-1"/>
        </w:rPr>
        <w:t>e</w:t>
      </w:r>
      <w:r w:rsidRPr="00154D3C">
        <w:rPr>
          <w:color w:val="000000"/>
        </w:rPr>
        <w:t>s</w:t>
      </w:r>
      <w:r w:rsidRPr="00154D3C">
        <w:rPr>
          <w:color w:val="000000"/>
          <w:spacing w:val="-1"/>
        </w:rPr>
        <w:t>c</w:t>
      </w:r>
      <w:r w:rsidRPr="00154D3C">
        <w:rPr>
          <w:color w:val="000000"/>
        </w:rPr>
        <w:t>riptive</w:t>
      </w:r>
      <w:r w:rsidRPr="00154D3C">
        <w:rPr>
          <w:color w:val="000000"/>
          <w:spacing w:val="-1"/>
        </w:rPr>
        <w:t xml:space="preserve"> </w:t>
      </w:r>
      <w:r w:rsidRPr="00154D3C">
        <w:rPr>
          <w:color w:val="000000"/>
        </w:rPr>
        <w:t>stati</w:t>
      </w:r>
      <w:r w:rsidRPr="00154D3C">
        <w:rPr>
          <w:color w:val="000000"/>
          <w:spacing w:val="1"/>
        </w:rPr>
        <w:t>s</w:t>
      </w:r>
      <w:r w:rsidRPr="00154D3C">
        <w:rPr>
          <w:color w:val="000000"/>
        </w:rPr>
        <w:t>t</w:t>
      </w:r>
      <w:r w:rsidRPr="00154D3C">
        <w:rPr>
          <w:color w:val="000000"/>
          <w:spacing w:val="1"/>
        </w:rPr>
        <w:t>i</w:t>
      </w:r>
      <w:r w:rsidRPr="00154D3C">
        <w:rPr>
          <w:color w:val="000000"/>
          <w:spacing w:val="-1"/>
        </w:rPr>
        <w:t>c</w:t>
      </w:r>
      <w:r w:rsidRPr="00154D3C">
        <w:rPr>
          <w:color w:val="000000"/>
        </w:rPr>
        <w:t>s for</w:t>
      </w:r>
      <w:r w:rsidRPr="00154D3C">
        <w:rPr>
          <w:color w:val="000000"/>
          <w:spacing w:val="1"/>
        </w:rPr>
        <w:t xml:space="preserve"> </w:t>
      </w:r>
      <w:r w:rsidRPr="00154D3C">
        <w:rPr>
          <w:color w:val="000000"/>
        </w:rPr>
        <w:t>d</w:t>
      </w:r>
      <w:r w:rsidRPr="00154D3C">
        <w:rPr>
          <w:color w:val="000000"/>
          <w:spacing w:val="-1"/>
        </w:rPr>
        <w:t>e</w:t>
      </w:r>
      <w:r w:rsidRPr="00154D3C">
        <w:rPr>
          <w:color w:val="000000"/>
        </w:rPr>
        <w:t>mo</w:t>
      </w:r>
      <w:r w:rsidRPr="00154D3C">
        <w:rPr>
          <w:color w:val="000000"/>
          <w:spacing w:val="-2"/>
        </w:rPr>
        <w:t>g</w:t>
      </w:r>
      <w:r w:rsidRPr="00154D3C">
        <w:rPr>
          <w:color w:val="000000"/>
          <w:spacing w:val="1"/>
        </w:rPr>
        <w:t>r</w:t>
      </w:r>
      <w:r w:rsidRPr="00154D3C">
        <w:rPr>
          <w:color w:val="000000"/>
          <w:spacing w:val="-1"/>
        </w:rPr>
        <w:t>a</w:t>
      </w:r>
      <w:r w:rsidRPr="00154D3C">
        <w:rPr>
          <w:color w:val="000000"/>
        </w:rPr>
        <w:t>phic</w:t>
      </w:r>
      <w:r w:rsidRPr="00154D3C">
        <w:rPr>
          <w:color w:val="000000"/>
          <w:spacing w:val="1"/>
        </w:rPr>
        <w:t xml:space="preserve"> </w:t>
      </w:r>
      <w:r w:rsidRPr="00154D3C">
        <w:rPr>
          <w:color w:val="000000"/>
          <w:spacing w:val="-1"/>
        </w:rPr>
        <w:t>a</w:t>
      </w:r>
      <w:r w:rsidRPr="00154D3C">
        <w:rPr>
          <w:color w:val="000000"/>
        </w:rPr>
        <w:t xml:space="preserve">nd </w:t>
      </w:r>
      <w:r w:rsidRPr="00154D3C">
        <w:rPr>
          <w:color w:val="000000"/>
          <w:spacing w:val="2"/>
        </w:rPr>
        <w:t>b</w:t>
      </w:r>
      <w:r w:rsidRPr="00154D3C">
        <w:rPr>
          <w:color w:val="000000"/>
          <w:spacing w:val="-1"/>
        </w:rPr>
        <w:t>a</w:t>
      </w:r>
      <w:r w:rsidRPr="00154D3C">
        <w:rPr>
          <w:color w:val="000000"/>
        </w:rPr>
        <w:t>s</w:t>
      </w:r>
      <w:r w:rsidRPr="00154D3C">
        <w:rPr>
          <w:color w:val="000000"/>
          <w:spacing w:val="-1"/>
        </w:rPr>
        <w:t>e</w:t>
      </w:r>
      <w:r w:rsidRPr="00154D3C">
        <w:rPr>
          <w:color w:val="000000"/>
        </w:rPr>
        <w:t>l</w:t>
      </w:r>
      <w:r w:rsidRPr="00154D3C">
        <w:rPr>
          <w:color w:val="000000"/>
          <w:spacing w:val="1"/>
        </w:rPr>
        <w:t>i</w:t>
      </w:r>
      <w:r w:rsidRPr="00154D3C">
        <w:rPr>
          <w:color w:val="000000"/>
          <w:spacing w:val="2"/>
        </w:rPr>
        <w:t>n</w:t>
      </w:r>
      <w:r w:rsidRPr="00154D3C">
        <w:rPr>
          <w:color w:val="000000"/>
        </w:rPr>
        <w:t>e</w:t>
      </w:r>
      <w:r w:rsidRPr="00154D3C">
        <w:rPr>
          <w:color w:val="000000"/>
          <w:spacing w:val="-1"/>
        </w:rPr>
        <w:t xml:space="preserve"> c</w:t>
      </w:r>
      <w:r w:rsidRPr="00154D3C">
        <w:rPr>
          <w:color w:val="000000"/>
        </w:rPr>
        <w:t>h</w:t>
      </w:r>
      <w:r w:rsidRPr="00154D3C">
        <w:rPr>
          <w:color w:val="000000"/>
          <w:spacing w:val="-1"/>
        </w:rPr>
        <w:t>a</w:t>
      </w:r>
      <w:r w:rsidRPr="00154D3C">
        <w:rPr>
          <w:color w:val="000000"/>
          <w:spacing w:val="1"/>
        </w:rPr>
        <w:t>r</w:t>
      </w:r>
      <w:r w:rsidRPr="00154D3C">
        <w:rPr>
          <w:color w:val="000000"/>
          <w:spacing w:val="-1"/>
        </w:rPr>
        <w:t>ac</w:t>
      </w:r>
      <w:r w:rsidRPr="00154D3C">
        <w:rPr>
          <w:color w:val="000000"/>
        </w:rPr>
        <w:t>t</w:t>
      </w:r>
      <w:r w:rsidRPr="00154D3C">
        <w:rPr>
          <w:color w:val="000000"/>
          <w:spacing w:val="2"/>
        </w:rPr>
        <w:t>e</w:t>
      </w:r>
      <w:r w:rsidRPr="00154D3C">
        <w:rPr>
          <w:color w:val="000000"/>
        </w:rPr>
        <w:t>rist</w:t>
      </w:r>
      <w:r w:rsidRPr="00154D3C">
        <w:rPr>
          <w:color w:val="000000"/>
          <w:spacing w:val="1"/>
        </w:rPr>
        <w:t>i</w:t>
      </w:r>
      <w:r w:rsidRPr="00154D3C">
        <w:rPr>
          <w:color w:val="000000"/>
          <w:spacing w:val="-1"/>
        </w:rPr>
        <w:t>c</w:t>
      </w:r>
      <w:r w:rsidRPr="00154D3C">
        <w:rPr>
          <w:color w:val="000000"/>
        </w:rPr>
        <w:t>s a</w:t>
      </w:r>
      <w:r w:rsidRPr="00154D3C">
        <w:rPr>
          <w:color w:val="000000"/>
          <w:spacing w:val="-1"/>
        </w:rPr>
        <w:t>r</w:t>
      </w:r>
      <w:r w:rsidRPr="00154D3C">
        <w:rPr>
          <w:color w:val="000000"/>
        </w:rPr>
        <w:t>e</w:t>
      </w:r>
      <w:r w:rsidRPr="00154D3C">
        <w:rPr>
          <w:color w:val="000000"/>
          <w:spacing w:val="-1"/>
        </w:rPr>
        <w:t xml:space="preserve"> </w:t>
      </w:r>
      <w:r w:rsidRPr="00154D3C">
        <w:rPr>
          <w:color w:val="000000"/>
          <w:spacing w:val="2"/>
        </w:rPr>
        <w:t>p</w:t>
      </w:r>
      <w:r w:rsidRPr="00154D3C">
        <w:rPr>
          <w:color w:val="000000"/>
        </w:rPr>
        <w:t>r</w:t>
      </w:r>
      <w:r w:rsidRPr="00154D3C">
        <w:rPr>
          <w:color w:val="000000"/>
          <w:spacing w:val="-2"/>
        </w:rPr>
        <w:t>e</w:t>
      </w:r>
      <w:r w:rsidRPr="00154D3C">
        <w:rPr>
          <w:color w:val="000000"/>
          <w:spacing w:val="2"/>
        </w:rPr>
        <w:t>s</w:t>
      </w:r>
      <w:r w:rsidRPr="00154D3C">
        <w:rPr>
          <w:color w:val="000000"/>
          <w:spacing w:val="-1"/>
        </w:rPr>
        <w:t>e</w:t>
      </w:r>
      <w:r w:rsidRPr="00154D3C">
        <w:rPr>
          <w:color w:val="000000"/>
        </w:rPr>
        <w:t xml:space="preserve">nted </w:t>
      </w:r>
      <w:r w:rsidRPr="00154D3C">
        <w:rPr>
          <w:color w:val="000000"/>
          <w:spacing w:val="-1"/>
        </w:rPr>
        <w:t>a</w:t>
      </w:r>
      <w:r w:rsidRPr="00154D3C">
        <w:rPr>
          <w:color w:val="000000"/>
        </w:rPr>
        <w:t>s me</w:t>
      </w:r>
      <w:r w:rsidRPr="00154D3C">
        <w:rPr>
          <w:color w:val="000000"/>
          <w:spacing w:val="-1"/>
        </w:rPr>
        <w:t>a</w:t>
      </w:r>
      <w:r w:rsidRPr="00154D3C">
        <w:rPr>
          <w:color w:val="000000"/>
        </w:rPr>
        <w:t xml:space="preserve">n ± </w:t>
      </w:r>
      <w:r w:rsidRPr="00154D3C">
        <w:rPr>
          <w:color w:val="000000"/>
          <w:spacing w:val="1"/>
        </w:rPr>
        <w:t>S</w:t>
      </w:r>
      <w:r w:rsidRPr="00154D3C">
        <w:rPr>
          <w:color w:val="000000"/>
        </w:rPr>
        <w:t>D for</w:t>
      </w:r>
      <w:r w:rsidRPr="00154D3C">
        <w:rPr>
          <w:color w:val="000000"/>
          <w:spacing w:val="-1"/>
        </w:rPr>
        <w:t xml:space="preserve"> c</w:t>
      </w:r>
      <w:r w:rsidRPr="00154D3C">
        <w:rPr>
          <w:color w:val="000000"/>
        </w:rPr>
        <w:t>ont</w:t>
      </w:r>
      <w:r w:rsidRPr="00154D3C">
        <w:rPr>
          <w:color w:val="000000"/>
          <w:spacing w:val="1"/>
        </w:rPr>
        <w:t>i</w:t>
      </w:r>
      <w:r w:rsidRPr="00154D3C">
        <w:rPr>
          <w:color w:val="000000"/>
        </w:rPr>
        <w:t>nuous v</w:t>
      </w:r>
      <w:r w:rsidRPr="00154D3C">
        <w:rPr>
          <w:color w:val="000000"/>
          <w:spacing w:val="-1"/>
        </w:rPr>
        <w:t>a</w:t>
      </w:r>
      <w:r w:rsidRPr="00154D3C">
        <w:rPr>
          <w:color w:val="000000"/>
        </w:rPr>
        <w:t>ri</w:t>
      </w:r>
      <w:r w:rsidRPr="00154D3C">
        <w:rPr>
          <w:color w:val="000000"/>
          <w:spacing w:val="-1"/>
        </w:rPr>
        <w:t>a</w:t>
      </w:r>
      <w:r w:rsidRPr="00154D3C">
        <w:rPr>
          <w:color w:val="000000"/>
        </w:rPr>
        <w:t>b</w:t>
      </w:r>
      <w:r w:rsidRPr="00154D3C">
        <w:rPr>
          <w:color w:val="000000"/>
          <w:spacing w:val="3"/>
        </w:rPr>
        <w:t>l</w:t>
      </w:r>
      <w:r w:rsidRPr="00154D3C">
        <w:rPr>
          <w:color w:val="000000"/>
          <w:spacing w:val="-1"/>
        </w:rPr>
        <w:t>e</w:t>
      </w:r>
      <w:r w:rsidRPr="00154D3C">
        <w:rPr>
          <w:color w:val="000000"/>
        </w:rPr>
        <w:t xml:space="preserve">s or </w:t>
      </w:r>
      <w:r w:rsidR="00F227F7" w:rsidRPr="00154D3C">
        <w:rPr>
          <w:color w:val="000000"/>
        </w:rPr>
        <w:t>frequ</w:t>
      </w:r>
      <w:r w:rsidR="00BF6D65" w:rsidRPr="00154D3C">
        <w:rPr>
          <w:color w:val="000000"/>
        </w:rPr>
        <w:t>e</w:t>
      </w:r>
      <w:r w:rsidR="00F227F7" w:rsidRPr="00154D3C">
        <w:rPr>
          <w:color w:val="000000"/>
        </w:rPr>
        <w:t xml:space="preserve">ncy </w:t>
      </w:r>
      <w:r w:rsidRPr="00154D3C">
        <w:rPr>
          <w:color w:val="000000"/>
          <w:spacing w:val="-1"/>
        </w:rPr>
        <w:t>(</w:t>
      </w:r>
      <w:r w:rsidRPr="00154D3C">
        <w:rPr>
          <w:color w:val="000000"/>
          <w:spacing w:val="1"/>
        </w:rPr>
        <w:t>%</w:t>
      </w:r>
      <w:r w:rsidRPr="00154D3C">
        <w:rPr>
          <w:color w:val="000000"/>
        </w:rPr>
        <w:t xml:space="preserve">) </w:t>
      </w:r>
      <w:r w:rsidRPr="00154D3C">
        <w:rPr>
          <w:color w:val="000000"/>
          <w:spacing w:val="-1"/>
        </w:rPr>
        <w:t>f</w:t>
      </w:r>
      <w:r w:rsidRPr="00154D3C">
        <w:rPr>
          <w:color w:val="000000"/>
        </w:rPr>
        <w:t>or</w:t>
      </w:r>
      <w:r w:rsidRPr="00154D3C">
        <w:rPr>
          <w:color w:val="000000"/>
          <w:spacing w:val="1"/>
        </w:rPr>
        <w:t xml:space="preserve"> </w:t>
      </w:r>
      <w:r w:rsidRPr="00154D3C">
        <w:rPr>
          <w:color w:val="000000"/>
          <w:spacing w:val="-1"/>
        </w:rPr>
        <w:t>ca</w:t>
      </w:r>
      <w:r w:rsidRPr="00154D3C">
        <w:rPr>
          <w:color w:val="000000"/>
        </w:rPr>
        <w:t>t</w:t>
      </w:r>
      <w:r w:rsidRPr="00154D3C">
        <w:rPr>
          <w:color w:val="000000"/>
          <w:spacing w:val="2"/>
        </w:rPr>
        <w:t>e</w:t>
      </w:r>
      <w:r w:rsidRPr="00154D3C">
        <w:rPr>
          <w:color w:val="000000"/>
          <w:spacing w:val="-2"/>
        </w:rPr>
        <w:t>g</w:t>
      </w:r>
      <w:r w:rsidRPr="00154D3C">
        <w:rPr>
          <w:color w:val="000000"/>
          <w:spacing w:val="2"/>
        </w:rPr>
        <w:t>o</w:t>
      </w:r>
      <w:r w:rsidRPr="00154D3C">
        <w:rPr>
          <w:color w:val="000000"/>
        </w:rPr>
        <w:t>ri</w:t>
      </w:r>
      <w:r w:rsidRPr="00154D3C">
        <w:rPr>
          <w:color w:val="000000"/>
          <w:spacing w:val="-1"/>
        </w:rPr>
        <w:t>ca</w:t>
      </w:r>
      <w:r w:rsidRPr="00154D3C">
        <w:rPr>
          <w:color w:val="000000"/>
        </w:rPr>
        <w:t>l va</w:t>
      </w:r>
      <w:r w:rsidRPr="00154D3C">
        <w:rPr>
          <w:color w:val="000000"/>
          <w:spacing w:val="-1"/>
        </w:rPr>
        <w:t>r</w:t>
      </w:r>
      <w:r w:rsidRPr="00154D3C">
        <w:rPr>
          <w:color w:val="000000"/>
          <w:spacing w:val="3"/>
        </w:rPr>
        <w:t>i</w:t>
      </w:r>
      <w:r w:rsidRPr="00154D3C">
        <w:rPr>
          <w:color w:val="000000"/>
          <w:spacing w:val="-1"/>
        </w:rPr>
        <w:t>a</w:t>
      </w:r>
      <w:r w:rsidRPr="00154D3C">
        <w:rPr>
          <w:color w:val="000000"/>
        </w:rPr>
        <w:t>bles.  Analysis of variance and χ</w:t>
      </w:r>
      <w:r w:rsidRPr="00154D3C">
        <w:rPr>
          <w:color w:val="000000"/>
          <w:vertAlign w:val="superscript"/>
        </w:rPr>
        <w:t>2</w:t>
      </w:r>
      <w:r w:rsidRPr="00154D3C">
        <w:rPr>
          <w:color w:val="000000"/>
        </w:rPr>
        <w:t xml:space="preserve"> tests of independence were used to test for </w:t>
      </w:r>
      <w:r w:rsidR="00F227F7" w:rsidRPr="00154D3C">
        <w:rPr>
          <w:color w:val="000000"/>
        </w:rPr>
        <w:t>differences between the CD and general population cohorts</w:t>
      </w:r>
      <w:r w:rsidRPr="00154D3C">
        <w:rPr>
          <w:color w:val="000000"/>
        </w:rPr>
        <w:t>. Cox</w:t>
      </w:r>
      <w:r w:rsidRPr="00154D3C">
        <w:rPr>
          <w:color w:val="000000"/>
          <w:spacing w:val="2"/>
        </w:rPr>
        <w:t xml:space="preserve"> </w:t>
      </w:r>
      <w:r w:rsidRPr="00154D3C">
        <w:rPr>
          <w:color w:val="000000"/>
        </w:rPr>
        <w:t>pro</w:t>
      </w:r>
      <w:r w:rsidRPr="00154D3C">
        <w:rPr>
          <w:color w:val="000000"/>
          <w:spacing w:val="-1"/>
        </w:rPr>
        <w:t>p</w:t>
      </w:r>
      <w:r w:rsidRPr="00154D3C">
        <w:rPr>
          <w:color w:val="000000"/>
        </w:rPr>
        <w:t>o</w:t>
      </w:r>
      <w:r w:rsidRPr="00154D3C">
        <w:rPr>
          <w:color w:val="000000"/>
          <w:spacing w:val="-1"/>
        </w:rPr>
        <w:t>r</w:t>
      </w:r>
      <w:r w:rsidRPr="00154D3C">
        <w:rPr>
          <w:color w:val="000000"/>
        </w:rPr>
        <w:t>t</w:t>
      </w:r>
      <w:r w:rsidRPr="00154D3C">
        <w:rPr>
          <w:color w:val="000000"/>
          <w:spacing w:val="1"/>
        </w:rPr>
        <w:t>i</w:t>
      </w:r>
      <w:r w:rsidRPr="00154D3C">
        <w:rPr>
          <w:color w:val="000000"/>
        </w:rPr>
        <w:t>on</w:t>
      </w:r>
      <w:r w:rsidRPr="00154D3C">
        <w:rPr>
          <w:color w:val="000000"/>
          <w:spacing w:val="-1"/>
        </w:rPr>
        <w:t>a</w:t>
      </w:r>
      <w:r w:rsidRPr="00154D3C">
        <w:rPr>
          <w:color w:val="000000"/>
        </w:rPr>
        <w:t>l ha</w:t>
      </w:r>
      <w:r w:rsidRPr="00154D3C">
        <w:rPr>
          <w:color w:val="000000"/>
          <w:spacing w:val="1"/>
        </w:rPr>
        <w:t>z</w:t>
      </w:r>
      <w:r w:rsidRPr="00154D3C">
        <w:rPr>
          <w:color w:val="000000"/>
          <w:spacing w:val="-1"/>
        </w:rPr>
        <w:t>a</w:t>
      </w:r>
      <w:r w:rsidRPr="00154D3C">
        <w:rPr>
          <w:color w:val="000000"/>
        </w:rPr>
        <w:t>rds</w:t>
      </w:r>
      <w:r w:rsidRPr="00154D3C">
        <w:rPr>
          <w:color w:val="000000"/>
          <w:spacing w:val="-3"/>
        </w:rPr>
        <w:t xml:space="preserve"> </w:t>
      </w:r>
      <w:r w:rsidR="00F227F7" w:rsidRPr="00154D3C">
        <w:rPr>
          <w:color w:val="000000"/>
          <w:spacing w:val="-3"/>
        </w:rPr>
        <w:t xml:space="preserve">semi-parametric regression </w:t>
      </w:r>
      <w:r w:rsidRPr="00154D3C">
        <w:rPr>
          <w:color w:val="000000"/>
        </w:rPr>
        <w:t>models w</w:t>
      </w:r>
      <w:r w:rsidRPr="00154D3C">
        <w:rPr>
          <w:color w:val="000000"/>
          <w:spacing w:val="-1"/>
        </w:rPr>
        <w:t>e</w:t>
      </w:r>
      <w:r w:rsidRPr="00154D3C">
        <w:rPr>
          <w:color w:val="000000"/>
        </w:rPr>
        <w:t>re u</w:t>
      </w:r>
      <w:r w:rsidRPr="00154D3C">
        <w:rPr>
          <w:color w:val="000000"/>
          <w:spacing w:val="1"/>
        </w:rPr>
        <w:t>s</w:t>
      </w:r>
      <w:r w:rsidRPr="00154D3C">
        <w:rPr>
          <w:color w:val="000000"/>
          <w:spacing w:val="-1"/>
        </w:rPr>
        <w:t>e</w:t>
      </w:r>
      <w:r w:rsidRPr="00154D3C">
        <w:rPr>
          <w:color w:val="000000"/>
        </w:rPr>
        <w:t xml:space="preserve">d to </w:t>
      </w:r>
      <w:r w:rsidR="00F227F7" w:rsidRPr="00154D3C">
        <w:rPr>
          <w:color w:val="000000"/>
        </w:rPr>
        <w:t xml:space="preserve">test the factors associate with </w:t>
      </w:r>
      <w:r w:rsidRPr="00154D3C">
        <w:rPr>
          <w:color w:val="000000"/>
        </w:rPr>
        <w:t xml:space="preserve">time to first fracture, with </w:t>
      </w:r>
      <w:r w:rsidR="00F227F7" w:rsidRPr="00154D3C">
        <w:rPr>
          <w:color w:val="000000"/>
        </w:rPr>
        <w:t>cohort</w:t>
      </w:r>
      <w:r w:rsidRPr="00154D3C">
        <w:rPr>
          <w:color w:val="000000"/>
        </w:rPr>
        <w:t xml:space="preserve"> (</w:t>
      </w:r>
      <w:r w:rsidR="00F227F7" w:rsidRPr="00154D3C">
        <w:rPr>
          <w:color w:val="000000"/>
        </w:rPr>
        <w:t>CD vs. general population</w:t>
      </w:r>
      <w:r w:rsidR="008A4D2D" w:rsidRPr="00154D3C">
        <w:rPr>
          <w:color w:val="000000"/>
          <w:lang w:val="en-GB"/>
        </w:rPr>
        <w:t xml:space="preserve">) </w:t>
      </w:r>
      <w:r w:rsidRPr="00154D3C">
        <w:rPr>
          <w:color w:val="000000"/>
        </w:rPr>
        <w:t>as the covariate of interest</w:t>
      </w:r>
      <w:r w:rsidR="00F227F7" w:rsidRPr="00154D3C">
        <w:rPr>
          <w:color w:val="000000"/>
        </w:rPr>
        <w:t>.</w:t>
      </w:r>
      <w:r w:rsidRPr="00154D3C">
        <w:rPr>
          <w:color w:val="000000"/>
        </w:rPr>
        <w:t xml:space="preserve"> </w:t>
      </w:r>
      <w:r w:rsidR="00F227F7" w:rsidRPr="00154D3C">
        <w:rPr>
          <w:color w:val="000000"/>
        </w:rPr>
        <w:t>Model covariates included</w:t>
      </w:r>
      <w:r w:rsidRPr="00154D3C">
        <w:rPr>
          <w:color w:val="000000"/>
        </w:rPr>
        <w:t xml:space="preserve"> FRAX probability</w:t>
      </w:r>
      <w:r w:rsidR="00F25294" w:rsidRPr="00154D3C">
        <w:rPr>
          <w:color w:val="000000"/>
        </w:rPr>
        <w:t xml:space="preserve"> </w:t>
      </w:r>
      <w:r w:rsidR="00F227F7" w:rsidRPr="00154D3C">
        <w:rPr>
          <w:color w:val="000000"/>
        </w:rPr>
        <w:t xml:space="preserve">calculated </w:t>
      </w:r>
      <w:r w:rsidR="00F25294" w:rsidRPr="00154D3C">
        <w:rPr>
          <w:color w:val="000000"/>
        </w:rPr>
        <w:t xml:space="preserve">from clinical predictors only without secondary osteoporosis </w:t>
      </w:r>
      <w:r w:rsidR="003718AF" w:rsidRPr="00154D3C">
        <w:rPr>
          <w:color w:val="000000"/>
        </w:rPr>
        <w:t xml:space="preserve">for </w:t>
      </w:r>
      <w:r w:rsidR="00F227F7" w:rsidRPr="00154D3C">
        <w:rPr>
          <w:color w:val="000000"/>
        </w:rPr>
        <w:t>CD</w:t>
      </w:r>
      <w:r w:rsidR="00F25294" w:rsidRPr="00154D3C">
        <w:rPr>
          <w:color w:val="000000"/>
        </w:rPr>
        <w:t xml:space="preserve"> (Model 1), from clinical predictors with secondary osteoporosis for </w:t>
      </w:r>
      <w:r w:rsidR="00F227F7" w:rsidRPr="00154D3C">
        <w:rPr>
          <w:color w:val="000000"/>
        </w:rPr>
        <w:t>CD</w:t>
      </w:r>
      <w:r w:rsidR="00F25294" w:rsidRPr="00154D3C">
        <w:rPr>
          <w:color w:val="000000"/>
        </w:rPr>
        <w:t xml:space="preserve"> </w:t>
      </w:r>
      <w:r w:rsidR="00F227F7" w:rsidRPr="00154D3C">
        <w:rPr>
          <w:color w:val="000000"/>
        </w:rPr>
        <w:t xml:space="preserve">cohort members </w:t>
      </w:r>
      <w:r w:rsidR="00F25294" w:rsidRPr="00154D3C">
        <w:rPr>
          <w:color w:val="000000"/>
        </w:rPr>
        <w:t xml:space="preserve">(Model 2), and from clinical predictors including BMD (Model 3).  </w:t>
      </w:r>
      <w:r w:rsidRPr="00154D3C">
        <w:rPr>
          <w:color w:val="000000"/>
        </w:rPr>
        <w:t xml:space="preserve">Risk gradients for the fracture probability measurements were also estimated for </w:t>
      </w:r>
      <w:r w:rsidR="003718AF" w:rsidRPr="00154D3C">
        <w:rPr>
          <w:color w:val="000000"/>
        </w:rPr>
        <w:t>each cohort</w:t>
      </w:r>
      <w:r w:rsidRPr="00154D3C">
        <w:rPr>
          <w:color w:val="000000"/>
        </w:rPr>
        <w:t xml:space="preserve"> and are presented </w:t>
      </w:r>
      <w:r w:rsidRPr="00154D3C">
        <w:rPr>
          <w:color w:val="000000"/>
          <w:spacing w:val="-1"/>
        </w:rPr>
        <w:t>a</w:t>
      </w:r>
      <w:r w:rsidRPr="00154D3C">
        <w:rPr>
          <w:color w:val="000000"/>
        </w:rPr>
        <w:t>s h</w:t>
      </w:r>
      <w:r w:rsidRPr="00154D3C">
        <w:rPr>
          <w:color w:val="000000"/>
          <w:spacing w:val="-1"/>
        </w:rPr>
        <w:t>a</w:t>
      </w:r>
      <w:r w:rsidRPr="00154D3C">
        <w:rPr>
          <w:color w:val="000000"/>
          <w:spacing w:val="4"/>
        </w:rPr>
        <w:t>z</w:t>
      </w:r>
      <w:r w:rsidRPr="00154D3C">
        <w:rPr>
          <w:color w:val="000000"/>
          <w:spacing w:val="-1"/>
        </w:rPr>
        <w:t>a</w:t>
      </w:r>
      <w:r w:rsidRPr="00154D3C">
        <w:rPr>
          <w:color w:val="000000"/>
        </w:rPr>
        <w:t xml:space="preserve">rd </w:t>
      </w:r>
      <w:r w:rsidRPr="00154D3C">
        <w:rPr>
          <w:color w:val="000000"/>
          <w:spacing w:val="-1"/>
        </w:rPr>
        <w:t>ra</w:t>
      </w:r>
      <w:r w:rsidRPr="00154D3C">
        <w:rPr>
          <w:color w:val="000000"/>
        </w:rPr>
        <w:t>t</w:t>
      </w:r>
      <w:r w:rsidRPr="00154D3C">
        <w:rPr>
          <w:color w:val="000000"/>
          <w:spacing w:val="1"/>
        </w:rPr>
        <w:t>i</w:t>
      </w:r>
      <w:r w:rsidRPr="00154D3C">
        <w:rPr>
          <w:color w:val="000000"/>
        </w:rPr>
        <w:t>o</w:t>
      </w:r>
      <w:r w:rsidR="003718AF" w:rsidRPr="00154D3C">
        <w:rPr>
          <w:color w:val="000000"/>
        </w:rPr>
        <w:t>s</w:t>
      </w:r>
      <w:r w:rsidRPr="00154D3C">
        <w:rPr>
          <w:color w:val="000000"/>
        </w:rPr>
        <w:t xml:space="preserve"> (</w:t>
      </w:r>
      <w:r w:rsidRPr="00154D3C">
        <w:rPr>
          <w:color w:val="000000"/>
          <w:spacing w:val="-1"/>
        </w:rPr>
        <w:t>H</w:t>
      </w:r>
      <w:r w:rsidRPr="00154D3C">
        <w:rPr>
          <w:color w:val="000000"/>
        </w:rPr>
        <w:t>R</w:t>
      </w:r>
      <w:r w:rsidR="003718AF" w:rsidRPr="00154D3C">
        <w:rPr>
          <w:color w:val="000000"/>
        </w:rPr>
        <w:t>s</w:t>
      </w:r>
      <w:r w:rsidRPr="00154D3C">
        <w:rPr>
          <w:color w:val="000000"/>
        </w:rPr>
        <w:t>)</w:t>
      </w:r>
      <w:r w:rsidRPr="00154D3C">
        <w:rPr>
          <w:color w:val="000000"/>
          <w:spacing w:val="1"/>
        </w:rPr>
        <w:t xml:space="preserve"> </w:t>
      </w:r>
      <w:r w:rsidRPr="00154D3C">
        <w:rPr>
          <w:color w:val="000000"/>
        </w:rPr>
        <w:t>p</w:t>
      </w:r>
      <w:r w:rsidRPr="00154D3C">
        <w:rPr>
          <w:color w:val="000000"/>
          <w:spacing w:val="-1"/>
        </w:rPr>
        <w:t>e</w:t>
      </w:r>
      <w:r w:rsidRPr="00154D3C">
        <w:rPr>
          <w:color w:val="000000"/>
        </w:rPr>
        <w:t xml:space="preserve">r </w:t>
      </w:r>
      <w:r w:rsidRPr="00154D3C">
        <w:rPr>
          <w:color w:val="000000"/>
          <w:spacing w:val="1"/>
        </w:rPr>
        <w:t>S</w:t>
      </w:r>
      <w:r w:rsidRPr="00154D3C">
        <w:rPr>
          <w:color w:val="000000"/>
        </w:rPr>
        <w:t>D d</w:t>
      </w:r>
      <w:r w:rsidRPr="00154D3C">
        <w:rPr>
          <w:color w:val="000000"/>
          <w:spacing w:val="-1"/>
        </w:rPr>
        <w:t>ec</w:t>
      </w:r>
      <w:r w:rsidRPr="00154D3C">
        <w:rPr>
          <w:color w:val="000000"/>
          <w:spacing w:val="1"/>
        </w:rPr>
        <w:t>r</w:t>
      </w:r>
      <w:r w:rsidRPr="00154D3C">
        <w:rPr>
          <w:color w:val="000000"/>
          <w:spacing w:val="-1"/>
        </w:rPr>
        <w:t>ea</w:t>
      </w:r>
      <w:r w:rsidRPr="00154D3C">
        <w:rPr>
          <w:color w:val="000000"/>
        </w:rPr>
        <w:t>se</w:t>
      </w:r>
      <w:r w:rsidRPr="00154D3C">
        <w:rPr>
          <w:color w:val="000000"/>
          <w:spacing w:val="-1"/>
        </w:rPr>
        <w:t xml:space="preserve"> </w:t>
      </w:r>
      <w:r w:rsidRPr="00154D3C">
        <w:rPr>
          <w:color w:val="000000"/>
        </w:rPr>
        <w:t>with</w:t>
      </w:r>
      <w:r w:rsidRPr="00154D3C">
        <w:rPr>
          <w:color w:val="000000"/>
          <w:spacing w:val="3"/>
        </w:rPr>
        <w:t xml:space="preserve"> </w:t>
      </w:r>
      <w:r w:rsidRPr="00154D3C">
        <w:rPr>
          <w:color w:val="000000"/>
        </w:rPr>
        <w:t>95%</w:t>
      </w:r>
      <w:r w:rsidRPr="00154D3C">
        <w:rPr>
          <w:color w:val="000000"/>
          <w:spacing w:val="-1"/>
        </w:rPr>
        <w:t xml:space="preserve"> c</w:t>
      </w:r>
      <w:r w:rsidRPr="00154D3C">
        <w:rPr>
          <w:color w:val="000000"/>
        </w:rPr>
        <w:t>onfid</w:t>
      </w:r>
      <w:r w:rsidRPr="00154D3C">
        <w:rPr>
          <w:color w:val="000000"/>
          <w:spacing w:val="-1"/>
        </w:rPr>
        <w:t>e</w:t>
      </w:r>
      <w:r w:rsidRPr="00154D3C">
        <w:rPr>
          <w:color w:val="000000"/>
          <w:spacing w:val="2"/>
        </w:rPr>
        <w:t>n</w:t>
      </w:r>
      <w:r w:rsidRPr="00154D3C">
        <w:rPr>
          <w:color w:val="000000"/>
          <w:spacing w:val="-1"/>
        </w:rPr>
        <w:t>c</w:t>
      </w:r>
      <w:r w:rsidRPr="00154D3C">
        <w:rPr>
          <w:color w:val="000000"/>
        </w:rPr>
        <w:t>e in</w:t>
      </w:r>
      <w:r w:rsidRPr="00154D3C">
        <w:rPr>
          <w:color w:val="000000"/>
          <w:spacing w:val="1"/>
        </w:rPr>
        <w:t>t</w:t>
      </w:r>
      <w:r w:rsidRPr="00154D3C">
        <w:rPr>
          <w:color w:val="000000"/>
          <w:spacing w:val="-1"/>
        </w:rPr>
        <w:t>e</w:t>
      </w:r>
      <w:r w:rsidRPr="00154D3C">
        <w:rPr>
          <w:color w:val="000000"/>
        </w:rPr>
        <w:t>rv</w:t>
      </w:r>
      <w:r w:rsidRPr="00154D3C">
        <w:rPr>
          <w:color w:val="000000"/>
          <w:spacing w:val="-2"/>
        </w:rPr>
        <w:t>a</w:t>
      </w:r>
      <w:r w:rsidRPr="00154D3C">
        <w:rPr>
          <w:color w:val="000000"/>
        </w:rPr>
        <w:t>ls (</w:t>
      </w:r>
      <w:r w:rsidRPr="00154D3C">
        <w:rPr>
          <w:color w:val="000000"/>
          <w:spacing w:val="3"/>
        </w:rPr>
        <w:t>C</w:t>
      </w:r>
      <w:r w:rsidRPr="00154D3C">
        <w:rPr>
          <w:color w:val="000000"/>
          <w:spacing w:val="-3"/>
        </w:rPr>
        <w:t>I</w:t>
      </w:r>
      <w:r w:rsidRPr="00154D3C">
        <w:rPr>
          <w:color w:val="000000"/>
        </w:rPr>
        <w:t xml:space="preserve">).  Two-way interaction terms </w:t>
      </w:r>
      <w:r w:rsidR="004D006E" w:rsidRPr="00154D3C">
        <w:rPr>
          <w:color w:val="000000"/>
        </w:rPr>
        <w:t xml:space="preserve">(FRAX score * celiac disease) </w:t>
      </w:r>
      <w:r w:rsidRPr="00154D3C">
        <w:rPr>
          <w:color w:val="000000"/>
        </w:rPr>
        <w:t xml:space="preserve">were included in models to test for </w:t>
      </w:r>
      <w:r w:rsidR="003718AF" w:rsidRPr="00154D3C">
        <w:rPr>
          <w:color w:val="000000"/>
        </w:rPr>
        <w:t>differences between groups</w:t>
      </w:r>
      <w:r w:rsidRPr="00154D3C">
        <w:rPr>
          <w:color w:val="000000"/>
        </w:rPr>
        <w:t xml:space="preserve">.  </w:t>
      </w:r>
      <w:r w:rsidRPr="00154D3C">
        <w:t>FRAX scores were log-transformed due to a skewed distribution</w:t>
      </w:r>
      <w:r w:rsidRPr="00154D3C">
        <w:rPr>
          <w:color w:val="000000"/>
          <w:spacing w:val="2"/>
        </w:rPr>
        <w:t xml:space="preserve">.  </w:t>
      </w:r>
      <w:r w:rsidR="00BF6D65" w:rsidRPr="00154D3C">
        <w:rPr>
          <w:color w:val="000000"/>
          <w:spacing w:val="2"/>
        </w:rPr>
        <w:t xml:space="preserve">Sensitivity analyses were performed after excluding individuals receiving anti-osteoporosis medication.  </w:t>
      </w:r>
      <w:r w:rsidR="004D006E" w:rsidRPr="00154D3C">
        <w:t xml:space="preserve">The proportional hazards assumptions was tested and confirmed from the Schoenfeld residuals.  </w:t>
      </w:r>
      <w:r w:rsidRPr="00154D3C">
        <w:rPr>
          <w:color w:val="000000"/>
        </w:rPr>
        <w:t xml:space="preserve">We also </w:t>
      </w:r>
      <w:r w:rsidR="008110DB" w:rsidRPr="00154D3C">
        <w:rPr>
          <w:color w:val="000000"/>
        </w:rPr>
        <w:t xml:space="preserve">compared </w:t>
      </w:r>
      <w:r w:rsidRPr="00154D3C">
        <w:rPr>
          <w:color w:val="000000"/>
        </w:rPr>
        <w:t xml:space="preserve">cumulative </w:t>
      </w:r>
      <w:r w:rsidR="008110DB" w:rsidRPr="00154D3C">
        <w:rPr>
          <w:color w:val="000000"/>
        </w:rPr>
        <w:t xml:space="preserve">observed </w:t>
      </w:r>
      <w:r w:rsidRPr="00154D3C">
        <w:rPr>
          <w:color w:val="000000"/>
        </w:rPr>
        <w:t xml:space="preserve">fracture incidence to 10-years </w:t>
      </w:r>
      <w:r w:rsidR="008110DB" w:rsidRPr="00154D3C">
        <w:rPr>
          <w:color w:val="000000"/>
        </w:rPr>
        <w:t xml:space="preserve">with FRAX score prediction </w:t>
      </w:r>
      <w:r w:rsidR="00233BFA" w:rsidRPr="00154D3C">
        <w:rPr>
          <w:color w:val="000000"/>
        </w:rPr>
        <w:t xml:space="preserve">in order to assess </w:t>
      </w:r>
      <w:r w:rsidRPr="00154D3C">
        <w:rPr>
          <w:color w:val="000000"/>
        </w:rPr>
        <w:t xml:space="preserve">calibration </w:t>
      </w:r>
      <w:r w:rsidRPr="00154D3C">
        <w:t xml:space="preserve">(observed vs predicted fracture probability).  </w:t>
      </w:r>
    </w:p>
    <w:p w:rsidR="00756EE6" w:rsidRPr="00154D3C" w:rsidRDefault="00756EE6" w:rsidP="004A362A">
      <w:pPr>
        <w:spacing w:line="480" w:lineRule="auto"/>
      </w:pPr>
    </w:p>
    <w:p w:rsidR="00E324AA" w:rsidRPr="00154D3C" w:rsidRDefault="00AE0E18" w:rsidP="004A362A">
      <w:pPr>
        <w:spacing w:line="480" w:lineRule="auto"/>
      </w:pPr>
      <w:r w:rsidRPr="00154D3C">
        <w:t>Results</w:t>
      </w:r>
    </w:p>
    <w:p w:rsidR="00816D59" w:rsidRPr="00154D3C" w:rsidRDefault="00E324AA" w:rsidP="004A362A">
      <w:pPr>
        <w:spacing w:line="480" w:lineRule="auto"/>
        <w:ind w:firstLine="720"/>
      </w:pPr>
      <w:r w:rsidRPr="00154D3C">
        <w:t xml:space="preserve">The case definition of celiac disease </w:t>
      </w:r>
      <w:r w:rsidR="00A658CC" w:rsidRPr="00154D3C">
        <w:t>was fulfilled by</w:t>
      </w:r>
      <w:r w:rsidR="00263102" w:rsidRPr="00154D3C">
        <w:t xml:space="preserve"> </w:t>
      </w:r>
      <w:r w:rsidR="00A658CC" w:rsidRPr="00154D3C">
        <w:t xml:space="preserve">693 </w:t>
      </w:r>
      <w:r w:rsidR="003718AF" w:rsidRPr="00154D3C">
        <w:t xml:space="preserve">individuals </w:t>
      </w:r>
      <w:r w:rsidR="000B7CF6" w:rsidRPr="00154D3C">
        <w:t>who</w:t>
      </w:r>
      <w:r w:rsidR="00662FD6" w:rsidRPr="00154D3C">
        <w:t xml:space="preserve"> were followed for a mean of 7.0</w:t>
      </w:r>
      <w:r w:rsidR="001471DB" w:rsidRPr="00154D3C">
        <w:t xml:space="preserve"> </w:t>
      </w:r>
      <w:r w:rsidR="000B7CF6" w:rsidRPr="00154D3C">
        <w:t>years and compared with 68</w:t>
      </w:r>
      <w:r w:rsidR="001471DB" w:rsidRPr="00154D3C">
        <w:t>,</w:t>
      </w:r>
      <w:r w:rsidR="000B7CF6" w:rsidRPr="00154D3C">
        <w:t xml:space="preserve">037 </w:t>
      </w:r>
      <w:r w:rsidR="00861438" w:rsidRPr="00154D3C">
        <w:t>general population subjects</w:t>
      </w:r>
      <w:r w:rsidR="00662FD6" w:rsidRPr="00154D3C">
        <w:t xml:space="preserve"> followed for </w:t>
      </w:r>
      <w:r w:rsidR="003718AF" w:rsidRPr="00154D3C">
        <w:t xml:space="preserve">a mean of </w:t>
      </w:r>
      <w:r w:rsidR="00662FD6" w:rsidRPr="00154D3C">
        <w:t xml:space="preserve">7.1 </w:t>
      </w:r>
      <w:r w:rsidR="0085377C" w:rsidRPr="00154D3C">
        <w:t>years</w:t>
      </w:r>
      <w:r w:rsidR="001471DB" w:rsidRPr="00154D3C">
        <w:t xml:space="preserve"> (</w:t>
      </w:r>
      <w:r w:rsidR="00B55E04" w:rsidRPr="00154D3C">
        <w:t xml:space="preserve">duration of follow-up; </w:t>
      </w:r>
      <w:r w:rsidR="001471DB" w:rsidRPr="00154D3C">
        <w:t>p=0.458)</w:t>
      </w:r>
      <w:r w:rsidR="0085377C" w:rsidRPr="00154D3C">
        <w:t>.</w:t>
      </w:r>
      <w:r w:rsidR="00A658CC" w:rsidRPr="00154D3C">
        <w:t xml:space="preserve">  Table 1 </w:t>
      </w:r>
      <w:r w:rsidR="003718AF" w:rsidRPr="00154D3C">
        <w:t xml:space="preserve">describes </w:t>
      </w:r>
      <w:r w:rsidR="00A658CC" w:rsidRPr="00154D3C">
        <w:t xml:space="preserve">the baseline characteristics of the celiac </w:t>
      </w:r>
      <w:r w:rsidR="003718AF" w:rsidRPr="00154D3C">
        <w:t xml:space="preserve">cohort members </w:t>
      </w:r>
      <w:r w:rsidR="00A658CC" w:rsidRPr="00154D3C">
        <w:t xml:space="preserve">compared with the </w:t>
      </w:r>
      <w:r w:rsidR="00861438" w:rsidRPr="00154D3C">
        <w:t xml:space="preserve">general population </w:t>
      </w:r>
      <w:r w:rsidR="003718AF" w:rsidRPr="00154D3C">
        <w:t>members</w:t>
      </w:r>
      <w:r w:rsidR="00A658CC" w:rsidRPr="00154D3C">
        <w:t xml:space="preserve">.  </w:t>
      </w:r>
      <w:r w:rsidR="003718AF" w:rsidRPr="00154D3C">
        <w:t xml:space="preserve">The CD cohort </w:t>
      </w:r>
      <w:r w:rsidR="00A658CC" w:rsidRPr="00154D3C">
        <w:t>tended to be younger, include more males and have lower BMI</w:t>
      </w:r>
      <w:r w:rsidR="00BD3B47" w:rsidRPr="00154D3C">
        <w:t xml:space="preserve"> and femoral neck age</w:t>
      </w:r>
      <w:r w:rsidR="00491A8E" w:rsidRPr="00154D3C">
        <w:t>/sex</w:t>
      </w:r>
      <w:r w:rsidR="00BD3B47" w:rsidRPr="00154D3C">
        <w:t>-adjusted Z-scores</w:t>
      </w:r>
      <w:r w:rsidR="001471DB" w:rsidRPr="00154D3C">
        <w:t xml:space="preserve"> (all p&lt;0.001)</w:t>
      </w:r>
      <w:r w:rsidR="00A658CC" w:rsidRPr="00154D3C">
        <w:t xml:space="preserve">.  </w:t>
      </w:r>
      <w:r w:rsidR="00903C5E" w:rsidRPr="00154D3C">
        <w:t xml:space="preserve">Despite </w:t>
      </w:r>
      <w:r w:rsidR="00E06CD7" w:rsidRPr="00154D3C">
        <w:t>being younger (p&lt; 0.001) and more likely to be male (p</w:t>
      </w:r>
      <w:r w:rsidR="00BF6D65" w:rsidRPr="00154D3C">
        <w:t>&lt;</w:t>
      </w:r>
      <w:r w:rsidR="00E06CD7" w:rsidRPr="00154D3C">
        <w:t>0.001</w:t>
      </w:r>
      <w:r w:rsidR="00903C5E" w:rsidRPr="00154D3C">
        <w:t>), d</w:t>
      </w:r>
      <w:r w:rsidR="00816D59" w:rsidRPr="00154D3C">
        <w:t xml:space="preserve">uring follow up </w:t>
      </w:r>
      <w:r w:rsidR="006C1666" w:rsidRPr="00154D3C">
        <w:t>58</w:t>
      </w:r>
      <w:r w:rsidR="002C3B82" w:rsidRPr="00154D3C">
        <w:t xml:space="preserve"> (8.4%) </w:t>
      </w:r>
      <w:r w:rsidR="003718AF" w:rsidRPr="00154D3C">
        <w:t>members of the CD cohort</w:t>
      </w:r>
      <w:r w:rsidR="002C3B82" w:rsidRPr="00154D3C">
        <w:t xml:space="preserve"> sustained one or more </w:t>
      </w:r>
      <w:r w:rsidR="003718AF" w:rsidRPr="00154D3C">
        <w:t>MOF</w:t>
      </w:r>
      <w:r w:rsidR="004659B5" w:rsidRPr="00154D3C">
        <w:t xml:space="preserve"> </w:t>
      </w:r>
      <w:r w:rsidR="00903C5E" w:rsidRPr="00154D3C">
        <w:t>which was similar to the MOF rate experienced by</w:t>
      </w:r>
      <w:r w:rsidR="006C1666" w:rsidRPr="00154D3C">
        <w:t xml:space="preserve"> </w:t>
      </w:r>
      <w:r w:rsidR="003718AF" w:rsidRPr="00154D3C">
        <w:t xml:space="preserve">members of the general population cohort </w:t>
      </w:r>
      <w:r w:rsidR="00903C5E" w:rsidRPr="00154D3C">
        <w:t xml:space="preserve">5692 (8.4%) </w:t>
      </w:r>
      <w:r w:rsidR="001471DB" w:rsidRPr="00154D3C">
        <w:t>(p=</w:t>
      </w:r>
      <w:r w:rsidR="0044219F" w:rsidRPr="00154D3C">
        <w:t>0.997</w:t>
      </w:r>
      <w:r w:rsidR="001471DB" w:rsidRPr="00154D3C">
        <w:t>)</w:t>
      </w:r>
      <w:r w:rsidR="006C1666" w:rsidRPr="00154D3C">
        <w:t>.</w:t>
      </w:r>
      <w:r w:rsidR="00816D59" w:rsidRPr="00154D3C">
        <w:t xml:space="preserve">  </w:t>
      </w:r>
    </w:p>
    <w:p w:rsidR="0094642A" w:rsidRPr="00154D3C" w:rsidRDefault="00007607" w:rsidP="004A362A">
      <w:pPr>
        <w:spacing w:line="480" w:lineRule="auto"/>
        <w:ind w:firstLine="720"/>
      </w:pPr>
      <w:r w:rsidRPr="00154D3C">
        <w:t xml:space="preserve">Table 2 </w:t>
      </w:r>
      <w:r w:rsidR="000B2007" w:rsidRPr="00154D3C">
        <w:t xml:space="preserve">examines the </w:t>
      </w:r>
      <w:r w:rsidR="00816D59" w:rsidRPr="00154D3C">
        <w:t xml:space="preserve">independent effect of celiac disease on </w:t>
      </w:r>
      <w:r w:rsidR="00C8745B" w:rsidRPr="00154D3C">
        <w:t xml:space="preserve">major osteoporotic fracture risk </w:t>
      </w:r>
      <w:r w:rsidR="00816D59" w:rsidRPr="00154D3C">
        <w:t>adjusted for baseline fracture risk using FRAX</w:t>
      </w:r>
      <w:r w:rsidR="000B2007" w:rsidRPr="00154D3C">
        <w:t xml:space="preserve">. </w:t>
      </w:r>
      <w:r w:rsidR="00C8745B" w:rsidRPr="00154D3C">
        <w:t xml:space="preserve"> FRAX was strongly predictive of incident fracture in all models, with an approximate dou</w:t>
      </w:r>
      <w:r w:rsidR="003F7FAB" w:rsidRPr="00154D3C">
        <w:t xml:space="preserve">bling in risk per SD increase. </w:t>
      </w:r>
      <w:r w:rsidR="00C8745B" w:rsidRPr="00154D3C">
        <w:t>Celiac disease was associated with increased fracture risk adjusted for FRAX score computed without secondary osteoporosis or BMD (adjusted HR 1.43, 95% CI 1.11-1.86). However, celiac disease was no longer a significant risk factor for fracture when secondary osteoporosis or bone mineral density inputs were included in the FRAX calculation (p&gt;0.1).</w:t>
      </w:r>
      <w:r w:rsidR="00657109" w:rsidRPr="00154D3C">
        <w:t xml:space="preserve">   </w:t>
      </w:r>
      <w:r w:rsidR="00BF6D65" w:rsidRPr="00154D3C">
        <w:rPr>
          <w:rFonts w:cs="Times New Roman"/>
        </w:rPr>
        <w:t>Anti-osteoporosis medication use did not significantly differ between the groups (12.4% in the CD cohort vs 14.8% in the general population cohort, p=0.074).  Exclusion of treated individuals from the analysis did not affect our results (</w:t>
      </w:r>
      <w:r w:rsidR="00BF6D65" w:rsidRPr="00154D3C">
        <w:t>HR for CD 1.44, 95% CI 1.08-1.92 adjusted for FRAX score computed without secondary osteoporosis or BMD; p&gt;0.1</w:t>
      </w:r>
      <w:r w:rsidR="00373E9A" w:rsidRPr="00154D3C">
        <w:t xml:space="preserve"> when secondary osteoporosis or bone mineral density inputs were included in the FRAX calculation</w:t>
      </w:r>
      <w:r w:rsidR="00BF6D65" w:rsidRPr="00154D3C">
        <w:rPr>
          <w:rFonts w:cs="Times New Roman"/>
        </w:rPr>
        <w:t xml:space="preserve">).  </w:t>
      </w:r>
    </w:p>
    <w:p w:rsidR="0003582F" w:rsidRPr="00154D3C" w:rsidRDefault="0003582F" w:rsidP="004A362A">
      <w:pPr>
        <w:spacing w:line="480" w:lineRule="auto"/>
        <w:ind w:firstLine="720"/>
      </w:pPr>
      <w:r w:rsidRPr="00154D3C">
        <w:t xml:space="preserve">The </w:t>
      </w:r>
      <w:r w:rsidR="0044219F" w:rsidRPr="00154D3C">
        <w:t xml:space="preserve">performance </w:t>
      </w:r>
      <w:r w:rsidR="001D5FC8" w:rsidRPr="00154D3C">
        <w:t xml:space="preserve">of FRAX to </w:t>
      </w:r>
      <w:r w:rsidR="0044219F" w:rsidRPr="00154D3C">
        <w:t xml:space="preserve">stratify </w:t>
      </w:r>
      <w:r w:rsidR="001D5FC8" w:rsidRPr="00154D3C">
        <w:t xml:space="preserve">major osteoporotic </w:t>
      </w:r>
      <w:r w:rsidR="0044219F" w:rsidRPr="00154D3C">
        <w:t xml:space="preserve">fracture </w:t>
      </w:r>
      <w:r w:rsidR="001D5FC8" w:rsidRPr="00154D3C">
        <w:t xml:space="preserve">risk with and without secondary </w:t>
      </w:r>
      <w:r w:rsidR="00C700B5" w:rsidRPr="00154D3C">
        <w:t xml:space="preserve">osteoporosis or </w:t>
      </w:r>
      <w:r w:rsidR="001D5FC8" w:rsidRPr="00154D3C">
        <w:t xml:space="preserve">bone mineral density in </w:t>
      </w:r>
      <w:r w:rsidR="003718AF" w:rsidRPr="00154D3C">
        <w:t>the CD cohort</w:t>
      </w:r>
      <w:r w:rsidR="001D5FC8" w:rsidRPr="00154D3C">
        <w:t xml:space="preserve"> and in the </w:t>
      </w:r>
      <w:r w:rsidR="00861438" w:rsidRPr="00154D3C">
        <w:t xml:space="preserve">general </w:t>
      </w:r>
      <w:r w:rsidR="001D5FC8" w:rsidRPr="00154D3C">
        <w:t xml:space="preserve">population </w:t>
      </w:r>
      <w:r w:rsidR="003718AF" w:rsidRPr="00154D3C">
        <w:t xml:space="preserve">cohort </w:t>
      </w:r>
      <w:r w:rsidR="0085377C" w:rsidRPr="00154D3C">
        <w:t>is demonstrated</w:t>
      </w:r>
      <w:r w:rsidR="007A5981" w:rsidRPr="00154D3C">
        <w:t xml:space="preserve"> in Table </w:t>
      </w:r>
      <w:r w:rsidR="000F09B6" w:rsidRPr="00154D3C">
        <w:t>3</w:t>
      </w:r>
      <w:r w:rsidR="001D5FC8" w:rsidRPr="00154D3C">
        <w:t xml:space="preserve">. </w:t>
      </w:r>
      <w:r w:rsidR="00743B6A" w:rsidRPr="00154D3C">
        <w:t xml:space="preserve">In </w:t>
      </w:r>
      <w:r w:rsidR="003718AF" w:rsidRPr="00154D3C">
        <w:t>individuals with CD</w:t>
      </w:r>
      <w:r w:rsidR="00743B6A" w:rsidRPr="00154D3C">
        <w:t xml:space="preserve">, </w:t>
      </w:r>
      <w:r w:rsidR="00C8745B" w:rsidRPr="00154D3C">
        <w:t xml:space="preserve">each SD increase in </w:t>
      </w:r>
      <w:r w:rsidR="00743B6A" w:rsidRPr="00154D3C">
        <w:t xml:space="preserve">FRAX </w:t>
      </w:r>
      <w:r w:rsidR="00C8745B" w:rsidRPr="00154D3C">
        <w:t xml:space="preserve">score </w:t>
      </w:r>
      <w:r w:rsidR="00F86A99" w:rsidRPr="00154D3C">
        <w:t xml:space="preserve">(calculated with </w:t>
      </w:r>
      <w:r w:rsidR="009B6459" w:rsidRPr="00154D3C">
        <w:t xml:space="preserve">or </w:t>
      </w:r>
      <w:r w:rsidR="00F86A99" w:rsidRPr="00154D3C">
        <w:t xml:space="preserve">without secondary osteoporosis or </w:t>
      </w:r>
      <w:r w:rsidR="003718AF" w:rsidRPr="00154D3C">
        <w:t>BMD</w:t>
      </w:r>
      <w:r w:rsidR="00F86A99" w:rsidRPr="00154D3C">
        <w:t xml:space="preserve">) </w:t>
      </w:r>
      <w:r w:rsidR="00C8745B" w:rsidRPr="00154D3C">
        <w:t xml:space="preserve">was associated with </w:t>
      </w:r>
      <w:r w:rsidR="00743B6A" w:rsidRPr="00154D3C">
        <w:t xml:space="preserve">higher risk of </w:t>
      </w:r>
      <w:r w:rsidR="00C8745B" w:rsidRPr="00154D3C">
        <w:t xml:space="preserve">incident </w:t>
      </w:r>
      <w:r w:rsidR="003718AF" w:rsidRPr="00154D3C">
        <w:t>MOF</w:t>
      </w:r>
      <w:r w:rsidR="00743B6A" w:rsidRPr="00154D3C">
        <w:t xml:space="preserve"> </w:t>
      </w:r>
      <w:r w:rsidR="00C8745B" w:rsidRPr="00154D3C">
        <w:t>(adjusted HR 1.66 to 1.80)</w:t>
      </w:r>
      <w:r w:rsidR="00340AA7" w:rsidRPr="00154D3C">
        <w:t xml:space="preserve">.  Similar </w:t>
      </w:r>
      <w:r w:rsidR="00F86A99" w:rsidRPr="00154D3C">
        <w:t xml:space="preserve">HRs </w:t>
      </w:r>
      <w:r w:rsidR="00340AA7" w:rsidRPr="00154D3C">
        <w:t xml:space="preserve">were noted in the </w:t>
      </w:r>
      <w:r w:rsidR="00861438" w:rsidRPr="00154D3C">
        <w:t>general</w:t>
      </w:r>
      <w:r w:rsidR="00340AA7" w:rsidRPr="00154D3C">
        <w:t xml:space="preserve"> population</w:t>
      </w:r>
      <w:r w:rsidR="00F86A99" w:rsidRPr="00154D3C">
        <w:t xml:space="preserve"> and i</w:t>
      </w:r>
      <w:r w:rsidR="007A5981" w:rsidRPr="00154D3C">
        <w:rPr>
          <w:rFonts w:cs="Times New Roman"/>
        </w:rPr>
        <w:t xml:space="preserve">n models including </w:t>
      </w:r>
      <w:r w:rsidR="00C8745B" w:rsidRPr="00154D3C">
        <w:rPr>
          <w:rFonts w:cs="Times New Roman"/>
        </w:rPr>
        <w:t xml:space="preserve">two-way </w:t>
      </w:r>
      <w:r w:rsidR="007A5981" w:rsidRPr="00154D3C">
        <w:rPr>
          <w:rFonts w:cs="Times New Roman"/>
        </w:rPr>
        <w:t xml:space="preserve">interaction terms between FRAX probability and </w:t>
      </w:r>
      <w:r w:rsidR="003718AF" w:rsidRPr="00154D3C">
        <w:rPr>
          <w:rFonts w:cs="Times New Roman"/>
        </w:rPr>
        <w:t xml:space="preserve">cohort </w:t>
      </w:r>
      <w:r w:rsidR="007A5981" w:rsidRPr="00154D3C">
        <w:rPr>
          <w:rFonts w:cs="Times New Roman"/>
        </w:rPr>
        <w:t>(</w:t>
      </w:r>
      <w:r w:rsidR="00C8745B" w:rsidRPr="00154D3C">
        <w:rPr>
          <w:rFonts w:cs="Times New Roman"/>
        </w:rPr>
        <w:t xml:space="preserve">celiac disease </w:t>
      </w:r>
      <w:r w:rsidR="007A5981" w:rsidRPr="00154D3C">
        <w:rPr>
          <w:rFonts w:cs="Times New Roman"/>
        </w:rPr>
        <w:t xml:space="preserve">vs. </w:t>
      </w:r>
      <w:r w:rsidR="00861438" w:rsidRPr="00154D3C">
        <w:rPr>
          <w:rFonts w:cs="Times New Roman"/>
        </w:rPr>
        <w:t>general population</w:t>
      </w:r>
      <w:r w:rsidR="007A5981" w:rsidRPr="00154D3C">
        <w:rPr>
          <w:rFonts w:cs="Times New Roman"/>
        </w:rPr>
        <w:t>), the interaction terms were not statistically significant</w:t>
      </w:r>
      <w:r w:rsidR="00C8745B" w:rsidRPr="00154D3C">
        <w:rPr>
          <w:rFonts w:cs="Times New Roman"/>
        </w:rPr>
        <w:t xml:space="preserve"> (all P&gt;0.2)</w:t>
      </w:r>
      <w:r w:rsidR="007A5981" w:rsidRPr="00154D3C">
        <w:rPr>
          <w:rFonts w:cs="Times New Roman"/>
        </w:rPr>
        <w:t>.</w:t>
      </w:r>
      <w:r w:rsidR="00BF6D65" w:rsidRPr="00154D3C">
        <w:rPr>
          <w:rFonts w:cs="Times New Roman"/>
        </w:rPr>
        <w:t xml:space="preserve">  </w:t>
      </w:r>
    </w:p>
    <w:p w:rsidR="00340AA7" w:rsidRPr="00154D3C" w:rsidRDefault="00340AA7" w:rsidP="004A362A">
      <w:pPr>
        <w:spacing w:line="480" w:lineRule="auto"/>
        <w:ind w:firstLine="720"/>
      </w:pPr>
      <w:r w:rsidRPr="00154D3C">
        <w:t xml:space="preserve">Figure 1 compares the observed </w:t>
      </w:r>
      <w:r w:rsidR="00C700B5" w:rsidRPr="00154D3C">
        <w:t xml:space="preserve">10-year major osteoporotic fracture probability </w:t>
      </w:r>
      <w:r w:rsidRPr="00154D3C">
        <w:t xml:space="preserve">with the </w:t>
      </w:r>
      <w:r w:rsidR="00B53D81" w:rsidRPr="00154D3C">
        <w:t xml:space="preserve">FRAX </w:t>
      </w:r>
      <w:r w:rsidRPr="00154D3C">
        <w:t xml:space="preserve">predicted </w:t>
      </w:r>
      <w:r w:rsidR="00C700B5" w:rsidRPr="00154D3C">
        <w:t xml:space="preserve">10-year </w:t>
      </w:r>
      <w:r w:rsidR="007D7176" w:rsidRPr="00154D3C">
        <w:t xml:space="preserve">major osteoporotic </w:t>
      </w:r>
      <w:r w:rsidR="00B53D81" w:rsidRPr="00154D3C">
        <w:t xml:space="preserve">fracture </w:t>
      </w:r>
      <w:r w:rsidR="00C700B5" w:rsidRPr="00154D3C">
        <w:t xml:space="preserve">probability </w:t>
      </w:r>
      <w:r w:rsidR="00B53D81" w:rsidRPr="00154D3C">
        <w:t xml:space="preserve">in celiac disease and in the </w:t>
      </w:r>
      <w:r w:rsidR="00861438" w:rsidRPr="00154D3C">
        <w:t>general</w:t>
      </w:r>
      <w:r w:rsidR="00B53D81" w:rsidRPr="00154D3C">
        <w:t xml:space="preserve"> population.  </w:t>
      </w:r>
      <w:r w:rsidR="008935D5" w:rsidRPr="00154D3C">
        <w:t xml:space="preserve">In the </w:t>
      </w:r>
      <w:r w:rsidR="00861438" w:rsidRPr="00154D3C">
        <w:t>general</w:t>
      </w:r>
      <w:r w:rsidR="008935D5" w:rsidRPr="00154D3C">
        <w:t xml:space="preserve"> population, there was good agreement between FRAX predicted (11.0% without and 10.6% with </w:t>
      </w:r>
      <w:r w:rsidR="003718AF" w:rsidRPr="00154D3C">
        <w:rPr>
          <w:noProof/>
        </w:rPr>
        <w:t>BMD</w:t>
      </w:r>
      <w:r w:rsidR="008935D5" w:rsidRPr="00154D3C">
        <w:t xml:space="preserve">) and observed (10.8%) 10-year major osteoporotic fracture probability.  </w:t>
      </w:r>
      <w:r w:rsidR="00B53D81" w:rsidRPr="00154D3C">
        <w:t>In celiac disease</w:t>
      </w:r>
      <w:r w:rsidR="00550996" w:rsidRPr="00154D3C">
        <w:t xml:space="preserve"> when secondary osteoporosis</w:t>
      </w:r>
      <w:r w:rsidR="00550996" w:rsidRPr="00154D3C" w:rsidDel="00BD3B47">
        <w:t xml:space="preserve"> </w:t>
      </w:r>
      <w:r w:rsidR="00550996" w:rsidRPr="00154D3C">
        <w:t xml:space="preserve">and </w:t>
      </w:r>
      <w:r w:rsidR="003718AF" w:rsidRPr="00154D3C">
        <w:rPr>
          <w:noProof/>
        </w:rPr>
        <w:t>BMD were</w:t>
      </w:r>
      <w:r w:rsidR="00550996" w:rsidRPr="00154D3C">
        <w:t xml:space="preserve"> not included in the risk assessment</w:t>
      </w:r>
      <w:r w:rsidR="00B53D81" w:rsidRPr="00154D3C">
        <w:t xml:space="preserve">, the observed </w:t>
      </w:r>
      <w:r w:rsidR="00C700B5" w:rsidRPr="00154D3C">
        <w:t>10-year major osteoporotic fracture probability</w:t>
      </w:r>
      <w:r w:rsidR="00B53D81" w:rsidRPr="00154D3C">
        <w:t xml:space="preserve"> </w:t>
      </w:r>
      <w:r w:rsidR="00BD3B47" w:rsidRPr="00154D3C">
        <w:t>(</w:t>
      </w:r>
      <w:r w:rsidR="00715F0E" w:rsidRPr="00154D3C">
        <w:t>10.8</w:t>
      </w:r>
      <w:r w:rsidR="002F7535" w:rsidRPr="00154D3C">
        <w:t>%</w:t>
      </w:r>
      <w:r w:rsidR="00F86A99" w:rsidRPr="00154D3C">
        <w:t>, 95 % CI 7.8-13.9%</w:t>
      </w:r>
      <w:r w:rsidR="00BD3B47" w:rsidRPr="00154D3C">
        <w:t xml:space="preserve">) </w:t>
      </w:r>
      <w:r w:rsidR="00F86A99" w:rsidRPr="00154D3C">
        <w:t>was</w:t>
      </w:r>
      <w:r w:rsidR="00B53D81" w:rsidRPr="00154D3C">
        <w:t xml:space="preserve"> greater than predicted </w:t>
      </w:r>
      <w:r w:rsidR="00C700B5" w:rsidRPr="00154D3C">
        <w:t xml:space="preserve">by FRAX </w:t>
      </w:r>
      <w:r w:rsidR="00715F0E" w:rsidRPr="00154D3C">
        <w:t>(</w:t>
      </w:r>
      <w:r w:rsidR="004654BF" w:rsidRPr="00154D3C">
        <w:t>7.4</w:t>
      </w:r>
      <w:r w:rsidR="002F7535" w:rsidRPr="00154D3C">
        <w:t>%</w:t>
      </w:r>
      <w:r w:rsidR="00BD3B47" w:rsidRPr="00154D3C">
        <w:t>)</w:t>
      </w:r>
      <w:r w:rsidR="00B53D81" w:rsidRPr="00154D3C">
        <w:t xml:space="preserve">.  When celiac disease </w:t>
      </w:r>
      <w:r w:rsidR="003718AF" w:rsidRPr="00154D3C">
        <w:t xml:space="preserve">was </w:t>
      </w:r>
      <w:r w:rsidR="00B53D81" w:rsidRPr="00154D3C">
        <w:t>considered a</w:t>
      </w:r>
      <w:r w:rsidR="00BD3B47" w:rsidRPr="00154D3C">
        <w:t>s</w:t>
      </w:r>
      <w:r w:rsidR="00B53D81" w:rsidRPr="00154D3C">
        <w:t xml:space="preserve"> secondary </w:t>
      </w:r>
      <w:r w:rsidR="00BD3B47" w:rsidRPr="00154D3C">
        <w:t>osteoporosis</w:t>
      </w:r>
      <w:r w:rsidR="00B53D81" w:rsidRPr="00154D3C">
        <w:t xml:space="preserve">, </w:t>
      </w:r>
      <w:r w:rsidR="00C44A60" w:rsidRPr="00154D3C">
        <w:t xml:space="preserve">the FRAX </w:t>
      </w:r>
      <w:r w:rsidR="00C700B5" w:rsidRPr="00154D3C">
        <w:t xml:space="preserve">major osteoporotic fracture probability </w:t>
      </w:r>
      <w:r w:rsidR="00CF75D3" w:rsidRPr="00154D3C">
        <w:t>(10.1</w:t>
      </w:r>
      <w:r w:rsidR="007B3852" w:rsidRPr="00154D3C">
        <w:t>%) approximated</w:t>
      </w:r>
      <w:r w:rsidR="00B53D81" w:rsidRPr="00154D3C">
        <w:t xml:space="preserve"> the observed </w:t>
      </w:r>
      <w:r w:rsidR="00C700B5" w:rsidRPr="00154D3C">
        <w:t>major osteoporotic fracture probability</w:t>
      </w:r>
      <w:r w:rsidR="00CF75D3" w:rsidRPr="00154D3C">
        <w:t xml:space="preserve">. </w:t>
      </w:r>
      <w:r w:rsidR="00C700B5" w:rsidRPr="00154D3C">
        <w:t xml:space="preserve"> </w:t>
      </w:r>
      <w:r w:rsidR="008935D5" w:rsidRPr="00154D3C">
        <w:t>T</w:t>
      </w:r>
      <w:r w:rsidR="009A2849" w:rsidRPr="00154D3C">
        <w:t>he predicted prob</w:t>
      </w:r>
      <w:r w:rsidR="00C66D3B" w:rsidRPr="00154D3C">
        <w:t xml:space="preserve">ability when BMD </w:t>
      </w:r>
      <w:r w:rsidR="008935D5" w:rsidRPr="00154D3C">
        <w:t xml:space="preserve">was </w:t>
      </w:r>
      <w:r w:rsidR="00C66D3B" w:rsidRPr="00154D3C">
        <w:t xml:space="preserve">included in the FRAX calculation (8.6%) </w:t>
      </w:r>
      <w:r w:rsidR="008935D5" w:rsidRPr="00154D3C">
        <w:t xml:space="preserve">also fell </w:t>
      </w:r>
      <w:r w:rsidR="00C66D3B" w:rsidRPr="00154D3C">
        <w:t>within the 95% CI of th</w:t>
      </w:r>
      <w:r w:rsidR="006F559A" w:rsidRPr="00154D3C">
        <w:t xml:space="preserve">e observed probability). </w:t>
      </w:r>
      <w:r w:rsidR="004654BF" w:rsidRPr="00154D3C">
        <w:t xml:space="preserve"> </w:t>
      </w:r>
    </w:p>
    <w:p w:rsidR="00AE0E18" w:rsidRPr="00154D3C" w:rsidRDefault="00AE0E18" w:rsidP="004A362A">
      <w:pPr>
        <w:spacing w:line="480" w:lineRule="auto"/>
      </w:pPr>
    </w:p>
    <w:p w:rsidR="00276FDC" w:rsidRPr="00154D3C" w:rsidRDefault="00AE0E18" w:rsidP="004A362A">
      <w:pPr>
        <w:spacing w:line="480" w:lineRule="auto"/>
      </w:pPr>
      <w:r w:rsidRPr="00154D3C">
        <w:t>Discussion</w:t>
      </w:r>
    </w:p>
    <w:p w:rsidR="00871EBA" w:rsidRPr="00154D3C" w:rsidRDefault="00276FDC" w:rsidP="00AB5773">
      <w:pPr>
        <w:spacing w:line="480" w:lineRule="auto"/>
        <w:ind w:firstLine="720"/>
      </w:pPr>
      <w:r w:rsidRPr="00154D3C">
        <w:t xml:space="preserve">The association of celiac disease with </w:t>
      </w:r>
      <w:r w:rsidR="000260F7" w:rsidRPr="00154D3C">
        <w:t xml:space="preserve">abnormal bone mineral density </w:t>
      </w:r>
      <w:r w:rsidRPr="00154D3C">
        <w:t xml:space="preserve">and </w:t>
      </w:r>
      <w:r w:rsidR="000260F7" w:rsidRPr="00154D3C">
        <w:t>metabolic bone disease</w:t>
      </w:r>
      <w:r w:rsidR="001A5B57" w:rsidRPr="00154D3C">
        <w:t xml:space="preserve"> has been</w:t>
      </w:r>
      <w:r w:rsidRPr="00154D3C">
        <w:t xml:space="preserve"> </w:t>
      </w:r>
      <w:r w:rsidR="001A5B57" w:rsidRPr="00154D3C">
        <w:t xml:space="preserve">well </w:t>
      </w:r>
      <w:r w:rsidRPr="00154D3C">
        <w:t>established.</w:t>
      </w:r>
      <w:hyperlink w:anchor="_ENREF_17" w:tooltip="Micic, 2019 #2358" w:history="1">
        <w:r w:rsidR="00B8363A" w:rsidRPr="00154D3C">
          <w:fldChar w:fldCharType="begin"/>
        </w:r>
        <w:r w:rsidR="001658CA" w:rsidRPr="00154D3C">
          <w:instrText xml:space="preserve"> ADDIN EN.CITE &lt;EndNote&gt;&lt;Cite&gt;&lt;Author&gt;Micic&lt;/Author&gt;&lt;Year&gt;2019&lt;/Year&gt;&lt;RecNum&gt;2358&lt;/RecNum&gt;&lt;DisplayText&gt;&lt;style face="superscript"&gt;17&lt;/style&gt;&lt;/DisplayText&gt;&lt;record&gt;&lt;rec-number&gt;2358&lt;/rec-number&gt;&lt;foreign-keys&gt;&lt;key app="EN" db-id="tddepx9stepaa2ewwwy5xsraz9xvaz0x20zx" timestamp="1578860935"&gt;2358&lt;/key&gt;&lt;/foreign-keys&gt;&lt;ref-type name="Journal Article"&gt;17&lt;/ref-type&gt;&lt;contributors&gt;&lt;authors&gt;&lt;author&gt;Micic, D.&lt;/author&gt;&lt;author&gt;Rao, V. L.&lt;/author&gt;&lt;author&gt;Semrad, C. E.&lt;/author&gt;&lt;/authors&gt;&lt;/contributors&gt;&lt;auth-address&gt;Department of Internal Medicine, Section of Gastroenterology, Hepatology and Nutrition, University of Chicago, Chicago, IL, USA. Electronic address: dmicic@medicine.bsd.uchicago.edu.&amp;#xD;Department of Internal Medicine, Section of Gastroenterology, Hepatology and Nutrition, University of Chicago, Chicago, IL, USA.&lt;/auth-address&gt;&lt;titles&gt;&lt;title&gt;Celiac Disease and Its Role in the Development of Metabolic Bone Disease&lt;/title&gt;&lt;secondary-title&gt;J Clin Densitom&lt;/secondary-title&gt;&lt;/titles&gt;&lt;periodical&gt;&lt;full-title&gt;J Clin Densitom&lt;/full-title&gt;&lt;/periodical&gt;&lt;keywords&gt;&lt;keyword&gt;Bone disease&lt;/keyword&gt;&lt;keyword&gt;celiac disease&lt;/keyword&gt;&lt;keyword&gt;osteopenia&lt;/keyword&gt;&lt;keyword&gt;osteoporosis&lt;/keyword&gt;&lt;/keywords&gt;&lt;dates&gt;&lt;year&gt;2019&lt;/year&gt;&lt;pub-dates&gt;&lt;date&gt;Jul 2&lt;/date&gt;&lt;/pub-dates&gt;&lt;/dates&gt;&lt;isbn&gt;1094-6950 (Print)&amp;#xD;1094-6950 (Linking)&lt;/isbn&gt;&lt;accession-num&gt;31320223&lt;/accession-num&gt;&lt;urls&gt;&lt;related-urls&gt;&lt;url&gt;http://www.ncbi.nlm.nih.gov/pubmed/31320223&lt;/url&gt;&lt;/related-urls&gt;&lt;/urls&gt;&lt;electronic-resource-num&gt;10.1016/j.jocd.2019.06.005&lt;/electronic-resource-num&gt;&lt;/record&gt;&lt;/Cite&gt;&lt;/EndNote&gt;</w:instrText>
        </w:r>
        <w:r w:rsidR="00B8363A" w:rsidRPr="00154D3C">
          <w:fldChar w:fldCharType="separate"/>
        </w:r>
        <w:r w:rsidR="001658CA" w:rsidRPr="00154D3C">
          <w:rPr>
            <w:noProof/>
            <w:vertAlign w:val="superscript"/>
          </w:rPr>
          <w:t>17</w:t>
        </w:r>
        <w:r w:rsidR="00B8363A" w:rsidRPr="00154D3C">
          <w:fldChar w:fldCharType="end"/>
        </w:r>
      </w:hyperlink>
      <w:r w:rsidRPr="00154D3C">
        <w:t xml:space="preserve"> </w:t>
      </w:r>
      <w:r w:rsidR="000260F7" w:rsidRPr="00154D3C">
        <w:t>Our study demonstrate</w:t>
      </w:r>
      <w:r w:rsidR="00743B6A" w:rsidRPr="00154D3C">
        <w:t xml:space="preserve">s that celiac disease is associated with an increased risk of major osteoporotic </w:t>
      </w:r>
      <w:r w:rsidR="000260F7" w:rsidRPr="00154D3C">
        <w:t>fractures</w:t>
      </w:r>
      <w:r w:rsidR="009A410E" w:rsidRPr="00154D3C">
        <w:t xml:space="preserve"> after </w:t>
      </w:r>
      <w:r w:rsidR="00E06CD7" w:rsidRPr="00154D3C">
        <w:t xml:space="preserve">controlling for </w:t>
      </w:r>
      <w:r w:rsidR="009A410E" w:rsidRPr="00154D3C">
        <w:t xml:space="preserve">multiple clinical </w:t>
      </w:r>
      <w:r w:rsidR="00E06CD7" w:rsidRPr="00154D3C">
        <w:t>risk factors</w:t>
      </w:r>
      <w:r w:rsidR="008801B0" w:rsidRPr="00154D3C">
        <w:t xml:space="preserve">.  </w:t>
      </w:r>
      <w:r w:rsidR="008801B0" w:rsidRPr="00154D3C">
        <w:rPr>
          <w:rFonts w:eastAsia="Times New Roman" w:cs="Segoe UI"/>
          <w:color w:val="000000"/>
        </w:rPr>
        <w:t>Despite being younger and including a greater proportion of men, the CD cohort had the same number of fractures as</w:t>
      </w:r>
      <w:r w:rsidR="003421AC" w:rsidRPr="00154D3C">
        <w:rPr>
          <w:rFonts w:eastAsia="Times New Roman" w:cs="Segoe UI"/>
          <w:color w:val="000000"/>
        </w:rPr>
        <w:t xml:space="preserve"> general population</w:t>
      </w:r>
      <w:r w:rsidR="008801B0" w:rsidRPr="00154D3C">
        <w:rPr>
          <w:rFonts w:eastAsia="Times New Roman" w:cs="Segoe UI"/>
          <w:color w:val="000000"/>
        </w:rPr>
        <w:t xml:space="preserve"> controls.</w:t>
      </w:r>
      <w:r w:rsidR="008801B0" w:rsidRPr="00154D3C">
        <w:rPr>
          <w:rFonts w:ascii="Segoe UI" w:eastAsia="Times New Roman" w:hAnsi="Segoe UI" w:cs="Segoe UI"/>
          <w:color w:val="000000"/>
          <w:sz w:val="20"/>
          <w:szCs w:val="20"/>
        </w:rPr>
        <w:t xml:space="preserve"> </w:t>
      </w:r>
      <w:r w:rsidR="000260F7" w:rsidRPr="00154D3C">
        <w:t xml:space="preserve"> There </w:t>
      </w:r>
      <w:r w:rsidR="00FF7B06" w:rsidRPr="00154D3C">
        <w:t>have been conflicting studies regarding the</w:t>
      </w:r>
      <w:r w:rsidR="000260F7" w:rsidRPr="00154D3C">
        <w:t xml:space="preserve"> magnitude of increased fracture risk in celiac disease as well as the sites that are most at risk.  A recent meta-analysis</w:t>
      </w:r>
      <w:r w:rsidR="00D64E84" w:rsidRPr="00154D3C">
        <w:t xml:space="preserve"> of 9 cross</w:t>
      </w:r>
      <w:r w:rsidR="009B6459" w:rsidRPr="00154D3C">
        <w:t>-</w:t>
      </w:r>
      <w:r w:rsidR="00D64E84" w:rsidRPr="00154D3C">
        <w:t>sectional and case-control studies demonstrated an overall increase</w:t>
      </w:r>
      <w:r w:rsidR="00C700B5" w:rsidRPr="00154D3C">
        <w:t>d</w:t>
      </w:r>
      <w:r w:rsidR="00D64E84" w:rsidRPr="00154D3C">
        <w:t xml:space="preserve"> risk of any fracture of 1.91(</w:t>
      </w:r>
      <w:r w:rsidR="00C54151" w:rsidRPr="00154D3C">
        <w:t xml:space="preserve">95%CI </w:t>
      </w:r>
      <w:r w:rsidR="00D64E84" w:rsidRPr="00154D3C">
        <w:t xml:space="preserve">1.29, 2.84) compared with </w:t>
      </w:r>
      <w:r w:rsidR="00836B7C" w:rsidRPr="00154D3C">
        <w:t xml:space="preserve">those without celiac disease </w:t>
      </w:r>
      <w:r w:rsidR="00C93CE1" w:rsidRPr="00154D3C">
        <w:t>and in 6 prospective studies an</w:t>
      </w:r>
      <w:r w:rsidR="00D64E84" w:rsidRPr="00154D3C">
        <w:t xml:space="preserve"> increased risk of</w:t>
      </w:r>
      <w:r w:rsidR="00C93CE1" w:rsidRPr="00154D3C">
        <w:t xml:space="preserve"> any fracture of</w:t>
      </w:r>
      <w:r w:rsidR="00D64E84" w:rsidRPr="00154D3C">
        <w:t xml:space="preserve"> 1.30 (</w:t>
      </w:r>
      <w:r w:rsidR="00C54151" w:rsidRPr="00154D3C">
        <w:t xml:space="preserve">95% CI </w:t>
      </w:r>
      <w:r w:rsidR="00D64E84" w:rsidRPr="00154D3C">
        <w:t>1.14,</w:t>
      </w:r>
      <w:r w:rsidR="00C54151" w:rsidRPr="00154D3C">
        <w:t xml:space="preserve"> </w:t>
      </w:r>
      <w:r w:rsidR="00D64E84" w:rsidRPr="00154D3C">
        <w:t>1.5)</w:t>
      </w:r>
      <w:r w:rsidR="00C93CE1" w:rsidRPr="00154D3C">
        <w:t>.</w:t>
      </w:r>
      <w:hyperlink w:anchor="_ENREF_5" w:tooltip="Heikkila, 2015 #1200" w:history="1">
        <w:r w:rsidR="00B8363A" w:rsidRPr="00154D3C">
          <w:fldChar w:fldCharType="begin"/>
        </w:r>
        <w:r w:rsidR="001658CA" w:rsidRPr="00154D3C">
          <w:instrText xml:space="preserve"> ADDIN EN.CITE &lt;EndNote&gt;&lt;Cite&gt;&lt;Author&gt;Heikkila&lt;/Author&gt;&lt;Year&gt;2015&lt;/Year&gt;&lt;RecNum&gt;1200&lt;/RecNum&gt;&lt;DisplayText&gt;&lt;style face="superscript"&gt;5&lt;/style&gt;&lt;/DisplayText&gt;&lt;record&gt;&lt;rec-number&gt;1200&lt;/rec-number&gt;&lt;foreign-keys&gt;&lt;key app="EN" db-id="tddepx9stepaa2ewwwy5xsraz9xvaz0x20zx" timestamp="1486296437"&gt;1200&lt;/key&gt;&lt;/foreign-keys&gt;&lt;ref-type name="Journal Article"&gt;17&lt;/ref-type&gt;&lt;contributors&gt;&lt;authors&gt;&lt;author&gt;Heikkila, K.&lt;/author&gt;&lt;author&gt;Pearce, J.&lt;/author&gt;&lt;author&gt;Maki, M.&lt;/author&gt;&lt;author&gt;Kaukinen, K.&lt;/author&gt;&lt;/authors&gt;&lt;/contributors&gt;&lt;auth-address&gt;School of Medicine (K.H., K.K.), University of Tampere, Tampere 33520, Finland; Division of Nutritional Sciences (J.P.), School of Biosciences, University of Nottingham, Nottingham LE12 5RD, United Kingdom; Tampere Centre for Child Health Research (M.M.), University of Tampere and Tampere University Hospital, Tampere 33520, Finland; Department of Internal Medicine (K.K.), Tampere University Hospital, Tampere 33520, Finland; Department of Internal Medicine (K.K.), Seinajoki Central Hospital, Seinajoki 60220, Finland.&lt;/auth-address&gt;&lt;titles&gt;&lt;title&gt;Celiac disease and bone fractures: a systematic review and meta-analysis&lt;/title&gt;&lt;secondary-title&gt;J Clin Endocrinol Metab&lt;/secondary-title&gt;&lt;/titles&gt;&lt;periodical&gt;&lt;full-title&gt;J Clin Endocrinol Metab&lt;/full-title&gt;&lt;/periodical&gt;&lt;pages&gt;25-34&lt;/pages&gt;&lt;volume&gt;100&lt;/volume&gt;&lt;number&gt;1&lt;/number&gt;&lt;keywords&gt;&lt;keyword&gt;*Bone Density&lt;/keyword&gt;&lt;keyword&gt;Celiac Disease/*epidemiology&lt;/keyword&gt;&lt;keyword&gt;Comorbidity&lt;/keyword&gt;&lt;keyword&gt;Fractures, Bone/*epidemiology&lt;/keyword&gt;&lt;keyword&gt;Humans&lt;/keyword&gt;&lt;keyword&gt;Incidence&lt;/keyword&gt;&lt;keyword&gt;Prevalence&lt;/keyword&gt;&lt;/keywords&gt;&lt;dates&gt;&lt;year&gt;2015&lt;/year&gt;&lt;pub-dates&gt;&lt;date&gt;Jan&lt;/date&gt;&lt;/pub-dates&gt;&lt;/dates&gt;&lt;isbn&gt;1945-7197 (Electronic)&amp;#xD;0021-972X (Linking)&lt;/isbn&gt;&lt;accession-num&gt;25279497&lt;/accession-num&gt;&lt;urls&gt;&lt;related-urls&gt;&lt;url&gt;http://www.ncbi.nlm.nih.gov/pubmed/25279497&lt;/url&gt;&lt;/related-urls&gt;&lt;/urls&gt;&lt;electronic-resource-num&gt;10.1210/jc.2014-1858&lt;/electronic-resource-num&gt;&lt;/record&gt;&lt;/Cite&gt;&lt;/EndNote&gt;</w:instrText>
        </w:r>
        <w:r w:rsidR="00B8363A" w:rsidRPr="00154D3C">
          <w:fldChar w:fldCharType="separate"/>
        </w:r>
        <w:r w:rsidR="001658CA" w:rsidRPr="00154D3C">
          <w:rPr>
            <w:noProof/>
            <w:vertAlign w:val="superscript"/>
          </w:rPr>
          <w:t>5</w:t>
        </w:r>
        <w:r w:rsidR="00B8363A" w:rsidRPr="00154D3C">
          <w:fldChar w:fldCharType="end"/>
        </w:r>
      </w:hyperlink>
      <w:r w:rsidR="00C93CE1" w:rsidRPr="00154D3C">
        <w:t xml:space="preserve">  </w:t>
      </w:r>
      <w:r w:rsidR="00C65858" w:rsidRPr="00154D3C">
        <w:t>For hip fractures, the 4 pooled cross sectional and case-control studies did not show an increase risk whereas the 4 prospective studies demonstrated an increased risk of 1.69 (</w:t>
      </w:r>
      <w:r w:rsidR="00C54151" w:rsidRPr="00154D3C">
        <w:t xml:space="preserve">95% CI </w:t>
      </w:r>
      <w:r w:rsidR="00C65858" w:rsidRPr="00154D3C">
        <w:t xml:space="preserve">1.10, 2.59).  Our study examined major osteoporotic fractures including </w:t>
      </w:r>
      <w:r w:rsidR="00024960" w:rsidRPr="00154D3C">
        <w:t xml:space="preserve">hip fractures </w:t>
      </w:r>
      <w:r w:rsidR="00C65858" w:rsidRPr="00154D3C">
        <w:t xml:space="preserve">and demonstrated </w:t>
      </w:r>
      <w:r w:rsidR="009A2849" w:rsidRPr="00154D3C">
        <w:t>an increased risk of major osteoporotic fracture with an adjusted hazard ratio of 1.43</w:t>
      </w:r>
      <w:r w:rsidR="008935D5" w:rsidRPr="00154D3C">
        <w:t xml:space="preserve"> (</w:t>
      </w:r>
      <w:r w:rsidR="009A2849" w:rsidRPr="00154D3C">
        <w:t>95% CI 1.11</w:t>
      </w:r>
      <w:r w:rsidR="00C54151" w:rsidRPr="00154D3C">
        <w:t xml:space="preserve">, </w:t>
      </w:r>
      <w:r w:rsidR="009A2849" w:rsidRPr="00154D3C">
        <w:t>1.86)</w:t>
      </w:r>
      <w:r w:rsidR="00C65858" w:rsidRPr="00154D3C">
        <w:t>.</w:t>
      </w:r>
    </w:p>
    <w:p w:rsidR="001902ED" w:rsidRPr="00154D3C" w:rsidRDefault="00C95AE2" w:rsidP="004659B5">
      <w:pPr>
        <w:pStyle w:val="CommentText"/>
        <w:spacing w:line="480" w:lineRule="auto"/>
        <w:ind w:firstLine="720"/>
        <w:rPr>
          <w:sz w:val="24"/>
          <w:szCs w:val="24"/>
        </w:rPr>
      </w:pPr>
      <w:r w:rsidRPr="00154D3C">
        <w:rPr>
          <w:sz w:val="24"/>
          <w:szCs w:val="24"/>
        </w:rPr>
        <w:t xml:space="preserve">FRAX is a fracture risk assessment tool that has been validated in many patient populations.  Our study has demonstrated that </w:t>
      </w:r>
      <w:r w:rsidR="00B933F4" w:rsidRPr="00154D3C">
        <w:rPr>
          <w:sz w:val="24"/>
          <w:szCs w:val="24"/>
        </w:rPr>
        <w:t xml:space="preserve">FRAX stratifies major osteoporotic fracture risk in the celiac disease population similar to the general population with </w:t>
      </w:r>
      <w:r w:rsidR="00C54151" w:rsidRPr="00154D3C">
        <w:rPr>
          <w:sz w:val="24"/>
          <w:szCs w:val="24"/>
        </w:rPr>
        <w:t xml:space="preserve">no </w:t>
      </w:r>
      <w:r w:rsidR="00B933F4" w:rsidRPr="00154D3C">
        <w:rPr>
          <w:sz w:val="24"/>
          <w:szCs w:val="24"/>
        </w:rPr>
        <w:t>significant interaction, though it does underestimate fracture risk if the independent effect of celiac disease is not considered.  W</w:t>
      </w:r>
      <w:r w:rsidRPr="00154D3C">
        <w:rPr>
          <w:sz w:val="24"/>
          <w:szCs w:val="24"/>
        </w:rPr>
        <w:t xml:space="preserve">hen celiac disease is </w:t>
      </w:r>
      <w:r w:rsidR="00B933F4" w:rsidRPr="00154D3C">
        <w:rPr>
          <w:sz w:val="24"/>
          <w:szCs w:val="24"/>
        </w:rPr>
        <w:t xml:space="preserve">included in the FRAX calculation </w:t>
      </w:r>
      <w:r w:rsidRPr="00154D3C">
        <w:rPr>
          <w:sz w:val="24"/>
          <w:szCs w:val="24"/>
        </w:rPr>
        <w:t xml:space="preserve">as a secondary condition that increases risk for major osteoporotic fractures, it accurately predicts this risk.  </w:t>
      </w:r>
      <w:r w:rsidR="00B933F4" w:rsidRPr="00154D3C">
        <w:rPr>
          <w:sz w:val="24"/>
          <w:szCs w:val="24"/>
        </w:rPr>
        <w:t xml:space="preserve">Alternatively, including bone mineral density in the FRAX calculation also </w:t>
      </w:r>
      <w:r w:rsidR="001902ED" w:rsidRPr="00154D3C">
        <w:rPr>
          <w:sz w:val="24"/>
          <w:szCs w:val="24"/>
        </w:rPr>
        <w:t>predicts that fracture risk.</w:t>
      </w:r>
      <w:r w:rsidR="00AB5773" w:rsidRPr="00154D3C">
        <w:rPr>
          <w:sz w:val="24"/>
          <w:szCs w:val="24"/>
        </w:rPr>
        <w:t xml:space="preserve"> The secondary causes mentioned in FRAX are (conservatively) assumed to confer a risk mediated by low BMD.</w:t>
      </w:r>
      <w:hyperlink w:anchor="_ENREF_18" w:tooltip="Kanis, 2008 #2668" w:history="1">
        <w:r w:rsidR="00B8363A" w:rsidRPr="00154D3C">
          <w:rPr>
            <w:sz w:val="24"/>
            <w:szCs w:val="24"/>
          </w:rPr>
          <w:fldChar w:fldCharType="begin"/>
        </w:r>
        <w:r w:rsidR="001658CA" w:rsidRPr="00154D3C">
          <w:rPr>
            <w:sz w:val="24"/>
            <w:szCs w:val="24"/>
          </w:rPr>
          <w:instrText xml:space="preserve"> ADDIN EN.CITE &lt;EndNote&gt;&lt;Cite&gt;&lt;Author&gt;Kanis&lt;/Author&gt;&lt;Year&gt;2008&lt;/Year&gt;&lt;RecNum&gt;2668&lt;/RecNum&gt;&lt;DisplayText&gt;&lt;style face="superscript"&gt;18&lt;/style&gt;&lt;/DisplayText&gt;&lt;record&gt;&lt;rec-number&gt;2668&lt;/rec-number&gt;&lt;foreign-keys&gt;&lt;key app="EN" db-id="tddepx9stepaa2ewwwy5xsraz9xvaz0x20zx" timestamp="1591535507"&gt;2668&lt;/key&gt;&lt;/foreign-keys&gt;&lt;ref-type name="Online Database"&gt;45&lt;/ref-type&gt;&lt;contributors&gt;&lt;authors&gt;&lt;author&gt;Kanis, J.&lt;/author&gt;&lt;/authors&gt;&lt;/contributors&gt;&lt;titles&gt;&lt;title&gt;Assessment of osteoporosis at the primary health-care level. &lt;/title&gt;&lt;/titles&gt;&lt;dates&gt;&lt;year&gt;2008&lt;/year&gt;&lt;/dates&gt;&lt;pub-location&gt;WHO Collaborating Centre, University of Sheffield, UK&lt;/pub-location&gt;&lt;urls&gt;&lt;related-urls&gt;&lt;url&gt;https://www.sheffield.ac.uk/FRAX/pdfs/WHO_Technical_Report.pdf&lt;/url&gt;&lt;/related-urls&gt;&lt;/urls&gt;&lt;/record&gt;&lt;/Cite&gt;&lt;/EndNote&gt;</w:instrText>
        </w:r>
        <w:r w:rsidR="00B8363A" w:rsidRPr="00154D3C">
          <w:rPr>
            <w:sz w:val="24"/>
            <w:szCs w:val="24"/>
          </w:rPr>
          <w:fldChar w:fldCharType="separate"/>
        </w:r>
        <w:r w:rsidR="001658CA" w:rsidRPr="00154D3C">
          <w:rPr>
            <w:noProof/>
            <w:sz w:val="24"/>
            <w:szCs w:val="24"/>
            <w:vertAlign w:val="superscript"/>
          </w:rPr>
          <w:t>18</w:t>
        </w:r>
        <w:r w:rsidR="00B8363A" w:rsidRPr="00154D3C">
          <w:rPr>
            <w:sz w:val="24"/>
            <w:szCs w:val="24"/>
          </w:rPr>
          <w:fldChar w:fldCharType="end"/>
        </w:r>
      </w:hyperlink>
      <w:r w:rsidR="00AB5773" w:rsidRPr="00154D3C">
        <w:rPr>
          <w:sz w:val="24"/>
          <w:szCs w:val="24"/>
        </w:rPr>
        <w:t xml:space="preserve">  The present paper is the first formal demonstration that the assumption holds true for malabsorption due to celiac disease.</w:t>
      </w:r>
    </w:p>
    <w:p w:rsidR="00CD070A" w:rsidRPr="00154D3C" w:rsidRDefault="00CD070A" w:rsidP="00AB5773">
      <w:pPr>
        <w:spacing w:line="480" w:lineRule="auto"/>
        <w:ind w:firstLine="720"/>
      </w:pPr>
      <w:r w:rsidRPr="00154D3C">
        <w:t>The Global Longitudinal Study of Osteoporosis in Women (GLOW) evaluated the effect of comorbidities on fracture risk in over 500</w:t>
      </w:r>
      <w:r w:rsidR="00510734" w:rsidRPr="00154D3C">
        <w:t>00 women.</w:t>
      </w:r>
      <w:hyperlink w:anchor="_ENREF_19" w:tooltip="Dennison, 2012 #2666" w:history="1">
        <w:r w:rsidR="00B8363A" w:rsidRPr="00154D3C">
          <w:fldChar w:fldCharType="begin">
            <w:fldData xml:space="preserve">PEVuZE5vdGU+PENpdGU+PEF1dGhvcj5EZW5uaXNvbjwvQXV0aG9yPjxZZWFyPjIwMTI8L1llYXI+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</w:fldData>
          </w:fldChar>
        </w:r>
        <w:r w:rsidR="001658CA" w:rsidRPr="00154D3C">
          <w:instrText xml:space="preserve"> ADDIN EN.CITE </w:instrText>
        </w:r>
        <w:r w:rsidR="00B8363A" w:rsidRPr="00154D3C">
          <w:fldChar w:fldCharType="begin">
            <w:fldData xml:space="preserve">PEVuZE5vdGU+PENpdGU+PEF1dGhvcj5EZW5uaXNvbjwvQXV0aG9yPjxZZWFyPjIwMTI8L1llYXI+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19</w:t>
        </w:r>
        <w:r w:rsidR="00B8363A" w:rsidRPr="00154D3C">
          <w:fldChar w:fldCharType="end"/>
        </w:r>
      </w:hyperlink>
      <w:r w:rsidR="00510734" w:rsidRPr="00154D3C">
        <w:t xml:space="preserve">  When looking at 2–year fracture rate</w:t>
      </w:r>
      <w:r w:rsidR="006F327B" w:rsidRPr="00154D3C">
        <w:t>s</w:t>
      </w:r>
      <w:r w:rsidR="00510734" w:rsidRPr="00154D3C">
        <w:t>, the age-</w:t>
      </w:r>
      <w:r w:rsidRPr="00154D3C">
        <w:t>adjusted hazard ratio for celiac disease was 1.4 (p=</w:t>
      </w:r>
      <w:r w:rsidR="009B6459" w:rsidRPr="00154D3C">
        <w:t>0</w:t>
      </w:r>
      <w:r w:rsidRPr="00154D3C">
        <w:t>.08)</w:t>
      </w:r>
      <w:r w:rsidR="00510734" w:rsidRPr="00154D3C">
        <w:t xml:space="preserve">.  </w:t>
      </w:r>
      <w:r w:rsidR="006F327B" w:rsidRPr="00154D3C">
        <w:t>In this cohort, the prevalence of celiac disease in women with incident fractures</w:t>
      </w:r>
      <w:r w:rsidR="00892610" w:rsidRPr="00154D3C">
        <w:t xml:space="preserve">, </w:t>
      </w:r>
      <w:r w:rsidR="006F327B" w:rsidRPr="00154D3C">
        <w:t xml:space="preserve">was 1.1 % in underweight women, 0.8% in non obese women and </w:t>
      </w:r>
      <w:r w:rsidR="008935D5" w:rsidRPr="00154D3C">
        <w:t>0</w:t>
      </w:r>
      <w:r w:rsidR="006F327B" w:rsidRPr="00154D3C">
        <w:t>.4% in overweight women.</w:t>
      </w:r>
      <w:hyperlink w:anchor="_ENREF_20" w:tooltip="Compston, 2014 #2663" w:history="1">
        <w:r w:rsidR="00B8363A" w:rsidRPr="00154D3C">
          <w:fldChar w:fldCharType="begin">
            <w:fldData xml:space="preserve">PEVuZE5vdGU+PENpdGU+PEF1dGhvcj5Db21wc3RvbjwvQXV0aG9yPjxZZWFyPjIwMTQ8L1llYXI+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</w:fldData>
          </w:fldChar>
        </w:r>
        <w:r w:rsidR="001658CA" w:rsidRPr="00154D3C">
          <w:instrText xml:space="preserve"> ADDIN EN.CITE </w:instrText>
        </w:r>
        <w:r w:rsidR="00B8363A" w:rsidRPr="00154D3C">
          <w:fldChar w:fldCharType="begin">
            <w:fldData xml:space="preserve">PEVuZE5vdGU+PENpdGU+PEF1dGhvcj5Db21wc3RvbjwvQXV0aG9yPjxZZWFyPjIwMTQ8L1llYXI+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20</w:t>
        </w:r>
        <w:r w:rsidR="00B8363A" w:rsidRPr="00154D3C">
          <w:fldChar w:fldCharType="end"/>
        </w:r>
      </w:hyperlink>
      <w:r w:rsidR="006F327B" w:rsidRPr="00154D3C">
        <w:t xml:space="preserve">  </w:t>
      </w:r>
      <w:r w:rsidR="00892610" w:rsidRPr="00154D3C">
        <w:t xml:space="preserve">This cohort relied on patient self report for the diagnosis of celiac disease and therefore may </w:t>
      </w:r>
      <w:r w:rsidR="00910EA4" w:rsidRPr="00154D3C">
        <w:t xml:space="preserve">have </w:t>
      </w:r>
      <w:r w:rsidR="00BF3B8F" w:rsidRPr="00154D3C">
        <w:t>overestimated the true prevalence of celiac diseas</w:t>
      </w:r>
      <w:r w:rsidR="00055E35" w:rsidRPr="00154D3C">
        <w:t>e</w:t>
      </w:r>
      <w:r w:rsidR="00BF3B8F" w:rsidRPr="00154D3C">
        <w:t>.</w:t>
      </w:r>
    </w:p>
    <w:p w:rsidR="001A5B57" w:rsidRPr="00154D3C" w:rsidRDefault="00871EBA" w:rsidP="00E95167">
      <w:pPr>
        <w:spacing w:line="480" w:lineRule="auto"/>
        <w:ind w:firstLine="720"/>
      </w:pPr>
      <w:r w:rsidRPr="00154D3C">
        <w:t xml:space="preserve">There have been several recent reports examining the ability of FRAX to predict osteoporotic fracture risk in celiac disease.  In a study which utilized US National Health and Nutrition Examination (NHANES) data, </w:t>
      </w:r>
      <w:proofErr w:type="spellStart"/>
      <w:r w:rsidRPr="00154D3C">
        <w:t>Kamycheva</w:t>
      </w:r>
      <w:proofErr w:type="spellEnd"/>
      <w:r w:rsidRPr="00154D3C">
        <w:t xml:space="preserve"> et al demonstrated that </w:t>
      </w:r>
      <w:r w:rsidR="00A975CF" w:rsidRPr="00154D3C">
        <w:t>celiac disease was an independent risk factor for osteoporotic fractures in men &gt; 40 years of age but not in women.</w:t>
      </w:r>
      <w:hyperlink w:anchor="_ENREF_21" w:tooltip="Kamycheva, 2017 #1338" w:history="1">
        <w:r w:rsidR="00B8363A" w:rsidRPr="00154D3C">
          <w:fldChar w:fldCharType="begin">
            <w:fldData xml:space="preserve">PEVuZE5vdGU+PENpdGU+PEF1dGhvcj5LYW15Y2hldmE8L0F1dGhvcj48WWVhcj4yMDE3PC9ZZWFy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</w:fldData>
          </w:fldChar>
        </w:r>
        <w:r w:rsidR="001658CA" w:rsidRPr="00154D3C">
          <w:instrText xml:space="preserve"> ADDIN EN.CITE </w:instrText>
        </w:r>
        <w:r w:rsidR="00B8363A" w:rsidRPr="00154D3C">
          <w:fldChar w:fldCharType="begin">
            <w:fldData xml:space="preserve">PEVuZE5vdGU+PENpdGU+PEF1dGhvcj5LYW15Y2hldmE8L0F1dGhvcj48WWVhcj4yMDE3PC9ZZWFy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21</w:t>
        </w:r>
        <w:r w:rsidR="00B8363A" w:rsidRPr="00154D3C">
          <w:fldChar w:fldCharType="end"/>
        </w:r>
      </w:hyperlink>
      <w:r w:rsidR="00A975CF" w:rsidRPr="00154D3C">
        <w:t xml:space="preserve">  This study was limited by the low number</w:t>
      </w:r>
      <w:r w:rsidR="00803AD1" w:rsidRPr="00154D3C">
        <w:t xml:space="preserve"> of </w:t>
      </w:r>
      <w:proofErr w:type="spellStart"/>
      <w:r w:rsidR="00C54151" w:rsidRPr="00154D3C">
        <w:t>t</w:t>
      </w:r>
      <w:r w:rsidR="00803AD1" w:rsidRPr="00154D3C">
        <w:t>TG</w:t>
      </w:r>
      <w:proofErr w:type="spellEnd"/>
      <w:r w:rsidR="00803AD1" w:rsidRPr="00154D3C">
        <w:t xml:space="preserve"> defined celiac patients; there were only sixteen male and nin</w:t>
      </w:r>
      <w:r w:rsidR="00380C60" w:rsidRPr="00154D3C">
        <w:t>e</w:t>
      </w:r>
      <w:r w:rsidR="00803AD1" w:rsidRPr="00154D3C">
        <w:t>teen</w:t>
      </w:r>
      <w:r w:rsidR="00A975CF" w:rsidRPr="00154D3C">
        <w:t xml:space="preserve"> female</w:t>
      </w:r>
      <w:r w:rsidR="00803AD1" w:rsidRPr="00154D3C">
        <w:t xml:space="preserve"> serologically positive cases amongst the cohort of </w:t>
      </w:r>
      <w:r w:rsidR="00380C60" w:rsidRPr="00154D3C">
        <w:t>5031 patients</w:t>
      </w:r>
      <w:r w:rsidR="00A975CF" w:rsidRPr="00154D3C">
        <w:t xml:space="preserve">.  </w:t>
      </w:r>
      <w:r w:rsidR="00380C60" w:rsidRPr="00154D3C">
        <w:t>Therefore, it is difficult to draw major conclusions from this study</w:t>
      </w:r>
      <w:r w:rsidR="00C95AE2" w:rsidRPr="00154D3C">
        <w:t xml:space="preserve"> and likely explains the negative findings in women</w:t>
      </w:r>
      <w:r w:rsidR="00380C60" w:rsidRPr="00154D3C">
        <w:t xml:space="preserve">.  </w:t>
      </w:r>
      <w:r w:rsidR="00A975CF" w:rsidRPr="00154D3C">
        <w:t xml:space="preserve">A second study applied </w:t>
      </w:r>
      <w:r w:rsidR="004C376C" w:rsidRPr="00154D3C">
        <w:t xml:space="preserve">FRAX </w:t>
      </w:r>
      <w:r w:rsidR="00A975CF" w:rsidRPr="00154D3C">
        <w:t>scoring to</w:t>
      </w:r>
      <w:r w:rsidR="00E106CD" w:rsidRPr="00154D3C">
        <w:t xml:space="preserve"> 160</w:t>
      </w:r>
      <w:r w:rsidR="00A975CF" w:rsidRPr="00154D3C">
        <w:t xml:space="preserve"> newly diagno</w:t>
      </w:r>
      <w:r w:rsidR="004C376C" w:rsidRPr="00154D3C">
        <w:t>sed patients with celiac disease</w:t>
      </w:r>
      <w:r w:rsidR="00380C60" w:rsidRPr="00154D3C">
        <w:t xml:space="preserve"> who were greater than 40 years old</w:t>
      </w:r>
      <w:r w:rsidR="004C376C" w:rsidRPr="00154D3C">
        <w:t>.</w:t>
      </w:r>
      <w:hyperlink w:anchor="_ENREF_22" w:tooltip="Tortora, 2018 #2222" w:history="1">
        <w:r w:rsidR="00B8363A" w:rsidRPr="00154D3C">
          <w:fldChar w:fldCharType="begin">
            <w:fldData xml:space="preserve">PEVuZE5vdGU+PENpdGU+PEF1dGhvcj5Ub3J0b3JhPC9BdXRob3I+PFllYXI+MjAxODwvWWVhcj48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</w:fldData>
          </w:fldChar>
        </w:r>
        <w:r w:rsidR="001658CA" w:rsidRPr="00154D3C">
          <w:instrText xml:space="preserve"> ADDIN EN.CITE </w:instrText>
        </w:r>
        <w:r w:rsidR="00B8363A" w:rsidRPr="00154D3C">
          <w:fldChar w:fldCharType="begin">
            <w:fldData xml:space="preserve">PEVuZE5vdGU+PENpdGU+PEF1dGhvcj5Ub3J0b3JhPC9BdXRob3I+PFllYXI+MjAxODwvWWVhcj48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22</w:t>
        </w:r>
        <w:r w:rsidR="00B8363A" w:rsidRPr="00154D3C">
          <w:fldChar w:fldCharType="end"/>
        </w:r>
      </w:hyperlink>
      <w:r w:rsidR="004C376C" w:rsidRPr="00154D3C">
        <w:t xml:space="preserve"> While this study suggested that FRAX scoring could be useful to select patients who might benefit from a BMD test, it did not test the usefulness of the FRAX score in predicting fracture risk </w:t>
      </w:r>
      <w:r w:rsidR="001A5B57" w:rsidRPr="00154D3C">
        <w:t xml:space="preserve">in established celiac disease.  </w:t>
      </w:r>
      <w:r w:rsidR="009D0B4C" w:rsidRPr="00154D3C">
        <w:t xml:space="preserve">Similar to the </w:t>
      </w:r>
      <w:proofErr w:type="spellStart"/>
      <w:r w:rsidR="00903C5E" w:rsidRPr="00154D3C">
        <w:t>Kamycheva</w:t>
      </w:r>
      <w:proofErr w:type="spellEnd"/>
      <w:r w:rsidR="00903C5E" w:rsidRPr="00154D3C">
        <w:t xml:space="preserve"> study, this study was underpowered to detect a higher facture risk in celiac disease.</w:t>
      </w:r>
      <w:r w:rsidR="0042334C" w:rsidRPr="00154D3C">
        <w:t xml:space="preserve"> Italian </w:t>
      </w:r>
      <w:r w:rsidR="00F541DE" w:rsidRPr="00154D3C">
        <w:t xml:space="preserve">study that screened 7305 patients and looked at risk factors for osteoporosis, found </w:t>
      </w:r>
      <w:r w:rsidR="003C3282" w:rsidRPr="00154D3C">
        <w:t>that</w:t>
      </w:r>
      <w:r w:rsidR="00F541DE" w:rsidRPr="00154D3C">
        <w:t xml:space="preserve"> secondary </w:t>
      </w:r>
      <w:r w:rsidR="003C3282" w:rsidRPr="00154D3C">
        <w:t>conditions including hyperthyroidism, Crohn’s disease, ulcerative colitis, hypercalciuria and celiac disease were osteoporosis risk factors in addition to FRAX, when pooled together.</w:t>
      </w:r>
      <w:hyperlink w:anchor="_ENREF_23" w:tooltip="Cavalli, 2016 #2407" w:history="1">
        <w:r w:rsidR="00B8363A" w:rsidRPr="00154D3C">
          <w:fldChar w:fldCharType="begin">
            <w:fldData xml:space="preserve">PEVuZE5vdGU+PENpdGU+PEF1dGhvcj5DYXZhbGxpPC9BdXRob3I+PFllYXI+MjAxNjwvWWVhcj48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</w:fldData>
          </w:fldChar>
        </w:r>
        <w:r w:rsidR="001658CA" w:rsidRPr="00154D3C">
          <w:instrText xml:space="preserve"> ADDIN EN.CITE </w:instrText>
        </w:r>
        <w:r w:rsidR="00B8363A" w:rsidRPr="00154D3C">
          <w:fldChar w:fldCharType="begin">
            <w:fldData xml:space="preserve">PEVuZE5vdGU+PENpdGU+PEF1dGhvcj5DYXZhbGxpPC9BdXRob3I+PFllYXI+MjAxNjwvWWVhcj48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23</w:t>
        </w:r>
        <w:r w:rsidR="00B8363A" w:rsidRPr="00154D3C">
          <w:fldChar w:fldCharType="end"/>
        </w:r>
      </w:hyperlink>
      <w:r w:rsidR="003C3282" w:rsidRPr="00154D3C">
        <w:t xml:space="preserve">  There were only 22 patients with celiac disease in this </w:t>
      </w:r>
      <w:r w:rsidR="0068140B" w:rsidRPr="00154D3C">
        <w:t>cohort and therefore the role of</w:t>
      </w:r>
      <w:r w:rsidR="00662FD6" w:rsidRPr="00154D3C">
        <w:t xml:space="preserve"> celiac disease as</w:t>
      </w:r>
      <w:r w:rsidR="0068140B" w:rsidRPr="00154D3C">
        <w:t xml:space="preserve"> an independent</w:t>
      </w:r>
      <w:r w:rsidR="00662FD6" w:rsidRPr="00154D3C">
        <w:t xml:space="preserve"> osteoporosis</w:t>
      </w:r>
      <w:r w:rsidR="0068140B" w:rsidRPr="00154D3C">
        <w:t xml:space="preserve"> risk factor is unclear</w:t>
      </w:r>
      <w:r w:rsidR="0015610B" w:rsidRPr="00154D3C">
        <w:t xml:space="preserve"> from this study</w:t>
      </w:r>
      <w:r w:rsidR="0068140B" w:rsidRPr="00154D3C">
        <w:t>.</w:t>
      </w:r>
      <w:r w:rsidR="003C3282" w:rsidRPr="00154D3C">
        <w:t xml:space="preserve"> </w:t>
      </w:r>
    </w:p>
    <w:p w:rsidR="00DF7EB3" w:rsidRPr="00154D3C" w:rsidRDefault="00DF7EB3" w:rsidP="00E95167">
      <w:pPr>
        <w:spacing w:line="480" w:lineRule="auto"/>
        <w:ind w:firstLine="720"/>
      </w:pPr>
      <w:r w:rsidRPr="00154D3C">
        <w:t>Current guidelines on the management of celiac disease do not include the use of FRAX in</w:t>
      </w:r>
      <w:r w:rsidR="00C517EE" w:rsidRPr="00154D3C">
        <w:t xml:space="preserve"> their recommendations</w:t>
      </w:r>
      <w:r w:rsidRPr="00154D3C">
        <w:t xml:space="preserve">.  </w:t>
      </w:r>
      <w:r w:rsidR="00C517EE" w:rsidRPr="00154D3C">
        <w:t>The British Society of Gastroenterology</w:t>
      </w:r>
      <w:hyperlink w:anchor="_ENREF_24" w:tooltip="Ludvigsson, 2014 #2677" w:history="1">
        <w:r w:rsidR="00B8363A" w:rsidRPr="00154D3C">
          <w:fldChar w:fldCharType="begin">
            <w:fldData xml:space="preserve">PEVuZE5vdGU+PENpdGU+PEF1dGhvcj5MdWR2aWdzc29uPC9BdXRob3I+PFllYXI+MjAxNDwvWWVh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</w:fldData>
          </w:fldChar>
        </w:r>
        <w:r w:rsidR="001658CA" w:rsidRPr="00154D3C">
          <w:instrText xml:space="preserve"> ADDIN EN.CITE </w:instrText>
        </w:r>
        <w:r w:rsidR="00B8363A" w:rsidRPr="00154D3C">
          <w:fldChar w:fldCharType="begin">
            <w:fldData xml:space="preserve">PEVuZE5vdGU+PENpdGU+PEF1dGhvcj5MdWR2aWdzc29uPC9BdXRob3I+PFllYXI+MjAxNDwvWWVh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24</w:t>
        </w:r>
        <w:r w:rsidR="00B8363A" w:rsidRPr="00154D3C">
          <w:fldChar w:fldCharType="end"/>
        </w:r>
      </w:hyperlink>
      <w:r w:rsidR="00C517EE" w:rsidRPr="00154D3C">
        <w:t xml:space="preserve"> as well as the Europ</w:t>
      </w:r>
      <w:r w:rsidR="001658CA" w:rsidRPr="00154D3C">
        <w:t>ean Society for the Study of Celiac Disease</w:t>
      </w:r>
      <w:hyperlink w:anchor="_ENREF_25" w:tooltip="Al-Toma, 2019 #2678" w:history="1">
        <w:r w:rsidR="00B8363A" w:rsidRPr="00154D3C">
          <w:fldChar w:fldCharType="begin">
            <w:fldData xml:space="preserve">PEVuZE5vdGU+PENpdGU+PEF1dGhvcj5BbC1Ub21hPC9BdXRob3I+PFllYXI+MjAxOTwvWWVhcj48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</w:fldData>
          </w:fldChar>
        </w:r>
        <w:r w:rsidR="001658CA" w:rsidRPr="00154D3C">
          <w:instrText xml:space="preserve"> ADDIN EN.CITE </w:instrText>
        </w:r>
        <w:r w:rsidR="00B8363A" w:rsidRPr="00154D3C">
          <w:fldChar w:fldCharType="begin">
            <w:fldData xml:space="preserve">PEVuZE5vdGU+PENpdGU+PEF1dGhvcj5BbC1Ub21hPC9BdXRob3I+PFllYXI+MjAxOTwvWWVhcj48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25</w:t>
        </w:r>
        <w:r w:rsidR="00B8363A" w:rsidRPr="00154D3C">
          <w:fldChar w:fldCharType="end"/>
        </w:r>
      </w:hyperlink>
      <w:r w:rsidR="00916E33" w:rsidRPr="00154D3C">
        <w:t xml:space="preserve"> guidelines recommend routine testing of BMD at baseline while the American Society of Gastroenterology guidelines</w:t>
      </w:r>
      <w:hyperlink w:anchor="_ENREF_26" w:tooltip="Rubio-Tapia, 2013 #2739" w:history="1">
        <w:r w:rsidR="00B8363A" w:rsidRPr="00154D3C">
          <w:fldChar w:fldCharType="begin">
            <w:fldData xml:space="preserve">PEVuZE5vdGU+PENpdGU+PEF1dGhvcj5SdWJpby1UYXBpYTwvQXV0aG9yPjxZZWFyPjIwMTM8L1ll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</w:fldData>
          </w:fldChar>
        </w:r>
        <w:r w:rsidR="001658CA" w:rsidRPr="00154D3C">
          <w:instrText xml:space="preserve"> ADDIN EN.CITE </w:instrText>
        </w:r>
        <w:r w:rsidR="00B8363A" w:rsidRPr="00154D3C">
          <w:fldChar w:fldCharType="begin">
            <w:fldData xml:space="preserve">PEVuZE5vdGU+PENpdGU+PEF1dGhvcj5SdWJpby1UYXBpYTwvQXV0aG9yPjxZZWFyPjIwMTM8L1ll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26</w:t>
        </w:r>
        <w:r w:rsidR="00B8363A" w:rsidRPr="00154D3C">
          <w:fldChar w:fldCharType="end"/>
        </w:r>
      </w:hyperlink>
      <w:r w:rsidR="00916E33" w:rsidRPr="00154D3C">
        <w:t xml:space="preserve"> have no recommendations for BMD testing at diagnosis or follow</w:t>
      </w:r>
      <w:r w:rsidR="001658CA" w:rsidRPr="00154D3C">
        <w:t>-</w:t>
      </w:r>
      <w:r w:rsidR="00916E33" w:rsidRPr="00154D3C">
        <w:t>up.  Our study has</w:t>
      </w:r>
      <w:r w:rsidR="001658CA" w:rsidRPr="00154D3C">
        <w:t xml:space="preserve"> validated </w:t>
      </w:r>
      <w:r w:rsidR="00F625B1" w:rsidRPr="00154D3C">
        <w:t xml:space="preserve">the use of </w:t>
      </w:r>
      <w:r w:rsidR="001658CA" w:rsidRPr="00154D3C">
        <w:t xml:space="preserve">FRAX in celiac disease and future </w:t>
      </w:r>
      <w:r w:rsidR="00916E33" w:rsidRPr="00154D3C">
        <w:t>clinical practice guidel</w:t>
      </w:r>
      <w:r w:rsidR="001658CA" w:rsidRPr="00154D3C">
        <w:t>ines should consider incorporation of FRAX estimation</w:t>
      </w:r>
      <w:r w:rsidR="00916E33" w:rsidRPr="00154D3C">
        <w:t xml:space="preserve"> in their recommendations</w:t>
      </w:r>
      <w:r w:rsidRPr="00154D3C">
        <w:t>.</w:t>
      </w:r>
    </w:p>
    <w:p w:rsidR="00E35BDB" w:rsidRPr="00154D3C" w:rsidRDefault="001A5B57" w:rsidP="00836B7C">
      <w:pPr>
        <w:spacing w:line="480" w:lineRule="auto"/>
        <w:ind w:firstLine="720"/>
      </w:pPr>
      <w:r w:rsidRPr="00154D3C">
        <w:t xml:space="preserve">There are several limitations to this study.  </w:t>
      </w:r>
      <w:r w:rsidR="0077585B" w:rsidRPr="00154D3C">
        <w:t xml:space="preserve">Males are underrepresented as the BMD database utilized in this study is a referral population with over 90% women.  Therefore, the results may not apply to men with celiac disease.  </w:t>
      </w:r>
      <w:r w:rsidR="00BF6D65" w:rsidRPr="00154D3C">
        <w:t>Dietary patterns including calcium and vitamin D intake cannot be assessed from administrative data sources.  Similarly, t</w:t>
      </w:r>
      <w:r w:rsidR="00836B7C" w:rsidRPr="00154D3C">
        <w:t xml:space="preserve">his study </w:t>
      </w:r>
      <w:r w:rsidR="00BF6D65" w:rsidRPr="00154D3C">
        <w:t xml:space="preserve">could </w:t>
      </w:r>
      <w:r w:rsidR="00836B7C" w:rsidRPr="00154D3C">
        <w:t>not evaluate gluten free diet adherence patterns in patients with celiac disease.  Strict adherence to a gluten free diet has been associated with improved bone mineral density.  Recent studies have emphasized that mucosal recovery at 2 years occurs in less than 50% of individuals on a gluten free diet,</w:t>
      </w:r>
      <w:hyperlink w:anchor="_ENREF_27" w:tooltip="Rubio-Tapia, 2010 #2327" w:history="1">
        <w:r w:rsidR="00B8363A" w:rsidRPr="00154D3C">
          <w:fldChar w:fldCharType="begin">
            <w:fldData xml:space="preserve">PEVuZE5vdGU+PENpdGU+PEF1dGhvcj5SdWJpby1UYXBpYTwvQXV0aG9yPjxZZWFyPjIwMTA8L1ll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</w:fldData>
          </w:fldChar>
        </w:r>
        <w:r w:rsidR="001658CA" w:rsidRPr="00154D3C">
          <w:instrText xml:space="preserve"> ADDIN EN.CITE </w:instrText>
        </w:r>
        <w:r w:rsidR="00B8363A" w:rsidRPr="00154D3C">
          <w:fldChar w:fldCharType="begin">
            <w:fldData xml:space="preserve">PEVuZE5vdGU+PENpdGU+PEF1dGhvcj5SdWJpby1UYXBpYTwvQXV0aG9yPjxZZWFyPjIwMTA8L1ll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</w:fldData>
          </w:fldChar>
        </w:r>
        <w:r w:rsidR="001658CA" w:rsidRPr="00154D3C">
          <w:instrText xml:space="preserve"> ADDIN EN.CITE.DATA </w:instrText>
        </w:r>
        <w:r w:rsidR="00B8363A" w:rsidRPr="00154D3C">
          <w:fldChar w:fldCharType="end"/>
        </w:r>
        <w:r w:rsidR="00B8363A" w:rsidRPr="00154D3C">
          <w:fldChar w:fldCharType="separate"/>
        </w:r>
        <w:r w:rsidR="001658CA" w:rsidRPr="00154D3C">
          <w:rPr>
            <w:noProof/>
            <w:vertAlign w:val="superscript"/>
          </w:rPr>
          <w:t>27</w:t>
        </w:r>
        <w:r w:rsidR="00B8363A" w:rsidRPr="00154D3C">
          <w:fldChar w:fldCharType="end"/>
        </w:r>
      </w:hyperlink>
      <w:r w:rsidR="00836B7C" w:rsidRPr="00154D3C">
        <w:t xml:space="preserve"> an effect that is likely related to gluten ingestion.  Therefore, there may be a subgroup of patients </w:t>
      </w:r>
      <w:r w:rsidR="003718AF" w:rsidRPr="00154D3C">
        <w:t>with</w:t>
      </w:r>
      <w:r w:rsidR="00836B7C" w:rsidRPr="00154D3C">
        <w:t xml:space="preserve"> higher MOF risk but this was not evaluated in this study.  </w:t>
      </w:r>
      <w:r w:rsidR="000961DE" w:rsidRPr="00154D3C">
        <w:t xml:space="preserve">It is possible that including BMD in FRAX  predicts MOF better than inclusion of celiac disease as a secondary osteoporosis risk factor in individuals who are adherent to a gluten free diet but this was not tested in our study.  </w:t>
      </w:r>
      <w:r w:rsidR="004E68D8" w:rsidRPr="00154D3C">
        <w:t xml:space="preserve">In addition, the celiac disease sample size was relatively small.  It was of sufficient size to allow for evaluation of overall MOF risk but did not allow for analysis </w:t>
      </w:r>
      <w:r w:rsidR="007A5C38" w:rsidRPr="00154D3C">
        <w:t xml:space="preserve">of </w:t>
      </w:r>
      <w:r w:rsidR="004E68D8" w:rsidRPr="00154D3C">
        <w:t>fracture</w:t>
      </w:r>
      <w:r w:rsidR="007A5C38" w:rsidRPr="00154D3C">
        <w:t xml:space="preserve"> subtype</w:t>
      </w:r>
      <w:r w:rsidR="004E68D8" w:rsidRPr="00154D3C">
        <w:t>s</w:t>
      </w:r>
      <w:r w:rsidR="007A5C38" w:rsidRPr="00154D3C">
        <w:t xml:space="preserve">, most notably </w:t>
      </w:r>
      <w:r w:rsidR="004E68D8" w:rsidRPr="00154D3C">
        <w:t xml:space="preserve">hip fractures. </w:t>
      </w:r>
    </w:p>
    <w:p w:rsidR="00E9359E" w:rsidRDefault="00E9359E" w:rsidP="004A362A">
      <w:pPr>
        <w:spacing w:line="480" w:lineRule="auto"/>
        <w:ind w:firstLine="720"/>
      </w:pPr>
      <w:r w:rsidRPr="00154D3C">
        <w:t xml:space="preserve">In conclusion, this study demonstrated increased major osteoporotic fracture risk in individuals with celiac disease.  </w:t>
      </w:r>
      <w:r w:rsidR="00C700B5" w:rsidRPr="00154D3C">
        <w:t xml:space="preserve">FRAX is a useful tool to stratify fracture risk in individuals with celiac disease. </w:t>
      </w:r>
      <w:r w:rsidRPr="00154D3C">
        <w:t>When celiac</w:t>
      </w:r>
      <w:r>
        <w:t xml:space="preserve"> dis</w:t>
      </w:r>
      <w:r w:rsidR="003B4238">
        <w:t>ease is considered a</w:t>
      </w:r>
      <w:r w:rsidR="00C700B5">
        <w:t>s</w:t>
      </w:r>
      <w:r w:rsidR="003B4238">
        <w:t xml:space="preserve"> </w:t>
      </w:r>
      <w:r w:rsidR="00A26D41">
        <w:t xml:space="preserve">a </w:t>
      </w:r>
      <w:r w:rsidR="003B4238">
        <w:t xml:space="preserve">secondary </w:t>
      </w:r>
      <w:r w:rsidR="00C700B5">
        <w:t xml:space="preserve">osteoporosis </w:t>
      </w:r>
      <w:r w:rsidR="007F08CC">
        <w:t xml:space="preserve">risk factor </w:t>
      </w:r>
      <w:r w:rsidR="009A2849">
        <w:t xml:space="preserve">or BMD is included </w:t>
      </w:r>
      <w:r w:rsidR="003B4238">
        <w:t xml:space="preserve">in the FRAX assessment, FRAX accurately predicts fracture risk.  </w:t>
      </w:r>
    </w:p>
    <w:p w:rsidR="00E9359E" w:rsidRDefault="00E9359E" w:rsidP="004A362A">
      <w:pPr>
        <w:spacing w:line="480" w:lineRule="auto"/>
      </w:pPr>
    </w:p>
    <w:p w:rsidR="008A7A13" w:rsidRDefault="008A7A13">
      <w:r>
        <w:br w:type="page"/>
      </w:r>
    </w:p>
    <w:p w:rsidR="00641A35" w:rsidRDefault="00641A35" w:rsidP="008A7A13">
      <w:pPr>
        <w:spacing w:line="480" w:lineRule="auto"/>
      </w:pPr>
      <w:r>
        <w:t>ACKNOWELDGEMENTS</w:t>
      </w:r>
    </w:p>
    <w:p w:rsidR="00E9359E" w:rsidRDefault="00641A35" w:rsidP="008A7A13">
      <w:pPr>
        <w:spacing w:line="480" w:lineRule="auto"/>
      </w:pPr>
      <w:r>
        <w:t>The authors acknowledge the Manitoba Centre for Health Policy (MCHP) for use of data contained in the Population Health Research Data Repository (HIPC Project Number (HIPC 2011/2012-31). The results and conclusions are those of the authors, and no official endorsement by the MCHP, Manitoba Health, or other data providers is intended or should be inferred. This article has been reviewed and approved by the members of the Manitoba Bone Density Program.</w:t>
      </w:r>
    </w:p>
    <w:p w:rsidR="00E9359E" w:rsidRDefault="00E9359E"/>
    <w:p w:rsidR="008A7A13" w:rsidRPr="00A04C5F" w:rsidRDefault="008A7A13" w:rsidP="008A7A13">
      <w:pPr>
        <w:pStyle w:val="Title"/>
        <w:spacing w:line="480" w:lineRule="auto"/>
        <w:jc w:val="left"/>
        <w:rPr>
          <w:lang w:val="en-GB"/>
        </w:rPr>
      </w:pPr>
      <w:r>
        <w:t xml:space="preserve">Funding: This study received no external funding. </w:t>
      </w:r>
      <w:r w:rsidRPr="00B03B66">
        <w:t xml:space="preserve">LML is supported by a </w:t>
      </w:r>
      <w:r>
        <w:t>Tier I Canada Research Chair</w:t>
      </w:r>
      <w:r w:rsidRPr="00B03B66">
        <w:t xml:space="preserve">. </w:t>
      </w:r>
    </w:p>
    <w:p w:rsidR="008A7A13" w:rsidRDefault="008A7A13" w:rsidP="008A7A13">
      <w:pPr>
        <w:spacing w:line="480" w:lineRule="auto"/>
        <w:ind w:firstLine="720"/>
      </w:pPr>
    </w:p>
    <w:p w:rsidR="008A7A13" w:rsidRDefault="008A7A13" w:rsidP="008A7A13">
      <w:pPr>
        <w:spacing w:line="480" w:lineRule="auto"/>
      </w:pPr>
      <w:r>
        <w:t>Ethics approval: This study was approved by the University of Manitoba Research Ethics Board</w:t>
      </w:r>
    </w:p>
    <w:p w:rsidR="008A7A13" w:rsidRDefault="008A7A13" w:rsidP="008A7A13">
      <w:pPr>
        <w:spacing w:line="480" w:lineRule="auto"/>
      </w:pPr>
      <w:r>
        <w:t>Consent to Participate:  This was a database study and therefore not applicable.</w:t>
      </w:r>
    </w:p>
    <w:p w:rsidR="008A7A13" w:rsidRDefault="008A7A13" w:rsidP="008A7A13">
      <w:pPr>
        <w:spacing w:line="480" w:lineRule="auto"/>
      </w:pPr>
      <w:r>
        <w:t>Consent for Publication:  This was a database study and therefore not applicable.</w:t>
      </w:r>
    </w:p>
    <w:p w:rsidR="008A7A13" w:rsidRDefault="008A7A13" w:rsidP="008A7A13">
      <w:pPr>
        <w:spacing w:line="480" w:lineRule="auto"/>
      </w:pPr>
    </w:p>
    <w:p w:rsidR="008A7A13" w:rsidRDefault="008A7A13" w:rsidP="008A7A13">
      <w:pPr>
        <w:spacing w:line="480" w:lineRule="auto"/>
      </w:pPr>
      <w:r>
        <w:t>Conflict of Interest:</w:t>
      </w:r>
      <w:r w:rsidRPr="00673C9C">
        <w:t xml:space="preserve"> </w:t>
      </w:r>
      <w:r>
        <w:t xml:space="preserve">   </w:t>
      </w:r>
    </w:p>
    <w:p w:rsidR="008A7A13" w:rsidRPr="00050EE1" w:rsidRDefault="008A7A13" w:rsidP="008A7A13">
      <w:pPr>
        <w:spacing w:line="480" w:lineRule="auto"/>
      </w:pPr>
      <w:r w:rsidRPr="00050EE1">
        <w:rPr>
          <w:lang w:val="en-GB"/>
        </w:rPr>
        <w:t xml:space="preserve">Donald Duerksen: Nothing to declare in the context of this paper but has served as a consultant for Takeda and </w:t>
      </w:r>
      <w:proofErr w:type="spellStart"/>
      <w:r w:rsidRPr="00050EE1">
        <w:rPr>
          <w:lang w:val="en-GB"/>
        </w:rPr>
        <w:t>Abbvie</w:t>
      </w:r>
      <w:proofErr w:type="spellEnd"/>
      <w:r w:rsidRPr="00050EE1">
        <w:rPr>
          <w:lang w:val="en-GB"/>
        </w:rPr>
        <w:t>.</w:t>
      </w:r>
    </w:p>
    <w:p w:rsidR="008A7A13" w:rsidRDefault="008A7A13" w:rsidP="008A7A13">
      <w:pPr>
        <w:spacing w:line="480" w:lineRule="auto"/>
        <w:rPr>
          <w:lang w:val="en-GB"/>
        </w:rPr>
      </w:pPr>
      <w:r>
        <w:rPr>
          <w:lang w:val="en-GB"/>
        </w:rPr>
        <w:t xml:space="preserve">Lisa </w:t>
      </w:r>
      <w:proofErr w:type="spellStart"/>
      <w:r>
        <w:rPr>
          <w:lang w:val="en-GB"/>
        </w:rPr>
        <w:t>Lix</w:t>
      </w:r>
      <w:proofErr w:type="spellEnd"/>
      <w:r>
        <w:rPr>
          <w:lang w:val="en-GB"/>
        </w:rPr>
        <w:t>: No conflicts of interest.</w:t>
      </w:r>
    </w:p>
    <w:p w:rsidR="008A7A13" w:rsidRDefault="008A7A13" w:rsidP="008A7A13">
      <w:pPr>
        <w:spacing w:line="480" w:lineRule="auto"/>
        <w:rPr>
          <w:lang w:val="en-GB"/>
        </w:rPr>
      </w:pPr>
      <w:r w:rsidRPr="003236AD">
        <w:rPr>
          <w:lang w:val="sv-SE"/>
        </w:rPr>
        <w:t>Helena Johansson</w:t>
      </w:r>
      <w:r>
        <w:rPr>
          <w:lang w:val="sv-SE"/>
        </w:rPr>
        <w:t xml:space="preserve">: </w:t>
      </w:r>
      <w:r>
        <w:rPr>
          <w:lang w:val="en-GB"/>
        </w:rPr>
        <w:t>No conflicts of interest</w:t>
      </w:r>
      <w:r>
        <w:rPr>
          <w:lang w:val="sv-SE"/>
        </w:rPr>
        <w:t>.</w:t>
      </w:r>
    </w:p>
    <w:p w:rsidR="008A7A13" w:rsidRPr="00466B5C" w:rsidRDefault="008A7A13" w:rsidP="008A7A13">
      <w:pPr>
        <w:spacing w:line="480" w:lineRule="auto"/>
      </w:pPr>
      <w:r w:rsidRPr="00050EE1">
        <w:t>Eugene McCloskey</w:t>
      </w:r>
      <w:r w:rsidRPr="00466B5C">
        <w:t xml:space="preserve">: Nothing to declare for the context of this paper, but numerous ad hoc consultancies/ speaking honoraria and/or research funding from Amgen, Bayer, General Electric, GSK, Hologic, Lilly, Merck Research Labs, Novartis, Novo Nordisk, </w:t>
      </w:r>
      <w:proofErr w:type="spellStart"/>
      <w:r w:rsidRPr="00466B5C">
        <w:t>Nycomed</w:t>
      </w:r>
      <w:proofErr w:type="spellEnd"/>
      <w:r w:rsidRPr="00466B5C">
        <w:t xml:space="preserve">, Ono, Pfizer, </w:t>
      </w:r>
      <w:proofErr w:type="spellStart"/>
      <w:r w:rsidRPr="00466B5C">
        <w:t>ProStrakan</w:t>
      </w:r>
      <w:proofErr w:type="spellEnd"/>
      <w:r w:rsidRPr="00466B5C">
        <w:t xml:space="preserve">, Roche, Sanofi-Aventis, </w:t>
      </w:r>
      <w:proofErr w:type="spellStart"/>
      <w:r w:rsidRPr="00466B5C">
        <w:t>Servier</w:t>
      </w:r>
      <w:proofErr w:type="spellEnd"/>
      <w:r w:rsidRPr="00466B5C">
        <w:t>, Tethys, UBS and Warner-Chilcott</w:t>
      </w:r>
    </w:p>
    <w:p w:rsidR="008A7A13" w:rsidRPr="00466B5C" w:rsidRDefault="008A7A13" w:rsidP="008A7A13">
      <w:pPr>
        <w:spacing w:line="480" w:lineRule="auto"/>
      </w:pPr>
      <w:r w:rsidRPr="00050EE1">
        <w:t>Nicholas Harvey</w:t>
      </w:r>
      <w:r w:rsidRPr="00466B5C">
        <w:t>: Nothing to declare for the context of this paper, but has received consultancy/ lecture fees/ honoraria/ grant funding from Allian</w:t>
      </w:r>
      <w:r>
        <w:t>ce for Better Bone Health, Amgen</w:t>
      </w:r>
      <w:r w:rsidRPr="00466B5C">
        <w:t xml:space="preserve">, MSD, Eli Lilly, </w:t>
      </w:r>
      <w:proofErr w:type="spellStart"/>
      <w:r w:rsidRPr="00466B5C">
        <w:t>Servier</w:t>
      </w:r>
      <w:proofErr w:type="spellEnd"/>
      <w:r w:rsidRPr="00466B5C">
        <w:t xml:space="preserve">, Shire, </w:t>
      </w:r>
      <w:proofErr w:type="spellStart"/>
      <w:r w:rsidRPr="00466B5C">
        <w:t>Consilient</w:t>
      </w:r>
      <w:proofErr w:type="spellEnd"/>
      <w:r w:rsidRPr="00466B5C">
        <w:t xml:space="preserve"> Healthcare</w:t>
      </w:r>
      <w:r>
        <w:t xml:space="preserve">, Radius Health, UCB, Kyowa Kirin </w:t>
      </w:r>
      <w:r w:rsidRPr="00466B5C">
        <w:t xml:space="preserve">and </w:t>
      </w:r>
      <w:proofErr w:type="spellStart"/>
      <w:r w:rsidRPr="00466B5C">
        <w:t>Internis</w:t>
      </w:r>
      <w:proofErr w:type="spellEnd"/>
      <w:r w:rsidRPr="00466B5C">
        <w:t xml:space="preserve"> Pharma.</w:t>
      </w:r>
    </w:p>
    <w:p w:rsidR="008A7A13" w:rsidRDefault="008A7A13" w:rsidP="008A7A13">
      <w:pPr>
        <w:spacing w:line="480" w:lineRule="auto"/>
      </w:pPr>
      <w:r w:rsidRPr="00050EE1">
        <w:t xml:space="preserve">John A. </w:t>
      </w:r>
      <w:proofErr w:type="spellStart"/>
      <w:r w:rsidRPr="00050EE1">
        <w:t>Kanis</w:t>
      </w:r>
      <w:proofErr w:type="spellEnd"/>
      <w:r w:rsidRPr="00466B5C">
        <w:t xml:space="preserve">: </w:t>
      </w:r>
      <w:r w:rsidRPr="0020572C">
        <w:t>Nothing to declare in the context of this paper</w:t>
      </w:r>
      <w:r>
        <w:t>.  Has received</w:t>
      </w:r>
      <w:r w:rsidRPr="0020572C">
        <w:t xml:space="preserve"> </w:t>
      </w:r>
      <w:r>
        <w:t>g</w:t>
      </w:r>
      <w:r w:rsidRPr="00466B5C">
        <w:t xml:space="preserve">rants from Amgen, Lilly, </w:t>
      </w:r>
      <w:r>
        <w:t xml:space="preserve">Radius Health </w:t>
      </w:r>
    </w:p>
    <w:p w:rsidR="008A7A13" w:rsidRDefault="008A7A13" w:rsidP="008A7A13">
      <w:pPr>
        <w:spacing w:line="480" w:lineRule="auto"/>
      </w:pPr>
      <w:r>
        <w:t xml:space="preserve">William Leslie: </w:t>
      </w:r>
      <w:r>
        <w:rPr>
          <w:lang w:val="en-GB"/>
        </w:rPr>
        <w:t>No conflicts of interest.</w:t>
      </w:r>
    </w:p>
    <w:p w:rsidR="001471DB" w:rsidRDefault="001471DB">
      <w:r>
        <w:br w:type="page"/>
      </w:r>
    </w:p>
    <w:p w:rsidR="00E9359E" w:rsidRDefault="00E9359E">
      <w:r>
        <w:t>References</w:t>
      </w:r>
    </w:p>
    <w:p w:rsidR="00E9359E" w:rsidRDefault="00E9359E"/>
    <w:p w:rsidR="001658CA" w:rsidRPr="001658CA" w:rsidRDefault="00B8363A" w:rsidP="001658CA">
      <w:pPr>
        <w:pStyle w:val="EndNoteBibliography"/>
        <w:ind w:left="720" w:hanging="720"/>
        <w:rPr>
          <w:noProof/>
        </w:rPr>
      </w:pPr>
      <w:r w:rsidRPr="005E114A">
        <w:rPr>
          <w:rFonts w:ascii="Times New Roman" w:hAnsi="Times New Roman" w:cs="Times New Roman"/>
        </w:rPr>
        <w:fldChar w:fldCharType="begin"/>
      </w:r>
      <w:r w:rsidR="00AE0E18" w:rsidRPr="005E114A">
        <w:rPr>
          <w:rFonts w:ascii="Times New Roman" w:hAnsi="Times New Roman" w:cs="Times New Roman"/>
        </w:rPr>
        <w:instrText xml:space="preserve"> ADDIN EN.REFLIST </w:instrText>
      </w:r>
      <w:r w:rsidRPr="005E114A">
        <w:rPr>
          <w:rFonts w:ascii="Times New Roman" w:hAnsi="Times New Roman" w:cs="Times New Roman"/>
        </w:rPr>
        <w:fldChar w:fldCharType="separate"/>
      </w:r>
      <w:bookmarkStart w:id="1" w:name="_ENREF_1"/>
      <w:r w:rsidR="001658CA" w:rsidRPr="001658CA">
        <w:rPr>
          <w:noProof/>
        </w:rPr>
        <w:t>1.</w:t>
      </w:r>
      <w:r w:rsidR="001658CA" w:rsidRPr="001658CA">
        <w:rPr>
          <w:noProof/>
        </w:rPr>
        <w:tab/>
        <w:t>Lebwohl B, Sanders DS, Green PHR. Coeliac disease. Lancet 2018;391:70-81.</w:t>
      </w:r>
      <w:bookmarkEnd w:id="1"/>
    </w:p>
    <w:p w:rsidR="001658CA" w:rsidRPr="001658CA" w:rsidRDefault="001658CA" w:rsidP="001658CA">
      <w:pPr>
        <w:pStyle w:val="EndNoteBibliography"/>
        <w:ind w:left="720" w:hanging="720"/>
        <w:rPr>
          <w:noProof/>
        </w:rPr>
      </w:pPr>
      <w:bookmarkStart w:id="2" w:name="_ENREF_2"/>
      <w:r w:rsidRPr="001658CA">
        <w:rPr>
          <w:noProof/>
        </w:rPr>
        <w:t>2.</w:t>
      </w:r>
      <w:r w:rsidRPr="001658CA">
        <w:rPr>
          <w:noProof/>
        </w:rPr>
        <w:tab/>
        <w:t>Bernstein CN, Leslie WD, Leboff MS. AGA technical review on osteoporosis in gastrointestinal diseases. Gastroenterology 2003;124:795-841.</w:t>
      </w:r>
      <w:bookmarkEnd w:id="2"/>
    </w:p>
    <w:p w:rsidR="001658CA" w:rsidRPr="001658CA" w:rsidRDefault="001658CA" w:rsidP="001658CA">
      <w:pPr>
        <w:pStyle w:val="EndNoteBibliography"/>
        <w:ind w:left="720" w:hanging="720"/>
        <w:rPr>
          <w:noProof/>
        </w:rPr>
      </w:pPr>
      <w:bookmarkStart w:id="3" w:name="_ENREF_3"/>
      <w:r w:rsidRPr="001658CA">
        <w:rPr>
          <w:noProof/>
        </w:rPr>
        <w:t>3.</w:t>
      </w:r>
      <w:r w:rsidRPr="001658CA">
        <w:rPr>
          <w:noProof/>
        </w:rPr>
        <w:tab/>
        <w:t>Larussa T, Suraci E, Nazionale I, et al. Bone mineralization in celiac disease. Gastroenterol Res Pract 2012;2012:198025.</w:t>
      </w:r>
      <w:bookmarkEnd w:id="3"/>
    </w:p>
    <w:p w:rsidR="001658CA" w:rsidRPr="001658CA" w:rsidRDefault="001658CA" w:rsidP="001658CA">
      <w:pPr>
        <w:pStyle w:val="EndNoteBibliography"/>
        <w:ind w:left="720" w:hanging="720"/>
        <w:rPr>
          <w:noProof/>
        </w:rPr>
      </w:pPr>
      <w:bookmarkStart w:id="4" w:name="_ENREF_4"/>
      <w:r w:rsidRPr="001658CA">
        <w:rPr>
          <w:noProof/>
        </w:rPr>
        <w:t>4.</w:t>
      </w:r>
      <w:r w:rsidRPr="001658CA">
        <w:rPr>
          <w:noProof/>
        </w:rPr>
        <w:tab/>
        <w:t>Grace-Farfaglia P. Bones of contention: bone mineral density recovery in celiac disease--a systematic review. Nutrients 2015;7:3347-69.</w:t>
      </w:r>
      <w:bookmarkEnd w:id="4"/>
    </w:p>
    <w:p w:rsidR="001658CA" w:rsidRPr="001658CA" w:rsidRDefault="001658CA" w:rsidP="001658CA">
      <w:pPr>
        <w:pStyle w:val="EndNoteBibliography"/>
        <w:ind w:left="720" w:hanging="720"/>
        <w:rPr>
          <w:noProof/>
        </w:rPr>
      </w:pPr>
      <w:bookmarkStart w:id="5" w:name="_ENREF_5"/>
      <w:r w:rsidRPr="001658CA">
        <w:rPr>
          <w:noProof/>
        </w:rPr>
        <w:t>5.</w:t>
      </w:r>
      <w:r w:rsidRPr="001658CA">
        <w:rPr>
          <w:noProof/>
        </w:rPr>
        <w:tab/>
        <w:t>Heikkila K, Pearce J, Maki M, et al. Celiac disease and bone fractures: a systematic review and meta-analysis. J Clin Endocrinol Metab 2015;100:25-34.</w:t>
      </w:r>
      <w:bookmarkEnd w:id="5"/>
    </w:p>
    <w:p w:rsidR="001658CA" w:rsidRPr="001658CA" w:rsidRDefault="001658CA" w:rsidP="001658CA">
      <w:pPr>
        <w:pStyle w:val="EndNoteBibliography"/>
        <w:ind w:left="720" w:hanging="720"/>
        <w:rPr>
          <w:noProof/>
        </w:rPr>
      </w:pPr>
      <w:bookmarkStart w:id="6" w:name="_ENREF_6"/>
      <w:r w:rsidRPr="001658CA">
        <w:rPr>
          <w:noProof/>
        </w:rPr>
        <w:t>6.</w:t>
      </w:r>
      <w:r w:rsidRPr="001658CA">
        <w:rPr>
          <w:noProof/>
        </w:rPr>
        <w:tab/>
        <w:t>Kanis JA, Oden A, Johnell O, et al. The use of clinical risk factors enhances the performance of BMD in the prediction of hip and osteoporotic fractures in men and women. Osteoporos Int 2007;18:1033-46.</w:t>
      </w:r>
      <w:bookmarkEnd w:id="6"/>
    </w:p>
    <w:p w:rsidR="001658CA" w:rsidRPr="001658CA" w:rsidRDefault="001658CA" w:rsidP="001658CA">
      <w:pPr>
        <w:pStyle w:val="EndNoteBibliography"/>
        <w:ind w:left="720" w:hanging="720"/>
        <w:rPr>
          <w:noProof/>
        </w:rPr>
      </w:pPr>
      <w:bookmarkStart w:id="7" w:name="_ENREF_7"/>
      <w:r w:rsidRPr="001658CA">
        <w:rPr>
          <w:noProof/>
        </w:rPr>
        <w:t>7.</w:t>
      </w:r>
      <w:r w:rsidRPr="001658CA">
        <w:rPr>
          <w:noProof/>
        </w:rPr>
        <w:tab/>
        <w:t>Kanis JA, Harvey NC, Cooper C, et al. A systematic review of intervention thresholds based on FRAX : A report prepared for the National Osteoporosis Guideline Group and the International Osteoporosis Foundation. Arch Osteoporos 2016;11:25.</w:t>
      </w:r>
      <w:bookmarkEnd w:id="7"/>
    </w:p>
    <w:p w:rsidR="001658CA" w:rsidRPr="001658CA" w:rsidRDefault="001658CA" w:rsidP="001658CA">
      <w:pPr>
        <w:pStyle w:val="EndNoteBibliography"/>
        <w:ind w:left="720" w:hanging="720"/>
        <w:rPr>
          <w:noProof/>
        </w:rPr>
      </w:pPr>
      <w:bookmarkStart w:id="8" w:name="_ENREF_8"/>
      <w:r w:rsidRPr="001658CA">
        <w:rPr>
          <w:noProof/>
        </w:rPr>
        <w:t>8.</w:t>
      </w:r>
      <w:r w:rsidRPr="001658CA">
        <w:rPr>
          <w:noProof/>
        </w:rPr>
        <w:tab/>
        <w:t>Leslie WD, Metge C. Establishing a regional bone density program: lessons from the Manitoba experience. Journal of clinical densitometry 2003;6:275-82.</w:t>
      </w:r>
      <w:bookmarkEnd w:id="8"/>
    </w:p>
    <w:p w:rsidR="001658CA" w:rsidRPr="001658CA" w:rsidRDefault="001658CA" w:rsidP="001658CA">
      <w:pPr>
        <w:pStyle w:val="EndNoteBibliography"/>
        <w:ind w:left="720" w:hanging="720"/>
        <w:rPr>
          <w:noProof/>
        </w:rPr>
      </w:pPr>
      <w:bookmarkStart w:id="9" w:name="_ENREF_9"/>
      <w:r w:rsidRPr="001658CA">
        <w:rPr>
          <w:noProof/>
        </w:rPr>
        <w:t>9.</w:t>
      </w:r>
      <w:r w:rsidRPr="001658CA">
        <w:rPr>
          <w:noProof/>
        </w:rPr>
        <w:tab/>
        <w:t>Leslie WD, Caetano PA, Macwilliam LR, et al. Construction and validation of a population-based bone densitometry database. J Clin Densitom 2005;8:25-30.</w:t>
      </w:r>
      <w:bookmarkEnd w:id="9"/>
    </w:p>
    <w:p w:rsidR="001658CA" w:rsidRPr="001658CA" w:rsidRDefault="001658CA" w:rsidP="001658CA">
      <w:pPr>
        <w:pStyle w:val="EndNoteBibliography"/>
        <w:ind w:left="720" w:hanging="720"/>
        <w:rPr>
          <w:noProof/>
        </w:rPr>
      </w:pPr>
      <w:bookmarkStart w:id="10" w:name="_ENREF_10"/>
      <w:r w:rsidRPr="001658CA">
        <w:rPr>
          <w:noProof/>
        </w:rPr>
        <w:t>10.</w:t>
      </w:r>
      <w:r w:rsidRPr="001658CA">
        <w:rPr>
          <w:noProof/>
        </w:rPr>
        <w:tab/>
        <w:t>Duerksen DR, Lix LM, Leslie WD. Development of an administrative definition for celiac disease. BMC Res Notes 2019;12:661.</w:t>
      </w:r>
      <w:bookmarkEnd w:id="10"/>
    </w:p>
    <w:p w:rsidR="001658CA" w:rsidRPr="001658CA" w:rsidRDefault="001658CA" w:rsidP="001658CA">
      <w:pPr>
        <w:pStyle w:val="EndNoteBibliography"/>
        <w:ind w:left="720" w:hanging="720"/>
        <w:rPr>
          <w:noProof/>
        </w:rPr>
      </w:pPr>
      <w:bookmarkStart w:id="11" w:name="_ENREF_11"/>
      <w:r w:rsidRPr="001658CA">
        <w:rPr>
          <w:noProof/>
        </w:rPr>
        <w:t>11.</w:t>
      </w:r>
      <w:r w:rsidRPr="001658CA">
        <w:rPr>
          <w:noProof/>
        </w:rPr>
        <w:tab/>
        <w:t>Toftedal P, Nielsen C, Madsen JT, et al. Positive predictive value of serological diagnostic measures in celiac disease. Clin Chem Lab Med 2010;48:685-91.</w:t>
      </w:r>
      <w:bookmarkEnd w:id="11"/>
    </w:p>
    <w:p w:rsidR="001658CA" w:rsidRPr="001658CA" w:rsidRDefault="001658CA" w:rsidP="001658CA">
      <w:pPr>
        <w:pStyle w:val="EndNoteBibliography"/>
        <w:ind w:left="720" w:hanging="720"/>
        <w:rPr>
          <w:noProof/>
        </w:rPr>
      </w:pPr>
      <w:bookmarkStart w:id="12" w:name="_ENREF_12"/>
      <w:r w:rsidRPr="001658CA">
        <w:rPr>
          <w:noProof/>
        </w:rPr>
        <w:t>12.</w:t>
      </w:r>
      <w:r w:rsidRPr="001658CA">
        <w:rPr>
          <w:noProof/>
        </w:rPr>
        <w:tab/>
        <w:t>Lix LM, Azimaee M, Osman BA, et al. Osteoporosis-related fracture case definitions for population-based administrative data. BMC Public Health 2012;12:301.</w:t>
      </w:r>
      <w:bookmarkEnd w:id="12"/>
    </w:p>
    <w:p w:rsidR="001658CA" w:rsidRPr="001658CA" w:rsidRDefault="001658CA" w:rsidP="001658CA">
      <w:pPr>
        <w:pStyle w:val="EndNoteBibliography"/>
        <w:ind w:left="720" w:hanging="720"/>
        <w:rPr>
          <w:noProof/>
        </w:rPr>
      </w:pPr>
      <w:bookmarkStart w:id="13" w:name="_ENREF_13"/>
      <w:r w:rsidRPr="001658CA">
        <w:rPr>
          <w:noProof/>
        </w:rPr>
        <w:t>13.</w:t>
      </w:r>
      <w:r w:rsidRPr="001658CA">
        <w:rPr>
          <w:noProof/>
        </w:rPr>
        <w:tab/>
        <w:t>Epp R AM, Ward L, Leslie WD. Radiological validation of fracture definitions from administrative data. J Bone Miner Res 2018;33:S275.</w:t>
      </w:r>
      <w:bookmarkEnd w:id="13"/>
    </w:p>
    <w:p w:rsidR="001658CA" w:rsidRPr="001658CA" w:rsidRDefault="001658CA" w:rsidP="001658CA">
      <w:pPr>
        <w:pStyle w:val="EndNoteBibliography"/>
        <w:ind w:left="720" w:hanging="720"/>
        <w:rPr>
          <w:noProof/>
        </w:rPr>
      </w:pPr>
      <w:bookmarkStart w:id="14" w:name="_ENREF_14"/>
      <w:r w:rsidRPr="001658CA">
        <w:rPr>
          <w:noProof/>
        </w:rPr>
        <w:t>14.</w:t>
      </w:r>
      <w:r w:rsidRPr="001658CA">
        <w:rPr>
          <w:noProof/>
        </w:rPr>
        <w:tab/>
        <w:t>Leslie WD. The importance of spectrum bias on bone density monitoring in clinical practice. Bone 2006;39:361-8.</w:t>
      </w:r>
      <w:bookmarkEnd w:id="14"/>
    </w:p>
    <w:p w:rsidR="001658CA" w:rsidRPr="001658CA" w:rsidRDefault="001658CA" w:rsidP="001658CA">
      <w:pPr>
        <w:pStyle w:val="EndNoteBibliography"/>
        <w:ind w:left="720" w:hanging="720"/>
        <w:rPr>
          <w:noProof/>
        </w:rPr>
      </w:pPr>
      <w:bookmarkStart w:id="15" w:name="_ENREF_15"/>
      <w:r w:rsidRPr="001658CA">
        <w:rPr>
          <w:noProof/>
        </w:rPr>
        <w:t>15.</w:t>
      </w:r>
      <w:r w:rsidRPr="001658CA">
        <w:rPr>
          <w:noProof/>
        </w:rPr>
        <w:tab/>
        <w:t>Leslie WD, Lix LM, Johansson H, et al. Independent clinical validation of a Canadian FRAX tool: fracture prediction and model calibration. J Bone Miner Res 2010;25:2350-8.</w:t>
      </w:r>
      <w:bookmarkEnd w:id="15"/>
    </w:p>
    <w:p w:rsidR="001658CA" w:rsidRPr="001658CA" w:rsidRDefault="001658CA" w:rsidP="001658CA">
      <w:pPr>
        <w:pStyle w:val="EndNoteBibliography"/>
        <w:ind w:left="720" w:hanging="720"/>
        <w:rPr>
          <w:noProof/>
        </w:rPr>
      </w:pPr>
      <w:bookmarkStart w:id="16" w:name="_ENREF_16"/>
      <w:r w:rsidRPr="001658CA">
        <w:rPr>
          <w:noProof/>
        </w:rPr>
        <w:t>16.</w:t>
      </w:r>
      <w:r w:rsidRPr="001658CA">
        <w:rPr>
          <w:noProof/>
        </w:rPr>
        <w:tab/>
        <w:t>Kozyrskyj AL, Mustard CA. Validation of an electronic, population-based prescription database. Ann Pharmacother 1998;32:1152-1157.</w:t>
      </w:r>
      <w:bookmarkEnd w:id="16"/>
    </w:p>
    <w:p w:rsidR="001658CA" w:rsidRPr="001658CA" w:rsidRDefault="001658CA" w:rsidP="001658CA">
      <w:pPr>
        <w:pStyle w:val="EndNoteBibliography"/>
        <w:ind w:left="720" w:hanging="720"/>
        <w:rPr>
          <w:noProof/>
        </w:rPr>
      </w:pPr>
      <w:bookmarkStart w:id="17" w:name="_ENREF_17"/>
      <w:r w:rsidRPr="001658CA">
        <w:rPr>
          <w:noProof/>
        </w:rPr>
        <w:t>17.</w:t>
      </w:r>
      <w:r w:rsidRPr="001658CA">
        <w:rPr>
          <w:noProof/>
        </w:rPr>
        <w:tab/>
        <w:t>Micic D, Rao VL, Semrad CE. Celiac Disease and Its Role in the Development of Metabolic Bone Disease. J Clin Densitom 2019.</w:t>
      </w:r>
      <w:bookmarkEnd w:id="17"/>
    </w:p>
    <w:p w:rsidR="001658CA" w:rsidRPr="001658CA" w:rsidRDefault="001658CA" w:rsidP="001658CA">
      <w:pPr>
        <w:pStyle w:val="EndNoteBibliography"/>
        <w:ind w:left="720" w:hanging="720"/>
        <w:rPr>
          <w:noProof/>
        </w:rPr>
      </w:pPr>
      <w:bookmarkStart w:id="18" w:name="_ENREF_18"/>
      <w:r w:rsidRPr="001658CA">
        <w:rPr>
          <w:noProof/>
        </w:rPr>
        <w:t>18.</w:t>
      </w:r>
      <w:r w:rsidRPr="001658CA">
        <w:rPr>
          <w:noProof/>
        </w:rPr>
        <w:tab/>
        <w:t>Kanis J. Assessment of osteoporosis at the primary health-care level. . WHO Collaborating Centre, University of Sheffield, UK, 2008.</w:t>
      </w:r>
      <w:bookmarkEnd w:id="18"/>
    </w:p>
    <w:p w:rsidR="001658CA" w:rsidRPr="001658CA" w:rsidRDefault="001658CA" w:rsidP="001658CA">
      <w:pPr>
        <w:pStyle w:val="EndNoteBibliography"/>
        <w:ind w:left="720" w:hanging="720"/>
        <w:rPr>
          <w:noProof/>
        </w:rPr>
      </w:pPr>
      <w:bookmarkStart w:id="19" w:name="_ENREF_19"/>
      <w:r w:rsidRPr="001658CA">
        <w:rPr>
          <w:noProof/>
        </w:rPr>
        <w:t>19.</w:t>
      </w:r>
      <w:r w:rsidRPr="001658CA">
        <w:rPr>
          <w:noProof/>
        </w:rPr>
        <w:tab/>
        <w:t>Dennison EM, Compston JE, Flahive J, et al. Effect of co-morbidities on fracture risk: findings from the Global Longitudinal Study of Osteoporosis in Women (GLOW). Bone 2012;50:1288-93.</w:t>
      </w:r>
      <w:bookmarkEnd w:id="19"/>
    </w:p>
    <w:p w:rsidR="001658CA" w:rsidRPr="001658CA" w:rsidRDefault="001658CA" w:rsidP="001658CA">
      <w:pPr>
        <w:pStyle w:val="EndNoteBibliography"/>
        <w:ind w:left="720" w:hanging="720"/>
        <w:rPr>
          <w:noProof/>
        </w:rPr>
      </w:pPr>
      <w:bookmarkStart w:id="20" w:name="_ENREF_20"/>
      <w:r w:rsidRPr="001658CA">
        <w:rPr>
          <w:noProof/>
        </w:rPr>
        <w:t>20.</w:t>
      </w:r>
      <w:r w:rsidRPr="001658CA">
        <w:rPr>
          <w:noProof/>
        </w:rPr>
        <w:tab/>
        <w:t>Compston JE, Flahive J, Hooven FH, et al. Obesity, health-care utilization, and health-related quality of life after fracture in postmenopausal women: Global Longitudinal Study of Osteoporosis in Women (GLOW). Calcif Tissue Int 2014;94:223-31.</w:t>
      </w:r>
      <w:bookmarkEnd w:id="20"/>
    </w:p>
    <w:p w:rsidR="001658CA" w:rsidRPr="001658CA" w:rsidRDefault="001658CA" w:rsidP="001658CA">
      <w:pPr>
        <w:pStyle w:val="EndNoteBibliography"/>
        <w:ind w:left="720" w:hanging="720"/>
        <w:rPr>
          <w:noProof/>
        </w:rPr>
      </w:pPr>
      <w:bookmarkStart w:id="21" w:name="_ENREF_21"/>
      <w:r w:rsidRPr="001658CA">
        <w:rPr>
          <w:noProof/>
        </w:rPr>
        <w:t>21.</w:t>
      </w:r>
      <w:r w:rsidRPr="001658CA">
        <w:rPr>
          <w:noProof/>
        </w:rPr>
        <w:tab/>
        <w:t>Kamycheva E, Goto T, Camargo CA, Jr. Celiac disease is associated with reduced bone mineral density and increased FRAX scores in the US National Health and Nutrition Examination Survey. Osteoporos Int 2017;28:781-790.</w:t>
      </w:r>
      <w:bookmarkEnd w:id="21"/>
    </w:p>
    <w:p w:rsidR="001658CA" w:rsidRPr="001658CA" w:rsidRDefault="001658CA" w:rsidP="001658CA">
      <w:pPr>
        <w:pStyle w:val="EndNoteBibliography"/>
        <w:ind w:left="720" w:hanging="720"/>
        <w:rPr>
          <w:noProof/>
        </w:rPr>
      </w:pPr>
      <w:bookmarkStart w:id="22" w:name="_ENREF_22"/>
      <w:r w:rsidRPr="001658CA">
        <w:rPr>
          <w:noProof/>
        </w:rPr>
        <w:t>22.</w:t>
      </w:r>
      <w:r w:rsidRPr="001658CA">
        <w:rPr>
          <w:noProof/>
        </w:rPr>
        <w:tab/>
        <w:t>Tortora R, Imperatore N, Capone P, et al. FRAX Score Can Be Used to Avoid Superfluous DXA Scans in Detecting Osteoporosis in Celiac Disease: Accuracy of the FRAX Score in Celiac Patients. J Clin Densitom 2018;21:315-321.</w:t>
      </w:r>
      <w:bookmarkEnd w:id="22"/>
    </w:p>
    <w:p w:rsidR="001658CA" w:rsidRPr="00B8084A" w:rsidRDefault="001658CA" w:rsidP="001658CA">
      <w:pPr>
        <w:pStyle w:val="EndNoteBibliography"/>
        <w:ind w:left="720" w:hanging="720"/>
        <w:rPr>
          <w:noProof/>
          <w:lang w:val="fr-CA"/>
        </w:rPr>
      </w:pPr>
      <w:bookmarkStart w:id="23" w:name="_ENREF_23"/>
      <w:r w:rsidRPr="001658CA">
        <w:rPr>
          <w:noProof/>
        </w:rPr>
        <w:t>23.</w:t>
      </w:r>
      <w:r w:rsidRPr="001658CA">
        <w:rPr>
          <w:noProof/>
        </w:rPr>
        <w:tab/>
        <w:t xml:space="preserve">Cavalli L, Guazzini A, Cianferotti L, et al. Prevalence of osteoporosis in the Italian population and main risk factors: results of BoneTour Campaign. </w:t>
      </w:r>
      <w:r w:rsidRPr="00B8084A">
        <w:rPr>
          <w:noProof/>
          <w:lang w:val="fr-CA"/>
        </w:rPr>
        <w:t>BMC Musculoskelet Disord 2016;17:396.</w:t>
      </w:r>
      <w:bookmarkEnd w:id="23"/>
    </w:p>
    <w:p w:rsidR="001658CA" w:rsidRPr="00B8084A" w:rsidRDefault="001658CA" w:rsidP="001658CA">
      <w:pPr>
        <w:pStyle w:val="EndNoteBibliography"/>
        <w:ind w:left="720" w:hanging="720"/>
        <w:rPr>
          <w:noProof/>
          <w:lang w:val="fr-CA"/>
        </w:rPr>
      </w:pPr>
      <w:bookmarkStart w:id="24" w:name="_ENREF_24"/>
      <w:r w:rsidRPr="00B8084A">
        <w:rPr>
          <w:noProof/>
          <w:lang w:val="fr-CA"/>
        </w:rPr>
        <w:t>24.</w:t>
      </w:r>
      <w:r w:rsidRPr="00B8084A">
        <w:rPr>
          <w:noProof/>
          <w:lang w:val="fr-CA"/>
        </w:rPr>
        <w:tab/>
        <w:t xml:space="preserve">Ludvigsson JF, Bai JC, Biagi F, et al. </w:t>
      </w:r>
      <w:r w:rsidRPr="001658CA">
        <w:rPr>
          <w:noProof/>
        </w:rPr>
        <w:t xml:space="preserve">Diagnosis and management of adult coeliac disease: guidelines from the British Society of Gastroenterology. </w:t>
      </w:r>
      <w:r w:rsidRPr="00B8084A">
        <w:rPr>
          <w:noProof/>
          <w:lang w:val="fr-CA"/>
        </w:rPr>
        <w:t>Gut 2014;63:1210-28.</w:t>
      </w:r>
      <w:bookmarkEnd w:id="24"/>
    </w:p>
    <w:p w:rsidR="001658CA" w:rsidRPr="001658CA" w:rsidRDefault="001658CA" w:rsidP="001658CA">
      <w:pPr>
        <w:pStyle w:val="EndNoteBibliography"/>
        <w:ind w:left="720" w:hanging="720"/>
        <w:rPr>
          <w:noProof/>
        </w:rPr>
      </w:pPr>
      <w:bookmarkStart w:id="25" w:name="_ENREF_25"/>
      <w:r w:rsidRPr="00B8084A">
        <w:rPr>
          <w:noProof/>
          <w:lang w:val="fr-CA"/>
        </w:rPr>
        <w:t>25.</w:t>
      </w:r>
      <w:r w:rsidRPr="00B8084A">
        <w:rPr>
          <w:noProof/>
          <w:lang w:val="fr-CA"/>
        </w:rPr>
        <w:tab/>
        <w:t xml:space="preserve">Al-Toma A, Volta U, Auricchio R, et al. </w:t>
      </w:r>
      <w:r w:rsidRPr="001658CA">
        <w:rPr>
          <w:noProof/>
        </w:rPr>
        <w:t>European Society for the Study of Coeliac Disease (ESsCD) guideline for coeliac disease and other gluten-related disorders. United European Gastroenterol J 2019;7:583-613.</w:t>
      </w:r>
      <w:bookmarkEnd w:id="25"/>
    </w:p>
    <w:p w:rsidR="001658CA" w:rsidRPr="001658CA" w:rsidRDefault="001658CA" w:rsidP="001658CA">
      <w:pPr>
        <w:pStyle w:val="EndNoteBibliography"/>
        <w:ind w:left="720" w:hanging="720"/>
        <w:rPr>
          <w:noProof/>
        </w:rPr>
      </w:pPr>
      <w:bookmarkStart w:id="26" w:name="_ENREF_26"/>
      <w:r w:rsidRPr="001658CA">
        <w:rPr>
          <w:noProof/>
        </w:rPr>
        <w:t>26.</w:t>
      </w:r>
      <w:r w:rsidRPr="001658CA">
        <w:rPr>
          <w:noProof/>
        </w:rPr>
        <w:tab/>
        <w:t>Rubio-Tapia A, Hill ID, Kelly CP, et al. ACG clinical guidelines: diagnosis and management of celiac disease. Am J Gastroenterol 2013;108:656-76; quiz 677.</w:t>
      </w:r>
      <w:bookmarkEnd w:id="26"/>
    </w:p>
    <w:p w:rsidR="001658CA" w:rsidRPr="001658CA" w:rsidRDefault="001658CA" w:rsidP="001658CA">
      <w:pPr>
        <w:pStyle w:val="EndNoteBibliography"/>
        <w:ind w:left="720" w:hanging="720"/>
        <w:rPr>
          <w:noProof/>
        </w:rPr>
      </w:pPr>
      <w:bookmarkStart w:id="27" w:name="_ENREF_27"/>
      <w:r w:rsidRPr="001658CA">
        <w:rPr>
          <w:noProof/>
        </w:rPr>
        <w:t>27.</w:t>
      </w:r>
      <w:r w:rsidRPr="001658CA">
        <w:rPr>
          <w:noProof/>
        </w:rPr>
        <w:tab/>
        <w:t>Rubio-Tapia A, Rahim MW, See JA, et al. Mucosal recovery and mortality in adults with celiac disease after treatment with a gluten-free diet. Am J Gastroenterol 2010;105:1412-20.</w:t>
      </w:r>
      <w:bookmarkEnd w:id="27"/>
    </w:p>
    <w:p w:rsidR="00756EE6" w:rsidRDefault="00B8363A" w:rsidP="005E114A">
      <w:pPr>
        <w:spacing w:line="480" w:lineRule="auto"/>
      </w:pPr>
      <w:r w:rsidRPr="005E114A">
        <w:rPr>
          <w:rFonts w:cs="Times New Roman"/>
        </w:rPr>
        <w:fldChar w:fldCharType="end"/>
      </w:r>
    </w:p>
    <w:p w:rsidR="00FB02A3" w:rsidRDefault="00FB02A3">
      <w:r>
        <w:br w:type="page"/>
      </w:r>
    </w:p>
    <w:p w:rsidR="00FB02A3" w:rsidRDefault="00DC1503">
      <w:r>
        <w:t xml:space="preserve">Table 1 Characteristics of </w:t>
      </w:r>
      <w:r w:rsidR="00861438">
        <w:t>General</w:t>
      </w:r>
      <w:r w:rsidR="00E778FE">
        <w:t xml:space="preserve"> </w:t>
      </w:r>
      <w:r w:rsidR="002B7C75">
        <w:t xml:space="preserve">Population </w:t>
      </w:r>
      <w:r w:rsidR="00E778FE">
        <w:t>and Celiac Disease</w:t>
      </w:r>
      <w:r w:rsidR="00407A58">
        <w:t xml:space="preserve"> </w:t>
      </w:r>
      <w:r w:rsidR="002B7C75">
        <w:t xml:space="preserve">Cohorts </w:t>
      </w:r>
    </w:p>
    <w:p w:rsidR="00275BCF" w:rsidRDefault="00275BCF"/>
    <w:tbl>
      <w:tblPr>
        <w:tblStyle w:val="TableGrid"/>
        <w:tblW w:w="0" w:type="auto"/>
        <w:tblLook w:val="04A0" w:firstRow="1" w:lastRow="0" w:firstColumn="1" w:lastColumn="0" w:noHBand="0" w:noVBand="1"/>
      </w:tblPr>
      <w:tblGrid>
        <w:gridCol w:w="4111"/>
        <w:gridCol w:w="1985"/>
        <w:gridCol w:w="1667"/>
        <w:gridCol w:w="1134"/>
      </w:tblGrid>
      <w:tr w:rsidR="00EE2B30" w:rsidTr="00024960">
        <w:tc>
          <w:tcPr>
            <w:tcW w:w="4111" w:type="dxa"/>
          </w:tcPr>
          <w:p w:rsidR="00395A4C" w:rsidRDefault="008A3A58" w:rsidP="00E778FE">
            <w:r>
              <w:rPr>
                <w:rFonts w:ascii="Arial" w:eastAsia="Times New Roman" w:hAnsi="Arial" w:cs="Arial"/>
                <w:b/>
                <w:bCs/>
                <w:sz w:val="20"/>
                <w:szCs w:val="20"/>
              </w:rPr>
              <w:t>Characteristic</w:t>
            </w:r>
          </w:p>
        </w:tc>
        <w:tc>
          <w:tcPr>
            <w:tcW w:w="1985" w:type="dxa"/>
          </w:tcPr>
          <w:p w:rsidR="00395A4C" w:rsidRDefault="00861438">
            <w:r>
              <w:rPr>
                <w:rFonts w:ascii="Arial" w:eastAsia="Times New Roman" w:hAnsi="Arial" w:cs="Arial"/>
                <w:sz w:val="20"/>
                <w:szCs w:val="20"/>
              </w:rPr>
              <w:t>General</w:t>
            </w:r>
            <w:r w:rsidR="00395A4C">
              <w:rPr>
                <w:rFonts w:ascii="Arial" w:eastAsia="Times New Roman" w:hAnsi="Arial" w:cs="Arial"/>
                <w:sz w:val="20"/>
                <w:szCs w:val="20"/>
              </w:rPr>
              <w:t xml:space="preserve"> population</w:t>
            </w:r>
          </w:p>
        </w:tc>
        <w:tc>
          <w:tcPr>
            <w:tcW w:w="1667" w:type="dxa"/>
          </w:tcPr>
          <w:p w:rsidR="00395A4C" w:rsidRDefault="00395A4C" w:rsidP="00E778FE">
            <w:r>
              <w:rPr>
                <w:rFonts w:ascii="Arial" w:eastAsia="Times New Roman" w:hAnsi="Arial" w:cs="Arial"/>
                <w:sz w:val="20"/>
                <w:szCs w:val="20"/>
              </w:rPr>
              <w:t>Celiac disease</w:t>
            </w:r>
            <w:r>
              <w:rPr>
                <w:rFonts w:ascii="Arial" w:eastAsia="Times New Roman" w:hAnsi="Arial" w:cs="Arial"/>
                <w:sz w:val="20"/>
                <w:szCs w:val="20"/>
              </w:rPr>
              <w:br/>
            </w:r>
          </w:p>
        </w:tc>
        <w:tc>
          <w:tcPr>
            <w:tcW w:w="1134" w:type="dxa"/>
          </w:tcPr>
          <w:p w:rsidR="00395A4C" w:rsidRDefault="00395A4C">
            <w:r>
              <w:rPr>
                <w:rFonts w:ascii="Arial" w:eastAsia="Times New Roman" w:hAnsi="Arial" w:cs="Arial"/>
                <w:color w:val="000000"/>
                <w:sz w:val="20"/>
                <w:szCs w:val="20"/>
              </w:rPr>
              <w:t>p-value</w:t>
            </w:r>
          </w:p>
        </w:tc>
      </w:tr>
      <w:tr w:rsidR="00EE2B30" w:rsidTr="00024960">
        <w:tc>
          <w:tcPr>
            <w:tcW w:w="4111" w:type="dxa"/>
            <w:vAlign w:val="bottom"/>
          </w:tcPr>
          <w:p w:rsidR="00395A4C" w:rsidRDefault="00395A4C"/>
        </w:tc>
        <w:tc>
          <w:tcPr>
            <w:tcW w:w="1985" w:type="dxa"/>
            <w:vAlign w:val="bottom"/>
          </w:tcPr>
          <w:p w:rsidR="00395A4C" w:rsidRDefault="00395A4C"/>
        </w:tc>
        <w:tc>
          <w:tcPr>
            <w:tcW w:w="1667" w:type="dxa"/>
            <w:vAlign w:val="bottom"/>
          </w:tcPr>
          <w:p w:rsidR="00395A4C" w:rsidRDefault="00395A4C"/>
        </w:tc>
        <w:tc>
          <w:tcPr>
            <w:tcW w:w="1134" w:type="dxa"/>
            <w:vAlign w:val="bottom"/>
          </w:tcPr>
          <w:p w:rsidR="00395A4C" w:rsidRDefault="00395A4C"/>
        </w:tc>
      </w:tr>
      <w:tr w:rsidR="00EE2B30" w:rsidTr="00024960">
        <w:tc>
          <w:tcPr>
            <w:tcW w:w="4111" w:type="dxa"/>
            <w:vAlign w:val="bottom"/>
          </w:tcPr>
          <w:p w:rsidR="00395A4C" w:rsidRPr="00787A35" w:rsidRDefault="008A3A58">
            <w:pPr>
              <w:rPr>
                <w:rFonts w:ascii="Arial" w:hAnsi="Arial" w:cs="Arial"/>
                <w:sz w:val="20"/>
                <w:szCs w:val="20"/>
              </w:rPr>
            </w:pPr>
            <w:r>
              <w:rPr>
                <w:rFonts w:ascii="Arial" w:eastAsia="Times New Roman" w:hAnsi="Arial" w:cs="Arial"/>
                <w:sz w:val="20"/>
                <w:szCs w:val="20"/>
              </w:rPr>
              <w:t>Frequency</w:t>
            </w:r>
          </w:p>
        </w:tc>
        <w:tc>
          <w:tcPr>
            <w:tcW w:w="1985"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68,037</w:t>
            </w:r>
          </w:p>
        </w:tc>
        <w:tc>
          <w:tcPr>
            <w:tcW w:w="1667"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693</w:t>
            </w:r>
          </w:p>
        </w:tc>
        <w:tc>
          <w:tcPr>
            <w:tcW w:w="1134" w:type="dxa"/>
            <w:vAlign w:val="bottom"/>
          </w:tcPr>
          <w:p w:rsidR="00395A4C" w:rsidRPr="00787A35" w:rsidRDefault="00395A4C">
            <w:pPr>
              <w:rPr>
                <w:rFonts w:ascii="Arial" w:hAnsi="Arial" w:cs="Arial"/>
                <w:sz w:val="20"/>
                <w:szCs w:val="20"/>
              </w:rPr>
            </w:pPr>
          </w:p>
        </w:tc>
      </w:tr>
      <w:tr w:rsidR="00EE2B30" w:rsidTr="00024960">
        <w:tc>
          <w:tcPr>
            <w:tcW w:w="4111"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Age (years)</w:t>
            </w:r>
          </w:p>
        </w:tc>
        <w:tc>
          <w:tcPr>
            <w:tcW w:w="1985"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64.3 ± 11.2</w:t>
            </w:r>
          </w:p>
        </w:tc>
        <w:tc>
          <w:tcPr>
            <w:tcW w:w="1667"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58.1 ± 11.2</w:t>
            </w:r>
          </w:p>
        </w:tc>
        <w:tc>
          <w:tcPr>
            <w:tcW w:w="1134" w:type="dxa"/>
            <w:vAlign w:val="center"/>
          </w:tcPr>
          <w:p w:rsidR="00395A4C" w:rsidRPr="00787A35" w:rsidRDefault="00395A4C">
            <w:pPr>
              <w:rPr>
                <w:rFonts w:ascii="Arial" w:hAnsi="Arial" w:cs="Arial"/>
                <w:sz w:val="20"/>
                <w:szCs w:val="20"/>
              </w:rPr>
            </w:pPr>
            <w:r w:rsidRPr="00406719">
              <w:rPr>
                <w:rFonts w:ascii="Arial" w:eastAsia="Times New Roman" w:hAnsi="Arial" w:cs="Arial"/>
                <w:color w:val="000000"/>
                <w:sz w:val="20"/>
                <w:szCs w:val="20"/>
              </w:rPr>
              <w:t>&lt;0.001</w:t>
            </w:r>
          </w:p>
        </w:tc>
      </w:tr>
      <w:tr w:rsidR="00EE2B30" w:rsidTr="00024960">
        <w:tc>
          <w:tcPr>
            <w:tcW w:w="4111"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Female</w:t>
            </w:r>
          </w:p>
        </w:tc>
        <w:tc>
          <w:tcPr>
            <w:tcW w:w="1985"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61,729 (90.7)</w:t>
            </w:r>
          </w:p>
        </w:tc>
        <w:tc>
          <w:tcPr>
            <w:tcW w:w="1667"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546 (78.8)</w:t>
            </w:r>
          </w:p>
        </w:tc>
        <w:tc>
          <w:tcPr>
            <w:tcW w:w="1134" w:type="dxa"/>
            <w:vAlign w:val="center"/>
          </w:tcPr>
          <w:p w:rsidR="00395A4C" w:rsidRPr="00787A35" w:rsidRDefault="00395A4C">
            <w:pPr>
              <w:rPr>
                <w:rFonts w:ascii="Arial" w:hAnsi="Arial" w:cs="Arial"/>
                <w:sz w:val="20"/>
                <w:szCs w:val="20"/>
              </w:rPr>
            </w:pPr>
            <w:r w:rsidRPr="00406719">
              <w:rPr>
                <w:rFonts w:ascii="Arial" w:eastAsia="Times New Roman" w:hAnsi="Arial" w:cs="Arial"/>
                <w:color w:val="000000"/>
                <w:sz w:val="20"/>
                <w:szCs w:val="20"/>
              </w:rPr>
              <w:t>&lt;0.001</w:t>
            </w:r>
          </w:p>
        </w:tc>
      </w:tr>
      <w:tr w:rsidR="00EE2B30" w:rsidTr="00024960">
        <w:trPr>
          <w:trHeight w:val="255"/>
        </w:trPr>
        <w:tc>
          <w:tcPr>
            <w:tcW w:w="4111"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BMI (kg/m</w:t>
            </w:r>
            <w:r w:rsidRPr="004D006E">
              <w:rPr>
                <w:rFonts w:ascii="Arial" w:eastAsia="Times New Roman" w:hAnsi="Arial" w:cs="Arial"/>
                <w:sz w:val="20"/>
                <w:szCs w:val="20"/>
                <w:vertAlign w:val="superscript"/>
              </w:rPr>
              <w:t>2</w:t>
            </w:r>
            <w:r w:rsidRPr="00406719">
              <w:rPr>
                <w:rFonts w:ascii="Arial" w:eastAsia="Times New Roman" w:hAnsi="Arial" w:cs="Arial"/>
                <w:sz w:val="20"/>
                <w:szCs w:val="20"/>
              </w:rPr>
              <w:t>)</w:t>
            </w:r>
          </w:p>
        </w:tc>
        <w:tc>
          <w:tcPr>
            <w:tcW w:w="1985"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27.1 ± 8.2</w:t>
            </w:r>
          </w:p>
        </w:tc>
        <w:tc>
          <w:tcPr>
            <w:tcW w:w="1667"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25.2 ± 5.3</w:t>
            </w:r>
          </w:p>
        </w:tc>
        <w:tc>
          <w:tcPr>
            <w:tcW w:w="1134" w:type="dxa"/>
            <w:vAlign w:val="center"/>
          </w:tcPr>
          <w:p w:rsidR="00395A4C" w:rsidRPr="00787A35" w:rsidRDefault="00395A4C">
            <w:pPr>
              <w:rPr>
                <w:rFonts w:ascii="Arial" w:hAnsi="Arial" w:cs="Arial"/>
                <w:sz w:val="20"/>
                <w:szCs w:val="20"/>
              </w:rPr>
            </w:pPr>
            <w:r w:rsidRPr="00406719">
              <w:rPr>
                <w:rFonts w:ascii="Arial" w:eastAsia="Times New Roman" w:hAnsi="Arial" w:cs="Arial"/>
                <w:color w:val="000000"/>
                <w:sz w:val="20"/>
                <w:szCs w:val="20"/>
              </w:rPr>
              <w:t>&lt;0.001</w:t>
            </w:r>
          </w:p>
        </w:tc>
      </w:tr>
      <w:tr w:rsidR="00EE2B30" w:rsidTr="00024960">
        <w:trPr>
          <w:trHeight w:val="255"/>
        </w:trPr>
        <w:tc>
          <w:tcPr>
            <w:tcW w:w="4111"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Prior fracture</w:t>
            </w:r>
          </w:p>
        </w:tc>
        <w:tc>
          <w:tcPr>
            <w:tcW w:w="1985"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9926 (14.6)</w:t>
            </w:r>
          </w:p>
        </w:tc>
        <w:tc>
          <w:tcPr>
            <w:tcW w:w="1667"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86 (12.4)</w:t>
            </w:r>
          </w:p>
        </w:tc>
        <w:tc>
          <w:tcPr>
            <w:tcW w:w="1134" w:type="dxa"/>
            <w:vAlign w:val="center"/>
          </w:tcPr>
          <w:p w:rsidR="00395A4C" w:rsidRPr="00787A35" w:rsidRDefault="00395A4C">
            <w:pPr>
              <w:rPr>
                <w:rFonts w:ascii="Arial" w:hAnsi="Arial" w:cs="Arial"/>
                <w:sz w:val="20"/>
                <w:szCs w:val="20"/>
              </w:rPr>
            </w:pPr>
            <w:r w:rsidRPr="00406719">
              <w:rPr>
                <w:rFonts w:ascii="Arial" w:eastAsia="Times New Roman" w:hAnsi="Arial" w:cs="Arial"/>
                <w:color w:val="000000"/>
                <w:sz w:val="20"/>
                <w:szCs w:val="20"/>
              </w:rPr>
              <w:t>0.106</w:t>
            </w:r>
          </w:p>
        </w:tc>
      </w:tr>
      <w:tr w:rsidR="00EE2B30" w:rsidTr="00024960">
        <w:tc>
          <w:tcPr>
            <w:tcW w:w="4111"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Femoral neck T-score</w:t>
            </w:r>
          </w:p>
        </w:tc>
        <w:tc>
          <w:tcPr>
            <w:tcW w:w="1985"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-1.4 ± 1.0</w:t>
            </w:r>
          </w:p>
        </w:tc>
        <w:tc>
          <w:tcPr>
            <w:tcW w:w="1667"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-1.3 ± 1.2</w:t>
            </w:r>
          </w:p>
        </w:tc>
        <w:tc>
          <w:tcPr>
            <w:tcW w:w="1134" w:type="dxa"/>
            <w:vAlign w:val="center"/>
          </w:tcPr>
          <w:p w:rsidR="00395A4C" w:rsidRPr="00406719" w:rsidRDefault="00395A4C">
            <w:pPr>
              <w:rPr>
                <w:rFonts w:ascii="Arial" w:eastAsia="Times New Roman" w:hAnsi="Arial" w:cs="Arial"/>
                <w:color w:val="000000"/>
                <w:sz w:val="20"/>
                <w:szCs w:val="20"/>
              </w:rPr>
            </w:pPr>
            <w:r w:rsidRPr="00406719">
              <w:rPr>
                <w:rFonts w:ascii="Arial" w:eastAsia="Times New Roman" w:hAnsi="Arial" w:cs="Arial"/>
                <w:color w:val="000000"/>
                <w:sz w:val="20"/>
                <w:szCs w:val="20"/>
              </w:rPr>
              <w:t>0.484</w:t>
            </w:r>
          </w:p>
        </w:tc>
      </w:tr>
      <w:tr w:rsidR="00EE2B30" w:rsidTr="00024960">
        <w:tc>
          <w:tcPr>
            <w:tcW w:w="4111"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Femoral neck Z-score</w:t>
            </w:r>
          </w:p>
        </w:tc>
        <w:tc>
          <w:tcPr>
            <w:tcW w:w="1985"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0.0 ± 0.9</w:t>
            </w:r>
          </w:p>
        </w:tc>
        <w:tc>
          <w:tcPr>
            <w:tcW w:w="1667" w:type="dxa"/>
            <w:vAlign w:val="bottom"/>
          </w:tcPr>
          <w:p w:rsidR="00395A4C" w:rsidRPr="00787A35" w:rsidRDefault="00395A4C">
            <w:pPr>
              <w:rPr>
                <w:rFonts w:ascii="Arial" w:hAnsi="Arial" w:cs="Arial"/>
                <w:sz w:val="20"/>
                <w:szCs w:val="20"/>
              </w:rPr>
            </w:pPr>
            <w:r w:rsidRPr="00406719">
              <w:rPr>
                <w:rFonts w:ascii="Arial" w:eastAsia="Times New Roman" w:hAnsi="Arial" w:cs="Arial"/>
                <w:sz w:val="20"/>
                <w:szCs w:val="20"/>
              </w:rPr>
              <w:t>-0.3 ± 1.1</w:t>
            </w:r>
          </w:p>
        </w:tc>
        <w:tc>
          <w:tcPr>
            <w:tcW w:w="1134" w:type="dxa"/>
            <w:vAlign w:val="center"/>
          </w:tcPr>
          <w:p w:rsidR="00395A4C" w:rsidRPr="00787A35" w:rsidRDefault="00395A4C">
            <w:pPr>
              <w:rPr>
                <w:rFonts w:ascii="Arial" w:hAnsi="Arial" w:cs="Arial"/>
                <w:sz w:val="20"/>
                <w:szCs w:val="20"/>
              </w:rPr>
            </w:pPr>
            <w:r w:rsidRPr="00406719">
              <w:rPr>
                <w:rFonts w:ascii="Arial" w:eastAsia="Times New Roman" w:hAnsi="Arial" w:cs="Arial"/>
                <w:color w:val="000000"/>
                <w:sz w:val="20"/>
                <w:szCs w:val="20"/>
              </w:rPr>
              <w:t>&lt;0.001</w:t>
            </w:r>
          </w:p>
        </w:tc>
      </w:tr>
      <w:tr w:rsidR="00EE2B30" w:rsidTr="00024960">
        <w:tc>
          <w:tcPr>
            <w:tcW w:w="4111"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Femoral neck osteoporotic</w:t>
            </w:r>
          </w:p>
        </w:tc>
        <w:tc>
          <w:tcPr>
            <w:tcW w:w="1985"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8018 (11.8)</w:t>
            </w:r>
          </w:p>
        </w:tc>
        <w:tc>
          <w:tcPr>
            <w:tcW w:w="1667"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99 (14.3)</w:t>
            </w:r>
          </w:p>
        </w:tc>
        <w:tc>
          <w:tcPr>
            <w:tcW w:w="1134" w:type="dxa"/>
            <w:vAlign w:val="center"/>
          </w:tcPr>
          <w:p w:rsidR="00395A4C" w:rsidRPr="00406719" w:rsidRDefault="00395A4C">
            <w:pPr>
              <w:rPr>
                <w:rFonts w:ascii="Arial" w:eastAsia="Times New Roman" w:hAnsi="Arial" w:cs="Arial"/>
                <w:color w:val="000000"/>
                <w:sz w:val="20"/>
                <w:szCs w:val="20"/>
              </w:rPr>
            </w:pPr>
            <w:r w:rsidRPr="00406719">
              <w:rPr>
                <w:rFonts w:ascii="Arial" w:eastAsia="Times New Roman" w:hAnsi="Arial" w:cs="Arial"/>
                <w:color w:val="000000"/>
                <w:sz w:val="20"/>
                <w:szCs w:val="20"/>
              </w:rPr>
              <w:t>0.042</w:t>
            </w:r>
          </w:p>
        </w:tc>
      </w:tr>
      <w:tr w:rsidR="00406719" w:rsidTr="00024960">
        <w:trPr>
          <w:trHeight w:val="255"/>
        </w:trPr>
        <w:tc>
          <w:tcPr>
            <w:tcW w:w="4111" w:type="dxa"/>
            <w:vAlign w:val="bottom"/>
          </w:tcPr>
          <w:p w:rsidR="00406719" w:rsidRPr="00787A35" w:rsidRDefault="00406719" w:rsidP="00A457DF">
            <w:pPr>
              <w:rPr>
                <w:rFonts w:ascii="Arial" w:hAnsi="Arial" w:cs="Arial"/>
                <w:sz w:val="20"/>
                <w:szCs w:val="20"/>
              </w:rPr>
            </w:pPr>
            <w:r w:rsidRPr="00787A35">
              <w:rPr>
                <w:rFonts w:ascii="Arial" w:hAnsi="Arial" w:cs="Arial"/>
                <w:sz w:val="20"/>
                <w:szCs w:val="20"/>
              </w:rPr>
              <w:t>FRAX MOF percent (clinical without secondary osteoporosis for celiac disease)</w:t>
            </w:r>
          </w:p>
        </w:tc>
        <w:tc>
          <w:tcPr>
            <w:tcW w:w="1985" w:type="dxa"/>
            <w:vAlign w:val="bottom"/>
          </w:tcPr>
          <w:p w:rsidR="00406719" w:rsidRPr="00787A35" w:rsidRDefault="00406719" w:rsidP="00A457DF">
            <w:pPr>
              <w:rPr>
                <w:rFonts w:ascii="Arial" w:hAnsi="Arial" w:cs="Arial"/>
                <w:sz w:val="20"/>
                <w:szCs w:val="20"/>
              </w:rPr>
            </w:pPr>
            <w:r w:rsidRPr="00406719">
              <w:rPr>
                <w:rFonts w:ascii="Arial" w:eastAsia="Times New Roman" w:hAnsi="Arial" w:cs="Arial"/>
                <w:sz w:val="20"/>
                <w:szCs w:val="20"/>
              </w:rPr>
              <w:t>11.0 ± 8.3</w:t>
            </w:r>
          </w:p>
        </w:tc>
        <w:tc>
          <w:tcPr>
            <w:tcW w:w="1667" w:type="dxa"/>
            <w:vAlign w:val="bottom"/>
          </w:tcPr>
          <w:p w:rsidR="00406719" w:rsidRPr="00787A35" w:rsidRDefault="00406719" w:rsidP="00A457DF">
            <w:pPr>
              <w:rPr>
                <w:rFonts w:ascii="Arial" w:hAnsi="Arial" w:cs="Arial"/>
                <w:sz w:val="20"/>
                <w:szCs w:val="20"/>
              </w:rPr>
            </w:pPr>
            <w:r w:rsidRPr="00787A35">
              <w:rPr>
                <w:rFonts w:ascii="Arial" w:hAnsi="Arial" w:cs="Arial"/>
                <w:sz w:val="20"/>
                <w:szCs w:val="20"/>
              </w:rPr>
              <w:t xml:space="preserve">7.4 </w:t>
            </w:r>
            <w:r w:rsidRPr="00406719">
              <w:rPr>
                <w:rFonts w:ascii="Arial" w:eastAsia="Times New Roman" w:hAnsi="Arial" w:cs="Arial"/>
                <w:sz w:val="20"/>
                <w:szCs w:val="20"/>
              </w:rPr>
              <w:t xml:space="preserve"> ± 6.5</w:t>
            </w:r>
          </w:p>
        </w:tc>
        <w:tc>
          <w:tcPr>
            <w:tcW w:w="1134" w:type="dxa"/>
            <w:vAlign w:val="center"/>
          </w:tcPr>
          <w:p w:rsidR="00406719" w:rsidRPr="00787A35" w:rsidRDefault="00406719" w:rsidP="00A457DF">
            <w:pPr>
              <w:rPr>
                <w:rFonts w:ascii="Arial" w:hAnsi="Arial" w:cs="Arial"/>
                <w:sz w:val="20"/>
                <w:szCs w:val="20"/>
              </w:rPr>
            </w:pPr>
            <w:r w:rsidRPr="00406719">
              <w:rPr>
                <w:rFonts w:ascii="Arial" w:eastAsia="Times New Roman" w:hAnsi="Arial" w:cs="Arial"/>
                <w:color w:val="000000"/>
                <w:sz w:val="20"/>
                <w:szCs w:val="20"/>
              </w:rPr>
              <w:t>&lt;0.001</w:t>
            </w:r>
          </w:p>
        </w:tc>
      </w:tr>
      <w:tr w:rsidR="00406719" w:rsidTr="00024960">
        <w:trPr>
          <w:trHeight w:val="269"/>
        </w:trPr>
        <w:tc>
          <w:tcPr>
            <w:tcW w:w="4111" w:type="dxa"/>
            <w:vAlign w:val="bottom"/>
          </w:tcPr>
          <w:p w:rsidR="00406719" w:rsidRPr="00787A35" w:rsidRDefault="00406719" w:rsidP="00A457DF">
            <w:pPr>
              <w:rPr>
                <w:rFonts w:ascii="Arial" w:hAnsi="Arial" w:cs="Arial"/>
                <w:sz w:val="20"/>
                <w:szCs w:val="20"/>
              </w:rPr>
            </w:pPr>
            <w:r w:rsidRPr="00787A35">
              <w:rPr>
                <w:rFonts w:ascii="Arial" w:hAnsi="Arial" w:cs="Arial"/>
                <w:sz w:val="20"/>
                <w:szCs w:val="20"/>
              </w:rPr>
              <w:t>FRAX MOF percent (clinical with secondary osteoporosis for celiac disease)</w:t>
            </w:r>
          </w:p>
        </w:tc>
        <w:tc>
          <w:tcPr>
            <w:tcW w:w="1985" w:type="dxa"/>
            <w:vAlign w:val="bottom"/>
          </w:tcPr>
          <w:p w:rsidR="00406719" w:rsidRPr="00787A35" w:rsidRDefault="00406719" w:rsidP="00A457DF">
            <w:pPr>
              <w:rPr>
                <w:rFonts w:ascii="Arial" w:hAnsi="Arial" w:cs="Arial"/>
                <w:sz w:val="20"/>
                <w:szCs w:val="20"/>
              </w:rPr>
            </w:pPr>
            <w:r w:rsidRPr="00406719">
              <w:rPr>
                <w:rFonts w:ascii="Arial" w:eastAsia="Times New Roman" w:hAnsi="Arial" w:cs="Arial"/>
                <w:sz w:val="20"/>
                <w:szCs w:val="20"/>
              </w:rPr>
              <w:t xml:space="preserve">NA </w:t>
            </w:r>
          </w:p>
        </w:tc>
        <w:tc>
          <w:tcPr>
            <w:tcW w:w="1667" w:type="dxa"/>
            <w:vAlign w:val="bottom"/>
          </w:tcPr>
          <w:p w:rsidR="00406719" w:rsidRPr="00787A35" w:rsidRDefault="00406719" w:rsidP="00A457DF">
            <w:pPr>
              <w:rPr>
                <w:rFonts w:ascii="Arial" w:hAnsi="Arial" w:cs="Arial"/>
                <w:sz w:val="20"/>
                <w:szCs w:val="20"/>
              </w:rPr>
            </w:pPr>
            <w:r w:rsidRPr="00406719">
              <w:rPr>
                <w:rFonts w:ascii="Arial" w:eastAsia="Times New Roman" w:hAnsi="Arial" w:cs="Arial"/>
                <w:sz w:val="20"/>
                <w:szCs w:val="20"/>
              </w:rPr>
              <w:t>10.1 ± 8.8</w:t>
            </w:r>
          </w:p>
        </w:tc>
        <w:tc>
          <w:tcPr>
            <w:tcW w:w="1134" w:type="dxa"/>
            <w:vAlign w:val="center"/>
          </w:tcPr>
          <w:p w:rsidR="00406719" w:rsidRPr="00787A35" w:rsidRDefault="00406719" w:rsidP="00A457DF">
            <w:pPr>
              <w:rPr>
                <w:rFonts w:ascii="Arial" w:hAnsi="Arial" w:cs="Arial"/>
                <w:sz w:val="20"/>
                <w:szCs w:val="20"/>
              </w:rPr>
            </w:pPr>
            <w:r w:rsidRPr="00406719">
              <w:rPr>
                <w:rFonts w:ascii="Arial" w:eastAsia="Times New Roman" w:hAnsi="Arial" w:cs="Arial"/>
                <w:color w:val="000000"/>
                <w:sz w:val="20"/>
                <w:szCs w:val="20"/>
              </w:rPr>
              <w:t>&lt;0.001</w:t>
            </w:r>
          </w:p>
        </w:tc>
      </w:tr>
      <w:tr w:rsidR="00406719" w:rsidTr="00024960">
        <w:tc>
          <w:tcPr>
            <w:tcW w:w="4111" w:type="dxa"/>
            <w:vAlign w:val="bottom"/>
          </w:tcPr>
          <w:p w:rsidR="00406719" w:rsidRPr="00787A35" w:rsidRDefault="00406719" w:rsidP="00A457DF">
            <w:pPr>
              <w:rPr>
                <w:rFonts w:ascii="Arial" w:hAnsi="Arial" w:cs="Arial"/>
                <w:sz w:val="20"/>
                <w:szCs w:val="20"/>
              </w:rPr>
            </w:pPr>
            <w:r w:rsidRPr="00787A35">
              <w:rPr>
                <w:rFonts w:ascii="Arial" w:hAnsi="Arial" w:cs="Arial"/>
                <w:sz w:val="20"/>
                <w:szCs w:val="20"/>
              </w:rPr>
              <w:t>FRAX MOF percent (with BMD)</w:t>
            </w:r>
          </w:p>
        </w:tc>
        <w:tc>
          <w:tcPr>
            <w:tcW w:w="1985" w:type="dxa"/>
            <w:vAlign w:val="bottom"/>
          </w:tcPr>
          <w:p w:rsidR="00406719" w:rsidRPr="00787A35" w:rsidRDefault="00406719" w:rsidP="00A457DF">
            <w:pPr>
              <w:rPr>
                <w:rFonts w:ascii="Arial" w:hAnsi="Arial" w:cs="Arial"/>
                <w:sz w:val="20"/>
                <w:szCs w:val="20"/>
              </w:rPr>
            </w:pPr>
            <w:r w:rsidRPr="00406719">
              <w:rPr>
                <w:rFonts w:ascii="Arial" w:eastAsia="Times New Roman" w:hAnsi="Arial" w:cs="Arial"/>
                <w:sz w:val="20"/>
                <w:szCs w:val="20"/>
              </w:rPr>
              <w:t>10.6 ± 7.8</w:t>
            </w:r>
          </w:p>
        </w:tc>
        <w:tc>
          <w:tcPr>
            <w:tcW w:w="1667" w:type="dxa"/>
            <w:vAlign w:val="bottom"/>
          </w:tcPr>
          <w:p w:rsidR="00406719" w:rsidRPr="00787A35" w:rsidRDefault="00406719" w:rsidP="00A457DF">
            <w:pPr>
              <w:rPr>
                <w:rFonts w:ascii="Arial" w:hAnsi="Arial" w:cs="Arial"/>
                <w:sz w:val="20"/>
                <w:szCs w:val="20"/>
              </w:rPr>
            </w:pPr>
            <w:r w:rsidRPr="00406719">
              <w:rPr>
                <w:rFonts w:ascii="Arial" w:eastAsia="Times New Roman" w:hAnsi="Arial" w:cs="Arial"/>
                <w:sz w:val="20"/>
                <w:szCs w:val="20"/>
              </w:rPr>
              <w:t>8.6 ± 8.3</w:t>
            </w:r>
          </w:p>
        </w:tc>
        <w:tc>
          <w:tcPr>
            <w:tcW w:w="1134" w:type="dxa"/>
            <w:vAlign w:val="center"/>
          </w:tcPr>
          <w:p w:rsidR="00406719" w:rsidRPr="00787A35" w:rsidRDefault="00406719" w:rsidP="00A457DF">
            <w:pPr>
              <w:rPr>
                <w:rFonts w:ascii="Arial" w:hAnsi="Arial" w:cs="Arial"/>
                <w:sz w:val="20"/>
                <w:szCs w:val="20"/>
              </w:rPr>
            </w:pPr>
            <w:r w:rsidRPr="00406719">
              <w:rPr>
                <w:rFonts w:ascii="Arial" w:eastAsia="Times New Roman" w:hAnsi="Arial" w:cs="Arial"/>
                <w:color w:val="000000"/>
                <w:sz w:val="20"/>
                <w:szCs w:val="20"/>
              </w:rPr>
              <w:t>&lt;0.001</w:t>
            </w:r>
          </w:p>
        </w:tc>
      </w:tr>
      <w:tr w:rsidR="00406719" w:rsidTr="00024960">
        <w:trPr>
          <w:trHeight w:val="255"/>
        </w:trPr>
        <w:tc>
          <w:tcPr>
            <w:tcW w:w="4111" w:type="dxa"/>
            <w:vAlign w:val="bottom"/>
          </w:tcPr>
          <w:p w:rsidR="00406719" w:rsidRPr="00406719" w:rsidRDefault="00406719" w:rsidP="00A457DF">
            <w:pPr>
              <w:rPr>
                <w:rFonts w:ascii="Arial" w:eastAsia="Times New Roman" w:hAnsi="Arial" w:cs="Arial"/>
                <w:sz w:val="20"/>
                <w:szCs w:val="20"/>
              </w:rPr>
            </w:pPr>
            <w:r w:rsidRPr="00406719">
              <w:rPr>
                <w:rFonts w:ascii="Arial" w:eastAsia="Times New Roman" w:hAnsi="Arial" w:cs="Arial"/>
                <w:sz w:val="20"/>
                <w:szCs w:val="20"/>
              </w:rPr>
              <w:t>Observation time (years)</w:t>
            </w:r>
          </w:p>
        </w:tc>
        <w:tc>
          <w:tcPr>
            <w:tcW w:w="1985" w:type="dxa"/>
            <w:vAlign w:val="bottom"/>
          </w:tcPr>
          <w:p w:rsidR="00406719" w:rsidRPr="00406719" w:rsidRDefault="00406719" w:rsidP="00A457DF">
            <w:pPr>
              <w:rPr>
                <w:rFonts w:ascii="Arial" w:eastAsia="Times New Roman" w:hAnsi="Arial" w:cs="Arial"/>
                <w:sz w:val="20"/>
                <w:szCs w:val="20"/>
              </w:rPr>
            </w:pPr>
            <w:r w:rsidRPr="00406719">
              <w:rPr>
                <w:rFonts w:ascii="Arial" w:eastAsia="Times New Roman" w:hAnsi="Arial" w:cs="Arial"/>
                <w:sz w:val="20"/>
                <w:szCs w:val="20"/>
              </w:rPr>
              <w:t>7.1 ± 4.2</w:t>
            </w:r>
          </w:p>
        </w:tc>
        <w:tc>
          <w:tcPr>
            <w:tcW w:w="1667" w:type="dxa"/>
            <w:vAlign w:val="bottom"/>
          </w:tcPr>
          <w:p w:rsidR="00406719" w:rsidRPr="00406719" w:rsidRDefault="00406719" w:rsidP="00A457DF">
            <w:pPr>
              <w:rPr>
                <w:rFonts w:ascii="Arial" w:eastAsia="Times New Roman" w:hAnsi="Arial" w:cs="Arial"/>
                <w:sz w:val="20"/>
                <w:szCs w:val="20"/>
              </w:rPr>
            </w:pPr>
            <w:r w:rsidRPr="00406719">
              <w:rPr>
                <w:rFonts w:ascii="Arial" w:eastAsia="Times New Roman" w:hAnsi="Arial" w:cs="Arial"/>
                <w:sz w:val="20"/>
                <w:szCs w:val="20"/>
              </w:rPr>
              <w:t>7.0 ± 4.1</w:t>
            </w:r>
          </w:p>
        </w:tc>
        <w:tc>
          <w:tcPr>
            <w:tcW w:w="1134" w:type="dxa"/>
            <w:vAlign w:val="center"/>
          </w:tcPr>
          <w:p w:rsidR="00406719" w:rsidRPr="00406719" w:rsidRDefault="00406719" w:rsidP="00A457DF">
            <w:pPr>
              <w:rPr>
                <w:rFonts w:ascii="Arial" w:eastAsia="Times New Roman" w:hAnsi="Arial" w:cs="Arial"/>
                <w:color w:val="000000"/>
                <w:sz w:val="20"/>
                <w:szCs w:val="20"/>
              </w:rPr>
            </w:pPr>
            <w:r w:rsidRPr="00406719">
              <w:rPr>
                <w:rFonts w:ascii="Arial" w:eastAsia="Times New Roman" w:hAnsi="Arial" w:cs="Arial"/>
                <w:color w:val="000000"/>
                <w:sz w:val="20"/>
                <w:szCs w:val="20"/>
              </w:rPr>
              <w:t>0.458</w:t>
            </w:r>
          </w:p>
        </w:tc>
      </w:tr>
      <w:tr w:rsidR="00EE2B30" w:rsidTr="00024960">
        <w:tc>
          <w:tcPr>
            <w:tcW w:w="4111" w:type="dxa"/>
            <w:vAlign w:val="bottom"/>
          </w:tcPr>
          <w:p w:rsidR="00395A4C" w:rsidRPr="00406719" w:rsidRDefault="00406719" w:rsidP="000E2163">
            <w:pPr>
              <w:rPr>
                <w:rFonts w:ascii="Arial" w:eastAsia="Times New Roman" w:hAnsi="Arial" w:cs="Arial"/>
                <w:sz w:val="20"/>
                <w:szCs w:val="20"/>
              </w:rPr>
            </w:pPr>
            <w:r w:rsidRPr="00406719">
              <w:rPr>
                <w:rFonts w:ascii="Arial" w:eastAsia="Times New Roman" w:hAnsi="Arial" w:cs="Arial"/>
                <w:sz w:val="20"/>
                <w:szCs w:val="20"/>
              </w:rPr>
              <w:t xml:space="preserve">Incident </w:t>
            </w:r>
            <w:r w:rsidR="000E2163">
              <w:rPr>
                <w:rFonts w:ascii="Arial" w:eastAsia="Times New Roman" w:hAnsi="Arial" w:cs="Arial"/>
                <w:sz w:val="20"/>
                <w:szCs w:val="20"/>
              </w:rPr>
              <w:t>MOF</w:t>
            </w:r>
          </w:p>
        </w:tc>
        <w:tc>
          <w:tcPr>
            <w:tcW w:w="1985"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5692 (8.4)</w:t>
            </w:r>
          </w:p>
        </w:tc>
        <w:tc>
          <w:tcPr>
            <w:tcW w:w="1667" w:type="dxa"/>
            <w:vAlign w:val="bottom"/>
          </w:tcPr>
          <w:p w:rsidR="00395A4C" w:rsidRPr="00406719" w:rsidRDefault="00395A4C">
            <w:pPr>
              <w:rPr>
                <w:rFonts w:ascii="Arial" w:eastAsia="Times New Roman" w:hAnsi="Arial" w:cs="Arial"/>
                <w:sz w:val="20"/>
                <w:szCs w:val="20"/>
              </w:rPr>
            </w:pPr>
            <w:r w:rsidRPr="00406719">
              <w:rPr>
                <w:rFonts w:ascii="Arial" w:eastAsia="Times New Roman" w:hAnsi="Arial" w:cs="Arial"/>
                <w:sz w:val="20"/>
                <w:szCs w:val="20"/>
              </w:rPr>
              <w:t>58 (8.4)</w:t>
            </w:r>
          </w:p>
        </w:tc>
        <w:tc>
          <w:tcPr>
            <w:tcW w:w="1134" w:type="dxa"/>
            <w:vAlign w:val="center"/>
          </w:tcPr>
          <w:p w:rsidR="00395A4C" w:rsidRPr="00406719" w:rsidRDefault="00395A4C">
            <w:pPr>
              <w:rPr>
                <w:rFonts w:ascii="Arial" w:eastAsia="Times New Roman" w:hAnsi="Arial" w:cs="Arial"/>
                <w:color w:val="000000"/>
                <w:sz w:val="20"/>
                <w:szCs w:val="20"/>
              </w:rPr>
            </w:pPr>
            <w:r w:rsidRPr="00406719">
              <w:rPr>
                <w:rFonts w:ascii="Arial" w:eastAsia="Times New Roman" w:hAnsi="Arial" w:cs="Arial"/>
                <w:color w:val="000000"/>
                <w:sz w:val="20"/>
                <w:szCs w:val="20"/>
              </w:rPr>
              <w:t>0.997</w:t>
            </w:r>
          </w:p>
        </w:tc>
      </w:tr>
    </w:tbl>
    <w:p w:rsidR="00A979A3" w:rsidRDefault="004D006E">
      <w:r>
        <w:t xml:space="preserve">Data expressed as </w:t>
      </w:r>
      <w:r w:rsidRPr="004D006E">
        <w:t>Mean ± SD</w:t>
      </w:r>
      <w:r>
        <w:t xml:space="preserve"> or N (percent).</w:t>
      </w:r>
    </w:p>
    <w:p w:rsidR="0077585B" w:rsidRDefault="0077585B">
      <w:r>
        <w:t>BMI – Body Mass Index</w:t>
      </w:r>
    </w:p>
    <w:p w:rsidR="0077585B" w:rsidRDefault="0077585B">
      <w:r>
        <w:t>MOF – Major Osteoporotic Fracture</w:t>
      </w:r>
    </w:p>
    <w:p w:rsidR="00A979A3" w:rsidRDefault="00A979A3">
      <w:r>
        <w:t>BMD – Bone Mineral Density</w:t>
      </w:r>
    </w:p>
    <w:p w:rsidR="004D006E" w:rsidRDefault="004D006E">
      <w:r>
        <w:t>NA – Not Applicable</w:t>
      </w:r>
    </w:p>
    <w:p w:rsidR="004236EC" w:rsidRDefault="004236EC" w:rsidP="004236EC">
      <w:r>
        <w:br w:type="page"/>
        <w:t>Table 2  Predictors of Major Osteoporotic Fracture</w:t>
      </w:r>
    </w:p>
    <w:p w:rsidR="004236EC" w:rsidRDefault="004236EC" w:rsidP="004236EC"/>
    <w:p w:rsidR="004236EC" w:rsidRDefault="004236EC" w:rsidP="004236EC"/>
    <w:tbl>
      <w:tblPr>
        <w:tblW w:w="8788" w:type="dxa"/>
        <w:tblInd w:w="-63" w:type="dxa"/>
        <w:tblLayout w:type="fixed"/>
        <w:tblLook w:val="0000" w:firstRow="0" w:lastRow="0" w:firstColumn="0" w:lastColumn="0" w:noHBand="0" w:noVBand="0"/>
      </w:tblPr>
      <w:tblGrid>
        <w:gridCol w:w="1039"/>
        <w:gridCol w:w="2113"/>
        <w:gridCol w:w="2234"/>
        <w:gridCol w:w="1843"/>
        <w:gridCol w:w="1559"/>
      </w:tblGrid>
      <w:tr w:rsidR="004236EC" w:rsidTr="004D006E">
        <w:trPr>
          <w:trHeight w:val="760"/>
        </w:trPr>
        <w:tc>
          <w:tcPr>
            <w:tcW w:w="3152" w:type="dxa"/>
            <w:gridSpan w:val="2"/>
            <w:tcBorders>
              <w:top w:val="single" w:sz="24" w:space="0" w:color="auto"/>
              <w:left w:val="nil"/>
              <w:bottom w:val="single" w:sz="8" w:space="0" w:color="auto"/>
              <w:right w:val="nil"/>
            </w:tcBorders>
          </w:tcPr>
          <w:p w:rsidR="004236EC" w:rsidRDefault="004236EC" w:rsidP="001663A3">
            <w:pPr>
              <w:widowControl w:val="0"/>
              <w:autoSpaceDE w:val="0"/>
              <w:autoSpaceDN w:val="0"/>
              <w:adjustRightInd w:val="0"/>
              <w:jc w:val="right"/>
              <w:rPr>
                <w:rFonts w:ascii="Arial" w:hAnsi="Arial" w:cs="Arial"/>
                <w:color w:val="000000"/>
                <w:sz w:val="20"/>
                <w:szCs w:val="20"/>
              </w:rPr>
            </w:pPr>
          </w:p>
        </w:tc>
        <w:tc>
          <w:tcPr>
            <w:tcW w:w="2234" w:type="dxa"/>
            <w:tcBorders>
              <w:top w:val="single" w:sz="24" w:space="0" w:color="auto"/>
              <w:left w:val="nil"/>
              <w:bottom w:val="single" w:sz="8" w:space="0" w:color="auto"/>
              <w:right w:val="nil"/>
            </w:tcBorders>
          </w:tcPr>
          <w:p w:rsidR="004236EC" w:rsidRPr="00B851E2" w:rsidRDefault="004236EC" w:rsidP="001663A3">
            <w:pPr>
              <w:widowControl w:val="0"/>
              <w:autoSpaceDE w:val="0"/>
              <w:autoSpaceDN w:val="0"/>
              <w:adjustRightInd w:val="0"/>
              <w:rPr>
                <w:rFonts w:ascii="Arial" w:hAnsi="Arial" w:cs="Arial"/>
                <w:b/>
                <w:color w:val="000000"/>
                <w:sz w:val="20"/>
                <w:szCs w:val="20"/>
              </w:rPr>
            </w:pPr>
          </w:p>
        </w:tc>
        <w:tc>
          <w:tcPr>
            <w:tcW w:w="1843" w:type="dxa"/>
            <w:tcBorders>
              <w:top w:val="single" w:sz="24" w:space="0" w:color="auto"/>
              <w:left w:val="nil"/>
              <w:bottom w:val="single" w:sz="8" w:space="0" w:color="auto"/>
              <w:right w:val="nil"/>
            </w:tcBorders>
          </w:tcPr>
          <w:p w:rsidR="004236EC" w:rsidRPr="00B851E2" w:rsidRDefault="004236EC" w:rsidP="001663A3">
            <w:pPr>
              <w:widowControl w:val="0"/>
              <w:autoSpaceDE w:val="0"/>
              <w:autoSpaceDN w:val="0"/>
              <w:adjustRightInd w:val="0"/>
              <w:jc w:val="center"/>
              <w:rPr>
                <w:rFonts w:ascii="Arial" w:hAnsi="Arial" w:cs="Arial"/>
                <w:b/>
                <w:color w:val="000000"/>
                <w:sz w:val="20"/>
                <w:szCs w:val="20"/>
              </w:rPr>
            </w:pPr>
            <w:r w:rsidRPr="00B851E2">
              <w:rPr>
                <w:rFonts w:ascii="Arial" w:hAnsi="Arial" w:cs="Arial"/>
                <w:b/>
                <w:color w:val="000000"/>
                <w:sz w:val="20"/>
                <w:szCs w:val="20"/>
              </w:rPr>
              <w:t>Hazard Ratio  (</w:t>
            </w:r>
            <w:r>
              <w:rPr>
                <w:rFonts w:ascii="Arial" w:hAnsi="Arial" w:cs="Arial"/>
                <w:b/>
                <w:color w:val="000000"/>
                <w:sz w:val="20"/>
                <w:szCs w:val="20"/>
              </w:rPr>
              <w:t>95% CI</w:t>
            </w:r>
            <w:r w:rsidRPr="00B851E2">
              <w:rPr>
                <w:rFonts w:ascii="Arial" w:hAnsi="Arial" w:cs="Arial"/>
                <w:b/>
                <w:color w:val="000000"/>
                <w:sz w:val="20"/>
                <w:szCs w:val="20"/>
              </w:rPr>
              <w:t>)</w:t>
            </w:r>
          </w:p>
        </w:tc>
        <w:tc>
          <w:tcPr>
            <w:tcW w:w="1559" w:type="dxa"/>
            <w:tcBorders>
              <w:top w:val="single" w:sz="24" w:space="0" w:color="auto"/>
              <w:left w:val="nil"/>
              <w:bottom w:val="single" w:sz="8" w:space="0" w:color="auto"/>
              <w:right w:val="nil"/>
            </w:tcBorders>
          </w:tcPr>
          <w:p w:rsidR="004236EC" w:rsidRPr="00B851E2" w:rsidRDefault="004236EC" w:rsidP="001663A3">
            <w:pPr>
              <w:widowControl w:val="0"/>
              <w:autoSpaceDE w:val="0"/>
              <w:autoSpaceDN w:val="0"/>
              <w:adjustRightInd w:val="0"/>
              <w:jc w:val="center"/>
              <w:rPr>
                <w:rFonts w:ascii="Arial" w:hAnsi="Arial" w:cs="Arial"/>
                <w:b/>
                <w:color w:val="000000"/>
                <w:sz w:val="20"/>
                <w:szCs w:val="20"/>
              </w:rPr>
            </w:pPr>
            <w:r w:rsidRPr="00B851E2">
              <w:rPr>
                <w:rFonts w:ascii="Arial" w:hAnsi="Arial" w:cs="Arial"/>
                <w:b/>
                <w:color w:val="000000"/>
                <w:sz w:val="20"/>
                <w:szCs w:val="20"/>
              </w:rPr>
              <w:t>P value</w:t>
            </w:r>
          </w:p>
        </w:tc>
      </w:tr>
      <w:tr w:rsidR="004236EC" w:rsidTr="004D006E">
        <w:trPr>
          <w:trHeight w:val="260"/>
        </w:trPr>
        <w:tc>
          <w:tcPr>
            <w:tcW w:w="1039" w:type="dxa"/>
            <w:tcBorders>
              <w:top w:val="single" w:sz="8" w:space="0" w:color="auto"/>
              <w:left w:val="nil"/>
              <w:bottom w:val="nil"/>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Model 1</w:t>
            </w:r>
          </w:p>
        </w:tc>
        <w:tc>
          <w:tcPr>
            <w:tcW w:w="4347" w:type="dxa"/>
            <w:gridSpan w:val="2"/>
            <w:tcBorders>
              <w:top w:val="single" w:sz="8" w:space="0" w:color="auto"/>
              <w:left w:val="nil"/>
              <w:bottom w:val="nil"/>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Celiac disease (versus absent)</w:t>
            </w:r>
          </w:p>
        </w:tc>
        <w:tc>
          <w:tcPr>
            <w:tcW w:w="1843" w:type="dxa"/>
            <w:tcBorders>
              <w:top w:val="single" w:sz="8" w:space="0" w:color="auto"/>
              <w:left w:val="nil"/>
              <w:bottom w:val="nil"/>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 (1.11-1.86)</w:t>
            </w:r>
          </w:p>
        </w:tc>
        <w:tc>
          <w:tcPr>
            <w:tcW w:w="1559" w:type="dxa"/>
            <w:tcBorders>
              <w:top w:val="single" w:sz="8" w:space="0" w:color="auto"/>
              <w:left w:val="nil"/>
              <w:bottom w:val="nil"/>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0.006</w:t>
            </w:r>
          </w:p>
        </w:tc>
      </w:tr>
      <w:tr w:rsidR="004236EC" w:rsidTr="004D006E">
        <w:trPr>
          <w:trHeight w:val="260"/>
        </w:trPr>
        <w:tc>
          <w:tcPr>
            <w:tcW w:w="1039" w:type="dxa"/>
            <w:tcBorders>
              <w:top w:val="nil"/>
              <w:left w:val="nil"/>
              <w:bottom w:val="single" w:sz="8" w:space="0" w:color="auto"/>
              <w:right w:val="nil"/>
            </w:tcBorders>
          </w:tcPr>
          <w:p w:rsidR="004236EC" w:rsidRDefault="004236EC" w:rsidP="001663A3">
            <w:pPr>
              <w:widowControl w:val="0"/>
              <w:autoSpaceDE w:val="0"/>
              <w:autoSpaceDN w:val="0"/>
              <w:adjustRightInd w:val="0"/>
              <w:rPr>
                <w:rFonts w:ascii="Arial" w:hAnsi="Arial" w:cs="Arial"/>
                <w:color w:val="000000"/>
                <w:sz w:val="20"/>
                <w:szCs w:val="20"/>
              </w:rPr>
            </w:pPr>
          </w:p>
        </w:tc>
        <w:tc>
          <w:tcPr>
            <w:tcW w:w="4347" w:type="dxa"/>
            <w:gridSpan w:val="2"/>
            <w:tcBorders>
              <w:top w:val="nil"/>
              <w:left w:val="nil"/>
              <w:bottom w:val="single" w:sz="8" w:space="0" w:color="auto"/>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FRAX (clinical without secondary osteoporosis) per SD increase</w:t>
            </w:r>
          </w:p>
        </w:tc>
        <w:tc>
          <w:tcPr>
            <w:tcW w:w="1843" w:type="dxa"/>
            <w:tcBorders>
              <w:top w:val="nil"/>
              <w:left w:val="nil"/>
              <w:bottom w:val="single" w:sz="8" w:space="0" w:color="auto"/>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1.95 (1.89-2.00)</w:t>
            </w:r>
          </w:p>
        </w:tc>
        <w:tc>
          <w:tcPr>
            <w:tcW w:w="1559" w:type="dxa"/>
            <w:tcBorders>
              <w:top w:val="nil"/>
              <w:left w:val="nil"/>
              <w:bottom w:val="single" w:sz="8" w:space="0" w:color="auto"/>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&lt;0.001</w:t>
            </w:r>
          </w:p>
        </w:tc>
      </w:tr>
      <w:tr w:rsidR="004236EC" w:rsidTr="004D006E">
        <w:trPr>
          <w:trHeight w:val="260"/>
        </w:trPr>
        <w:tc>
          <w:tcPr>
            <w:tcW w:w="1039" w:type="dxa"/>
            <w:tcBorders>
              <w:top w:val="single" w:sz="8" w:space="0" w:color="auto"/>
              <w:left w:val="nil"/>
              <w:bottom w:val="nil"/>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Model </w:t>
            </w:r>
            <w:r w:rsidR="00F25294">
              <w:rPr>
                <w:rFonts w:ascii="Arial" w:hAnsi="Arial" w:cs="Arial"/>
                <w:color w:val="000000"/>
                <w:sz w:val="20"/>
                <w:szCs w:val="20"/>
              </w:rPr>
              <w:t>2</w:t>
            </w:r>
          </w:p>
        </w:tc>
        <w:tc>
          <w:tcPr>
            <w:tcW w:w="4347" w:type="dxa"/>
            <w:gridSpan w:val="2"/>
            <w:tcBorders>
              <w:top w:val="single" w:sz="8" w:space="0" w:color="auto"/>
              <w:left w:val="nil"/>
              <w:bottom w:val="nil"/>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Celiac disease (versus absent)</w:t>
            </w:r>
          </w:p>
        </w:tc>
        <w:tc>
          <w:tcPr>
            <w:tcW w:w="1843" w:type="dxa"/>
            <w:tcBorders>
              <w:top w:val="single" w:sz="8" w:space="0" w:color="auto"/>
              <w:left w:val="nil"/>
              <w:bottom w:val="nil"/>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1.08 (0.84-1.40)</w:t>
            </w:r>
          </w:p>
        </w:tc>
        <w:tc>
          <w:tcPr>
            <w:tcW w:w="1559" w:type="dxa"/>
            <w:tcBorders>
              <w:top w:val="single" w:sz="8" w:space="0" w:color="auto"/>
              <w:left w:val="nil"/>
              <w:bottom w:val="nil"/>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0.542</w:t>
            </w:r>
          </w:p>
        </w:tc>
      </w:tr>
      <w:tr w:rsidR="004236EC" w:rsidTr="004D006E">
        <w:trPr>
          <w:trHeight w:val="260"/>
        </w:trPr>
        <w:tc>
          <w:tcPr>
            <w:tcW w:w="1039" w:type="dxa"/>
            <w:tcBorders>
              <w:top w:val="nil"/>
              <w:left w:val="nil"/>
              <w:bottom w:val="single" w:sz="8" w:space="0" w:color="auto"/>
              <w:right w:val="nil"/>
            </w:tcBorders>
          </w:tcPr>
          <w:p w:rsidR="004236EC" w:rsidRDefault="004236EC" w:rsidP="001663A3">
            <w:pPr>
              <w:widowControl w:val="0"/>
              <w:autoSpaceDE w:val="0"/>
              <w:autoSpaceDN w:val="0"/>
              <w:adjustRightInd w:val="0"/>
              <w:jc w:val="right"/>
              <w:rPr>
                <w:rFonts w:ascii="Arial" w:hAnsi="Arial" w:cs="Arial"/>
                <w:color w:val="000000"/>
                <w:sz w:val="20"/>
                <w:szCs w:val="20"/>
              </w:rPr>
            </w:pPr>
          </w:p>
        </w:tc>
        <w:tc>
          <w:tcPr>
            <w:tcW w:w="4347" w:type="dxa"/>
            <w:gridSpan w:val="2"/>
            <w:tcBorders>
              <w:top w:val="nil"/>
              <w:left w:val="nil"/>
              <w:bottom w:val="single" w:sz="8" w:space="0" w:color="auto"/>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FRAX (clinical with secondary osteoporosis) per SD increase</w:t>
            </w:r>
          </w:p>
        </w:tc>
        <w:tc>
          <w:tcPr>
            <w:tcW w:w="1843" w:type="dxa"/>
            <w:tcBorders>
              <w:top w:val="nil"/>
              <w:left w:val="nil"/>
              <w:bottom w:val="single" w:sz="8" w:space="0" w:color="auto"/>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1.94 (1.89-2.00)</w:t>
            </w:r>
          </w:p>
        </w:tc>
        <w:tc>
          <w:tcPr>
            <w:tcW w:w="1559" w:type="dxa"/>
            <w:tcBorders>
              <w:top w:val="nil"/>
              <w:left w:val="nil"/>
              <w:bottom w:val="single" w:sz="8" w:space="0" w:color="auto"/>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&lt;0.001</w:t>
            </w:r>
          </w:p>
        </w:tc>
      </w:tr>
      <w:tr w:rsidR="004236EC" w:rsidTr="004D006E">
        <w:trPr>
          <w:trHeight w:val="293"/>
        </w:trPr>
        <w:tc>
          <w:tcPr>
            <w:tcW w:w="1039" w:type="dxa"/>
            <w:tcBorders>
              <w:top w:val="single" w:sz="8" w:space="0" w:color="auto"/>
              <w:left w:val="nil"/>
              <w:bottom w:val="nil"/>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Model </w:t>
            </w:r>
            <w:r w:rsidR="00F25294">
              <w:rPr>
                <w:rFonts w:ascii="Arial" w:hAnsi="Arial" w:cs="Arial"/>
                <w:color w:val="000000"/>
                <w:sz w:val="20"/>
                <w:szCs w:val="20"/>
              </w:rPr>
              <w:t>3</w:t>
            </w:r>
          </w:p>
        </w:tc>
        <w:tc>
          <w:tcPr>
            <w:tcW w:w="4347" w:type="dxa"/>
            <w:gridSpan w:val="2"/>
            <w:tcBorders>
              <w:top w:val="single" w:sz="8" w:space="0" w:color="auto"/>
              <w:left w:val="nil"/>
              <w:bottom w:val="nil"/>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Celiac disease (versus absent)</w:t>
            </w:r>
          </w:p>
        </w:tc>
        <w:tc>
          <w:tcPr>
            <w:tcW w:w="1843" w:type="dxa"/>
            <w:tcBorders>
              <w:top w:val="single" w:sz="8" w:space="0" w:color="auto"/>
              <w:left w:val="nil"/>
              <w:bottom w:val="nil"/>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 (0.93-1.57)</w:t>
            </w:r>
          </w:p>
        </w:tc>
        <w:tc>
          <w:tcPr>
            <w:tcW w:w="1559" w:type="dxa"/>
            <w:tcBorders>
              <w:top w:val="single" w:sz="8" w:space="0" w:color="auto"/>
              <w:left w:val="nil"/>
              <w:bottom w:val="nil"/>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0.150</w:t>
            </w:r>
          </w:p>
        </w:tc>
      </w:tr>
      <w:tr w:rsidR="004236EC" w:rsidTr="004D006E">
        <w:trPr>
          <w:trHeight w:val="293"/>
        </w:trPr>
        <w:tc>
          <w:tcPr>
            <w:tcW w:w="1039" w:type="dxa"/>
            <w:tcBorders>
              <w:top w:val="nil"/>
              <w:left w:val="nil"/>
              <w:bottom w:val="single" w:sz="24" w:space="0" w:color="auto"/>
              <w:right w:val="nil"/>
            </w:tcBorders>
          </w:tcPr>
          <w:p w:rsidR="004236EC" w:rsidRDefault="004236EC" w:rsidP="001663A3">
            <w:pPr>
              <w:widowControl w:val="0"/>
              <w:autoSpaceDE w:val="0"/>
              <w:autoSpaceDN w:val="0"/>
              <w:adjustRightInd w:val="0"/>
              <w:rPr>
                <w:rFonts w:ascii="Arial" w:hAnsi="Arial" w:cs="Arial"/>
                <w:color w:val="000000"/>
                <w:sz w:val="20"/>
                <w:szCs w:val="20"/>
              </w:rPr>
            </w:pPr>
          </w:p>
        </w:tc>
        <w:tc>
          <w:tcPr>
            <w:tcW w:w="4347" w:type="dxa"/>
            <w:gridSpan w:val="2"/>
            <w:tcBorders>
              <w:top w:val="nil"/>
              <w:left w:val="nil"/>
              <w:bottom w:val="single" w:sz="24" w:space="0" w:color="auto"/>
              <w:right w:val="nil"/>
            </w:tcBorders>
          </w:tcPr>
          <w:p w:rsidR="004236EC" w:rsidRDefault="004236EC" w:rsidP="001663A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FRAX (with BMD) per SD increase</w:t>
            </w:r>
          </w:p>
        </w:tc>
        <w:tc>
          <w:tcPr>
            <w:tcW w:w="1843" w:type="dxa"/>
            <w:tcBorders>
              <w:top w:val="nil"/>
              <w:left w:val="nil"/>
              <w:bottom w:val="single" w:sz="24" w:space="0" w:color="auto"/>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2.09 (2.03-2.14)</w:t>
            </w:r>
          </w:p>
        </w:tc>
        <w:tc>
          <w:tcPr>
            <w:tcW w:w="1559" w:type="dxa"/>
            <w:tcBorders>
              <w:top w:val="nil"/>
              <w:left w:val="nil"/>
              <w:bottom w:val="single" w:sz="24" w:space="0" w:color="auto"/>
              <w:right w:val="nil"/>
            </w:tcBorders>
          </w:tcPr>
          <w:p w:rsidR="004236EC" w:rsidRDefault="004236EC" w:rsidP="001663A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&lt;0.001</w:t>
            </w:r>
          </w:p>
        </w:tc>
      </w:tr>
    </w:tbl>
    <w:p w:rsidR="004236EC" w:rsidRDefault="008A3A58" w:rsidP="004236EC">
      <w:r>
        <w:t>Note: CI = confidence interval</w:t>
      </w:r>
    </w:p>
    <w:p w:rsidR="004236EC" w:rsidRDefault="004236EC" w:rsidP="004236EC">
      <w:r>
        <w:br w:type="page"/>
      </w:r>
    </w:p>
    <w:p w:rsidR="006D4564" w:rsidRDefault="006D4564"/>
    <w:p w:rsidR="006D4564" w:rsidRDefault="006D4564"/>
    <w:p w:rsidR="006D4564" w:rsidRDefault="006D4564"/>
    <w:p w:rsidR="00024EC1" w:rsidRDefault="00024EC1" w:rsidP="00024EC1"/>
    <w:p w:rsidR="00024EC1" w:rsidRDefault="00024EC1" w:rsidP="00024EC1">
      <w:r>
        <w:t xml:space="preserve">Table </w:t>
      </w:r>
      <w:r w:rsidR="004236EC">
        <w:t>3</w:t>
      </w:r>
      <w:r>
        <w:t xml:space="preserve"> </w:t>
      </w:r>
      <w:r w:rsidR="0077585B">
        <w:t xml:space="preserve"> </w:t>
      </w:r>
      <w:r w:rsidR="004D006E">
        <w:t xml:space="preserve">Hazard ratios (HR) with </w:t>
      </w:r>
      <w:r w:rsidR="004D006E" w:rsidRPr="004D006E">
        <w:t xml:space="preserve">95% confidence intervals (CI) </w:t>
      </w:r>
      <w:r w:rsidR="004D006E">
        <w:t>for i</w:t>
      </w:r>
      <w:r w:rsidRPr="00FD36CE">
        <w:rPr>
          <w:rFonts w:cs="Times New Roman"/>
        </w:rPr>
        <w:t xml:space="preserve">ncident major osteoporotic fracture </w:t>
      </w:r>
      <w:r w:rsidR="000B3B97">
        <w:rPr>
          <w:rFonts w:cs="Times New Roman"/>
        </w:rPr>
        <w:t>per standard deviation increase in FRAX probability</w:t>
      </w:r>
      <w:r w:rsidR="004D006E">
        <w:rPr>
          <w:rFonts w:cs="Times New Roman"/>
        </w:rPr>
        <w:t>.</w:t>
      </w:r>
      <w:r w:rsidR="000B3B97">
        <w:rPr>
          <w:rFonts w:cs="Times New Roman"/>
        </w:rPr>
        <w:t xml:space="preserve"> </w:t>
      </w:r>
    </w:p>
    <w:p w:rsidR="00024EC1" w:rsidRDefault="00024EC1" w:rsidP="00024EC1"/>
    <w:tbl>
      <w:tblPr>
        <w:tblW w:w="10105" w:type="dxa"/>
        <w:tblInd w:w="-63" w:type="dxa"/>
        <w:tblLayout w:type="fixed"/>
        <w:tblLook w:val="04A0" w:firstRow="1" w:lastRow="0" w:firstColumn="1" w:lastColumn="0" w:noHBand="0" w:noVBand="1"/>
      </w:tblPr>
      <w:tblGrid>
        <w:gridCol w:w="4570"/>
        <w:gridCol w:w="2014"/>
        <w:gridCol w:w="1984"/>
        <w:gridCol w:w="1537"/>
      </w:tblGrid>
      <w:tr w:rsidR="00024EC1" w:rsidTr="003C3282">
        <w:trPr>
          <w:trHeight w:val="1002"/>
        </w:trPr>
        <w:tc>
          <w:tcPr>
            <w:tcW w:w="4570" w:type="dxa"/>
            <w:tcBorders>
              <w:top w:val="single" w:sz="24" w:space="0" w:color="auto"/>
              <w:left w:val="nil"/>
              <w:bottom w:val="single" w:sz="8" w:space="0" w:color="auto"/>
              <w:right w:val="nil"/>
            </w:tcBorders>
            <w:shd w:val="clear" w:color="auto" w:fill="auto"/>
            <w:noWrap/>
            <w:vAlign w:val="bottom"/>
            <w:hideMark/>
          </w:tcPr>
          <w:p w:rsidR="00024EC1" w:rsidRPr="0077585B" w:rsidRDefault="00024EC1" w:rsidP="003C3282">
            <w:pPr>
              <w:rPr>
                <w:rFonts w:ascii="Arial" w:hAnsi="Arial" w:cs="Arial"/>
                <w:sz w:val="20"/>
                <w:szCs w:val="20"/>
              </w:rPr>
            </w:pPr>
            <w:r w:rsidRPr="0077585B">
              <w:rPr>
                <w:rFonts w:ascii="Arial" w:hAnsi="Arial" w:cs="Arial"/>
                <w:sz w:val="20"/>
                <w:szCs w:val="20"/>
              </w:rPr>
              <w:t>Predictor</w:t>
            </w:r>
          </w:p>
        </w:tc>
        <w:tc>
          <w:tcPr>
            <w:tcW w:w="2014" w:type="dxa"/>
            <w:tcBorders>
              <w:top w:val="single" w:sz="24" w:space="0" w:color="auto"/>
              <w:left w:val="nil"/>
              <w:bottom w:val="single" w:sz="8" w:space="0" w:color="auto"/>
              <w:right w:val="nil"/>
            </w:tcBorders>
            <w:shd w:val="clear" w:color="auto" w:fill="auto"/>
            <w:hideMark/>
          </w:tcPr>
          <w:p w:rsidR="00024EC1" w:rsidRDefault="00024EC1" w:rsidP="003C3282">
            <w:pPr>
              <w:rPr>
                <w:rFonts w:ascii="Arial" w:eastAsia="Times New Roman" w:hAnsi="Arial" w:cs="Arial"/>
                <w:b/>
                <w:sz w:val="20"/>
                <w:szCs w:val="20"/>
              </w:rPr>
            </w:pPr>
            <w:r>
              <w:rPr>
                <w:rFonts w:ascii="Arial" w:eastAsia="Times New Roman" w:hAnsi="Arial" w:cs="Arial"/>
                <w:b/>
                <w:sz w:val="20"/>
                <w:szCs w:val="20"/>
              </w:rPr>
              <w:t>Celiac Disease</w:t>
            </w:r>
            <w:r w:rsidRPr="00B851E2">
              <w:rPr>
                <w:rFonts w:ascii="Arial" w:eastAsia="Times New Roman" w:hAnsi="Arial" w:cs="Arial"/>
                <w:b/>
                <w:sz w:val="20"/>
                <w:szCs w:val="20"/>
              </w:rPr>
              <w:br/>
            </w:r>
          </w:p>
          <w:p w:rsidR="00024EC1" w:rsidRDefault="00024EC1" w:rsidP="003C3282">
            <w:pPr>
              <w:rPr>
                <w:rFonts w:ascii="Arial" w:eastAsia="Times New Roman" w:hAnsi="Arial" w:cs="Arial"/>
                <w:b/>
                <w:sz w:val="20"/>
                <w:szCs w:val="20"/>
              </w:rPr>
            </w:pPr>
          </w:p>
          <w:p w:rsidR="00024EC1" w:rsidRPr="00B851E2" w:rsidRDefault="004E68D8" w:rsidP="003C3282">
            <w:pPr>
              <w:rPr>
                <w:rFonts w:ascii="Arial" w:eastAsia="Times New Roman" w:hAnsi="Arial" w:cs="Arial"/>
                <w:b/>
                <w:sz w:val="20"/>
                <w:szCs w:val="20"/>
              </w:rPr>
            </w:pPr>
            <w:r>
              <w:rPr>
                <w:rFonts w:ascii="Arial" w:eastAsia="Times New Roman" w:hAnsi="Arial" w:cs="Arial"/>
                <w:b/>
                <w:sz w:val="20"/>
                <w:szCs w:val="20"/>
              </w:rPr>
              <w:t xml:space="preserve">HR      </w:t>
            </w:r>
            <w:r w:rsidR="00024EC1">
              <w:rPr>
                <w:rFonts w:ascii="Arial" w:eastAsia="Times New Roman" w:hAnsi="Arial" w:cs="Arial"/>
                <w:b/>
                <w:sz w:val="20"/>
                <w:szCs w:val="20"/>
              </w:rPr>
              <w:t>95% CI</w:t>
            </w:r>
          </w:p>
        </w:tc>
        <w:tc>
          <w:tcPr>
            <w:tcW w:w="1984" w:type="dxa"/>
            <w:tcBorders>
              <w:top w:val="single" w:sz="24" w:space="0" w:color="auto"/>
              <w:left w:val="nil"/>
              <w:bottom w:val="single" w:sz="8" w:space="0" w:color="auto"/>
              <w:right w:val="nil"/>
            </w:tcBorders>
            <w:shd w:val="clear" w:color="auto" w:fill="auto"/>
            <w:hideMark/>
          </w:tcPr>
          <w:p w:rsidR="00024EC1" w:rsidRPr="00B851E2" w:rsidRDefault="00024960" w:rsidP="003C3282">
            <w:pPr>
              <w:jc w:val="center"/>
              <w:rPr>
                <w:rFonts w:ascii="Arial" w:eastAsia="Times New Roman" w:hAnsi="Arial" w:cs="Arial"/>
                <w:b/>
                <w:color w:val="000000"/>
                <w:sz w:val="20"/>
                <w:szCs w:val="20"/>
              </w:rPr>
            </w:pPr>
            <w:r>
              <w:rPr>
                <w:rFonts w:ascii="Arial" w:eastAsia="Times New Roman" w:hAnsi="Arial" w:cs="Arial"/>
                <w:b/>
                <w:color w:val="000000"/>
                <w:sz w:val="20"/>
                <w:szCs w:val="20"/>
              </w:rPr>
              <w:t>General Population</w:t>
            </w:r>
          </w:p>
          <w:p w:rsidR="00024EC1" w:rsidRDefault="00024EC1" w:rsidP="003C3282">
            <w:pPr>
              <w:jc w:val="center"/>
              <w:rPr>
                <w:rFonts w:ascii="Arial" w:eastAsia="Times New Roman" w:hAnsi="Arial" w:cs="Arial"/>
                <w:b/>
                <w:color w:val="000000"/>
                <w:sz w:val="20"/>
                <w:szCs w:val="20"/>
              </w:rPr>
            </w:pPr>
          </w:p>
          <w:p w:rsidR="00024EC1" w:rsidRPr="00B851E2" w:rsidRDefault="00DD280D" w:rsidP="003C3282">
            <w:pPr>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024EC1">
              <w:rPr>
                <w:rFonts w:ascii="Arial" w:eastAsia="Times New Roman" w:hAnsi="Arial" w:cs="Arial"/>
                <w:b/>
                <w:color w:val="000000"/>
                <w:sz w:val="20"/>
                <w:szCs w:val="20"/>
              </w:rPr>
              <w:t xml:space="preserve">HR   </w:t>
            </w:r>
            <w:r>
              <w:rPr>
                <w:rFonts w:ascii="Arial" w:eastAsia="Times New Roman" w:hAnsi="Arial" w:cs="Arial"/>
                <w:b/>
                <w:color w:val="000000"/>
                <w:sz w:val="20"/>
                <w:szCs w:val="20"/>
              </w:rPr>
              <w:t xml:space="preserve"> </w:t>
            </w:r>
            <w:r w:rsidR="00024EC1">
              <w:rPr>
                <w:rFonts w:ascii="Arial" w:eastAsia="Times New Roman" w:hAnsi="Arial" w:cs="Arial"/>
                <w:b/>
                <w:color w:val="000000"/>
                <w:sz w:val="20"/>
                <w:szCs w:val="20"/>
              </w:rPr>
              <w:t>95% CI</w:t>
            </w:r>
          </w:p>
        </w:tc>
        <w:tc>
          <w:tcPr>
            <w:tcW w:w="1537" w:type="dxa"/>
            <w:tcBorders>
              <w:top w:val="single" w:sz="24" w:space="0" w:color="auto"/>
              <w:left w:val="nil"/>
              <w:bottom w:val="single" w:sz="8" w:space="0" w:color="auto"/>
              <w:right w:val="nil"/>
            </w:tcBorders>
            <w:shd w:val="clear" w:color="auto" w:fill="auto"/>
            <w:hideMark/>
          </w:tcPr>
          <w:p w:rsidR="00024EC1" w:rsidRDefault="00024EC1" w:rsidP="003C3282">
            <w:pPr>
              <w:rPr>
                <w:rFonts w:ascii="Arial" w:eastAsia="Times New Roman" w:hAnsi="Arial" w:cs="Arial"/>
                <w:b/>
                <w:color w:val="000000"/>
                <w:sz w:val="20"/>
                <w:szCs w:val="20"/>
              </w:rPr>
            </w:pPr>
          </w:p>
          <w:p w:rsidR="00024EC1" w:rsidRDefault="00024EC1" w:rsidP="003C3282">
            <w:pPr>
              <w:rPr>
                <w:rFonts w:ascii="Arial" w:eastAsia="Times New Roman" w:hAnsi="Arial" w:cs="Arial"/>
                <w:b/>
                <w:color w:val="000000"/>
                <w:sz w:val="20"/>
                <w:szCs w:val="20"/>
              </w:rPr>
            </w:pPr>
          </w:p>
          <w:p w:rsidR="00024EC1" w:rsidRDefault="00024EC1" w:rsidP="003C3282">
            <w:pPr>
              <w:rPr>
                <w:rFonts w:ascii="Arial" w:eastAsia="Times New Roman" w:hAnsi="Arial" w:cs="Arial"/>
                <w:b/>
                <w:color w:val="000000"/>
                <w:sz w:val="20"/>
                <w:szCs w:val="20"/>
              </w:rPr>
            </w:pPr>
          </w:p>
          <w:p w:rsidR="00024EC1" w:rsidRDefault="00024EC1" w:rsidP="003C3282">
            <w:pPr>
              <w:rPr>
                <w:rFonts w:ascii="Arial" w:eastAsia="Times New Roman" w:hAnsi="Arial" w:cs="Arial"/>
                <w:b/>
                <w:color w:val="000000"/>
                <w:sz w:val="20"/>
                <w:szCs w:val="20"/>
              </w:rPr>
            </w:pPr>
            <w:r>
              <w:rPr>
                <w:rFonts w:ascii="Arial" w:eastAsia="Times New Roman" w:hAnsi="Arial" w:cs="Arial"/>
                <w:b/>
                <w:color w:val="000000"/>
                <w:sz w:val="20"/>
                <w:szCs w:val="20"/>
              </w:rPr>
              <w:t>Interaction</w:t>
            </w:r>
          </w:p>
          <w:p w:rsidR="00024EC1" w:rsidRPr="00B851E2" w:rsidRDefault="00024EC1" w:rsidP="003C3282">
            <w:pPr>
              <w:rPr>
                <w:rFonts w:ascii="Arial" w:eastAsia="Times New Roman" w:hAnsi="Arial" w:cs="Arial"/>
                <w:b/>
                <w:color w:val="000000"/>
                <w:sz w:val="20"/>
                <w:szCs w:val="20"/>
              </w:rPr>
            </w:pPr>
            <w:r>
              <w:rPr>
                <w:rFonts w:ascii="Arial" w:eastAsia="Times New Roman" w:hAnsi="Arial" w:cs="Arial"/>
                <w:b/>
                <w:color w:val="000000"/>
                <w:sz w:val="20"/>
                <w:szCs w:val="20"/>
              </w:rPr>
              <w:t>p-value</w:t>
            </w:r>
            <w:r w:rsidR="004D006E">
              <w:rPr>
                <w:rFonts w:ascii="Arial" w:eastAsia="Times New Roman" w:hAnsi="Arial" w:cs="Arial"/>
                <w:b/>
                <w:color w:val="000000"/>
                <w:sz w:val="20"/>
                <w:szCs w:val="20"/>
              </w:rPr>
              <w:t>*</w:t>
            </w:r>
          </w:p>
        </w:tc>
      </w:tr>
      <w:tr w:rsidR="00024EC1" w:rsidTr="003C3282">
        <w:trPr>
          <w:trHeight w:val="260"/>
        </w:trPr>
        <w:tc>
          <w:tcPr>
            <w:tcW w:w="4570" w:type="dxa"/>
            <w:tcBorders>
              <w:top w:val="single" w:sz="8" w:space="0" w:color="auto"/>
              <w:left w:val="nil"/>
              <w:bottom w:val="nil"/>
              <w:right w:val="nil"/>
            </w:tcBorders>
            <w:shd w:val="clear" w:color="auto" w:fill="auto"/>
            <w:noWrap/>
            <w:vAlign w:val="bottom"/>
            <w:hideMark/>
          </w:tcPr>
          <w:p w:rsidR="00024EC1" w:rsidRDefault="00024EC1" w:rsidP="000B3B97">
            <w:pPr>
              <w:rPr>
                <w:rFonts w:ascii="Arial" w:eastAsia="Times New Roman" w:hAnsi="Arial" w:cs="Arial"/>
                <w:sz w:val="20"/>
                <w:szCs w:val="20"/>
              </w:rPr>
            </w:pPr>
            <w:r>
              <w:rPr>
                <w:rFonts w:ascii="Arial" w:eastAsia="Times New Roman" w:hAnsi="Arial" w:cs="Arial"/>
                <w:sz w:val="20"/>
                <w:szCs w:val="20"/>
              </w:rPr>
              <w:t xml:space="preserve">FRAX probability </w:t>
            </w:r>
            <w:r w:rsidR="000B3B97">
              <w:rPr>
                <w:rFonts w:ascii="Arial" w:eastAsia="Times New Roman" w:hAnsi="Arial" w:cs="Arial"/>
                <w:sz w:val="20"/>
                <w:szCs w:val="20"/>
              </w:rPr>
              <w:t xml:space="preserve">from </w:t>
            </w:r>
            <w:r>
              <w:rPr>
                <w:rFonts w:ascii="Arial" w:eastAsia="Times New Roman" w:hAnsi="Arial" w:cs="Arial"/>
                <w:sz w:val="20"/>
                <w:szCs w:val="20"/>
              </w:rPr>
              <w:t>clinical predictors only</w:t>
            </w:r>
          </w:p>
        </w:tc>
        <w:tc>
          <w:tcPr>
            <w:tcW w:w="2014" w:type="dxa"/>
            <w:tcBorders>
              <w:top w:val="single" w:sz="8" w:space="0" w:color="auto"/>
              <w:left w:val="nil"/>
              <w:bottom w:val="nil"/>
              <w:right w:val="nil"/>
            </w:tcBorders>
            <w:shd w:val="clear" w:color="auto" w:fill="auto"/>
            <w:noWrap/>
            <w:vAlign w:val="center"/>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1.67 (1.29-2.17)</w:t>
            </w:r>
          </w:p>
        </w:tc>
        <w:tc>
          <w:tcPr>
            <w:tcW w:w="1984" w:type="dxa"/>
            <w:tcBorders>
              <w:top w:val="single" w:sz="8" w:space="0" w:color="auto"/>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1.95 (1.89-2.00)</w:t>
            </w:r>
          </w:p>
        </w:tc>
        <w:tc>
          <w:tcPr>
            <w:tcW w:w="1537" w:type="dxa"/>
            <w:tcBorders>
              <w:top w:val="single" w:sz="8" w:space="0" w:color="auto"/>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0.238</w:t>
            </w:r>
          </w:p>
        </w:tc>
      </w:tr>
      <w:tr w:rsidR="00024EC1" w:rsidTr="003C3282">
        <w:trPr>
          <w:trHeight w:val="335"/>
        </w:trPr>
        <w:tc>
          <w:tcPr>
            <w:tcW w:w="4570"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2014" w:type="dxa"/>
            <w:tcBorders>
              <w:top w:val="nil"/>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r>
      <w:tr w:rsidR="00024EC1" w:rsidTr="003C3282">
        <w:trPr>
          <w:trHeight w:val="260"/>
        </w:trPr>
        <w:tc>
          <w:tcPr>
            <w:tcW w:w="4570"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2014" w:type="dxa"/>
            <w:tcBorders>
              <w:top w:val="nil"/>
              <w:left w:val="nil"/>
              <w:bottom w:val="single" w:sz="8" w:space="0" w:color="auto"/>
              <w:right w:val="nil"/>
            </w:tcBorders>
            <w:shd w:val="clear" w:color="auto" w:fill="auto"/>
            <w:noWrap/>
            <w:vAlign w:val="bottom"/>
            <w:hideMark/>
          </w:tcPr>
          <w:p w:rsidR="00024EC1" w:rsidRDefault="00024EC1" w:rsidP="003C3282">
            <w:pPr>
              <w:rPr>
                <w:rFonts w:eastAsia="Times New Roman" w:cs="Times New Roman"/>
                <w:sz w:val="20"/>
                <w:szCs w:val="20"/>
              </w:rPr>
            </w:pPr>
          </w:p>
        </w:tc>
        <w:tc>
          <w:tcPr>
            <w:tcW w:w="1984"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1537"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r>
      <w:tr w:rsidR="00024EC1" w:rsidTr="003C3282">
        <w:trPr>
          <w:trHeight w:val="260"/>
        </w:trPr>
        <w:tc>
          <w:tcPr>
            <w:tcW w:w="4570" w:type="dxa"/>
            <w:tcBorders>
              <w:top w:val="single" w:sz="8" w:space="0" w:color="auto"/>
              <w:left w:val="nil"/>
              <w:bottom w:val="nil"/>
              <w:right w:val="nil"/>
            </w:tcBorders>
            <w:shd w:val="clear" w:color="auto" w:fill="auto"/>
            <w:noWrap/>
            <w:vAlign w:val="bottom"/>
            <w:hideMark/>
          </w:tcPr>
          <w:p w:rsidR="00024EC1" w:rsidRDefault="00024EC1" w:rsidP="000B3B97">
            <w:pPr>
              <w:rPr>
                <w:rFonts w:ascii="Arial" w:eastAsia="Times New Roman" w:hAnsi="Arial" w:cs="Arial"/>
                <w:sz w:val="20"/>
                <w:szCs w:val="20"/>
              </w:rPr>
            </w:pPr>
            <w:r>
              <w:rPr>
                <w:rFonts w:ascii="Arial" w:eastAsia="Times New Roman" w:hAnsi="Arial" w:cs="Arial"/>
                <w:sz w:val="20"/>
                <w:szCs w:val="20"/>
              </w:rPr>
              <w:t xml:space="preserve">FRAX probability </w:t>
            </w:r>
            <w:r w:rsidR="000B3B97">
              <w:rPr>
                <w:rFonts w:ascii="Arial" w:eastAsia="Times New Roman" w:hAnsi="Arial" w:cs="Arial"/>
                <w:sz w:val="20"/>
                <w:szCs w:val="20"/>
              </w:rPr>
              <w:t xml:space="preserve">from </w:t>
            </w:r>
            <w:r>
              <w:rPr>
                <w:rFonts w:ascii="Arial" w:eastAsia="Times New Roman" w:hAnsi="Arial" w:cs="Arial"/>
                <w:sz w:val="20"/>
                <w:szCs w:val="20"/>
              </w:rPr>
              <w:t xml:space="preserve">clinical predictors with secondary </w:t>
            </w:r>
            <w:r w:rsidR="000B3B97">
              <w:rPr>
                <w:rFonts w:ascii="Arial" w:eastAsia="Times New Roman" w:hAnsi="Arial" w:cs="Arial"/>
                <w:sz w:val="20"/>
                <w:szCs w:val="20"/>
              </w:rPr>
              <w:t>osteoporosis for celiac disease</w:t>
            </w:r>
          </w:p>
        </w:tc>
        <w:tc>
          <w:tcPr>
            <w:tcW w:w="2014" w:type="dxa"/>
            <w:tcBorders>
              <w:top w:val="single" w:sz="8" w:space="0" w:color="auto"/>
              <w:left w:val="nil"/>
              <w:bottom w:val="nil"/>
              <w:right w:val="nil"/>
            </w:tcBorders>
            <w:shd w:val="clear" w:color="auto" w:fill="auto"/>
            <w:noWrap/>
            <w:vAlign w:val="center"/>
            <w:hideMark/>
          </w:tcPr>
          <w:p w:rsidR="00024EC1" w:rsidRDefault="00024EC1" w:rsidP="003C3282">
            <w:pPr>
              <w:rPr>
                <w:rFonts w:ascii="Arial" w:eastAsia="Times New Roman" w:hAnsi="Arial" w:cs="Arial"/>
                <w:sz w:val="20"/>
                <w:szCs w:val="20"/>
              </w:rPr>
            </w:pPr>
          </w:p>
          <w:p w:rsidR="00024EC1" w:rsidRDefault="00024EC1" w:rsidP="003C3282">
            <w:pPr>
              <w:rPr>
                <w:rFonts w:ascii="Arial" w:eastAsia="Times New Roman" w:hAnsi="Arial" w:cs="Arial"/>
                <w:sz w:val="20"/>
                <w:szCs w:val="20"/>
              </w:rPr>
            </w:pPr>
            <w:r>
              <w:rPr>
                <w:rFonts w:ascii="Arial" w:eastAsia="Times New Roman" w:hAnsi="Arial" w:cs="Arial"/>
                <w:sz w:val="20"/>
                <w:szCs w:val="20"/>
              </w:rPr>
              <w:t>1.66 (1.28-2.16)</w:t>
            </w:r>
          </w:p>
        </w:tc>
        <w:tc>
          <w:tcPr>
            <w:tcW w:w="1984" w:type="dxa"/>
            <w:tcBorders>
              <w:top w:val="single" w:sz="8" w:space="0" w:color="auto"/>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1.95 (1.89-2.00)</w:t>
            </w:r>
          </w:p>
        </w:tc>
        <w:tc>
          <w:tcPr>
            <w:tcW w:w="1537" w:type="dxa"/>
            <w:tcBorders>
              <w:top w:val="single" w:sz="8" w:space="0" w:color="auto"/>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0.222</w:t>
            </w:r>
          </w:p>
        </w:tc>
      </w:tr>
      <w:tr w:rsidR="00024EC1" w:rsidTr="003C3282">
        <w:trPr>
          <w:trHeight w:val="307"/>
        </w:trPr>
        <w:tc>
          <w:tcPr>
            <w:tcW w:w="4570"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2014" w:type="dxa"/>
            <w:tcBorders>
              <w:top w:val="nil"/>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r>
      <w:tr w:rsidR="00024EC1" w:rsidTr="003C3282">
        <w:trPr>
          <w:trHeight w:val="307"/>
        </w:trPr>
        <w:tc>
          <w:tcPr>
            <w:tcW w:w="4570"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2014" w:type="dxa"/>
            <w:tcBorders>
              <w:top w:val="nil"/>
              <w:left w:val="nil"/>
              <w:bottom w:val="single" w:sz="8" w:space="0" w:color="auto"/>
              <w:right w:val="nil"/>
            </w:tcBorders>
            <w:shd w:val="clear" w:color="auto" w:fill="auto"/>
            <w:noWrap/>
            <w:vAlign w:val="bottom"/>
            <w:hideMark/>
          </w:tcPr>
          <w:p w:rsidR="00024EC1" w:rsidRDefault="00024EC1" w:rsidP="003C3282">
            <w:pPr>
              <w:rPr>
                <w:rFonts w:eastAsia="Times New Roman" w:cs="Times New Roman"/>
                <w:sz w:val="20"/>
                <w:szCs w:val="20"/>
              </w:rPr>
            </w:pPr>
          </w:p>
        </w:tc>
        <w:tc>
          <w:tcPr>
            <w:tcW w:w="1984" w:type="dxa"/>
            <w:tcBorders>
              <w:top w:val="nil"/>
              <w:left w:val="nil"/>
              <w:bottom w:val="single" w:sz="8" w:space="0" w:color="auto"/>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c>
          <w:tcPr>
            <w:tcW w:w="1537"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r>
      <w:tr w:rsidR="00024EC1" w:rsidTr="003C3282">
        <w:trPr>
          <w:trHeight w:val="260"/>
        </w:trPr>
        <w:tc>
          <w:tcPr>
            <w:tcW w:w="4570" w:type="dxa"/>
            <w:tcBorders>
              <w:top w:val="single" w:sz="8" w:space="0" w:color="auto"/>
              <w:left w:val="nil"/>
              <w:bottom w:val="nil"/>
              <w:right w:val="nil"/>
            </w:tcBorders>
            <w:shd w:val="clear" w:color="auto" w:fill="auto"/>
            <w:noWrap/>
            <w:vAlign w:val="bottom"/>
            <w:hideMark/>
          </w:tcPr>
          <w:p w:rsidR="00024EC1" w:rsidRDefault="00024EC1" w:rsidP="000B3B97">
            <w:pPr>
              <w:rPr>
                <w:rFonts w:ascii="Arial" w:eastAsia="Times New Roman" w:hAnsi="Arial" w:cs="Arial"/>
                <w:sz w:val="20"/>
                <w:szCs w:val="20"/>
              </w:rPr>
            </w:pPr>
            <w:r>
              <w:rPr>
                <w:rFonts w:ascii="Arial" w:eastAsia="Times New Roman" w:hAnsi="Arial" w:cs="Arial"/>
                <w:sz w:val="20"/>
                <w:szCs w:val="20"/>
              </w:rPr>
              <w:t xml:space="preserve">FRAX probability </w:t>
            </w:r>
            <w:r w:rsidR="000B3B97">
              <w:rPr>
                <w:rFonts w:ascii="Arial" w:eastAsia="Times New Roman" w:hAnsi="Arial" w:cs="Arial"/>
                <w:sz w:val="20"/>
                <w:szCs w:val="20"/>
              </w:rPr>
              <w:t>from</w:t>
            </w:r>
            <w:r w:rsidR="004236EC">
              <w:rPr>
                <w:rFonts w:ascii="Arial" w:eastAsia="Times New Roman" w:hAnsi="Arial" w:cs="Arial"/>
                <w:sz w:val="20"/>
                <w:szCs w:val="20"/>
              </w:rPr>
              <w:t xml:space="preserve"> </w:t>
            </w:r>
            <w:r w:rsidR="0085377C">
              <w:rPr>
                <w:rFonts w:ascii="Arial" w:eastAsia="Times New Roman" w:hAnsi="Arial" w:cs="Arial"/>
                <w:sz w:val="20"/>
                <w:szCs w:val="20"/>
              </w:rPr>
              <w:t xml:space="preserve">clinical predictors </w:t>
            </w:r>
            <w:r w:rsidR="000B3B97">
              <w:rPr>
                <w:rFonts w:ascii="Arial" w:eastAsia="Times New Roman" w:hAnsi="Arial" w:cs="Arial"/>
                <w:sz w:val="20"/>
                <w:szCs w:val="20"/>
              </w:rPr>
              <w:t xml:space="preserve">with </w:t>
            </w:r>
            <w:r>
              <w:rPr>
                <w:rFonts w:ascii="Arial" w:eastAsia="Times New Roman" w:hAnsi="Arial" w:cs="Arial"/>
                <w:sz w:val="20"/>
                <w:szCs w:val="20"/>
              </w:rPr>
              <w:t>BMD</w:t>
            </w:r>
          </w:p>
        </w:tc>
        <w:tc>
          <w:tcPr>
            <w:tcW w:w="2014" w:type="dxa"/>
            <w:tcBorders>
              <w:top w:val="single" w:sz="8" w:space="0" w:color="auto"/>
              <w:left w:val="nil"/>
              <w:bottom w:val="nil"/>
              <w:right w:val="nil"/>
            </w:tcBorders>
            <w:shd w:val="clear" w:color="auto" w:fill="auto"/>
            <w:noWrap/>
            <w:vAlign w:val="center"/>
            <w:hideMark/>
          </w:tcPr>
          <w:p w:rsidR="00024EC1" w:rsidRDefault="00024EC1" w:rsidP="003C3282">
            <w:pPr>
              <w:rPr>
                <w:rFonts w:ascii="Arial" w:eastAsia="Times New Roman" w:hAnsi="Arial" w:cs="Arial"/>
                <w:sz w:val="20"/>
                <w:szCs w:val="20"/>
              </w:rPr>
            </w:pPr>
          </w:p>
          <w:p w:rsidR="00024EC1" w:rsidRDefault="00024EC1" w:rsidP="003C3282">
            <w:pPr>
              <w:rPr>
                <w:rFonts w:ascii="Arial" w:eastAsia="Times New Roman" w:hAnsi="Arial" w:cs="Arial"/>
                <w:sz w:val="20"/>
                <w:szCs w:val="20"/>
              </w:rPr>
            </w:pPr>
            <w:r>
              <w:rPr>
                <w:rFonts w:ascii="Arial" w:eastAsia="Times New Roman" w:hAnsi="Arial" w:cs="Arial"/>
                <w:sz w:val="20"/>
                <w:szCs w:val="20"/>
              </w:rPr>
              <w:t>1.80 (1.43-2.27)</w:t>
            </w:r>
          </w:p>
        </w:tc>
        <w:tc>
          <w:tcPr>
            <w:tcW w:w="1984" w:type="dxa"/>
            <w:tcBorders>
              <w:top w:val="single" w:sz="8" w:space="0" w:color="auto"/>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2.09 (2.03-2.15)</w:t>
            </w:r>
          </w:p>
        </w:tc>
        <w:tc>
          <w:tcPr>
            <w:tcW w:w="1537" w:type="dxa"/>
            <w:tcBorders>
              <w:top w:val="single" w:sz="8" w:space="0" w:color="auto"/>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r>
              <w:rPr>
                <w:rFonts w:ascii="Arial" w:eastAsia="Times New Roman" w:hAnsi="Arial" w:cs="Arial"/>
                <w:sz w:val="20"/>
                <w:szCs w:val="20"/>
              </w:rPr>
              <w:t>0.209</w:t>
            </w:r>
          </w:p>
        </w:tc>
      </w:tr>
      <w:tr w:rsidR="00024EC1" w:rsidTr="003C3282">
        <w:trPr>
          <w:trHeight w:val="293"/>
        </w:trPr>
        <w:tc>
          <w:tcPr>
            <w:tcW w:w="4570"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2014" w:type="dxa"/>
            <w:tcBorders>
              <w:top w:val="nil"/>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1537" w:type="dxa"/>
            <w:tcBorders>
              <w:top w:val="nil"/>
              <w:left w:val="nil"/>
              <w:bottom w:val="nil"/>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r>
      <w:tr w:rsidR="00024EC1" w:rsidTr="004D006E">
        <w:trPr>
          <w:trHeight w:val="63"/>
        </w:trPr>
        <w:tc>
          <w:tcPr>
            <w:tcW w:w="4570"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c>
          <w:tcPr>
            <w:tcW w:w="2014" w:type="dxa"/>
            <w:tcBorders>
              <w:top w:val="nil"/>
              <w:left w:val="nil"/>
              <w:bottom w:val="single" w:sz="8" w:space="0" w:color="auto"/>
              <w:right w:val="nil"/>
            </w:tcBorders>
            <w:shd w:val="clear" w:color="auto" w:fill="auto"/>
            <w:noWrap/>
            <w:vAlign w:val="bottom"/>
            <w:hideMark/>
          </w:tcPr>
          <w:p w:rsidR="00024EC1" w:rsidRDefault="00024EC1" w:rsidP="003C3282">
            <w:pPr>
              <w:rPr>
                <w:rFonts w:eastAsia="Times New Roman" w:cs="Times New Roman"/>
                <w:sz w:val="20"/>
                <w:szCs w:val="20"/>
              </w:rPr>
            </w:pPr>
          </w:p>
        </w:tc>
        <w:tc>
          <w:tcPr>
            <w:tcW w:w="1984" w:type="dxa"/>
            <w:tcBorders>
              <w:top w:val="nil"/>
              <w:left w:val="nil"/>
              <w:bottom w:val="single" w:sz="8" w:space="0" w:color="auto"/>
              <w:right w:val="nil"/>
            </w:tcBorders>
            <w:shd w:val="clear" w:color="auto" w:fill="auto"/>
            <w:noWrap/>
            <w:vAlign w:val="bottom"/>
            <w:hideMark/>
          </w:tcPr>
          <w:p w:rsidR="00024EC1" w:rsidRDefault="00024EC1" w:rsidP="003C3282">
            <w:pPr>
              <w:rPr>
                <w:rFonts w:ascii="Arial" w:eastAsia="Times New Roman" w:hAnsi="Arial" w:cs="Arial"/>
                <w:sz w:val="20"/>
                <w:szCs w:val="20"/>
              </w:rPr>
            </w:pPr>
          </w:p>
        </w:tc>
        <w:tc>
          <w:tcPr>
            <w:tcW w:w="1537" w:type="dxa"/>
            <w:tcBorders>
              <w:top w:val="nil"/>
              <w:left w:val="nil"/>
              <w:bottom w:val="single" w:sz="8" w:space="0" w:color="auto"/>
              <w:right w:val="nil"/>
            </w:tcBorders>
            <w:shd w:val="clear" w:color="auto" w:fill="auto"/>
            <w:noWrap/>
            <w:vAlign w:val="bottom"/>
            <w:hideMark/>
          </w:tcPr>
          <w:p w:rsidR="00024EC1" w:rsidRDefault="00024EC1" w:rsidP="003C3282">
            <w:pPr>
              <w:jc w:val="center"/>
              <w:rPr>
                <w:rFonts w:ascii="Arial" w:eastAsia="Times New Roman" w:hAnsi="Arial" w:cs="Arial"/>
                <w:sz w:val="20"/>
                <w:szCs w:val="20"/>
              </w:rPr>
            </w:pPr>
          </w:p>
        </w:tc>
      </w:tr>
    </w:tbl>
    <w:p w:rsidR="00024EC1" w:rsidRDefault="004D006E" w:rsidP="00024EC1">
      <w:pPr>
        <w:rPr>
          <w:noProof/>
        </w:rPr>
      </w:pPr>
      <w:r>
        <w:rPr>
          <w:noProof/>
        </w:rPr>
        <w:t>* FRAX score * celiac disease</w:t>
      </w:r>
      <w:r w:rsidR="00AF53F7">
        <w:rPr>
          <w:noProof/>
        </w:rPr>
        <w:t xml:space="preserve"> status</w:t>
      </w:r>
      <w:r>
        <w:rPr>
          <w:noProof/>
        </w:rPr>
        <w:t>.</w:t>
      </w:r>
    </w:p>
    <w:p w:rsidR="00E83788" w:rsidRDefault="00E83788">
      <w:pPr>
        <w:rPr>
          <w:noProof/>
        </w:rPr>
      </w:pPr>
    </w:p>
    <w:p w:rsidR="00E83788" w:rsidRDefault="00E83788">
      <w:pPr>
        <w:rPr>
          <w:noProof/>
        </w:rPr>
      </w:pPr>
    </w:p>
    <w:p w:rsidR="00E83788" w:rsidRDefault="00E83788">
      <w:pPr>
        <w:rPr>
          <w:noProof/>
        </w:rPr>
      </w:pPr>
    </w:p>
    <w:p w:rsidR="00E83788" w:rsidRDefault="00E83788">
      <w:pPr>
        <w:rPr>
          <w:noProof/>
        </w:rPr>
      </w:pPr>
    </w:p>
    <w:p w:rsidR="00E2465F" w:rsidRDefault="00E2465F">
      <w:pPr>
        <w:rPr>
          <w:noProof/>
        </w:rPr>
      </w:pPr>
      <w:r>
        <w:rPr>
          <w:noProof/>
        </w:rPr>
        <w:br w:type="page"/>
      </w:r>
    </w:p>
    <w:p w:rsidR="00E83788" w:rsidRDefault="00E2465F">
      <w:pPr>
        <w:rPr>
          <w:noProof/>
        </w:rPr>
      </w:pPr>
      <w:r>
        <w:rPr>
          <w:noProof/>
        </w:rPr>
        <w:t>Figure Legend</w:t>
      </w:r>
      <w:r w:rsidR="00CD2040">
        <w:rPr>
          <w:noProof/>
        </w:rPr>
        <w:t xml:space="preserve">  Observed and predicted </w:t>
      </w:r>
      <w:r w:rsidR="00CA7E22">
        <w:rPr>
          <w:noProof/>
        </w:rPr>
        <w:t>10-year m</w:t>
      </w:r>
      <w:r w:rsidR="00CD2040">
        <w:rPr>
          <w:noProof/>
        </w:rPr>
        <w:t xml:space="preserve">ajor </w:t>
      </w:r>
      <w:r w:rsidR="00CA7E22">
        <w:rPr>
          <w:noProof/>
        </w:rPr>
        <w:t>o</w:t>
      </w:r>
      <w:r w:rsidR="00CD2040">
        <w:rPr>
          <w:noProof/>
        </w:rPr>
        <w:t xml:space="preserve">steoporotic </w:t>
      </w:r>
      <w:r w:rsidR="00CA7E22">
        <w:rPr>
          <w:noProof/>
        </w:rPr>
        <w:t>f</w:t>
      </w:r>
      <w:r w:rsidR="00CD2040">
        <w:rPr>
          <w:noProof/>
        </w:rPr>
        <w:t>racture</w:t>
      </w:r>
      <w:r w:rsidR="00550996">
        <w:rPr>
          <w:noProof/>
        </w:rPr>
        <w:t xml:space="preserve"> (MOF)</w:t>
      </w:r>
      <w:r w:rsidR="003F130E">
        <w:rPr>
          <w:noProof/>
        </w:rPr>
        <w:t xml:space="preserve"> </w:t>
      </w:r>
      <w:r w:rsidR="00CA7E22">
        <w:rPr>
          <w:noProof/>
        </w:rPr>
        <w:t xml:space="preserve">probability </w:t>
      </w:r>
      <w:r w:rsidR="003F130E">
        <w:rPr>
          <w:noProof/>
        </w:rPr>
        <w:t>in celi</w:t>
      </w:r>
      <w:r w:rsidR="00641FF7">
        <w:rPr>
          <w:noProof/>
        </w:rPr>
        <w:t xml:space="preserve">ac disease </w:t>
      </w:r>
      <w:r w:rsidR="008A3A58">
        <w:rPr>
          <w:noProof/>
        </w:rPr>
        <w:t xml:space="preserve">cohort </w:t>
      </w:r>
      <w:r w:rsidR="00CA7E22">
        <w:rPr>
          <w:noProof/>
        </w:rPr>
        <w:t xml:space="preserve">and </w:t>
      </w:r>
      <w:r w:rsidR="00861438">
        <w:rPr>
          <w:noProof/>
        </w:rPr>
        <w:t>general</w:t>
      </w:r>
      <w:r w:rsidR="003F130E">
        <w:rPr>
          <w:noProof/>
        </w:rPr>
        <w:t xml:space="preserve"> population</w:t>
      </w:r>
      <w:r w:rsidR="002B7C75">
        <w:rPr>
          <w:noProof/>
        </w:rPr>
        <w:t xml:space="preserve"> cohort</w:t>
      </w:r>
      <w:r w:rsidR="00A87709">
        <w:rPr>
          <w:noProof/>
        </w:rPr>
        <w:t xml:space="preserve">.  </w:t>
      </w:r>
      <w:r w:rsidR="00CA7E22">
        <w:rPr>
          <w:noProof/>
        </w:rPr>
        <w:t>P</w:t>
      </w:r>
      <w:r w:rsidR="00A87709">
        <w:rPr>
          <w:noProof/>
        </w:rPr>
        <w:t>redi</w:t>
      </w:r>
      <w:r w:rsidR="00C44A60">
        <w:rPr>
          <w:noProof/>
        </w:rPr>
        <w:t xml:space="preserve">cted MOF risk </w:t>
      </w:r>
      <w:r w:rsidR="00641FF7">
        <w:rPr>
          <w:noProof/>
        </w:rPr>
        <w:t>us</w:t>
      </w:r>
      <w:r w:rsidR="00CA7E22">
        <w:rPr>
          <w:noProof/>
        </w:rPr>
        <w:t>es</w:t>
      </w:r>
      <w:r w:rsidR="00641FF7">
        <w:rPr>
          <w:noProof/>
        </w:rPr>
        <w:t xml:space="preserve"> FRAX with</w:t>
      </w:r>
      <w:r w:rsidR="00DD6990">
        <w:rPr>
          <w:noProof/>
        </w:rPr>
        <w:t xml:space="preserve"> clinical risk factors</w:t>
      </w:r>
      <w:r w:rsidR="00CA7E22">
        <w:rPr>
          <w:noProof/>
        </w:rPr>
        <w:t xml:space="preserve"> without secondary osteoporosis (CRFs)</w:t>
      </w:r>
      <w:r w:rsidR="00DD6990">
        <w:rPr>
          <w:noProof/>
        </w:rPr>
        <w:t>,</w:t>
      </w:r>
      <w:r w:rsidR="00641FF7">
        <w:rPr>
          <w:noProof/>
        </w:rPr>
        <w:t xml:space="preserve"> </w:t>
      </w:r>
      <w:r w:rsidR="00CA7E22">
        <w:rPr>
          <w:noProof/>
        </w:rPr>
        <w:t>clinical risk factor</w:t>
      </w:r>
      <w:r w:rsidR="00FB1071">
        <w:rPr>
          <w:noProof/>
        </w:rPr>
        <w:t>s</w:t>
      </w:r>
      <w:r w:rsidR="00CA7E22">
        <w:rPr>
          <w:noProof/>
        </w:rPr>
        <w:t xml:space="preserve"> with </w:t>
      </w:r>
      <w:r w:rsidR="00641FF7">
        <w:rPr>
          <w:noProof/>
        </w:rPr>
        <w:t xml:space="preserve">secondary </w:t>
      </w:r>
      <w:r w:rsidR="00CA7E22">
        <w:rPr>
          <w:noProof/>
        </w:rPr>
        <w:t>osteoporosis (2ary)</w:t>
      </w:r>
      <w:r w:rsidR="00641FF7">
        <w:rPr>
          <w:noProof/>
        </w:rPr>
        <w:t xml:space="preserve">, and with </w:t>
      </w:r>
      <w:r w:rsidR="00FB1071">
        <w:rPr>
          <w:noProof/>
        </w:rPr>
        <w:t xml:space="preserve">clinical risk factors and </w:t>
      </w:r>
      <w:r w:rsidR="00641FF7">
        <w:rPr>
          <w:noProof/>
        </w:rPr>
        <w:t>bone mineral density</w:t>
      </w:r>
      <w:r w:rsidR="00CA7E22">
        <w:rPr>
          <w:noProof/>
        </w:rPr>
        <w:t xml:space="preserve"> </w:t>
      </w:r>
      <w:r w:rsidR="00FB1071">
        <w:rPr>
          <w:noProof/>
        </w:rPr>
        <w:t>(</w:t>
      </w:r>
      <w:r w:rsidR="00CA7E22">
        <w:rPr>
          <w:noProof/>
        </w:rPr>
        <w:t>BMD)</w:t>
      </w:r>
      <w:r w:rsidR="00641FF7">
        <w:rPr>
          <w:noProof/>
        </w:rPr>
        <w:t xml:space="preserve">.  </w:t>
      </w:r>
      <w:r w:rsidR="00550996">
        <w:rPr>
          <w:noProof/>
        </w:rPr>
        <w:t>Error bars are 95% confidence intervals.</w:t>
      </w:r>
    </w:p>
    <w:p w:rsidR="00E83788" w:rsidRDefault="00E83788">
      <w:pPr>
        <w:rPr>
          <w:noProof/>
        </w:rPr>
      </w:pPr>
    </w:p>
    <w:p w:rsidR="00A77E66" w:rsidRDefault="00A77E66">
      <w:pPr>
        <w:rPr>
          <w:rFonts w:asciiTheme="minorHAnsi" w:hAnsiTheme="minorHAnsi"/>
        </w:rPr>
      </w:pPr>
    </w:p>
    <w:p w:rsidR="00A77E66" w:rsidRPr="00A77E66" w:rsidRDefault="00A77E66" w:rsidP="00A77E66">
      <w:pPr>
        <w:rPr>
          <w:rFonts w:asciiTheme="minorHAnsi" w:hAnsiTheme="minorHAnsi"/>
        </w:rPr>
      </w:pPr>
    </w:p>
    <w:p w:rsidR="00A77E66" w:rsidRPr="00A77E66" w:rsidRDefault="00A77E66" w:rsidP="00A77E66">
      <w:pPr>
        <w:rPr>
          <w:rFonts w:asciiTheme="minorHAnsi" w:hAnsiTheme="minorHAnsi"/>
        </w:rPr>
      </w:pPr>
    </w:p>
    <w:p w:rsidR="00A77E66" w:rsidRDefault="00A77E66" w:rsidP="00A77E66">
      <w:pPr>
        <w:rPr>
          <w:rFonts w:asciiTheme="minorHAnsi" w:hAnsiTheme="minorHAnsi"/>
        </w:rPr>
      </w:pPr>
    </w:p>
    <w:p w:rsidR="00633FFF" w:rsidRDefault="00633FFF">
      <w:pPr>
        <w:rPr>
          <w:rFonts w:asciiTheme="minorHAnsi" w:hAnsiTheme="minorHAnsi"/>
        </w:rPr>
      </w:pPr>
      <w:r>
        <w:rPr>
          <w:rFonts w:asciiTheme="minorHAnsi" w:hAnsiTheme="minorHAnsi"/>
        </w:rPr>
        <w:br w:type="page"/>
      </w:r>
    </w:p>
    <w:p w:rsidR="00633FFF" w:rsidRDefault="00633FFF" w:rsidP="00633FFF">
      <w:pPr>
        <w:rPr>
          <w:lang w:val="en-CA"/>
        </w:rPr>
      </w:pPr>
    </w:p>
    <w:p w:rsidR="00633FFF" w:rsidRDefault="00633FFF" w:rsidP="00633FFF">
      <w:pPr>
        <w:rPr>
          <w:lang w:val="en-CA"/>
        </w:rPr>
      </w:pPr>
    </w:p>
    <w:p w:rsidR="00633FFF" w:rsidRDefault="00633FFF" w:rsidP="00633FFF">
      <w:pPr>
        <w:rPr>
          <w:lang w:val="en-CA"/>
        </w:rPr>
      </w:pPr>
      <w:r>
        <w:rPr>
          <w:lang w:val="en-CA"/>
        </w:rPr>
        <w:t>Figure 1</w:t>
      </w:r>
    </w:p>
    <w:p w:rsidR="00633FFF" w:rsidRDefault="00633FFF" w:rsidP="00633FFF">
      <w:pPr>
        <w:rPr>
          <w:lang w:val="en-CA"/>
        </w:rPr>
      </w:pPr>
    </w:p>
    <w:p w:rsidR="00633FFF" w:rsidRDefault="00633FFF" w:rsidP="00633FFF">
      <w:pPr>
        <w:rPr>
          <w:lang w:val="en-CA"/>
        </w:rPr>
      </w:pPr>
    </w:p>
    <w:p w:rsidR="00633FFF" w:rsidRDefault="00633FFF" w:rsidP="00633FFF">
      <w:pPr>
        <w:rPr>
          <w:lang w:val="en-CA"/>
        </w:rPr>
      </w:pPr>
      <w:r>
        <w:rPr>
          <w:noProof/>
        </w:rPr>
        <w:drawing>
          <wp:inline distT="0" distB="0" distL="0" distR="0">
            <wp:extent cx="4419600" cy="3390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3FFF" w:rsidRDefault="00633FFF" w:rsidP="00633FFF">
      <w:pPr>
        <w:rPr>
          <w:lang w:val="en-CA"/>
        </w:rPr>
      </w:pPr>
      <w:proofErr w:type="spellStart"/>
      <w:r>
        <w:rPr>
          <w:lang w:val="en-CA"/>
        </w:rPr>
        <w:t>Obs</w:t>
      </w:r>
      <w:proofErr w:type="spellEnd"/>
      <w:r>
        <w:rPr>
          <w:lang w:val="en-CA"/>
        </w:rPr>
        <w:t xml:space="preserve"> - Observed</w:t>
      </w:r>
    </w:p>
    <w:p w:rsidR="00633FFF" w:rsidRDefault="00633FFF" w:rsidP="00633FFF">
      <w:pPr>
        <w:rPr>
          <w:lang w:val="en-CA"/>
        </w:rPr>
      </w:pPr>
      <w:proofErr w:type="spellStart"/>
      <w:r>
        <w:rPr>
          <w:lang w:val="en-CA"/>
        </w:rPr>
        <w:t>Pred</w:t>
      </w:r>
      <w:proofErr w:type="spellEnd"/>
      <w:r>
        <w:rPr>
          <w:lang w:val="en-CA"/>
        </w:rPr>
        <w:t xml:space="preserve"> CRFs – predicted </w:t>
      </w:r>
      <w:r w:rsidR="00CA7E22">
        <w:rPr>
          <w:lang w:val="en-CA"/>
        </w:rPr>
        <w:t xml:space="preserve">from </w:t>
      </w:r>
      <w:r>
        <w:rPr>
          <w:lang w:val="en-CA"/>
        </w:rPr>
        <w:t>clinical risk factors</w:t>
      </w:r>
      <w:r w:rsidR="00CA7E22">
        <w:rPr>
          <w:lang w:val="en-CA"/>
        </w:rPr>
        <w:t xml:space="preserve"> without secondary osteoporosis</w:t>
      </w:r>
    </w:p>
    <w:p w:rsidR="00633FFF" w:rsidRDefault="00633FFF" w:rsidP="00633FFF">
      <w:pPr>
        <w:rPr>
          <w:lang w:val="en-CA"/>
        </w:rPr>
      </w:pPr>
      <w:proofErr w:type="spellStart"/>
      <w:r>
        <w:rPr>
          <w:lang w:val="en-CA"/>
        </w:rPr>
        <w:t>Pred</w:t>
      </w:r>
      <w:proofErr w:type="spellEnd"/>
      <w:r>
        <w:rPr>
          <w:lang w:val="en-CA"/>
        </w:rPr>
        <w:t xml:space="preserve"> 2ary – predicted </w:t>
      </w:r>
      <w:r w:rsidR="00CA7E22">
        <w:rPr>
          <w:lang w:val="en-CA"/>
        </w:rPr>
        <w:t xml:space="preserve">from </w:t>
      </w:r>
      <w:r>
        <w:rPr>
          <w:lang w:val="en-CA"/>
        </w:rPr>
        <w:t xml:space="preserve">clinical risk factors </w:t>
      </w:r>
      <w:r w:rsidR="00CA7E22">
        <w:rPr>
          <w:lang w:val="en-CA"/>
        </w:rPr>
        <w:t xml:space="preserve">with </w:t>
      </w:r>
      <w:r>
        <w:rPr>
          <w:lang w:val="en-CA"/>
        </w:rPr>
        <w:t xml:space="preserve">celiac disease as secondary </w:t>
      </w:r>
      <w:r w:rsidR="00CA7E22">
        <w:rPr>
          <w:lang w:val="en-CA"/>
        </w:rPr>
        <w:t>osteoporosis</w:t>
      </w:r>
    </w:p>
    <w:p w:rsidR="00633FFF" w:rsidRDefault="00633FFF" w:rsidP="00633FFF">
      <w:pPr>
        <w:rPr>
          <w:lang w:val="en-CA"/>
        </w:rPr>
      </w:pPr>
      <w:proofErr w:type="spellStart"/>
      <w:r>
        <w:rPr>
          <w:lang w:val="en-CA"/>
        </w:rPr>
        <w:t>Pred</w:t>
      </w:r>
      <w:proofErr w:type="spellEnd"/>
      <w:r>
        <w:rPr>
          <w:lang w:val="en-CA"/>
        </w:rPr>
        <w:t xml:space="preserve"> BMD – </w:t>
      </w:r>
      <w:r w:rsidR="00CA7E22">
        <w:rPr>
          <w:lang w:val="en-CA"/>
        </w:rPr>
        <w:t xml:space="preserve">predicted </w:t>
      </w:r>
      <w:r>
        <w:rPr>
          <w:lang w:val="en-CA"/>
        </w:rPr>
        <w:t>with clinical risk factors and bone mineral density</w:t>
      </w:r>
    </w:p>
    <w:p w:rsidR="00674406" w:rsidRPr="00A77E66" w:rsidRDefault="00A77E66" w:rsidP="00A77E66">
      <w:pPr>
        <w:tabs>
          <w:tab w:val="left" w:pos="5224"/>
        </w:tabs>
        <w:rPr>
          <w:rFonts w:asciiTheme="minorHAnsi" w:hAnsiTheme="minorHAnsi"/>
        </w:rPr>
      </w:pPr>
      <w:r>
        <w:rPr>
          <w:rFonts w:asciiTheme="minorHAnsi" w:hAnsiTheme="minorHAnsi"/>
        </w:rPr>
        <w:tab/>
      </w:r>
    </w:p>
    <w:sectPr w:rsidR="00674406" w:rsidRPr="00A77E66" w:rsidSect="00BF608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838D" w16cex:dateUtc="2020-05-24T22:36:00Z"/>
  <w16cex:commentExtensible w16cex:durableId="22757CE5" w16cex:dateUtc="2020-05-24T22:08:00Z"/>
  <w16cex:commentExtensible w16cex:durableId="2275853E" w16cex:dateUtc="2020-05-24T22: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7B7"/>
    <w:multiLevelType w:val="hybridMultilevel"/>
    <w:tmpl w:val="51D60268"/>
    <w:lvl w:ilvl="0" w:tplc="052CABD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86C5775"/>
    <w:multiLevelType w:val="multilevel"/>
    <w:tmpl w:val="DA8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97F9F"/>
    <w:multiLevelType w:val="hybridMultilevel"/>
    <w:tmpl w:val="B9301680"/>
    <w:lvl w:ilvl="0" w:tplc="C77459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6" w:nlCheck="1" w:checkStyle="0"/>
  <w:activeWritingStyle w:appName="MSWord" w:lang="fr-CA" w:vendorID="64" w:dllVersion="6"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AE997A-AE8A-4D1D-A39C-E85B9CC8CF2F}"/>
    <w:docVar w:name="dgnword-eventsink" w:val="2876629194832"/>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depx9stepaa2ewwwy5xsraz9xvaz0x20zx&quot;&gt;My EndNote Library2&lt;record-ids&gt;&lt;item&gt;1155&lt;/item&gt;&lt;item&gt;1158&lt;/item&gt;&lt;item&gt;1163&lt;/item&gt;&lt;item&gt;1200&lt;/item&gt;&lt;item&gt;1211&lt;/item&gt;&lt;item&gt;1338&lt;/item&gt;&lt;item&gt;2040&lt;/item&gt;&lt;item&gt;2090&lt;/item&gt;&lt;item&gt;2222&lt;/item&gt;&lt;item&gt;2327&lt;/item&gt;&lt;item&gt;2358&lt;/item&gt;&lt;item&gt;2402&lt;/item&gt;&lt;item&gt;2407&lt;/item&gt;&lt;item&gt;2434&lt;/item&gt;&lt;item&gt;2440&lt;/item&gt;&lt;item&gt;2586&lt;/item&gt;&lt;item&gt;2663&lt;/item&gt;&lt;item&gt;2666&lt;/item&gt;&lt;item&gt;2667&lt;/item&gt;&lt;item&gt;2668&lt;/item&gt;&lt;item&gt;2669&lt;/item&gt;&lt;item&gt;2677&lt;/item&gt;&lt;item&gt;2678&lt;/item&gt;&lt;item&gt;2739&lt;/item&gt;&lt;/record-ids&gt;&lt;/item&gt;&lt;/Libraries&gt;"/>
  </w:docVars>
  <w:rsids>
    <w:rsidRoot w:val="00721DB1"/>
    <w:rsid w:val="00007607"/>
    <w:rsid w:val="0001519C"/>
    <w:rsid w:val="00024960"/>
    <w:rsid w:val="00024EC1"/>
    <w:rsid w:val="000260F7"/>
    <w:rsid w:val="00034936"/>
    <w:rsid w:val="0003582F"/>
    <w:rsid w:val="000421E7"/>
    <w:rsid w:val="000469B6"/>
    <w:rsid w:val="00050EE1"/>
    <w:rsid w:val="0005415B"/>
    <w:rsid w:val="00055E35"/>
    <w:rsid w:val="000754B9"/>
    <w:rsid w:val="00082946"/>
    <w:rsid w:val="000860D0"/>
    <w:rsid w:val="00092329"/>
    <w:rsid w:val="000961DE"/>
    <w:rsid w:val="0009750E"/>
    <w:rsid w:val="000A2BA6"/>
    <w:rsid w:val="000B01F5"/>
    <w:rsid w:val="000B2007"/>
    <w:rsid w:val="000B2165"/>
    <w:rsid w:val="000B2A1C"/>
    <w:rsid w:val="000B3B97"/>
    <w:rsid w:val="000B6ACD"/>
    <w:rsid w:val="000B6F5E"/>
    <w:rsid w:val="000B783B"/>
    <w:rsid w:val="000B7CF6"/>
    <w:rsid w:val="000C2978"/>
    <w:rsid w:val="000D2522"/>
    <w:rsid w:val="000E07E6"/>
    <w:rsid w:val="000E2163"/>
    <w:rsid w:val="000E7F07"/>
    <w:rsid w:val="000F09B6"/>
    <w:rsid w:val="000F486D"/>
    <w:rsid w:val="00107E52"/>
    <w:rsid w:val="00115207"/>
    <w:rsid w:val="00125796"/>
    <w:rsid w:val="00131E35"/>
    <w:rsid w:val="00133C4D"/>
    <w:rsid w:val="00136A92"/>
    <w:rsid w:val="00140E38"/>
    <w:rsid w:val="001436B4"/>
    <w:rsid w:val="001471DB"/>
    <w:rsid w:val="00154D3C"/>
    <w:rsid w:val="0015610B"/>
    <w:rsid w:val="00156D5F"/>
    <w:rsid w:val="00164A0D"/>
    <w:rsid w:val="001658CA"/>
    <w:rsid w:val="001663A3"/>
    <w:rsid w:val="00166C75"/>
    <w:rsid w:val="00167E24"/>
    <w:rsid w:val="001807A1"/>
    <w:rsid w:val="00183826"/>
    <w:rsid w:val="001902ED"/>
    <w:rsid w:val="00190AB9"/>
    <w:rsid w:val="001956CF"/>
    <w:rsid w:val="00197DC9"/>
    <w:rsid w:val="001A5B57"/>
    <w:rsid w:val="001B5BD7"/>
    <w:rsid w:val="001C2930"/>
    <w:rsid w:val="001C4DCF"/>
    <w:rsid w:val="001C5AFD"/>
    <w:rsid w:val="001C7DF8"/>
    <w:rsid w:val="001D157E"/>
    <w:rsid w:val="001D5FC8"/>
    <w:rsid w:val="001D793B"/>
    <w:rsid w:val="001F0334"/>
    <w:rsid w:val="001F48AC"/>
    <w:rsid w:val="001F5DDF"/>
    <w:rsid w:val="0020462C"/>
    <w:rsid w:val="0020572C"/>
    <w:rsid w:val="00233BFA"/>
    <w:rsid w:val="00246A5D"/>
    <w:rsid w:val="00262765"/>
    <w:rsid w:val="00263102"/>
    <w:rsid w:val="00275BCF"/>
    <w:rsid w:val="00276FDC"/>
    <w:rsid w:val="00293BE8"/>
    <w:rsid w:val="002B7C75"/>
    <w:rsid w:val="002C3B82"/>
    <w:rsid w:val="002C5B02"/>
    <w:rsid w:val="002D5341"/>
    <w:rsid w:val="002E307D"/>
    <w:rsid w:val="002E6303"/>
    <w:rsid w:val="002F7535"/>
    <w:rsid w:val="0032365E"/>
    <w:rsid w:val="00323F78"/>
    <w:rsid w:val="0033158C"/>
    <w:rsid w:val="00337877"/>
    <w:rsid w:val="00340AA7"/>
    <w:rsid w:val="003421AC"/>
    <w:rsid w:val="003625C3"/>
    <w:rsid w:val="003642E5"/>
    <w:rsid w:val="003718AF"/>
    <w:rsid w:val="00373E9A"/>
    <w:rsid w:val="00374054"/>
    <w:rsid w:val="00376BF8"/>
    <w:rsid w:val="00380C60"/>
    <w:rsid w:val="0038465A"/>
    <w:rsid w:val="003913D6"/>
    <w:rsid w:val="00395A4C"/>
    <w:rsid w:val="003A1CE8"/>
    <w:rsid w:val="003B4238"/>
    <w:rsid w:val="003C3081"/>
    <w:rsid w:val="003C3282"/>
    <w:rsid w:val="003F130E"/>
    <w:rsid w:val="003F1540"/>
    <w:rsid w:val="003F7FAB"/>
    <w:rsid w:val="0040359C"/>
    <w:rsid w:val="004047D7"/>
    <w:rsid w:val="00406719"/>
    <w:rsid w:val="00407A58"/>
    <w:rsid w:val="00416CEF"/>
    <w:rsid w:val="00420846"/>
    <w:rsid w:val="0042334C"/>
    <w:rsid w:val="004236EC"/>
    <w:rsid w:val="004266B0"/>
    <w:rsid w:val="004309AD"/>
    <w:rsid w:val="0044219F"/>
    <w:rsid w:val="004606C6"/>
    <w:rsid w:val="004654BF"/>
    <w:rsid w:val="004659B5"/>
    <w:rsid w:val="00476C4B"/>
    <w:rsid w:val="00482498"/>
    <w:rsid w:val="00491A8E"/>
    <w:rsid w:val="004920D2"/>
    <w:rsid w:val="00494FF9"/>
    <w:rsid w:val="00496DD9"/>
    <w:rsid w:val="00497DF1"/>
    <w:rsid w:val="004A362A"/>
    <w:rsid w:val="004A43D6"/>
    <w:rsid w:val="004B7481"/>
    <w:rsid w:val="004C376C"/>
    <w:rsid w:val="004D006E"/>
    <w:rsid w:val="004D0B17"/>
    <w:rsid w:val="004E15E0"/>
    <w:rsid w:val="004E3278"/>
    <w:rsid w:val="004E68D8"/>
    <w:rsid w:val="005076E0"/>
    <w:rsid w:val="00510734"/>
    <w:rsid w:val="005126F9"/>
    <w:rsid w:val="00515FA8"/>
    <w:rsid w:val="0052321B"/>
    <w:rsid w:val="00523504"/>
    <w:rsid w:val="00531C8F"/>
    <w:rsid w:val="00550996"/>
    <w:rsid w:val="0055729E"/>
    <w:rsid w:val="00583100"/>
    <w:rsid w:val="00583333"/>
    <w:rsid w:val="005C692F"/>
    <w:rsid w:val="005D0646"/>
    <w:rsid w:val="005D5B55"/>
    <w:rsid w:val="005E114A"/>
    <w:rsid w:val="006053E4"/>
    <w:rsid w:val="00633FFF"/>
    <w:rsid w:val="006373D1"/>
    <w:rsid w:val="00641A35"/>
    <w:rsid w:val="00641FF7"/>
    <w:rsid w:val="006471D3"/>
    <w:rsid w:val="006550D4"/>
    <w:rsid w:val="00657109"/>
    <w:rsid w:val="00662FD6"/>
    <w:rsid w:val="00673C9C"/>
    <w:rsid w:val="00674406"/>
    <w:rsid w:val="0068012E"/>
    <w:rsid w:val="0068140B"/>
    <w:rsid w:val="006837B5"/>
    <w:rsid w:val="006A2094"/>
    <w:rsid w:val="006B09E3"/>
    <w:rsid w:val="006C0923"/>
    <w:rsid w:val="006C1666"/>
    <w:rsid w:val="006C4C6A"/>
    <w:rsid w:val="006D4564"/>
    <w:rsid w:val="006E4155"/>
    <w:rsid w:val="006F327B"/>
    <w:rsid w:val="006F456D"/>
    <w:rsid w:val="006F559A"/>
    <w:rsid w:val="00715F0E"/>
    <w:rsid w:val="00721DB1"/>
    <w:rsid w:val="00724494"/>
    <w:rsid w:val="00727EC2"/>
    <w:rsid w:val="00743B6A"/>
    <w:rsid w:val="00756B5F"/>
    <w:rsid w:val="00756EE6"/>
    <w:rsid w:val="007735C8"/>
    <w:rsid w:val="0077585B"/>
    <w:rsid w:val="007837E0"/>
    <w:rsid w:val="00787A35"/>
    <w:rsid w:val="007A0903"/>
    <w:rsid w:val="007A1FC3"/>
    <w:rsid w:val="007A5981"/>
    <w:rsid w:val="007A5C38"/>
    <w:rsid w:val="007B3852"/>
    <w:rsid w:val="007B4BB7"/>
    <w:rsid w:val="007B65FD"/>
    <w:rsid w:val="007C032B"/>
    <w:rsid w:val="007C178D"/>
    <w:rsid w:val="007D7176"/>
    <w:rsid w:val="007E4632"/>
    <w:rsid w:val="007E5C29"/>
    <w:rsid w:val="007F08CC"/>
    <w:rsid w:val="007F366A"/>
    <w:rsid w:val="007F3951"/>
    <w:rsid w:val="00803AD1"/>
    <w:rsid w:val="00804504"/>
    <w:rsid w:val="0080791B"/>
    <w:rsid w:val="00810356"/>
    <w:rsid w:val="008110DB"/>
    <w:rsid w:val="00816D59"/>
    <w:rsid w:val="00822EC9"/>
    <w:rsid w:val="00836B7C"/>
    <w:rsid w:val="008401D1"/>
    <w:rsid w:val="00843400"/>
    <w:rsid w:val="0085377C"/>
    <w:rsid w:val="00861438"/>
    <w:rsid w:val="008616C4"/>
    <w:rsid w:val="00870521"/>
    <w:rsid w:val="00871EBA"/>
    <w:rsid w:val="00877515"/>
    <w:rsid w:val="008801B0"/>
    <w:rsid w:val="00892610"/>
    <w:rsid w:val="008935D5"/>
    <w:rsid w:val="00896722"/>
    <w:rsid w:val="008A2E99"/>
    <w:rsid w:val="008A3A58"/>
    <w:rsid w:val="008A4D2D"/>
    <w:rsid w:val="008A5B0F"/>
    <w:rsid w:val="008A7A13"/>
    <w:rsid w:val="008B0986"/>
    <w:rsid w:val="008B51B5"/>
    <w:rsid w:val="008B6223"/>
    <w:rsid w:val="008C6DDE"/>
    <w:rsid w:val="008D2F6E"/>
    <w:rsid w:val="008E478A"/>
    <w:rsid w:val="008E4D03"/>
    <w:rsid w:val="008F1633"/>
    <w:rsid w:val="00902F65"/>
    <w:rsid w:val="00903C5E"/>
    <w:rsid w:val="0090492D"/>
    <w:rsid w:val="00905785"/>
    <w:rsid w:val="00910EA4"/>
    <w:rsid w:val="00916E33"/>
    <w:rsid w:val="00924BF9"/>
    <w:rsid w:val="0094642A"/>
    <w:rsid w:val="0095796B"/>
    <w:rsid w:val="0097655F"/>
    <w:rsid w:val="0097773C"/>
    <w:rsid w:val="009873FC"/>
    <w:rsid w:val="0099194B"/>
    <w:rsid w:val="00993F21"/>
    <w:rsid w:val="009A2849"/>
    <w:rsid w:val="009A346E"/>
    <w:rsid w:val="009A410E"/>
    <w:rsid w:val="009B049E"/>
    <w:rsid w:val="009B6459"/>
    <w:rsid w:val="009B6DE1"/>
    <w:rsid w:val="009D0B4C"/>
    <w:rsid w:val="009F013F"/>
    <w:rsid w:val="009F1577"/>
    <w:rsid w:val="00A12B5A"/>
    <w:rsid w:val="00A20F9D"/>
    <w:rsid w:val="00A26D41"/>
    <w:rsid w:val="00A31E22"/>
    <w:rsid w:val="00A32BD9"/>
    <w:rsid w:val="00A37052"/>
    <w:rsid w:val="00A428EB"/>
    <w:rsid w:val="00A457DF"/>
    <w:rsid w:val="00A658CC"/>
    <w:rsid w:val="00A76E1D"/>
    <w:rsid w:val="00A77E66"/>
    <w:rsid w:val="00A823D6"/>
    <w:rsid w:val="00A8720C"/>
    <w:rsid w:val="00A87709"/>
    <w:rsid w:val="00A975CF"/>
    <w:rsid w:val="00A979A3"/>
    <w:rsid w:val="00AA286B"/>
    <w:rsid w:val="00AB3BE7"/>
    <w:rsid w:val="00AB5773"/>
    <w:rsid w:val="00AC08F3"/>
    <w:rsid w:val="00AC140C"/>
    <w:rsid w:val="00AC4EFC"/>
    <w:rsid w:val="00AC775B"/>
    <w:rsid w:val="00AD2F3A"/>
    <w:rsid w:val="00AE0E18"/>
    <w:rsid w:val="00AE29B1"/>
    <w:rsid w:val="00AE7779"/>
    <w:rsid w:val="00AF4457"/>
    <w:rsid w:val="00AF4A16"/>
    <w:rsid w:val="00AF53F7"/>
    <w:rsid w:val="00B1003E"/>
    <w:rsid w:val="00B108FA"/>
    <w:rsid w:val="00B45236"/>
    <w:rsid w:val="00B53D81"/>
    <w:rsid w:val="00B55E04"/>
    <w:rsid w:val="00B6049C"/>
    <w:rsid w:val="00B72896"/>
    <w:rsid w:val="00B8084A"/>
    <w:rsid w:val="00B8363A"/>
    <w:rsid w:val="00B851E2"/>
    <w:rsid w:val="00B87167"/>
    <w:rsid w:val="00B933F4"/>
    <w:rsid w:val="00BB1CD0"/>
    <w:rsid w:val="00BD388B"/>
    <w:rsid w:val="00BD3B47"/>
    <w:rsid w:val="00BE56BF"/>
    <w:rsid w:val="00BF3B8F"/>
    <w:rsid w:val="00BF46DB"/>
    <w:rsid w:val="00BF6082"/>
    <w:rsid w:val="00BF6D65"/>
    <w:rsid w:val="00C120AE"/>
    <w:rsid w:val="00C17434"/>
    <w:rsid w:val="00C23E55"/>
    <w:rsid w:val="00C30330"/>
    <w:rsid w:val="00C32367"/>
    <w:rsid w:val="00C35E5D"/>
    <w:rsid w:val="00C43274"/>
    <w:rsid w:val="00C44A60"/>
    <w:rsid w:val="00C50746"/>
    <w:rsid w:val="00C517EE"/>
    <w:rsid w:val="00C54151"/>
    <w:rsid w:val="00C65858"/>
    <w:rsid w:val="00C66D3B"/>
    <w:rsid w:val="00C700B5"/>
    <w:rsid w:val="00C73220"/>
    <w:rsid w:val="00C766D3"/>
    <w:rsid w:val="00C8745B"/>
    <w:rsid w:val="00C93B49"/>
    <w:rsid w:val="00C93CE1"/>
    <w:rsid w:val="00C9516D"/>
    <w:rsid w:val="00C95AE2"/>
    <w:rsid w:val="00CA7E22"/>
    <w:rsid w:val="00CC40C0"/>
    <w:rsid w:val="00CD070A"/>
    <w:rsid w:val="00CD2040"/>
    <w:rsid w:val="00CD3316"/>
    <w:rsid w:val="00CD6624"/>
    <w:rsid w:val="00CE65AF"/>
    <w:rsid w:val="00CE6B6D"/>
    <w:rsid w:val="00CF75D3"/>
    <w:rsid w:val="00D0308C"/>
    <w:rsid w:val="00D0472D"/>
    <w:rsid w:val="00D23683"/>
    <w:rsid w:val="00D25BBB"/>
    <w:rsid w:val="00D261AD"/>
    <w:rsid w:val="00D30476"/>
    <w:rsid w:val="00D34731"/>
    <w:rsid w:val="00D37882"/>
    <w:rsid w:val="00D422D5"/>
    <w:rsid w:val="00D43791"/>
    <w:rsid w:val="00D64E84"/>
    <w:rsid w:val="00D67CC5"/>
    <w:rsid w:val="00D87B3B"/>
    <w:rsid w:val="00D913E0"/>
    <w:rsid w:val="00DA0ABD"/>
    <w:rsid w:val="00DA18B0"/>
    <w:rsid w:val="00DB0D21"/>
    <w:rsid w:val="00DB5BE1"/>
    <w:rsid w:val="00DC1503"/>
    <w:rsid w:val="00DC25C4"/>
    <w:rsid w:val="00DD280D"/>
    <w:rsid w:val="00DD47A6"/>
    <w:rsid w:val="00DD6990"/>
    <w:rsid w:val="00DD7F61"/>
    <w:rsid w:val="00DE10A6"/>
    <w:rsid w:val="00DF565F"/>
    <w:rsid w:val="00DF7EB3"/>
    <w:rsid w:val="00E069CA"/>
    <w:rsid w:val="00E06CD7"/>
    <w:rsid w:val="00E106CD"/>
    <w:rsid w:val="00E13EFE"/>
    <w:rsid w:val="00E2465F"/>
    <w:rsid w:val="00E256D6"/>
    <w:rsid w:val="00E324AA"/>
    <w:rsid w:val="00E357D5"/>
    <w:rsid w:val="00E35BDB"/>
    <w:rsid w:val="00E42782"/>
    <w:rsid w:val="00E4612F"/>
    <w:rsid w:val="00E521A2"/>
    <w:rsid w:val="00E53474"/>
    <w:rsid w:val="00E60B35"/>
    <w:rsid w:val="00E61055"/>
    <w:rsid w:val="00E7311C"/>
    <w:rsid w:val="00E768B7"/>
    <w:rsid w:val="00E778FE"/>
    <w:rsid w:val="00E82388"/>
    <w:rsid w:val="00E831EE"/>
    <w:rsid w:val="00E83788"/>
    <w:rsid w:val="00E90EC0"/>
    <w:rsid w:val="00E9359E"/>
    <w:rsid w:val="00E940CC"/>
    <w:rsid w:val="00E95167"/>
    <w:rsid w:val="00E964BA"/>
    <w:rsid w:val="00EA1370"/>
    <w:rsid w:val="00EA3EB7"/>
    <w:rsid w:val="00EA676A"/>
    <w:rsid w:val="00EA6785"/>
    <w:rsid w:val="00EC5EA1"/>
    <w:rsid w:val="00EC692A"/>
    <w:rsid w:val="00EE1A84"/>
    <w:rsid w:val="00EE2B30"/>
    <w:rsid w:val="00EE71E2"/>
    <w:rsid w:val="00F03749"/>
    <w:rsid w:val="00F227F7"/>
    <w:rsid w:val="00F23D86"/>
    <w:rsid w:val="00F25294"/>
    <w:rsid w:val="00F26855"/>
    <w:rsid w:val="00F3190A"/>
    <w:rsid w:val="00F44C82"/>
    <w:rsid w:val="00F50A4B"/>
    <w:rsid w:val="00F541DE"/>
    <w:rsid w:val="00F61D92"/>
    <w:rsid w:val="00F625B1"/>
    <w:rsid w:val="00F67A56"/>
    <w:rsid w:val="00F72CEA"/>
    <w:rsid w:val="00F73DB8"/>
    <w:rsid w:val="00F83285"/>
    <w:rsid w:val="00F85AD1"/>
    <w:rsid w:val="00F86A99"/>
    <w:rsid w:val="00FB02A3"/>
    <w:rsid w:val="00FB1071"/>
    <w:rsid w:val="00FE1C72"/>
    <w:rsid w:val="00FE643E"/>
    <w:rsid w:val="00FF11DD"/>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AA588-BA37-4B42-AA78-5AA0BF9E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24"/>
    <w:rPr>
      <w:rFonts w:ascii="Times New Roman" w:hAnsi="Times New Roman"/>
    </w:rPr>
  </w:style>
  <w:style w:type="paragraph" w:styleId="Heading4">
    <w:name w:val="heading 4"/>
    <w:basedOn w:val="Normal"/>
    <w:link w:val="Heading4Char"/>
    <w:uiPriority w:val="9"/>
    <w:qFormat/>
    <w:rsid w:val="003A1CE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E0E18"/>
    <w:pPr>
      <w:jc w:val="center"/>
    </w:pPr>
    <w:rPr>
      <w:rFonts w:ascii="Calibri" w:hAnsi="Calibri"/>
    </w:rPr>
  </w:style>
  <w:style w:type="paragraph" w:customStyle="1" w:styleId="EndNoteBibliography">
    <w:name w:val="EndNote Bibliography"/>
    <w:basedOn w:val="Normal"/>
    <w:link w:val="EndNoteBibliographyChar"/>
    <w:rsid w:val="00AE0E18"/>
    <w:rPr>
      <w:rFonts w:ascii="Calibri" w:hAnsi="Calibri"/>
    </w:rPr>
  </w:style>
  <w:style w:type="table" w:styleId="TableGrid">
    <w:name w:val="Table Grid"/>
    <w:basedOn w:val="TableNormal"/>
    <w:uiPriority w:val="39"/>
    <w:rsid w:val="00FB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8FE"/>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AC775B"/>
    <w:rPr>
      <w:sz w:val="16"/>
      <w:szCs w:val="16"/>
    </w:rPr>
  </w:style>
  <w:style w:type="paragraph" w:styleId="CommentText">
    <w:name w:val="annotation text"/>
    <w:basedOn w:val="Normal"/>
    <w:link w:val="CommentTextChar"/>
    <w:uiPriority w:val="99"/>
    <w:unhideWhenUsed/>
    <w:rsid w:val="00AC775B"/>
    <w:rPr>
      <w:sz w:val="20"/>
      <w:szCs w:val="20"/>
    </w:rPr>
  </w:style>
  <w:style w:type="character" w:customStyle="1" w:styleId="CommentTextChar">
    <w:name w:val="Comment Text Char"/>
    <w:basedOn w:val="DefaultParagraphFont"/>
    <w:link w:val="CommentText"/>
    <w:uiPriority w:val="99"/>
    <w:rsid w:val="00AC7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775B"/>
    <w:rPr>
      <w:b/>
      <w:bCs/>
    </w:rPr>
  </w:style>
  <w:style w:type="character" w:customStyle="1" w:styleId="CommentSubjectChar">
    <w:name w:val="Comment Subject Char"/>
    <w:basedOn w:val="CommentTextChar"/>
    <w:link w:val="CommentSubject"/>
    <w:uiPriority w:val="99"/>
    <w:semiHidden/>
    <w:rsid w:val="00AC775B"/>
    <w:rPr>
      <w:rFonts w:ascii="Times New Roman" w:hAnsi="Times New Roman"/>
      <w:b/>
      <w:bCs/>
      <w:sz w:val="20"/>
      <w:szCs w:val="20"/>
    </w:rPr>
  </w:style>
  <w:style w:type="paragraph" w:styleId="BalloonText">
    <w:name w:val="Balloon Text"/>
    <w:basedOn w:val="Normal"/>
    <w:link w:val="BalloonTextChar"/>
    <w:uiPriority w:val="99"/>
    <w:semiHidden/>
    <w:unhideWhenUsed/>
    <w:rsid w:val="00AC775B"/>
    <w:rPr>
      <w:rFonts w:ascii="Tahoma" w:hAnsi="Tahoma" w:cs="Tahoma"/>
      <w:sz w:val="16"/>
      <w:szCs w:val="16"/>
    </w:rPr>
  </w:style>
  <w:style w:type="character" w:customStyle="1" w:styleId="BalloonTextChar">
    <w:name w:val="Balloon Text Char"/>
    <w:basedOn w:val="DefaultParagraphFont"/>
    <w:link w:val="BalloonText"/>
    <w:uiPriority w:val="99"/>
    <w:semiHidden/>
    <w:rsid w:val="00AC775B"/>
    <w:rPr>
      <w:rFonts w:ascii="Tahoma" w:hAnsi="Tahoma" w:cs="Tahoma"/>
      <w:sz w:val="16"/>
      <w:szCs w:val="16"/>
    </w:rPr>
  </w:style>
  <w:style w:type="character" w:styleId="Hyperlink">
    <w:name w:val="Hyperlink"/>
    <w:basedOn w:val="DefaultParagraphFont"/>
    <w:uiPriority w:val="99"/>
    <w:unhideWhenUsed/>
    <w:rsid w:val="00246A5D"/>
    <w:rPr>
      <w:color w:val="0563C1" w:themeColor="hyperlink"/>
      <w:u w:val="single"/>
    </w:rPr>
  </w:style>
  <w:style w:type="character" w:styleId="PlaceholderText">
    <w:name w:val="Placeholder Text"/>
    <w:basedOn w:val="DefaultParagraphFont"/>
    <w:uiPriority w:val="99"/>
    <w:semiHidden/>
    <w:rsid w:val="007A5981"/>
    <w:rPr>
      <w:color w:val="808080"/>
    </w:rPr>
  </w:style>
  <w:style w:type="character" w:customStyle="1" w:styleId="EndNoteBibliographyChar">
    <w:name w:val="EndNote Bibliography Char"/>
    <w:link w:val="EndNoteBibliography"/>
    <w:rsid w:val="00233BFA"/>
    <w:rPr>
      <w:rFonts w:ascii="Calibri" w:hAnsi="Calibri"/>
    </w:rPr>
  </w:style>
  <w:style w:type="character" w:customStyle="1" w:styleId="Heading4Char">
    <w:name w:val="Heading 4 Char"/>
    <w:basedOn w:val="DefaultParagraphFont"/>
    <w:link w:val="Heading4"/>
    <w:uiPriority w:val="9"/>
    <w:rsid w:val="003A1CE8"/>
    <w:rPr>
      <w:rFonts w:ascii="Times New Roman" w:hAnsi="Times New Roman"/>
      <w:b/>
      <w:bCs/>
    </w:rPr>
  </w:style>
  <w:style w:type="paragraph" w:styleId="NormalWeb">
    <w:name w:val="Normal (Web)"/>
    <w:basedOn w:val="Normal"/>
    <w:uiPriority w:val="99"/>
    <w:semiHidden/>
    <w:unhideWhenUsed/>
    <w:rsid w:val="003A1CE8"/>
    <w:pPr>
      <w:spacing w:before="100" w:beforeAutospacing="1" w:after="100" w:afterAutospacing="1"/>
    </w:pPr>
    <w:rPr>
      <w:rFonts w:cs="Times New Roman"/>
    </w:rPr>
  </w:style>
  <w:style w:type="character" w:styleId="Emphasis">
    <w:name w:val="Emphasis"/>
    <w:basedOn w:val="DefaultParagraphFont"/>
    <w:uiPriority w:val="20"/>
    <w:qFormat/>
    <w:rsid w:val="003A1CE8"/>
    <w:rPr>
      <w:i/>
      <w:iCs/>
    </w:rPr>
  </w:style>
  <w:style w:type="character" w:styleId="Strong">
    <w:name w:val="Strong"/>
    <w:basedOn w:val="DefaultParagraphFont"/>
    <w:uiPriority w:val="22"/>
    <w:qFormat/>
    <w:rsid w:val="003A1CE8"/>
    <w:rPr>
      <w:b/>
      <w:bCs/>
    </w:rPr>
  </w:style>
  <w:style w:type="paragraph" w:styleId="Title">
    <w:name w:val="Title"/>
    <w:basedOn w:val="Normal"/>
    <w:link w:val="TitleChar"/>
    <w:uiPriority w:val="99"/>
    <w:qFormat/>
    <w:rsid w:val="00F86A99"/>
    <w:pPr>
      <w:spacing w:line="720" w:lineRule="auto"/>
      <w:jc w:val="center"/>
    </w:pPr>
    <w:rPr>
      <w:rFonts w:eastAsia="Times New Roman" w:cs="Times New Roman"/>
      <w:szCs w:val="20"/>
      <w:lang w:val="en-CA" w:eastAsia="en-CA"/>
    </w:rPr>
  </w:style>
  <w:style w:type="character" w:customStyle="1" w:styleId="TitleChar">
    <w:name w:val="Title Char"/>
    <w:basedOn w:val="DefaultParagraphFont"/>
    <w:link w:val="Title"/>
    <w:uiPriority w:val="99"/>
    <w:rsid w:val="00F86A99"/>
    <w:rPr>
      <w:rFonts w:ascii="Times New Roman" w:eastAsia="Times New Roman" w:hAnsi="Times New Roman" w:cs="Times New Roman"/>
      <w:szCs w:val="20"/>
      <w:lang w:val="en-CA" w:eastAsia="en-CA"/>
    </w:rPr>
  </w:style>
  <w:style w:type="paragraph" w:styleId="Revision">
    <w:name w:val="Revision"/>
    <w:hidden/>
    <w:uiPriority w:val="99"/>
    <w:semiHidden/>
    <w:rsid w:val="009B6459"/>
    <w:rPr>
      <w:rFonts w:ascii="Times New Roman" w:hAnsi="Times New Roman"/>
    </w:rPr>
  </w:style>
  <w:style w:type="character" w:customStyle="1" w:styleId="UnresolvedMention1">
    <w:name w:val="Unresolved Mention1"/>
    <w:basedOn w:val="DefaultParagraphFont"/>
    <w:uiPriority w:val="99"/>
    <w:rsid w:val="002C5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4190">
      <w:bodyDiv w:val="1"/>
      <w:marLeft w:val="0"/>
      <w:marRight w:val="0"/>
      <w:marTop w:val="0"/>
      <w:marBottom w:val="0"/>
      <w:divBdr>
        <w:top w:val="none" w:sz="0" w:space="0" w:color="auto"/>
        <w:left w:val="none" w:sz="0" w:space="0" w:color="auto"/>
        <w:bottom w:val="none" w:sz="0" w:space="0" w:color="auto"/>
        <w:right w:val="none" w:sz="0" w:space="0" w:color="auto"/>
      </w:divBdr>
    </w:div>
    <w:div w:id="1336493340">
      <w:bodyDiv w:val="1"/>
      <w:marLeft w:val="0"/>
      <w:marRight w:val="0"/>
      <w:marTop w:val="0"/>
      <w:marBottom w:val="0"/>
      <w:divBdr>
        <w:top w:val="none" w:sz="0" w:space="0" w:color="auto"/>
        <w:left w:val="none" w:sz="0" w:space="0" w:color="auto"/>
        <w:bottom w:val="none" w:sz="0" w:space="0" w:color="auto"/>
        <w:right w:val="none" w:sz="0" w:space="0" w:color="auto"/>
      </w:divBdr>
    </w:div>
    <w:div w:id="1347438621">
      <w:bodyDiv w:val="1"/>
      <w:marLeft w:val="0"/>
      <w:marRight w:val="0"/>
      <w:marTop w:val="0"/>
      <w:marBottom w:val="0"/>
      <w:divBdr>
        <w:top w:val="none" w:sz="0" w:space="0" w:color="auto"/>
        <w:left w:val="none" w:sz="0" w:space="0" w:color="auto"/>
        <w:bottom w:val="none" w:sz="0" w:space="0" w:color="auto"/>
        <w:right w:val="none" w:sz="0" w:space="0" w:color="auto"/>
      </w:divBdr>
    </w:div>
    <w:div w:id="1377123995">
      <w:bodyDiv w:val="1"/>
      <w:marLeft w:val="0"/>
      <w:marRight w:val="0"/>
      <w:marTop w:val="0"/>
      <w:marBottom w:val="0"/>
      <w:divBdr>
        <w:top w:val="none" w:sz="0" w:space="0" w:color="auto"/>
        <w:left w:val="none" w:sz="0" w:space="0" w:color="auto"/>
        <w:bottom w:val="none" w:sz="0" w:space="0" w:color="auto"/>
        <w:right w:val="none" w:sz="0" w:space="0" w:color="auto"/>
      </w:divBdr>
    </w:div>
    <w:div w:id="1667979684">
      <w:bodyDiv w:val="1"/>
      <w:marLeft w:val="0"/>
      <w:marRight w:val="0"/>
      <w:marTop w:val="0"/>
      <w:marBottom w:val="0"/>
      <w:divBdr>
        <w:top w:val="none" w:sz="0" w:space="0" w:color="auto"/>
        <w:left w:val="none" w:sz="0" w:space="0" w:color="auto"/>
        <w:bottom w:val="none" w:sz="0" w:space="0" w:color="auto"/>
        <w:right w:val="none" w:sz="0" w:space="0" w:color="auto"/>
      </w:divBdr>
    </w:div>
    <w:div w:id="1942687145">
      <w:bodyDiv w:val="1"/>
      <w:marLeft w:val="0"/>
      <w:marRight w:val="0"/>
      <w:marTop w:val="0"/>
      <w:marBottom w:val="0"/>
      <w:divBdr>
        <w:top w:val="none" w:sz="0" w:space="0" w:color="auto"/>
        <w:left w:val="none" w:sz="0" w:space="0" w:color="auto"/>
        <w:bottom w:val="none" w:sz="0" w:space="0" w:color="auto"/>
        <w:right w:val="none" w:sz="0" w:space="0" w:color="auto"/>
      </w:divBdr>
    </w:div>
    <w:div w:id="2013873222">
      <w:bodyDiv w:val="1"/>
      <w:marLeft w:val="0"/>
      <w:marRight w:val="0"/>
      <w:marTop w:val="0"/>
      <w:marBottom w:val="0"/>
      <w:divBdr>
        <w:top w:val="none" w:sz="0" w:space="0" w:color="auto"/>
        <w:left w:val="none" w:sz="0" w:space="0" w:color="auto"/>
        <w:bottom w:val="none" w:sz="0" w:space="0" w:color="auto"/>
        <w:right w:val="none" w:sz="0" w:space="0" w:color="auto"/>
      </w:divBdr>
    </w:div>
    <w:div w:id="203584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mccloskey@sheffield.ac.u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mailto:helena@statiq.se" TargetMode="Externa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a.Lix@umanitoba.ca" TargetMode="External"/><Relationship Id="rId11" Type="http://schemas.openxmlformats.org/officeDocument/2006/relationships/hyperlink" Target="mailto:bleslie@sbgh.mb.ca" TargetMode="External"/><Relationship Id="rId5" Type="http://schemas.openxmlformats.org/officeDocument/2006/relationships/webSettings" Target="webSettings.xml"/><Relationship Id="rId10" Type="http://schemas.openxmlformats.org/officeDocument/2006/relationships/hyperlink" Target="mailto:jakanis@outlook.com" TargetMode="External"/><Relationship Id="rId4" Type="http://schemas.openxmlformats.org/officeDocument/2006/relationships/settings" Target="settings.xml"/><Relationship Id="rId9" Type="http://schemas.openxmlformats.org/officeDocument/2006/relationships/hyperlink" Target="mailto:nch@mrc.soton.ac.uk"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ocalhost\Users\donaldduerksen\Dropbox\Personal%20-%2016GB%20Kingston\Papers\papers16\FRAX\Copy%20of%20Celiac%20fractures%202015-12-2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174103237104"/>
          <c:y val="5.1400554097404495E-2"/>
          <c:w val="0.85162270341207325"/>
          <c:h val="0.70875271025904418"/>
        </c:manualLayout>
      </c:layout>
      <c:barChart>
        <c:barDir val="col"/>
        <c:grouping val="clustered"/>
        <c:varyColors val="0"/>
        <c:ser>
          <c:idx val="0"/>
          <c:order val="0"/>
          <c:spPr>
            <a:solidFill>
              <a:srgbClr val="4F81BD"/>
            </a:solidFill>
            <a:ln w="25400">
              <a:noFill/>
            </a:ln>
          </c:spPr>
          <c:invertIfNegative val="0"/>
          <c:errBars>
            <c:errBarType val="both"/>
            <c:errValType val="cust"/>
            <c:noEndCap val="0"/>
            <c:plus>
              <c:numRef>
                <c:f>'Table 4 Calibration'!$C$7:$C$14</c:f>
                <c:numCache>
                  <c:formatCode>General</c:formatCode>
                  <c:ptCount val="8"/>
                  <c:pt idx="0">
                    <c:v>3.0254873600000001</c:v>
                  </c:pt>
                  <c:pt idx="1">
                    <c:v>0.48258468873233312</c:v>
                  </c:pt>
                  <c:pt idx="2">
                    <c:v>0.65291325991060201</c:v>
                  </c:pt>
                  <c:pt idx="3">
                    <c:v>0.61854025021704495</c:v>
                  </c:pt>
                  <c:pt idx="5">
                    <c:v>0.29779926400000001</c:v>
                  </c:pt>
                  <c:pt idx="6">
                    <c:v>6.2492325464080713E-2</c:v>
                  </c:pt>
                  <c:pt idx="7">
                    <c:v>5.8830320390020813E-2</c:v>
                  </c:pt>
                </c:numCache>
              </c:numRef>
            </c:plus>
            <c:minus>
              <c:numRef>
                <c:f>'Table 4 Calibration'!$C$7:$C$14</c:f>
                <c:numCache>
                  <c:formatCode>General</c:formatCode>
                  <c:ptCount val="8"/>
                  <c:pt idx="0">
                    <c:v>3.0254873600000001</c:v>
                  </c:pt>
                  <c:pt idx="1">
                    <c:v>0.48258468873233312</c:v>
                  </c:pt>
                  <c:pt idx="2">
                    <c:v>0.65291325991060201</c:v>
                  </c:pt>
                  <c:pt idx="3">
                    <c:v>0.61854025021704495</c:v>
                  </c:pt>
                  <c:pt idx="5">
                    <c:v>0.29779926400000001</c:v>
                  </c:pt>
                  <c:pt idx="6">
                    <c:v>6.2492325464080713E-2</c:v>
                  </c:pt>
                  <c:pt idx="7">
                    <c:v>5.8830320390020813E-2</c:v>
                  </c:pt>
                </c:numCache>
              </c:numRef>
            </c:minus>
            <c:spPr>
              <a:ln w="25400">
                <a:solidFill>
                  <a:srgbClr val="000000"/>
                </a:solidFill>
                <a:prstDash val="solid"/>
              </a:ln>
            </c:spPr>
          </c:errBars>
          <c:val>
            <c:numRef>
              <c:f>'Table 4 Calibration'!$B$7:$B$14</c:f>
              <c:numCache>
                <c:formatCode>0.00000</c:formatCode>
                <c:ptCount val="8"/>
                <c:pt idx="0" formatCode="General">
                  <c:v>10.846590000000004</c:v>
                </c:pt>
                <c:pt idx="1">
                  <c:v>7.4140041847042015</c:v>
                </c:pt>
                <c:pt idx="2">
                  <c:v>10.098162049062051</c:v>
                </c:pt>
                <c:pt idx="3">
                  <c:v>8.6446528138528009</c:v>
                </c:pt>
                <c:pt idx="5" formatCode="General">
                  <c:v>10.846500000000002</c:v>
                </c:pt>
                <c:pt idx="6">
                  <c:v>10.999298871202432</c:v>
                </c:pt>
                <c:pt idx="7">
                  <c:v>10.63522405014908</c:v>
                </c:pt>
              </c:numCache>
            </c:numRef>
          </c:val>
          <c:extLst>
            <c:ext xmlns:c16="http://schemas.microsoft.com/office/drawing/2014/chart" uri="{C3380CC4-5D6E-409C-BE32-E72D297353CC}">
              <c16:uniqueId val="{00000000-1FC4-44BF-B11A-F868F3430F33}"/>
            </c:ext>
          </c:extLst>
        </c:ser>
        <c:dLbls>
          <c:showLegendKey val="0"/>
          <c:showVal val="0"/>
          <c:showCatName val="0"/>
          <c:showSerName val="0"/>
          <c:showPercent val="0"/>
          <c:showBubbleSize val="0"/>
        </c:dLbls>
        <c:gapWidth val="50"/>
        <c:axId val="134832128"/>
        <c:axId val="134833664"/>
      </c:barChart>
      <c:catAx>
        <c:axId val="134832128"/>
        <c:scaling>
          <c:orientation val="minMax"/>
        </c:scaling>
        <c:delete val="1"/>
        <c:axPos val="b"/>
        <c:majorTickMark val="out"/>
        <c:minorTickMark val="none"/>
        <c:tickLblPos val="none"/>
        <c:crossAx val="134833664"/>
        <c:crosses val="autoZero"/>
        <c:auto val="1"/>
        <c:lblAlgn val="ctr"/>
        <c:lblOffset val="100"/>
        <c:noMultiLvlLbl val="0"/>
      </c:catAx>
      <c:valAx>
        <c:axId val="134833664"/>
        <c:scaling>
          <c:orientation val="minMax"/>
        </c:scaling>
        <c:delete val="0"/>
        <c:axPos val="l"/>
        <c:majorGridlines>
          <c:spPr>
            <a:ln w="3175">
              <a:solidFill>
                <a:srgbClr val="808080"/>
              </a:solidFill>
              <a:prstDash val="solid"/>
            </a:ln>
          </c:spPr>
        </c:majorGridlines>
        <c:title>
          <c:tx>
            <c:rich>
              <a:bodyPr rot="-5400000" vert="horz"/>
              <a:lstStyle/>
              <a:p>
                <a:pPr>
                  <a:defRPr/>
                </a:pPr>
                <a:r>
                  <a:rPr lang="en-US"/>
                  <a:t>Cumulative 10-year fracture incidence (%)</a:t>
                </a:r>
              </a:p>
            </c:rich>
          </c:tx>
          <c:overlay val="0"/>
          <c:spPr>
            <a:noFill/>
            <a:ln w="25400">
              <a:noFill/>
            </a:ln>
          </c:spPr>
        </c:title>
        <c:numFmt formatCode="General" sourceLinked="1"/>
        <c:majorTickMark val="out"/>
        <c:minorTickMark val="none"/>
        <c:tickLblPos val="nextTo"/>
        <c:spPr>
          <a:ln w="3175">
            <a:solidFill>
              <a:srgbClr val="808080"/>
            </a:solidFill>
            <a:prstDash val="solid"/>
          </a:ln>
        </c:spPr>
        <c:crossAx val="134832128"/>
        <c:crosses val="autoZero"/>
        <c:crossBetween val="between"/>
        <c:majorUnit val="5"/>
      </c:valAx>
      <c:spPr>
        <a:solidFill>
          <a:srgbClr val="FFFFFF"/>
        </a:solidFill>
        <a:ln w="25400">
          <a:noFill/>
        </a:ln>
      </c:spPr>
    </c:plotArea>
    <c:plotVisOnly val="1"/>
    <c:dispBlanksAs val="gap"/>
    <c:showDLblsOverMax val="0"/>
  </c:chart>
  <c:spPr>
    <a:solidFill>
      <a:srgbClr val="FFFFFF"/>
    </a:solidFill>
    <a:ln w="3175">
      <a:no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0.12807</cdr:x>
      <cdr:y>0.7507</cdr:y>
    </cdr:from>
    <cdr:to>
      <cdr:x>0.20362</cdr:x>
      <cdr:y>0.86062</cdr:y>
    </cdr:to>
    <cdr:sp macro="" textlink="">
      <cdr:nvSpPr>
        <cdr:cNvPr id="3" name="TextBox 2"/>
        <cdr:cNvSpPr txBox="1"/>
      </cdr:nvSpPr>
      <cdr:spPr>
        <a:xfrm xmlns:a="http://schemas.openxmlformats.org/drawingml/2006/main">
          <a:off x="514351" y="2486025"/>
          <a:ext cx="285750" cy="352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p xmlns:a="http://schemas.openxmlformats.org/drawingml/2006/main">
          <a:pPr algn="ctr"/>
          <a:r>
            <a:rPr lang="en-US" sz="1000"/>
            <a:t>Obs</a:t>
          </a:r>
        </a:p>
      </cdr:txBody>
    </cdr:sp>
  </cdr:relSizeAnchor>
  <cdr:relSizeAnchor xmlns:cdr="http://schemas.openxmlformats.org/drawingml/2006/chartDrawing">
    <cdr:from>
      <cdr:x>0.22308</cdr:x>
      <cdr:y>0.7507</cdr:y>
    </cdr:from>
    <cdr:to>
      <cdr:x>0.34175</cdr:x>
      <cdr:y>0.86297</cdr:y>
    </cdr:to>
    <cdr:sp macro="" textlink="">
      <cdr:nvSpPr>
        <cdr:cNvPr id="4" name="TextBox 1"/>
        <cdr:cNvSpPr txBox="1"/>
      </cdr:nvSpPr>
      <cdr:spPr>
        <a:xfrm xmlns:a="http://schemas.openxmlformats.org/drawingml/2006/main">
          <a:off x="876301" y="2486025"/>
          <a:ext cx="44767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CRFs</a:t>
          </a:r>
        </a:p>
      </cdr:txBody>
    </cdr:sp>
  </cdr:relSizeAnchor>
  <cdr:relSizeAnchor xmlns:cdr="http://schemas.openxmlformats.org/drawingml/2006/chartDrawing">
    <cdr:from>
      <cdr:x>0.32405</cdr:x>
      <cdr:y>0.7507</cdr:y>
    </cdr:from>
    <cdr:to>
      <cdr:x>0.44272</cdr:x>
      <cdr:y>0.86297</cdr:y>
    </cdr:to>
    <cdr:sp macro="" textlink="">
      <cdr:nvSpPr>
        <cdr:cNvPr id="5" name="TextBox 1"/>
        <cdr:cNvSpPr txBox="1"/>
      </cdr:nvSpPr>
      <cdr:spPr>
        <a:xfrm xmlns:a="http://schemas.openxmlformats.org/drawingml/2006/main">
          <a:off x="1257300" y="2486025"/>
          <a:ext cx="44767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2ary</a:t>
          </a:r>
        </a:p>
      </cdr:txBody>
    </cdr:sp>
  </cdr:relSizeAnchor>
  <cdr:relSizeAnchor xmlns:cdr="http://schemas.openxmlformats.org/drawingml/2006/chartDrawing">
    <cdr:from>
      <cdr:x>0.43524</cdr:x>
      <cdr:y>0.7507</cdr:y>
    </cdr:from>
    <cdr:to>
      <cdr:x>0.54917</cdr:x>
      <cdr:y>0.86297</cdr:y>
    </cdr:to>
    <cdr:sp macro="" textlink="">
      <cdr:nvSpPr>
        <cdr:cNvPr id="6" name="TextBox 1"/>
        <cdr:cNvSpPr txBox="1"/>
      </cdr:nvSpPr>
      <cdr:spPr>
        <a:xfrm xmlns:a="http://schemas.openxmlformats.org/drawingml/2006/main">
          <a:off x="1676400" y="2486025"/>
          <a:ext cx="42862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BMD</a:t>
          </a:r>
        </a:p>
      </cdr:txBody>
    </cdr:sp>
  </cdr:relSizeAnchor>
  <cdr:relSizeAnchor xmlns:cdr="http://schemas.openxmlformats.org/drawingml/2006/chartDrawing">
    <cdr:from>
      <cdr:x>0.66438</cdr:x>
      <cdr:y>0.7507</cdr:y>
    </cdr:from>
    <cdr:to>
      <cdr:x>0.74089</cdr:x>
      <cdr:y>0.86062</cdr:y>
    </cdr:to>
    <cdr:sp macro="" textlink="">
      <cdr:nvSpPr>
        <cdr:cNvPr id="7" name="TextBox 1"/>
        <cdr:cNvSpPr txBox="1"/>
      </cdr:nvSpPr>
      <cdr:spPr>
        <a:xfrm xmlns:a="http://schemas.openxmlformats.org/drawingml/2006/main">
          <a:off x="2543175" y="2486025"/>
          <a:ext cx="285750" cy="352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t>Obs</a:t>
          </a:r>
        </a:p>
      </cdr:txBody>
    </cdr:sp>
  </cdr:relSizeAnchor>
  <cdr:relSizeAnchor xmlns:cdr="http://schemas.openxmlformats.org/drawingml/2006/chartDrawing">
    <cdr:from>
      <cdr:x>0.75288</cdr:x>
      <cdr:y>0.7507</cdr:y>
    </cdr:from>
    <cdr:to>
      <cdr:x>0.87154</cdr:x>
      <cdr:y>0.86297</cdr:y>
    </cdr:to>
    <cdr:sp macro="" textlink="">
      <cdr:nvSpPr>
        <cdr:cNvPr id="8" name="TextBox 1"/>
        <cdr:cNvSpPr txBox="1"/>
      </cdr:nvSpPr>
      <cdr:spPr>
        <a:xfrm xmlns:a="http://schemas.openxmlformats.org/drawingml/2006/main">
          <a:off x="2876550" y="2486025"/>
          <a:ext cx="44767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CRFs</a:t>
          </a:r>
        </a:p>
      </cdr:txBody>
    </cdr:sp>
  </cdr:relSizeAnchor>
  <cdr:relSizeAnchor xmlns:cdr="http://schemas.openxmlformats.org/drawingml/2006/chartDrawing">
    <cdr:from>
      <cdr:x>0.87903</cdr:x>
      <cdr:y>0.7507</cdr:y>
    </cdr:from>
    <cdr:to>
      <cdr:x>0.98078</cdr:x>
      <cdr:y>0.86297</cdr:y>
    </cdr:to>
    <cdr:sp macro="" textlink="">
      <cdr:nvSpPr>
        <cdr:cNvPr id="9" name="TextBox 1"/>
        <cdr:cNvSpPr txBox="1"/>
      </cdr:nvSpPr>
      <cdr:spPr>
        <a:xfrm xmlns:a="http://schemas.openxmlformats.org/drawingml/2006/main">
          <a:off x="3352800" y="2486025"/>
          <a:ext cx="39052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BMD</a:t>
          </a:r>
        </a:p>
      </cdr:txBody>
    </cdr:sp>
  </cdr:relSizeAnchor>
  <cdr:relSizeAnchor xmlns:cdr="http://schemas.openxmlformats.org/drawingml/2006/chartDrawing">
    <cdr:from>
      <cdr:x>0.12807</cdr:x>
      <cdr:y>0.7507</cdr:y>
    </cdr:from>
    <cdr:to>
      <cdr:x>0.20362</cdr:x>
      <cdr:y>0.86062</cdr:y>
    </cdr:to>
    <cdr:sp macro="" textlink="">
      <cdr:nvSpPr>
        <cdr:cNvPr id="10" name="TextBox 2"/>
        <cdr:cNvSpPr txBox="1"/>
      </cdr:nvSpPr>
      <cdr:spPr>
        <a:xfrm xmlns:a="http://schemas.openxmlformats.org/drawingml/2006/main">
          <a:off x="514351" y="2486025"/>
          <a:ext cx="285750" cy="352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p xmlns:a="http://schemas.openxmlformats.org/drawingml/2006/main">
          <a:pPr algn="ctr"/>
          <a:r>
            <a:rPr lang="en-US" sz="1000"/>
            <a:t>Obs</a:t>
          </a:r>
        </a:p>
      </cdr:txBody>
    </cdr:sp>
  </cdr:relSizeAnchor>
  <cdr:relSizeAnchor xmlns:cdr="http://schemas.openxmlformats.org/drawingml/2006/chartDrawing">
    <cdr:from>
      <cdr:x>0.22308</cdr:x>
      <cdr:y>0.7507</cdr:y>
    </cdr:from>
    <cdr:to>
      <cdr:x>0.34175</cdr:x>
      <cdr:y>0.86297</cdr:y>
    </cdr:to>
    <cdr:sp macro="" textlink="">
      <cdr:nvSpPr>
        <cdr:cNvPr id="11" name="TextBox 1"/>
        <cdr:cNvSpPr txBox="1"/>
      </cdr:nvSpPr>
      <cdr:spPr>
        <a:xfrm xmlns:a="http://schemas.openxmlformats.org/drawingml/2006/main">
          <a:off x="876301" y="2486025"/>
          <a:ext cx="44767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CRFs</a:t>
          </a:r>
        </a:p>
      </cdr:txBody>
    </cdr:sp>
  </cdr:relSizeAnchor>
  <cdr:relSizeAnchor xmlns:cdr="http://schemas.openxmlformats.org/drawingml/2006/chartDrawing">
    <cdr:from>
      <cdr:x>0.32405</cdr:x>
      <cdr:y>0.7507</cdr:y>
    </cdr:from>
    <cdr:to>
      <cdr:x>0.44272</cdr:x>
      <cdr:y>0.86297</cdr:y>
    </cdr:to>
    <cdr:sp macro="" textlink="">
      <cdr:nvSpPr>
        <cdr:cNvPr id="12" name="TextBox 1"/>
        <cdr:cNvSpPr txBox="1"/>
      </cdr:nvSpPr>
      <cdr:spPr>
        <a:xfrm xmlns:a="http://schemas.openxmlformats.org/drawingml/2006/main">
          <a:off x="1257300" y="2486025"/>
          <a:ext cx="44767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2ary</a:t>
          </a:r>
        </a:p>
      </cdr:txBody>
    </cdr:sp>
  </cdr:relSizeAnchor>
  <cdr:relSizeAnchor xmlns:cdr="http://schemas.openxmlformats.org/drawingml/2006/chartDrawing">
    <cdr:from>
      <cdr:x>0.43524</cdr:x>
      <cdr:y>0.7507</cdr:y>
    </cdr:from>
    <cdr:to>
      <cdr:x>0.54917</cdr:x>
      <cdr:y>0.86297</cdr:y>
    </cdr:to>
    <cdr:sp macro="" textlink="">
      <cdr:nvSpPr>
        <cdr:cNvPr id="13" name="TextBox 1"/>
        <cdr:cNvSpPr txBox="1"/>
      </cdr:nvSpPr>
      <cdr:spPr>
        <a:xfrm xmlns:a="http://schemas.openxmlformats.org/drawingml/2006/main">
          <a:off x="1676400" y="2486025"/>
          <a:ext cx="42862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BMD</a:t>
          </a:r>
        </a:p>
      </cdr:txBody>
    </cdr:sp>
  </cdr:relSizeAnchor>
  <cdr:relSizeAnchor xmlns:cdr="http://schemas.openxmlformats.org/drawingml/2006/chartDrawing">
    <cdr:from>
      <cdr:x>0.66438</cdr:x>
      <cdr:y>0.7507</cdr:y>
    </cdr:from>
    <cdr:to>
      <cdr:x>0.74089</cdr:x>
      <cdr:y>0.86062</cdr:y>
    </cdr:to>
    <cdr:sp macro="" textlink="">
      <cdr:nvSpPr>
        <cdr:cNvPr id="14" name="TextBox 1"/>
        <cdr:cNvSpPr txBox="1"/>
      </cdr:nvSpPr>
      <cdr:spPr>
        <a:xfrm xmlns:a="http://schemas.openxmlformats.org/drawingml/2006/main">
          <a:off x="2543175" y="2486025"/>
          <a:ext cx="285750" cy="352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t>Obs</a:t>
          </a:r>
        </a:p>
      </cdr:txBody>
    </cdr:sp>
  </cdr:relSizeAnchor>
  <cdr:relSizeAnchor xmlns:cdr="http://schemas.openxmlformats.org/drawingml/2006/chartDrawing">
    <cdr:from>
      <cdr:x>0.75288</cdr:x>
      <cdr:y>0.7507</cdr:y>
    </cdr:from>
    <cdr:to>
      <cdr:x>0.87154</cdr:x>
      <cdr:y>0.86297</cdr:y>
    </cdr:to>
    <cdr:sp macro="" textlink="">
      <cdr:nvSpPr>
        <cdr:cNvPr id="15" name="TextBox 1"/>
        <cdr:cNvSpPr txBox="1"/>
      </cdr:nvSpPr>
      <cdr:spPr>
        <a:xfrm xmlns:a="http://schemas.openxmlformats.org/drawingml/2006/main">
          <a:off x="2876550" y="2486025"/>
          <a:ext cx="44767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CRFs</a:t>
          </a:r>
        </a:p>
      </cdr:txBody>
    </cdr:sp>
  </cdr:relSizeAnchor>
  <cdr:relSizeAnchor xmlns:cdr="http://schemas.openxmlformats.org/drawingml/2006/chartDrawing">
    <cdr:from>
      <cdr:x>0.87903</cdr:x>
      <cdr:y>0.7507</cdr:y>
    </cdr:from>
    <cdr:to>
      <cdr:x>0.98078</cdr:x>
      <cdr:y>0.86297</cdr:y>
    </cdr:to>
    <cdr:sp macro="" textlink="">
      <cdr:nvSpPr>
        <cdr:cNvPr id="16" name="TextBox 1"/>
        <cdr:cNvSpPr txBox="1"/>
      </cdr:nvSpPr>
      <cdr:spPr>
        <a:xfrm xmlns:a="http://schemas.openxmlformats.org/drawingml/2006/main">
          <a:off x="3352800" y="2486025"/>
          <a:ext cx="390524" cy="359371"/>
        </a:xfrm>
        <a:prstGeom xmlns:a="http://schemas.openxmlformats.org/drawingml/2006/main" prst="rect">
          <a:avLst/>
        </a:prstGeom>
      </cdr:spPr>
      <cdr:txBody>
        <a:bodyPr xmlns:a="http://schemas.openxmlformats.org/drawingml/2006/main" wrap="square" lIns="0" t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t>Pred</a:t>
          </a:r>
        </a:p>
        <a:p xmlns:a="http://schemas.openxmlformats.org/drawingml/2006/main">
          <a:pPr algn="ctr"/>
          <a:r>
            <a:rPr lang="en-US" sz="1000"/>
            <a:t>BMD</a:t>
          </a:r>
        </a:p>
      </cdr:txBody>
    </cdr:sp>
  </cdr:relSizeAnchor>
  <cdr:relSizeAnchor xmlns:cdr="http://schemas.openxmlformats.org/drawingml/2006/chartDrawing">
    <cdr:from>
      <cdr:x>0.66012</cdr:x>
      <cdr:y>0.87849</cdr:y>
    </cdr:from>
    <cdr:to>
      <cdr:x>0.94983</cdr:x>
      <cdr:y>0.94396</cdr:y>
    </cdr:to>
    <cdr:sp macro="" textlink="">
      <cdr:nvSpPr>
        <cdr:cNvPr id="18" name="TextBox 2"/>
        <cdr:cNvSpPr txBox="1"/>
      </cdr:nvSpPr>
      <cdr:spPr>
        <a:xfrm xmlns:a="http://schemas.openxmlformats.org/drawingml/2006/main">
          <a:off x="2524125" y="2895601"/>
          <a:ext cx="1095375" cy="209561"/>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General</a:t>
          </a:r>
          <a:r>
            <a:rPr lang="en-US" sz="1000" b="1" baseline="0"/>
            <a:t> Population</a:t>
          </a:r>
          <a:endParaRPr lang="en-US" sz="1000" b="1"/>
        </a:p>
      </cdr:txBody>
    </cdr:sp>
  </cdr:relSizeAnchor>
  <cdr:relSizeAnchor xmlns:cdr="http://schemas.openxmlformats.org/drawingml/2006/chartDrawing">
    <cdr:from>
      <cdr:x>0.21785</cdr:x>
      <cdr:y>0.87849</cdr:y>
    </cdr:from>
    <cdr:to>
      <cdr:x>0.50853</cdr:x>
      <cdr:y>0.94396</cdr:y>
    </cdr:to>
    <cdr:sp macro="" textlink="">
      <cdr:nvSpPr>
        <cdr:cNvPr id="19" name="TextBox 2"/>
        <cdr:cNvSpPr txBox="1"/>
      </cdr:nvSpPr>
      <cdr:spPr>
        <a:xfrm xmlns:a="http://schemas.openxmlformats.org/drawingml/2006/main">
          <a:off x="857250" y="2895601"/>
          <a:ext cx="1095375" cy="209561"/>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Celiac Disease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4CCD03-2668-4A0F-BFDC-F980CAD6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9790</Words>
  <Characters>55808</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Duerksen</dc:creator>
  <cp:lastModifiedBy>Drake K.A.</cp:lastModifiedBy>
  <cp:revision>2</cp:revision>
  <cp:lastPrinted>2017-10-26T23:00:00Z</cp:lastPrinted>
  <dcterms:created xsi:type="dcterms:W3CDTF">2020-08-13T13:51:00Z</dcterms:created>
  <dcterms:modified xsi:type="dcterms:W3CDTF">2020-08-13T13:51:00Z</dcterms:modified>
</cp:coreProperties>
</file>