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84A0B" w14:textId="1739CD09" w:rsidR="003510E3" w:rsidRPr="00926216" w:rsidRDefault="00FD79A3" w:rsidP="00D429DF">
      <w:pPr>
        <w:pStyle w:val="Title"/>
        <w:spacing w:before="100" w:beforeAutospacing="1" w:after="100" w:afterAutospacing="1"/>
        <w:rPr>
          <w:rFonts w:ascii="Times" w:hAnsi="Times" w:cs="Times New Roman"/>
          <w:sz w:val="32"/>
          <w:szCs w:val="24"/>
        </w:rPr>
      </w:pPr>
      <w:r w:rsidRPr="00926216">
        <w:rPr>
          <w:rFonts w:ascii="Times" w:hAnsi="Times" w:cs="Times New Roman"/>
          <w:sz w:val="32"/>
          <w:szCs w:val="24"/>
        </w:rPr>
        <w:t>Good Intentions and Bad Consequences</w:t>
      </w:r>
    </w:p>
    <w:p w14:paraId="5530602D" w14:textId="6167E452" w:rsidR="00F93D02" w:rsidRPr="00926216" w:rsidRDefault="00B724E3" w:rsidP="00D429DF">
      <w:pPr>
        <w:pStyle w:val="Title"/>
        <w:spacing w:before="100" w:beforeAutospacing="1" w:after="100" w:afterAutospacing="1"/>
        <w:rPr>
          <w:rFonts w:ascii="Times" w:hAnsi="Times" w:cs="Times New Roman"/>
          <w:sz w:val="28"/>
          <w:szCs w:val="28"/>
        </w:rPr>
      </w:pPr>
      <w:r w:rsidRPr="00926216">
        <w:rPr>
          <w:rFonts w:ascii="Times" w:hAnsi="Times" w:cs="Times New Roman"/>
          <w:sz w:val="28"/>
          <w:szCs w:val="28"/>
        </w:rPr>
        <w:t>T</w:t>
      </w:r>
      <w:r w:rsidR="00D37FB4" w:rsidRPr="00926216">
        <w:rPr>
          <w:rFonts w:ascii="Times" w:hAnsi="Times" w:cs="Times New Roman"/>
          <w:sz w:val="28"/>
          <w:szCs w:val="28"/>
        </w:rPr>
        <w:t xml:space="preserve">he General Assistance Mandate of </w:t>
      </w:r>
      <w:r w:rsidR="00FD79A3" w:rsidRPr="00926216">
        <w:rPr>
          <w:rFonts w:ascii="Times" w:hAnsi="Times" w:cs="Times New Roman"/>
          <w:sz w:val="28"/>
          <w:szCs w:val="28"/>
        </w:rPr>
        <w:t xml:space="preserve">the </w:t>
      </w:r>
      <w:r w:rsidR="00D37FB4" w:rsidRPr="00926216">
        <w:rPr>
          <w:rFonts w:ascii="Times" w:hAnsi="Times" w:cs="Times New Roman"/>
          <w:sz w:val="28"/>
          <w:szCs w:val="28"/>
        </w:rPr>
        <w:t xml:space="preserve">Trust Fund for Victims </w:t>
      </w:r>
      <w:r w:rsidR="00FD79A3" w:rsidRPr="00926216">
        <w:rPr>
          <w:rFonts w:ascii="Times" w:hAnsi="Times" w:cs="Times New Roman"/>
          <w:sz w:val="28"/>
          <w:szCs w:val="28"/>
        </w:rPr>
        <w:t xml:space="preserve">of the </w:t>
      </w:r>
      <w:r w:rsidR="00EA6CD1" w:rsidRPr="00926216">
        <w:rPr>
          <w:rFonts w:ascii="Times" w:hAnsi="Times" w:cs="Times New Roman"/>
          <w:sz w:val="28"/>
          <w:szCs w:val="28"/>
        </w:rPr>
        <w:t>ICC</w:t>
      </w:r>
    </w:p>
    <w:p w14:paraId="02DFFCEA" w14:textId="40577F01" w:rsidR="00D157A1" w:rsidRDefault="00D157A1" w:rsidP="00D429DF">
      <w:pPr>
        <w:spacing w:before="100" w:beforeAutospacing="1" w:after="100" w:afterAutospacing="1"/>
        <w:contextualSpacing/>
        <w:rPr>
          <w:b/>
          <w:color w:val="000000" w:themeColor="text1"/>
        </w:rPr>
      </w:pPr>
      <w:r w:rsidRPr="00D157A1">
        <w:rPr>
          <w:b/>
          <w:color w:val="000000" w:themeColor="text1"/>
        </w:rPr>
        <w:t>Regina E. Rauxloh</w:t>
      </w:r>
    </w:p>
    <w:p w14:paraId="77B01D81" w14:textId="77777777" w:rsidR="00D157A1" w:rsidRDefault="00D157A1" w:rsidP="00D429DF">
      <w:pPr>
        <w:spacing w:before="100" w:beforeAutospacing="1" w:after="100" w:afterAutospacing="1"/>
        <w:contextualSpacing/>
        <w:rPr>
          <w:b/>
          <w:color w:val="000000" w:themeColor="text1"/>
        </w:rPr>
      </w:pPr>
    </w:p>
    <w:p w14:paraId="3A68DD64" w14:textId="77777777" w:rsidR="00D157A1" w:rsidRPr="00D157A1" w:rsidRDefault="00D157A1" w:rsidP="00D429DF">
      <w:pPr>
        <w:spacing w:before="100" w:beforeAutospacing="1" w:after="100" w:afterAutospacing="1"/>
        <w:contextualSpacing/>
        <w:rPr>
          <w:b/>
          <w:color w:val="000000" w:themeColor="text1"/>
        </w:rPr>
      </w:pPr>
    </w:p>
    <w:p w14:paraId="433544C7" w14:textId="1B530F84" w:rsidR="00C30325" w:rsidRPr="00D429DF" w:rsidRDefault="00C30325" w:rsidP="00D429DF">
      <w:pPr>
        <w:spacing w:before="100" w:beforeAutospacing="1" w:after="100" w:afterAutospacing="1"/>
        <w:contextualSpacing/>
        <w:rPr>
          <w:i/>
          <w:color w:val="000000" w:themeColor="text1"/>
        </w:rPr>
      </w:pPr>
      <w:r w:rsidRPr="00D429DF">
        <w:rPr>
          <w:i/>
          <w:color w:val="000000" w:themeColor="text1"/>
        </w:rPr>
        <w:t>Abstract</w:t>
      </w:r>
    </w:p>
    <w:p w14:paraId="2A4D9183" w14:textId="70DAE0C0" w:rsidR="002D3343" w:rsidRPr="00D429DF" w:rsidRDefault="004872BB" w:rsidP="00D429DF">
      <w:pPr>
        <w:autoSpaceDE w:val="0"/>
        <w:autoSpaceDN w:val="0"/>
        <w:adjustRightInd w:val="0"/>
        <w:spacing w:before="100" w:beforeAutospacing="1" w:after="100" w:afterAutospacing="1"/>
        <w:contextualSpacing/>
        <w:rPr>
          <w:i/>
          <w:color w:val="000000" w:themeColor="text1"/>
        </w:rPr>
      </w:pPr>
      <w:r w:rsidRPr="00D429DF">
        <w:rPr>
          <w:i/>
          <w:color w:val="000000" w:themeColor="text1"/>
        </w:rPr>
        <w:t>Recognising</w:t>
      </w:r>
      <w:r w:rsidR="00C30325" w:rsidRPr="00D429DF">
        <w:rPr>
          <w:i/>
          <w:color w:val="000000" w:themeColor="text1"/>
        </w:rPr>
        <w:t xml:space="preserve"> the </w:t>
      </w:r>
      <w:r w:rsidR="00B158AA" w:rsidRPr="00D429DF">
        <w:rPr>
          <w:i/>
          <w:color w:val="000000" w:themeColor="text1"/>
        </w:rPr>
        <w:t>needs</w:t>
      </w:r>
      <w:r w:rsidR="00C30325" w:rsidRPr="00D429DF">
        <w:rPr>
          <w:i/>
          <w:color w:val="000000" w:themeColor="text1"/>
        </w:rPr>
        <w:t xml:space="preserve"> of victim</w:t>
      </w:r>
      <w:r w:rsidR="003B5EC0" w:rsidRPr="00D429DF">
        <w:rPr>
          <w:i/>
          <w:color w:val="000000" w:themeColor="text1"/>
        </w:rPr>
        <w:t>s</w:t>
      </w:r>
      <w:r w:rsidR="00C30325" w:rsidRPr="00D429DF">
        <w:rPr>
          <w:i/>
          <w:color w:val="000000" w:themeColor="text1"/>
        </w:rPr>
        <w:t xml:space="preserve"> in int</w:t>
      </w:r>
      <w:bookmarkStart w:id="0" w:name="_GoBack"/>
      <w:bookmarkEnd w:id="0"/>
      <w:r w:rsidR="00C30325" w:rsidRPr="00D429DF">
        <w:rPr>
          <w:i/>
          <w:color w:val="000000" w:themeColor="text1"/>
        </w:rPr>
        <w:t xml:space="preserve">ernational criminal </w:t>
      </w:r>
      <w:r w:rsidR="00485747" w:rsidRPr="00D429DF">
        <w:rPr>
          <w:i/>
          <w:color w:val="000000" w:themeColor="text1"/>
        </w:rPr>
        <w:t>justice</w:t>
      </w:r>
      <w:r w:rsidR="00C30325" w:rsidRPr="00D429DF">
        <w:rPr>
          <w:i/>
          <w:color w:val="000000" w:themeColor="text1"/>
        </w:rPr>
        <w:t xml:space="preserve">, the ICC has </w:t>
      </w:r>
      <w:r w:rsidR="00B158AA" w:rsidRPr="00D429DF">
        <w:rPr>
          <w:i/>
          <w:color w:val="000000" w:themeColor="text1"/>
        </w:rPr>
        <w:t xml:space="preserve">introduced an innovative reparation scheme </w:t>
      </w:r>
      <w:r w:rsidR="004729A5" w:rsidRPr="00D429DF">
        <w:rPr>
          <w:i/>
          <w:color w:val="000000" w:themeColor="text1"/>
        </w:rPr>
        <w:t>including the establishment of</w:t>
      </w:r>
      <w:r w:rsidR="00C30325" w:rsidRPr="00D429DF">
        <w:rPr>
          <w:i/>
          <w:color w:val="000000" w:themeColor="text1"/>
        </w:rPr>
        <w:t xml:space="preserve"> the Trust Fund for Victims</w:t>
      </w:r>
      <w:r w:rsidR="004729A5" w:rsidRPr="00D429DF">
        <w:rPr>
          <w:i/>
          <w:color w:val="000000" w:themeColor="text1"/>
        </w:rPr>
        <w:t>.</w:t>
      </w:r>
      <w:r w:rsidR="00C30325" w:rsidRPr="00D429DF">
        <w:rPr>
          <w:i/>
          <w:color w:val="000000" w:themeColor="text1"/>
        </w:rPr>
        <w:t xml:space="preserve"> </w:t>
      </w:r>
      <w:r w:rsidR="004729A5" w:rsidRPr="00D429DF">
        <w:rPr>
          <w:i/>
          <w:color w:val="000000" w:themeColor="text1"/>
        </w:rPr>
        <w:t xml:space="preserve">Besides </w:t>
      </w:r>
      <w:r w:rsidR="00F57DF7" w:rsidRPr="00D429DF">
        <w:rPr>
          <w:i/>
          <w:color w:val="000000" w:themeColor="text1"/>
        </w:rPr>
        <w:t xml:space="preserve">the Fund’s </w:t>
      </w:r>
      <w:r w:rsidR="004729A5" w:rsidRPr="00D429DF">
        <w:rPr>
          <w:i/>
          <w:color w:val="000000" w:themeColor="text1"/>
        </w:rPr>
        <w:t xml:space="preserve">role to implement reparation </w:t>
      </w:r>
      <w:r w:rsidR="00BA3374" w:rsidRPr="00D429DF">
        <w:rPr>
          <w:i/>
          <w:color w:val="000000" w:themeColor="text1"/>
        </w:rPr>
        <w:t>orders</w:t>
      </w:r>
      <w:r w:rsidR="004729A5" w:rsidRPr="00D429DF">
        <w:rPr>
          <w:i/>
          <w:color w:val="000000" w:themeColor="text1"/>
        </w:rPr>
        <w:t>, a second</w:t>
      </w:r>
      <w:r w:rsidR="00C30325" w:rsidRPr="00D429DF">
        <w:rPr>
          <w:i/>
          <w:color w:val="000000" w:themeColor="text1"/>
        </w:rPr>
        <w:t xml:space="preserve"> mandate has </w:t>
      </w:r>
      <w:r w:rsidR="001B11AA" w:rsidRPr="00D429DF">
        <w:rPr>
          <w:i/>
          <w:color w:val="000000" w:themeColor="text1"/>
        </w:rPr>
        <w:t>later</w:t>
      </w:r>
      <w:r w:rsidR="00B015F2" w:rsidRPr="00D429DF">
        <w:rPr>
          <w:i/>
          <w:color w:val="000000" w:themeColor="text1"/>
        </w:rPr>
        <w:t xml:space="preserve"> been </w:t>
      </w:r>
      <w:r w:rsidR="00C30325" w:rsidRPr="00D429DF">
        <w:rPr>
          <w:i/>
          <w:color w:val="000000" w:themeColor="text1"/>
        </w:rPr>
        <w:t xml:space="preserve">developed </w:t>
      </w:r>
      <w:r w:rsidR="00F12946" w:rsidRPr="00D429DF">
        <w:rPr>
          <w:i/>
          <w:color w:val="000000" w:themeColor="text1"/>
        </w:rPr>
        <w:t>to provide immediate help to victims independent from a criminal conviction</w:t>
      </w:r>
      <w:r w:rsidR="00276FCE" w:rsidRPr="00D429DF">
        <w:rPr>
          <w:i/>
          <w:color w:val="000000" w:themeColor="text1"/>
        </w:rPr>
        <w:t xml:space="preserve">: </w:t>
      </w:r>
      <w:r w:rsidR="00635A20" w:rsidRPr="00D429DF">
        <w:rPr>
          <w:i/>
          <w:color w:val="000000" w:themeColor="text1"/>
        </w:rPr>
        <w:t>the general assistance mandate</w:t>
      </w:r>
      <w:r w:rsidR="00C30325" w:rsidRPr="00D429DF">
        <w:rPr>
          <w:i/>
          <w:color w:val="000000" w:themeColor="text1"/>
        </w:rPr>
        <w:t xml:space="preserve">. </w:t>
      </w:r>
      <w:r w:rsidR="002D3343" w:rsidRPr="00D429DF">
        <w:rPr>
          <w:i/>
        </w:rPr>
        <w:t xml:space="preserve">Surprisingly, </w:t>
      </w:r>
      <w:r w:rsidR="00301870" w:rsidRPr="00D429DF">
        <w:rPr>
          <w:i/>
        </w:rPr>
        <w:t>this mandate</w:t>
      </w:r>
      <w:r w:rsidR="002D3343" w:rsidRPr="00D429DF">
        <w:rPr>
          <w:i/>
        </w:rPr>
        <w:t xml:space="preserve"> has to date attracted only little attention from scholars and remains vastly under-researched. </w:t>
      </w:r>
      <w:r w:rsidR="00C30325" w:rsidRPr="00D429DF">
        <w:rPr>
          <w:i/>
          <w:color w:val="000000" w:themeColor="text1"/>
        </w:rPr>
        <w:t xml:space="preserve">By exploring </w:t>
      </w:r>
      <w:r w:rsidR="00FD79A3" w:rsidRPr="00D429DF">
        <w:rPr>
          <w:i/>
          <w:color w:val="000000" w:themeColor="text1"/>
        </w:rPr>
        <w:t xml:space="preserve">in </w:t>
      </w:r>
      <w:proofErr w:type="gramStart"/>
      <w:r w:rsidR="00FD79A3" w:rsidRPr="00D429DF">
        <w:rPr>
          <w:i/>
          <w:color w:val="000000" w:themeColor="text1"/>
        </w:rPr>
        <w:t>detail</w:t>
      </w:r>
      <w:proofErr w:type="gramEnd"/>
      <w:r w:rsidR="00FD79A3" w:rsidRPr="00D429DF">
        <w:rPr>
          <w:i/>
          <w:color w:val="000000" w:themeColor="text1"/>
        </w:rPr>
        <w:t xml:space="preserve"> </w:t>
      </w:r>
      <w:r w:rsidR="00C30325" w:rsidRPr="00D429DF">
        <w:rPr>
          <w:i/>
          <w:color w:val="000000" w:themeColor="text1"/>
        </w:rPr>
        <w:t xml:space="preserve">the work of the </w:t>
      </w:r>
      <w:r w:rsidR="00635A20" w:rsidRPr="00D429DF">
        <w:rPr>
          <w:i/>
          <w:color w:val="000000" w:themeColor="text1"/>
        </w:rPr>
        <w:t>general assistance mandate</w:t>
      </w:r>
      <w:r w:rsidR="00782711" w:rsidRPr="00D429DF">
        <w:rPr>
          <w:i/>
          <w:color w:val="000000" w:themeColor="text1"/>
        </w:rPr>
        <w:t>,</w:t>
      </w:r>
      <w:r w:rsidR="00C30325" w:rsidRPr="00D429DF">
        <w:rPr>
          <w:i/>
          <w:color w:val="000000" w:themeColor="text1"/>
        </w:rPr>
        <w:t xml:space="preserve"> this </w:t>
      </w:r>
      <w:r w:rsidR="00FD79A3" w:rsidRPr="00D429DF">
        <w:rPr>
          <w:i/>
          <w:color w:val="000000" w:themeColor="text1"/>
        </w:rPr>
        <w:t>article</w:t>
      </w:r>
      <w:r w:rsidR="00C30325" w:rsidRPr="00D429DF">
        <w:rPr>
          <w:i/>
          <w:color w:val="000000" w:themeColor="text1"/>
        </w:rPr>
        <w:t xml:space="preserve"> </w:t>
      </w:r>
      <w:r w:rsidR="00782711" w:rsidRPr="00D429DF">
        <w:rPr>
          <w:i/>
          <w:color w:val="000000" w:themeColor="text1"/>
        </w:rPr>
        <w:t>exposes</w:t>
      </w:r>
      <w:r w:rsidR="00C30325" w:rsidRPr="00D429DF">
        <w:rPr>
          <w:i/>
          <w:color w:val="000000" w:themeColor="text1"/>
        </w:rPr>
        <w:t xml:space="preserve"> </w:t>
      </w:r>
      <w:r w:rsidR="00635A20" w:rsidRPr="00D429DF">
        <w:rPr>
          <w:i/>
          <w:color w:val="000000" w:themeColor="text1"/>
        </w:rPr>
        <w:t>its structural</w:t>
      </w:r>
      <w:r w:rsidR="00C30325" w:rsidRPr="00D429DF">
        <w:rPr>
          <w:i/>
          <w:color w:val="000000" w:themeColor="text1"/>
        </w:rPr>
        <w:t xml:space="preserve"> </w:t>
      </w:r>
      <w:r w:rsidR="00F12946" w:rsidRPr="00D429DF">
        <w:rPr>
          <w:i/>
          <w:color w:val="000000" w:themeColor="text1"/>
        </w:rPr>
        <w:t>weaknesses</w:t>
      </w:r>
      <w:r w:rsidR="00C30325" w:rsidRPr="00D429DF">
        <w:rPr>
          <w:i/>
          <w:color w:val="000000" w:themeColor="text1"/>
        </w:rPr>
        <w:t xml:space="preserve"> as well as the negative impact it has on the procedures of the Court as a whole.</w:t>
      </w:r>
      <w:r w:rsidR="00F12946" w:rsidRPr="00D429DF">
        <w:rPr>
          <w:i/>
          <w:color w:val="000000" w:themeColor="text1"/>
        </w:rPr>
        <w:t xml:space="preserve"> It will demonstrate how the general assistance mandate weakens the legitimacy of the ICC as it undermines the presumption of innocence, </w:t>
      </w:r>
      <w:r w:rsidR="002D3343" w:rsidRPr="00D429DF">
        <w:rPr>
          <w:i/>
          <w:color w:val="000000" w:themeColor="text1"/>
        </w:rPr>
        <w:t>risks compromising</w:t>
      </w:r>
      <w:r w:rsidR="00F12946" w:rsidRPr="00D429DF">
        <w:rPr>
          <w:i/>
          <w:color w:val="000000" w:themeColor="text1"/>
        </w:rPr>
        <w:t xml:space="preserve"> international and national Court proceedings and </w:t>
      </w:r>
      <w:r w:rsidR="002D3343" w:rsidRPr="00D429DF">
        <w:rPr>
          <w:i/>
          <w:color w:val="000000" w:themeColor="text1"/>
        </w:rPr>
        <w:t>masks</w:t>
      </w:r>
      <w:r w:rsidR="00F12946" w:rsidRPr="00D429DF">
        <w:rPr>
          <w:i/>
          <w:color w:val="000000" w:themeColor="text1"/>
        </w:rPr>
        <w:t xml:space="preserve"> the weaknesses of the </w:t>
      </w:r>
      <w:r w:rsidR="002D3343" w:rsidRPr="00D429DF">
        <w:rPr>
          <w:i/>
          <w:color w:val="000000" w:themeColor="text1"/>
        </w:rPr>
        <w:t>Court</w:t>
      </w:r>
      <w:r w:rsidR="00F12946" w:rsidRPr="00D429DF">
        <w:rPr>
          <w:i/>
          <w:color w:val="000000" w:themeColor="text1"/>
        </w:rPr>
        <w:t xml:space="preserve">. </w:t>
      </w:r>
      <w:r w:rsidR="00CD0ADD" w:rsidRPr="00D429DF">
        <w:rPr>
          <w:i/>
          <w:color w:val="000000" w:themeColor="text1"/>
        </w:rPr>
        <w:t>While there is no doubt that humanitarian assistance is urgently needed in situation</w:t>
      </w:r>
      <w:r w:rsidR="002D3343" w:rsidRPr="00D429DF">
        <w:rPr>
          <w:i/>
          <w:color w:val="000000" w:themeColor="text1"/>
        </w:rPr>
        <w:t>s</w:t>
      </w:r>
      <w:r w:rsidR="00CD0ADD" w:rsidRPr="00D429DF">
        <w:rPr>
          <w:i/>
          <w:color w:val="000000" w:themeColor="text1"/>
        </w:rPr>
        <w:t xml:space="preserve"> </w:t>
      </w:r>
      <w:r w:rsidR="005117FA" w:rsidRPr="00D429DF">
        <w:rPr>
          <w:i/>
          <w:color w:val="000000" w:themeColor="text1"/>
        </w:rPr>
        <w:t xml:space="preserve">that are hence </w:t>
      </w:r>
      <w:r w:rsidR="00CD0ADD" w:rsidRPr="00D429DF">
        <w:rPr>
          <w:i/>
          <w:color w:val="000000" w:themeColor="text1"/>
        </w:rPr>
        <w:t xml:space="preserve">investigated by the ICC, the mechanism chosen, namely </w:t>
      </w:r>
      <w:r w:rsidR="005A6A8F" w:rsidRPr="00D429DF">
        <w:rPr>
          <w:i/>
          <w:color w:val="000000" w:themeColor="text1"/>
        </w:rPr>
        <w:t xml:space="preserve">the </w:t>
      </w:r>
      <w:r w:rsidR="003A4D05" w:rsidRPr="00D429DF">
        <w:rPr>
          <w:i/>
          <w:color w:val="000000" w:themeColor="text1"/>
        </w:rPr>
        <w:t>T</w:t>
      </w:r>
      <w:r w:rsidR="005A6A8F" w:rsidRPr="00D429DF">
        <w:rPr>
          <w:i/>
          <w:color w:val="000000" w:themeColor="text1"/>
        </w:rPr>
        <w:t>rust Fund’s</w:t>
      </w:r>
      <w:r w:rsidR="00CD0ADD" w:rsidRPr="00D429DF">
        <w:rPr>
          <w:i/>
          <w:color w:val="000000" w:themeColor="text1"/>
        </w:rPr>
        <w:t xml:space="preserve"> general assistance mandate is not an adequate solution. </w:t>
      </w:r>
      <w:r w:rsidR="002D3343" w:rsidRPr="00D429DF">
        <w:rPr>
          <w:i/>
          <w:color w:val="000000" w:themeColor="text1"/>
        </w:rPr>
        <w:t>This paper therefore argues that general assistance has no place in an international criminal court and should therefore be completely separated from the ICC.</w:t>
      </w:r>
    </w:p>
    <w:p w14:paraId="3E2FBA75" w14:textId="77777777" w:rsidR="00D429DF" w:rsidRPr="00926216" w:rsidRDefault="00D429DF" w:rsidP="00D429DF">
      <w:pPr>
        <w:autoSpaceDE w:val="0"/>
        <w:autoSpaceDN w:val="0"/>
        <w:adjustRightInd w:val="0"/>
        <w:spacing w:before="100" w:beforeAutospacing="1" w:after="100" w:afterAutospacing="1"/>
        <w:contextualSpacing/>
        <w:rPr>
          <w:rFonts w:ascii="Times" w:hAnsi="Times"/>
          <w:color w:val="000000" w:themeColor="text1"/>
        </w:rPr>
      </w:pPr>
    </w:p>
    <w:p w14:paraId="58A0DDD2" w14:textId="4E144281" w:rsidR="00D25BE9" w:rsidRPr="00926216" w:rsidRDefault="00D25BE9" w:rsidP="00D429DF">
      <w:pPr>
        <w:spacing w:before="100" w:beforeAutospacing="1" w:after="100" w:afterAutospacing="1"/>
        <w:contextualSpacing/>
      </w:pPr>
      <w:r w:rsidRPr="00926216">
        <w:rPr>
          <w:b/>
        </w:rPr>
        <w:t>Key words:</w:t>
      </w:r>
      <w:r w:rsidRPr="00926216">
        <w:t xml:space="preserve"> ICC, Trust Fund for Victims, </w:t>
      </w:r>
      <w:r w:rsidR="001B35F6" w:rsidRPr="00926216">
        <w:t>General Assistance Mandate</w:t>
      </w:r>
      <w:r w:rsidRPr="00926216">
        <w:t xml:space="preserve">, </w:t>
      </w:r>
      <w:r w:rsidR="003A4779" w:rsidRPr="00926216">
        <w:t>Legitimacy, Administrative Costs</w:t>
      </w:r>
    </w:p>
    <w:p w14:paraId="1419358D" w14:textId="6100B901" w:rsidR="00C4478F" w:rsidRPr="00926216" w:rsidRDefault="00C4478F" w:rsidP="00D429DF">
      <w:pPr>
        <w:pStyle w:val="Heading1"/>
        <w:keepLines w:val="0"/>
        <w:numPr>
          <w:ilvl w:val="0"/>
          <w:numId w:val="48"/>
        </w:numPr>
        <w:spacing w:before="100" w:beforeAutospacing="1" w:after="100" w:afterAutospacing="1" w:line="240" w:lineRule="auto"/>
        <w:contextualSpacing/>
        <w:rPr>
          <w:rFonts w:ascii="Times" w:hAnsi="Times" w:cs="Times New Roman"/>
          <w:sz w:val="24"/>
          <w:szCs w:val="24"/>
        </w:rPr>
      </w:pPr>
      <w:bookmarkStart w:id="1" w:name="_Toc522015086"/>
      <w:r w:rsidRPr="00F6464A">
        <w:rPr>
          <w:rFonts w:ascii="Times" w:hAnsi="Times" w:cs="Times New Roman"/>
          <w:noProof/>
          <w:sz w:val="24"/>
          <w:szCs w:val="24"/>
          <w:lang w:eastAsia="en-GB"/>
        </w:rPr>
        <w:drawing>
          <wp:anchor distT="0" distB="0" distL="114300" distR="114300" simplePos="0" relativeHeight="251659264" behindDoc="0" locked="0" layoutInCell="1" allowOverlap="1" wp14:anchorId="5AF3EE76" wp14:editId="5B100839">
            <wp:simplePos x="0" y="0"/>
            <wp:positionH relativeFrom="column">
              <wp:posOffset>1529640</wp:posOffset>
            </wp:positionH>
            <wp:positionV relativeFrom="paragraph">
              <wp:posOffset>300645</wp:posOffset>
            </wp:positionV>
            <wp:extent cx="41040" cy="20520"/>
            <wp:effectExtent l="50800" t="50800" r="35560" b="55880"/>
            <wp:wrapNone/>
            <wp:docPr id="11" name="Ink 11"/>
            <wp:cNvGraphicFramePr/>
            <a:graphic xmlns:a="http://schemas.openxmlformats.org/drawingml/2006/main">
              <a:graphicData uri="http://schemas.openxmlformats.org/drawingml/2006/picture">
                <pic:pic xmlns:pic="http://schemas.openxmlformats.org/drawingml/2006/picture">
                  <pic:nvPicPr>
                    <pic:cNvPr id="11" name="Ink 11"/>
                    <pic:cNvPicPr/>
                  </pic:nvPicPr>
                  <pic:blipFill>
                    <a:blip r:embed="rId8"/>
                    <a:stretch>
                      <a:fillRect/>
                    </a:stretch>
                  </pic:blipFill>
                  <pic:spPr>
                    <a:xfrm>
                      <a:off x="0" y="0"/>
                      <a:ext cx="102240" cy="81720"/>
                    </a:xfrm>
                    <a:prstGeom prst="rect">
                      <a:avLst/>
                    </a:prstGeom>
                  </pic:spPr>
                </pic:pic>
              </a:graphicData>
            </a:graphic>
          </wp:anchor>
        </w:drawing>
      </w:r>
      <w:r w:rsidRPr="00926216">
        <w:rPr>
          <w:rFonts w:ascii="Times" w:hAnsi="Times" w:cs="Times New Roman"/>
          <w:sz w:val="24"/>
          <w:szCs w:val="24"/>
        </w:rPr>
        <w:t>Introduction</w:t>
      </w:r>
      <w:bookmarkEnd w:id="1"/>
    </w:p>
    <w:p w14:paraId="17A6DC02" w14:textId="05F9A98D" w:rsidR="00C222FE" w:rsidRPr="00926216" w:rsidRDefault="00A43AB1" w:rsidP="00D429DF">
      <w:pPr>
        <w:autoSpaceDE w:val="0"/>
        <w:autoSpaceDN w:val="0"/>
        <w:adjustRightInd w:val="0"/>
        <w:spacing w:before="100" w:beforeAutospacing="1" w:after="100" w:afterAutospacing="1"/>
        <w:contextualSpacing/>
        <w:rPr>
          <w:rFonts w:ascii="Times" w:hAnsi="Times"/>
          <w:color w:val="000000" w:themeColor="text1"/>
        </w:rPr>
      </w:pPr>
      <w:r w:rsidRPr="00926216">
        <w:rPr>
          <w:rFonts w:ascii="Times" w:hAnsi="Times"/>
          <w:color w:val="000000" w:themeColor="text1"/>
        </w:rPr>
        <w:t xml:space="preserve">When creating the ICC, the international community was </w:t>
      </w:r>
      <w:proofErr w:type="gramStart"/>
      <w:r w:rsidRPr="00926216">
        <w:rPr>
          <w:rFonts w:ascii="Times" w:hAnsi="Times"/>
          <w:color w:val="000000" w:themeColor="text1"/>
        </w:rPr>
        <w:t>well aware</w:t>
      </w:r>
      <w:proofErr w:type="gramEnd"/>
      <w:r w:rsidRPr="00926216">
        <w:rPr>
          <w:rFonts w:ascii="Times" w:hAnsi="Times"/>
          <w:color w:val="000000" w:themeColor="text1"/>
        </w:rPr>
        <w:t xml:space="preserve"> of </w:t>
      </w:r>
      <w:r w:rsidR="005A6A8F" w:rsidRPr="00926216">
        <w:rPr>
          <w:rFonts w:ascii="Times" w:hAnsi="Times"/>
          <w:color w:val="000000" w:themeColor="text1"/>
        </w:rPr>
        <w:t>the</w:t>
      </w:r>
      <w:r w:rsidRPr="00926216">
        <w:rPr>
          <w:rFonts w:ascii="Times" w:hAnsi="Times"/>
          <w:color w:val="000000" w:themeColor="text1"/>
        </w:rPr>
        <w:t xml:space="preserve"> destitut</w:t>
      </w:r>
      <w:r w:rsidR="00635A20" w:rsidRPr="00926216">
        <w:rPr>
          <w:rFonts w:ascii="Times" w:hAnsi="Times"/>
          <w:color w:val="000000" w:themeColor="text1"/>
        </w:rPr>
        <w:t>ion</w:t>
      </w:r>
      <w:r w:rsidRPr="00926216">
        <w:rPr>
          <w:rFonts w:ascii="Times" w:hAnsi="Times"/>
          <w:color w:val="000000" w:themeColor="text1"/>
        </w:rPr>
        <w:t xml:space="preserve"> </w:t>
      </w:r>
      <w:r w:rsidR="005A6A8F" w:rsidRPr="00926216">
        <w:rPr>
          <w:rFonts w:ascii="Times" w:hAnsi="Times"/>
          <w:color w:val="000000" w:themeColor="text1"/>
        </w:rPr>
        <w:t>typical for</w:t>
      </w:r>
      <w:r w:rsidRPr="00926216">
        <w:rPr>
          <w:rFonts w:ascii="Times" w:hAnsi="Times"/>
          <w:color w:val="000000" w:themeColor="text1"/>
        </w:rPr>
        <w:t xml:space="preserve"> victims</w:t>
      </w:r>
      <w:r w:rsidR="005A6A8F" w:rsidRPr="00926216">
        <w:rPr>
          <w:rFonts w:ascii="Times" w:hAnsi="Times"/>
          <w:color w:val="000000" w:themeColor="text1"/>
        </w:rPr>
        <w:t xml:space="preserve"> of mass atrocities</w:t>
      </w:r>
      <w:r w:rsidRPr="00926216">
        <w:rPr>
          <w:rFonts w:ascii="Times" w:hAnsi="Times"/>
          <w:color w:val="000000" w:themeColor="text1"/>
        </w:rPr>
        <w:t>.</w:t>
      </w:r>
      <w:r w:rsidRPr="00926216">
        <w:rPr>
          <w:rFonts w:ascii="Times" w:hAnsi="Times"/>
        </w:rPr>
        <w:t xml:space="preserve"> </w:t>
      </w:r>
      <w:r w:rsidR="002D3343" w:rsidRPr="00926216">
        <w:rPr>
          <w:rFonts w:ascii="Times" w:hAnsi="Times"/>
        </w:rPr>
        <w:t>N</w:t>
      </w:r>
      <w:r w:rsidRPr="00926216">
        <w:rPr>
          <w:rFonts w:ascii="Times" w:hAnsi="Times"/>
        </w:rPr>
        <w:t xml:space="preserve">ot only </w:t>
      </w:r>
      <w:r w:rsidR="002D3343" w:rsidRPr="00926216">
        <w:rPr>
          <w:rFonts w:ascii="Times" w:hAnsi="Times"/>
        </w:rPr>
        <w:t xml:space="preserve">is </w:t>
      </w:r>
      <w:r w:rsidRPr="00926216">
        <w:rPr>
          <w:rFonts w:ascii="Times" w:hAnsi="Times"/>
        </w:rPr>
        <w:t xml:space="preserve">the </w:t>
      </w:r>
      <w:r w:rsidR="000E7584" w:rsidRPr="00926216">
        <w:rPr>
          <w:rFonts w:ascii="Times" w:hAnsi="Times"/>
        </w:rPr>
        <w:t xml:space="preserve">sheer number </w:t>
      </w:r>
      <w:r w:rsidR="00301870" w:rsidRPr="00926216">
        <w:rPr>
          <w:rFonts w:ascii="Times" w:hAnsi="Times"/>
        </w:rPr>
        <w:t>overwhelming</w:t>
      </w:r>
      <w:r w:rsidR="000E7584" w:rsidRPr="00926216">
        <w:rPr>
          <w:rFonts w:ascii="Times" w:hAnsi="Times"/>
        </w:rPr>
        <w:t>, counted in the tens (and even hundreds) of thousands</w:t>
      </w:r>
      <w:r w:rsidR="00941070" w:rsidRPr="00926216">
        <w:rPr>
          <w:rFonts w:ascii="Times" w:hAnsi="Times"/>
        </w:rPr>
        <w:t>,</w:t>
      </w:r>
      <w:r w:rsidR="000E7584" w:rsidRPr="00926216">
        <w:rPr>
          <w:rStyle w:val="FootnoteReference"/>
          <w:rFonts w:ascii="Times" w:hAnsi="Times"/>
        </w:rPr>
        <w:footnoteReference w:id="2"/>
      </w:r>
      <w:r w:rsidR="000E7584" w:rsidRPr="00926216">
        <w:rPr>
          <w:rFonts w:ascii="Times" w:hAnsi="Times"/>
        </w:rPr>
        <w:t xml:space="preserve"> </w:t>
      </w:r>
      <w:r w:rsidR="00941070" w:rsidRPr="00926216">
        <w:rPr>
          <w:rFonts w:ascii="Times" w:hAnsi="Times"/>
        </w:rPr>
        <w:t>but</w:t>
      </w:r>
      <w:r w:rsidR="000E7584" w:rsidRPr="00926216">
        <w:rPr>
          <w:rFonts w:ascii="Times" w:hAnsi="Times"/>
        </w:rPr>
        <w:t xml:space="preserve"> the </w:t>
      </w:r>
      <w:r w:rsidR="00635A20" w:rsidRPr="00926216">
        <w:rPr>
          <w:rFonts w:ascii="Times" w:hAnsi="Times"/>
        </w:rPr>
        <w:t>hardship</w:t>
      </w:r>
      <w:r w:rsidR="000E7584" w:rsidRPr="00926216">
        <w:rPr>
          <w:rFonts w:ascii="Times" w:hAnsi="Times"/>
        </w:rPr>
        <w:t xml:space="preserve"> of each individual victim is multiplied as they typically suffer compound physical, mental and economic harms. </w:t>
      </w:r>
      <w:r w:rsidR="00301870" w:rsidRPr="00926216">
        <w:rPr>
          <w:rFonts w:ascii="Times" w:hAnsi="Times"/>
        </w:rPr>
        <w:t>Most</w:t>
      </w:r>
      <w:r w:rsidR="00A83E02" w:rsidRPr="00926216">
        <w:rPr>
          <w:rFonts w:ascii="Times" w:hAnsi="Times"/>
        </w:rPr>
        <w:t xml:space="preserve"> s</w:t>
      </w:r>
      <w:r w:rsidR="000E7584" w:rsidRPr="00926216">
        <w:rPr>
          <w:rFonts w:ascii="Times" w:hAnsi="Times"/>
        </w:rPr>
        <w:t xml:space="preserve">urvivors </w:t>
      </w:r>
      <w:r w:rsidR="00D536E0" w:rsidRPr="00926216">
        <w:rPr>
          <w:rFonts w:ascii="Times" w:hAnsi="Times"/>
        </w:rPr>
        <w:t xml:space="preserve">have not only been subjected to life-changing physical injuries, including in many cases sexual violence </w:t>
      </w:r>
      <w:r w:rsidR="00A83E02" w:rsidRPr="00926216">
        <w:rPr>
          <w:rFonts w:ascii="Times" w:hAnsi="Times"/>
        </w:rPr>
        <w:t xml:space="preserve">but also </w:t>
      </w:r>
      <w:proofErr w:type="gramStart"/>
      <w:r w:rsidR="000E7584" w:rsidRPr="00926216">
        <w:rPr>
          <w:rFonts w:ascii="Times" w:hAnsi="Times"/>
        </w:rPr>
        <w:t>have to</w:t>
      </w:r>
      <w:proofErr w:type="gramEnd"/>
      <w:r w:rsidR="000E7584" w:rsidRPr="00926216">
        <w:rPr>
          <w:rFonts w:ascii="Times" w:hAnsi="Times"/>
        </w:rPr>
        <w:t xml:space="preserve"> face the loss of their loved ones, as well as suffer traumatisation through witnessing the cruellest forms of violence. </w:t>
      </w:r>
      <w:r w:rsidR="00A83E02" w:rsidRPr="00926216">
        <w:rPr>
          <w:rFonts w:ascii="Times" w:hAnsi="Times"/>
        </w:rPr>
        <w:t>In addition</w:t>
      </w:r>
      <w:r w:rsidR="000E7584" w:rsidRPr="00926216">
        <w:rPr>
          <w:rFonts w:ascii="Times" w:hAnsi="Times"/>
        </w:rPr>
        <w:t xml:space="preserve">, their homes and livelihood have been looted, destroyed or lost through displacement and deportation. </w:t>
      </w:r>
      <w:r w:rsidR="00C222FE" w:rsidRPr="00926216">
        <w:rPr>
          <w:rFonts w:ascii="Times" w:hAnsi="Times"/>
        </w:rPr>
        <w:t>Moreover</w:t>
      </w:r>
      <w:r w:rsidR="000E7584" w:rsidRPr="00926216">
        <w:rPr>
          <w:rFonts w:ascii="Times" w:hAnsi="Times"/>
        </w:rPr>
        <w:t xml:space="preserve">, their families and communities are likely to have suffered the same attacks so that </w:t>
      </w:r>
      <w:r w:rsidR="00941070" w:rsidRPr="00926216">
        <w:rPr>
          <w:rFonts w:ascii="Times" w:hAnsi="Times"/>
        </w:rPr>
        <w:t>victims lack the necessary</w:t>
      </w:r>
      <w:r w:rsidR="000E7584" w:rsidRPr="00926216">
        <w:rPr>
          <w:rFonts w:ascii="Times" w:hAnsi="Times"/>
        </w:rPr>
        <w:t xml:space="preserve"> social network, such as family or village community to </w:t>
      </w:r>
      <w:r w:rsidR="00941070" w:rsidRPr="00926216">
        <w:rPr>
          <w:rFonts w:ascii="Times" w:hAnsi="Times"/>
        </w:rPr>
        <w:t>alleviate</w:t>
      </w:r>
      <w:r w:rsidR="000E7584" w:rsidRPr="00926216">
        <w:rPr>
          <w:rFonts w:ascii="Times" w:hAnsi="Times"/>
        </w:rPr>
        <w:t xml:space="preserve"> individual hardship. Further</w:t>
      </w:r>
      <w:r w:rsidR="00941070" w:rsidRPr="00926216">
        <w:rPr>
          <w:rFonts w:ascii="Times" w:hAnsi="Times"/>
        </w:rPr>
        <w:t>more</w:t>
      </w:r>
      <w:r w:rsidR="000E7584" w:rsidRPr="00926216">
        <w:rPr>
          <w:rFonts w:ascii="Times" w:hAnsi="Times"/>
        </w:rPr>
        <w:t xml:space="preserve">, victims find themselves in a war-torn society while the conflict is still on-going, or in the immediate aftermath of conflict when the state </w:t>
      </w:r>
      <w:proofErr w:type="gramStart"/>
      <w:r w:rsidR="000E7584" w:rsidRPr="00926216">
        <w:rPr>
          <w:rFonts w:ascii="Times" w:hAnsi="Times"/>
        </w:rPr>
        <w:t>as yet</w:t>
      </w:r>
      <w:proofErr w:type="gramEnd"/>
      <w:r w:rsidR="000E7584" w:rsidRPr="00926216">
        <w:rPr>
          <w:rFonts w:ascii="Times" w:hAnsi="Times"/>
        </w:rPr>
        <w:t xml:space="preserve"> tries to recover from the devastation. In either situation, the state </w:t>
      </w:r>
      <w:r w:rsidR="00A62D29" w:rsidRPr="00926216">
        <w:rPr>
          <w:rFonts w:ascii="Times" w:hAnsi="Times"/>
        </w:rPr>
        <w:t>is</w:t>
      </w:r>
      <w:r w:rsidR="000E7584" w:rsidRPr="00926216">
        <w:rPr>
          <w:rFonts w:ascii="Times" w:hAnsi="Times"/>
        </w:rPr>
        <w:t xml:space="preserve"> unlikely to have sufficient resources or the necessary infrastructures to deal with the medical, emotional, social and </w:t>
      </w:r>
      <w:r w:rsidR="000E7584" w:rsidRPr="00926216">
        <w:rPr>
          <w:rFonts w:ascii="Times" w:hAnsi="Times"/>
        </w:rPr>
        <w:lastRenderedPageBreak/>
        <w:t>economic needs of the victims.</w:t>
      </w:r>
      <w:r w:rsidR="000E7584" w:rsidRPr="00926216">
        <w:rPr>
          <w:rStyle w:val="FootnoteReference"/>
          <w:rFonts w:ascii="Times" w:hAnsi="Times"/>
          <w:color w:val="000000"/>
        </w:rPr>
        <w:footnoteReference w:id="3"/>
      </w:r>
      <w:r w:rsidR="000E7584" w:rsidRPr="00926216">
        <w:rPr>
          <w:rFonts w:ascii="Times" w:hAnsi="Times"/>
        </w:rPr>
        <w:t xml:space="preserve"> </w:t>
      </w:r>
      <w:r w:rsidR="00C222FE" w:rsidRPr="00926216">
        <w:rPr>
          <w:rFonts w:ascii="Times" w:hAnsi="Times"/>
        </w:rPr>
        <w:t>Furthermore</w:t>
      </w:r>
      <w:r w:rsidR="000E7584" w:rsidRPr="00926216">
        <w:rPr>
          <w:rFonts w:ascii="Times" w:hAnsi="Times"/>
        </w:rPr>
        <w:t xml:space="preserve">, the state might not be willing to help a particular group of victims, </w:t>
      </w:r>
      <w:r w:rsidR="000E7584" w:rsidRPr="00926216">
        <w:rPr>
          <w:rFonts w:ascii="Times" w:hAnsi="Times"/>
          <w:color w:val="000000" w:themeColor="text1"/>
        </w:rPr>
        <w:t>for example if they belong to the ethnical group</w:t>
      </w:r>
      <w:r w:rsidR="000E7584" w:rsidRPr="00926216">
        <w:rPr>
          <w:color w:val="000000" w:themeColor="text1"/>
        </w:rPr>
        <w:t xml:space="preserve"> that had been targeted by the state in the first place</w:t>
      </w:r>
      <w:r w:rsidR="000E7584" w:rsidRPr="00926216">
        <w:rPr>
          <w:rFonts w:ascii="Times" w:hAnsi="Times"/>
          <w:color w:val="000000" w:themeColor="text1"/>
        </w:rPr>
        <w:t>.</w:t>
      </w:r>
      <w:r w:rsidR="000E7584" w:rsidRPr="00926216">
        <w:rPr>
          <w:rStyle w:val="FootnoteReference"/>
          <w:rFonts w:ascii="Times" w:hAnsi="Times"/>
          <w:color w:val="000000" w:themeColor="text1"/>
        </w:rPr>
        <w:footnoteReference w:id="4"/>
      </w:r>
      <w:r w:rsidR="000E7584" w:rsidRPr="00926216">
        <w:rPr>
          <w:rFonts w:ascii="Times" w:hAnsi="Times"/>
          <w:color w:val="000000" w:themeColor="text1"/>
        </w:rPr>
        <w:t xml:space="preserve"> </w:t>
      </w:r>
    </w:p>
    <w:p w14:paraId="360E30D4" w14:textId="4A5DA05B" w:rsidR="00E74E7C" w:rsidRPr="00727CED" w:rsidRDefault="00635A20" w:rsidP="00D429DF">
      <w:pPr>
        <w:autoSpaceDE w:val="0"/>
        <w:autoSpaceDN w:val="0"/>
        <w:adjustRightInd w:val="0"/>
        <w:spacing w:before="100" w:beforeAutospacing="1" w:after="100" w:afterAutospacing="1"/>
        <w:contextualSpacing/>
      </w:pPr>
      <w:r w:rsidRPr="00926216">
        <w:rPr>
          <w:rFonts w:ascii="Times" w:hAnsi="Times"/>
          <w:color w:val="000000" w:themeColor="text1"/>
        </w:rPr>
        <w:t xml:space="preserve">Right from the beginning of the negotiations for the Rome Statute, </w:t>
      </w:r>
      <w:r w:rsidRPr="00926216">
        <w:rPr>
          <w:rFonts w:ascii="Times" w:hAnsi="Times"/>
        </w:rPr>
        <w:t>the question of victims formed a central part of the debate, not least because of the pressure from various NGOs</w:t>
      </w:r>
      <w:r w:rsidR="002D3343" w:rsidRPr="00926216">
        <w:rPr>
          <w:rFonts w:ascii="Times" w:hAnsi="Times"/>
        </w:rPr>
        <w:t>.</w:t>
      </w:r>
      <w:r w:rsidRPr="00926216">
        <w:rPr>
          <w:rStyle w:val="FootnoteReference"/>
          <w:rFonts w:ascii="Times" w:hAnsi="Times"/>
          <w:color w:val="000000"/>
        </w:rPr>
        <w:footnoteReference w:id="5"/>
      </w:r>
      <w:r w:rsidR="000E7584" w:rsidRPr="00926216">
        <w:rPr>
          <w:rFonts w:ascii="Times" w:hAnsi="Times"/>
          <w:color w:val="000000" w:themeColor="text1"/>
        </w:rPr>
        <w:t xml:space="preserve"> </w:t>
      </w:r>
      <w:r w:rsidR="009C240B" w:rsidRPr="00926216">
        <w:rPr>
          <w:rFonts w:ascii="Times" w:hAnsi="Times"/>
        </w:rPr>
        <w:t>At the forefr</w:t>
      </w:r>
      <w:r w:rsidR="000E7584" w:rsidRPr="00926216">
        <w:rPr>
          <w:rFonts w:ascii="Times" w:hAnsi="Times"/>
        </w:rPr>
        <w:t>o</w:t>
      </w:r>
      <w:r w:rsidR="009C240B" w:rsidRPr="00926216">
        <w:rPr>
          <w:rFonts w:ascii="Times" w:hAnsi="Times"/>
        </w:rPr>
        <w:t>n</w:t>
      </w:r>
      <w:r w:rsidR="000E7584" w:rsidRPr="00926216">
        <w:rPr>
          <w:rFonts w:ascii="Times" w:hAnsi="Times"/>
        </w:rPr>
        <w:t>t</w:t>
      </w:r>
      <w:r w:rsidR="009C240B" w:rsidRPr="00926216">
        <w:rPr>
          <w:rFonts w:ascii="Times" w:hAnsi="Times"/>
        </w:rPr>
        <w:t xml:space="preserve"> </w:t>
      </w:r>
      <w:r w:rsidR="00941070" w:rsidRPr="00926216">
        <w:rPr>
          <w:rFonts w:ascii="Times" w:hAnsi="Times"/>
        </w:rPr>
        <w:t xml:space="preserve">of this development </w:t>
      </w:r>
      <w:r w:rsidR="009C240B" w:rsidRPr="00926216">
        <w:rPr>
          <w:rFonts w:ascii="Times" w:hAnsi="Times"/>
        </w:rPr>
        <w:t xml:space="preserve">stands the </w:t>
      </w:r>
      <w:r w:rsidR="00166384" w:rsidRPr="00926216">
        <w:rPr>
          <w:rFonts w:ascii="Times" w:hAnsi="Times"/>
        </w:rPr>
        <w:t>T</w:t>
      </w:r>
      <w:r w:rsidR="009C240B" w:rsidRPr="00926216">
        <w:rPr>
          <w:rFonts w:ascii="Times" w:hAnsi="Times"/>
        </w:rPr>
        <w:t xml:space="preserve">rust Fund for Victims of the ICC. </w:t>
      </w:r>
      <w:r w:rsidR="00A43AB1" w:rsidRPr="00926216">
        <w:rPr>
          <w:rFonts w:ascii="Times" w:hAnsi="Times"/>
        </w:rPr>
        <w:t>While the model of organising victim redress through a trust fund ha</w:t>
      </w:r>
      <w:r w:rsidR="00941070" w:rsidRPr="00926216">
        <w:rPr>
          <w:rFonts w:ascii="Times" w:hAnsi="Times"/>
        </w:rPr>
        <w:t>s</w:t>
      </w:r>
      <w:r w:rsidR="00A43AB1" w:rsidRPr="00926216">
        <w:rPr>
          <w:rFonts w:ascii="Times" w:hAnsi="Times"/>
        </w:rPr>
        <w:t xml:space="preserve"> been used before,</w:t>
      </w:r>
      <w:r w:rsidR="00A43AB1" w:rsidRPr="00926216">
        <w:rPr>
          <w:rStyle w:val="FootnoteReference"/>
          <w:rFonts w:ascii="Times" w:hAnsi="Times"/>
        </w:rPr>
        <w:footnoteReference w:id="6"/>
      </w:r>
      <w:r w:rsidR="00A43AB1" w:rsidRPr="00926216">
        <w:rPr>
          <w:rFonts w:ascii="Times" w:hAnsi="Times"/>
        </w:rPr>
        <w:t xml:space="preserve"> </w:t>
      </w:r>
      <w:r w:rsidRPr="00926216">
        <w:rPr>
          <w:rFonts w:ascii="Times" w:hAnsi="Times"/>
        </w:rPr>
        <w:t>this is</w:t>
      </w:r>
      <w:r w:rsidR="00A43AB1" w:rsidRPr="00926216">
        <w:rPr>
          <w:rFonts w:ascii="Times" w:hAnsi="Times"/>
        </w:rPr>
        <w:t xml:space="preserve"> the first time </w:t>
      </w:r>
      <w:r w:rsidR="00941070" w:rsidRPr="00926216">
        <w:rPr>
          <w:rFonts w:ascii="Times" w:hAnsi="Times"/>
        </w:rPr>
        <w:t xml:space="preserve">that </w:t>
      </w:r>
      <w:r w:rsidR="00A43AB1" w:rsidRPr="00926216">
        <w:rPr>
          <w:rFonts w:ascii="Times" w:hAnsi="Times"/>
        </w:rPr>
        <w:t xml:space="preserve">a trust fund </w:t>
      </w:r>
      <w:r w:rsidR="00941070" w:rsidRPr="00926216">
        <w:rPr>
          <w:rFonts w:ascii="Times" w:hAnsi="Times"/>
        </w:rPr>
        <w:t>has been</w:t>
      </w:r>
      <w:r w:rsidR="00C222FE" w:rsidRPr="00926216">
        <w:rPr>
          <w:rFonts w:ascii="Times" w:hAnsi="Times"/>
        </w:rPr>
        <w:t xml:space="preserve"> attached </w:t>
      </w:r>
      <w:r w:rsidR="00A43AB1" w:rsidRPr="00926216">
        <w:rPr>
          <w:rFonts w:ascii="Times" w:hAnsi="Times"/>
        </w:rPr>
        <w:t>to a criminal court.</w:t>
      </w:r>
      <w:r w:rsidR="00A43AB1" w:rsidRPr="00926216">
        <w:rPr>
          <w:rStyle w:val="FootnoteReference"/>
          <w:rFonts w:ascii="Times" w:hAnsi="Times"/>
        </w:rPr>
        <w:footnoteReference w:id="7"/>
      </w:r>
      <w:r w:rsidR="00A43AB1" w:rsidRPr="00926216">
        <w:rPr>
          <w:rFonts w:ascii="Times" w:hAnsi="Times"/>
        </w:rPr>
        <w:t xml:space="preserve"> </w:t>
      </w:r>
      <w:r w:rsidR="000E7584" w:rsidRPr="00926216">
        <w:rPr>
          <w:rFonts w:ascii="Times" w:hAnsi="Times"/>
        </w:rPr>
        <w:t xml:space="preserve">Surprisingly, </w:t>
      </w:r>
      <w:r w:rsidR="009C240B" w:rsidRPr="00926216">
        <w:rPr>
          <w:rFonts w:ascii="Times" w:hAnsi="Times"/>
        </w:rPr>
        <w:t xml:space="preserve">the Trust Fund of the ICC has to date </w:t>
      </w:r>
      <w:r w:rsidR="009C240B" w:rsidRPr="00926216">
        <w:t xml:space="preserve">attracted only </w:t>
      </w:r>
      <w:r w:rsidR="00941070" w:rsidRPr="00926216">
        <w:t>little</w:t>
      </w:r>
      <w:r w:rsidR="009C240B" w:rsidRPr="00926216">
        <w:t xml:space="preserve"> attention from scholars</w:t>
      </w:r>
      <w:r w:rsidR="009C240B" w:rsidRPr="00926216">
        <w:rPr>
          <w:rFonts w:ascii="Times" w:hAnsi="Times"/>
        </w:rPr>
        <w:t xml:space="preserve"> and remains vastly under-researched. </w:t>
      </w:r>
      <w:r w:rsidR="00A43AB1" w:rsidRPr="00926216">
        <w:rPr>
          <w:rFonts w:ascii="Times" w:hAnsi="Times"/>
        </w:rPr>
        <w:t>T</w:t>
      </w:r>
      <w:r w:rsidR="00F8464D" w:rsidRPr="00926216">
        <w:rPr>
          <w:rFonts w:ascii="Times" w:hAnsi="Times"/>
        </w:rPr>
        <w:t xml:space="preserve">his paper </w:t>
      </w:r>
      <w:r w:rsidR="002B24FF" w:rsidRPr="00926216">
        <w:rPr>
          <w:rFonts w:ascii="Times" w:hAnsi="Times"/>
        </w:rPr>
        <w:t>examines</w:t>
      </w:r>
      <w:r w:rsidR="008A45EA" w:rsidRPr="00926216">
        <w:rPr>
          <w:rFonts w:ascii="Times" w:hAnsi="Times"/>
        </w:rPr>
        <w:t xml:space="preserve"> the second mandate of </w:t>
      </w:r>
      <w:r w:rsidR="00C51746" w:rsidRPr="00926216">
        <w:rPr>
          <w:rFonts w:ascii="Times" w:hAnsi="Times"/>
        </w:rPr>
        <w:t xml:space="preserve">the </w:t>
      </w:r>
      <w:r w:rsidR="00991B1E" w:rsidRPr="00926216">
        <w:rPr>
          <w:rFonts w:ascii="Times" w:hAnsi="Times"/>
        </w:rPr>
        <w:t>Trust Fund</w:t>
      </w:r>
      <w:r w:rsidR="00C51746" w:rsidRPr="00926216">
        <w:rPr>
          <w:rFonts w:ascii="Times" w:hAnsi="Times"/>
        </w:rPr>
        <w:t>,</w:t>
      </w:r>
      <w:r w:rsidR="00F8464D" w:rsidRPr="00926216">
        <w:rPr>
          <w:rFonts w:ascii="Times" w:hAnsi="Times"/>
        </w:rPr>
        <w:t xml:space="preserve"> the </w:t>
      </w:r>
      <w:r w:rsidR="00F8464D" w:rsidRPr="00926216">
        <w:rPr>
          <w:rFonts w:ascii="Times" w:hAnsi="Times"/>
          <w:i/>
        </w:rPr>
        <w:t>g</w:t>
      </w:r>
      <w:r w:rsidR="00C51746" w:rsidRPr="00926216">
        <w:rPr>
          <w:rFonts w:ascii="Times" w:hAnsi="Times"/>
          <w:i/>
        </w:rPr>
        <w:t>eneral assistance mandate</w:t>
      </w:r>
      <w:r w:rsidR="00C51746" w:rsidRPr="00926216">
        <w:rPr>
          <w:rFonts w:ascii="Times" w:hAnsi="Times"/>
        </w:rPr>
        <w:t xml:space="preserve">. </w:t>
      </w:r>
      <w:r w:rsidR="002449D1" w:rsidRPr="00926216">
        <w:rPr>
          <w:rFonts w:ascii="Times" w:hAnsi="Times"/>
          <w:color w:val="000000" w:themeColor="text1"/>
        </w:rPr>
        <w:t>Whereas</w:t>
      </w:r>
      <w:r w:rsidR="005D7267" w:rsidRPr="00926216">
        <w:rPr>
          <w:rFonts w:ascii="Times" w:hAnsi="Times"/>
          <w:color w:val="000000" w:themeColor="text1"/>
        </w:rPr>
        <w:t xml:space="preserve"> the problematic overlap between reparation mandate and general assistance man</w:t>
      </w:r>
      <w:r w:rsidR="0054471F" w:rsidRPr="00926216">
        <w:rPr>
          <w:rFonts w:ascii="Times" w:hAnsi="Times"/>
          <w:color w:val="000000" w:themeColor="text1"/>
        </w:rPr>
        <w:t>d</w:t>
      </w:r>
      <w:r w:rsidR="005D7267" w:rsidRPr="00926216">
        <w:rPr>
          <w:rFonts w:ascii="Times" w:hAnsi="Times"/>
          <w:color w:val="000000" w:themeColor="text1"/>
        </w:rPr>
        <w:t>ate of the Trust Fund has been raised in the literature,</w:t>
      </w:r>
      <w:r w:rsidR="004A3A44" w:rsidRPr="00926216">
        <w:rPr>
          <w:rStyle w:val="FootnoteReference"/>
          <w:rFonts w:ascii="Times" w:hAnsi="Times"/>
          <w:color w:val="000000" w:themeColor="text1"/>
        </w:rPr>
        <w:footnoteReference w:id="8"/>
      </w:r>
      <w:r w:rsidR="005D7267" w:rsidRPr="00926216">
        <w:rPr>
          <w:rFonts w:ascii="Times" w:hAnsi="Times"/>
          <w:color w:val="000000" w:themeColor="text1"/>
        </w:rPr>
        <w:t xml:space="preserve"> this article will </w:t>
      </w:r>
      <w:r w:rsidR="00BB11D8" w:rsidRPr="00926216">
        <w:rPr>
          <w:rFonts w:ascii="Times" w:hAnsi="Times"/>
          <w:color w:val="000000" w:themeColor="text1"/>
        </w:rPr>
        <w:t>explore</w:t>
      </w:r>
      <w:r w:rsidR="005D7267" w:rsidRPr="00926216">
        <w:rPr>
          <w:rFonts w:ascii="Times" w:hAnsi="Times"/>
          <w:color w:val="000000" w:themeColor="text1"/>
        </w:rPr>
        <w:t xml:space="preserve"> how the general assistance man</w:t>
      </w:r>
      <w:r w:rsidR="0054471F" w:rsidRPr="00926216">
        <w:rPr>
          <w:rFonts w:ascii="Times" w:hAnsi="Times"/>
          <w:color w:val="000000" w:themeColor="text1"/>
        </w:rPr>
        <w:t>d</w:t>
      </w:r>
      <w:r w:rsidR="005D7267" w:rsidRPr="00926216">
        <w:rPr>
          <w:rFonts w:ascii="Times" w:hAnsi="Times"/>
          <w:color w:val="000000" w:themeColor="text1"/>
        </w:rPr>
        <w:t xml:space="preserve">ate </w:t>
      </w:r>
      <w:r w:rsidR="00C222FE" w:rsidRPr="00926216">
        <w:rPr>
          <w:rFonts w:ascii="Times" w:hAnsi="Times"/>
          <w:color w:val="000000" w:themeColor="text1"/>
        </w:rPr>
        <w:t xml:space="preserve">actually </w:t>
      </w:r>
      <w:r w:rsidR="005D7267" w:rsidRPr="00926216">
        <w:rPr>
          <w:rFonts w:ascii="Times" w:hAnsi="Times"/>
          <w:color w:val="000000" w:themeColor="text1"/>
        </w:rPr>
        <w:t>works</w:t>
      </w:r>
      <w:r w:rsidR="00C222FE" w:rsidRPr="00926216">
        <w:rPr>
          <w:rFonts w:ascii="Times" w:hAnsi="Times"/>
          <w:color w:val="000000" w:themeColor="text1"/>
        </w:rPr>
        <w:t>, what its weaknesses are</w:t>
      </w:r>
      <w:r w:rsidR="0054471F" w:rsidRPr="00926216">
        <w:rPr>
          <w:rFonts w:ascii="Times" w:hAnsi="Times"/>
          <w:color w:val="000000" w:themeColor="text1"/>
        </w:rPr>
        <w:t xml:space="preserve"> and what </w:t>
      </w:r>
      <w:r w:rsidR="00CD0ADD" w:rsidRPr="00926216">
        <w:rPr>
          <w:rFonts w:ascii="Times" w:hAnsi="Times"/>
          <w:color w:val="000000" w:themeColor="text1"/>
        </w:rPr>
        <w:t>impact</w:t>
      </w:r>
      <w:r w:rsidR="0054471F" w:rsidRPr="00926216">
        <w:rPr>
          <w:rFonts w:ascii="Times" w:hAnsi="Times"/>
          <w:color w:val="000000" w:themeColor="text1"/>
        </w:rPr>
        <w:t xml:space="preserve"> it </w:t>
      </w:r>
      <w:r w:rsidR="00BB11D8" w:rsidRPr="00926216">
        <w:rPr>
          <w:rFonts w:ascii="Times" w:hAnsi="Times"/>
          <w:color w:val="000000" w:themeColor="text1"/>
        </w:rPr>
        <w:t>might have</w:t>
      </w:r>
      <w:r w:rsidR="0054471F" w:rsidRPr="00926216">
        <w:rPr>
          <w:rFonts w:ascii="Times" w:hAnsi="Times"/>
          <w:color w:val="000000" w:themeColor="text1"/>
        </w:rPr>
        <w:t xml:space="preserve"> on the Court in general.</w:t>
      </w:r>
      <w:r w:rsidR="00703247" w:rsidRPr="00926216">
        <w:rPr>
          <w:rFonts w:ascii="Times" w:hAnsi="Times"/>
          <w:color w:val="000000" w:themeColor="text1"/>
        </w:rPr>
        <w:t xml:space="preserve"> </w:t>
      </w:r>
      <w:r w:rsidR="00A83E02" w:rsidRPr="00926216">
        <w:rPr>
          <w:rFonts w:ascii="Times" w:hAnsi="Times"/>
          <w:color w:val="000000" w:themeColor="text1"/>
        </w:rPr>
        <w:t xml:space="preserve">It will illustrate how the general assistance mandate is draining the already scarce resources while the Trust Fund is unable to raise </w:t>
      </w:r>
      <w:proofErr w:type="gramStart"/>
      <w:r w:rsidR="00A83E02" w:rsidRPr="00926216">
        <w:rPr>
          <w:rFonts w:ascii="Times" w:hAnsi="Times"/>
          <w:color w:val="000000" w:themeColor="text1"/>
        </w:rPr>
        <w:t>sufficient</w:t>
      </w:r>
      <w:proofErr w:type="gramEnd"/>
      <w:r w:rsidR="00A83E02" w:rsidRPr="00926216">
        <w:rPr>
          <w:rFonts w:ascii="Times" w:hAnsi="Times"/>
          <w:color w:val="000000" w:themeColor="text1"/>
        </w:rPr>
        <w:t xml:space="preserve"> funds. </w:t>
      </w:r>
      <w:r w:rsidR="00C222FE" w:rsidRPr="00926216">
        <w:rPr>
          <w:rFonts w:ascii="Times" w:hAnsi="Times"/>
          <w:color w:val="000000" w:themeColor="text1"/>
        </w:rPr>
        <w:t>It</w:t>
      </w:r>
      <w:r w:rsidR="00CD0ADD" w:rsidRPr="00926216">
        <w:rPr>
          <w:rFonts w:ascii="Times" w:hAnsi="Times"/>
          <w:color w:val="000000" w:themeColor="text1"/>
        </w:rPr>
        <w:t xml:space="preserve"> will </w:t>
      </w:r>
      <w:r w:rsidR="00A83E02" w:rsidRPr="00926216">
        <w:rPr>
          <w:rFonts w:ascii="Times" w:hAnsi="Times"/>
          <w:color w:val="000000" w:themeColor="text1"/>
        </w:rPr>
        <w:t xml:space="preserve">further </w:t>
      </w:r>
      <w:r w:rsidR="00CD0ADD" w:rsidRPr="00926216">
        <w:rPr>
          <w:rFonts w:ascii="Times" w:hAnsi="Times"/>
          <w:color w:val="000000" w:themeColor="text1"/>
        </w:rPr>
        <w:t>demonstrat</w:t>
      </w:r>
      <w:r w:rsidR="008A74AD" w:rsidRPr="00926216">
        <w:rPr>
          <w:rFonts w:ascii="Times" w:hAnsi="Times"/>
          <w:color w:val="000000" w:themeColor="text1"/>
        </w:rPr>
        <w:t>e</w:t>
      </w:r>
      <w:r w:rsidR="00CD0ADD" w:rsidRPr="00926216">
        <w:rPr>
          <w:rFonts w:ascii="Times" w:hAnsi="Times"/>
          <w:color w:val="000000" w:themeColor="text1"/>
        </w:rPr>
        <w:t xml:space="preserve"> how the general assistance mandate directly weakens the legitimacy of the ICC as it undermines the presumption of innocence, </w:t>
      </w:r>
      <w:r w:rsidR="00941070" w:rsidRPr="00926216">
        <w:rPr>
          <w:rFonts w:ascii="Times" w:hAnsi="Times"/>
          <w:color w:val="000000" w:themeColor="text1"/>
        </w:rPr>
        <w:t>could have</w:t>
      </w:r>
      <w:r w:rsidR="00CD0ADD" w:rsidRPr="00926216">
        <w:rPr>
          <w:rFonts w:ascii="Times" w:hAnsi="Times"/>
          <w:color w:val="000000" w:themeColor="text1"/>
        </w:rPr>
        <w:t xml:space="preserve"> a </w:t>
      </w:r>
      <w:r w:rsidR="00941070" w:rsidRPr="00926216">
        <w:rPr>
          <w:rFonts w:ascii="Times" w:hAnsi="Times"/>
          <w:color w:val="000000" w:themeColor="text1"/>
        </w:rPr>
        <w:t xml:space="preserve">substantial </w:t>
      </w:r>
      <w:r w:rsidR="00CD0ADD" w:rsidRPr="00926216">
        <w:rPr>
          <w:rFonts w:ascii="Times" w:hAnsi="Times"/>
          <w:color w:val="000000" w:themeColor="text1"/>
        </w:rPr>
        <w:t>negative impact on both international and national Court proceedings and last but not least mask the weaknesses of the ICC</w:t>
      </w:r>
      <w:r w:rsidR="0054471F" w:rsidRPr="00926216">
        <w:rPr>
          <w:rFonts w:ascii="Times" w:hAnsi="Times"/>
          <w:color w:val="000000" w:themeColor="text1"/>
        </w:rPr>
        <w:t>.</w:t>
      </w:r>
      <w:r w:rsidR="0007127B" w:rsidRPr="00926216">
        <w:rPr>
          <w:rFonts w:ascii="Times" w:hAnsi="Times"/>
          <w:color w:val="000000" w:themeColor="text1"/>
        </w:rPr>
        <w:t xml:space="preserve"> </w:t>
      </w:r>
      <w:r w:rsidR="00C222FE" w:rsidRPr="00926216">
        <w:rPr>
          <w:rFonts w:ascii="Times" w:hAnsi="Times"/>
          <w:color w:val="000000" w:themeColor="text1"/>
        </w:rPr>
        <w:t>This paper</w:t>
      </w:r>
      <w:r w:rsidR="0054471F" w:rsidRPr="00926216">
        <w:rPr>
          <w:rFonts w:ascii="Times" w:hAnsi="Times"/>
          <w:color w:val="000000" w:themeColor="text1"/>
        </w:rPr>
        <w:t xml:space="preserve"> </w:t>
      </w:r>
      <w:r w:rsidR="00807872" w:rsidRPr="00926216">
        <w:rPr>
          <w:rFonts w:ascii="Times" w:hAnsi="Times"/>
          <w:color w:val="000000" w:themeColor="text1"/>
        </w:rPr>
        <w:t xml:space="preserve">therefore </w:t>
      </w:r>
      <w:r w:rsidR="0054471F" w:rsidRPr="00926216">
        <w:rPr>
          <w:rFonts w:ascii="Times" w:hAnsi="Times"/>
          <w:color w:val="000000" w:themeColor="text1"/>
        </w:rPr>
        <w:t>argue</w:t>
      </w:r>
      <w:r w:rsidR="00C222FE" w:rsidRPr="00926216">
        <w:rPr>
          <w:rFonts w:ascii="Times" w:hAnsi="Times"/>
          <w:color w:val="000000" w:themeColor="text1"/>
        </w:rPr>
        <w:t>s</w:t>
      </w:r>
      <w:r w:rsidR="0054471F" w:rsidRPr="00926216">
        <w:rPr>
          <w:rFonts w:ascii="Times" w:hAnsi="Times"/>
          <w:color w:val="000000" w:themeColor="text1"/>
        </w:rPr>
        <w:t xml:space="preserve"> </w:t>
      </w:r>
      <w:r w:rsidR="0007127B" w:rsidRPr="00926216">
        <w:rPr>
          <w:rFonts w:ascii="Times" w:hAnsi="Times"/>
          <w:color w:val="000000" w:themeColor="text1"/>
        </w:rPr>
        <w:t xml:space="preserve">that </w:t>
      </w:r>
      <w:r w:rsidR="00E076C6" w:rsidRPr="00926216">
        <w:rPr>
          <w:rFonts w:ascii="Times" w:hAnsi="Times"/>
          <w:color w:val="000000" w:themeColor="text1"/>
        </w:rPr>
        <w:t>general assistance has no place in an international criminal cou</w:t>
      </w:r>
      <w:r w:rsidR="00BD72EB" w:rsidRPr="00926216">
        <w:rPr>
          <w:rFonts w:ascii="Times" w:hAnsi="Times"/>
          <w:color w:val="000000" w:themeColor="text1"/>
        </w:rPr>
        <w:t>r</w:t>
      </w:r>
      <w:r w:rsidR="00E076C6" w:rsidRPr="00926216">
        <w:rPr>
          <w:rFonts w:ascii="Times" w:hAnsi="Times"/>
          <w:color w:val="000000" w:themeColor="text1"/>
        </w:rPr>
        <w:t xml:space="preserve">t </w:t>
      </w:r>
      <w:r w:rsidR="006F722C" w:rsidRPr="00926216">
        <w:rPr>
          <w:rFonts w:ascii="Times" w:hAnsi="Times"/>
          <w:color w:val="000000" w:themeColor="text1"/>
        </w:rPr>
        <w:t xml:space="preserve">and </w:t>
      </w:r>
      <w:r w:rsidR="00E076C6" w:rsidRPr="00926216">
        <w:rPr>
          <w:rFonts w:ascii="Times" w:hAnsi="Times"/>
          <w:color w:val="000000" w:themeColor="text1"/>
        </w:rPr>
        <w:t xml:space="preserve">should </w:t>
      </w:r>
      <w:r w:rsidR="006F722C" w:rsidRPr="00926216">
        <w:rPr>
          <w:rFonts w:ascii="Times" w:hAnsi="Times"/>
          <w:color w:val="000000" w:themeColor="text1"/>
        </w:rPr>
        <w:t xml:space="preserve">therefore </w:t>
      </w:r>
      <w:r w:rsidR="00E076C6" w:rsidRPr="00926216">
        <w:rPr>
          <w:rFonts w:ascii="Times" w:hAnsi="Times"/>
          <w:color w:val="000000" w:themeColor="text1"/>
        </w:rPr>
        <w:t>be completely separated from the ICC</w:t>
      </w:r>
      <w:r w:rsidR="005D7267" w:rsidRPr="00926216">
        <w:rPr>
          <w:rFonts w:ascii="Times" w:hAnsi="Times"/>
          <w:color w:val="000000" w:themeColor="text1"/>
        </w:rPr>
        <w:t>.</w:t>
      </w:r>
    </w:p>
    <w:p w14:paraId="20AD9A6D" w14:textId="7900656C" w:rsidR="00E74E7C" w:rsidRPr="00F6464A" w:rsidRDefault="00E74E7C" w:rsidP="00D429DF">
      <w:pPr>
        <w:pStyle w:val="Heading1"/>
        <w:numPr>
          <w:ilvl w:val="0"/>
          <w:numId w:val="48"/>
        </w:numPr>
        <w:spacing w:before="100" w:beforeAutospacing="1" w:after="100" w:afterAutospacing="1" w:line="240" w:lineRule="auto"/>
        <w:contextualSpacing/>
      </w:pPr>
      <w:r w:rsidRPr="00AC7010">
        <w:rPr>
          <w:sz w:val="24"/>
        </w:rPr>
        <w:t>The Reparation Gap</w:t>
      </w:r>
    </w:p>
    <w:p w14:paraId="0A056E53" w14:textId="04DD94F6" w:rsidR="0025722A" w:rsidRPr="00926216" w:rsidRDefault="00635A20" w:rsidP="00D429DF">
      <w:pPr>
        <w:autoSpaceDE w:val="0"/>
        <w:autoSpaceDN w:val="0"/>
        <w:adjustRightInd w:val="0"/>
        <w:spacing w:before="100" w:beforeAutospacing="1" w:after="100" w:afterAutospacing="1"/>
        <w:contextualSpacing/>
        <w:rPr>
          <w:rFonts w:ascii="Times" w:hAnsi="Times"/>
        </w:rPr>
      </w:pPr>
      <w:r w:rsidRPr="00926216">
        <w:rPr>
          <w:rFonts w:ascii="Times" w:hAnsi="Times"/>
          <w:color w:val="000000"/>
        </w:rPr>
        <w:t>At the Rome Conference, t</w:t>
      </w:r>
      <w:r w:rsidR="00FA785B" w:rsidRPr="00926216">
        <w:rPr>
          <w:rFonts w:ascii="Times" w:hAnsi="Times"/>
          <w:color w:val="000000"/>
        </w:rPr>
        <w:t xml:space="preserve">he negotiating parties were all too aware of the shortfalls of the UN </w:t>
      </w:r>
      <w:r w:rsidR="00FA785B" w:rsidRPr="00926216">
        <w:rPr>
          <w:rFonts w:ascii="Times" w:hAnsi="Times"/>
          <w:i/>
          <w:color w:val="000000"/>
        </w:rPr>
        <w:t>ad hoc</w:t>
      </w:r>
      <w:r w:rsidR="00FA785B" w:rsidRPr="00926216">
        <w:rPr>
          <w:rFonts w:ascii="Times" w:hAnsi="Times"/>
          <w:color w:val="000000"/>
        </w:rPr>
        <w:t xml:space="preserve"> </w:t>
      </w:r>
      <w:r w:rsidR="00A62D29" w:rsidRPr="00926216">
        <w:rPr>
          <w:rFonts w:ascii="Times" w:hAnsi="Times"/>
          <w:color w:val="000000"/>
        </w:rPr>
        <w:t xml:space="preserve">criminal </w:t>
      </w:r>
      <w:r w:rsidR="00FA785B" w:rsidRPr="00926216">
        <w:rPr>
          <w:rFonts w:ascii="Times" w:hAnsi="Times"/>
          <w:color w:val="000000"/>
        </w:rPr>
        <w:t xml:space="preserve">tribunals </w:t>
      </w:r>
      <w:r w:rsidR="005117FA" w:rsidRPr="00926216">
        <w:rPr>
          <w:rFonts w:ascii="Times" w:hAnsi="Times"/>
          <w:color w:val="000000"/>
        </w:rPr>
        <w:t xml:space="preserve">which </w:t>
      </w:r>
      <w:r w:rsidR="00FA785B" w:rsidRPr="00926216">
        <w:rPr>
          <w:rFonts w:ascii="Times" w:hAnsi="Times"/>
          <w:color w:val="000000"/>
        </w:rPr>
        <w:t>did not provide any concrete help to victims.</w:t>
      </w:r>
      <w:r w:rsidR="00FA785B" w:rsidRPr="00926216">
        <w:rPr>
          <w:rStyle w:val="FootnoteReference"/>
          <w:rFonts w:ascii="Times" w:hAnsi="Times"/>
          <w:color w:val="000000"/>
        </w:rPr>
        <w:footnoteReference w:id="9"/>
      </w:r>
      <w:r w:rsidR="00E0458A">
        <w:rPr>
          <w:rFonts w:ascii="Times" w:hAnsi="Times"/>
          <w:color w:val="000000"/>
        </w:rPr>
        <w:t xml:space="preserve"> </w:t>
      </w:r>
      <w:r w:rsidR="00FA785B" w:rsidRPr="00926216">
        <w:rPr>
          <w:rFonts w:ascii="Times" w:hAnsi="Times"/>
          <w:color w:val="000000"/>
        </w:rPr>
        <w:t>Consequently, t</w:t>
      </w:r>
      <w:r w:rsidR="00FA785B" w:rsidRPr="00926216">
        <w:rPr>
          <w:rFonts w:ascii="Times" w:hAnsi="Times"/>
        </w:rPr>
        <w:t>he Rome Statute introduced a completely new regime of victim redress,</w:t>
      </w:r>
      <w:r w:rsidR="00FA785B" w:rsidRPr="00926216">
        <w:rPr>
          <w:rStyle w:val="FootnoteReference"/>
          <w:rFonts w:ascii="Times" w:hAnsi="Times"/>
        </w:rPr>
        <w:footnoteReference w:id="10"/>
      </w:r>
      <w:r w:rsidR="00FA785B" w:rsidRPr="00926216">
        <w:rPr>
          <w:rFonts w:ascii="Times" w:hAnsi="Times"/>
        </w:rPr>
        <w:t xml:space="preserve"> including the Court’s power to make direct reparation awards (even without an application by victims) and </w:t>
      </w:r>
      <w:r w:rsidR="00D127FC" w:rsidRPr="00926216">
        <w:rPr>
          <w:rFonts w:ascii="Times" w:hAnsi="Times"/>
        </w:rPr>
        <w:t xml:space="preserve">the establishment of </w:t>
      </w:r>
      <w:r w:rsidR="00A62D29" w:rsidRPr="00926216">
        <w:rPr>
          <w:rFonts w:ascii="Times" w:hAnsi="Times"/>
        </w:rPr>
        <w:t>a t</w:t>
      </w:r>
      <w:r w:rsidR="00FA785B" w:rsidRPr="00926216">
        <w:rPr>
          <w:rFonts w:ascii="Times" w:hAnsi="Times"/>
        </w:rPr>
        <w:t xml:space="preserve">rust </w:t>
      </w:r>
      <w:r w:rsidR="00A62D29" w:rsidRPr="00926216">
        <w:rPr>
          <w:rFonts w:ascii="Times" w:hAnsi="Times"/>
        </w:rPr>
        <w:t>f</w:t>
      </w:r>
      <w:r w:rsidR="00FA785B" w:rsidRPr="00926216">
        <w:rPr>
          <w:rFonts w:ascii="Times" w:hAnsi="Times"/>
        </w:rPr>
        <w:t xml:space="preserve">und for victims. </w:t>
      </w:r>
      <w:r w:rsidR="00BB1AE0" w:rsidRPr="00926216">
        <w:rPr>
          <w:rFonts w:ascii="Times" w:hAnsi="Times"/>
        </w:rPr>
        <w:t xml:space="preserve">Unfortunately, the </w:t>
      </w:r>
      <w:r w:rsidR="00A17909" w:rsidRPr="00926216">
        <w:rPr>
          <w:rFonts w:ascii="Times" w:hAnsi="Times"/>
        </w:rPr>
        <w:t xml:space="preserve">ICC </w:t>
      </w:r>
      <w:r w:rsidR="00BB1AE0" w:rsidRPr="00926216">
        <w:rPr>
          <w:rFonts w:ascii="Times" w:hAnsi="Times"/>
        </w:rPr>
        <w:t xml:space="preserve">reparation scheme suffers from </w:t>
      </w:r>
      <w:proofErr w:type="gramStart"/>
      <w:r w:rsidRPr="00926216">
        <w:rPr>
          <w:rFonts w:ascii="Times" w:hAnsi="Times"/>
        </w:rPr>
        <w:t>a number of</w:t>
      </w:r>
      <w:proofErr w:type="gramEnd"/>
      <w:r w:rsidR="00BB1AE0" w:rsidRPr="00926216">
        <w:rPr>
          <w:rFonts w:ascii="Times" w:hAnsi="Times"/>
        </w:rPr>
        <w:t xml:space="preserve"> </w:t>
      </w:r>
      <w:r w:rsidR="00903D58" w:rsidRPr="00926216">
        <w:rPr>
          <w:rFonts w:ascii="Times" w:hAnsi="Times"/>
        </w:rPr>
        <w:t>problems, which</w:t>
      </w:r>
      <w:r w:rsidR="00BB1AE0" w:rsidRPr="00926216">
        <w:rPr>
          <w:rFonts w:ascii="Times" w:hAnsi="Times"/>
        </w:rPr>
        <w:t xml:space="preserve"> accumulate to </w:t>
      </w:r>
      <w:r w:rsidR="0009236A" w:rsidRPr="00926216">
        <w:rPr>
          <w:rFonts w:ascii="Times" w:hAnsi="Times"/>
        </w:rPr>
        <w:t xml:space="preserve">such </w:t>
      </w:r>
      <w:r w:rsidR="0006440B" w:rsidRPr="00926216">
        <w:rPr>
          <w:rFonts w:ascii="Times" w:hAnsi="Times"/>
        </w:rPr>
        <w:t>a wide</w:t>
      </w:r>
      <w:r w:rsidR="006628EF" w:rsidRPr="00926216">
        <w:rPr>
          <w:rFonts w:ascii="Times" w:hAnsi="Times"/>
        </w:rPr>
        <w:t xml:space="preserve"> </w:t>
      </w:r>
      <w:r w:rsidR="006628EF" w:rsidRPr="00926216">
        <w:rPr>
          <w:rFonts w:ascii="Times" w:hAnsi="Times"/>
          <w:color w:val="000000" w:themeColor="text1"/>
        </w:rPr>
        <w:t>reparation gap</w:t>
      </w:r>
      <w:r w:rsidR="002629EF" w:rsidRPr="00926216">
        <w:rPr>
          <w:rFonts w:ascii="Times" w:hAnsi="Times"/>
          <w:color w:val="000000" w:themeColor="text1"/>
        </w:rPr>
        <w:t xml:space="preserve"> </w:t>
      </w:r>
      <w:r w:rsidR="002629EF" w:rsidRPr="00926216">
        <w:rPr>
          <w:rFonts w:ascii="Times" w:hAnsi="Times"/>
        </w:rPr>
        <w:t xml:space="preserve">that only a handful of sufferers will </w:t>
      </w:r>
      <w:r w:rsidR="001A4C40" w:rsidRPr="00926216">
        <w:rPr>
          <w:rFonts w:ascii="Times" w:hAnsi="Times"/>
        </w:rPr>
        <w:t xml:space="preserve">ever </w:t>
      </w:r>
      <w:r w:rsidR="0009236A" w:rsidRPr="00926216">
        <w:rPr>
          <w:rFonts w:ascii="Times" w:hAnsi="Times"/>
        </w:rPr>
        <w:t xml:space="preserve">be able to </w:t>
      </w:r>
      <w:r w:rsidR="002629EF" w:rsidRPr="00926216">
        <w:rPr>
          <w:rFonts w:ascii="Times" w:hAnsi="Times"/>
        </w:rPr>
        <w:t>benefit from reparation awards.</w:t>
      </w:r>
    </w:p>
    <w:p w14:paraId="0F334723" w14:textId="63F12BF7" w:rsidR="00647D48" w:rsidRPr="00926216" w:rsidRDefault="00DD4279" w:rsidP="00D429DF">
      <w:pPr>
        <w:spacing w:before="100" w:beforeAutospacing="1" w:after="100" w:afterAutospacing="1"/>
        <w:contextualSpacing/>
        <w:rPr>
          <w:rFonts w:ascii="Times" w:hAnsi="Times"/>
        </w:rPr>
      </w:pPr>
      <w:r w:rsidRPr="00926216">
        <w:rPr>
          <w:rFonts w:ascii="Times" w:hAnsi="Times"/>
        </w:rPr>
        <w:t>First</w:t>
      </w:r>
      <w:r w:rsidR="00F5498B" w:rsidRPr="00926216">
        <w:rPr>
          <w:rFonts w:ascii="Times" w:hAnsi="Times"/>
        </w:rPr>
        <w:t xml:space="preserve">, the number </w:t>
      </w:r>
      <w:r w:rsidR="00BA0EA7">
        <w:rPr>
          <w:rFonts w:ascii="Times" w:hAnsi="Times"/>
        </w:rPr>
        <w:t xml:space="preserve">of </w:t>
      </w:r>
      <w:r w:rsidR="00F5498B" w:rsidRPr="00926216">
        <w:rPr>
          <w:rFonts w:ascii="Times" w:hAnsi="Times"/>
        </w:rPr>
        <w:t xml:space="preserve">victims eligible for a reparation award is </w:t>
      </w:r>
      <w:r w:rsidR="00F22918" w:rsidRPr="00926216">
        <w:rPr>
          <w:rFonts w:ascii="Times" w:hAnsi="Times"/>
        </w:rPr>
        <w:t>extremely</w:t>
      </w:r>
      <w:r w:rsidR="00F5498B" w:rsidRPr="00926216">
        <w:rPr>
          <w:rFonts w:ascii="Times" w:hAnsi="Times"/>
        </w:rPr>
        <w:t xml:space="preserve"> limited. </w:t>
      </w:r>
      <w:r w:rsidR="00D6381B" w:rsidRPr="00926216">
        <w:rPr>
          <w:rFonts w:ascii="Times" w:hAnsi="Times"/>
        </w:rPr>
        <w:t xml:space="preserve">Besides the fact that </w:t>
      </w:r>
      <w:r w:rsidR="000D74E5" w:rsidRPr="00926216">
        <w:rPr>
          <w:rFonts w:ascii="Times" w:hAnsi="Times"/>
        </w:rPr>
        <w:t xml:space="preserve">only a minority </w:t>
      </w:r>
      <w:r w:rsidR="00D6381B" w:rsidRPr="00926216">
        <w:rPr>
          <w:rFonts w:ascii="Times" w:hAnsi="Times"/>
        </w:rPr>
        <w:t xml:space="preserve">of armed conflicts are investigated by the ICC, even in </w:t>
      </w:r>
      <w:r w:rsidR="000B2661" w:rsidRPr="00926216">
        <w:rPr>
          <w:rFonts w:ascii="Times" w:hAnsi="Times"/>
        </w:rPr>
        <w:t>a conflict</w:t>
      </w:r>
      <w:r w:rsidR="005250A1" w:rsidRPr="00926216">
        <w:rPr>
          <w:rFonts w:ascii="Times" w:hAnsi="Times"/>
        </w:rPr>
        <w:t xml:space="preserve"> </w:t>
      </w:r>
      <w:r w:rsidR="00F74BCD" w:rsidRPr="00926216">
        <w:rPr>
          <w:rFonts w:ascii="Times" w:hAnsi="Times"/>
        </w:rPr>
        <w:t>selected</w:t>
      </w:r>
      <w:r w:rsidR="005250A1" w:rsidRPr="00926216">
        <w:rPr>
          <w:rFonts w:ascii="Times" w:hAnsi="Times"/>
        </w:rPr>
        <w:t xml:space="preserve"> by</w:t>
      </w:r>
      <w:r w:rsidR="00D6381B" w:rsidRPr="00926216">
        <w:rPr>
          <w:rFonts w:ascii="Times" w:hAnsi="Times"/>
        </w:rPr>
        <w:t xml:space="preserve"> the Court, specific atrocities might not be </w:t>
      </w:r>
      <w:r w:rsidR="000D74E5" w:rsidRPr="00926216">
        <w:rPr>
          <w:rFonts w:ascii="Times" w:hAnsi="Times"/>
        </w:rPr>
        <w:t>included</w:t>
      </w:r>
      <w:r w:rsidR="00D6381B" w:rsidRPr="00926216">
        <w:rPr>
          <w:rFonts w:ascii="Times" w:hAnsi="Times"/>
        </w:rPr>
        <w:t>. For ex</w:t>
      </w:r>
      <w:r w:rsidR="005250A1" w:rsidRPr="00926216">
        <w:rPr>
          <w:rFonts w:ascii="Times" w:hAnsi="Times"/>
        </w:rPr>
        <w:t xml:space="preserve">ample, the </w:t>
      </w:r>
      <w:proofErr w:type="spellStart"/>
      <w:r w:rsidR="005250A1" w:rsidRPr="00926216">
        <w:rPr>
          <w:rFonts w:ascii="Times" w:hAnsi="Times"/>
        </w:rPr>
        <w:t>Ongwen</w:t>
      </w:r>
      <w:proofErr w:type="spellEnd"/>
      <w:r w:rsidR="005250A1" w:rsidRPr="00926216">
        <w:rPr>
          <w:rFonts w:ascii="Times" w:hAnsi="Times"/>
        </w:rPr>
        <w:t xml:space="preserve"> </w:t>
      </w:r>
      <w:r w:rsidR="005250A1" w:rsidRPr="00926216">
        <w:rPr>
          <w:rFonts w:ascii="Times" w:hAnsi="Times"/>
        </w:rPr>
        <w:lastRenderedPageBreak/>
        <w:t>investigation</w:t>
      </w:r>
      <w:r w:rsidR="00D6381B" w:rsidRPr="00926216">
        <w:rPr>
          <w:rFonts w:ascii="Times" w:hAnsi="Times"/>
        </w:rPr>
        <w:t xml:space="preserve"> is limited to four case locations in </w:t>
      </w:r>
      <w:r w:rsidR="005250A1" w:rsidRPr="00926216">
        <w:rPr>
          <w:rFonts w:ascii="Times" w:hAnsi="Times"/>
        </w:rPr>
        <w:t>n</w:t>
      </w:r>
      <w:r w:rsidR="00D6381B" w:rsidRPr="00926216">
        <w:rPr>
          <w:rFonts w:ascii="Times" w:hAnsi="Times"/>
        </w:rPr>
        <w:t>orther</w:t>
      </w:r>
      <w:r w:rsidR="005250A1" w:rsidRPr="00926216">
        <w:rPr>
          <w:rFonts w:ascii="Times" w:hAnsi="Times"/>
        </w:rPr>
        <w:t>n</w:t>
      </w:r>
      <w:r w:rsidR="00D6381B" w:rsidRPr="00926216">
        <w:rPr>
          <w:rFonts w:ascii="Times" w:hAnsi="Times"/>
        </w:rPr>
        <w:t xml:space="preserve"> Uganda, </w:t>
      </w:r>
      <w:r w:rsidR="003C6008" w:rsidRPr="00926216">
        <w:rPr>
          <w:rFonts w:ascii="Times" w:hAnsi="Times"/>
        </w:rPr>
        <w:t xml:space="preserve">thereby </w:t>
      </w:r>
      <w:r w:rsidR="00D6381B" w:rsidRPr="00926216">
        <w:rPr>
          <w:rFonts w:ascii="Times" w:hAnsi="Times"/>
        </w:rPr>
        <w:t xml:space="preserve">excluding </w:t>
      </w:r>
      <w:r w:rsidR="00167D2C" w:rsidRPr="00926216">
        <w:rPr>
          <w:rFonts w:ascii="Times" w:hAnsi="Times"/>
        </w:rPr>
        <w:t>all</w:t>
      </w:r>
      <w:r w:rsidR="00D6381B" w:rsidRPr="00926216">
        <w:rPr>
          <w:rFonts w:ascii="Times" w:hAnsi="Times"/>
        </w:rPr>
        <w:t xml:space="preserve"> LRA </w:t>
      </w:r>
      <w:r w:rsidR="00D6381B" w:rsidRPr="000A29C3">
        <w:t xml:space="preserve">attacks in the </w:t>
      </w:r>
      <w:proofErr w:type="spellStart"/>
      <w:r w:rsidR="00D6381B" w:rsidRPr="000A29C3">
        <w:t>Teso</w:t>
      </w:r>
      <w:proofErr w:type="spellEnd"/>
      <w:r w:rsidR="00D6381B" w:rsidRPr="000A29C3">
        <w:t xml:space="preserve"> region. </w:t>
      </w:r>
      <w:r w:rsidR="00611E94" w:rsidRPr="000A29C3">
        <w:t>Furthermore, the ICC charges very few defendants in each situation</w:t>
      </w:r>
      <w:r w:rsidR="006132F5" w:rsidRPr="000A29C3">
        <w:t xml:space="preserve"> </w:t>
      </w:r>
      <w:r w:rsidR="00635A20" w:rsidRPr="000A29C3">
        <w:t xml:space="preserve">and many </w:t>
      </w:r>
      <w:r w:rsidR="009E77A1" w:rsidRPr="000A29C3">
        <w:t xml:space="preserve">of the </w:t>
      </w:r>
      <w:r w:rsidR="00635A20" w:rsidRPr="000A29C3">
        <w:t xml:space="preserve">crimes they are accused of are </w:t>
      </w:r>
      <w:r w:rsidR="00922EA9" w:rsidRPr="000A29C3">
        <w:t>left out of</w:t>
      </w:r>
      <w:r w:rsidR="00635A20" w:rsidRPr="000A29C3">
        <w:t xml:space="preserve"> the indictment</w:t>
      </w:r>
      <w:r w:rsidR="00611E94" w:rsidRPr="000A29C3">
        <w:t xml:space="preserve">. </w:t>
      </w:r>
      <w:r w:rsidR="00892954" w:rsidRPr="000A29C3">
        <w:t xml:space="preserve">For example, despite of the many crimes Thomas Lubanga </w:t>
      </w:r>
      <w:proofErr w:type="spellStart"/>
      <w:r w:rsidR="00892954" w:rsidRPr="000A29C3">
        <w:rPr>
          <w:color w:val="000000" w:themeColor="text1"/>
        </w:rPr>
        <w:t>Dyilo</w:t>
      </w:r>
      <w:proofErr w:type="spellEnd"/>
      <w:r w:rsidR="00892954" w:rsidRPr="000A29C3">
        <w:rPr>
          <w:color w:val="000000" w:themeColor="text1"/>
        </w:rPr>
        <w:t xml:space="preserve"> </w:t>
      </w:r>
      <w:r w:rsidR="00892954" w:rsidRPr="000A29C3">
        <w:t xml:space="preserve">is allegedly responsible for, only the </w:t>
      </w:r>
      <w:r w:rsidR="00892954" w:rsidRPr="00892954">
        <w:rPr>
          <w:color w:val="000000" w:themeColor="text1"/>
          <w:shd w:val="clear" w:color="auto" w:fill="FFFFFF"/>
        </w:rPr>
        <w:t xml:space="preserve">enlisting and conscripting </w:t>
      </w:r>
      <w:r w:rsidR="00892954" w:rsidRPr="000A29C3">
        <w:t>of child soldiers were included in his indictment.</w:t>
      </w:r>
      <w:r w:rsidR="00892954" w:rsidRPr="000A29C3">
        <w:rPr>
          <w:rStyle w:val="FootnoteReference"/>
        </w:rPr>
        <w:footnoteReference w:id="11"/>
      </w:r>
      <w:r w:rsidR="00892954" w:rsidRPr="000A29C3">
        <w:t xml:space="preserve"> T</w:t>
      </w:r>
      <w:r w:rsidR="00812538" w:rsidRPr="000A29C3">
        <w:t>he Appeal Chamber famously rejected the victims’ application to add new charges of sexual slavery and cruel and inhuman treatment in spite of the fact that there were ample indications that sexual violence was widespread among female child soldiers and was often the main aim of their recruitment.</w:t>
      </w:r>
      <w:r w:rsidR="00812538" w:rsidRPr="000A29C3">
        <w:rPr>
          <w:rStyle w:val="FootnoteReference"/>
        </w:rPr>
        <w:footnoteReference w:id="12"/>
      </w:r>
      <w:r w:rsidR="0066292F">
        <w:t xml:space="preserve"> </w:t>
      </w:r>
      <w:r w:rsidR="00C224B7" w:rsidRPr="000A29C3">
        <w:t>Thus, the numerous victims of sexual violence who were not child soldiers, are ineligible for any reparation award.</w:t>
      </w:r>
      <w:r w:rsidR="00C224B7" w:rsidRPr="000A29C3">
        <w:rPr>
          <w:rStyle w:val="FootnoteReference"/>
        </w:rPr>
        <w:footnoteReference w:id="13"/>
      </w:r>
      <w:r w:rsidR="00BA66DD">
        <w:rPr>
          <w:rFonts w:ascii="Times" w:hAnsi="Times"/>
        </w:rPr>
        <w:t xml:space="preserve"> </w:t>
      </w:r>
      <w:r w:rsidR="00C224B7" w:rsidRPr="00926216">
        <w:rPr>
          <w:rFonts w:ascii="Times" w:hAnsi="Times"/>
        </w:rPr>
        <w:t>Furthermore, e</w:t>
      </w:r>
      <w:r w:rsidR="001424C0" w:rsidRPr="00926216">
        <w:rPr>
          <w:rFonts w:ascii="Times" w:hAnsi="Times"/>
        </w:rPr>
        <w:t xml:space="preserve">ven of those victims who are legally qualified, not all might be able to access the </w:t>
      </w:r>
      <w:r w:rsidR="00FB03A4" w:rsidRPr="00926216">
        <w:rPr>
          <w:rFonts w:ascii="Times" w:hAnsi="Times"/>
        </w:rPr>
        <w:t>ICC</w:t>
      </w:r>
      <w:r w:rsidR="0009236A" w:rsidRPr="00926216">
        <w:rPr>
          <w:rFonts w:ascii="Times" w:hAnsi="Times"/>
        </w:rPr>
        <w:t xml:space="preserve"> in practice</w:t>
      </w:r>
      <w:r w:rsidR="001424C0" w:rsidRPr="00926216">
        <w:rPr>
          <w:rFonts w:ascii="Times" w:hAnsi="Times"/>
        </w:rPr>
        <w:t xml:space="preserve">. </w:t>
      </w:r>
      <w:r w:rsidR="00D0653D" w:rsidRPr="00926216">
        <w:rPr>
          <w:rFonts w:ascii="Times" w:hAnsi="Times"/>
        </w:rPr>
        <w:t xml:space="preserve">Many victims </w:t>
      </w:r>
      <w:r w:rsidR="00635A20" w:rsidRPr="00926216">
        <w:rPr>
          <w:rFonts w:ascii="Times" w:hAnsi="Times"/>
        </w:rPr>
        <w:t xml:space="preserve">for instance, </w:t>
      </w:r>
      <w:r w:rsidR="003C6008" w:rsidRPr="00926216">
        <w:rPr>
          <w:rFonts w:ascii="Times" w:hAnsi="Times"/>
        </w:rPr>
        <w:t>do</w:t>
      </w:r>
      <w:r w:rsidR="00D0653D" w:rsidRPr="00926216">
        <w:rPr>
          <w:rFonts w:ascii="Times" w:hAnsi="Times"/>
        </w:rPr>
        <w:t xml:space="preserve"> not have the means to provide </w:t>
      </w:r>
      <w:r w:rsidR="00423343" w:rsidRPr="00926216">
        <w:rPr>
          <w:rFonts w:ascii="Times" w:hAnsi="Times"/>
        </w:rPr>
        <w:t>the necessary</w:t>
      </w:r>
      <w:r w:rsidR="00D0653D" w:rsidRPr="00926216">
        <w:rPr>
          <w:rFonts w:ascii="Times" w:hAnsi="Times"/>
        </w:rPr>
        <w:t xml:space="preserve"> evidence </w:t>
      </w:r>
      <w:r w:rsidR="00423343" w:rsidRPr="00926216">
        <w:rPr>
          <w:rFonts w:ascii="Times" w:hAnsi="Times"/>
        </w:rPr>
        <w:t>for</w:t>
      </w:r>
      <w:r w:rsidR="00D0653D" w:rsidRPr="00926216">
        <w:rPr>
          <w:rFonts w:ascii="Times" w:hAnsi="Times"/>
        </w:rPr>
        <w:t xml:space="preserve"> the harm they have suffered. </w:t>
      </w:r>
      <w:r w:rsidR="00632B47" w:rsidRPr="00926216">
        <w:t>This applies particularly to victims in rural areas who often have little access</w:t>
      </w:r>
      <w:r w:rsidR="00632B47" w:rsidRPr="00926216">
        <w:rPr>
          <w:rFonts w:ascii="Times" w:hAnsi="Times"/>
        </w:rPr>
        <w:t xml:space="preserve"> </w:t>
      </w:r>
      <w:r w:rsidR="00D0653D" w:rsidRPr="00926216">
        <w:rPr>
          <w:rFonts w:ascii="Times" w:hAnsi="Times"/>
        </w:rPr>
        <w:t xml:space="preserve">to medical care and </w:t>
      </w:r>
      <w:r w:rsidR="00F43094" w:rsidRPr="00926216">
        <w:rPr>
          <w:rFonts w:ascii="Times" w:hAnsi="Times"/>
        </w:rPr>
        <w:t>therefore</w:t>
      </w:r>
      <w:r w:rsidR="00D0653D" w:rsidRPr="00926216">
        <w:rPr>
          <w:rFonts w:ascii="Times" w:hAnsi="Times"/>
        </w:rPr>
        <w:t xml:space="preserve"> </w:t>
      </w:r>
      <w:r w:rsidR="00667DD6" w:rsidRPr="00926216">
        <w:rPr>
          <w:rFonts w:ascii="Times" w:hAnsi="Times"/>
        </w:rPr>
        <w:t>cannot</w:t>
      </w:r>
      <w:r w:rsidR="00D0653D" w:rsidRPr="00926216">
        <w:rPr>
          <w:rFonts w:ascii="Times" w:hAnsi="Times"/>
        </w:rPr>
        <w:t xml:space="preserve"> provide documented evidence for their injuries. </w:t>
      </w:r>
      <w:r w:rsidR="00D80ABB" w:rsidRPr="00926216">
        <w:rPr>
          <w:rFonts w:ascii="Times" w:hAnsi="Times"/>
          <w:color w:val="000000" w:themeColor="text1"/>
        </w:rPr>
        <w:t>E</w:t>
      </w:r>
      <w:r w:rsidR="00F5498B" w:rsidRPr="00926216">
        <w:rPr>
          <w:rFonts w:ascii="Times" w:hAnsi="Times"/>
          <w:color w:val="000000" w:themeColor="text1"/>
        </w:rPr>
        <w:t xml:space="preserve">ven where </w:t>
      </w:r>
      <w:r w:rsidR="006530DA" w:rsidRPr="00926216">
        <w:rPr>
          <w:rFonts w:ascii="Times" w:hAnsi="Times"/>
          <w:color w:val="000000" w:themeColor="text1"/>
        </w:rPr>
        <w:t>a</w:t>
      </w:r>
      <w:r w:rsidR="00F5498B" w:rsidRPr="00926216">
        <w:rPr>
          <w:rFonts w:ascii="Times" w:hAnsi="Times"/>
          <w:color w:val="000000" w:themeColor="text1"/>
        </w:rPr>
        <w:t xml:space="preserve"> victim belongs to the small group eligible for</w:t>
      </w:r>
      <w:r w:rsidR="00763C53" w:rsidRPr="00926216">
        <w:rPr>
          <w:rFonts w:ascii="Times" w:hAnsi="Times"/>
          <w:color w:val="000000" w:themeColor="text1"/>
        </w:rPr>
        <w:t xml:space="preserve"> a</w:t>
      </w:r>
      <w:r w:rsidR="00F5498B" w:rsidRPr="00926216">
        <w:rPr>
          <w:rFonts w:ascii="Times" w:hAnsi="Times"/>
          <w:color w:val="000000" w:themeColor="text1"/>
        </w:rPr>
        <w:t xml:space="preserve"> reparation award, </w:t>
      </w:r>
      <w:r w:rsidR="00A4564E" w:rsidRPr="00926216">
        <w:rPr>
          <w:rFonts w:ascii="Times" w:hAnsi="Times"/>
          <w:color w:val="000000" w:themeColor="text1"/>
        </w:rPr>
        <w:t>such</w:t>
      </w:r>
      <w:r w:rsidR="003B333C" w:rsidRPr="00926216">
        <w:rPr>
          <w:rFonts w:ascii="Times" w:hAnsi="Times"/>
          <w:color w:val="000000" w:themeColor="text1"/>
        </w:rPr>
        <w:t xml:space="preserve"> a</w:t>
      </w:r>
      <w:r w:rsidR="0009236A" w:rsidRPr="00926216">
        <w:rPr>
          <w:rFonts w:ascii="Times" w:hAnsi="Times"/>
          <w:color w:val="000000" w:themeColor="text1"/>
        </w:rPr>
        <w:t xml:space="preserve"> reparation</w:t>
      </w:r>
      <w:r w:rsidR="00F5498B" w:rsidRPr="00926216">
        <w:rPr>
          <w:rFonts w:ascii="Times" w:hAnsi="Times"/>
          <w:color w:val="000000" w:themeColor="text1"/>
        </w:rPr>
        <w:t xml:space="preserve"> order can only be made </w:t>
      </w:r>
      <w:proofErr w:type="gramStart"/>
      <w:r w:rsidR="00763C53" w:rsidRPr="00926216">
        <w:rPr>
          <w:rFonts w:ascii="Times" w:hAnsi="Times"/>
          <w:color w:val="000000" w:themeColor="text1"/>
        </w:rPr>
        <w:t>subsequent to</w:t>
      </w:r>
      <w:proofErr w:type="gramEnd"/>
      <w:r w:rsidR="00F5498B" w:rsidRPr="00926216">
        <w:rPr>
          <w:rFonts w:ascii="Times" w:hAnsi="Times"/>
          <w:color w:val="000000" w:themeColor="text1"/>
        </w:rPr>
        <w:t xml:space="preserve"> a conviction. </w:t>
      </w:r>
      <w:r w:rsidR="00A926AF" w:rsidRPr="00926216">
        <w:rPr>
          <w:rFonts w:ascii="Times" w:hAnsi="Times"/>
          <w:color w:val="000000" w:themeColor="text1"/>
        </w:rPr>
        <w:t xml:space="preserve">Besides the fact that so far only few prosecutions have ended in a conviction, </w:t>
      </w:r>
      <w:r w:rsidR="00B87D93" w:rsidRPr="00926216">
        <w:rPr>
          <w:rFonts w:ascii="Times" w:hAnsi="Times"/>
          <w:color w:val="000000" w:themeColor="text1"/>
        </w:rPr>
        <w:t xml:space="preserve">the criminal procedure </w:t>
      </w:r>
      <w:r w:rsidR="00BA3374" w:rsidRPr="00926216">
        <w:rPr>
          <w:rFonts w:ascii="Times" w:hAnsi="Times"/>
          <w:color w:val="000000" w:themeColor="text1"/>
        </w:rPr>
        <w:t>from indictment</w:t>
      </w:r>
      <w:r w:rsidR="00B87D93" w:rsidRPr="00926216">
        <w:rPr>
          <w:rFonts w:ascii="Times" w:hAnsi="Times"/>
          <w:color w:val="000000" w:themeColor="text1"/>
        </w:rPr>
        <w:t xml:space="preserve"> to reparation award can</w:t>
      </w:r>
      <w:r w:rsidR="00A926AF" w:rsidRPr="00926216">
        <w:rPr>
          <w:rFonts w:ascii="Times" w:hAnsi="Times"/>
          <w:color w:val="000000" w:themeColor="text1"/>
        </w:rPr>
        <w:t xml:space="preserve"> take many years. </w:t>
      </w:r>
      <w:r w:rsidR="00B87D93" w:rsidRPr="00926216">
        <w:rPr>
          <w:rFonts w:ascii="Times" w:hAnsi="Times"/>
        </w:rPr>
        <w:t>So far</w:t>
      </w:r>
      <w:r w:rsidR="00D0653D" w:rsidRPr="00926216">
        <w:rPr>
          <w:rFonts w:ascii="Times" w:hAnsi="Times"/>
        </w:rPr>
        <w:t>, while the number of estimated victims in the situations currently under the investigation of the ICC runs in the millions</w:t>
      </w:r>
      <w:r w:rsidR="003C6008" w:rsidRPr="00926216">
        <w:rPr>
          <w:rFonts w:ascii="Times" w:hAnsi="Times"/>
        </w:rPr>
        <w:t>,</w:t>
      </w:r>
      <w:r w:rsidR="00D0653D" w:rsidRPr="00926216">
        <w:rPr>
          <w:rFonts w:ascii="Times" w:hAnsi="Times"/>
        </w:rPr>
        <w:t xml:space="preserve"> </w:t>
      </w:r>
      <w:r w:rsidR="00D0653D" w:rsidRPr="000A29C3">
        <w:rPr>
          <w:rFonts w:ascii="Times" w:hAnsi="Times"/>
        </w:rPr>
        <w:t>only three reparation orders have been issued.</w:t>
      </w:r>
      <w:r w:rsidR="00D0653D" w:rsidRPr="000A29C3">
        <w:rPr>
          <w:rStyle w:val="FootnoteReference"/>
          <w:rFonts w:ascii="Times" w:hAnsi="Times"/>
        </w:rPr>
        <w:footnoteReference w:id="14"/>
      </w:r>
      <w:r w:rsidR="00A926AF" w:rsidRPr="00926216">
        <w:rPr>
          <w:rFonts w:ascii="Times" w:hAnsi="Times"/>
        </w:rPr>
        <w:t xml:space="preserve"> </w:t>
      </w:r>
      <w:r w:rsidR="00BC5DE6" w:rsidRPr="00926216">
        <w:rPr>
          <w:rFonts w:ascii="Times" w:hAnsi="Times"/>
          <w:color w:val="000000"/>
        </w:rPr>
        <w:t>Yet</w:t>
      </w:r>
      <w:r w:rsidR="007044B3" w:rsidRPr="00926216">
        <w:rPr>
          <w:rFonts w:ascii="Times" w:hAnsi="Times"/>
          <w:color w:val="000000"/>
        </w:rPr>
        <w:t>,</w:t>
      </w:r>
      <w:r w:rsidR="00BC5DE6" w:rsidRPr="00926216">
        <w:rPr>
          <w:rFonts w:ascii="Times" w:hAnsi="Times"/>
          <w:color w:val="000000"/>
        </w:rPr>
        <w:t xml:space="preserve"> </w:t>
      </w:r>
      <w:r w:rsidR="00647D48" w:rsidRPr="00926216">
        <w:rPr>
          <w:rFonts w:ascii="Times" w:hAnsi="Times"/>
          <w:color w:val="000000"/>
        </w:rPr>
        <w:t xml:space="preserve">for </w:t>
      </w:r>
      <w:r w:rsidR="00BC5DE6" w:rsidRPr="00926216">
        <w:rPr>
          <w:rFonts w:ascii="Times" w:hAnsi="Times"/>
          <w:color w:val="000000"/>
        </w:rPr>
        <w:t>victims suffering serious ph</w:t>
      </w:r>
      <w:r w:rsidR="000E3A3F" w:rsidRPr="00926216">
        <w:rPr>
          <w:rFonts w:ascii="Times" w:hAnsi="Times"/>
          <w:color w:val="000000"/>
        </w:rPr>
        <w:t xml:space="preserve">ysical and psychological injury and </w:t>
      </w:r>
      <w:r w:rsidR="00BC5DE6" w:rsidRPr="00926216">
        <w:rPr>
          <w:rFonts w:ascii="Times" w:hAnsi="Times"/>
          <w:color w:val="000000"/>
        </w:rPr>
        <w:t>having lost their home and means for income</w:t>
      </w:r>
      <w:r w:rsidR="00386937" w:rsidRPr="00926216">
        <w:rPr>
          <w:rFonts w:ascii="Times" w:hAnsi="Times"/>
          <w:color w:val="000000"/>
        </w:rPr>
        <w:t>,</w:t>
      </w:r>
      <w:r w:rsidR="00BC5DE6" w:rsidRPr="00926216">
        <w:rPr>
          <w:rFonts w:ascii="Times" w:hAnsi="Times"/>
          <w:color w:val="000000"/>
        </w:rPr>
        <w:t xml:space="preserve"> </w:t>
      </w:r>
      <w:r w:rsidR="00647D48" w:rsidRPr="00926216">
        <w:rPr>
          <w:rFonts w:ascii="Times" w:hAnsi="Times"/>
          <w:color w:val="000000"/>
        </w:rPr>
        <w:t>every month counts.</w:t>
      </w:r>
      <w:r w:rsidR="006132F5" w:rsidRPr="00926216">
        <w:rPr>
          <w:rFonts w:ascii="Times" w:hAnsi="Times"/>
          <w:color w:val="000000"/>
        </w:rPr>
        <w:t xml:space="preserve"> </w:t>
      </w:r>
      <w:r w:rsidRPr="00926216">
        <w:rPr>
          <w:rFonts w:ascii="Times" w:hAnsi="Times"/>
        </w:rPr>
        <w:t>Finally</w:t>
      </w:r>
      <w:r w:rsidR="0025722A" w:rsidRPr="00926216">
        <w:rPr>
          <w:rFonts w:ascii="Times" w:hAnsi="Times"/>
        </w:rPr>
        <w:t xml:space="preserve">, even the </w:t>
      </w:r>
      <w:r w:rsidR="00E44028" w:rsidRPr="00926216">
        <w:rPr>
          <w:rFonts w:ascii="Times" w:hAnsi="Times"/>
        </w:rPr>
        <w:t>limited</w:t>
      </w:r>
      <w:r w:rsidR="0025722A" w:rsidRPr="00926216">
        <w:rPr>
          <w:rFonts w:ascii="Times" w:hAnsi="Times"/>
        </w:rPr>
        <w:t xml:space="preserve"> group of victims </w:t>
      </w:r>
      <w:r w:rsidR="00380CDC" w:rsidRPr="00926216">
        <w:rPr>
          <w:rFonts w:ascii="Times" w:hAnsi="Times"/>
        </w:rPr>
        <w:t>who</w:t>
      </w:r>
      <w:r w:rsidR="0025722A" w:rsidRPr="00926216">
        <w:rPr>
          <w:rFonts w:ascii="Times" w:hAnsi="Times"/>
        </w:rPr>
        <w:t xml:space="preserve"> do qualify for a reparation award will not receive adequate reparation</w:t>
      </w:r>
      <w:r w:rsidR="00A43AB1" w:rsidRPr="00926216">
        <w:rPr>
          <w:rFonts w:ascii="Times" w:hAnsi="Times"/>
        </w:rPr>
        <w:t xml:space="preserve"> </w:t>
      </w:r>
      <w:r w:rsidR="00922EA9" w:rsidRPr="00926216">
        <w:rPr>
          <w:rFonts w:ascii="Times" w:hAnsi="Times"/>
        </w:rPr>
        <w:t xml:space="preserve">from the defendant </w:t>
      </w:r>
      <w:r w:rsidR="00A43AB1" w:rsidRPr="00926216">
        <w:rPr>
          <w:rFonts w:ascii="Times" w:hAnsi="Times"/>
        </w:rPr>
        <w:t xml:space="preserve">as </w:t>
      </w:r>
      <w:r w:rsidR="00E44028" w:rsidRPr="00926216">
        <w:rPr>
          <w:rFonts w:ascii="Times" w:hAnsi="Times"/>
          <w:iCs/>
        </w:rPr>
        <w:t>hardly any</w:t>
      </w:r>
      <w:r w:rsidR="00A27A29" w:rsidRPr="00926216">
        <w:rPr>
          <w:rFonts w:ascii="Times" w:hAnsi="Times"/>
          <w:iCs/>
        </w:rPr>
        <w:t xml:space="preserve"> </w:t>
      </w:r>
      <w:r w:rsidR="00922EA9" w:rsidRPr="00926216">
        <w:rPr>
          <w:rFonts w:ascii="Times" w:hAnsi="Times"/>
          <w:iCs/>
        </w:rPr>
        <w:t xml:space="preserve">defendants </w:t>
      </w:r>
      <w:r w:rsidR="00E44028" w:rsidRPr="00926216">
        <w:rPr>
          <w:rFonts w:ascii="Times" w:hAnsi="Times"/>
          <w:iCs/>
        </w:rPr>
        <w:t>will</w:t>
      </w:r>
      <w:r w:rsidR="00922EA9" w:rsidRPr="00926216">
        <w:rPr>
          <w:rFonts w:ascii="Times" w:hAnsi="Times"/>
          <w:iCs/>
        </w:rPr>
        <w:t xml:space="preserve"> have the necessary means</w:t>
      </w:r>
      <w:r w:rsidR="006D517B" w:rsidRPr="00926216">
        <w:rPr>
          <w:rFonts w:ascii="Times" w:hAnsi="Times"/>
          <w:iCs/>
        </w:rPr>
        <w:t>.</w:t>
      </w:r>
      <w:r w:rsidR="00A43AB1" w:rsidRPr="00926216">
        <w:rPr>
          <w:rFonts w:ascii="Times" w:hAnsi="Times"/>
          <w:iCs/>
        </w:rPr>
        <w:t xml:space="preserve"> </w:t>
      </w:r>
      <w:r w:rsidR="00FC7484" w:rsidRPr="00926216">
        <w:rPr>
          <w:rFonts w:ascii="Times" w:hAnsi="Times"/>
        </w:rPr>
        <w:t>This problem</w:t>
      </w:r>
      <w:r w:rsidR="002D2A81" w:rsidRPr="00926216">
        <w:rPr>
          <w:rFonts w:ascii="Times" w:hAnsi="Times"/>
        </w:rPr>
        <w:t xml:space="preserve"> is dealt with by </w:t>
      </w:r>
      <w:r w:rsidR="002D2A81" w:rsidRPr="00926216">
        <w:rPr>
          <w:rFonts w:ascii="Times" w:hAnsi="Times"/>
          <w:color w:val="000000" w:themeColor="text1"/>
        </w:rPr>
        <w:t>Rule 98(5)</w:t>
      </w:r>
      <w:r w:rsidR="00473AFB" w:rsidRPr="00926216">
        <w:rPr>
          <w:rFonts w:ascii="Times" w:hAnsi="Times"/>
          <w:color w:val="000000" w:themeColor="text1"/>
        </w:rPr>
        <w:t xml:space="preserve"> RPE</w:t>
      </w:r>
      <w:r w:rsidR="00FC7484" w:rsidRPr="00926216">
        <w:rPr>
          <w:rFonts w:ascii="Times" w:hAnsi="Times"/>
          <w:color w:val="000000" w:themeColor="text1"/>
        </w:rPr>
        <w:t>, which</w:t>
      </w:r>
      <w:r w:rsidR="002D2A81" w:rsidRPr="00926216">
        <w:rPr>
          <w:rFonts w:ascii="Times" w:hAnsi="Times"/>
        </w:rPr>
        <w:t xml:space="preserve"> allows the Trust Fund to complement any reparation award from </w:t>
      </w:r>
      <w:r w:rsidR="00C208F9" w:rsidRPr="00926216">
        <w:rPr>
          <w:rFonts w:ascii="Times" w:hAnsi="Times"/>
        </w:rPr>
        <w:t>‘</w:t>
      </w:r>
      <w:r w:rsidR="002D2A81" w:rsidRPr="00926216">
        <w:rPr>
          <w:rFonts w:ascii="Times" w:hAnsi="Times"/>
        </w:rPr>
        <w:t xml:space="preserve">other </w:t>
      </w:r>
      <w:proofErr w:type="gramStart"/>
      <w:r w:rsidR="002D2A81" w:rsidRPr="00926216">
        <w:rPr>
          <w:rFonts w:ascii="Times" w:hAnsi="Times"/>
        </w:rPr>
        <w:t>sources</w:t>
      </w:r>
      <w:r w:rsidR="00C208F9" w:rsidRPr="00926216">
        <w:rPr>
          <w:rFonts w:ascii="Times" w:hAnsi="Times"/>
        </w:rPr>
        <w:t>’</w:t>
      </w:r>
      <w:proofErr w:type="gramEnd"/>
      <w:r w:rsidR="002D2A81" w:rsidRPr="00926216">
        <w:rPr>
          <w:rFonts w:ascii="Times" w:hAnsi="Times"/>
        </w:rPr>
        <w:t xml:space="preserve">. </w:t>
      </w:r>
      <w:r w:rsidR="0009236A" w:rsidRPr="00926216">
        <w:rPr>
          <w:rFonts w:ascii="Times" w:hAnsi="Times"/>
        </w:rPr>
        <w:t>Consequently</w:t>
      </w:r>
      <w:r w:rsidR="002D2A81" w:rsidRPr="00926216">
        <w:rPr>
          <w:rFonts w:ascii="Times" w:hAnsi="Times"/>
        </w:rPr>
        <w:t xml:space="preserve">, one of the main functions of the Fund is to raise </w:t>
      </w:r>
      <w:proofErr w:type="gramStart"/>
      <w:r w:rsidR="002D2A81" w:rsidRPr="00926216">
        <w:rPr>
          <w:rFonts w:ascii="Times" w:hAnsi="Times"/>
        </w:rPr>
        <w:t>sufficient</w:t>
      </w:r>
      <w:proofErr w:type="gramEnd"/>
      <w:r w:rsidR="002D2A81" w:rsidRPr="00926216">
        <w:rPr>
          <w:rFonts w:ascii="Times" w:hAnsi="Times"/>
        </w:rPr>
        <w:t xml:space="preserve"> funds from voluntary donations to be able to fulfil a reparation order. </w:t>
      </w:r>
      <w:r w:rsidR="002D2A81" w:rsidRPr="00926216">
        <w:rPr>
          <w:rFonts w:ascii="Times" w:hAnsi="Times"/>
          <w:iCs/>
        </w:rPr>
        <w:t xml:space="preserve">Complementing the sources for reparation awards does not, however, deal with the </w:t>
      </w:r>
      <w:r w:rsidR="00F74FE6" w:rsidRPr="00926216">
        <w:rPr>
          <w:rFonts w:ascii="Times" w:hAnsi="Times"/>
          <w:iCs/>
        </w:rPr>
        <w:t>other</w:t>
      </w:r>
      <w:r w:rsidR="002D2A81" w:rsidRPr="00926216">
        <w:rPr>
          <w:rFonts w:ascii="Times" w:hAnsi="Times"/>
          <w:iCs/>
        </w:rPr>
        <w:t xml:space="preserve"> problems, namely the limited number of eligible victims, uncertainty of convictions and tardiness of any award. </w:t>
      </w:r>
      <w:r w:rsidR="00647D48" w:rsidRPr="00926216">
        <w:rPr>
          <w:rFonts w:ascii="Times" w:hAnsi="Times"/>
          <w:iCs/>
        </w:rPr>
        <w:t>Th</w:t>
      </w:r>
      <w:r w:rsidR="002D2A81" w:rsidRPr="00926216">
        <w:rPr>
          <w:rFonts w:ascii="Times" w:hAnsi="Times"/>
          <w:iCs/>
        </w:rPr>
        <w:t>u</w:t>
      </w:r>
      <w:r w:rsidR="00647D48" w:rsidRPr="00926216">
        <w:rPr>
          <w:rFonts w:ascii="Times" w:hAnsi="Times"/>
          <w:iCs/>
        </w:rPr>
        <w:t xml:space="preserve">s, </w:t>
      </w:r>
      <w:r w:rsidR="002D2A81" w:rsidRPr="00926216">
        <w:rPr>
          <w:rFonts w:ascii="Times" w:hAnsi="Times"/>
          <w:shd w:val="clear" w:color="auto" w:fill="FFFFFF"/>
        </w:rPr>
        <w:t xml:space="preserve">the reparation gap is too wide for the ICC reparation scheme to have any noteworthy tangible impact on the group of </w:t>
      </w:r>
      <w:proofErr w:type="gramStart"/>
      <w:r w:rsidR="002D2A81" w:rsidRPr="00926216">
        <w:rPr>
          <w:rFonts w:ascii="Times" w:hAnsi="Times"/>
          <w:shd w:val="clear" w:color="auto" w:fill="FFFFFF"/>
        </w:rPr>
        <w:t>victims as a whole</w:t>
      </w:r>
      <w:proofErr w:type="gramEnd"/>
      <w:r w:rsidR="002D2A81" w:rsidRPr="00926216">
        <w:rPr>
          <w:rFonts w:ascii="Times" w:hAnsi="Times"/>
          <w:shd w:val="clear" w:color="auto" w:fill="FFFFFF"/>
        </w:rPr>
        <w:t>.</w:t>
      </w:r>
      <w:r w:rsidR="002D2A81" w:rsidRPr="00926216">
        <w:rPr>
          <w:rFonts w:ascii="Times" w:hAnsi="Times"/>
        </w:rPr>
        <w:t xml:space="preserve"> Too few victims get too little help too late.</w:t>
      </w:r>
    </w:p>
    <w:p w14:paraId="6E5820AF" w14:textId="36308004" w:rsidR="00922EA9" w:rsidRPr="00926216" w:rsidRDefault="00FB03A4" w:rsidP="00D429DF">
      <w:pPr>
        <w:spacing w:before="100" w:beforeAutospacing="1" w:after="100" w:afterAutospacing="1"/>
        <w:contextualSpacing/>
        <w:rPr>
          <w:rFonts w:ascii="Times" w:hAnsi="Times"/>
        </w:rPr>
      </w:pPr>
      <w:r w:rsidRPr="00926216">
        <w:rPr>
          <w:rFonts w:ascii="Times" w:hAnsi="Times"/>
          <w:iCs/>
        </w:rPr>
        <w:t xml:space="preserve">In order to </w:t>
      </w:r>
      <w:r w:rsidR="00825E47" w:rsidRPr="00926216">
        <w:rPr>
          <w:rFonts w:ascii="Times" w:hAnsi="Times"/>
          <w:iCs/>
        </w:rPr>
        <w:t xml:space="preserve">lessen the </w:t>
      </w:r>
      <w:r w:rsidR="001227F6" w:rsidRPr="00926216">
        <w:rPr>
          <w:rFonts w:ascii="Times" w:hAnsi="Times"/>
          <w:iCs/>
        </w:rPr>
        <w:t>problems</w:t>
      </w:r>
      <w:r w:rsidR="00825E47" w:rsidRPr="00926216">
        <w:rPr>
          <w:rFonts w:ascii="Times" w:hAnsi="Times"/>
          <w:iCs/>
        </w:rPr>
        <w:t xml:space="preserve"> caused by the </w:t>
      </w:r>
      <w:r w:rsidRPr="00926216">
        <w:rPr>
          <w:rFonts w:ascii="Times" w:hAnsi="Times"/>
          <w:iCs/>
        </w:rPr>
        <w:t xml:space="preserve">reparation gap, the Trust Fund </w:t>
      </w:r>
      <w:r w:rsidR="00D80ABB" w:rsidRPr="00926216">
        <w:rPr>
          <w:rFonts w:ascii="Times" w:hAnsi="Times"/>
          <w:iCs/>
          <w:color w:val="000000" w:themeColor="text1"/>
        </w:rPr>
        <w:t>has</w:t>
      </w:r>
      <w:r w:rsidRPr="00926216">
        <w:rPr>
          <w:rFonts w:ascii="Times" w:hAnsi="Times"/>
          <w:iCs/>
        </w:rPr>
        <w:t xml:space="preserve"> a second mandate, the so-called general assistance mandate.</w:t>
      </w:r>
      <w:r w:rsidR="005405E1" w:rsidRPr="00926216">
        <w:rPr>
          <w:rStyle w:val="FootnoteReference"/>
          <w:rFonts w:ascii="Times" w:hAnsi="Times"/>
          <w:iCs/>
        </w:rPr>
        <w:footnoteReference w:id="15"/>
      </w:r>
      <w:r w:rsidRPr="00926216">
        <w:rPr>
          <w:rFonts w:ascii="Times" w:hAnsi="Times"/>
          <w:iCs/>
        </w:rPr>
        <w:t xml:space="preserve"> </w:t>
      </w:r>
      <w:r w:rsidR="0068126D" w:rsidRPr="00926216">
        <w:rPr>
          <w:rFonts w:ascii="Times" w:hAnsi="Times"/>
        </w:rPr>
        <w:t>Being all too aware of the urgent need</w:t>
      </w:r>
      <w:r w:rsidR="00386937" w:rsidRPr="00926216">
        <w:rPr>
          <w:rFonts w:ascii="Times" w:hAnsi="Times"/>
        </w:rPr>
        <w:t>s</w:t>
      </w:r>
      <w:r w:rsidR="0068126D" w:rsidRPr="00926216">
        <w:rPr>
          <w:rFonts w:ascii="Times" w:hAnsi="Times"/>
        </w:rPr>
        <w:t xml:space="preserve"> of victims on the one hand, and the huge reparation gap on the other, the general assistance mandate is designed to offer immediate help to a larger group of victims</w:t>
      </w:r>
      <w:r w:rsidR="00F11977" w:rsidRPr="00926216">
        <w:rPr>
          <w:rFonts w:ascii="Times" w:hAnsi="Times"/>
        </w:rPr>
        <w:t>,</w:t>
      </w:r>
      <w:r w:rsidR="00B80F30" w:rsidRPr="00926216">
        <w:rPr>
          <w:rStyle w:val="FootnoteReference"/>
          <w:rFonts w:ascii="Times" w:hAnsi="Times"/>
          <w:iCs/>
        </w:rPr>
        <w:footnoteReference w:id="16"/>
      </w:r>
      <w:r w:rsidR="00F11977" w:rsidRPr="00926216">
        <w:rPr>
          <w:rFonts w:ascii="Times" w:hAnsi="Times"/>
        </w:rPr>
        <w:t xml:space="preserve"> in what </w:t>
      </w:r>
      <w:r w:rsidR="00F11977" w:rsidRPr="00926216">
        <w:rPr>
          <w:color w:val="000000" w:themeColor="text1"/>
        </w:rPr>
        <w:t xml:space="preserve">Dixon calls the 'Swiss cheese' model, </w:t>
      </w:r>
      <w:r w:rsidR="00C208F9" w:rsidRPr="00926216">
        <w:rPr>
          <w:color w:val="000000" w:themeColor="text1"/>
        </w:rPr>
        <w:t>‘</w:t>
      </w:r>
      <w:r w:rsidR="00F11977" w:rsidRPr="00926216">
        <w:rPr>
          <w:color w:val="000000" w:themeColor="text1"/>
        </w:rPr>
        <w:t>where assistance is used to fill in the holes of a legally restricted reparations process.</w:t>
      </w:r>
      <w:r w:rsidR="00C208F9" w:rsidRPr="00926216">
        <w:rPr>
          <w:color w:val="000000" w:themeColor="text1"/>
        </w:rPr>
        <w:t>’</w:t>
      </w:r>
      <w:r w:rsidR="00F11977" w:rsidRPr="00926216">
        <w:rPr>
          <w:rStyle w:val="FootnoteReference"/>
          <w:color w:val="000000" w:themeColor="text1"/>
        </w:rPr>
        <w:footnoteReference w:id="17"/>
      </w:r>
      <w:r w:rsidR="0068126D" w:rsidRPr="00926216">
        <w:rPr>
          <w:rFonts w:ascii="Times" w:hAnsi="Times"/>
        </w:rPr>
        <w:t xml:space="preserve"> </w:t>
      </w:r>
      <w:r w:rsidR="003D0778" w:rsidRPr="00926216">
        <w:rPr>
          <w:rFonts w:ascii="Times" w:hAnsi="Times"/>
          <w:iCs/>
        </w:rPr>
        <w:t>Th</w:t>
      </w:r>
      <w:r w:rsidR="00CD098A" w:rsidRPr="00926216">
        <w:rPr>
          <w:rFonts w:ascii="Times" w:hAnsi="Times"/>
          <w:iCs/>
        </w:rPr>
        <w:t xml:space="preserve">e </w:t>
      </w:r>
      <w:r w:rsidR="00CD098A" w:rsidRPr="00926216">
        <w:rPr>
          <w:rFonts w:ascii="Times" w:hAnsi="Times"/>
        </w:rPr>
        <w:t>general assistance mandate</w:t>
      </w:r>
      <w:r w:rsidR="003D0778" w:rsidRPr="00926216">
        <w:rPr>
          <w:rFonts w:ascii="Times" w:hAnsi="Times"/>
          <w:iCs/>
        </w:rPr>
        <w:t xml:space="preserve"> </w:t>
      </w:r>
      <w:r w:rsidR="004D7DFD" w:rsidRPr="00926216">
        <w:rPr>
          <w:rFonts w:ascii="Times" w:hAnsi="Times"/>
          <w:iCs/>
        </w:rPr>
        <w:t>allows the Trust Fund</w:t>
      </w:r>
      <w:r w:rsidR="003375E2" w:rsidRPr="00926216">
        <w:rPr>
          <w:rFonts w:ascii="Times" w:hAnsi="Times"/>
        </w:rPr>
        <w:t xml:space="preserve"> </w:t>
      </w:r>
      <w:r w:rsidR="003D0778" w:rsidRPr="00926216">
        <w:rPr>
          <w:rFonts w:ascii="Times" w:hAnsi="Times"/>
        </w:rPr>
        <w:t>to</w:t>
      </w:r>
      <w:r w:rsidR="003375E2" w:rsidRPr="00926216">
        <w:rPr>
          <w:rFonts w:ascii="Times" w:hAnsi="Times"/>
        </w:rPr>
        <w:t xml:space="preserve"> </w:t>
      </w:r>
      <w:r w:rsidR="003375E2" w:rsidRPr="00926216">
        <w:rPr>
          <w:rFonts w:ascii="Times" w:hAnsi="Times"/>
        </w:rPr>
        <w:lastRenderedPageBreak/>
        <w:t>provide assistance to victims in areas under the jurisdiction of the Court</w:t>
      </w:r>
      <w:r w:rsidR="0080044D" w:rsidRPr="00926216">
        <w:rPr>
          <w:rFonts w:ascii="Times" w:hAnsi="Times"/>
        </w:rPr>
        <w:t xml:space="preserve"> </w:t>
      </w:r>
      <w:r w:rsidR="003375E2" w:rsidRPr="00926216">
        <w:rPr>
          <w:rFonts w:ascii="Times" w:hAnsi="Times"/>
        </w:rPr>
        <w:t xml:space="preserve">without any link </w:t>
      </w:r>
      <w:r w:rsidR="0047072A" w:rsidRPr="00926216">
        <w:rPr>
          <w:rFonts w:ascii="Times" w:hAnsi="Times"/>
        </w:rPr>
        <w:t>n</w:t>
      </w:r>
      <w:r w:rsidR="00373E3D" w:rsidRPr="00926216">
        <w:rPr>
          <w:rFonts w:ascii="Times" w:hAnsi="Times"/>
        </w:rPr>
        <w:t>e</w:t>
      </w:r>
      <w:r w:rsidR="0047072A" w:rsidRPr="00926216">
        <w:rPr>
          <w:rFonts w:ascii="Times" w:hAnsi="Times"/>
        </w:rPr>
        <w:t xml:space="preserve">eded </w:t>
      </w:r>
      <w:r w:rsidR="003375E2" w:rsidRPr="00926216">
        <w:rPr>
          <w:rFonts w:ascii="Times" w:hAnsi="Times"/>
        </w:rPr>
        <w:t xml:space="preserve">to a particular </w:t>
      </w:r>
      <w:r w:rsidR="006132F5" w:rsidRPr="00926216">
        <w:rPr>
          <w:rFonts w:ascii="Times" w:hAnsi="Times"/>
        </w:rPr>
        <w:t>case</w:t>
      </w:r>
      <w:r w:rsidR="003375E2" w:rsidRPr="00926216">
        <w:rPr>
          <w:rFonts w:ascii="Times" w:hAnsi="Times"/>
        </w:rPr>
        <w:t>.</w:t>
      </w:r>
      <w:r w:rsidR="00717008" w:rsidRPr="00926216">
        <w:rPr>
          <w:rFonts w:ascii="Times" w:hAnsi="Times"/>
        </w:rPr>
        <w:t xml:space="preserve"> </w:t>
      </w:r>
      <w:r w:rsidR="00CD098A" w:rsidRPr="00926216">
        <w:rPr>
          <w:rFonts w:ascii="Times" w:hAnsi="Times"/>
        </w:rPr>
        <w:t xml:space="preserve">In </w:t>
      </w:r>
      <w:r w:rsidR="00CD098A" w:rsidRPr="00926216">
        <w:rPr>
          <w:i/>
          <w:color w:val="000000" w:themeColor="text1"/>
        </w:rPr>
        <w:t>Luba</w:t>
      </w:r>
      <w:r w:rsidR="00932806" w:rsidRPr="00926216">
        <w:rPr>
          <w:i/>
          <w:color w:val="000000" w:themeColor="text1"/>
        </w:rPr>
        <w:t>n</w:t>
      </w:r>
      <w:r w:rsidR="00CD098A" w:rsidRPr="00926216">
        <w:rPr>
          <w:i/>
          <w:color w:val="000000" w:themeColor="text1"/>
        </w:rPr>
        <w:t>ga</w:t>
      </w:r>
      <w:r w:rsidR="00CD098A" w:rsidRPr="00926216">
        <w:rPr>
          <w:color w:val="000000" w:themeColor="text1"/>
        </w:rPr>
        <w:t xml:space="preserve">, for example, </w:t>
      </w:r>
      <w:r w:rsidR="003375E2" w:rsidRPr="00926216">
        <w:t>the</w:t>
      </w:r>
      <w:r w:rsidR="003375E2" w:rsidRPr="00926216">
        <w:rPr>
          <w:rFonts w:ascii="Times" w:hAnsi="Times"/>
        </w:rPr>
        <w:t xml:space="preserve"> Appeals Chamber </w:t>
      </w:r>
      <w:r w:rsidR="00CD098A" w:rsidRPr="00926216">
        <w:rPr>
          <w:rFonts w:ascii="Times" w:hAnsi="Times"/>
        </w:rPr>
        <w:t>explicitly</w:t>
      </w:r>
      <w:r w:rsidR="00932806" w:rsidRPr="00926216">
        <w:rPr>
          <w:rFonts w:ascii="Times" w:hAnsi="Times"/>
        </w:rPr>
        <w:t xml:space="preserve"> </w:t>
      </w:r>
      <w:r w:rsidR="00C208F9" w:rsidRPr="00926216">
        <w:rPr>
          <w:rFonts w:ascii="Times" w:hAnsi="Times"/>
        </w:rPr>
        <w:t>‘</w:t>
      </w:r>
      <w:r w:rsidR="003375E2" w:rsidRPr="00926216">
        <w:rPr>
          <w:rFonts w:ascii="Times" w:hAnsi="Times"/>
        </w:rPr>
        <w:t>urged the Court’s Trust Fund for Victims</w:t>
      </w:r>
      <w:r w:rsidR="00572A9F" w:rsidRPr="00926216">
        <w:rPr>
          <w:rFonts w:ascii="Times" w:hAnsi="Times"/>
        </w:rPr>
        <w:t xml:space="preserve"> </w:t>
      </w:r>
      <w:r w:rsidR="003375E2" w:rsidRPr="00926216">
        <w:rPr>
          <w:rFonts w:ascii="Times" w:hAnsi="Times"/>
        </w:rPr>
        <w:t xml:space="preserve">to issue </w:t>
      </w:r>
      <w:r w:rsidR="00DD520A" w:rsidRPr="00926216">
        <w:rPr>
          <w:rFonts w:ascii="Times" w:hAnsi="Times"/>
        </w:rPr>
        <w:t>“</w:t>
      </w:r>
      <w:r w:rsidR="003375E2" w:rsidRPr="00926216">
        <w:rPr>
          <w:rFonts w:ascii="Times" w:hAnsi="Times"/>
        </w:rPr>
        <w:t>assistance</w:t>
      </w:r>
      <w:r w:rsidR="00DD520A" w:rsidRPr="00926216">
        <w:rPr>
          <w:rFonts w:ascii="Times" w:hAnsi="Times"/>
        </w:rPr>
        <w:t>”</w:t>
      </w:r>
      <w:r w:rsidR="003375E2" w:rsidRPr="00926216">
        <w:rPr>
          <w:rFonts w:ascii="Times" w:hAnsi="Times"/>
        </w:rPr>
        <w:t xml:space="preserve"> measures to victims who fall outside the scope of victimisation at trial</w:t>
      </w:r>
      <w:r w:rsidR="00C208F9" w:rsidRPr="00926216">
        <w:rPr>
          <w:rFonts w:ascii="Times" w:hAnsi="Times"/>
        </w:rPr>
        <w:t>’</w:t>
      </w:r>
      <w:r w:rsidR="00F149ED" w:rsidRPr="00926216">
        <w:rPr>
          <w:rFonts w:ascii="Times" w:hAnsi="Times"/>
        </w:rPr>
        <w:t xml:space="preserve"> and </w:t>
      </w:r>
      <w:r w:rsidR="00DD520A" w:rsidRPr="00926216">
        <w:rPr>
          <w:rFonts w:ascii="Times" w:hAnsi="Times"/>
        </w:rPr>
        <w:t xml:space="preserve">to </w:t>
      </w:r>
      <w:r w:rsidR="00F149ED" w:rsidRPr="00926216">
        <w:rPr>
          <w:rFonts w:ascii="Times" w:hAnsi="Times"/>
        </w:rPr>
        <w:t>include victims of gender-based violence</w:t>
      </w:r>
      <w:r w:rsidR="003375E2" w:rsidRPr="00926216">
        <w:rPr>
          <w:rFonts w:ascii="Times" w:hAnsi="Times"/>
        </w:rPr>
        <w:t>.</w:t>
      </w:r>
      <w:r w:rsidR="003375E2" w:rsidRPr="00926216">
        <w:rPr>
          <w:rStyle w:val="FootnoteReference"/>
          <w:rFonts w:ascii="Times" w:hAnsi="Times"/>
        </w:rPr>
        <w:footnoteReference w:id="18"/>
      </w:r>
      <w:r w:rsidR="003375E2" w:rsidRPr="00926216">
        <w:rPr>
          <w:rFonts w:ascii="Times" w:hAnsi="Times"/>
        </w:rPr>
        <w:t xml:space="preserve"> </w:t>
      </w:r>
      <w:r w:rsidR="007D1F5F" w:rsidRPr="00926216">
        <w:rPr>
          <w:rFonts w:ascii="Times" w:hAnsi="Times"/>
        </w:rPr>
        <w:t xml:space="preserve">Rather than redressing the wrong committed by a convicted perpetrator, the general assistance mandate provides </w:t>
      </w:r>
      <w:r w:rsidR="00DD520A" w:rsidRPr="00926216">
        <w:rPr>
          <w:rFonts w:ascii="Times" w:hAnsi="Times"/>
        </w:rPr>
        <w:t xml:space="preserve">therefore </w:t>
      </w:r>
      <w:r w:rsidR="007D1F5F" w:rsidRPr="00926216">
        <w:rPr>
          <w:rFonts w:ascii="Times" w:hAnsi="Times"/>
        </w:rPr>
        <w:t>humanitarian assistance based on the victims’ needs.</w:t>
      </w:r>
      <w:r w:rsidR="001227F6" w:rsidRPr="00926216">
        <w:rPr>
          <w:rFonts w:ascii="Times" w:hAnsi="Times"/>
        </w:rPr>
        <w:t xml:space="preserve"> </w:t>
      </w:r>
      <w:r w:rsidR="001E3F28" w:rsidRPr="00926216">
        <w:rPr>
          <w:rFonts w:ascii="Times" w:hAnsi="Times"/>
        </w:rPr>
        <w:t>This assistance can take the form of physical, psychological or material support</w:t>
      </w:r>
      <w:r w:rsidR="001E3F28" w:rsidRPr="00926216">
        <w:rPr>
          <w:rStyle w:val="FootnoteReference"/>
          <w:rFonts w:ascii="Times" w:hAnsi="Times"/>
        </w:rPr>
        <w:footnoteReference w:id="19"/>
      </w:r>
      <w:r w:rsidR="001E3F28" w:rsidRPr="00926216">
        <w:rPr>
          <w:rFonts w:ascii="Times" w:hAnsi="Times"/>
        </w:rPr>
        <w:t xml:space="preserve"> and consist</w:t>
      </w:r>
      <w:r w:rsidR="00FF3B1D" w:rsidRPr="00926216">
        <w:rPr>
          <w:rFonts w:ascii="Times" w:hAnsi="Times"/>
        </w:rPr>
        <w:t>s</w:t>
      </w:r>
      <w:r w:rsidR="001E3F28" w:rsidRPr="00926216">
        <w:rPr>
          <w:rFonts w:ascii="Times" w:hAnsi="Times"/>
        </w:rPr>
        <w:t xml:space="preserve"> of </w:t>
      </w:r>
    </w:p>
    <w:p w14:paraId="59A2DA6F" w14:textId="1D214592" w:rsidR="00922EA9" w:rsidRPr="00926216" w:rsidRDefault="00DD520A" w:rsidP="00D429DF">
      <w:pPr>
        <w:spacing w:before="100" w:beforeAutospacing="1" w:after="100" w:afterAutospacing="1"/>
        <w:ind w:left="720"/>
        <w:contextualSpacing/>
        <w:rPr>
          <w:rFonts w:ascii="Times" w:hAnsi="Times" w:cs="Times"/>
          <w:sz w:val="22"/>
          <w:szCs w:val="22"/>
        </w:rPr>
      </w:pPr>
      <w:r w:rsidRPr="00926216">
        <w:rPr>
          <w:rFonts w:ascii="Times" w:hAnsi="Times"/>
          <w:sz w:val="22"/>
          <w:szCs w:val="22"/>
        </w:rPr>
        <w:t>r</w:t>
      </w:r>
      <w:r w:rsidR="001E3F28" w:rsidRPr="00926216">
        <w:rPr>
          <w:rFonts w:ascii="Times" w:hAnsi="Times"/>
          <w:sz w:val="22"/>
          <w:szCs w:val="22"/>
        </w:rPr>
        <w:t>ehabilitation and reinsertion of victims, socio-economic reintegration, healing of memories, support for victims of sexual violence by counselling and micro-credit schemes, holistic community healing, non-formal education, mutual caring activities, addressing stigmatisation and ensuring peace and reconciliation, victim empowerment, livelihood support and more.</w:t>
      </w:r>
      <w:r w:rsidR="001E3F28" w:rsidRPr="00926216">
        <w:rPr>
          <w:rStyle w:val="FootnoteReference"/>
          <w:rFonts w:ascii="Times" w:hAnsi="Times" w:cs="Times"/>
          <w:sz w:val="22"/>
          <w:szCs w:val="22"/>
        </w:rPr>
        <w:footnoteReference w:id="20"/>
      </w:r>
    </w:p>
    <w:p w14:paraId="56444F83" w14:textId="77777777" w:rsidR="00522D3D" w:rsidRPr="00926216" w:rsidRDefault="00522D3D" w:rsidP="00D429DF">
      <w:pPr>
        <w:spacing w:before="100" w:beforeAutospacing="1" w:after="100" w:afterAutospacing="1"/>
        <w:contextualSpacing/>
        <w:rPr>
          <w:rFonts w:ascii="Times" w:hAnsi="Times" w:cs="Times"/>
        </w:rPr>
      </w:pPr>
    </w:p>
    <w:p w14:paraId="00DB7475" w14:textId="44746DBE" w:rsidR="00026E18" w:rsidRPr="00926216" w:rsidRDefault="00E64F52" w:rsidP="00D429DF">
      <w:pPr>
        <w:spacing w:before="100" w:beforeAutospacing="1" w:after="100" w:afterAutospacing="1"/>
        <w:contextualSpacing/>
        <w:rPr>
          <w:rFonts w:ascii="Times" w:hAnsi="Times"/>
        </w:rPr>
      </w:pPr>
      <w:r w:rsidRPr="00926216">
        <w:rPr>
          <w:rFonts w:ascii="Times" w:hAnsi="Times"/>
        </w:rPr>
        <w:t>T</w:t>
      </w:r>
      <w:r w:rsidR="00F149ED" w:rsidRPr="00926216">
        <w:rPr>
          <w:rFonts w:ascii="Times" w:hAnsi="Times"/>
        </w:rPr>
        <w:t>he Trust Fund</w:t>
      </w:r>
      <w:r w:rsidRPr="00926216">
        <w:rPr>
          <w:rFonts w:ascii="Times" w:hAnsi="Times"/>
        </w:rPr>
        <w:t xml:space="preserve"> itself</w:t>
      </w:r>
      <w:r w:rsidR="00D12444" w:rsidRPr="00926216">
        <w:rPr>
          <w:rFonts w:ascii="Times" w:hAnsi="Times"/>
        </w:rPr>
        <w:t>,</w:t>
      </w:r>
      <w:r w:rsidRPr="00926216">
        <w:rPr>
          <w:rFonts w:ascii="Times" w:hAnsi="Times"/>
        </w:rPr>
        <w:t xml:space="preserve"> however</w:t>
      </w:r>
      <w:r w:rsidR="00D12444" w:rsidRPr="00926216">
        <w:rPr>
          <w:rFonts w:ascii="Times" w:hAnsi="Times"/>
        </w:rPr>
        <w:t>,</w:t>
      </w:r>
      <w:r w:rsidRPr="00926216">
        <w:rPr>
          <w:rFonts w:ascii="Times" w:hAnsi="Times"/>
        </w:rPr>
        <w:t xml:space="preserve"> does not provide this assistance directly to the victims, but </w:t>
      </w:r>
      <w:r w:rsidR="00D12444" w:rsidRPr="00926216">
        <w:rPr>
          <w:rFonts w:ascii="Times" w:hAnsi="Times"/>
        </w:rPr>
        <w:t>instead funds</w:t>
      </w:r>
      <w:r w:rsidR="000A7D56" w:rsidRPr="00926216">
        <w:rPr>
          <w:rFonts w:ascii="Times" w:hAnsi="Times"/>
        </w:rPr>
        <w:t xml:space="preserve"> </w:t>
      </w:r>
      <w:r w:rsidR="00F149ED" w:rsidRPr="00926216">
        <w:rPr>
          <w:rFonts w:ascii="Times" w:hAnsi="Times"/>
        </w:rPr>
        <w:t xml:space="preserve">individual </w:t>
      </w:r>
      <w:r w:rsidR="001E3F28" w:rsidRPr="00926216">
        <w:rPr>
          <w:rFonts w:ascii="Times" w:hAnsi="Times"/>
        </w:rPr>
        <w:t>programmes</w:t>
      </w:r>
      <w:r w:rsidR="00F149ED" w:rsidRPr="00926216">
        <w:rPr>
          <w:rFonts w:ascii="Times" w:hAnsi="Times"/>
        </w:rPr>
        <w:t xml:space="preserve"> </w:t>
      </w:r>
      <w:r w:rsidR="00FF3B1D" w:rsidRPr="00926216">
        <w:rPr>
          <w:rFonts w:ascii="Times" w:hAnsi="Times"/>
        </w:rPr>
        <w:t xml:space="preserve">that </w:t>
      </w:r>
      <w:r w:rsidR="000A7D56" w:rsidRPr="00926216">
        <w:rPr>
          <w:rFonts w:ascii="Times" w:hAnsi="Times"/>
        </w:rPr>
        <w:t xml:space="preserve">are </w:t>
      </w:r>
      <w:r w:rsidR="00F149ED" w:rsidRPr="00926216">
        <w:rPr>
          <w:rFonts w:ascii="Times" w:hAnsi="Times"/>
        </w:rPr>
        <w:t>run by</w:t>
      </w:r>
      <w:r w:rsidR="009A3128" w:rsidRPr="00926216">
        <w:rPr>
          <w:rFonts w:ascii="Times" w:hAnsi="Times"/>
        </w:rPr>
        <w:t xml:space="preserve"> intermediaries</w:t>
      </w:r>
      <w:r w:rsidR="00F149ED" w:rsidRPr="00926216">
        <w:rPr>
          <w:rFonts w:ascii="Times" w:hAnsi="Times"/>
        </w:rPr>
        <w:t>,</w:t>
      </w:r>
      <w:r w:rsidR="00123AF5" w:rsidRPr="00926216">
        <w:rPr>
          <w:rStyle w:val="FootnoteReference"/>
          <w:rFonts w:ascii="Times" w:hAnsi="Times"/>
        </w:rPr>
        <w:footnoteReference w:id="21"/>
      </w:r>
      <w:r w:rsidR="009A3128" w:rsidRPr="00926216">
        <w:rPr>
          <w:rFonts w:ascii="Times" w:hAnsi="Times"/>
        </w:rPr>
        <w:t xml:space="preserve"> </w:t>
      </w:r>
      <w:r w:rsidR="00F149ED" w:rsidRPr="00926216">
        <w:rPr>
          <w:rFonts w:ascii="Times" w:hAnsi="Times"/>
        </w:rPr>
        <w:t xml:space="preserve">in most </w:t>
      </w:r>
      <w:r w:rsidR="00BA3374" w:rsidRPr="00926216">
        <w:rPr>
          <w:rFonts w:ascii="Times" w:hAnsi="Times"/>
        </w:rPr>
        <w:t>cases</w:t>
      </w:r>
      <w:r w:rsidR="00F149ED" w:rsidRPr="00926216">
        <w:rPr>
          <w:rFonts w:ascii="Times" w:hAnsi="Times"/>
        </w:rPr>
        <w:t xml:space="preserve"> </w:t>
      </w:r>
      <w:r w:rsidR="009A3128" w:rsidRPr="00926216">
        <w:rPr>
          <w:rFonts w:ascii="Times" w:hAnsi="Times"/>
        </w:rPr>
        <w:t>NGOs</w:t>
      </w:r>
      <w:r w:rsidRPr="00926216">
        <w:rPr>
          <w:rFonts w:ascii="Times" w:hAnsi="Times"/>
        </w:rPr>
        <w:t xml:space="preserve">. This </w:t>
      </w:r>
      <w:r w:rsidR="00DD520A" w:rsidRPr="00926216">
        <w:rPr>
          <w:rFonts w:ascii="Times" w:hAnsi="Times"/>
        </w:rPr>
        <w:t>allows a wide spread of projects</w:t>
      </w:r>
      <w:r w:rsidR="009A3128" w:rsidRPr="00926216">
        <w:rPr>
          <w:rStyle w:val="FootnoteReference"/>
          <w:rFonts w:ascii="Times" w:hAnsi="Times"/>
        </w:rPr>
        <w:footnoteReference w:id="22"/>
      </w:r>
      <w:r w:rsidRPr="00926216">
        <w:rPr>
          <w:rFonts w:ascii="Times" w:hAnsi="Times"/>
        </w:rPr>
        <w:t xml:space="preserve"> and t</w:t>
      </w:r>
      <w:r w:rsidR="00026E18" w:rsidRPr="00926216">
        <w:rPr>
          <w:rFonts w:ascii="Times" w:hAnsi="Times"/>
        </w:rPr>
        <w:t>he Trust Fund praises itself for benefitting hundreds of thousands of victims.</w:t>
      </w:r>
      <w:r w:rsidR="00026E18" w:rsidRPr="00926216">
        <w:rPr>
          <w:rStyle w:val="FootnoteReference"/>
          <w:rFonts w:ascii="Times" w:hAnsi="Times"/>
        </w:rPr>
        <w:footnoteReference w:id="23"/>
      </w:r>
      <w:r w:rsidR="00026E18" w:rsidRPr="00926216">
        <w:rPr>
          <w:rFonts w:ascii="Times" w:hAnsi="Times"/>
        </w:rPr>
        <w:t xml:space="preserve"> Indeed, before the Court has made its first preparation order in </w:t>
      </w:r>
      <w:r w:rsidR="00026E18" w:rsidRPr="00926216">
        <w:rPr>
          <w:rFonts w:ascii="Times" w:hAnsi="Times"/>
          <w:color w:val="000000" w:themeColor="text1"/>
        </w:rPr>
        <w:t>2012</w:t>
      </w:r>
      <w:r w:rsidR="00026E18" w:rsidRPr="00926216">
        <w:rPr>
          <w:rFonts w:ascii="Times" w:hAnsi="Times"/>
        </w:rPr>
        <w:t xml:space="preserve">, the Trust </w:t>
      </w:r>
      <w:r w:rsidR="00D80ABB" w:rsidRPr="00926216">
        <w:rPr>
          <w:rFonts w:ascii="Times" w:hAnsi="Times"/>
        </w:rPr>
        <w:t>F</w:t>
      </w:r>
      <w:r w:rsidR="00026E18" w:rsidRPr="00926216">
        <w:rPr>
          <w:rFonts w:ascii="Times" w:hAnsi="Times"/>
        </w:rPr>
        <w:t xml:space="preserve">und </w:t>
      </w:r>
      <w:r w:rsidR="00031657" w:rsidRPr="00926216">
        <w:rPr>
          <w:rFonts w:ascii="Times" w:hAnsi="Times"/>
        </w:rPr>
        <w:t>claims to have</w:t>
      </w:r>
      <w:r w:rsidR="00026E18" w:rsidRPr="00926216">
        <w:rPr>
          <w:rFonts w:ascii="Times" w:hAnsi="Times"/>
        </w:rPr>
        <w:t xml:space="preserve"> already </w:t>
      </w:r>
      <w:r w:rsidR="00C208F9" w:rsidRPr="00926216">
        <w:rPr>
          <w:rFonts w:ascii="Times" w:hAnsi="Times"/>
        </w:rPr>
        <w:t>‘</w:t>
      </w:r>
      <w:r w:rsidR="00026E18" w:rsidRPr="00926216">
        <w:rPr>
          <w:rFonts w:ascii="Times" w:hAnsi="Times"/>
        </w:rPr>
        <w:t>provided tangible assistance to over 400,000 victims in the absence of convictions and reparations by the Court</w:t>
      </w:r>
      <w:r w:rsidR="00C208F9" w:rsidRPr="00926216">
        <w:rPr>
          <w:rFonts w:ascii="Times" w:hAnsi="Times"/>
        </w:rPr>
        <w:t>’</w:t>
      </w:r>
      <w:r w:rsidR="00026E18" w:rsidRPr="00926216">
        <w:rPr>
          <w:rFonts w:ascii="Times" w:hAnsi="Times"/>
        </w:rPr>
        <w:t>.</w:t>
      </w:r>
      <w:r w:rsidR="00026E18" w:rsidRPr="000A29C3">
        <w:rPr>
          <w:rStyle w:val="FootnoteReference"/>
          <w:rFonts w:ascii="Times" w:hAnsi="Times"/>
        </w:rPr>
        <w:footnoteReference w:id="24"/>
      </w:r>
      <w:r w:rsidR="00026E18" w:rsidRPr="00926216">
        <w:rPr>
          <w:rFonts w:ascii="Times" w:hAnsi="Times"/>
        </w:rPr>
        <w:t xml:space="preserve"> The exact impact of any of the Trust Fund’s supported projects is of course difficult to measure</w:t>
      </w:r>
      <w:r w:rsidR="00EB6274" w:rsidRPr="00926216">
        <w:rPr>
          <w:rFonts w:ascii="Times" w:hAnsi="Times"/>
        </w:rPr>
        <w:t xml:space="preserve"> and</w:t>
      </w:r>
      <w:r w:rsidR="00026E18" w:rsidRPr="00926216">
        <w:rPr>
          <w:rFonts w:ascii="Times" w:hAnsi="Times"/>
        </w:rPr>
        <w:t xml:space="preserve"> Schabas points out that the </w:t>
      </w:r>
      <w:r w:rsidR="00C208F9" w:rsidRPr="00926216">
        <w:rPr>
          <w:rFonts w:ascii="Times" w:hAnsi="Times"/>
        </w:rPr>
        <w:t>‘</w:t>
      </w:r>
      <w:r w:rsidR="00026E18" w:rsidRPr="00926216">
        <w:rPr>
          <w:rFonts w:ascii="Times" w:hAnsi="Times"/>
        </w:rPr>
        <w:t xml:space="preserve">the word </w:t>
      </w:r>
      <w:r w:rsidR="00DD520A" w:rsidRPr="00926216">
        <w:rPr>
          <w:rFonts w:ascii="Times" w:hAnsi="Times"/>
        </w:rPr>
        <w:t>“</w:t>
      </w:r>
      <w:r w:rsidR="00026E18" w:rsidRPr="00926216">
        <w:rPr>
          <w:rFonts w:ascii="Times" w:hAnsi="Times"/>
        </w:rPr>
        <w:t>benefit</w:t>
      </w:r>
      <w:r w:rsidR="00DD520A" w:rsidRPr="00926216">
        <w:rPr>
          <w:rFonts w:ascii="Times" w:hAnsi="Times"/>
        </w:rPr>
        <w:t>”</w:t>
      </w:r>
      <w:r w:rsidR="00026E18" w:rsidRPr="00926216">
        <w:rPr>
          <w:rFonts w:ascii="Times" w:hAnsi="Times"/>
        </w:rPr>
        <w:t xml:space="preserve"> is probably being used rather loosely. </w:t>
      </w:r>
      <w:r w:rsidR="00EB6274" w:rsidRPr="00926216">
        <w:rPr>
          <w:rFonts w:ascii="Times" w:hAnsi="Times"/>
        </w:rPr>
        <w:t>It might for example include</w:t>
      </w:r>
      <w:r w:rsidR="00026E18" w:rsidRPr="00926216">
        <w:rPr>
          <w:rFonts w:ascii="Times" w:hAnsi="Times"/>
        </w:rPr>
        <w:t xml:space="preserve"> potential listeners of the community radio station.</w:t>
      </w:r>
      <w:r w:rsidR="00C208F9" w:rsidRPr="00926216">
        <w:rPr>
          <w:rFonts w:ascii="Times" w:hAnsi="Times"/>
        </w:rPr>
        <w:t>’</w:t>
      </w:r>
      <w:r w:rsidR="00026E18" w:rsidRPr="00926216">
        <w:rPr>
          <w:rStyle w:val="FootnoteReference"/>
          <w:rFonts w:ascii="Times" w:hAnsi="Times"/>
        </w:rPr>
        <w:footnoteReference w:id="25"/>
      </w:r>
    </w:p>
    <w:p w14:paraId="3DCFF835" w14:textId="03C0F6A9" w:rsidR="001A2FAE" w:rsidRPr="00926216" w:rsidRDefault="00CD0ADD" w:rsidP="00D429DF">
      <w:pPr>
        <w:spacing w:before="100" w:beforeAutospacing="1" w:after="100" w:afterAutospacing="1"/>
        <w:contextualSpacing/>
        <w:rPr>
          <w:rFonts w:ascii="Times" w:hAnsi="Times"/>
        </w:rPr>
      </w:pPr>
      <w:r w:rsidRPr="00926216">
        <w:rPr>
          <w:rFonts w:ascii="Times" w:hAnsi="Times"/>
        </w:rPr>
        <w:t>Another</w:t>
      </w:r>
      <w:r w:rsidR="001A2FAE" w:rsidRPr="00926216">
        <w:rPr>
          <w:rFonts w:ascii="Times" w:hAnsi="Times"/>
        </w:rPr>
        <w:t xml:space="preserve"> concern is </w:t>
      </w:r>
      <w:r w:rsidR="001A2FAE" w:rsidRPr="00926216">
        <w:rPr>
          <w:rFonts w:ascii="Times" w:hAnsi="Times" w:cs="Times"/>
        </w:rPr>
        <w:t xml:space="preserve">that the selection of intermediaries is far from transparent. While the </w:t>
      </w:r>
      <w:r w:rsidR="001A2FAE" w:rsidRPr="00926216">
        <w:rPr>
          <w:rFonts w:ascii="Times" w:hAnsi="Times"/>
        </w:rPr>
        <w:t xml:space="preserve">Board of Directors explains that they choose intermediaries </w:t>
      </w:r>
      <w:r w:rsidR="00C208F9" w:rsidRPr="00926216">
        <w:rPr>
          <w:rFonts w:ascii="Times" w:hAnsi="Times"/>
        </w:rPr>
        <w:t>‘</w:t>
      </w:r>
      <w:r w:rsidR="001A2FAE" w:rsidRPr="00926216">
        <w:rPr>
          <w:rFonts w:ascii="Times" w:hAnsi="Times" w:cs="Times"/>
        </w:rPr>
        <w:t>in consideration of their specialization, experience, local presence and knowledge of local conditions, and their technical expertise,</w:t>
      </w:r>
      <w:r w:rsidR="00C208F9" w:rsidRPr="00926216">
        <w:rPr>
          <w:rFonts w:ascii="Times" w:hAnsi="Times" w:cs="Times"/>
        </w:rPr>
        <w:t>’</w:t>
      </w:r>
      <w:r w:rsidR="001A2FAE" w:rsidRPr="00926216">
        <w:rPr>
          <w:rStyle w:val="FootnoteReference"/>
          <w:rFonts w:ascii="Times" w:hAnsi="Times" w:cs="Times"/>
        </w:rPr>
        <w:footnoteReference w:id="26"/>
      </w:r>
      <w:r w:rsidR="001A2FAE" w:rsidRPr="00926216">
        <w:rPr>
          <w:rFonts w:ascii="Times" w:hAnsi="Times"/>
        </w:rPr>
        <w:t xml:space="preserve"> it is not clear how </w:t>
      </w:r>
      <w:r w:rsidR="001A2FAE" w:rsidRPr="00926216">
        <w:rPr>
          <w:rFonts w:ascii="Times" w:hAnsi="Times" w:cs="Times"/>
        </w:rPr>
        <w:t xml:space="preserve">specific programmes are selected. </w:t>
      </w:r>
      <w:r w:rsidR="001A2FAE" w:rsidRPr="00926216">
        <w:rPr>
          <w:rFonts w:ascii="Times" w:hAnsi="Times"/>
        </w:rPr>
        <w:t xml:space="preserve">It set out: </w:t>
      </w:r>
    </w:p>
    <w:p w14:paraId="6E71D8D3" w14:textId="77777777" w:rsidR="001A2FAE" w:rsidRPr="00926216" w:rsidRDefault="001A2FAE" w:rsidP="00D429DF">
      <w:pPr>
        <w:spacing w:before="100" w:beforeAutospacing="1" w:after="100" w:afterAutospacing="1"/>
        <w:ind w:left="851"/>
        <w:contextualSpacing/>
        <w:rPr>
          <w:rFonts w:ascii="Times" w:hAnsi="Times"/>
        </w:rPr>
      </w:pPr>
      <w:r w:rsidRPr="00926216">
        <w:rPr>
          <w:rFonts w:ascii="Times" w:hAnsi="Times"/>
          <w:sz w:val="22"/>
          <w:szCs w:val="22"/>
        </w:rPr>
        <w:t>Through formal surveys, questionnaires, evaluation of existing assessments, and the simple methods used to collect information such as talking to people, walking through communities and observation, the Trust Fund has collected all information needed for being able to program how the ‘other resources’ could be used for the benefit of victims of any crime within the jurisdiction of the Court.</w:t>
      </w:r>
      <w:r w:rsidRPr="00926216">
        <w:rPr>
          <w:rStyle w:val="FootnoteReference"/>
          <w:rFonts w:ascii="Times" w:hAnsi="Times"/>
        </w:rPr>
        <w:footnoteReference w:id="27"/>
      </w:r>
      <w:r w:rsidRPr="00926216">
        <w:rPr>
          <w:rFonts w:ascii="Times" w:hAnsi="Times"/>
        </w:rPr>
        <w:t xml:space="preserve"> </w:t>
      </w:r>
    </w:p>
    <w:p w14:paraId="15AB3ACC" w14:textId="77777777" w:rsidR="00522D3D" w:rsidRDefault="00522D3D" w:rsidP="00D429DF">
      <w:pPr>
        <w:widowControl w:val="0"/>
        <w:autoSpaceDE w:val="0"/>
        <w:autoSpaceDN w:val="0"/>
        <w:adjustRightInd w:val="0"/>
        <w:spacing w:before="100" w:beforeAutospacing="1" w:after="100" w:afterAutospacing="1"/>
        <w:contextualSpacing/>
        <w:rPr>
          <w:rFonts w:ascii="Times" w:hAnsi="Times" w:cs="Times"/>
        </w:rPr>
      </w:pPr>
    </w:p>
    <w:p w14:paraId="4EE015EE" w14:textId="1BFB5DC3" w:rsidR="000332C5" w:rsidRPr="00926216" w:rsidRDefault="001A2FAE" w:rsidP="00D429DF">
      <w:pPr>
        <w:widowControl w:val="0"/>
        <w:autoSpaceDE w:val="0"/>
        <w:autoSpaceDN w:val="0"/>
        <w:adjustRightInd w:val="0"/>
        <w:spacing w:before="100" w:beforeAutospacing="1" w:after="100" w:afterAutospacing="1"/>
        <w:contextualSpacing/>
      </w:pPr>
      <w:r w:rsidRPr="00926216">
        <w:rPr>
          <w:rFonts w:ascii="Times" w:hAnsi="Times" w:cs="Times"/>
        </w:rPr>
        <w:t>Yet, it is unclear how this information is used, what the selection criteria are and how any criteria have been chosen.</w:t>
      </w:r>
      <w:r w:rsidR="0052215A" w:rsidRPr="00926216">
        <w:rPr>
          <w:rFonts w:ascii="Times" w:hAnsi="Times" w:cs="Times"/>
        </w:rPr>
        <w:t xml:space="preserve"> </w:t>
      </w:r>
      <w:r w:rsidR="0052215A" w:rsidRPr="00926216">
        <w:t xml:space="preserve">In addition, there is hardly any oversight of the judges over the general assistance mandate. Neither the Rome Statute nor the Trust Fund Regulations clarify the relationship between the Trust Fund’s general assistance mandate and the judicial procedure of the Chambers. According to Regulation 50(a)(i), the Trust Fund is seized when </w:t>
      </w:r>
      <w:r w:rsidR="00C208F9" w:rsidRPr="00926216">
        <w:t>‘</w:t>
      </w:r>
      <w:r w:rsidR="0052215A" w:rsidRPr="00926216">
        <w:t xml:space="preserve">the </w:t>
      </w:r>
      <w:r w:rsidR="0052215A" w:rsidRPr="00926216">
        <w:rPr>
          <w:i/>
        </w:rPr>
        <w:t>Board of Directors</w:t>
      </w:r>
      <w:r w:rsidR="0052215A" w:rsidRPr="00926216">
        <w:t xml:space="preserve"> considers it necessary to provide physical or psychological rehabilitation or material support for the benefit of victims and their families [emphasis </w:t>
      </w:r>
      <w:r w:rsidR="0052215A" w:rsidRPr="00926216">
        <w:lastRenderedPageBreak/>
        <w:t>added]</w:t>
      </w:r>
      <w:r w:rsidR="00C208F9" w:rsidRPr="00926216">
        <w:t>’</w:t>
      </w:r>
      <w:r w:rsidR="0052215A" w:rsidRPr="00926216">
        <w:t>.</w:t>
      </w:r>
      <w:r w:rsidR="0052215A" w:rsidRPr="00926216">
        <w:rPr>
          <w:rStyle w:val="FootnoteReference"/>
        </w:rPr>
        <w:footnoteReference w:id="28"/>
      </w:r>
      <w:r w:rsidR="0052215A" w:rsidRPr="00926216">
        <w:rPr>
          <w:sz w:val="26"/>
          <w:szCs w:val="26"/>
        </w:rPr>
        <w:t xml:space="preserve"> </w:t>
      </w:r>
      <w:r w:rsidR="0052215A" w:rsidRPr="00926216">
        <w:t xml:space="preserve">The judges have no say in the question of who should benefit from the assistance, which projects should be funded or </w:t>
      </w:r>
      <w:r w:rsidR="00C208F9" w:rsidRPr="00926216">
        <w:t>‘</w:t>
      </w:r>
      <w:r w:rsidR="0052215A" w:rsidRPr="00926216">
        <w:t>whether the activities and projects identified by the Board of Directors are the most appropriate, timely and effective responses to the needs identified, and/or whether the intended beneficiaries are the most deserving.</w:t>
      </w:r>
      <w:r w:rsidR="00C208F9" w:rsidRPr="00926216">
        <w:t>’</w:t>
      </w:r>
      <w:r w:rsidR="0052215A" w:rsidRPr="00926216">
        <w:rPr>
          <w:rStyle w:val="FootnoteReference"/>
        </w:rPr>
        <w:footnoteReference w:id="29"/>
      </w:r>
      <w:r w:rsidR="0052215A" w:rsidRPr="00926216">
        <w:t xml:space="preserve"> There is also no judicial review of the identification of victims or selection of implementation partners. Thus, while under the reparation mandate, the Trust Fund is simply implementing a Court order, under the general assistance mandate it works nearly completely independently from the Court.</w:t>
      </w:r>
      <w:r w:rsidR="0052215A" w:rsidRPr="00926216">
        <w:rPr>
          <w:rStyle w:val="FootnoteReference"/>
        </w:rPr>
        <w:footnoteReference w:id="30"/>
      </w:r>
    </w:p>
    <w:p w14:paraId="12C0AA1E" w14:textId="241B5624" w:rsidR="00915B20" w:rsidRPr="00926216" w:rsidRDefault="00031657" w:rsidP="00D429DF">
      <w:pPr>
        <w:widowControl w:val="0"/>
        <w:autoSpaceDE w:val="0"/>
        <w:autoSpaceDN w:val="0"/>
        <w:adjustRightInd w:val="0"/>
        <w:spacing w:before="100" w:beforeAutospacing="1" w:after="100" w:afterAutospacing="1"/>
        <w:contextualSpacing/>
        <w:rPr>
          <w:color w:val="000000" w:themeColor="text1"/>
        </w:rPr>
      </w:pPr>
      <w:r w:rsidRPr="00926216">
        <w:t xml:space="preserve">At the same time, the link of this mandate to the Rome Statute is rather </w:t>
      </w:r>
      <w:r w:rsidR="00BA3374" w:rsidRPr="00926216">
        <w:t>tenuous</w:t>
      </w:r>
      <w:r w:rsidRPr="00926216">
        <w:t xml:space="preserve">. </w:t>
      </w:r>
      <w:r w:rsidR="005813BB" w:rsidRPr="00926216">
        <w:t>The legal basis commonly given for the general assistance mandate is Rule 98(5) RPE,</w:t>
      </w:r>
      <w:r w:rsidR="005813BB" w:rsidRPr="00926216">
        <w:rPr>
          <w:rStyle w:val="FootnoteReference"/>
          <w:color w:val="000000" w:themeColor="text1"/>
        </w:rPr>
        <w:footnoteReference w:id="31"/>
      </w:r>
      <w:r w:rsidR="005813BB" w:rsidRPr="00926216">
        <w:rPr>
          <w:color w:val="000000" w:themeColor="text1"/>
        </w:rPr>
        <w:t xml:space="preserve"> </w:t>
      </w:r>
      <w:r w:rsidR="005813BB" w:rsidRPr="00926216">
        <w:t xml:space="preserve">which reads: </w:t>
      </w:r>
      <w:r w:rsidR="00C208F9" w:rsidRPr="00926216">
        <w:t>‘</w:t>
      </w:r>
      <w:r w:rsidR="005813BB" w:rsidRPr="00926216">
        <w:rPr>
          <w:rFonts w:cs="Palatino-Light"/>
          <w:color w:val="000000"/>
        </w:rPr>
        <w:t>Other resources of the Trust Fund may be used for the benefit of victims subject to the provisions of article 79</w:t>
      </w:r>
      <w:r w:rsidR="00C208F9" w:rsidRPr="00926216">
        <w:rPr>
          <w:rFonts w:cs="Palatino-Light"/>
          <w:color w:val="000000"/>
        </w:rPr>
        <w:t>’</w:t>
      </w:r>
      <w:r w:rsidR="00A05F43" w:rsidRPr="00926216">
        <w:rPr>
          <w:rFonts w:cs="Palatino-Light"/>
          <w:color w:val="000000"/>
        </w:rPr>
        <w:t xml:space="preserve"> in </w:t>
      </w:r>
      <w:r w:rsidR="00BA3374" w:rsidRPr="00926216">
        <w:rPr>
          <w:rFonts w:cs="Palatino-Light"/>
          <w:color w:val="000000"/>
        </w:rPr>
        <w:t>connection</w:t>
      </w:r>
      <w:r w:rsidR="00A05F43" w:rsidRPr="00926216">
        <w:rPr>
          <w:rFonts w:cs="Palatino-Light"/>
          <w:color w:val="000000"/>
        </w:rPr>
        <w:t xml:space="preserve"> with </w:t>
      </w:r>
      <w:r w:rsidR="005813BB" w:rsidRPr="00926216">
        <w:t xml:space="preserve">Article 79(1) </w:t>
      </w:r>
      <w:r w:rsidR="005813BB" w:rsidRPr="00926216">
        <w:rPr>
          <w:color w:val="000000" w:themeColor="text1"/>
        </w:rPr>
        <w:t xml:space="preserve">Rome Statute </w:t>
      </w:r>
      <w:r w:rsidR="00A05F43" w:rsidRPr="00926216">
        <w:rPr>
          <w:color w:val="000000" w:themeColor="text1"/>
        </w:rPr>
        <w:t xml:space="preserve">which reads </w:t>
      </w:r>
      <w:r w:rsidR="00C208F9" w:rsidRPr="00926216">
        <w:rPr>
          <w:color w:val="000000" w:themeColor="text1"/>
        </w:rPr>
        <w:t>‘</w:t>
      </w:r>
      <w:r w:rsidR="005813BB" w:rsidRPr="00926216">
        <w:rPr>
          <w:color w:val="000000" w:themeColor="text1"/>
        </w:rPr>
        <w:t>for the benefit of victims of crimes within the jurisdiction of the Court</w:t>
      </w:r>
      <w:r w:rsidR="00C208F9" w:rsidRPr="00926216">
        <w:rPr>
          <w:color w:val="000000" w:themeColor="text1"/>
        </w:rPr>
        <w:t>’</w:t>
      </w:r>
      <w:r w:rsidR="005813BB" w:rsidRPr="00926216">
        <w:rPr>
          <w:color w:val="000000" w:themeColor="text1"/>
        </w:rPr>
        <w:t>.</w:t>
      </w:r>
      <w:r w:rsidR="005813BB" w:rsidRPr="00926216">
        <w:rPr>
          <w:rStyle w:val="FootnoteReference"/>
          <w:color w:val="000000" w:themeColor="text1"/>
        </w:rPr>
        <w:footnoteReference w:id="32"/>
      </w:r>
      <w:r w:rsidR="005813BB" w:rsidRPr="00926216">
        <w:rPr>
          <w:color w:val="000000" w:themeColor="text1"/>
        </w:rPr>
        <w:t xml:space="preserve"> Article 79 does not however mention any assistance for the victims beyond that of the reparation </w:t>
      </w:r>
      <w:r w:rsidR="005813BB" w:rsidRPr="00926216">
        <w:t>award</w:t>
      </w:r>
      <w:r w:rsidR="005813BB" w:rsidRPr="00926216">
        <w:rPr>
          <w:rFonts w:cs="Palatino-Light"/>
          <w:color w:val="000000"/>
        </w:rPr>
        <w:t xml:space="preserve">. Furthermore, this article </w:t>
      </w:r>
      <w:proofErr w:type="gramStart"/>
      <w:r w:rsidR="005813BB" w:rsidRPr="00926216">
        <w:rPr>
          <w:rFonts w:cs="Palatino-Light"/>
          <w:color w:val="000000"/>
        </w:rPr>
        <w:t>is located in</w:t>
      </w:r>
      <w:proofErr w:type="gramEnd"/>
      <w:r w:rsidR="005813BB" w:rsidRPr="00926216">
        <w:rPr>
          <w:rFonts w:cs="Palatino-Light"/>
          <w:color w:val="000000"/>
        </w:rPr>
        <w:t xml:space="preserve"> Part VII of the </w:t>
      </w:r>
      <w:r w:rsidR="005813BB" w:rsidRPr="00926216">
        <w:t xml:space="preserve">Rome </w:t>
      </w:r>
      <w:r w:rsidR="005813BB" w:rsidRPr="00926216">
        <w:rPr>
          <w:rFonts w:cs="Palatino-Light"/>
          <w:color w:val="000000"/>
        </w:rPr>
        <w:t xml:space="preserve">Statute, </w:t>
      </w:r>
      <w:r w:rsidR="005813BB" w:rsidRPr="00926216">
        <w:t>which is entitled</w:t>
      </w:r>
      <w:r w:rsidR="005813BB" w:rsidRPr="00926216">
        <w:rPr>
          <w:rFonts w:cs="Palatino-Light"/>
          <w:color w:val="000000"/>
        </w:rPr>
        <w:t xml:space="preserve"> </w:t>
      </w:r>
      <w:r w:rsidR="00C208F9" w:rsidRPr="00926216">
        <w:rPr>
          <w:rFonts w:cs="Palatino-Light"/>
          <w:color w:val="000000"/>
        </w:rPr>
        <w:t>‘</w:t>
      </w:r>
      <w:r w:rsidR="005813BB" w:rsidRPr="00926216">
        <w:rPr>
          <w:rFonts w:cs="Palatino-Light"/>
          <w:color w:val="000000"/>
        </w:rPr>
        <w:t>Penalties</w:t>
      </w:r>
      <w:r w:rsidR="00C208F9" w:rsidRPr="00926216">
        <w:rPr>
          <w:rFonts w:cs="Palatino-Light"/>
          <w:color w:val="000000"/>
        </w:rPr>
        <w:t>’</w:t>
      </w:r>
      <w:r w:rsidR="005813BB" w:rsidRPr="00926216">
        <w:rPr>
          <w:rFonts w:cs="Palatino-Light"/>
          <w:color w:val="000000"/>
        </w:rPr>
        <w:t xml:space="preserve"> and con</w:t>
      </w:r>
      <w:r w:rsidR="001B1947" w:rsidRPr="00926216">
        <w:rPr>
          <w:rFonts w:cs="Palatino-Light"/>
          <w:color w:val="000000"/>
        </w:rPr>
        <w:t>s</w:t>
      </w:r>
      <w:r w:rsidR="005813BB" w:rsidRPr="00926216">
        <w:rPr>
          <w:rFonts w:cs="Palatino-Light"/>
          <w:color w:val="000000"/>
        </w:rPr>
        <w:t xml:space="preserve">equently must therefore </w:t>
      </w:r>
      <w:r w:rsidR="005813BB" w:rsidRPr="00926216">
        <w:t>assume a connection between the Trust Fund activities and a criminal conviction.</w:t>
      </w:r>
      <w:r w:rsidR="005813BB" w:rsidRPr="00926216">
        <w:rPr>
          <w:rFonts w:cs="Palatino-Light"/>
          <w:color w:val="000000"/>
        </w:rPr>
        <w:t xml:space="preserve"> </w:t>
      </w:r>
      <w:r w:rsidR="005813BB" w:rsidRPr="00926216">
        <w:t xml:space="preserve">From reading these provisions in context it becomes clear that initially the Trust Fund was created solely to implement and complement reparation orders, and not to </w:t>
      </w:r>
      <w:proofErr w:type="gramStart"/>
      <w:r w:rsidR="005813BB" w:rsidRPr="00926216">
        <w:t>offer assistance</w:t>
      </w:r>
      <w:proofErr w:type="gramEnd"/>
      <w:r w:rsidR="005813BB" w:rsidRPr="00926216">
        <w:t xml:space="preserve"> beyond a </w:t>
      </w:r>
      <w:r w:rsidR="005813BB" w:rsidRPr="00926216">
        <w:rPr>
          <w:color w:val="000000" w:themeColor="text1"/>
        </w:rPr>
        <w:t xml:space="preserve">criminal conviction. </w:t>
      </w:r>
      <w:r w:rsidR="00DD520A" w:rsidRPr="00926216">
        <w:rPr>
          <w:color w:val="000000" w:themeColor="text1"/>
        </w:rPr>
        <w:t>The idea of an additional a</w:t>
      </w:r>
      <w:r w:rsidR="003F2D66" w:rsidRPr="00926216">
        <w:rPr>
          <w:color w:val="000000" w:themeColor="text1"/>
        </w:rPr>
        <w:t xml:space="preserve">ssistance mandate was </w:t>
      </w:r>
      <w:r w:rsidR="008C3599" w:rsidRPr="00926216">
        <w:rPr>
          <w:color w:val="000000" w:themeColor="text1"/>
        </w:rPr>
        <w:t>discussed at the first meeting of the Board of Directors 20-2</w:t>
      </w:r>
      <w:r w:rsidR="00D12444" w:rsidRPr="00926216">
        <w:rPr>
          <w:color w:val="000000" w:themeColor="text1"/>
        </w:rPr>
        <w:t>2</w:t>
      </w:r>
      <w:r w:rsidR="008C3599" w:rsidRPr="00926216">
        <w:rPr>
          <w:color w:val="000000" w:themeColor="text1"/>
        </w:rPr>
        <w:t xml:space="preserve"> April 2004 and submitted </w:t>
      </w:r>
      <w:r w:rsidR="003F2D66" w:rsidRPr="00926216">
        <w:rPr>
          <w:color w:val="000000" w:themeColor="text1"/>
        </w:rPr>
        <w:t>in their Draft Regulations</w:t>
      </w:r>
      <w:r w:rsidR="008C3599" w:rsidRPr="00926216">
        <w:rPr>
          <w:color w:val="000000" w:themeColor="text1"/>
        </w:rPr>
        <w:t>.</w:t>
      </w:r>
      <w:r w:rsidR="003F2D66" w:rsidRPr="00926216">
        <w:rPr>
          <w:rStyle w:val="FootnoteReference"/>
          <w:color w:val="000000" w:themeColor="text1"/>
        </w:rPr>
        <w:footnoteReference w:id="33"/>
      </w:r>
      <w:r w:rsidR="003F2D66" w:rsidRPr="00926216">
        <w:rPr>
          <w:color w:val="000000" w:themeColor="text1"/>
        </w:rPr>
        <w:t xml:space="preserve"> </w:t>
      </w:r>
      <w:r w:rsidR="008C3599" w:rsidRPr="00926216">
        <w:rPr>
          <w:color w:val="000000" w:themeColor="text1"/>
        </w:rPr>
        <w:t>T</w:t>
      </w:r>
      <w:r w:rsidR="003F2D66" w:rsidRPr="00926216">
        <w:rPr>
          <w:color w:val="000000" w:themeColor="text1"/>
        </w:rPr>
        <w:t xml:space="preserve">he Assembly of State Parties </w:t>
      </w:r>
      <w:r w:rsidR="008C3599" w:rsidRPr="00926216">
        <w:rPr>
          <w:color w:val="000000" w:themeColor="text1"/>
        </w:rPr>
        <w:t xml:space="preserve">approved an amended version </w:t>
      </w:r>
      <w:r w:rsidR="003F2D66" w:rsidRPr="00926216">
        <w:rPr>
          <w:color w:val="000000" w:themeColor="text1"/>
        </w:rPr>
        <w:t xml:space="preserve">in </w:t>
      </w:r>
      <w:r w:rsidR="00D12444" w:rsidRPr="00926216">
        <w:rPr>
          <w:color w:val="000000" w:themeColor="text1"/>
        </w:rPr>
        <w:t xml:space="preserve">03 </w:t>
      </w:r>
      <w:r w:rsidR="003F2D66" w:rsidRPr="00926216">
        <w:rPr>
          <w:color w:val="000000" w:themeColor="text1"/>
        </w:rPr>
        <w:t>December 2005</w:t>
      </w:r>
      <w:r w:rsidR="00233E5A" w:rsidRPr="00926216">
        <w:rPr>
          <w:color w:val="000000" w:themeColor="text1"/>
        </w:rPr>
        <w:t xml:space="preserve"> </w:t>
      </w:r>
      <w:r w:rsidR="008C3599" w:rsidRPr="00926216">
        <w:rPr>
          <w:color w:val="000000" w:themeColor="text1"/>
        </w:rPr>
        <w:t xml:space="preserve">and the new </w:t>
      </w:r>
      <w:r w:rsidR="00B46AD9" w:rsidRPr="00926216">
        <w:rPr>
          <w:rFonts w:ascii="TimesNewRomanPSMT" w:hAnsi="TimesNewRomanPSMT" w:cs="TimesNewRomanPSMT"/>
          <w:color w:val="000000" w:themeColor="text1"/>
        </w:rPr>
        <w:t>Regulation</w:t>
      </w:r>
      <w:r w:rsidR="00F46A04" w:rsidRPr="00926216">
        <w:rPr>
          <w:rFonts w:ascii="TimesNewRomanPSMT" w:hAnsi="TimesNewRomanPSMT" w:cs="TimesNewRomanPSMT"/>
          <w:color w:val="000000" w:themeColor="text1"/>
        </w:rPr>
        <w:t xml:space="preserve"> 50(a) </w:t>
      </w:r>
      <w:r w:rsidR="00DB3BEC" w:rsidRPr="00926216">
        <w:rPr>
          <w:rFonts w:ascii="TimesNewRomanPSMT" w:hAnsi="TimesNewRomanPSMT" w:cs="TimesNewRomanPSMT"/>
        </w:rPr>
        <w:t xml:space="preserve">allows the </w:t>
      </w:r>
      <w:r w:rsidR="00DB3BEC" w:rsidRPr="00926216">
        <w:rPr>
          <w:rFonts w:ascii="TimesNewRomanPSMT" w:hAnsi="TimesNewRomanPSMT" w:cs="TimesNewRomanPSMT"/>
          <w:color w:val="000000" w:themeColor="text1"/>
        </w:rPr>
        <w:t>Trust Fund to use their resources outside reparation orders</w:t>
      </w:r>
      <w:r w:rsidRPr="00926216">
        <w:rPr>
          <w:rFonts w:ascii="TimesNewRomanPSMT" w:hAnsi="TimesNewRomanPSMT" w:cs="TimesNewRomanPSMT"/>
          <w:color w:val="000000" w:themeColor="text1"/>
        </w:rPr>
        <w:t>.</w:t>
      </w:r>
      <w:r w:rsidR="008C3599" w:rsidRPr="00926216">
        <w:rPr>
          <w:rStyle w:val="FootnoteReference"/>
          <w:rFonts w:ascii="TimesNewRomanPSMT" w:hAnsi="TimesNewRomanPSMT" w:cs="TimesNewRomanPSMT"/>
        </w:rPr>
        <w:footnoteReference w:id="34"/>
      </w:r>
      <w:r w:rsidRPr="00926216">
        <w:rPr>
          <w:rFonts w:ascii="TimesNewRomanPSMT" w:hAnsi="TimesNewRomanPSMT" w:cs="TimesNewRomanPSMT"/>
          <w:color w:val="000000" w:themeColor="text1"/>
        </w:rPr>
        <w:t xml:space="preserve"> </w:t>
      </w:r>
      <w:r w:rsidR="00B67FFB" w:rsidRPr="00926216">
        <w:rPr>
          <w:rFonts w:ascii="TimesNewRomanPSMT" w:hAnsi="TimesNewRomanPSMT" w:cs="TimesNewRomanPSMT"/>
          <w:color w:val="000000" w:themeColor="text1"/>
        </w:rPr>
        <w:t>Neither the Board’s draft nor the final regulations mention t</w:t>
      </w:r>
      <w:r w:rsidR="00DB3BEC" w:rsidRPr="00926216">
        <w:rPr>
          <w:rFonts w:ascii="TimesNewRomanPSMT" w:hAnsi="TimesNewRomanPSMT" w:cs="TimesNewRomanPSMT"/>
          <w:color w:val="000000" w:themeColor="text1"/>
        </w:rPr>
        <w:t xml:space="preserve">he </w:t>
      </w:r>
      <w:r w:rsidR="00B67FFB" w:rsidRPr="00926216">
        <w:rPr>
          <w:rFonts w:ascii="TimesNewRomanPSMT" w:hAnsi="TimesNewRomanPSMT" w:cs="TimesNewRomanPSMT"/>
          <w:color w:val="000000" w:themeColor="text1"/>
        </w:rPr>
        <w:t xml:space="preserve">expression </w:t>
      </w:r>
      <w:r w:rsidR="00915B20" w:rsidRPr="00926216">
        <w:rPr>
          <w:rFonts w:ascii="TimesNewRomanPSMT" w:hAnsi="TimesNewRomanPSMT" w:cs="TimesNewRomanPSMT"/>
          <w:color w:val="000000" w:themeColor="text1"/>
        </w:rPr>
        <w:t>‘</w:t>
      </w:r>
      <w:r w:rsidR="00DB3BEC" w:rsidRPr="00926216">
        <w:rPr>
          <w:rFonts w:ascii="TimesNewRomanPSMT" w:hAnsi="TimesNewRomanPSMT" w:cs="TimesNewRomanPSMT"/>
          <w:color w:val="000000" w:themeColor="text1"/>
        </w:rPr>
        <w:t>general assistance</w:t>
      </w:r>
      <w:r w:rsidR="00915B20" w:rsidRPr="00926216">
        <w:rPr>
          <w:rFonts w:ascii="TimesNewRomanPSMT" w:hAnsi="TimesNewRomanPSMT" w:cs="TimesNewRomanPSMT"/>
          <w:color w:val="000000" w:themeColor="text1"/>
        </w:rPr>
        <w:t>’</w:t>
      </w:r>
      <w:r w:rsidR="00DB3BEC" w:rsidRPr="00926216">
        <w:rPr>
          <w:rFonts w:ascii="TimesNewRomanPSMT" w:hAnsi="TimesNewRomanPSMT" w:cs="TimesNewRomanPSMT"/>
          <w:color w:val="000000" w:themeColor="text1"/>
        </w:rPr>
        <w:t xml:space="preserve"> or </w:t>
      </w:r>
      <w:r w:rsidR="00915B20" w:rsidRPr="00926216">
        <w:rPr>
          <w:rFonts w:ascii="TimesNewRomanPSMT" w:hAnsi="TimesNewRomanPSMT" w:cs="TimesNewRomanPSMT"/>
          <w:color w:val="000000" w:themeColor="text1"/>
        </w:rPr>
        <w:t>‘</w:t>
      </w:r>
      <w:r w:rsidR="00DB3BEC" w:rsidRPr="00926216">
        <w:rPr>
          <w:rFonts w:ascii="TimesNewRomanPSMT" w:hAnsi="TimesNewRomanPSMT" w:cs="TimesNewRomanPSMT"/>
          <w:color w:val="000000" w:themeColor="text1"/>
        </w:rPr>
        <w:t>second mandate</w:t>
      </w:r>
      <w:r w:rsidR="00915B20" w:rsidRPr="00926216">
        <w:rPr>
          <w:rFonts w:ascii="TimesNewRomanPSMT" w:hAnsi="TimesNewRomanPSMT" w:cs="TimesNewRomanPSMT"/>
          <w:color w:val="000000" w:themeColor="text1"/>
        </w:rPr>
        <w:t>’</w:t>
      </w:r>
      <w:r w:rsidR="00DB3BEC" w:rsidRPr="00926216">
        <w:rPr>
          <w:rFonts w:ascii="TimesNewRomanPSMT" w:hAnsi="TimesNewRomanPSMT" w:cs="TimesNewRomanPSMT"/>
          <w:color w:val="000000" w:themeColor="text1"/>
        </w:rPr>
        <w:t>, but</w:t>
      </w:r>
      <w:r w:rsidR="006668AD" w:rsidRPr="00926216">
        <w:rPr>
          <w:rFonts w:ascii="TimesNewRomanPSMT" w:hAnsi="TimesNewRomanPSMT" w:cs="TimesNewRomanPSMT"/>
          <w:color w:val="000000" w:themeColor="text1"/>
        </w:rPr>
        <w:t xml:space="preserve"> </w:t>
      </w:r>
      <w:r w:rsidR="00B67FFB" w:rsidRPr="00926216">
        <w:rPr>
          <w:rFonts w:ascii="TimesNewRomanPSMT" w:hAnsi="TimesNewRomanPSMT" w:cs="TimesNewRomanPSMT"/>
          <w:color w:val="000000" w:themeColor="text1"/>
        </w:rPr>
        <w:t xml:space="preserve">this term is </w:t>
      </w:r>
      <w:r w:rsidR="00DB3BEC" w:rsidRPr="00926216">
        <w:rPr>
          <w:rFonts w:ascii="TimesNewRomanPSMT" w:hAnsi="TimesNewRomanPSMT" w:cs="TimesNewRomanPSMT"/>
          <w:color w:val="000000" w:themeColor="text1"/>
        </w:rPr>
        <w:t xml:space="preserve">now routinely used </w:t>
      </w:r>
      <w:r w:rsidR="003F2D66" w:rsidRPr="00926216">
        <w:rPr>
          <w:rFonts w:ascii="TimesNewRomanPSMT" w:hAnsi="TimesNewRomanPSMT" w:cs="TimesNewRomanPSMT"/>
          <w:color w:val="000000" w:themeColor="text1"/>
        </w:rPr>
        <w:t>by</w:t>
      </w:r>
      <w:r w:rsidR="00DB3BEC" w:rsidRPr="00926216">
        <w:rPr>
          <w:rFonts w:ascii="TimesNewRomanPSMT" w:hAnsi="TimesNewRomanPSMT" w:cs="TimesNewRomanPSMT"/>
          <w:color w:val="000000" w:themeColor="text1"/>
        </w:rPr>
        <w:t xml:space="preserve"> the Trust Fund.</w:t>
      </w:r>
      <w:r w:rsidR="00DB3BEC" w:rsidRPr="00926216">
        <w:rPr>
          <w:rStyle w:val="FootnoteReference"/>
          <w:rFonts w:ascii="TimesNewRomanPSMT" w:hAnsi="TimesNewRomanPSMT" w:cs="TimesNewRomanPSMT"/>
          <w:color w:val="000000" w:themeColor="text1"/>
        </w:rPr>
        <w:footnoteReference w:id="35"/>
      </w:r>
      <w:r w:rsidR="006E66D2" w:rsidRPr="00926216">
        <w:rPr>
          <w:rFonts w:ascii="TimesNewRomanPSMT" w:hAnsi="TimesNewRomanPSMT" w:cs="TimesNewRomanPSMT"/>
          <w:color w:val="000000" w:themeColor="text1"/>
        </w:rPr>
        <w:t xml:space="preserve"> </w:t>
      </w:r>
      <w:bookmarkStart w:id="2" w:name="_Toc522015095"/>
      <w:bookmarkStart w:id="3" w:name="_Toc522015094"/>
      <w:r w:rsidR="00606121" w:rsidRPr="00926216">
        <w:rPr>
          <w:color w:val="000000" w:themeColor="text1"/>
        </w:rPr>
        <w:t xml:space="preserve">The Assembly of State Parties </w:t>
      </w:r>
      <w:r w:rsidR="00915B20" w:rsidRPr="00926216">
        <w:rPr>
          <w:color w:val="000000" w:themeColor="text1"/>
        </w:rPr>
        <w:t>has</w:t>
      </w:r>
      <w:r w:rsidR="00606121" w:rsidRPr="00926216">
        <w:rPr>
          <w:color w:val="000000" w:themeColor="text1"/>
        </w:rPr>
        <w:t xml:space="preserve"> </w:t>
      </w:r>
      <w:r w:rsidR="00915B20" w:rsidRPr="00926216">
        <w:rPr>
          <w:color w:val="000000" w:themeColor="text1"/>
        </w:rPr>
        <w:t>the right</w:t>
      </w:r>
      <w:r w:rsidR="00606121" w:rsidRPr="00926216">
        <w:rPr>
          <w:color w:val="000000" w:themeColor="text1"/>
        </w:rPr>
        <w:t xml:space="preserve"> to amend the Rome Statute and </w:t>
      </w:r>
      <w:r w:rsidR="00915B20" w:rsidRPr="00926216">
        <w:rPr>
          <w:color w:val="000000" w:themeColor="text1"/>
        </w:rPr>
        <w:t>therefore also</w:t>
      </w:r>
      <w:r w:rsidR="00606121" w:rsidRPr="00926216">
        <w:rPr>
          <w:color w:val="000000" w:themeColor="text1"/>
        </w:rPr>
        <w:t xml:space="preserve"> to extend the mandate of the Trust Fund beyond its initially envisioned role. Such extension </w:t>
      </w:r>
      <w:r w:rsidRPr="00926216">
        <w:rPr>
          <w:color w:val="000000" w:themeColor="text1"/>
        </w:rPr>
        <w:t xml:space="preserve">of the Trust Fund </w:t>
      </w:r>
      <w:r w:rsidR="0098007D" w:rsidRPr="00926216">
        <w:rPr>
          <w:color w:val="000000" w:themeColor="text1"/>
        </w:rPr>
        <w:t xml:space="preserve">however impacts </w:t>
      </w:r>
      <w:r w:rsidR="00E612BA" w:rsidRPr="00926216">
        <w:rPr>
          <w:color w:val="000000" w:themeColor="text1"/>
        </w:rPr>
        <w:t xml:space="preserve">negatively </w:t>
      </w:r>
      <w:r w:rsidR="0098007D" w:rsidRPr="00926216">
        <w:rPr>
          <w:color w:val="000000" w:themeColor="text1"/>
        </w:rPr>
        <w:t>on the Court and its legitimacy</w:t>
      </w:r>
      <w:r w:rsidR="00E612BA" w:rsidRPr="00926216">
        <w:rPr>
          <w:color w:val="000000" w:themeColor="text1"/>
        </w:rPr>
        <w:t>,</w:t>
      </w:r>
      <w:r w:rsidR="0098007D" w:rsidRPr="00926216">
        <w:rPr>
          <w:color w:val="000000" w:themeColor="text1"/>
        </w:rPr>
        <w:t xml:space="preserve"> as argued in this article. </w:t>
      </w:r>
      <w:r w:rsidR="00E0458A">
        <w:rPr>
          <w:color w:val="000000" w:themeColor="text1"/>
        </w:rPr>
        <w:t xml:space="preserve">The following two sections will examine first the problems of the Trust Fund itself, </w:t>
      </w:r>
      <w:r w:rsidR="006168B5">
        <w:rPr>
          <w:color w:val="000000" w:themeColor="text1"/>
        </w:rPr>
        <w:t>before addressing the various ways in which the Trust Fund might</w:t>
      </w:r>
      <w:r w:rsidR="00E0458A">
        <w:rPr>
          <w:color w:val="000000" w:themeColor="text1"/>
        </w:rPr>
        <w:t xml:space="preserve"> </w:t>
      </w:r>
      <w:proofErr w:type="spellStart"/>
      <w:proofErr w:type="gramStart"/>
      <w:r w:rsidR="006168B5">
        <w:rPr>
          <w:color w:val="000000" w:themeColor="text1"/>
        </w:rPr>
        <w:t>effect</w:t>
      </w:r>
      <w:proofErr w:type="spellEnd"/>
      <w:proofErr w:type="gramEnd"/>
      <w:r w:rsidR="00E0458A">
        <w:rPr>
          <w:color w:val="000000" w:themeColor="text1"/>
        </w:rPr>
        <w:t xml:space="preserve"> the legitimacy of the ICC.</w:t>
      </w:r>
    </w:p>
    <w:p w14:paraId="3C53B6A8" w14:textId="782AECF8" w:rsidR="00E74E7C" w:rsidRPr="00926216" w:rsidRDefault="00E74E7C" w:rsidP="00D429DF">
      <w:pPr>
        <w:pStyle w:val="Heading1"/>
        <w:numPr>
          <w:ilvl w:val="0"/>
          <w:numId w:val="48"/>
        </w:numPr>
        <w:spacing w:before="100" w:beforeAutospacing="1" w:after="100" w:afterAutospacing="1" w:line="240" w:lineRule="auto"/>
        <w:contextualSpacing/>
      </w:pPr>
      <w:r w:rsidRPr="00926216">
        <w:t>The General Assistance Mandate</w:t>
      </w:r>
    </w:p>
    <w:p w14:paraId="61EB4810" w14:textId="1A902484" w:rsidR="00E74E7C" w:rsidRDefault="00E74E7C" w:rsidP="00D429DF">
      <w:pPr>
        <w:spacing w:before="100" w:beforeAutospacing="1" w:after="100" w:afterAutospacing="1"/>
        <w:contextualSpacing/>
        <w:rPr>
          <w:color w:val="000000" w:themeColor="text1"/>
        </w:rPr>
      </w:pPr>
      <w:r w:rsidRPr="00F6464A">
        <w:rPr>
          <w:color w:val="000000" w:themeColor="text1"/>
        </w:rPr>
        <w:t xml:space="preserve">Before exploring </w:t>
      </w:r>
      <w:r w:rsidR="00A1450E" w:rsidRPr="00727CED">
        <w:rPr>
          <w:color w:val="000000" w:themeColor="text1"/>
        </w:rPr>
        <w:t>the problem</w:t>
      </w:r>
      <w:r w:rsidRPr="00FE679D">
        <w:rPr>
          <w:color w:val="000000" w:themeColor="text1"/>
        </w:rPr>
        <w:t xml:space="preserve"> </w:t>
      </w:r>
      <w:r w:rsidR="00A1450E" w:rsidRPr="00B15BA8">
        <w:rPr>
          <w:color w:val="000000" w:themeColor="text1"/>
        </w:rPr>
        <w:t>of legitimacy</w:t>
      </w:r>
      <w:r w:rsidRPr="00E41FA3">
        <w:rPr>
          <w:color w:val="000000" w:themeColor="text1"/>
        </w:rPr>
        <w:t xml:space="preserve">, we first </w:t>
      </w:r>
      <w:proofErr w:type="gramStart"/>
      <w:r w:rsidRPr="00E41FA3">
        <w:rPr>
          <w:color w:val="000000" w:themeColor="text1"/>
        </w:rPr>
        <w:t>have to</w:t>
      </w:r>
      <w:proofErr w:type="gramEnd"/>
      <w:r w:rsidRPr="00E41FA3">
        <w:rPr>
          <w:color w:val="000000" w:themeColor="text1"/>
        </w:rPr>
        <w:t xml:space="preserve"> ask whether the general assistance mandate is actually capable of overcoming the reparation gap by comparing the </w:t>
      </w:r>
      <w:r w:rsidRPr="00E41FA3">
        <w:rPr>
          <w:color w:val="000000" w:themeColor="text1"/>
        </w:rPr>
        <w:lastRenderedPageBreak/>
        <w:t>capability of the Trust Fund to raise sufficient funds with th</w:t>
      </w:r>
      <w:r w:rsidRPr="00E950EE">
        <w:rPr>
          <w:color w:val="000000" w:themeColor="text1"/>
        </w:rPr>
        <w:t>e costs of running the general assistance mandate.</w:t>
      </w:r>
    </w:p>
    <w:p w14:paraId="0863D0C2" w14:textId="5BAF1675" w:rsidR="00E74E7C" w:rsidRPr="00926216" w:rsidRDefault="009D6140" w:rsidP="00D429DF">
      <w:pPr>
        <w:pStyle w:val="Heading2"/>
        <w:spacing w:before="100" w:beforeAutospacing="1" w:after="100" w:afterAutospacing="1" w:line="240" w:lineRule="auto"/>
      </w:pPr>
      <w:r>
        <w:t xml:space="preserve">3.1 </w:t>
      </w:r>
      <w:r w:rsidR="00635B6F" w:rsidRPr="00926216">
        <w:t>Weak Fund Raising</w:t>
      </w:r>
      <w:bookmarkEnd w:id="2"/>
    </w:p>
    <w:p w14:paraId="41364CD4" w14:textId="6FA92CFF" w:rsidR="00635B6F" w:rsidRPr="00926216" w:rsidRDefault="00892DCD" w:rsidP="00D429DF">
      <w:pPr>
        <w:spacing w:before="100" w:beforeAutospacing="1" w:after="100" w:afterAutospacing="1"/>
        <w:contextualSpacing/>
        <w:rPr>
          <w:rFonts w:ascii="Times" w:hAnsi="Times"/>
        </w:rPr>
      </w:pPr>
      <w:r w:rsidRPr="00926216">
        <w:rPr>
          <w:rFonts w:ascii="Times" w:hAnsi="Times"/>
        </w:rPr>
        <w:t>T</w:t>
      </w:r>
      <w:r w:rsidR="00635B6F" w:rsidRPr="00926216">
        <w:rPr>
          <w:rFonts w:ascii="Times" w:hAnsi="Times"/>
        </w:rPr>
        <w:t>he first problem is that the intended process of fundraising</w:t>
      </w:r>
      <w:r w:rsidR="00722ECD" w:rsidRPr="00926216">
        <w:rPr>
          <w:rFonts w:ascii="Times" w:hAnsi="Times"/>
        </w:rPr>
        <w:t xml:space="preserve"> for</w:t>
      </w:r>
      <w:r w:rsidR="00524D9B" w:rsidRPr="00926216">
        <w:rPr>
          <w:rFonts w:ascii="Times" w:hAnsi="Times"/>
        </w:rPr>
        <w:t xml:space="preserve"> the Trust Fund</w:t>
      </w:r>
      <w:r w:rsidR="00635B6F" w:rsidRPr="00926216">
        <w:rPr>
          <w:rFonts w:ascii="Times" w:hAnsi="Times"/>
        </w:rPr>
        <w:t xml:space="preserve"> has proven to be inadequate</w:t>
      </w:r>
      <w:r w:rsidR="00573821" w:rsidRPr="00926216">
        <w:rPr>
          <w:rFonts w:ascii="Times" w:hAnsi="Times"/>
        </w:rPr>
        <w:t xml:space="preserve"> to raise </w:t>
      </w:r>
      <w:proofErr w:type="gramStart"/>
      <w:r w:rsidR="00573821" w:rsidRPr="00926216">
        <w:rPr>
          <w:rFonts w:ascii="Times" w:hAnsi="Times"/>
        </w:rPr>
        <w:t>sufficient</w:t>
      </w:r>
      <w:proofErr w:type="gramEnd"/>
      <w:r w:rsidR="00573821" w:rsidRPr="00926216">
        <w:rPr>
          <w:rFonts w:ascii="Times" w:hAnsi="Times"/>
        </w:rPr>
        <w:t xml:space="preserve"> funds</w:t>
      </w:r>
      <w:r w:rsidR="00635B6F" w:rsidRPr="00926216">
        <w:rPr>
          <w:rFonts w:ascii="Times" w:hAnsi="Times"/>
        </w:rPr>
        <w:t xml:space="preserve">. Initially, it was envisioned that the Court could order money and property </w:t>
      </w:r>
      <w:r w:rsidR="00635B6F" w:rsidRPr="00926216">
        <w:t>that had been collected through</w:t>
      </w:r>
      <w:r w:rsidR="00635B6F" w:rsidRPr="00926216">
        <w:rPr>
          <w:rFonts w:ascii="Times" w:hAnsi="Times"/>
        </w:rPr>
        <w:t xml:space="preserve"> fines or forfeitures to be transferred to the Fund.</w:t>
      </w:r>
      <w:r w:rsidR="00635B6F" w:rsidRPr="00926216">
        <w:rPr>
          <w:rStyle w:val="FootnoteReference"/>
          <w:rFonts w:ascii="Times" w:hAnsi="Times"/>
        </w:rPr>
        <w:footnoteReference w:id="36"/>
      </w:r>
      <w:r w:rsidR="00635B6F" w:rsidRPr="00926216">
        <w:rPr>
          <w:rFonts w:ascii="Times" w:hAnsi="Times"/>
        </w:rPr>
        <w:t xml:space="preserve"> The expectation that some defendants, (for example warlords in the mineral rich Democratic Republic of Congo),</w:t>
      </w:r>
      <w:r w:rsidR="00635B6F" w:rsidRPr="00926216">
        <w:rPr>
          <w:rStyle w:val="FootnoteReference"/>
          <w:rFonts w:ascii="Times" w:hAnsi="Times"/>
        </w:rPr>
        <w:footnoteReference w:id="37"/>
      </w:r>
      <w:r w:rsidR="00635B6F" w:rsidRPr="00926216">
        <w:rPr>
          <w:rFonts w:ascii="Times" w:hAnsi="Times"/>
        </w:rPr>
        <w:t xml:space="preserve"> would have access to considerable assets proved however to be wrong and to date the Trust Fund has received no funds from fines or forfeitures. </w:t>
      </w:r>
      <w:r w:rsidR="00560828" w:rsidRPr="00926216">
        <w:rPr>
          <w:rFonts w:ascii="Times" w:hAnsi="Times"/>
        </w:rPr>
        <w:t xml:space="preserve">The only defendant where considerable assets were found, was </w:t>
      </w:r>
      <w:r w:rsidR="00560828" w:rsidRPr="00926216">
        <w:rPr>
          <w:rFonts w:ascii="Times" w:hAnsi="Times"/>
          <w:iCs/>
        </w:rPr>
        <w:t xml:space="preserve">Jean-Pierre Bemba </w:t>
      </w:r>
      <w:proofErr w:type="spellStart"/>
      <w:r w:rsidR="00560828" w:rsidRPr="00926216">
        <w:rPr>
          <w:rFonts w:ascii="Times" w:hAnsi="Times"/>
          <w:iCs/>
        </w:rPr>
        <w:t>Gombo</w:t>
      </w:r>
      <w:proofErr w:type="spellEnd"/>
      <w:r w:rsidR="00560828" w:rsidRPr="00926216">
        <w:rPr>
          <w:rFonts w:ascii="Times" w:hAnsi="Times"/>
          <w:iCs/>
        </w:rPr>
        <w:t xml:space="preserve"> (now acquitted) who had initially been found ineligible for legal aid due</w:t>
      </w:r>
      <w:r w:rsidR="006668AD" w:rsidRPr="00926216">
        <w:rPr>
          <w:rFonts w:ascii="Times" w:hAnsi="Times"/>
          <w:iCs/>
        </w:rPr>
        <w:t xml:space="preserve"> to</w:t>
      </w:r>
      <w:r w:rsidR="00560828" w:rsidRPr="00926216">
        <w:rPr>
          <w:rFonts w:ascii="Times" w:hAnsi="Times"/>
          <w:iCs/>
        </w:rPr>
        <w:t xml:space="preserve"> his considerable wealth.</w:t>
      </w:r>
      <w:r w:rsidR="00560828" w:rsidRPr="00926216">
        <w:rPr>
          <w:rStyle w:val="FootnoteReference"/>
          <w:rFonts w:ascii="Times" w:hAnsi="Times"/>
        </w:rPr>
        <w:footnoteReference w:id="38"/>
      </w:r>
      <w:r w:rsidR="00560828" w:rsidRPr="00926216">
        <w:rPr>
          <w:rFonts w:ascii="Times" w:hAnsi="Times"/>
          <w:iCs/>
        </w:rPr>
        <w:t xml:space="preserve"> Indeed, </w:t>
      </w:r>
      <w:r w:rsidR="00560828" w:rsidRPr="00926216">
        <w:rPr>
          <w:rFonts w:ascii="Times" w:hAnsi="Times"/>
        </w:rPr>
        <w:t>over €5 million in assets had been seized,</w:t>
      </w:r>
      <w:r w:rsidR="00560828" w:rsidRPr="00926216">
        <w:rPr>
          <w:rStyle w:val="FootnoteReference"/>
          <w:rFonts w:ascii="Times" w:hAnsi="Times"/>
        </w:rPr>
        <w:footnoteReference w:id="39"/>
      </w:r>
      <w:r w:rsidR="00560828" w:rsidRPr="00926216">
        <w:rPr>
          <w:rFonts w:ascii="Times" w:hAnsi="Times"/>
        </w:rPr>
        <w:t xml:space="preserve"> but by the end of 2014, he had already spent </w:t>
      </w:r>
      <w:r w:rsidR="00560828" w:rsidRPr="00926216">
        <w:rPr>
          <w:rFonts w:ascii="Times" w:hAnsi="Times"/>
          <w:iCs/>
        </w:rPr>
        <w:t>€2,799,380.94 on legal fees.</w:t>
      </w:r>
      <w:r w:rsidR="00560828" w:rsidRPr="00926216">
        <w:rPr>
          <w:rStyle w:val="FootnoteReference"/>
          <w:rFonts w:ascii="Times" w:hAnsi="Times"/>
        </w:rPr>
        <w:footnoteReference w:id="40"/>
      </w:r>
      <w:r w:rsidR="00560828" w:rsidRPr="00926216">
        <w:rPr>
          <w:rFonts w:ascii="Times" w:hAnsi="Times"/>
          <w:iCs/>
        </w:rPr>
        <w:t xml:space="preserve"> </w:t>
      </w:r>
      <w:r w:rsidR="00635B6F" w:rsidRPr="00926216">
        <w:rPr>
          <w:rFonts w:ascii="Times" w:hAnsi="Times"/>
        </w:rPr>
        <w:t xml:space="preserve">Fortunately, the Fund </w:t>
      </w:r>
      <w:r w:rsidR="00391D14" w:rsidRPr="00926216">
        <w:rPr>
          <w:rFonts w:ascii="Times" w:hAnsi="Times"/>
        </w:rPr>
        <w:t>is permitted to</w:t>
      </w:r>
      <w:r w:rsidR="00635B6F" w:rsidRPr="00926216">
        <w:rPr>
          <w:rFonts w:ascii="Times" w:hAnsi="Times"/>
        </w:rPr>
        <w:t xml:space="preserve"> receive voluntary contributions from government</w:t>
      </w:r>
      <w:r w:rsidR="000862AE" w:rsidRPr="00926216">
        <w:rPr>
          <w:rFonts w:ascii="Times" w:hAnsi="Times"/>
        </w:rPr>
        <w:t>s</w:t>
      </w:r>
      <w:r w:rsidR="00635B6F" w:rsidRPr="00926216">
        <w:rPr>
          <w:rFonts w:ascii="Times" w:hAnsi="Times"/>
        </w:rPr>
        <w:t>, organisations, individuals, corporations and other entities.</w:t>
      </w:r>
      <w:r w:rsidR="00635B6F" w:rsidRPr="00926216">
        <w:rPr>
          <w:rStyle w:val="FootnoteReference"/>
          <w:rFonts w:ascii="Times" w:hAnsi="Times"/>
        </w:rPr>
        <w:footnoteReference w:id="41"/>
      </w:r>
      <w:r w:rsidR="00635B6F" w:rsidRPr="00926216">
        <w:rPr>
          <w:rFonts w:ascii="Times" w:hAnsi="Times"/>
        </w:rPr>
        <w:t xml:space="preserve"> This means however, that the Trust Fund is dependent on fund raising, a task given to the Trust Fund’s Board of Directors.</w:t>
      </w:r>
      <w:r w:rsidR="00635B6F" w:rsidRPr="00926216">
        <w:rPr>
          <w:rStyle w:val="FootnoteReference"/>
          <w:rFonts w:ascii="Times" w:hAnsi="Times"/>
        </w:rPr>
        <w:footnoteReference w:id="42"/>
      </w:r>
      <w:r w:rsidR="00635B6F" w:rsidRPr="00926216">
        <w:rPr>
          <w:rFonts w:ascii="Times" w:hAnsi="Times"/>
        </w:rPr>
        <w:t xml:space="preserve"> </w:t>
      </w:r>
    </w:p>
    <w:p w14:paraId="1885F723" w14:textId="52EA57D7" w:rsidR="001B1947" w:rsidRPr="00926216" w:rsidRDefault="00635B6F" w:rsidP="00D429DF">
      <w:pPr>
        <w:spacing w:before="100" w:beforeAutospacing="1" w:after="100" w:afterAutospacing="1"/>
        <w:contextualSpacing/>
        <w:rPr>
          <w:rFonts w:ascii="Times" w:hAnsi="Times"/>
        </w:rPr>
      </w:pPr>
      <w:r w:rsidRPr="00926216">
        <w:rPr>
          <w:rFonts w:ascii="Times" w:hAnsi="Times"/>
        </w:rPr>
        <w:t>The Board has five Directors who are elected by the Assembly of State Parties for three years.</w:t>
      </w:r>
      <w:r w:rsidRPr="00926216">
        <w:rPr>
          <w:rStyle w:val="FootnoteReference"/>
          <w:rFonts w:ascii="Times" w:eastAsiaTheme="majorEastAsia" w:hAnsi="Times"/>
        </w:rPr>
        <w:footnoteReference w:id="43"/>
      </w:r>
      <w:r w:rsidRPr="00926216">
        <w:rPr>
          <w:rFonts w:ascii="Times" w:hAnsi="Times"/>
        </w:rPr>
        <w:t xml:space="preserve"> They are acting in their personal capacity on a </w:t>
      </w:r>
      <w:r w:rsidRPr="00926216">
        <w:rPr>
          <w:rFonts w:ascii="Times" w:hAnsi="Times"/>
          <w:i/>
        </w:rPr>
        <w:t xml:space="preserve">pro bono </w:t>
      </w:r>
      <w:r w:rsidRPr="00926216">
        <w:rPr>
          <w:rFonts w:ascii="Times" w:hAnsi="Times"/>
        </w:rPr>
        <w:t>basis</w:t>
      </w:r>
      <w:r w:rsidRPr="00926216">
        <w:rPr>
          <w:rStyle w:val="FootnoteReference"/>
          <w:rFonts w:ascii="Times" w:hAnsi="Times"/>
        </w:rPr>
        <w:footnoteReference w:id="44"/>
      </w:r>
      <w:r w:rsidRPr="00926216">
        <w:rPr>
          <w:rFonts w:ascii="Times" w:hAnsi="Times"/>
        </w:rPr>
        <w:t xml:space="preserve"> and report</w:t>
      </w:r>
      <w:r w:rsidRPr="00926216">
        <w:rPr>
          <w:rFonts w:ascii="Times" w:hAnsi="Times"/>
          <w:color w:val="000000" w:themeColor="text1"/>
        </w:rPr>
        <w:t xml:space="preserve"> to the </w:t>
      </w:r>
      <w:r w:rsidRPr="00926216">
        <w:rPr>
          <w:rFonts w:ascii="Times" w:hAnsi="Times"/>
        </w:rPr>
        <w:t>Assembly of State Parties</w:t>
      </w:r>
      <w:r w:rsidRPr="00926216">
        <w:rPr>
          <w:rFonts w:ascii="Times" w:hAnsi="Times"/>
          <w:color w:val="000000" w:themeColor="text1"/>
        </w:rPr>
        <w:t>.</w:t>
      </w:r>
      <w:r w:rsidRPr="00926216">
        <w:rPr>
          <w:rStyle w:val="FootnoteReference"/>
          <w:rFonts w:ascii="Times" w:hAnsi="Times"/>
          <w:color w:val="000000" w:themeColor="text1"/>
        </w:rPr>
        <w:footnoteReference w:id="45"/>
      </w:r>
      <w:r w:rsidRPr="00926216">
        <w:rPr>
          <w:rFonts w:ascii="Times" w:hAnsi="Times"/>
        </w:rPr>
        <w:t xml:space="preserve"> </w:t>
      </w:r>
      <w:r w:rsidR="009F176D" w:rsidRPr="00926216">
        <w:rPr>
          <w:rFonts w:ascii="Times" w:hAnsi="Times"/>
        </w:rPr>
        <w:t xml:space="preserve">The NGO </w:t>
      </w:r>
      <w:r w:rsidR="00722ECD" w:rsidRPr="00926216">
        <w:rPr>
          <w:rFonts w:ascii="Times" w:hAnsi="Times"/>
        </w:rPr>
        <w:t xml:space="preserve">‘Redress’ </w:t>
      </w:r>
      <w:r w:rsidR="009F176D" w:rsidRPr="00926216">
        <w:rPr>
          <w:rFonts w:ascii="Times" w:hAnsi="Times"/>
        </w:rPr>
        <w:t xml:space="preserve">expressed that </w:t>
      </w:r>
      <w:r w:rsidR="000862AE" w:rsidRPr="00926216">
        <w:rPr>
          <w:rFonts w:ascii="Times" w:hAnsi="Times"/>
        </w:rPr>
        <w:t xml:space="preserve">the </w:t>
      </w:r>
      <w:r w:rsidR="00C208F9" w:rsidRPr="00926216">
        <w:rPr>
          <w:rFonts w:ascii="Times" w:hAnsi="Times"/>
        </w:rPr>
        <w:t>‘</w:t>
      </w:r>
      <w:r w:rsidR="009F176D" w:rsidRPr="00926216">
        <w:rPr>
          <w:rFonts w:ascii="Times" w:hAnsi="Times"/>
        </w:rPr>
        <w:t>profile of the Board Members provides a unique opportunity to draw greater attention to the plight of victims and family members within the Court’s jurisdiction</w:t>
      </w:r>
      <w:r w:rsidR="00C208F9" w:rsidRPr="00926216">
        <w:rPr>
          <w:rFonts w:ascii="Times" w:hAnsi="Times"/>
        </w:rPr>
        <w:t>’</w:t>
      </w:r>
      <w:r w:rsidR="009F176D" w:rsidRPr="00926216">
        <w:rPr>
          <w:rFonts w:ascii="Times" w:hAnsi="Times"/>
        </w:rPr>
        <w:t>.</w:t>
      </w:r>
      <w:r w:rsidR="009F176D" w:rsidRPr="00926216">
        <w:rPr>
          <w:rStyle w:val="FootnoteReference"/>
          <w:rFonts w:ascii="Times" w:hAnsi="Times"/>
        </w:rPr>
        <w:footnoteReference w:id="46"/>
      </w:r>
      <w:r w:rsidR="009F176D" w:rsidRPr="00926216">
        <w:rPr>
          <w:rFonts w:ascii="Times" w:hAnsi="Times"/>
        </w:rPr>
        <w:t xml:space="preserve"> T</w:t>
      </w:r>
      <w:r w:rsidRPr="00926216">
        <w:rPr>
          <w:rFonts w:ascii="Times" w:hAnsi="Times"/>
        </w:rPr>
        <w:t xml:space="preserve">he election of five prominent Directors </w:t>
      </w:r>
      <w:r w:rsidR="009F176D" w:rsidRPr="00926216">
        <w:rPr>
          <w:rFonts w:ascii="Times" w:hAnsi="Times"/>
        </w:rPr>
        <w:t xml:space="preserve">however </w:t>
      </w:r>
      <w:r w:rsidRPr="00926216">
        <w:rPr>
          <w:rFonts w:ascii="Times" w:hAnsi="Times"/>
        </w:rPr>
        <w:t>turned out to be more challenging than expected. Although the period of nomination for the first Board in 2003 was opened for nearly four months, the Assembly of State Parties struggled to find enough candidates.</w:t>
      </w:r>
      <w:r w:rsidRPr="00926216">
        <w:rPr>
          <w:rStyle w:val="FootnoteReference"/>
          <w:rFonts w:ascii="Times" w:eastAsiaTheme="majorEastAsia" w:hAnsi="Times"/>
        </w:rPr>
        <w:footnoteReference w:id="47"/>
      </w:r>
      <w:r w:rsidRPr="00926216">
        <w:rPr>
          <w:rFonts w:ascii="Times" w:hAnsi="Times"/>
        </w:rPr>
        <w:t xml:space="preserve"> Embarrassingly, at its first meeting, the Assembly had to issue an urgent additional invitation for nominations before the closing of the session. Consequently, the nomination was opened for another three days from 8 to 10 September 2003,</w:t>
      </w:r>
      <w:r w:rsidRPr="00926216">
        <w:rPr>
          <w:rStyle w:val="FootnoteReference"/>
          <w:rFonts w:ascii="Times" w:eastAsiaTheme="majorEastAsia" w:hAnsi="Times"/>
        </w:rPr>
        <w:footnoteReference w:id="48"/>
      </w:r>
      <w:r w:rsidRPr="00926216">
        <w:rPr>
          <w:rFonts w:ascii="Times" w:hAnsi="Times"/>
        </w:rPr>
        <w:t xml:space="preserve"> giving the Assembly hardly any time to vet, consider and discuss any of the candidates before the election on 12 September. One of these </w:t>
      </w:r>
      <w:r w:rsidR="00CD0ADD" w:rsidRPr="00926216">
        <w:rPr>
          <w:rFonts w:ascii="Times" w:hAnsi="Times"/>
        </w:rPr>
        <w:t>last-minute</w:t>
      </w:r>
      <w:r w:rsidRPr="00926216">
        <w:rPr>
          <w:rFonts w:ascii="Times" w:hAnsi="Times"/>
        </w:rPr>
        <w:t xml:space="preserve"> candidates was Her Majesty Queen Rania Al Abdullah, the wife of the </w:t>
      </w:r>
      <w:r w:rsidRPr="00926216">
        <w:rPr>
          <w:rFonts w:ascii="Times" w:hAnsi="Times"/>
          <w:color w:val="000000" w:themeColor="text1"/>
        </w:rPr>
        <w:t>childhood friend</w:t>
      </w:r>
      <w:r w:rsidRPr="00926216">
        <w:rPr>
          <w:rFonts w:ascii="Times" w:hAnsi="Times"/>
        </w:rPr>
        <w:t xml:space="preserve"> of then Assembly of State </w:t>
      </w:r>
      <w:r w:rsidRPr="00926216">
        <w:rPr>
          <w:rFonts w:ascii="Times" w:hAnsi="Times"/>
          <w:color w:val="000000" w:themeColor="text1"/>
        </w:rPr>
        <w:t xml:space="preserve">Parties’ President </w:t>
      </w:r>
      <w:r w:rsidRPr="00926216">
        <w:rPr>
          <w:rFonts w:ascii="Times" w:hAnsi="Times"/>
          <w:color w:val="000000" w:themeColor="text1"/>
          <w:shd w:val="clear" w:color="auto" w:fill="FFFFFF"/>
        </w:rPr>
        <w:t xml:space="preserve">Prince </w:t>
      </w:r>
      <w:proofErr w:type="spellStart"/>
      <w:r w:rsidRPr="00926216">
        <w:rPr>
          <w:rFonts w:ascii="Times" w:hAnsi="Times"/>
          <w:color w:val="000000" w:themeColor="text1"/>
          <w:shd w:val="clear" w:color="auto" w:fill="FFFFFF"/>
        </w:rPr>
        <w:t>Zeid</w:t>
      </w:r>
      <w:proofErr w:type="spellEnd"/>
      <w:r w:rsidRPr="00926216">
        <w:rPr>
          <w:rFonts w:ascii="Times" w:hAnsi="Times"/>
          <w:color w:val="000000" w:themeColor="text1"/>
          <w:shd w:val="clear" w:color="auto" w:fill="FFFFFF"/>
        </w:rPr>
        <w:t xml:space="preserve"> </w:t>
      </w:r>
      <w:proofErr w:type="spellStart"/>
      <w:r w:rsidRPr="00926216">
        <w:rPr>
          <w:rFonts w:ascii="Times" w:hAnsi="Times"/>
          <w:color w:val="000000" w:themeColor="text1"/>
          <w:shd w:val="clear" w:color="auto" w:fill="FFFFFF"/>
        </w:rPr>
        <w:t>Raad</w:t>
      </w:r>
      <w:proofErr w:type="spellEnd"/>
      <w:r w:rsidRPr="00926216">
        <w:rPr>
          <w:rFonts w:ascii="Times" w:hAnsi="Times"/>
        </w:rPr>
        <w:t xml:space="preserve">. This potential conflict of interest was probably outweighed by the urgency to find possible candidates and it might not be too farfetched to presume that Queen Rania was asked by her husband’s friend to </w:t>
      </w:r>
      <w:proofErr w:type="gramStart"/>
      <w:r w:rsidRPr="00926216">
        <w:rPr>
          <w:rFonts w:ascii="Times" w:hAnsi="Times"/>
        </w:rPr>
        <w:t>help out</w:t>
      </w:r>
      <w:proofErr w:type="gramEnd"/>
      <w:r w:rsidRPr="00926216">
        <w:rPr>
          <w:rFonts w:ascii="Times" w:hAnsi="Times"/>
        </w:rPr>
        <w:t xml:space="preserve"> as a matter of </w:t>
      </w:r>
      <w:r w:rsidRPr="00926216">
        <w:rPr>
          <w:rFonts w:ascii="Times" w:hAnsi="Times"/>
        </w:rPr>
        <w:lastRenderedPageBreak/>
        <w:t xml:space="preserve">urgency. </w:t>
      </w:r>
      <w:r w:rsidR="008F04CD" w:rsidRPr="00926216">
        <w:rPr>
          <w:color w:val="000000" w:themeColor="text1"/>
        </w:rPr>
        <w:t>Finding Directors</w:t>
      </w:r>
      <w:r w:rsidR="008F04CD">
        <w:rPr>
          <w:color w:val="000000" w:themeColor="text1"/>
        </w:rPr>
        <w:t xml:space="preserve"> continues </w:t>
      </w:r>
      <w:r w:rsidR="008F04CD" w:rsidRPr="00926216">
        <w:rPr>
          <w:color w:val="000000" w:themeColor="text1"/>
        </w:rPr>
        <w:t>to be a problem as the number of extension of nominations of candidates in all but one election shows.</w:t>
      </w:r>
      <w:r w:rsidR="008F04CD" w:rsidRPr="00926216">
        <w:rPr>
          <w:rStyle w:val="FootnoteReference"/>
          <w:color w:val="000000" w:themeColor="text1"/>
        </w:rPr>
        <w:footnoteReference w:id="49"/>
      </w:r>
      <w:r w:rsidR="008F04CD" w:rsidRPr="00926216">
        <w:rPr>
          <w:color w:val="000000" w:themeColor="text1"/>
        </w:rPr>
        <w:t xml:space="preserve"> In 2006, for example, the deadline for nomination had to be extended five times.</w:t>
      </w:r>
      <w:r w:rsidR="008F04CD" w:rsidRPr="00926216">
        <w:rPr>
          <w:rStyle w:val="FootnoteReference"/>
          <w:color w:val="000000" w:themeColor="text1"/>
        </w:rPr>
        <w:footnoteReference w:id="50"/>
      </w:r>
    </w:p>
    <w:p w14:paraId="5988506C" w14:textId="75918E04" w:rsidR="004D7BFF" w:rsidRPr="00926216" w:rsidRDefault="009F176D" w:rsidP="00D429DF">
      <w:pPr>
        <w:spacing w:before="100" w:beforeAutospacing="1" w:after="100" w:afterAutospacing="1"/>
        <w:contextualSpacing/>
        <w:rPr>
          <w:color w:val="000000" w:themeColor="text1"/>
        </w:rPr>
      </w:pPr>
      <w:r w:rsidRPr="00926216">
        <w:rPr>
          <w:rFonts w:ascii="Times" w:hAnsi="Times"/>
        </w:rPr>
        <w:t xml:space="preserve">It was expected that the Board members would use their high profile to lobby for substantial voluntary contributions. </w:t>
      </w:r>
      <w:r w:rsidR="00635B6F" w:rsidRPr="00926216">
        <w:rPr>
          <w:rFonts w:ascii="Times" w:hAnsi="Times"/>
        </w:rPr>
        <w:t xml:space="preserve">Unfortunately, this hope was not fulfilled. </w:t>
      </w:r>
      <w:r w:rsidR="00CB5AA3" w:rsidRPr="00926216">
        <w:rPr>
          <w:rFonts w:ascii="Times" w:hAnsi="Times"/>
        </w:rPr>
        <w:t>While</w:t>
      </w:r>
      <w:r w:rsidR="00635B6F" w:rsidRPr="00926216">
        <w:rPr>
          <w:rFonts w:ascii="Times" w:hAnsi="Times"/>
        </w:rPr>
        <w:t xml:space="preserve"> the first Board included two Nobel Peace Prize winners (Archbishop Desmond Tutu and </w:t>
      </w:r>
      <w:proofErr w:type="spellStart"/>
      <w:r w:rsidR="00635B6F" w:rsidRPr="00926216">
        <w:rPr>
          <w:rFonts w:ascii="Times" w:hAnsi="Times"/>
        </w:rPr>
        <w:t>Óscar</w:t>
      </w:r>
      <w:proofErr w:type="spellEnd"/>
      <w:r w:rsidR="00635B6F" w:rsidRPr="00926216">
        <w:rPr>
          <w:rFonts w:ascii="Times" w:hAnsi="Times"/>
        </w:rPr>
        <w:t xml:space="preserve"> Arias Sánchez), looking at all the Directors who have served the Trust Fund since, the number of recognisable names is rather small</w:t>
      </w:r>
      <w:r w:rsidR="00CB5AA3" w:rsidRPr="00926216">
        <w:rPr>
          <w:rFonts w:ascii="Times" w:hAnsi="Times"/>
        </w:rPr>
        <w:t xml:space="preserve">. </w:t>
      </w:r>
      <w:r w:rsidR="00CB5AA3" w:rsidRPr="00926216">
        <w:rPr>
          <w:color w:val="000000" w:themeColor="text1"/>
        </w:rPr>
        <w:t xml:space="preserve">Most prominent are possibly </w:t>
      </w:r>
      <w:r w:rsidR="00CB5AA3" w:rsidRPr="00926216">
        <w:rPr>
          <w:lang w:eastAsia="en-GB"/>
        </w:rPr>
        <w:t xml:space="preserve">Vaira </w:t>
      </w:r>
      <w:proofErr w:type="spellStart"/>
      <w:r w:rsidR="00CB5AA3" w:rsidRPr="00926216">
        <w:rPr>
          <w:lang w:eastAsia="en-GB"/>
        </w:rPr>
        <w:t>Vīķe-Freiberga</w:t>
      </w:r>
      <w:proofErr w:type="spellEnd"/>
      <w:r w:rsidR="00CB5AA3" w:rsidRPr="00926216">
        <w:rPr>
          <w:lang w:eastAsia="en-GB"/>
        </w:rPr>
        <w:t xml:space="preserve">, </w:t>
      </w:r>
      <w:r w:rsidR="00CB5AA3" w:rsidRPr="00926216">
        <w:t xml:space="preserve">former president of the Republic of Latvia and UN Special Rapporteur on the situation of human rights in the Republic of Croatia, FRY, Bosnia and Herzegovina and </w:t>
      </w:r>
      <w:proofErr w:type="gramStart"/>
      <w:r w:rsidR="00CB5AA3" w:rsidRPr="00926216">
        <w:t>FYROM  and</w:t>
      </w:r>
      <w:proofErr w:type="gramEnd"/>
      <w:r w:rsidR="00CB5AA3" w:rsidRPr="00926216">
        <w:t xml:space="preserve"> runner up to the Finish Presidential Election, Elisabeth Rehn. Otherwise the Board consists mainly of former ministers or deputy ministers,</w:t>
      </w:r>
      <w:r w:rsidR="00290A4E" w:rsidRPr="00926216">
        <w:t xml:space="preserve"> ambassadors,</w:t>
      </w:r>
      <w:r w:rsidR="00CB5AA3" w:rsidRPr="00926216">
        <w:t xml:space="preserve"> human rights and policy advisers and academics. While no doubt highly qualified and</w:t>
      </w:r>
      <w:r w:rsidR="00290A4E" w:rsidRPr="00926216">
        <w:t xml:space="preserve"> prestigious in their own field</w:t>
      </w:r>
      <w:r w:rsidR="008F04CD">
        <w:t>,</w:t>
      </w:r>
      <w:r w:rsidR="00CB5AA3" w:rsidRPr="00926216">
        <w:t xml:space="preserve"> </w:t>
      </w:r>
      <w:r w:rsidR="00635B6F" w:rsidRPr="00926216">
        <w:rPr>
          <w:rFonts w:ascii="Times" w:hAnsi="Times"/>
        </w:rPr>
        <w:t xml:space="preserve">one cannot help suspecting that they were chosen because of their willingness to undertake this role rather than their </w:t>
      </w:r>
      <w:r w:rsidR="00CB5AA3" w:rsidRPr="00926216">
        <w:rPr>
          <w:rFonts w:ascii="Times" w:hAnsi="Times"/>
        </w:rPr>
        <w:t xml:space="preserve">prominence </w:t>
      </w:r>
      <w:r w:rsidR="00635B6F" w:rsidRPr="00926216">
        <w:rPr>
          <w:rFonts w:ascii="Times" w:hAnsi="Times"/>
        </w:rPr>
        <w:t>in the international community</w:t>
      </w:r>
      <w:r w:rsidR="00CB5AA3" w:rsidRPr="00926216">
        <w:rPr>
          <w:rFonts w:ascii="Times" w:hAnsi="Times"/>
        </w:rPr>
        <w:t xml:space="preserve"> and fund raising profile</w:t>
      </w:r>
      <w:r w:rsidR="00635B6F" w:rsidRPr="00926216">
        <w:rPr>
          <w:rFonts w:ascii="Times" w:hAnsi="Times"/>
        </w:rPr>
        <w:t>.</w:t>
      </w:r>
      <w:r w:rsidR="00730E1E" w:rsidRPr="00926216">
        <w:rPr>
          <w:rStyle w:val="FootnoteReference"/>
          <w:rFonts w:ascii="Times" w:hAnsi="Times"/>
        </w:rPr>
        <w:footnoteReference w:id="51"/>
      </w:r>
      <w:r w:rsidR="00635B6F" w:rsidRPr="00926216">
        <w:rPr>
          <w:rFonts w:ascii="Times" w:hAnsi="Times"/>
        </w:rPr>
        <w:t xml:space="preserve"> </w:t>
      </w:r>
      <w:r w:rsidR="00741359" w:rsidRPr="00926216">
        <w:rPr>
          <w:rFonts w:ascii="Times" w:hAnsi="Times"/>
        </w:rPr>
        <w:t>There is also disappointingly little activity to be noted.</w:t>
      </w:r>
      <w:r w:rsidR="00741359" w:rsidRPr="00926216">
        <w:rPr>
          <w:rFonts w:ascii="Times" w:hAnsi="Times"/>
          <w:color w:val="000000" w:themeColor="text1"/>
        </w:rPr>
        <w:t xml:space="preserve"> </w:t>
      </w:r>
      <w:r w:rsidR="00741359" w:rsidRPr="00926216">
        <w:rPr>
          <w:rFonts w:ascii="Times" w:hAnsi="Times"/>
        </w:rPr>
        <w:t xml:space="preserve">The Board is only required to meet as a minimum once a year, and so </w:t>
      </w:r>
      <w:proofErr w:type="gramStart"/>
      <w:r w:rsidR="00741359" w:rsidRPr="00926216">
        <w:rPr>
          <w:rFonts w:ascii="Times" w:hAnsi="Times"/>
        </w:rPr>
        <w:t>far</w:t>
      </w:r>
      <w:proofErr w:type="gramEnd"/>
      <w:r w:rsidR="00741359" w:rsidRPr="00926216">
        <w:rPr>
          <w:rFonts w:ascii="Times" w:hAnsi="Times"/>
        </w:rPr>
        <w:t xml:space="preserve"> the Board has never exceeded this minimum. Even at the opening meeting, only three of the five members could attend this significant event. </w:t>
      </w:r>
      <w:r w:rsidR="00635B6F" w:rsidRPr="00926216">
        <w:rPr>
          <w:rFonts w:ascii="Times" w:hAnsi="Times"/>
        </w:rPr>
        <w:t xml:space="preserve">While it can be understood that the </w:t>
      </w:r>
      <w:r w:rsidR="00635B6F" w:rsidRPr="00926216">
        <w:rPr>
          <w:rFonts w:ascii="Times" w:hAnsi="Times"/>
          <w:shd w:val="clear" w:color="auto" w:fill="FFFFFF"/>
        </w:rPr>
        <w:t xml:space="preserve">Assembly of State Parties </w:t>
      </w:r>
      <w:r w:rsidR="00635B6F" w:rsidRPr="00926216">
        <w:rPr>
          <w:rFonts w:ascii="Times" w:hAnsi="Times"/>
        </w:rPr>
        <w:t xml:space="preserve">elected a structure that choses high profile membership rather than fulltime employees, it seems that the role of Director of the Trust Fund </w:t>
      </w:r>
      <w:r w:rsidR="00722ECD" w:rsidRPr="00926216">
        <w:rPr>
          <w:rFonts w:ascii="Times" w:hAnsi="Times"/>
        </w:rPr>
        <w:t xml:space="preserve">barely </w:t>
      </w:r>
      <w:r w:rsidR="00635B6F" w:rsidRPr="00926216">
        <w:rPr>
          <w:rFonts w:ascii="Times" w:hAnsi="Times"/>
        </w:rPr>
        <w:t>features among the other commitments of the Board members.</w:t>
      </w:r>
      <w:r w:rsidR="001B1947" w:rsidRPr="00926216">
        <w:rPr>
          <w:rFonts w:ascii="Times" w:hAnsi="Times"/>
        </w:rPr>
        <w:t xml:space="preserve"> </w:t>
      </w:r>
    </w:p>
    <w:p w14:paraId="189D34CD" w14:textId="01DE9FFC" w:rsidR="00635B6F" w:rsidRPr="004F1DEB" w:rsidRDefault="001B1947" w:rsidP="00D429DF">
      <w:pPr>
        <w:spacing w:before="100" w:beforeAutospacing="1" w:after="100" w:afterAutospacing="1"/>
        <w:contextualSpacing/>
        <w:rPr>
          <w:color w:val="000000" w:themeColor="text1"/>
        </w:rPr>
      </w:pPr>
      <w:r w:rsidRPr="00926216">
        <w:rPr>
          <w:rFonts w:ascii="Times" w:hAnsi="Times"/>
        </w:rPr>
        <w:t xml:space="preserve">Unsurprisingly, the success in raising substantial funds has been rather disappointing. </w:t>
      </w:r>
      <w:r w:rsidR="00635B6F" w:rsidRPr="00926216">
        <w:rPr>
          <w:rFonts w:ascii="Times" w:hAnsi="Times"/>
        </w:rPr>
        <w:t xml:space="preserve">Considering the extensive needs for funds for both the reparation awards and the general assistance mandate, the Trust Fund has so far managed to attract only </w:t>
      </w:r>
      <w:r w:rsidR="00CF14C3" w:rsidRPr="00926216">
        <w:rPr>
          <w:rFonts w:ascii="Times" w:hAnsi="Times"/>
        </w:rPr>
        <w:t xml:space="preserve">a </w:t>
      </w:r>
      <w:r w:rsidR="00BA3374" w:rsidRPr="00926216">
        <w:rPr>
          <w:rFonts w:ascii="Times" w:hAnsi="Times"/>
        </w:rPr>
        <w:t>limited number of</w:t>
      </w:r>
      <w:r w:rsidR="00CF14C3" w:rsidRPr="00926216">
        <w:rPr>
          <w:rFonts w:ascii="Times" w:hAnsi="Times"/>
        </w:rPr>
        <w:t xml:space="preserve"> </w:t>
      </w:r>
      <w:r w:rsidR="00635B6F" w:rsidRPr="00926216">
        <w:rPr>
          <w:rFonts w:ascii="Times" w:hAnsi="Times"/>
        </w:rPr>
        <w:t>donors, consisting mainly of Western European countries.</w:t>
      </w:r>
      <w:r w:rsidR="004D7BFF" w:rsidRPr="00926216">
        <w:rPr>
          <w:rStyle w:val="FootnoteReference"/>
          <w:rFonts w:ascii="Times" w:hAnsi="Times"/>
        </w:rPr>
        <w:footnoteReference w:id="52"/>
      </w:r>
      <w:r w:rsidR="00635B6F" w:rsidRPr="00926216">
        <w:rPr>
          <w:rFonts w:ascii="Times" w:hAnsi="Times"/>
        </w:rPr>
        <w:t xml:space="preserve"> </w:t>
      </w:r>
      <w:r w:rsidR="00635B6F" w:rsidRPr="00926216">
        <w:rPr>
          <w:rFonts w:ascii="Times" w:hAnsi="Times"/>
          <w:color w:val="000000" w:themeColor="text1"/>
        </w:rPr>
        <w:t>The current average of annual voluntary contributions to the Trust Fund is around €5 million</w:t>
      </w:r>
      <w:r w:rsidR="00635B6F" w:rsidRPr="004F1DEB">
        <w:rPr>
          <w:color w:val="000000" w:themeColor="text1"/>
        </w:rPr>
        <w:t>.</w:t>
      </w:r>
      <w:r w:rsidR="00635B6F" w:rsidRPr="004F1DEB">
        <w:rPr>
          <w:rStyle w:val="FootnoteReference"/>
          <w:color w:val="000000" w:themeColor="text1"/>
        </w:rPr>
        <w:footnoteReference w:id="53"/>
      </w:r>
      <w:r w:rsidR="00D052D3" w:rsidRPr="004F1DEB">
        <w:t xml:space="preserve"> </w:t>
      </w:r>
      <w:r w:rsidR="006027EF" w:rsidRPr="004F1DEB">
        <w:rPr>
          <w:color w:val="000000" w:themeColor="text1"/>
        </w:rPr>
        <w:t>F</w:t>
      </w:r>
      <w:r w:rsidR="006027EF" w:rsidRPr="004F1DEB">
        <w:rPr>
          <w:rFonts w:eastAsiaTheme="minorHAnsi"/>
          <w:bCs/>
        </w:rPr>
        <w:t>rom 1 July 2018 to 30 June 2019</w:t>
      </w:r>
      <w:r w:rsidR="004D7BFF" w:rsidRPr="00926216">
        <w:rPr>
          <w:rFonts w:eastAsiaTheme="minorHAnsi"/>
          <w:bCs/>
        </w:rPr>
        <w:t>,</w:t>
      </w:r>
      <w:r w:rsidR="006027EF" w:rsidRPr="004F1DEB">
        <w:rPr>
          <w:rFonts w:eastAsiaTheme="minorHAnsi"/>
          <w:bCs/>
        </w:rPr>
        <w:t xml:space="preserve"> the TFV received </w:t>
      </w:r>
      <w:r w:rsidR="006027EF" w:rsidRPr="004F1DEB">
        <w:rPr>
          <w:bCs/>
        </w:rPr>
        <w:t xml:space="preserve">€3,864,112.33 States’ contributions ranging </w:t>
      </w:r>
      <w:r w:rsidR="004D7BFF" w:rsidRPr="00926216">
        <w:rPr>
          <w:bCs/>
        </w:rPr>
        <w:t>from</w:t>
      </w:r>
      <w:r w:rsidR="006027EF" w:rsidRPr="004F1DEB">
        <w:rPr>
          <w:bCs/>
        </w:rPr>
        <w:t xml:space="preserve"> €5,000 </w:t>
      </w:r>
      <w:r w:rsidR="004D7BFF" w:rsidRPr="00926216">
        <w:rPr>
          <w:bCs/>
        </w:rPr>
        <w:t>from</w:t>
      </w:r>
      <w:r w:rsidR="006027EF" w:rsidRPr="004F1DEB">
        <w:rPr>
          <w:bCs/>
        </w:rPr>
        <w:t xml:space="preserve"> Portugal to €1,000,000 from the Netherlands.</w:t>
      </w:r>
      <w:r w:rsidR="004D7BFF" w:rsidRPr="00926216">
        <w:rPr>
          <w:rStyle w:val="FootnoteReference"/>
          <w:color w:val="000000" w:themeColor="text1"/>
        </w:rPr>
        <w:footnoteReference w:id="54"/>
      </w:r>
      <w:r w:rsidR="006027EF" w:rsidRPr="004F1DEB">
        <w:rPr>
          <w:color w:val="000000" w:themeColor="text1"/>
        </w:rPr>
        <w:t xml:space="preserve"> </w:t>
      </w:r>
      <w:r w:rsidR="00D052D3" w:rsidRPr="004F1DEB">
        <w:t>T</w:t>
      </w:r>
      <w:r w:rsidR="004D7BFF" w:rsidRPr="00926216">
        <w:t>he states’ contributions</w:t>
      </w:r>
      <w:r w:rsidR="00D052D3" w:rsidRPr="00926216">
        <w:rPr>
          <w:rFonts w:ascii="Times" w:hAnsi="Times"/>
        </w:rPr>
        <w:t xml:space="preserve"> comp</w:t>
      </w:r>
      <w:r w:rsidR="006027EF" w:rsidRPr="00926216">
        <w:rPr>
          <w:rFonts w:ascii="Times" w:hAnsi="Times"/>
        </w:rPr>
        <w:t>a</w:t>
      </w:r>
      <w:r w:rsidR="004D7BFF" w:rsidRPr="00926216">
        <w:rPr>
          <w:rFonts w:ascii="Times" w:hAnsi="Times"/>
        </w:rPr>
        <w:t>re</w:t>
      </w:r>
      <w:r w:rsidR="00D052D3" w:rsidRPr="00926216">
        <w:rPr>
          <w:rFonts w:ascii="Times" w:hAnsi="Times"/>
        </w:rPr>
        <w:t xml:space="preserve"> to just </w:t>
      </w:r>
      <w:r w:rsidR="004D7BFF" w:rsidRPr="00926216">
        <w:rPr>
          <w:rFonts w:ascii="Times" w:hAnsi="Times"/>
        </w:rPr>
        <w:lastRenderedPageBreak/>
        <w:t>under</w:t>
      </w:r>
      <w:r w:rsidR="00D052D3" w:rsidRPr="00926216">
        <w:rPr>
          <w:rFonts w:ascii="Times" w:hAnsi="Times"/>
        </w:rPr>
        <w:t xml:space="preserve"> </w:t>
      </w:r>
      <w:r w:rsidR="004D7BFF" w:rsidRPr="00926216">
        <w:rPr>
          <w:rFonts w:ascii="Times" w:hAnsi="Times"/>
        </w:rPr>
        <w:t>2.6</w:t>
      </w:r>
      <w:r w:rsidR="00D052D3" w:rsidRPr="00926216">
        <w:rPr>
          <w:rFonts w:ascii="Times" w:hAnsi="Times"/>
        </w:rPr>
        <w:t>% of the annual budget for the ICC.</w:t>
      </w:r>
      <w:r w:rsidR="004D7BFF" w:rsidRPr="00926216">
        <w:rPr>
          <w:rStyle w:val="FootnoteReference"/>
          <w:rFonts w:ascii="Times" w:hAnsi="Times"/>
        </w:rPr>
        <w:footnoteReference w:id="55"/>
      </w:r>
      <w:r w:rsidR="00D052D3" w:rsidRPr="00926216">
        <w:rPr>
          <w:rFonts w:ascii="Times" w:hAnsi="Times"/>
        </w:rPr>
        <w:t xml:space="preserve"> One could argue that while the Assembly of State parties has approved an </w:t>
      </w:r>
      <w:r w:rsidR="00A864A5" w:rsidRPr="00926216">
        <w:rPr>
          <w:rFonts w:ascii="Times" w:hAnsi="Times"/>
        </w:rPr>
        <w:t>increase</w:t>
      </w:r>
      <w:r w:rsidR="00D052D3" w:rsidRPr="00926216">
        <w:rPr>
          <w:rFonts w:ascii="Times" w:hAnsi="Times"/>
        </w:rPr>
        <w:t xml:space="preserve"> of the annual ICC budget of </w:t>
      </w:r>
      <w:r w:rsidR="004D7BFF" w:rsidRPr="00926216">
        <w:rPr>
          <w:rFonts w:ascii="Times" w:hAnsi="Times"/>
        </w:rPr>
        <w:t>0.72</w:t>
      </w:r>
      <w:r w:rsidR="00D052D3" w:rsidRPr="00926216">
        <w:rPr>
          <w:rFonts w:ascii="Times" w:hAnsi="Times"/>
        </w:rPr>
        <w:t>% in 2020</w:t>
      </w:r>
      <w:r w:rsidR="00F9434D">
        <w:rPr>
          <w:rFonts w:ascii="Times" w:hAnsi="Times"/>
        </w:rPr>
        <w:t>,</w:t>
      </w:r>
      <w:r w:rsidR="00D052D3" w:rsidRPr="00926216">
        <w:rPr>
          <w:rStyle w:val="FootnoteReference"/>
          <w:rFonts w:ascii="Times" w:hAnsi="Times"/>
        </w:rPr>
        <w:footnoteReference w:id="56"/>
      </w:r>
      <w:r w:rsidR="00A35053" w:rsidRPr="00926216">
        <w:rPr>
          <w:rFonts w:ascii="Times" w:hAnsi="Times"/>
        </w:rPr>
        <w:t xml:space="preserve"> an extra </w:t>
      </w:r>
      <w:r w:rsidR="004D7BFF" w:rsidRPr="00926216">
        <w:rPr>
          <w:rFonts w:ascii="Times" w:hAnsi="Times"/>
        </w:rPr>
        <w:t xml:space="preserve">2.6% </w:t>
      </w:r>
      <w:r w:rsidR="00D052D3" w:rsidRPr="00926216">
        <w:rPr>
          <w:rFonts w:ascii="Times" w:hAnsi="Times"/>
        </w:rPr>
        <w:t xml:space="preserve">in voluntary contributions is </w:t>
      </w:r>
      <w:r w:rsidR="00F9434D">
        <w:rPr>
          <w:rFonts w:ascii="Times" w:hAnsi="Times"/>
        </w:rPr>
        <w:t xml:space="preserve">a </w:t>
      </w:r>
      <w:r w:rsidR="00D052D3" w:rsidRPr="00926216">
        <w:rPr>
          <w:rFonts w:ascii="Times" w:hAnsi="Times"/>
        </w:rPr>
        <w:t>substantial</w:t>
      </w:r>
      <w:r w:rsidR="00F9434D">
        <w:rPr>
          <w:rFonts w:ascii="Times" w:hAnsi="Times"/>
        </w:rPr>
        <w:t xml:space="preserve"> amount</w:t>
      </w:r>
      <w:r w:rsidR="00D052D3" w:rsidRPr="00926216">
        <w:rPr>
          <w:rFonts w:ascii="Times" w:hAnsi="Times"/>
        </w:rPr>
        <w:t>.</w:t>
      </w:r>
      <w:r w:rsidR="00E72F63" w:rsidRPr="00926216">
        <w:rPr>
          <w:rFonts w:ascii="Times" w:hAnsi="Times"/>
        </w:rPr>
        <w:t xml:space="preserve"> On the other hand, i</w:t>
      </w:r>
      <w:r w:rsidR="00635B6F" w:rsidRPr="00926216">
        <w:rPr>
          <w:rFonts w:ascii="Times" w:hAnsi="Times"/>
        </w:rPr>
        <w:t>n comparison</w:t>
      </w:r>
      <w:r w:rsidR="00E72F63" w:rsidRPr="00926216">
        <w:rPr>
          <w:rFonts w:ascii="Times" w:hAnsi="Times"/>
        </w:rPr>
        <w:t xml:space="preserve"> to</w:t>
      </w:r>
      <w:r w:rsidR="00635B6F" w:rsidRPr="00926216">
        <w:rPr>
          <w:rFonts w:ascii="Times" w:hAnsi="Times"/>
        </w:rPr>
        <w:t xml:space="preserve"> the UN Development Programme Trust Fund for Rwanda</w:t>
      </w:r>
      <w:r w:rsidR="00E72F63" w:rsidRPr="00926216">
        <w:rPr>
          <w:rFonts w:ascii="Times" w:hAnsi="Times"/>
        </w:rPr>
        <w:t xml:space="preserve"> which</w:t>
      </w:r>
      <w:r w:rsidR="00635B6F" w:rsidRPr="00926216">
        <w:rPr>
          <w:rFonts w:ascii="Times" w:hAnsi="Times"/>
        </w:rPr>
        <w:t xml:space="preserve"> received </w:t>
      </w:r>
      <w:r w:rsidR="00CF14C3" w:rsidRPr="00926216">
        <w:rPr>
          <w:rFonts w:ascii="Times" w:hAnsi="Times"/>
        </w:rPr>
        <w:t xml:space="preserve">between 1995 and 1999 </w:t>
      </w:r>
      <w:r w:rsidR="00635B6F" w:rsidRPr="00926216">
        <w:rPr>
          <w:rFonts w:ascii="Times" w:hAnsi="Times"/>
        </w:rPr>
        <w:t>$119,536,758 in donations</w:t>
      </w:r>
      <w:r w:rsidR="004D7BFF" w:rsidRPr="00926216">
        <w:rPr>
          <w:rFonts w:ascii="Times" w:hAnsi="Times"/>
        </w:rPr>
        <w:t>,</w:t>
      </w:r>
      <w:r w:rsidR="00E72F63" w:rsidRPr="00926216">
        <w:rPr>
          <w:rFonts w:ascii="Times" w:hAnsi="Times"/>
        </w:rPr>
        <w:t xml:space="preserve"> this sum which also covers </w:t>
      </w:r>
      <w:r w:rsidR="00A864A5" w:rsidRPr="00926216">
        <w:rPr>
          <w:rFonts w:ascii="Times" w:hAnsi="Times"/>
        </w:rPr>
        <w:t>donations</w:t>
      </w:r>
      <w:r w:rsidR="00E72F63" w:rsidRPr="00926216">
        <w:rPr>
          <w:rFonts w:ascii="Times" w:hAnsi="Times"/>
        </w:rPr>
        <w:t xml:space="preserve"> for reparations seems minute</w:t>
      </w:r>
      <w:r w:rsidR="00635B6F" w:rsidRPr="00926216">
        <w:rPr>
          <w:rFonts w:ascii="Times" w:hAnsi="Times"/>
        </w:rPr>
        <w:t xml:space="preserve">. </w:t>
      </w:r>
      <w:r w:rsidR="00546F41" w:rsidRPr="00926216">
        <w:rPr>
          <w:rFonts w:ascii="Times" w:hAnsi="Times"/>
        </w:rPr>
        <w:t>In addition, s</w:t>
      </w:r>
      <w:r w:rsidR="004D7BFF" w:rsidRPr="00926216">
        <w:rPr>
          <w:color w:val="000000" w:themeColor="text1"/>
        </w:rPr>
        <w:t xml:space="preserve">ome of the contributions to the Trust Fund are earmarked for reparations rather than the general assistance mandate, such as Germany’s </w:t>
      </w:r>
      <w:r w:rsidR="00A864A5" w:rsidRPr="00926216">
        <w:rPr>
          <w:color w:val="000000" w:themeColor="text1"/>
        </w:rPr>
        <w:t>contribution</w:t>
      </w:r>
      <w:r w:rsidR="004D7BFF" w:rsidRPr="00926216">
        <w:rPr>
          <w:color w:val="000000" w:themeColor="text1"/>
        </w:rPr>
        <w:t xml:space="preserve"> of €300,000 in 2018.</w:t>
      </w:r>
      <w:r w:rsidR="00546F41" w:rsidRPr="00926216">
        <w:rPr>
          <w:rStyle w:val="FootnoteReference"/>
          <w:color w:val="000000" w:themeColor="text1"/>
        </w:rPr>
        <w:footnoteReference w:id="57"/>
      </w:r>
      <w:r w:rsidR="004D7BFF" w:rsidRPr="00926216">
        <w:rPr>
          <w:color w:val="000000" w:themeColor="text1"/>
        </w:rPr>
        <w:t xml:space="preserve"> </w:t>
      </w:r>
      <w:r w:rsidR="00635B6F" w:rsidRPr="00926216">
        <w:rPr>
          <w:rFonts w:ascii="Times" w:hAnsi="Times"/>
          <w:color w:val="000000" w:themeColor="text1"/>
        </w:rPr>
        <w:t>To operate the general assistance programme with this comparatively small amount is only possible because</w:t>
      </w:r>
      <w:r w:rsidR="00BE74B9" w:rsidRPr="00926216">
        <w:rPr>
          <w:rFonts w:ascii="Times" w:hAnsi="Times"/>
          <w:color w:val="000000" w:themeColor="text1"/>
        </w:rPr>
        <w:t xml:space="preserve"> so far it operates the assistance mandate in only three out of thirteen situations currently being investigated by the ICC.</w:t>
      </w:r>
      <w:r w:rsidR="00BE74B9" w:rsidRPr="00926216">
        <w:rPr>
          <w:rStyle w:val="FootnoteReference"/>
          <w:rFonts w:ascii="Times" w:hAnsi="Times"/>
          <w:color w:val="000000" w:themeColor="text1"/>
        </w:rPr>
        <w:footnoteReference w:id="58"/>
      </w:r>
    </w:p>
    <w:p w14:paraId="5613CCA8" w14:textId="54AC3C58" w:rsidR="00BE1CB8" w:rsidRPr="00926216" w:rsidRDefault="00BE1CB8" w:rsidP="00D429DF">
      <w:pPr>
        <w:pStyle w:val="Heading2"/>
        <w:numPr>
          <w:ilvl w:val="1"/>
          <w:numId w:val="44"/>
        </w:numPr>
        <w:spacing w:before="100" w:beforeAutospacing="1" w:after="100" w:afterAutospacing="1" w:line="240" w:lineRule="auto"/>
      </w:pPr>
      <w:r w:rsidRPr="00926216">
        <w:t>Cost</w:t>
      </w:r>
      <w:bookmarkEnd w:id="3"/>
      <w:r w:rsidRPr="00926216">
        <w:t xml:space="preserve">ly </w:t>
      </w:r>
      <w:r w:rsidR="00D25BE9" w:rsidRPr="00926216">
        <w:t>P</w:t>
      </w:r>
      <w:r w:rsidRPr="00926216">
        <w:t>rocesses</w:t>
      </w:r>
    </w:p>
    <w:p w14:paraId="0842FE50" w14:textId="4DD351AF" w:rsidR="000862AE" w:rsidRPr="004F1DEB" w:rsidRDefault="00F540A3" w:rsidP="00D429DF">
      <w:pPr>
        <w:pStyle w:val="Default"/>
        <w:spacing w:before="100" w:beforeAutospacing="1" w:after="100" w:afterAutospacing="1"/>
        <w:contextualSpacing/>
        <w:rPr>
          <w:rFonts w:ascii="Times" w:hAnsi="Times"/>
          <w:color w:val="auto"/>
        </w:rPr>
      </w:pPr>
      <w:r w:rsidRPr="004F1DEB">
        <w:rPr>
          <w:rFonts w:ascii="Times New Roman" w:hAnsi="Times New Roman" w:cs="Times New Roman"/>
          <w:color w:val="000000" w:themeColor="text1"/>
        </w:rPr>
        <w:t>The limited success in fundraising is contrasted by the high running costs of the Trust Fund which keep</w:t>
      </w:r>
      <w:r w:rsidRPr="004F1DEB">
        <w:rPr>
          <w:rFonts w:ascii="Times New Roman" w:hAnsi="Times New Roman" w:cs="Times New Roman"/>
          <w:bCs/>
        </w:rPr>
        <w:t xml:space="preserve"> growing.</w:t>
      </w:r>
      <w:r w:rsidRPr="004F1DEB">
        <w:rPr>
          <w:rStyle w:val="FootnoteReference"/>
          <w:rFonts w:ascii="Times New Roman" w:hAnsi="Times New Roman" w:cs="Times New Roman"/>
        </w:rPr>
        <w:footnoteReference w:id="59"/>
      </w:r>
      <w:r w:rsidRPr="004F1DEB">
        <w:rPr>
          <w:rFonts w:ascii="Times New Roman" w:hAnsi="Times New Roman" w:cs="Times New Roman"/>
        </w:rPr>
        <w:t xml:space="preserve"> </w:t>
      </w:r>
      <w:r w:rsidRPr="004F1DEB">
        <w:rPr>
          <w:rFonts w:ascii="Times New Roman" w:hAnsi="Times New Roman" w:cs="Times New Roman"/>
          <w:bCs/>
        </w:rPr>
        <w:t xml:space="preserve">The ICC 2020 budget includes </w:t>
      </w:r>
      <w:r w:rsidRPr="004F1DEB">
        <w:rPr>
          <w:rFonts w:ascii="Times New Roman" w:hAnsi="Times New Roman" w:cs="Times New Roman"/>
        </w:rPr>
        <w:t>€3,226,100 for the Trust Fund,</w:t>
      </w:r>
      <w:r w:rsidRPr="004F1DEB">
        <w:rPr>
          <w:rStyle w:val="FootnoteReference"/>
          <w:rFonts w:ascii="Times New Roman" w:hAnsi="Times New Roman" w:cs="Times New Roman"/>
        </w:rPr>
        <w:footnoteReference w:id="60"/>
      </w:r>
      <w:r w:rsidRPr="004F1DEB">
        <w:rPr>
          <w:rFonts w:ascii="Times New Roman" w:hAnsi="Times New Roman" w:cs="Times New Roman"/>
        </w:rPr>
        <w:t xml:space="preserve"> which is an increase of 71.2% in only five years.</w:t>
      </w:r>
      <w:r w:rsidRPr="004F1DEB">
        <w:rPr>
          <w:rStyle w:val="FootnoteReference"/>
          <w:rFonts w:ascii="Times New Roman" w:hAnsi="Times New Roman" w:cs="Times New Roman"/>
        </w:rPr>
        <w:footnoteReference w:id="61"/>
      </w:r>
      <w:r w:rsidRPr="004F1DEB">
        <w:rPr>
          <w:rFonts w:ascii="Times New Roman" w:hAnsi="Times New Roman" w:cs="Times New Roman"/>
        </w:rPr>
        <w:t xml:space="preserve"> Non-staff resources amount to </w:t>
      </w:r>
      <w:r w:rsidRPr="004F1DEB">
        <w:rPr>
          <w:rFonts w:ascii="Times New Roman" w:hAnsi="Times New Roman" w:cs="Times New Roman"/>
          <w:bCs/>
        </w:rPr>
        <w:t xml:space="preserve">€646.000 </w:t>
      </w:r>
      <w:r w:rsidRPr="004F1DEB">
        <w:rPr>
          <w:rFonts w:ascii="Times New Roman" w:hAnsi="Times New Roman" w:cs="Times New Roman"/>
        </w:rPr>
        <w:t>and cover travel, hospitality, contractual services, training, consultants, general operating expenses, supplies, materials and furniture and equipment.</w:t>
      </w:r>
      <w:r w:rsidRPr="004F1DEB">
        <w:rPr>
          <w:rStyle w:val="FootnoteReference"/>
          <w:rFonts w:ascii="Times New Roman" w:hAnsi="Times New Roman" w:cs="Times New Roman"/>
        </w:rPr>
        <w:footnoteReference w:id="62"/>
      </w:r>
      <w:r w:rsidRPr="004F1DEB">
        <w:rPr>
          <w:rFonts w:ascii="Times New Roman" w:hAnsi="Times New Roman" w:cs="Times New Roman"/>
        </w:rPr>
        <w:t xml:space="preserve"> While individual items are not listed in the 2020 budget proposal, in 2019 they included a staggering €63,400 for annual training (with an increase of 96.9% from the previous year)</w:t>
      </w:r>
      <w:r w:rsidRPr="004F1DEB">
        <w:rPr>
          <w:rStyle w:val="FootnoteReference"/>
          <w:rFonts w:ascii="Times New Roman" w:hAnsi="Times New Roman" w:cs="Times New Roman"/>
        </w:rPr>
        <w:footnoteReference w:id="63"/>
      </w:r>
      <w:r w:rsidRPr="004F1DEB">
        <w:rPr>
          <w:rFonts w:ascii="Times New Roman" w:hAnsi="Times New Roman" w:cs="Times New Roman"/>
        </w:rPr>
        <w:t xml:space="preserve"> and €120,000 for consultants.</w:t>
      </w:r>
      <w:r w:rsidRPr="004F1DEB">
        <w:rPr>
          <w:rStyle w:val="FootnoteReference"/>
          <w:rFonts w:ascii="Times New Roman" w:hAnsi="Times New Roman" w:cs="Times New Roman"/>
        </w:rPr>
        <w:footnoteReference w:id="64"/>
      </w:r>
      <w:r w:rsidRPr="004F1DEB">
        <w:rPr>
          <w:rFonts w:ascii="Times New Roman" w:hAnsi="Times New Roman" w:cs="Times New Roman"/>
        </w:rPr>
        <w:t xml:space="preserve">The budget for contractual services such as printing, development of fundraising events and materials, external auditor’s fees, SAP GM support, translation and Board meeting costs is </w:t>
      </w:r>
      <w:r w:rsidRPr="004F1DEB">
        <w:rPr>
          <w:rFonts w:ascii="Times New Roman" w:hAnsi="Times New Roman" w:cs="Times New Roman"/>
          <w:iCs/>
        </w:rPr>
        <w:t>€147.000</w:t>
      </w:r>
      <w:r w:rsidRPr="004F1DEB">
        <w:rPr>
          <w:rFonts w:ascii="Times New Roman" w:hAnsi="Times New Roman" w:cs="Times New Roman"/>
        </w:rPr>
        <w:t>.</w:t>
      </w:r>
      <w:r w:rsidRPr="004F1DEB">
        <w:rPr>
          <w:rStyle w:val="FootnoteReference"/>
          <w:rFonts w:ascii="Times New Roman" w:hAnsi="Times New Roman" w:cs="Times New Roman"/>
        </w:rPr>
        <w:footnoteReference w:id="65"/>
      </w:r>
      <w:r w:rsidRPr="004F1DEB">
        <w:rPr>
          <w:rFonts w:ascii="Times New Roman" w:hAnsi="Times New Roman" w:cs="Times New Roman"/>
        </w:rPr>
        <w:t xml:space="preserve"> </w:t>
      </w:r>
      <w:r w:rsidRPr="00B15BA8">
        <w:rPr>
          <w:rFonts w:ascii="Times" w:hAnsi="Times"/>
        </w:rPr>
        <w:t>I</w:t>
      </w:r>
      <w:r w:rsidR="00E50106" w:rsidRPr="00E41FA3">
        <w:rPr>
          <w:rFonts w:ascii="Times" w:hAnsi="Times"/>
        </w:rPr>
        <w:t xml:space="preserve">ndeed, in the first ten years, the running cost of the Trust Fund equalled more than half of the voluntary contributions. </w:t>
      </w:r>
      <w:r w:rsidR="00E50106" w:rsidRPr="00E950EE">
        <w:rPr>
          <w:rFonts w:ascii="Times" w:hAnsi="Times"/>
          <w:color w:val="000000" w:themeColor="text1"/>
        </w:rPr>
        <w:t>Until 2010, the annual contributions were even lower than the annual running costs.</w:t>
      </w:r>
      <w:r w:rsidR="00E50106" w:rsidRPr="00FE22EF">
        <w:rPr>
          <w:rStyle w:val="FootnoteReference"/>
          <w:rFonts w:ascii="Times" w:hAnsi="Times"/>
          <w:color w:val="000000" w:themeColor="text1"/>
        </w:rPr>
        <w:footnoteReference w:id="66"/>
      </w:r>
      <w:r w:rsidR="00E50106" w:rsidRPr="00CB654A">
        <w:rPr>
          <w:rFonts w:ascii="Times" w:hAnsi="Times"/>
          <w:color w:val="000000" w:themeColor="text1"/>
        </w:rPr>
        <w:t xml:space="preserve"> If it h</w:t>
      </w:r>
      <w:r w:rsidR="00E50106" w:rsidRPr="00CB654A">
        <w:rPr>
          <w:rFonts w:ascii="Times" w:hAnsi="Times"/>
        </w:rPr>
        <w:t>ad not been for the fact that the running costs were covered by the ICC general budget</w:t>
      </w:r>
      <w:r w:rsidR="00CF14C3" w:rsidRPr="004612B8">
        <w:rPr>
          <w:rStyle w:val="FootnoteReference"/>
          <w:rFonts w:ascii="Times" w:hAnsi="Times"/>
        </w:rPr>
        <w:footnoteReference w:id="67"/>
      </w:r>
      <w:r w:rsidR="00CF14C3" w:rsidRPr="004612B8">
        <w:rPr>
          <w:rFonts w:ascii="Times" w:hAnsi="Times"/>
        </w:rPr>
        <w:t xml:space="preserve"> </w:t>
      </w:r>
      <w:r w:rsidR="00E50106" w:rsidRPr="004612B8">
        <w:rPr>
          <w:rFonts w:ascii="Times" w:hAnsi="Times"/>
        </w:rPr>
        <w:t>rather than the voluntary contributions, the fund would not have been viable at all. In the end, both the ICC budget and the voluntary contributions are mainly paid for by national states and the f</w:t>
      </w:r>
      <w:r w:rsidR="00E50106" w:rsidRPr="009461DD">
        <w:rPr>
          <w:rFonts w:ascii="Times" w:hAnsi="Times"/>
        </w:rPr>
        <w:t xml:space="preserve">act that this money </w:t>
      </w:r>
      <w:r w:rsidR="00E50106" w:rsidRPr="009461DD">
        <w:rPr>
          <w:rFonts w:ascii="Times" w:hAnsi="Times"/>
        </w:rPr>
        <w:lastRenderedPageBreak/>
        <w:t xml:space="preserve">is channelled into different budgets should not gloss over the fact that running the Fund is extremely expensive compared with the amount of funding it </w:t>
      </w:r>
      <w:r w:rsidR="00E50106" w:rsidRPr="00E56DD1">
        <w:rPr>
          <w:rFonts w:ascii="Times" w:hAnsi="Times"/>
          <w:color w:val="000000" w:themeColor="text1"/>
        </w:rPr>
        <w:t>receives.</w:t>
      </w:r>
      <w:r w:rsidR="00E50106" w:rsidRPr="000D44C2">
        <w:rPr>
          <w:rStyle w:val="FootnoteReference"/>
          <w:rFonts w:ascii="Times" w:hAnsi="Times"/>
          <w:color w:val="000000" w:themeColor="text1"/>
        </w:rPr>
        <w:footnoteReference w:id="68"/>
      </w:r>
      <w:bookmarkStart w:id="4" w:name="_Toc513624859"/>
      <w:r w:rsidR="00E50106" w:rsidRPr="00432B14">
        <w:rPr>
          <w:rFonts w:ascii="Times" w:hAnsi="Times"/>
          <w:color w:val="000000" w:themeColor="text1"/>
        </w:rPr>
        <w:t xml:space="preserve"> </w:t>
      </w:r>
    </w:p>
    <w:p w14:paraId="31C3E6FD" w14:textId="3EF19791" w:rsidR="00E50106" w:rsidRPr="00926216" w:rsidRDefault="00E50106" w:rsidP="00D429DF">
      <w:pPr>
        <w:autoSpaceDE w:val="0"/>
        <w:autoSpaceDN w:val="0"/>
        <w:adjustRightInd w:val="0"/>
        <w:spacing w:before="100" w:beforeAutospacing="1" w:after="100" w:afterAutospacing="1"/>
        <w:contextualSpacing/>
        <w:rPr>
          <w:rFonts w:ascii="Times" w:hAnsi="Times"/>
          <w:color w:val="808080" w:themeColor="background1" w:themeShade="80"/>
        </w:rPr>
      </w:pPr>
      <w:r w:rsidRPr="00926216">
        <w:rPr>
          <w:rFonts w:ascii="Times" w:hAnsi="Times"/>
          <w:color w:val="000000" w:themeColor="text1"/>
        </w:rPr>
        <w:t xml:space="preserve">What </w:t>
      </w:r>
      <w:r w:rsidR="003A5456" w:rsidRPr="00926216">
        <w:rPr>
          <w:rFonts w:ascii="Times" w:hAnsi="Times"/>
          <w:color w:val="000000" w:themeColor="text1"/>
        </w:rPr>
        <w:t xml:space="preserve">may come as a </w:t>
      </w:r>
      <w:r w:rsidR="008D342B" w:rsidRPr="00926216">
        <w:rPr>
          <w:rFonts w:ascii="Times" w:hAnsi="Times"/>
          <w:color w:val="000000" w:themeColor="text1"/>
        </w:rPr>
        <w:t>surprise</w:t>
      </w:r>
      <w:r w:rsidR="003A5456" w:rsidRPr="00926216">
        <w:rPr>
          <w:rFonts w:ascii="Times" w:hAnsi="Times"/>
          <w:color w:val="000000" w:themeColor="text1"/>
        </w:rPr>
        <w:t xml:space="preserve"> </w:t>
      </w:r>
      <w:r w:rsidRPr="00926216">
        <w:rPr>
          <w:rFonts w:ascii="Times" w:hAnsi="Times"/>
          <w:color w:val="000000" w:themeColor="text1"/>
        </w:rPr>
        <w:t>is that large amounts of the costs</w:t>
      </w:r>
      <w:r w:rsidR="003A5456" w:rsidRPr="00926216">
        <w:rPr>
          <w:rFonts w:ascii="Times" w:hAnsi="Times"/>
          <w:color w:val="000000" w:themeColor="text1"/>
        </w:rPr>
        <w:t xml:space="preserve"> of the Trust Fund </w:t>
      </w:r>
      <w:r w:rsidRPr="00926216">
        <w:rPr>
          <w:rFonts w:ascii="Times" w:hAnsi="Times"/>
          <w:color w:val="000000" w:themeColor="text1"/>
        </w:rPr>
        <w:t>are used up for the general assistance mandate</w:t>
      </w:r>
      <w:r w:rsidR="001B1947" w:rsidRPr="00926216">
        <w:rPr>
          <w:rFonts w:ascii="Times" w:hAnsi="Times"/>
          <w:color w:val="000000" w:themeColor="text1"/>
        </w:rPr>
        <w:t xml:space="preserve">. The reason for this is that </w:t>
      </w:r>
      <w:r w:rsidRPr="00926216">
        <w:rPr>
          <w:rFonts w:ascii="Times" w:hAnsi="Times"/>
          <w:color w:val="000000" w:themeColor="text1"/>
        </w:rPr>
        <w:t>its core task</w:t>
      </w:r>
      <w:r w:rsidRPr="00926216">
        <w:rPr>
          <w:rFonts w:ascii="Times" w:hAnsi="Times"/>
        </w:rPr>
        <w:t xml:space="preserve">, namely allocating voluntary state contributions to individual projects </w:t>
      </w:r>
      <w:r w:rsidR="001B1947" w:rsidRPr="00926216">
        <w:rPr>
          <w:rFonts w:ascii="Times" w:hAnsi="Times"/>
        </w:rPr>
        <w:t>carries huge administrative costs</w:t>
      </w:r>
      <w:r w:rsidRPr="00926216">
        <w:rPr>
          <w:rFonts w:ascii="Times" w:hAnsi="Times"/>
        </w:rPr>
        <w:t xml:space="preserve">. </w:t>
      </w:r>
      <w:bookmarkEnd w:id="4"/>
      <w:r w:rsidRPr="00926216">
        <w:rPr>
          <w:rFonts w:ascii="Times" w:hAnsi="Times"/>
        </w:rPr>
        <w:t xml:space="preserve">In order to guarantee procedural fairness, transparency and accountability </w:t>
      </w:r>
      <w:r w:rsidRPr="00926216">
        <w:t>a complex process is required</w:t>
      </w:r>
      <w:r w:rsidR="00722ECD" w:rsidRPr="00926216">
        <w:t xml:space="preserve"> encompassing</w:t>
      </w:r>
      <w:r w:rsidRPr="00926216">
        <w:t>:</w:t>
      </w:r>
    </w:p>
    <w:p w14:paraId="438143E3" w14:textId="77777777" w:rsidR="00E50106" w:rsidRPr="00926216" w:rsidRDefault="00E50106" w:rsidP="00D429DF">
      <w:pPr>
        <w:pStyle w:val="ListParagraph"/>
        <w:widowControl w:val="0"/>
        <w:numPr>
          <w:ilvl w:val="0"/>
          <w:numId w:val="30"/>
        </w:numPr>
        <w:autoSpaceDE w:val="0"/>
        <w:autoSpaceDN w:val="0"/>
        <w:adjustRightInd w:val="0"/>
        <w:spacing w:before="100" w:beforeAutospacing="1" w:after="100" w:afterAutospacing="1" w:line="240" w:lineRule="auto"/>
        <w:rPr>
          <w:rFonts w:ascii="Times" w:hAnsi="Times" w:cs="Times New Roman"/>
          <w:szCs w:val="24"/>
        </w:rPr>
      </w:pPr>
      <w:r w:rsidRPr="00926216">
        <w:rPr>
          <w:rFonts w:ascii="Times" w:hAnsi="Times" w:cs="Times New Roman"/>
          <w:szCs w:val="24"/>
        </w:rPr>
        <w:t xml:space="preserve">establishing project granting and procurement procedures; </w:t>
      </w:r>
    </w:p>
    <w:p w14:paraId="51163C59" w14:textId="77777777" w:rsidR="00E50106" w:rsidRPr="00926216" w:rsidRDefault="00E50106" w:rsidP="00D429DF">
      <w:pPr>
        <w:pStyle w:val="ListParagraph"/>
        <w:widowControl w:val="0"/>
        <w:numPr>
          <w:ilvl w:val="0"/>
          <w:numId w:val="30"/>
        </w:numPr>
        <w:autoSpaceDE w:val="0"/>
        <w:autoSpaceDN w:val="0"/>
        <w:adjustRightInd w:val="0"/>
        <w:spacing w:before="100" w:beforeAutospacing="1" w:after="100" w:afterAutospacing="1" w:line="240" w:lineRule="auto"/>
        <w:rPr>
          <w:rFonts w:ascii="Times" w:hAnsi="Times" w:cs="Times New Roman"/>
          <w:szCs w:val="24"/>
        </w:rPr>
      </w:pPr>
      <w:r w:rsidRPr="00926216">
        <w:rPr>
          <w:rFonts w:ascii="Times" w:hAnsi="Times" w:cs="Times New Roman"/>
          <w:szCs w:val="24"/>
        </w:rPr>
        <w:t xml:space="preserve">project proposal; </w:t>
      </w:r>
    </w:p>
    <w:p w14:paraId="5D15F6DA" w14:textId="77777777" w:rsidR="00E50106" w:rsidRPr="00926216" w:rsidRDefault="00E50106" w:rsidP="00D429DF">
      <w:pPr>
        <w:pStyle w:val="ListParagraph"/>
        <w:widowControl w:val="0"/>
        <w:numPr>
          <w:ilvl w:val="0"/>
          <w:numId w:val="30"/>
        </w:numPr>
        <w:autoSpaceDE w:val="0"/>
        <w:autoSpaceDN w:val="0"/>
        <w:adjustRightInd w:val="0"/>
        <w:spacing w:before="100" w:beforeAutospacing="1" w:after="100" w:afterAutospacing="1" w:line="240" w:lineRule="auto"/>
        <w:rPr>
          <w:rFonts w:ascii="Times" w:hAnsi="Times" w:cs="Times New Roman"/>
          <w:szCs w:val="24"/>
        </w:rPr>
      </w:pPr>
      <w:r w:rsidRPr="00926216">
        <w:rPr>
          <w:rFonts w:ascii="Times" w:hAnsi="Times" w:cs="Times New Roman"/>
          <w:szCs w:val="24"/>
        </w:rPr>
        <w:t xml:space="preserve">budgeting and reporting formats; </w:t>
      </w:r>
    </w:p>
    <w:p w14:paraId="2EABDED7" w14:textId="77777777" w:rsidR="00E50106" w:rsidRPr="00926216" w:rsidRDefault="00E50106" w:rsidP="00D429DF">
      <w:pPr>
        <w:pStyle w:val="ListParagraph"/>
        <w:widowControl w:val="0"/>
        <w:numPr>
          <w:ilvl w:val="0"/>
          <w:numId w:val="30"/>
        </w:numPr>
        <w:autoSpaceDE w:val="0"/>
        <w:autoSpaceDN w:val="0"/>
        <w:adjustRightInd w:val="0"/>
        <w:spacing w:before="100" w:beforeAutospacing="1" w:after="100" w:afterAutospacing="1" w:line="240" w:lineRule="auto"/>
        <w:rPr>
          <w:rFonts w:ascii="Times" w:hAnsi="Times" w:cs="Times New Roman"/>
          <w:szCs w:val="24"/>
        </w:rPr>
      </w:pPr>
      <w:r w:rsidRPr="00926216">
        <w:rPr>
          <w:rFonts w:ascii="Times" w:hAnsi="Times" w:cs="Times New Roman"/>
          <w:szCs w:val="24"/>
        </w:rPr>
        <w:t xml:space="preserve">project design and planning methodologies and field assessments; </w:t>
      </w:r>
    </w:p>
    <w:p w14:paraId="1290A930" w14:textId="77777777" w:rsidR="00E50106" w:rsidRPr="00926216" w:rsidRDefault="00E50106" w:rsidP="00D429DF">
      <w:pPr>
        <w:pStyle w:val="ListParagraph"/>
        <w:widowControl w:val="0"/>
        <w:numPr>
          <w:ilvl w:val="0"/>
          <w:numId w:val="30"/>
        </w:numPr>
        <w:autoSpaceDE w:val="0"/>
        <w:autoSpaceDN w:val="0"/>
        <w:adjustRightInd w:val="0"/>
        <w:spacing w:before="100" w:beforeAutospacing="1" w:after="100" w:afterAutospacing="1" w:line="240" w:lineRule="auto"/>
        <w:rPr>
          <w:rFonts w:ascii="Times" w:hAnsi="Times" w:cs="Times New Roman"/>
          <w:szCs w:val="24"/>
        </w:rPr>
      </w:pPr>
      <w:r w:rsidRPr="00926216">
        <w:rPr>
          <w:rFonts w:ascii="Times" w:hAnsi="Times" w:cs="Times New Roman"/>
          <w:szCs w:val="24"/>
        </w:rPr>
        <w:t xml:space="preserve">financial management processes including the design and establishment of SAP Grants Management module and modifications for IPSAS compliance; </w:t>
      </w:r>
    </w:p>
    <w:p w14:paraId="52B74A10" w14:textId="77777777" w:rsidR="00E50106" w:rsidRPr="00926216" w:rsidRDefault="00E50106" w:rsidP="00D429DF">
      <w:pPr>
        <w:pStyle w:val="ListParagraph"/>
        <w:widowControl w:val="0"/>
        <w:numPr>
          <w:ilvl w:val="0"/>
          <w:numId w:val="30"/>
        </w:numPr>
        <w:autoSpaceDE w:val="0"/>
        <w:autoSpaceDN w:val="0"/>
        <w:adjustRightInd w:val="0"/>
        <w:spacing w:before="100" w:beforeAutospacing="1" w:after="100" w:afterAutospacing="1" w:line="240" w:lineRule="auto"/>
        <w:rPr>
          <w:rFonts w:ascii="Times" w:hAnsi="Times" w:cs="Times New Roman"/>
          <w:szCs w:val="24"/>
        </w:rPr>
      </w:pPr>
      <w:r w:rsidRPr="00926216">
        <w:rPr>
          <w:rFonts w:ascii="Times" w:hAnsi="Times" w:cs="Times New Roman"/>
          <w:szCs w:val="24"/>
        </w:rPr>
        <w:t xml:space="preserve">development of project contract and donor agreements; </w:t>
      </w:r>
    </w:p>
    <w:p w14:paraId="5CA1276B" w14:textId="77777777" w:rsidR="00E50106" w:rsidRPr="00926216" w:rsidRDefault="00E50106" w:rsidP="00D429DF">
      <w:pPr>
        <w:pStyle w:val="ListParagraph"/>
        <w:widowControl w:val="0"/>
        <w:numPr>
          <w:ilvl w:val="0"/>
          <w:numId w:val="30"/>
        </w:numPr>
        <w:autoSpaceDE w:val="0"/>
        <w:autoSpaceDN w:val="0"/>
        <w:adjustRightInd w:val="0"/>
        <w:spacing w:before="100" w:beforeAutospacing="1" w:after="100" w:afterAutospacing="1" w:line="240" w:lineRule="auto"/>
        <w:rPr>
          <w:rFonts w:ascii="Times" w:hAnsi="Times" w:cs="Times New Roman"/>
          <w:szCs w:val="24"/>
        </w:rPr>
      </w:pPr>
      <w:r w:rsidRPr="00926216">
        <w:rPr>
          <w:rFonts w:ascii="Times" w:hAnsi="Times" w:cs="Times New Roman"/>
          <w:szCs w:val="24"/>
        </w:rPr>
        <w:t xml:space="preserve">design of a Trust Fund logo, branding, website and video; </w:t>
      </w:r>
    </w:p>
    <w:p w14:paraId="2D722B62" w14:textId="77777777" w:rsidR="00E50106" w:rsidRPr="00926216" w:rsidRDefault="00E50106" w:rsidP="00D429DF">
      <w:pPr>
        <w:pStyle w:val="ListParagraph"/>
        <w:widowControl w:val="0"/>
        <w:numPr>
          <w:ilvl w:val="0"/>
          <w:numId w:val="30"/>
        </w:numPr>
        <w:autoSpaceDE w:val="0"/>
        <w:autoSpaceDN w:val="0"/>
        <w:adjustRightInd w:val="0"/>
        <w:spacing w:before="100" w:beforeAutospacing="1" w:after="100" w:afterAutospacing="1" w:line="240" w:lineRule="auto"/>
        <w:rPr>
          <w:rFonts w:ascii="Times" w:hAnsi="Times" w:cs="Times New Roman"/>
          <w:szCs w:val="24"/>
        </w:rPr>
      </w:pPr>
      <w:r w:rsidRPr="00926216">
        <w:rPr>
          <w:rFonts w:ascii="Times" w:hAnsi="Times" w:cs="Times New Roman"/>
          <w:szCs w:val="24"/>
        </w:rPr>
        <w:t xml:space="preserve">production of bi-annual public programme reports; </w:t>
      </w:r>
    </w:p>
    <w:p w14:paraId="0FF71D94" w14:textId="77777777" w:rsidR="00E50106" w:rsidRPr="00926216" w:rsidRDefault="00E50106" w:rsidP="00D429DF">
      <w:pPr>
        <w:pStyle w:val="ListParagraph"/>
        <w:widowControl w:val="0"/>
        <w:numPr>
          <w:ilvl w:val="0"/>
          <w:numId w:val="30"/>
        </w:numPr>
        <w:autoSpaceDE w:val="0"/>
        <w:autoSpaceDN w:val="0"/>
        <w:adjustRightInd w:val="0"/>
        <w:spacing w:before="100" w:beforeAutospacing="1" w:after="100" w:afterAutospacing="1" w:line="240" w:lineRule="auto"/>
        <w:rPr>
          <w:rFonts w:ascii="Times" w:hAnsi="Times" w:cs="Times New Roman"/>
          <w:szCs w:val="24"/>
        </w:rPr>
      </w:pPr>
      <w:r w:rsidRPr="00926216">
        <w:rPr>
          <w:rFonts w:ascii="Times" w:hAnsi="Times" w:cs="Times New Roman"/>
          <w:szCs w:val="24"/>
        </w:rPr>
        <w:t xml:space="preserve">drafting of donor proposals and the launch of the first global donor appeal in 2008; </w:t>
      </w:r>
    </w:p>
    <w:p w14:paraId="16367B7A" w14:textId="77777777" w:rsidR="00E50106" w:rsidRPr="00926216" w:rsidRDefault="00E50106" w:rsidP="00D429DF">
      <w:pPr>
        <w:pStyle w:val="ListParagraph"/>
        <w:widowControl w:val="0"/>
        <w:numPr>
          <w:ilvl w:val="0"/>
          <w:numId w:val="30"/>
        </w:numPr>
        <w:autoSpaceDE w:val="0"/>
        <w:autoSpaceDN w:val="0"/>
        <w:adjustRightInd w:val="0"/>
        <w:spacing w:before="100" w:beforeAutospacing="1" w:after="100" w:afterAutospacing="1" w:line="240" w:lineRule="auto"/>
        <w:rPr>
          <w:rFonts w:ascii="Times" w:hAnsi="Times" w:cs="Times New Roman"/>
          <w:szCs w:val="24"/>
        </w:rPr>
      </w:pPr>
      <w:r w:rsidRPr="00926216">
        <w:rPr>
          <w:rFonts w:ascii="Times" w:hAnsi="Times" w:cs="Times New Roman"/>
          <w:szCs w:val="24"/>
        </w:rPr>
        <w:t>and the management of representational events including the Rome Statute Review Conference in Kampala in 2010 and high-level VIP missions with States Parties, CBF members and ICC Principals to northern Uganda and DRC in 2010 and 2013.</w:t>
      </w:r>
      <w:r w:rsidRPr="00926216">
        <w:rPr>
          <w:rStyle w:val="FootnoteReference"/>
          <w:rFonts w:ascii="Times" w:hAnsi="Times"/>
          <w:szCs w:val="24"/>
        </w:rPr>
        <w:footnoteReference w:id="69"/>
      </w:r>
    </w:p>
    <w:p w14:paraId="432BC073" w14:textId="2D4F949E" w:rsidR="00E50106" w:rsidRPr="00926216" w:rsidRDefault="00AB08A8" w:rsidP="00D429DF">
      <w:pPr>
        <w:spacing w:before="100" w:beforeAutospacing="1" w:after="100" w:afterAutospacing="1"/>
        <w:contextualSpacing/>
        <w:rPr>
          <w:rFonts w:ascii="Times" w:hAnsi="Times"/>
        </w:rPr>
      </w:pPr>
      <w:r w:rsidRPr="00926216">
        <w:rPr>
          <w:rFonts w:ascii="Times" w:hAnsi="Times"/>
          <w:color w:val="000000" w:themeColor="text1"/>
        </w:rPr>
        <w:t xml:space="preserve">Furthermore, all implementing partners are subjected to a </w:t>
      </w:r>
      <w:r w:rsidRPr="00926216">
        <w:rPr>
          <w:rFonts w:ascii="Times" w:hAnsi="Times"/>
        </w:rPr>
        <w:t>capacity needs assessment.</w:t>
      </w:r>
      <w:r w:rsidRPr="00926216">
        <w:rPr>
          <w:rStyle w:val="FootnoteReference"/>
          <w:rFonts w:ascii="Times" w:hAnsi="Times"/>
        </w:rPr>
        <w:footnoteReference w:id="70"/>
      </w:r>
      <w:r w:rsidRPr="00926216">
        <w:rPr>
          <w:rFonts w:ascii="Times" w:hAnsi="Times"/>
        </w:rPr>
        <w:t xml:space="preserve"> </w:t>
      </w:r>
      <w:r w:rsidR="00E50106" w:rsidRPr="00926216">
        <w:rPr>
          <w:rFonts w:ascii="Times" w:hAnsi="Times"/>
        </w:rPr>
        <w:t>An additional cost factor is public relation work which includes</w:t>
      </w:r>
      <w:r w:rsidR="00407A25" w:rsidRPr="00926216">
        <w:rPr>
          <w:rFonts w:ascii="Times" w:hAnsi="Times"/>
        </w:rPr>
        <w:t>:</w:t>
      </w:r>
      <w:r w:rsidR="00E50106" w:rsidRPr="00926216">
        <w:rPr>
          <w:rFonts w:ascii="Times" w:hAnsi="Times"/>
        </w:rPr>
        <w:t xml:space="preserve"> </w:t>
      </w:r>
    </w:p>
    <w:p w14:paraId="0082E069" w14:textId="77777777" w:rsidR="00E50106" w:rsidRPr="00926216" w:rsidRDefault="00E50106" w:rsidP="00D429DF">
      <w:pPr>
        <w:spacing w:before="100" w:beforeAutospacing="1" w:after="100" w:afterAutospacing="1"/>
        <w:ind w:left="720"/>
        <w:contextualSpacing/>
        <w:rPr>
          <w:sz w:val="22"/>
          <w:szCs w:val="22"/>
        </w:rPr>
      </w:pPr>
      <w:r w:rsidRPr="00926216">
        <w:rPr>
          <w:sz w:val="22"/>
          <w:szCs w:val="22"/>
        </w:rPr>
        <w:t>developing a communication and outreach strategy for the Trust Fund’s mandates; greater coordination with the ICC PIDS team in each situation, and integration into the ICC’s outreach and communication strategies; and/or through the assignment of programme communication staff or contractors specifically for the Trust Fund in each situation.</w:t>
      </w:r>
      <w:r w:rsidRPr="00926216">
        <w:rPr>
          <w:rStyle w:val="FootnoteReference"/>
          <w:rFonts w:ascii="Times" w:hAnsi="Times"/>
        </w:rPr>
        <w:footnoteReference w:id="71"/>
      </w:r>
      <w:r w:rsidRPr="00926216">
        <w:rPr>
          <w:rFonts w:ascii="Times" w:hAnsi="Times"/>
        </w:rPr>
        <w:t xml:space="preserve"> </w:t>
      </w:r>
    </w:p>
    <w:p w14:paraId="64FB4E4B" w14:textId="77777777" w:rsidR="00522D3D" w:rsidRPr="00926216" w:rsidRDefault="00522D3D" w:rsidP="00D429DF">
      <w:pPr>
        <w:widowControl w:val="0"/>
        <w:autoSpaceDE w:val="0"/>
        <w:autoSpaceDN w:val="0"/>
        <w:adjustRightInd w:val="0"/>
        <w:spacing w:before="100" w:beforeAutospacing="1" w:after="100" w:afterAutospacing="1"/>
        <w:contextualSpacing/>
        <w:rPr>
          <w:rFonts w:ascii="Times" w:hAnsi="Times"/>
        </w:rPr>
      </w:pPr>
    </w:p>
    <w:p w14:paraId="52C17C2F" w14:textId="38A1A6F9" w:rsidR="00E50106" w:rsidRPr="00926216" w:rsidRDefault="00E50106" w:rsidP="00D429DF">
      <w:pPr>
        <w:spacing w:before="100" w:beforeAutospacing="1" w:after="100" w:afterAutospacing="1"/>
        <w:contextualSpacing/>
        <w:rPr>
          <w:rFonts w:ascii="Times" w:hAnsi="Times"/>
        </w:rPr>
      </w:pPr>
      <w:r w:rsidRPr="00926216">
        <w:rPr>
          <w:rFonts w:ascii="Times" w:hAnsi="Times"/>
        </w:rPr>
        <w:t>Another aspect of the immense costs of accountability is the extensive review of their own procedures. In order to review the impact of their rehabilitation assistance, the Trust Fund conducted an extensive survey in 2010/2011, which included interviews with 2,500 victim beneficiaries.</w:t>
      </w:r>
      <w:r w:rsidRPr="00926216">
        <w:rPr>
          <w:rStyle w:val="FootnoteReference"/>
          <w:rFonts w:ascii="Times" w:hAnsi="Times"/>
        </w:rPr>
        <w:footnoteReference w:id="72"/>
      </w:r>
      <w:r w:rsidRPr="00926216">
        <w:rPr>
          <w:rFonts w:ascii="Times" w:hAnsi="Times"/>
        </w:rPr>
        <w:t xml:space="preserve"> The claim that lessons learnt are helpful for later implementation of reparation awards is questionable. One such lesson, for example, was:</w:t>
      </w:r>
    </w:p>
    <w:p w14:paraId="5A459DFB" w14:textId="63C60059" w:rsidR="00BE1CB8" w:rsidRPr="00926216" w:rsidRDefault="00E50106" w:rsidP="00D429DF">
      <w:pPr>
        <w:widowControl w:val="0"/>
        <w:autoSpaceDE w:val="0"/>
        <w:autoSpaceDN w:val="0"/>
        <w:adjustRightInd w:val="0"/>
        <w:spacing w:before="100" w:beforeAutospacing="1" w:after="100" w:afterAutospacing="1"/>
        <w:ind w:left="720"/>
        <w:contextualSpacing/>
        <w:rPr>
          <w:rFonts w:ascii="Times" w:hAnsi="Times"/>
        </w:rPr>
      </w:pPr>
      <w:r w:rsidRPr="00926216">
        <w:rPr>
          <w:rFonts w:ascii="Times" w:hAnsi="Times"/>
          <w:sz w:val="22"/>
          <w:szCs w:val="22"/>
        </w:rPr>
        <w:t>Violence, that is, impacts men and boys differently than it impacts women and girls; and the findings suggested that among the Trust Fund’s beneficiaries, female victims had experienced more severe psychological and social consequences. This, in turn, showed that women approach the issues of justice, rehabilitation, reparation and reconciliation differently than men</w:t>
      </w:r>
      <w:r w:rsidRPr="00926216">
        <w:rPr>
          <w:rFonts w:ascii="Times" w:hAnsi="Times"/>
        </w:rPr>
        <w:t>.</w:t>
      </w:r>
      <w:r w:rsidRPr="00926216">
        <w:rPr>
          <w:rStyle w:val="FootnoteReference"/>
          <w:rFonts w:ascii="Times" w:hAnsi="Times"/>
        </w:rPr>
        <w:footnoteReference w:id="73"/>
      </w:r>
    </w:p>
    <w:p w14:paraId="17F77734" w14:textId="77777777" w:rsidR="00522D3D" w:rsidRDefault="00522D3D" w:rsidP="00D429DF">
      <w:pPr>
        <w:widowControl w:val="0"/>
        <w:autoSpaceDE w:val="0"/>
        <w:autoSpaceDN w:val="0"/>
        <w:adjustRightInd w:val="0"/>
        <w:spacing w:before="100" w:beforeAutospacing="1" w:after="100" w:afterAutospacing="1"/>
        <w:contextualSpacing/>
        <w:rPr>
          <w:rFonts w:ascii="Times" w:hAnsi="Times"/>
        </w:rPr>
      </w:pPr>
    </w:p>
    <w:p w14:paraId="39536847" w14:textId="66CE77CA" w:rsidR="00BE1CB8" w:rsidRPr="00926216" w:rsidRDefault="00E50106" w:rsidP="00D429DF">
      <w:pPr>
        <w:widowControl w:val="0"/>
        <w:autoSpaceDE w:val="0"/>
        <w:autoSpaceDN w:val="0"/>
        <w:adjustRightInd w:val="0"/>
        <w:spacing w:before="100" w:beforeAutospacing="1" w:after="100" w:afterAutospacing="1"/>
        <w:contextualSpacing/>
        <w:rPr>
          <w:rFonts w:ascii="Times" w:hAnsi="Times"/>
        </w:rPr>
      </w:pPr>
      <w:r w:rsidRPr="00926216">
        <w:rPr>
          <w:rFonts w:ascii="Times" w:hAnsi="Times"/>
        </w:rPr>
        <w:t xml:space="preserve">Surely, this insight is far from new. If the aim of external reviews is to learn more about the impact of crimes and of various rehabilitation measures, this would be </w:t>
      </w:r>
      <w:r w:rsidR="00722ECD" w:rsidRPr="00926216">
        <w:t>achieved more easily</w:t>
      </w:r>
      <w:r w:rsidR="00722ECD" w:rsidRPr="00926216" w:rsidDel="00722ECD">
        <w:rPr>
          <w:rFonts w:ascii="Times" w:hAnsi="Times"/>
        </w:rPr>
        <w:t xml:space="preserve"> </w:t>
      </w:r>
      <w:r w:rsidRPr="00926216">
        <w:rPr>
          <w:rFonts w:ascii="Times" w:hAnsi="Times"/>
        </w:rPr>
        <w:t xml:space="preserve">by an established research centre, which could conduct long-term detailed and widespread empirical research. </w:t>
      </w:r>
      <w:r w:rsidR="00BE1CB8" w:rsidRPr="00926216">
        <w:rPr>
          <w:rFonts w:ascii="Times" w:hAnsi="Times"/>
        </w:rPr>
        <w:t xml:space="preserve"> </w:t>
      </w:r>
    </w:p>
    <w:p w14:paraId="17DBE87F" w14:textId="55506C38" w:rsidR="00BE1CB8" w:rsidRPr="00926216" w:rsidRDefault="00F97B30" w:rsidP="00D429DF">
      <w:pPr>
        <w:pStyle w:val="Heading2"/>
        <w:numPr>
          <w:ilvl w:val="1"/>
          <w:numId w:val="44"/>
        </w:numPr>
        <w:spacing w:before="100" w:beforeAutospacing="1" w:after="100" w:afterAutospacing="1" w:line="240" w:lineRule="auto"/>
      </w:pPr>
      <w:r w:rsidRPr="00926216">
        <w:t>I</w:t>
      </w:r>
      <w:r w:rsidR="00517E25" w:rsidRPr="00926216">
        <w:t>nterim Conclusion</w:t>
      </w:r>
    </w:p>
    <w:p w14:paraId="37E96D38" w14:textId="4F4E8F5A" w:rsidR="00F97B30" w:rsidRPr="00926216" w:rsidRDefault="00F97B30" w:rsidP="00D429DF">
      <w:pPr>
        <w:spacing w:before="100" w:beforeAutospacing="1" w:after="100" w:afterAutospacing="1"/>
        <w:contextualSpacing/>
        <w:rPr>
          <w:color w:val="000000" w:themeColor="text1"/>
        </w:rPr>
      </w:pPr>
      <w:r w:rsidRPr="00926216">
        <w:rPr>
          <w:rFonts w:ascii="Times" w:hAnsi="Times"/>
        </w:rPr>
        <w:t xml:space="preserve">The weak fundraising of the Board of Directors illustrates that the attachment of the Trust Fund to the ICC is not </w:t>
      </w:r>
      <w:proofErr w:type="gramStart"/>
      <w:r w:rsidRPr="00926216">
        <w:rPr>
          <w:rFonts w:ascii="Times" w:hAnsi="Times"/>
        </w:rPr>
        <w:t>sufficient</w:t>
      </w:r>
      <w:proofErr w:type="gramEnd"/>
      <w:r w:rsidRPr="00926216">
        <w:rPr>
          <w:rFonts w:ascii="Times" w:hAnsi="Times"/>
        </w:rPr>
        <w:t xml:space="preserve"> to raise substantial funds. </w:t>
      </w:r>
      <w:r w:rsidRPr="00926216">
        <w:rPr>
          <w:color w:val="000000" w:themeColor="text1"/>
        </w:rPr>
        <w:t xml:space="preserve">Even with the recent acquittals of Jean-Pierre Bemba, Laurent Gbagbo and Charles </w:t>
      </w:r>
      <w:proofErr w:type="spellStart"/>
      <w:r w:rsidRPr="00926216">
        <w:rPr>
          <w:color w:val="000000" w:themeColor="text1"/>
        </w:rPr>
        <w:t>Blé</w:t>
      </w:r>
      <w:proofErr w:type="spellEnd"/>
      <w:r w:rsidRPr="00926216">
        <w:rPr>
          <w:color w:val="000000" w:themeColor="text1"/>
        </w:rPr>
        <w:t xml:space="preserve"> </w:t>
      </w:r>
      <w:proofErr w:type="spellStart"/>
      <w:r w:rsidRPr="00926216">
        <w:rPr>
          <w:color w:val="000000" w:themeColor="text1"/>
        </w:rPr>
        <w:t>Goudé</w:t>
      </w:r>
      <w:proofErr w:type="spellEnd"/>
      <w:r w:rsidRPr="00926216">
        <w:rPr>
          <w:color w:val="000000" w:themeColor="text1"/>
        </w:rPr>
        <w:t>, the demands on reparations must be expected to raise sharply in the coming years. In 2017,</w:t>
      </w:r>
      <w:r w:rsidR="00F46843" w:rsidRPr="00926216">
        <w:rPr>
          <w:color w:val="000000" w:themeColor="text1"/>
        </w:rPr>
        <w:t xml:space="preserve"> the</w:t>
      </w:r>
      <w:r w:rsidRPr="00926216">
        <w:rPr>
          <w:color w:val="000000" w:themeColor="text1"/>
        </w:rPr>
        <w:t xml:space="preserve"> </w:t>
      </w:r>
      <w:r w:rsidR="00F46843" w:rsidRPr="00926216">
        <w:rPr>
          <w:color w:val="333333"/>
          <w:shd w:val="clear" w:color="auto" w:fill="FFFFFF"/>
        </w:rPr>
        <w:t xml:space="preserve">Chair of the Board of Directors, </w:t>
      </w:r>
      <w:proofErr w:type="spellStart"/>
      <w:r w:rsidR="00F46843" w:rsidRPr="00926216">
        <w:rPr>
          <w:color w:val="333333"/>
          <w:shd w:val="clear" w:color="auto" w:fill="FFFFFF"/>
        </w:rPr>
        <w:t>Motoo</w:t>
      </w:r>
      <w:proofErr w:type="spellEnd"/>
      <w:r w:rsidR="00F46843" w:rsidRPr="00926216">
        <w:rPr>
          <w:color w:val="333333"/>
          <w:shd w:val="clear" w:color="auto" w:fill="FFFFFF"/>
        </w:rPr>
        <w:t xml:space="preserve"> </w:t>
      </w:r>
      <w:r w:rsidRPr="00926216">
        <w:rPr>
          <w:color w:val="000000" w:themeColor="text1"/>
        </w:rPr>
        <w:t>Noguc</w:t>
      </w:r>
      <w:r w:rsidR="002F13D3" w:rsidRPr="00926216">
        <w:rPr>
          <w:color w:val="000000" w:themeColor="text1"/>
        </w:rPr>
        <w:t>h</w:t>
      </w:r>
      <w:r w:rsidRPr="00926216">
        <w:rPr>
          <w:color w:val="000000" w:themeColor="text1"/>
        </w:rPr>
        <w:t>i</w:t>
      </w:r>
      <w:r w:rsidR="001330A6" w:rsidRPr="00926216">
        <w:rPr>
          <w:color w:val="000000" w:themeColor="text1"/>
        </w:rPr>
        <w:t>,</w:t>
      </w:r>
      <w:r w:rsidRPr="00926216">
        <w:rPr>
          <w:color w:val="000000" w:themeColor="text1"/>
        </w:rPr>
        <w:t xml:space="preserve"> estimated that in the next 4 years the Fund would need €30 million for reparations alone</w:t>
      </w:r>
      <w:r w:rsidRPr="00926216">
        <w:rPr>
          <w:rStyle w:val="FootnoteReference"/>
          <w:color w:val="000000" w:themeColor="text1"/>
        </w:rPr>
        <w:footnoteReference w:id="74"/>
      </w:r>
      <w:r w:rsidRPr="00926216">
        <w:rPr>
          <w:color w:val="000000" w:themeColor="text1"/>
        </w:rPr>
        <w:t xml:space="preserve"> </w:t>
      </w:r>
      <w:r w:rsidR="001330A6" w:rsidRPr="00926216">
        <w:rPr>
          <w:color w:val="000000" w:themeColor="text1"/>
        </w:rPr>
        <w:t xml:space="preserve">while </w:t>
      </w:r>
      <w:r w:rsidR="004761B3" w:rsidRPr="00926216">
        <w:rPr>
          <w:color w:val="000000" w:themeColor="text1"/>
        </w:rPr>
        <w:t>t</w:t>
      </w:r>
      <w:r w:rsidRPr="00926216">
        <w:rPr>
          <w:color w:val="000000" w:themeColor="text1"/>
        </w:rPr>
        <w:t xml:space="preserve">he Court </w:t>
      </w:r>
      <w:r w:rsidRPr="00926216">
        <w:rPr>
          <w:color w:val="000000" w:themeColor="text1"/>
          <w:szCs w:val="34"/>
        </w:rPr>
        <w:t xml:space="preserve">reminded the Fund that its responsibility </w:t>
      </w:r>
      <w:r w:rsidR="00C208F9" w:rsidRPr="00926216">
        <w:rPr>
          <w:color w:val="000000" w:themeColor="text1"/>
        </w:rPr>
        <w:t>‘</w:t>
      </w:r>
      <w:r w:rsidRPr="00926216">
        <w:rPr>
          <w:i/>
          <w:color w:val="000000" w:themeColor="text1"/>
        </w:rPr>
        <w:t>is first and foremost</w:t>
      </w:r>
      <w:r w:rsidRPr="00926216">
        <w:rPr>
          <w:color w:val="000000" w:themeColor="text1"/>
        </w:rPr>
        <w:t xml:space="preserve"> to ensure that sufficient funds are available in the eventuality of a Court reparation order</w:t>
      </w:r>
      <w:r w:rsidR="00C208F9" w:rsidRPr="00926216">
        <w:rPr>
          <w:color w:val="000000" w:themeColor="text1"/>
        </w:rPr>
        <w:t>’</w:t>
      </w:r>
      <w:r w:rsidRPr="00926216">
        <w:rPr>
          <w:color w:val="000000" w:themeColor="text1"/>
        </w:rPr>
        <w:t xml:space="preserve"> (emphasis added).</w:t>
      </w:r>
      <w:r w:rsidRPr="00926216">
        <w:rPr>
          <w:rStyle w:val="FootnoteReference"/>
          <w:rFonts w:ascii="Times" w:hAnsi="Times"/>
          <w:color w:val="000000" w:themeColor="text1"/>
        </w:rPr>
        <w:footnoteReference w:id="75"/>
      </w:r>
      <w:r w:rsidRPr="00926216">
        <w:rPr>
          <w:rFonts w:cs="Times"/>
          <w:color w:val="000000" w:themeColor="text1"/>
          <w:szCs w:val="34"/>
        </w:rPr>
        <w:t xml:space="preserve"> </w:t>
      </w:r>
      <w:r w:rsidRPr="00926216">
        <w:rPr>
          <w:rFonts w:ascii="Times" w:hAnsi="Times"/>
          <w:color w:val="000000" w:themeColor="text1"/>
        </w:rPr>
        <w:t xml:space="preserve">The Trust Fund will be struggling to raise sufficient funds to fulfil its reparation mandate and complement reparation orders, let alone to raise enough money to fund further projects as part of the general assistance mandate. Indeed, in 2019 the Assembly of State Parties warned that that </w:t>
      </w:r>
      <w:r w:rsidR="00C208F9" w:rsidRPr="00926216">
        <w:rPr>
          <w:rFonts w:ascii="Times" w:hAnsi="Times"/>
          <w:color w:val="000000" w:themeColor="text1"/>
        </w:rPr>
        <w:t>‘</w:t>
      </w:r>
      <w:r w:rsidRPr="00926216">
        <w:rPr>
          <w:rFonts w:ascii="Times" w:hAnsi="Times"/>
          <w:color w:val="000000" w:themeColor="text1"/>
        </w:rPr>
        <w:t>there is a rapidly widening gap between expected annual revenue and the TFV’s resource need</w:t>
      </w:r>
      <w:r w:rsidR="00C208F9" w:rsidRPr="00926216">
        <w:rPr>
          <w:rFonts w:ascii="Times" w:hAnsi="Times"/>
          <w:color w:val="000000" w:themeColor="text1"/>
        </w:rPr>
        <w:t>’</w:t>
      </w:r>
      <w:r w:rsidRPr="00926216">
        <w:rPr>
          <w:rFonts w:ascii="Times" w:hAnsi="Times"/>
          <w:color w:val="000000" w:themeColor="text1"/>
        </w:rPr>
        <w:t>.</w:t>
      </w:r>
      <w:r w:rsidRPr="00926216">
        <w:rPr>
          <w:rStyle w:val="FootnoteReference"/>
          <w:rFonts w:ascii="Times" w:hAnsi="Times"/>
          <w:color w:val="000000" w:themeColor="text1"/>
        </w:rPr>
        <w:footnoteReference w:id="76"/>
      </w:r>
      <w:r w:rsidRPr="00926216">
        <w:rPr>
          <w:rFonts w:ascii="Times" w:hAnsi="Times"/>
          <w:color w:val="000000" w:themeColor="text1"/>
        </w:rPr>
        <w:t xml:space="preserve"> </w:t>
      </w:r>
      <w:r w:rsidRPr="00926216">
        <w:rPr>
          <w:rFonts w:ascii="Times" w:hAnsi="Times"/>
        </w:rPr>
        <w:t xml:space="preserve">At the same time, the </w:t>
      </w:r>
      <w:r w:rsidR="00A81B0C" w:rsidRPr="00926216">
        <w:rPr>
          <w:rFonts w:ascii="Times" w:hAnsi="Times"/>
        </w:rPr>
        <w:t>operation</w:t>
      </w:r>
      <w:r w:rsidRPr="00926216">
        <w:rPr>
          <w:rFonts w:ascii="Times" w:hAnsi="Times"/>
        </w:rPr>
        <w:t xml:space="preserve"> of the general assistance mandate is exceptionally expensive. While it is absolutely essential to establish robust </w:t>
      </w:r>
      <w:r w:rsidR="00F052D9" w:rsidRPr="00926216">
        <w:rPr>
          <w:rFonts w:ascii="Times" w:hAnsi="Times"/>
        </w:rPr>
        <w:t xml:space="preserve">processes </w:t>
      </w:r>
      <w:r w:rsidRPr="00926216">
        <w:rPr>
          <w:rFonts w:ascii="Times" w:hAnsi="Times"/>
        </w:rPr>
        <w:t xml:space="preserve">to run the general assistance </w:t>
      </w:r>
      <w:r w:rsidR="004F49B6" w:rsidRPr="00926216">
        <w:rPr>
          <w:rFonts w:ascii="Times" w:hAnsi="Times"/>
        </w:rPr>
        <w:t>projects</w:t>
      </w:r>
      <w:r w:rsidRPr="00926216">
        <w:rPr>
          <w:rFonts w:ascii="Times" w:hAnsi="Times"/>
        </w:rPr>
        <w:t xml:space="preserve"> with transparency and accountability, </w:t>
      </w:r>
      <w:r w:rsidR="00F052D9" w:rsidRPr="00926216">
        <w:rPr>
          <w:rFonts w:ascii="Times" w:hAnsi="Times"/>
        </w:rPr>
        <w:t>all these procedures create a costly administrative layer between donors and implementing partners, which</w:t>
      </w:r>
      <w:r w:rsidRPr="00926216">
        <w:rPr>
          <w:rFonts w:ascii="Times" w:hAnsi="Times"/>
          <w:color w:val="000000" w:themeColor="text1"/>
        </w:rPr>
        <w:t xml:space="preserve"> would not be necessary if the functions of the general assistance mandate would be fulfilled by existing national or international organisations. </w:t>
      </w:r>
      <w:r w:rsidRPr="00926216">
        <w:rPr>
          <w:color w:val="000000" w:themeColor="text1"/>
        </w:rPr>
        <w:t>In addition to this, as will be shown in the following section, the general assistance mandate is also undermining the core functions of the Court and thus undermining its legitimacy.</w:t>
      </w:r>
    </w:p>
    <w:p w14:paraId="720AE5B5" w14:textId="3D2F0486" w:rsidR="007A4CC3" w:rsidRDefault="00386B78" w:rsidP="00D429DF">
      <w:pPr>
        <w:pStyle w:val="Heading1"/>
        <w:numPr>
          <w:ilvl w:val="0"/>
          <w:numId w:val="48"/>
        </w:numPr>
        <w:spacing w:before="100" w:beforeAutospacing="1" w:after="100" w:afterAutospacing="1" w:line="240" w:lineRule="auto"/>
        <w:contextualSpacing/>
      </w:pPr>
      <w:bookmarkStart w:id="5" w:name="_Toc522015091"/>
      <w:r w:rsidRPr="00926216">
        <w:t>The general assistance mandate and the legitimacy of the ICC</w:t>
      </w:r>
    </w:p>
    <w:p w14:paraId="3E0D4173" w14:textId="211AD9E8" w:rsidR="004D7563" w:rsidRPr="00E117A4" w:rsidRDefault="004D7563" w:rsidP="00D429DF">
      <w:pPr>
        <w:autoSpaceDE w:val="0"/>
        <w:autoSpaceDN w:val="0"/>
        <w:adjustRightInd w:val="0"/>
        <w:spacing w:before="100" w:beforeAutospacing="1" w:after="100" w:afterAutospacing="1"/>
        <w:contextualSpacing/>
        <w:rPr>
          <w:color w:val="000000" w:themeColor="text1"/>
        </w:rPr>
      </w:pPr>
      <w:r w:rsidRPr="00926216">
        <w:t>Like other international criminal tribunals, the ICC can be described as a limbless giant</w:t>
      </w:r>
      <w:r w:rsidRPr="00926216">
        <w:rPr>
          <w:rStyle w:val="FootnoteReference"/>
        </w:rPr>
        <w:footnoteReference w:id="77"/>
      </w:r>
      <w:r w:rsidRPr="00926216">
        <w:t xml:space="preserve"> who is dependent on states not only to fund the Court but also to support the investigation, protect witnesses, arrest and surrender suspects to the Court and provide prison space for convicted offenders. Indeed, the Court cannot operate without the good will of its many different stakeholders including the state parties, UN member states, affected communities, individual victims, human rights NGOs, regional organisation such as the AU, and the international </w:t>
      </w:r>
      <w:proofErr w:type="gramStart"/>
      <w:r w:rsidRPr="00926216">
        <w:t>community as a whole</w:t>
      </w:r>
      <w:proofErr w:type="gramEnd"/>
      <w:r w:rsidRPr="00926216">
        <w:t>. The strongest asset the ICC holds for securing this support is the moral power of its high aspirations and the trust in its fair procedures and judgements. Only in as much as the Court can demonstrate legitimacy of its actions and decisions, states will see themselves bound to provide the Court with the support it needs, human rights groups will aid the court with evidence gathering, victims will come forward as witnesses and communities will accept the judgements. Legitimacy and justice are interwoven</w:t>
      </w:r>
      <w:r w:rsidRPr="00926216">
        <w:rPr>
          <w:rStyle w:val="FootnoteReference"/>
        </w:rPr>
        <w:footnoteReference w:id="78"/>
      </w:r>
      <w:r w:rsidRPr="00926216">
        <w:t xml:space="preserve"> and as De </w:t>
      </w:r>
      <w:proofErr w:type="spellStart"/>
      <w:r w:rsidRPr="00926216">
        <w:lastRenderedPageBreak/>
        <w:t>Hoon</w:t>
      </w:r>
      <w:proofErr w:type="spellEnd"/>
      <w:r w:rsidRPr="00926216">
        <w:t xml:space="preserve"> expresses, ‘criminal law trials, function only by the grace of legitimacy.’</w:t>
      </w:r>
      <w:r w:rsidRPr="00926216">
        <w:rPr>
          <w:rStyle w:val="FootnoteReference"/>
        </w:rPr>
        <w:footnoteReference w:id="79"/>
      </w:r>
      <w:r w:rsidRPr="00926216">
        <w:t xml:space="preserve"> </w:t>
      </w:r>
      <w:r w:rsidR="003C6449">
        <w:t>Indeed, t</w:t>
      </w:r>
      <w:r w:rsidR="003C6449" w:rsidRPr="00B65573">
        <w:rPr>
          <w:color w:val="000000" w:themeColor="text1"/>
        </w:rPr>
        <w:t xml:space="preserve">he ICC </w:t>
      </w:r>
      <w:r w:rsidR="00AA2D97">
        <w:rPr>
          <w:color w:val="000000" w:themeColor="text1"/>
        </w:rPr>
        <w:t>‘</w:t>
      </w:r>
      <w:r w:rsidR="003C6449" w:rsidRPr="00B65573">
        <w:rPr>
          <w:color w:val="000000" w:themeColor="text1"/>
        </w:rPr>
        <w:t>must work continually to build legitimacy and evidence its existence to the international community.</w:t>
      </w:r>
      <w:r w:rsidR="00AA2D97">
        <w:rPr>
          <w:color w:val="000000" w:themeColor="text1"/>
        </w:rPr>
        <w:t>’</w:t>
      </w:r>
      <w:r w:rsidR="003C6449" w:rsidRPr="00B65573">
        <w:rPr>
          <w:rStyle w:val="FootnoteReference"/>
          <w:color w:val="000000" w:themeColor="text1"/>
        </w:rPr>
        <w:footnoteReference w:id="80"/>
      </w:r>
    </w:p>
    <w:p w14:paraId="1D94B53E" w14:textId="534268D5" w:rsidR="004D7563" w:rsidRPr="00926216" w:rsidRDefault="004D7563" w:rsidP="00D429DF">
      <w:pPr>
        <w:autoSpaceDE w:val="0"/>
        <w:autoSpaceDN w:val="0"/>
        <w:adjustRightInd w:val="0"/>
        <w:spacing w:before="100" w:beforeAutospacing="1" w:after="100" w:afterAutospacing="1"/>
        <w:contextualSpacing/>
      </w:pPr>
      <w:r w:rsidRPr="00926216">
        <w:t xml:space="preserve">Nevertheless, during its short history the ICC has already faced </w:t>
      </w:r>
      <w:proofErr w:type="gramStart"/>
      <w:r w:rsidRPr="00926216">
        <w:t>a number of</w:t>
      </w:r>
      <w:proofErr w:type="gramEnd"/>
      <w:r w:rsidRPr="00926216">
        <w:t xml:space="preserve"> attacks on its legitimacy</w:t>
      </w:r>
      <w:r w:rsidRPr="00926216">
        <w:rPr>
          <w:rStyle w:val="FootnoteReference"/>
        </w:rPr>
        <w:footnoteReference w:id="81"/>
      </w:r>
      <w:r w:rsidRPr="00926216">
        <w:t xml:space="preserve"> being accused of political choice of conflicts in which to open investigation, bias selection of defendants, lengthy procedures and low sentences to name but a few. The main crisis of legitimacy was caused by the arrest warrant of the sitting Head of State</w:t>
      </w:r>
      <w:r w:rsidRPr="00926216" w:rsidDel="00722ECD">
        <w:t xml:space="preserve"> </w:t>
      </w:r>
      <w:r w:rsidRPr="00926216">
        <w:t>in Sudan and later, the indictments of President and Deputy President of Kenya which led to the African Union to contemplate a mass exodus from membership</w:t>
      </w:r>
      <w:r w:rsidRPr="00926216">
        <w:rPr>
          <w:rStyle w:val="FootnoteReference"/>
        </w:rPr>
        <w:footnoteReference w:id="82"/>
      </w:r>
      <w:r w:rsidRPr="00926216">
        <w:t xml:space="preserve"> </w:t>
      </w:r>
      <w:r w:rsidRPr="00E117A4">
        <w:t>and two states to withdraw from the ICC.</w:t>
      </w:r>
      <w:r w:rsidRPr="00E117A4">
        <w:rPr>
          <w:rStyle w:val="FootnoteReference"/>
        </w:rPr>
        <w:footnoteReference w:id="83"/>
      </w:r>
      <w:r w:rsidRPr="00926216">
        <w:t xml:space="preserve"> </w:t>
      </w:r>
      <w:proofErr w:type="spellStart"/>
      <w:r w:rsidRPr="00926216">
        <w:rPr>
          <w:color w:val="000000" w:themeColor="text1"/>
        </w:rPr>
        <w:t>Vasiliev</w:t>
      </w:r>
      <w:proofErr w:type="spellEnd"/>
      <w:r w:rsidRPr="00926216">
        <w:rPr>
          <w:color w:val="000000" w:themeColor="text1"/>
        </w:rPr>
        <w:t xml:space="preserve"> states that ‘</w:t>
      </w:r>
      <w:r w:rsidRPr="00926216">
        <w:t>legitimacy-related anxiety is like a dark cloud hovering over the project [of international criminal justice]’,</w:t>
      </w:r>
      <w:r w:rsidRPr="00926216">
        <w:rPr>
          <w:rStyle w:val="FootnoteReference"/>
        </w:rPr>
        <w:footnoteReference w:id="84"/>
      </w:r>
      <w:r w:rsidRPr="00926216">
        <w:rPr>
          <w:color w:val="000000" w:themeColor="text1"/>
          <w:position w:val="6"/>
        </w:rPr>
        <w:t xml:space="preserve"> </w:t>
      </w:r>
      <w:r w:rsidRPr="00926216">
        <w:t>and it is no exaggeration to speak of a crisis of legitimacy for the ICC.</w:t>
      </w:r>
      <w:r w:rsidRPr="00926216">
        <w:rPr>
          <w:rStyle w:val="FootnoteReference"/>
        </w:rPr>
        <w:footnoteReference w:id="85"/>
      </w:r>
      <w:r w:rsidRPr="00926216">
        <w:t xml:space="preserve"> Considering the importance of legitimacy as an asset of the Court on the one hand and the manifold challenges to its legitimacy the Court is currently facing on the other, it is even more surprising that the general assistance mandate of the Trust Fund has not been scrutinised as to its impact on the ICC. As will be argued in this section, in addition to the running costs of the mandate, the general assistance mandate undermines the legitimacy of the Court as a whole </w:t>
      </w:r>
      <w:r w:rsidR="005B1ECC">
        <w:t xml:space="preserve">and is thereby </w:t>
      </w:r>
      <w:r w:rsidRPr="00926216">
        <w:t>further threatening the already weak standing of the ICC.</w:t>
      </w:r>
    </w:p>
    <w:p w14:paraId="546200BC" w14:textId="49F8F1F6" w:rsidR="00E722FD" w:rsidRDefault="00E722FD" w:rsidP="00D429DF">
      <w:pPr>
        <w:pStyle w:val="Heading2"/>
        <w:numPr>
          <w:ilvl w:val="1"/>
          <w:numId w:val="48"/>
        </w:numPr>
        <w:spacing w:before="100" w:beforeAutospacing="1" w:after="100" w:afterAutospacing="1" w:line="240" w:lineRule="auto"/>
      </w:pPr>
      <w:r>
        <w:t>Legitimacy</w:t>
      </w:r>
      <w:r w:rsidR="004D7563">
        <w:t xml:space="preserve"> in </w:t>
      </w:r>
      <w:r w:rsidR="00FE3A39">
        <w:t>I</w:t>
      </w:r>
      <w:r w:rsidR="004D7563">
        <w:t xml:space="preserve">nternational </w:t>
      </w:r>
      <w:r w:rsidR="00FE3A39">
        <w:t xml:space="preserve">Criminal </w:t>
      </w:r>
      <w:r w:rsidR="004D7563">
        <w:t>Law</w:t>
      </w:r>
    </w:p>
    <w:p w14:paraId="17A8CA5D" w14:textId="68E65AF8" w:rsidR="004D7563" w:rsidRDefault="004D7563" w:rsidP="00D429DF">
      <w:pPr>
        <w:spacing w:before="100" w:beforeAutospacing="1" w:after="100" w:afterAutospacing="1"/>
        <w:contextualSpacing/>
      </w:pPr>
      <w:r w:rsidRPr="00926216">
        <w:t>The concept of legitimacy in international law is widely discussed in the literature</w:t>
      </w:r>
      <w:r w:rsidRPr="00926216">
        <w:rPr>
          <w:rStyle w:val="FootnoteReference"/>
        </w:rPr>
        <w:footnoteReference w:id="86"/>
      </w:r>
      <w:r w:rsidRPr="00926216">
        <w:t xml:space="preserve"> and has fittingly been described as a </w:t>
      </w:r>
      <w:r w:rsidRPr="00E117A4">
        <w:rPr>
          <w:color w:val="000000" w:themeColor="text1"/>
        </w:rPr>
        <w:t>‘fluid, adaptable and relative notion which is related to legality, justice and fairness but more easily perceived than measured.’</w:t>
      </w:r>
      <w:r w:rsidRPr="00926216">
        <w:rPr>
          <w:rStyle w:val="FootnoteReference"/>
          <w:color w:val="000000" w:themeColor="text1"/>
        </w:rPr>
        <w:footnoteReference w:id="87"/>
      </w:r>
      <w:r w:rsidRPr="00E117A4">
        <w:rPr>
          <w:color w:val="000000" w:themeColor="text1"/>
        </w:rPr>
        <w:t xml:space="preserve"> </w:t>
      </w:r>
      <w:r w:rsidRPr="00926216">
        <w:t xml:space="preserve">For the purpose of this article it suffices to use </w:t>
      </w:r>
      <w:proofErr w:type="spellStart"/>
      <w:r w:rsidRPr="00926216">
        <w:t>Suchman’s</w:t>
      </w:r>
      <w:proofErr w:type="spellEnd"/>
      <w:r w:rsidRPr="00926216">
        <w:t xml:space="preserve"> general description of legitimacy as ‘a generalised perception or assumption that the actions of an entity are desirable, proper, or appropriate within some socially constructed system of norms, values, beliefs and definitions’.</w:t>
      </w:r>
      <w:r w:rsidRPr="00926216">
        <w:rPr>
          <w:rStyle w:val="FootnoteReference"/>
        </w:rPr>
        <w:footnoteReference w:id="88"/>
      </w:r>
      <w:r w:rsidRPr="00926216">
        <w:t xml:space="preserve"> </w:t>
      </w:r>
      <w:r w:rsidR="005B1ECC">
        <w:t>Within the debate, t</w:t>
      </w:r>
      <w:r w:rsidRPr="00926216">
        <w:t>he scholarship offers various classifications of aspects of legitimacy,</w:t>
      </w:r>
      <w:r w:rsidRPr="00926216">
        <w:rPr>
          <w:rStyle w:val="FootnoteReference"/>
        </w:rPr>
        <w:footnoteReference w:id="89"/>
      </w:r>
      <w:r w:rsidRPr="00926216">
        <w:t xml:space="preserve"> but the main distinction </w:t>
      </w:r>
      <w:r w:rsidRPr="00926216">
        <w:lastRenderedPageBreak/>
        <w:t xml:space="preserve">commonly made is between </w:t>
      </w:r>
      <w:r w:rsidRPr="00FE22EF">
        <w:rPr>
          <w:color w:val="000000"/>
        </w:rPr>
        <w:t>normative and sociological legitimacy.</w:t>
      </w:r>
      <w:r w:rsidRPr="00926216">
        <w:rPr>
          <w:rStyle w:val="FootnoteReference"/>
          <w:color w:val="000000"/>
        </w:rPr>
        <w:footnoteReference w:id="90"/>
      </w:r>
      <w:r w:rsidRPr="00FE22EF">
        <w:rPr>
          <w:color w:val="000000"/>
        </w:rPr>
        <w:t xml:space="preserve"> </w:t>
      </w:r>
      <w:r w:rsidRPr="00926216">
        <w:t>Normative legitimacy is divided in source legitimacy and process legitimacy. Source legitimacy evaluates whether the court derives the authority to judge individuals from a legal authority.</w:t>
      </w:r>
      <w:r w:rsidRPr="00926216">
        <w:rPr>
          <w:rStyle w:val="FootnoteReference"/>
          <w:color w:val="000000"/>
        </w:rPr>
        <w:footnoteReference w:id="91"/>
      </w:r>
      <w:r w:rsidRPr="00FE22EF">
        <w:rPr>
          <w:color w:val="000000"/>
        </w:rPr>
        <w:t xml:space="preserve"> </w:t>
      </w:r>
      <w:r w:rsidRPr="00926216">
        <w:t>Process legitimacy asks whether the Court follows legal procedure and due process principles.</w:t>
      </w:r>
      <w:r w:rsidRPr="00926216">
        <w:rPr>
          <w:rStyle w:val="FootnoteReference"/>
        </w:rPr>
        <w:t xml:space="preserve"> </w:t>
      </w:r>
      <w:r w:rsidRPr="00926216">
        <w:rPr>
          <w:rStyle w:val="FootnoteReference"/>
        </w:rPr>
        <w:footnoteReference w:id="92"/>
      </w:r>
      <w:r w:rsidRPr="00926216">
        <w:t xml:space="preserve"> </w:t>
      </w:r>
      <w:proofErr w:type="spellStart"/>
      <w:r w:rsidRPr="00926216">
        <w:t>Luban</w:t>
      </w:r>
      <w:proofErr w:type="spellEnd"/>
      <w:r w:rsidRPr="00926216">
        <w:t xml:space="preserve"> even claims </w:t>
      </w:r>
      <w:r w:rsidRPr="00FE22EF">
        <w:rPr>
          <w:rFonts w:ascii="TimesNewRomanPSMT" w:hAnsi="TimesNewRomanPSMT"/>
        </w:rPr>
        <w:t xml:space="preserve">‘that the legitimacy of international tribunals comes not from the shaky </w:t>
      </w:r>
      <w:r w:rsidRPr="00CB654A">
        <w:rPr>
          <w:rFonts w:ascii="TimesNewRomanPSMT" w:hAnsi="TimesNewRomanPSMT"/>
        </w:rPr>
        <w:t>political authority that creates them, but from the manifested fairness of their procedures and punishments.’</w:t>
      </w:r>
      <w:r w:rsidRPr="00926216">
        <w:rPr>
          <w:rStyle w:val="FootnoteReference"/>
          <w:rFonts w:ascii="TimesNewRomanPSMT" w:hAnsi="TimesNewRomanPSMT"/>
        </w:rPr>
        <w:footnoteReference w:id="93"/>
      </w:r>
      <w:r w:rsidRPr="00926216">
        <w:t xml:space="preserve"> It is therefore</w:t>
      </w:r>
      <w:r w:rsidRPr="00FE22EF">
        <w:rPr>
          <w:color w:val="000000" w:themeColor="text1"/>
        </w:rPr>
        <w:t xml:space="preserve"> essential that the Court works within generally recognised principles of due process.</w:t>
      </w:r>
      <w:r w:rsidRPr="00926216">
        <w:rPr>
          <w:rStyle w:val="FootnoteReference"/>
          <w:color w:val="000000" w:themeColor="text1"/>
        </w:rPr>
        <w:footnoteReference w:id="94"/>
      </w:r>
      <w:r w:rsidRPr="00FE22EF">
        <w:rPr>
          <w:color w:val="000000" w:themeColor="text1"/>
        </w:rPr>
        <w:t xml:space="preserve"> Sociological legitimacy (also labelled des</w:t>
      </w:r>
      <w:r w:rsidRPr="00CB654A">
        <w:rPr>
          <w:color w:val="000000" w:themeColor="text1"/>
        </w:rPr>
        <w:t>criptive, empirical or sociological legitimacy)</w:t>
      </w:r>
      <w:r w:rsidRPr="00926216">
        <w:rPr>
          <w:rStyle w:val="FootnoteReference"/>
          <w:color w:val="000000" w:themeColor="text1"/>
        </w:rPr>
        <w:footnoteReference w:id="95"/>
      </w:r>
      <w:r w:rsidRPr="00FE22EF">
        <w:rPr>
          <w:color w:val="000000" w:themeColor="text1"/>
        </w:rPr>
        <w:t xml:space="preserve">, on </w:t>
      </w:r>
      <w:r w:rsidRPr="00926216">
        <w:t>the other hand, is based on popular attitudes and perceptions about the Court and its authority.</w:t>
      </w:r>
      <w:r w:rsidRPr="00926216">
        <w:rPr>
          <w:rStyle w:val="FootnoteReference"/>
        </w:rPr>
        <w:footnoteReference w:id="96"/>
      </w:r>
      <w:r w:rsidRPr="00926216">
        <w:t xml:space="preserve"> While normative legitimacy refers to the right to exert authority, sociological legitimacy ‘</w:t>
      </w:r>
      <w:r w:rsidRPr="00FE22EF">
        <w:rPr>
          <w:color w:val="000000"/>
        </w:rPr>
        <w:t>entails the b</w:t>
      </w:r>
      <w:r w:rsidRPr="00CB654A">
        <w:rPr>
          <w:color w:val="000000"/>
        </w:rPr>
        <w:t>elief of the right to rule’.</w:t>
      </w:r>
      <w:r w:rsidRPr="00926216">
        <w:rPr>
          <w:rStyle w:val="FootnoteReference"/>
          <w:color w:val="000000"/>
        </w:rPr>
        <w:footnoteReference w:id="97"/>
      </w:r>
      <w:r w:rsidRPr="00FE22EF">
        <w:rPr>
          <w:color w:val="FF0000"/>
        </w:rPr>
        <w:t xml:space="preserve"> </w:t>
      </w:r>
      <w:r w:rsidR="00867032">
        <w:t>S</w:t>
      </w:r>
      <w:r w:rsidR="00867032" w:rsidRPr="00926216">
        <w:t xml:space="preserve">ociological legitimacy </w:t>
      </w:r>
      <w:r w:rsidR="00867032" w:rsidRPr="00FB3561">
        <w:t xml:space="preserve">is </w:t>
      </w:r>
      <w:r w:rsidR="00EC593B">
        <w:t>‘</w:t>
      </w:r>
      <w:r w:rsidR="00867032" w:rsidRPr="00FB3561">
        <w:t>rooted in an audience's shared belief that the actions of an entity are desirable, proper or appropriate within so</w:t>
      </w:r>
      <w:r w:rsidR="00867032">
        <w:t>me socially constructed system</w:t>
      </w:r>
      <w:r w:rsidR="00EC593B">
        <w:t>’</w:t>
      </w:r>
      <w:r w:rsidR="00867032">
        <w:t>.</w:t>
      </w:r>
      <w:r w:rsidR="00867032">
        <w:rPr>
          <w:rStyle w:val="FootnoteReference"/>
        </w:rPr>
        <w:footnoteReference w:id="98"/>
      </w:r>
      <w:r w:rsidR="00867032" w:rsidRPr="00FB3561">
        <w:rPr>
          <w:b/>
          <w:bCs/>
        </w:rPr>
        <w:t xml:space="preserve"> </w:t>
      </w:r>
      <w:r w:rsidR="00867032">
        <w:rPr>
          <w:bCs/>
        </w:rPr>
        <w:t xml:space="preserve">This means that the Court’s legitimacy is not solely based on how it has been established and how it conducts its procedures but </w:t>
      </w:r>
      <w:r w:rsidR="00085EF8">
        <w:t xml:space="preserve">also </w:t>
      </w:r>
      <w:r w:rsidR="002915B8">
        <w:t xml:space="preserve">on its </w:t>
      </w:r>
      <w:r w:rsidR="00EC593B">
        <w:t>‘</w:t>
      </w:r>
      <w:r w:rsidR="00085EF8" w:rsidRPr="00FB3561">
        <w:t>resonance with the shared identity of the audiences they address.</w:t>
      </w:r>
      <w:r w:rsidR="00EC593B">
        <w:t>’</w:t>
      </w:r>
      <w:r w:rsidR="00085EF8" w:rsidRPr="00FB3561">
        <w:rPr>
          <w:rStyle w:val="FootnoteReference"/>
        </w:rPr>
        <w:footnoteReference w:id="99"/>
      </w:r>
      <w:r w:rsidR="00085EF8">
        <w:t xml:space="preserve"> </w:t>
      </w:r>
      <w:r w:rsidRPr="00CB654A">
        <w:rPr>
          <w:color w:val="000000" w:themeColor="text1"/>
        </w:rPr>
        <w:t>Both</w:t>
      </w:r>
      <w:r w:rsidR="00085EF8">
        <w:rPr>
          <w:color w:val="000000" w:themeColor="text1"/>
        </w:rPr>
        <w:t>, process and sociological legitimacy</w:t>
      </w:r>
      <w:r w:rsidRPr="00CB654A">
        <w:rPr>
          <w:color w:val="000000" w:themeColor="text1"/>
        </w:rPr>
        <w:t xml:space="preserve"> are closely linked, as legitimacy </w:t>
      </w:r>
      <w:r w:rsidRPr="00926216">
        <w:t xml:space="preserve">can only be achieved when the fairness of procedures is also comprehended by the stakeholders. As Clark points out ‘courts must not only be legitimate but must also be </w:t>
      </w:r>
      <w:r w:rsidRPr="00FE22EF">
        <w:rPr>
          <w:i/>
        </w:rPr>
        <w:t>seen</w:t>
      </w:r>
      <w:r w:rsidRPr="00926216">
        <w:t xml:space="preserve"> to be legitimate, and assessment of their legitimacy will critically centre on the extent to which they are delivering justice.’</w:t>
      </w:r>
      <w:r w:rsidRPr="00926216">
        <w:rPr>
          <w:rStyle w:val="FootnoteReference"/>
        </w:rPr>
        <w:footnoteReference w:id="100"/>
      </w:r>
      <w:r w:rsidRPr="00926216">
        <w:t xml:space="preserve"> </w:t>
      </w:r>
      <w:proofErr w:type="spellStart"/>
      <w:r w:rsidRPr="00926216">
        <w:t>Langvatn</w:t>
      </w:r>
      <w:proofErr w:type="spellEnd"/>
      <w:r w:rsidRPr="00926216">
        <w:t xml:space="preserve"> and </w:t>
      </w:r>
      <w:proofErr w:type="spellStart"/>
      <w:r w:rsidRPr="00926216">
        <w:t>Squatrito</w:t>
      </w:r>
      <w:proofErr w:type="spellEnd"/>
      <w:r w:rsidRPr="00926216">
        <w:t xml:space="preserve"> even argue that ‘a normative conception of legitimacy should include a certain degree of descriptive legitimacy as a necessary criterion’.</w:t>
      </w:r>
      <w:r w:rsidRPr="00926216">
        <w:rPr>
          <w:rStyle w:val="FootnoteReference"/>
        </w:rPr>
        <w:footnoteReference w:id="101"/>
      </w:r>
      <w:r w:rsidR="00776565">
        <w:t xml:space="preserve"> </w:t>
      </w:r>
      <w:r w:rsidR="008707AC">
        <w:t>This section will argue</w:t>
      </w:r>
      <w:r w:rsidR="00EC593B">
        <w:t xml:space="preserve"> that t</w:t>
      </w:r>
      <w:r w:rsidR="00776565">
        <w:t xml:space="preserve">he general assistance mandate of the Trust Fund </w:t>
      </w:r>
      <w:r w:rsidR="000431F9">
        <w:t xml:space="preserve">poses the risk of undermining both the Court’s normative (in form of process) and </w:t>
      </w:r>
      <w:r w:rsidR="000431F9" w:rsidRPr="00926216">
        <w:t>sociological</w:t>
      </w:r>
      <w:r w:rsidR="000431F9">
        <w:t xml:space="preserve"> legitimacy.</w:t>
      </w:r>
    </w:p>
    <w:p w14:paraId="14E3A6F5" w14:textId="77777777" w:rsidR="00222959" w:rsidRPr="002C1704" w:rsidRDefault="00222959" w:rsidP="00D429DF">
      <w:pPr>
        <w:spacing w:before="100" w:beforeAutospacing="1" w:after="100" w:afterAutospacing="1"/>
        <w:contextualSpacing/>
      </w:pPr>
      <w:r w:rsidRPr="00926216">
        <w:t xml:space="preserve">It is the author’s </w:t>
      </w:r>
      <w:r>
        <w:t>view</w:t>
      </w:r>
      <w:r w:rsidRPr="00926216">
        <w:t xml:space="preserve"> that both normative and sociological legitimacy require that the Court conduct</w:t>
      </w:r>
      <w:r>
        <w:t>s</w:t>
      </w:r>
      <w:r w:rsidRPr="00926216">
        <w:t xml:space="preserve"> fair trials.</w:t>
      </w:r>
      <w:r>
        <w:t xml:space="preserve"> </w:t>
      </w:r>
      <w:r w:rsidRPr="004D1842">
        <w:t xml:space="preserve">This understanding </w:t>
      </w:r>
      <w:r>
        <w:t>has been expressed by various</w:t>
      </w:r>
      <w:r w:rsidRPr="004D1842">
        <w:t xml:space="preserve"> international courts and tribunals themselves.</w:t>
      </w:r>
      <w:r>
        <w:rPr>
          <w:rStyle w:val="FootnoteReference"/>
          <w:rFonts w:eastAsiaTheme="majorEastAsia"/>
        </w:rPr>
        <w:footnoteReference w:id="102"/>
      </w:r>
      <w:r>
        <w:t xml:space="preserve"> Former j</w:t>
      </w:r>
      <w:r w:rsidRPr="00694B77">
        <w:t xml:space="preserve">udge and </w:t>
      </w:r>
      <w:r>
        <w:t>s</w:t>
      </w:r>
      <w:r w:rsidRPr="00694B77">
        <w:t>econd Vice-President of the ICC Hans-Peter Kaul</w:t>
      </w:r>
      <w:r>
        <w:t xml:space="preserve"> declared that ‘</w:t>
      </w:r>
      <w:r>
        <w:rPr>
          <w:color w:val="000000"/>
        </w:rPr>
        <w:t>[f]</w:t>
      </w:r>
      <w:proofErr w:type="spellStart"/>
      <w:r w:rsidRPr="00694B77">
        <w:rPr>
          <w:color w:val="000000"/>
        </w:rPr>
        <w:t>airness</w:t>
      </w:r>
      <w:proofErr w:type="spellEnd"/>
      <w:r w:rsidRPr="00694B77">
        <w:rPr>
          <w:color w:val="000000"/>
        </w:rPr>
        <w:t xml:space="preserve"> of the proceedings is a cornerstone of the Court’s work which </w:t>
      </w:r>
      <w:r w:rsidRPr="00694B77">
        <w:rPr>
          <w:color w:val="000000"/>
        </w:rPr>
        <w:lastRenderedPageBreak/>
        <w:t>the Judges of the ICC</w:t>
      </w:r>
      <w:r>
        <w:rPr>
          <w:color w:val="000000"/>
        </w:rPr>
        <w:t xml:space="preserve"> safeguard with great care’</w:t>
      </w:r>
      <w:r>
        <w:rPr>
          <w:rStyle w:val="FootnoteReference"/>
          <w:color w:val="000000"/>
        </w:rPr>
        <w:footnoteReference w:id="103"/>
      </w:r>
      <w:r>
        <w:rPr>
          <w:color w:val="000000"/>
        </w:rPr>
        <w:t xml:space="preserve"> and</w:t>
      </w:r>
      <w:r w:rsidRPr="00145BD7">
        <w:t xml:space="preserve"> </w:t>
      </w:r>
      <w:r>
        <w:t>the ICC describes itself as the ‘</w:t>
      </w:r>
      <w:r w:rsidRPr="00694B77">
        <w:t>custodian of</w:t>
      </w:r>
      <w:r>
        <w:t xml:space="preserve"> </w:t>
      </w:r>
      <w:r w:rsidRPr="00694B77">
        <w:t>a fair trial</w:t>
      </w:r>
      <w:r>
        <w:t>’.</w:t>
      </w:r>
      <w:r>
        <w:rPr>
          <w:rStyle w:val="FootnoteReference"/>
        </w:rPr>
        <w:footnoteReference w:id="104"/>
      </w:r>
      <w:r>
        <w:t xml:space="preserve"> The ICTY explained that </w:t>
      </w:r>
      <w:r w:rsidRPr="009461DD">
        <w:t xml:space="preserve">the right to a fair trial </w:t>
      </w:r>
      <w:r>
        <w:t>goes beyond protecting the fundamental rights of the defendant and in addition is ‘</w:t>
      </w:r>
      <w:r w:rsidRPr="009461DD">
        <w:t>a fundamental interest of the Tribuna</w:t>
      </w:r>
      <w:r w:rsidRPr="00E56DD1">
        <w:t>l related to its own legitimacy</w:t>
      </w:r>
      <w:r>
        <w:t>’</w:t>
      </w:r>
      <w:r w:rsidRPr="009461DD">
        <w:t>.</w:t>
      </w:r>
      <w:r>
        <w:rPr>
          <w:rStyle w:val="FootnoteReference"/>
        </w:rPr>
        <w:footnoteReference w:id="105"/>
      </w:r>
      <w:r>
        <w:t xml:space="preserve"> Described as</w:t>
      </w:r>
      <w:r w:rsidRPr="0087041A">
        <w:t xml:space="preserve"> </w:t>
      </w:r>
      <w:r>
        <w:t>‘</w:t>
      </w:r>
      <w:r w:rsidRPr="00694B77">
        <w:t>a key element in enhancing the process legitimacy of international criminal courts and tribunals</w:t>
      </w:r>
      <w:r>
        <w:t>’</w:t>
      </w:r>
      <w:r>
        <w:rPr>
          <w:rStyle w:val="FootnoteReference"/>
        </w:rPr>
        <w:footnoteReference w:id="106"/>
      </w:r>
      <w:r w:rsidRPr="0087041A">
        <w:t xml:space="preserve"> </w:t>
      </w:r>
      <w:r w:rsidRPr="00694B77">
        <w:t xml:space="preserve">some </w:t>
      </w:r>
      <w:r>
        <w:t xml:space="preserve">academics even argue that it is </w:t>
      </w:r>
      <w:r w:rsidRPr="00694B77">
        <w:t xml:space="preserve">one of the most </w:t>
      </w:r>
      <w:r>
        <w:t>important</w:t>
      </w:r>
      <w:r w:rsidRPr="00694B77">
        <w:t xml:space="preserve"> </w:t>
      </w:r>
      <w:r>
        <w:t>factors of the ICC’s</w:t>
      </w:r>
      <w:r w:rsidRPr="00694B77">
        <w:t xml:space="preserve"> legitimacy.</w:t>
      </w:r>
      <w:r>
        <w:rPr>
          <w:rStyle w:val="FootnoteReference"/>
        </w:rPr>
        <w:footnoteReference w:id="107"/>
      </w:r>
      <w:r>
        <w:t xml:space="preserve"> International criminal justice has many different aims and objectives which go beyond the trial,</w:t>
      </w:r>
      <w:r w:rsidRPr="00926216">
        <w:rPr>
          <w:rStyle w:val="FootnoteReference"/>
          <w:rFonts w:ascii="Times" w:hAnsi="Times"/>
          <w:color w:val="000000" w:themeColor="text1"/>
        </w:rPr>
        <w:footnoteReference w:id="108"/>
      </w:r>
      <w:r>
        <w:t xml:space="preserve"> and a fair trial alone is not sufficient to achieve legitimacy. Without a fair trial however, no international criminal court can claim legitimacy, no matter how legitimate other aspects are perceived.</w:t>
      </w:r>
      <w:r w:rsidRPr="00926216">
        <w:t xml:space="preserve"> </w:t>
      </w:r>
      <w:r w:rsidRPr="00B07DA9">
        <w:t>Only through fair trials can the Court achieve its aspirations of promoting reconciliation, restoring peace, preventing revisionism and deflecting denial of crimes through producing a historical record.</w:t>
      </w:r>
      <w:r w:rsidRPr="00B07DA9">
        <w:rPr>
          <w:rStyle w:val="FootnoteReference"/>
        </w:rPr>
        <w:footnoteReference w:id="109"/>
      </w:r>
      <w:r>
        <w:t xml:space="preserve"> The following sections will demonstrate how the general assistance mandate of the Trust Fund potentially undermines both process and sociological legitimacy of the Court.</w:t>
      </w:r>
    </w:p>
    <w:p w14:paraId="58C282E0" w14:textId="6B899834" w:rsidR="00FD54D1" w:rsidRDefault="00FD54D1" w:rsidP="00D429DF">
      <w:pPr>
        <w:pStyle w:val="Heading2"/>
        <w:numPr>
          <w:ilvl w:val="1"/>
          <w:numId w:val="48"/>
        </w:numPr>
        <w:spacing w:before="100" w:beforeAutospacing="1" w:after="100" w:afterAutospacing="1" w:line="240" w:lineRule="auto"/>
      </w:pPr>
      <w:r w:rsidRPr="00926216">
        <w:t xml:space="preserve">Impact </w:t>
      </w:r>
      <w:r w:rsidR="00A76C19">
        <w:t>on the Presumption of Innocence</w:t>
      </w:r>
    </w:p>
    <w:p w14:paraId="3923AD3B" w14:textId="35BC6934" w:rsidR="00FD54D1" w:rsidRPr="00926216" w:rsidRDefault="00FD54D1" w:rsidP="00D429DF">
      <w:pPr>
        <w:autoSpaceDE w:val="0"/>
        <w:autoSpaceDN w:val="0"/>
        <w:adjustRightInd w:val="0"/>
        <w:spacing w:before="100" w:beforeAutospacing="1" w:after="100" w:afterAutospacing="1"/>
        <w:contextualSpacing/>
        <w:rPr>
          <w:rFonts w:ascii="Times" w:hAnsi="Times"/>
        </w:rPr>
      </w:pPr>
      <w:proofErr w:type="spellStart"/>
      <w:r w:rsidRPr="00926216">
        <w:rPr>
          <w:color w:val="000000" w:themeColor="text1"/>
        </w:rPr>
        <w:t>Struett</w:t>
      </w:r>
      <w:proofErr w:type="spellEnd"/>
      <w:r w:rsidRPr="00926216">
        <w:rPr>
          <w:color w:val="000000" w:themeColor="text1"/>
        </w:rPr>
        <w:t xml:space="preserve"> explains that the Court’s legitimacy ‘ultimately depends on its capacity to persuade observers that the exercise of its powers to investigate, prosecute, and punish violations of international criminal law is consistent with the application of rules that are universal in nature’.</w:t>
      </w:r>
      <w:r w:rsidRPr="00926216">
        <w:rPr>
          <w:rStyle w:val="FootnoteReference"/>
          <w:color w:val="000000" w:themeColor="text1"/>
        </w:rPr>
        <w:footnoteReference w:id="110"/>
      </w:r>
      <w:r w:rsidRPr="00926216">
        <w:rPr>
          <w:color w:val="000000" w:themeColor="text1"/>
        </w:rPr>
        <w:t xml:space="preserve"> One of these universally accepted core principles of a criminal trial is the presumption of innocence, enshrined in all major human rights and criminal procedure instruments.</w:t>
      </w:r>
      <w:r w:rsidRPr="00926216">
        <w:rPr>
          <w:rStyle w:val="FootnoteReference"/>
          <w:color w:val="000000" w:themeColor="text1"/>
        </w:rPr>
        <w:footnoteReference w:id="111"/>
      </w:r>
      <w:r w:rsidRPr="00926216">
        <w:rPr>
          <w:color w:val="000000" w:themeColor="text1"/>
        </w:rPr>
        <w:t xml:space="preserve"> </w:t>
      </w:r>
      <w:r w:rsidRPr="00926216">
        <w:rPr>
          <w:rFonts w:ascii="Times" w:hAnsi="Times"/>
        </w:rPr>
        <w:t>A criminal court facilitating tangible aid to victims before having established that any crime has been committed at all, on the other hand, is difficult to reconcile with the presumption of innocence.</w:t>
      </w:r>
      <w:r w:rsidRPr="00926216">
        <w:rPr>
          <w:rStyle w:val="FootnoteReference"/>
          <w:rFonts w:ascii="Times" w:hAnsi="Times"/>
        </w:rPr>
        <w:footnoteReference w:id="112"/>
      </w:r>
      <w:r w:rsidRPr="00926216">
        <w:rPr>
          <w:rFonts w:ascii="Times" w:hAnsi="Times"/>
        </w:rPr>
        <w:t xml:space="preserve"> This issue was discussed </w:t>
      </w:r>
      <w:r w:rsidRPr="00926216">
        <w:rPr>
          <w:rFonts w:ascii="Times" w:hAnsi="Times"/>
          <w:color w:val="000000" w:themeColor="text1"/>
        </w:rPr>
        <w:t xml:space="preserve">in 2008 </w:t>
      </w:r>
      <w:r w:rsidRPr="00926216">
        <w:rPr>
          <w:rFonts w:ascii="Times" w:hAnsi="Times"/>
        </w:rPr>
        <w:t>when the Trust Fund notified the Pre-trial Chamber that it intended to start general assistance activities in the DRC. The Chamber rebuffed any concern</w:t>
      </w:r>
      <w:r w:rsidR="0074703D">
        <w:rPr>
          <w:rFonts w:ascii="Times" w:hAnsi="Times"/>
        </w:rPr>
        <w:t>s</w:t>
      </w:r>
      <w:r w:rsidRPr="00926216">
        <w:rPr>
          <w:rFonts w:ascii="Times" w:hAnsi="Times"/>
        </w:rPr>
        <w:t xml:space="preserve"> arguing that (1) the investigation in the region had already been initiated, (2) that the proposed activities were not related to any of the court </w:t>
      </w:r>
      <w:r w:rsidRPr="00926216">
        <w:rPr>
          <w:rFonts w:ascii="Times" w:hAnsi="Times"/>
        </w:rPr>
        <w:lastRenderedPageBreak/>
        <w:t>proceedings, and (3) that the Trust Fund’s notification of planned activities had no impact on the outcome of any specific criminal proceedings.</w:t>
      </w:r>
      <w:r w:rsidRPr="00926216">
        <w:rPr>
          <w:rStyle w:val="FootnoteReference"/>
          <w:rFonts w:ascii="Times" w:hAnsi="Times"/>
        </w:rPr>
        <w:footnoteReference w:id="113"/>
      </w:r>
    </w:p>
    <w:p w14:paraId="28B992D1" w14:textId="77777777" w:rsidR="00FD54D1" w:rsidRPr="00926216" w:rsidRDefault="00FD54D1" w:rsidP="00D429DF">
      <w:pPr>
        <w:spacing w:before="100" w:beforeAutospacing="1" w:after="100" w:afterAutospacing="1"/>
        <w:contextualSpacing/>
        <w:rPr>
          <w:rFonts w:ascii="Times" w:hAnsi="Times"/>
        </w:rPr>
      </w:pPr>
      <w:r w:rsidRPr="00926216">
        <w:rPr>
          <w:rFonts w:ascii="Times" w:hAnsi="Times"/>
        </w:rPr>
        <w:t xml:space="preserve">This line of argument </w:t>
      </w:r>
      <w:proofErr w:type="gramStart"/>
      <w:r w:rsidRPr="00926216">
        <w:rPr>
          <w:rFonts w:ascii="Times" w:hAnsi="Times"/>
        </w:rPr>
        <w:t>has to</w:t>
      </w:r>
      <w:proofErr w:type="gramEnd"/>
      <w:r w:rsidRPr="00926216">
        <w:rPr>
          <w:rFonts w:ascii="Times" w:hAnsi="Times"/>
        </w:rPr>
        <w:t xml:space="preserve"> be rejected. </w:t>
      </w:r>
      <w:proofErr w:type="gramStart"/>
      <w:r w:rsidRPr="00926216">
        <w:rPr>
          <w:rFonts w:ascii="Times" w:hAnsi="Times"/>
        </w:rPr>
        <w:t>First of all</w:t>
      </w:r>
      <w:proofErr w:type="gramEnd"/>
      <w:r w:rsidRPr="00926216">
        <w:rPr>
          <w:rFonts w:ascii="Times" w:hAnsi="Times"/>
        </w:rPr>
        <w:t xml:space="preserve">, the fact that an investigation has started does not diminish the importance of the presumption of innocence. The prosecutor of the ICC </w:t>
      </w:r>
      <w:r w:rsidRPr="00926216">
        <w:t>has the duty of gathering</w:t>
      </w:r>
      <w:r w:rsidRPr="00926216">
        <w:rPr>
          <w:rFonts w:ascii="Times" w:hAnsi="Times"/>
        </w:rPr>
        <w:t xml:space="preserve"> both incriminating and exonerating evidence.</w:t>
      </w:r>
      <w:r w:rsidRPr="00926216">
        <w:rPr>
          <w:rStyle w:val="FootnoteReference"/>
          <w:rFonts w:ascii="Times" w:hAnsi="Times"/>
        </w:rPr>
        <w:footnoteReference w:id="114"/>
      </w:r>
      <w:r w:rsidRPr="00926216">
        <w:rPr>
          <w:rFonts w:ascii="Times" w:hAnsi="Times"/>
        </w:rPr>
        <w:t xml:space="preserve"> Thus, even though an investigation has been opened, this does not presume any determination that a crime under the Court’s jurisdiction has been committed. Approving victim support, on the other hand, does necessarily presuppose that there are indeed victims of crime. Surprisingly, the Court states that the </w:t>
      </w:r>
    </w:p>
    <w:p w14:paraId="7242225B" w14:textId="77777777" w:rsidR="00FD54D1" w:rsidRPr="00742E73" w:rsidRDefault="00FD54D1" w:rsidP="00D429DF">
      <w:pPr>
        <w:spacing w:before="100" w:beforeAutospacing="1" w:after="100" w:afterAutospacing="1"/>
        <w:ind w:left="720"/>
        <w:contextualSpacing/>
        <w:rPr>
          <w:sz w:val="22"/>
          <w:szCs w:val="22"/>
        </w:rPr>
      </w:pPr>
      <w:r w:rsidRPr="00742E73">
        <w:rPr>
          <w:sz w:val="22"/>
          <w:szCs w:val="22"/>
        </w:rPr>
        <w:t xml:space="preserve">usual role of the defence is to demonstrate that the Prosecution has failed to prove the culpability of the accused for specific crimes for which he or she is charged. Consequently, the possibility of prejudice is entirely context and case specific, based upon the </w:t>
      </w:r>
      <w:proofErr w:type="gramStart"/>
      <w:r w:rsidRPr="00742E73">
        <w:rPr>
          <w:sz w:val="22"/>
          <w:szCs w:val="22"/>
        </w:rPr>
        <w:t>particular charges</w:t>
      </w:r>
      <w:proofErr w:type="gramEnd"/>
      <w:r w:rsidRPr="00742E73">
        <w:rPr>
          <w:sz w:val="22"/>
          <w:szCs w:val="22"/>
        </w:rPr>
        <w:t xml:space="preserve"> and evidence put forward.</w:t>
      </w:r>
      <w:r w:rsidRPr="00742E73">
        <w:rPr>
          <w:rStyle w:val="FootnoteReference"/>
          <w:sz w:val="22"/>
          <w:szCs w:val="22"/>
        </w:rPr>
        <w:footnoteReference w:id="115"/>
      </w:r>
      <w:r w:rsidRPr="00742E73">
        <w:rPr>
          <w:sz w:val="22"/>
          <w:szCs w:val="22"/>
        </w:rPr>
        <w:t xml:space="preserve"> </w:t>
      </w:r>
    </w:p>
    <w:p w14:paraId="0BA4C535" w14:textId="77777777" w:rsidR="00522D3D" w:rsidRDefault="00522D3D" w:rsidP="00D429DF">
      <w:pPr>
        <w:widowControl w:val="0"/>
        <w:tabs>
          <w:tab w:val="left" w:pos="220"/>
          <w:tab w:val="left" w:pos="720"/>
        </w:tabs>
        <w:autoSpaceDE w:val="0"/>
        <w:autoSpaceDN w:val="0"/>
        <w:adjustRightInd w:val="0"/>
        <w:spacing w:before="100" w:beforeAutospacing="1" w:after="100" w:afterAutospacing="1"/>
        <w:contextualSpacing/>
        <w:rPr>
          <w:rFonts w:ascii="Times" w:hAnsi="Times"/>
        </w:rPr>
      </w:pPr>
    </w:p>
    <w:p w14:paraId="6E2CF35E" w14:textId="77777777" w:rsidR="00FD54D1" w:rsidRDefault="00FD54D1" w:rsidP="00D429DF">
      <w:pPr>
        <w:widowControl w:val="0"/>
        <w:tabs>
          <w:tab w:val="left" w:pos="220"/>
          <w:tab w:val="left" w:pos="720"/>
        </w:tabs>
        <w:autoSpaceDE w:val="0"/>
        <w:autoSpaceDN w:val="0"/>
        <w:adjustRightInd w:val="0"/>
        <w:spacing w:before="100" w:beforeAutospacing="1" w:after="100" w:afterAutospacing="1"/>
        <w:contextualSpacing/>
        <w:rPr>
          <w:rFonts w:ascii="Times" w:hAnsi="Times"/>
        </w:rPr>
      </w:pPr>
      <w:r w:rsidRPr="00926216">
        <w:rPr>
          <w:rFonts w:ascii="Times" w:hAnsi="Times"/>
        </w:rPr>
        <w:t>This argument stands on weak grounds, as it is of course not the role of the defence to disprove the Prosecution’s case. On the contrary, the burden of proof lies solely on the Prosecutor who must prove beyond reasonable doubt that all elements of crime are present.</w:t>
      </w:r>
      <w:r w:rsidRPr="00926216">
        <w:rPr>
          <w:rStyle w:val="FootnoteReference"/>
          <w:rFonts w:ascii="Times" w:hAnsi="Times"/>
        </w:rPr>
        <w:footnoteReference w:id="116"/>
      </w:r>
      <w:r w:rsidRPr="00926216">
        <w:rPr>
          <w:rFonts w:ascii="Times" w:hAnsi="Times"/>
        </w:rPr>
        <w:t xml:space="preserve"> </w:t>
      </w:r>
    </w:p>
    <w:p w14:paraId="75D323DB" w14:textId="6E37A6D9" w:rsidR="00FD54D1" w:rsidRDefault="00FD54D1" w:rsidP="00D429DF">
      <w:pPr>
        <w:widowControl w:val="0"/>
        <w:tabs>
          <w:tab w:val="left" w:pos="220"/>
          <w:tab w:val="left" w:pos="720"/>
        </w:tabs>
        <w:autoSpaceDE w:val="0"/>
        <w:autoSpaceDN w:val="0"/>
        <w:adjustRightInd w:val="0"/>
        <w:spacing w:before="100" w:beforeAutospacing="1" w:after="100" w:afterAutospacing="1"/>
        <w:contextualSpacing/>
        <w:rPr>
          <w:rFonts w:ascii="Times" w:hAnsi="Times"/>
        </w:rPr>
      </w:pPr>
      <w:r>
        <w:rPr>
          <w:rFonts w:ascii="Times" w:hAnsi="Times"/>
        </w:rPr>
        <w:t>With regards to the second argument, that there is no connection between the Trust Fund sponsored activities and court proceedings</w:t>
      </w:r>
      <w:r w:rsidR="0074703D">
        <w:rPr>
          <w:rFonts w:ascii="Times" w:hAnsi="Times"/>
        </w:rPr>
        <w:t>,</w:t>
      </w:r>
      <w:r>
        <w:rPr>
          <w:rFonts w:ascii="Times" w:hAnsi="Times"/>
        </w:rPr>
        <w:t xml:space="preserve"> one </w:t>
      </w:r>
      <w:r w:rsidR="00DB5349">
        <w:rPr>
          <w:rFonts w:ascii="Times" w:hAnsi="Times"/>
        </w:rPr>
        <w:t>must not forget</w:t>
      </w:r>
      <w:r>
        <w:rPr>
          <w:rFonts w:ascii="Times" w:hAnsi="Times"/>
        </w:rPr>
        <w:t xml:space="preserve"> that in the end the Trust Fund is part of the ICC. </w:t>
      </w:r>
      <w:proofErr w:type="gramStart"/>
      <w:r>
        <w:rPr>
          <w:rFonts w:ascii="Times" w:hAnsi="Times"/>
        </w:rPr>
        <w:t>Thus</w:t>
      </w:r>
      <w:proofErr w:type="gramEnd"/>
      <w:r>
        <w:rPr>
          <w:rFonts w:ascii="Times" w:hAnsi="Times"/>
        </w:rPr>
        <w:t xml:space="preserve"> any activity helping alleged victims demonstrates parts of the Court </w:t>
      </w:r>
      <w:r w:rsidR="0074703D">
        <w:rPr>
          <w:rFonts w:ascii="Times" w:hAnsi="Times"/>
        </w:rPr>
        <w:t>other than</w:t>
      </w:r>
      <w:r>
        <w:rPr>
          <w:rFonts w:ascii="Times" w:hAnsi="Times"/>
        </w:rPr>
        <w:t xml:space="preserve"> the Office of Prosecution </w:t>
      </w:r>
      <w:r w:rsidR="0074703D">
        <w:rPr>
          <w:rFonts w:ascii="Times" w:hAnsi="Times"/>
        </w:rPr>
        <w:t>have already concluded</w:t>
      </w:r>
      <w:r>
        <w:rPr>
          <w:rFonts w:ascii="Times" w:hAnsi="Times"/>
        </w:rPr>
        <w:t xml:space="preserve"> that crimes under the jurisdiction of the Court have been committed. For example, where a project offers supports to victims of sexual violence under the Trust Funds general assistance mandate, it is assumed that there are victims of international crimes. </w:t>
      </w:r>
      <w:r w:rsidRPr="00926216">
        <w:rPr>
          <w:rFonts w:ascii="Times" w:hAnsi="Times"/>
        </w:rPr>
        <w:t xml:space="preserve">While there is usually ample evidence that people in the areas have experienced horrendous suffering, these acts could easily lie outside ICC jurisdiction. In </w:t>
      </w:r>
      <w:r w:rsidRPr="00926216">
        <w:rPr>
          <w:rFonts w:ascii="Times" w:hAnsi="Times"/>
          <w:i/>
        </w:rPr>
        <w:t>Lubanga</w:t>
      </w:r>
      <w:r w:rsidRPr="00926216">
        <w:rPr>
          <w:rFonts w:ascii="Times" w:hAnsi="Times"/>
        </w:rPr>
        <w:t>, for example, the defence counsel argued that some of the alleged acts fell outside the temporal jurisdiction of the Court.</w:t>
      </w:r>
      <w:r w:rsidRPr="00926216">
        <w:rPr>
          <w:rStyle w:val="FootnoteReference"/>
          <w:rFonts w:ascii="Times" w:hAnsi="Times"/>
        </w:rPr>
        <w:footnoteReference w:id="117"/>
      </w:r>
      <w:r w:rsidRPr="00926216">
        <w:rPr>
          <w:rFonts w:ascii="Times" w:hAnsi="Times"/>
        </w:rPr>
        <w:t xml:space="preserve"> </w:t>
      </w:r>
    </w:p>
    <w:p w14:paraId="4C4965DD" w14:textId="342D8114" w:rsidR="00FD02B3" w:rsidRPr="00926216" w:rsidRDefault="00FD54D1" w:rsidP="00D429DF">
      <w:pPr>
        <w:widowControl w:val="0"/>
        <w:tabs>
          <w:tab w:val="left" w:pos="220"/>
          <w:tab w:val="left" w:pos="720"/>
        </w:tabs>
        <w:autoSpaceDE w:val="0"/>
        <w:autoSpaceDN w:val="0"/>
        <w:adjustRightInd w:val="0"/>
        <w:spacing w:before="100" w:beforeAutospacing="1" w:after="100" w:afterAutospacing="1"/>
        <w:contextualSpacing/>
        <w:rPr>
          <w:rFonts w:ascii="Times" w:hAnsi="Times"/>
        </w:rPr>
      </w:pPr>
      <w:r>
        <w:t>This links to the third argument</w:t>
      </w:r>
      <w:r w:rsidR="00030D50">
        <w:t>, namely</w:t>
      </w:r>
      <w:r>
        <w:t xml:space="preserve"> that such projects have </w:t>
      </w:r>
      <w:r w:rsidRPr="00926216">
        <w:t xml:space="preserve">no impact on the outcome of </w:t>
      </w:r>
      <w:r>
        <w:t xml:space="preserve">individual cases </w:t>
      </w:r>
      <w:r w:rsidRPr="00926216">
        <w:t xml:space="preserve">and therefore </w:t>
      </w:r>
      <w:r w:rsidR="00DB5349">
        <w:t>pose</w:t>
      </w:r>
      <w:r w:rsidRPr="00926216">
        <w:t xml:space="preserve"> no risk of prejudices against individual defen</w:t>
      </w:r>
      <w:r>
        <w:t>dants. O</w:t>
      </w:r>
      <w:r w:rsidRPr="00926216">
        <w:t xml:space="preserve">ne </w:t>
      </w:r>
      <w:proofErr w:type="gramStart"/>
      <w:r w:rsidR="00DB5349">
        <w:t>has to</w:t>
      </w:r>
      <w:proofErr w:type="gramEnd"/>
      <w:r w:rsidRPr="00926216">
        <w:t xml:space="preserve"> remember </w:t>
      </w:r>
      <w:r w:rsidR="00DB5349">
        <w:t xml:space="preserve">however </w:t>
      </w:r>
      <w:r w:rsidRPr="00926216">
        <w:t xml:space="preserve">that acts such as murder, rape or destruction of property are not themselves crimes under Article 5. Such acts only constitute a crime under </w:t>
      </w:r>
      <w:r w:rsidR="00893CEB">
        <w:t xml:space="preserve">the </w:t>
      </w:r>
      <w:r w:rsidRPr="00926216">
        <w:t>jurisdiction</w:t>
      </w:r>
      <w:r w:rsidR="00893CEB">
        <w:t xml:space="preserve"> of the Court</w:t>
      </w:r>
      <w:r w:rsidRPr="00926216">
        <w:t xml:space="preserve"> if they meet the very high threshold of genocide, war crimes or crimes against humanity. Thus, even though individual Trust Fund activities might not be directly related to specific court proceedings, the acknowledgement that the beneficiaries are victims of crimes under ICC jurisdiction presumes that these </w:t>
      </w:r>
      <w:r w:rsidR="00237E74">
        <w:t>contextual</w:t>
      </w:r>
      <w:r w:rsidRPr="00926216">
        <w:t xml:space="preserve"> elements are present</w:t>
      </w:r>
      <w:r>
        <w:t xml:space="preserve">. </w:t>
      </w:r>
      <w:r w:rsidR="002C1704">
        <w:t>T</w:t>
      </w:r>
      <w:r w:rsidR="002C1704" w:rsidRPr="00926216">
        <w:t xml:space="preserve">he existence of </w:t>
      </w:r>
      <w:r w:rsidR="002C1704">
        <w:t xml:space="preserve">a widespread </w:t>
      </w:r>
      <w:r w:rsidR="00DB5349">
        <w:t xml:space="preserve">or systematic </w:t>
      </w:r>
      <w:r w:rsidR="002C1704">
        <w:t>attack</w:t>
      </w:r>
      <w:r w:rsidR="00DB5349">
        <w:t xml:space="preserve"> against a civilian</w:t>
      </w:r>
      <w:r w:rsidR="00DB5349" w:rsidRPr="00742E73">
        <w:t xml:space="preserve"> </w:t>
      </w:r>
      <w:r w:rsidR="00DB5349">
        <w:t xml:space="preserve">population </w:t>
      </w:r>
      <w:r w:rsidR="00DB5349" w:rsidRPr="00926216">
        <w:t>according to Article 7(1)</w:t>
      </w:r>
      <w:r w:rsidR="00893CEB">
        <w:t>,</w:t>
      </w:r>
      <w:r w:rsidR="00DB5349" w:rsidRPr="00926216">
        <w:t xml:space="preserve"> </w:t>
      </w:r>
      <w:r w:rsidR="00DB5349">
        <w:t>for example,</w:t>
      </w:r>
      <w:r w:rsidR="002C1704" w:rsidRPr="00926216">
        <w:t xml:space="preserve"> is essential for all </w:t>
      </w:r>
      <w:r w:rsidR="002C1704">
        <w:t>crimes against humanity charges</w:t>
      </w:r>
      <w:r w:rsidR="002C1704" w:rsidRPr="00926216">
        <w:t>, even if the Trust Fund projects do not ‘expressly or impliedly point to the particular guilt of an accused in respect of actual charges in the indictment’.</w:t>
      </w:r>
      <w:r w:rsidR="002C1704" w:rsidRPr="00926216">
        <w:rPr>
          <w:rStyle w:val="FootnoteReference"/>
        </w:rPr>
        <w:footnoteReference w:id="118"/>
      </w:r>
      <w:r w:rsidR="002C1704" w:rsidRPr="00926216">
        <w:t xml:space="preserve"> </w:t>
      </w:r>
      <w:r w:rsidR="00DB5349">
        <w:t>T</w:t>
      </w:r>
      <w:r w:rsidR="002C1704">
        <w:t xml:space="preserve">he defence in a specific case </w:t>
      </w:r>
      <w:r w:rsidR="00DB5349">
        <w:t xml:space="preserve">might </w:t>
      </w:r>
      <w:r w:rsidR="00A83B13">
        <w:t xml:space="preserve">for example </w:t>
      </w:r>
      <w:r w:rsidR="002C1704">
        <w:t xml:space="preserve">argue that the </w:t>
      </w:r>
      <w:r w:rsidR="00DB5349">
        <w:lastRenderedPageBreak/>
        <w:t>accused</w:t>
      </w:r>
      <w:r w:rsidR="002C1704">
        <w:t xml:space="preserve"> is not guilty of a crime against humanity because the prosecution cannot prove that the act in question has been part of a widespread attack. </w:t>
      </w:r>
      <w:r w:rsidR="00DB5349">
        <w:t>Such</w:t>
      </w:r>
      <w:r w:rsidR="002C1704">
        <w:t xml:space="preserve"> argument would be heavily undermined where a part of the Court, namely the Trust Fund, has been operating the general assistance mandate in the relevant area for </w:t>
      </w:r>
      <w:proofErr w:type="gramStart"/>
      <w:r w:rsidR="00DB5349">
        <w:t>a number of</w:t>
      </w:r>
      <w:proofErr w:type="gramEnd"/>
      <w:r w:rsidR="00DB5349">
        <w:t xml:space="preserve"> </w:t>
      </w:r>
      <w:r w:rsidR="002C1704">
        <w:t xml:space="preserve">years and provided thousands of individuals with support. </w:t>
      </w:r>
      <w:r>
        <w:t xml:space="preserve">Thus, even though not related to any specific case, the general judgement of the Trust Fund that the beneficiaries are not just victims of a crime but indeed victims of a crime under the Rome Statute can have a direct effect on an individual case. It </w:t>
      </w:r>
      <w:r w:rsidR="00237E74">
        <w:t xml:space="preserve">therefore </w:t>
      </w:r>
      <w:r>
        <w:t xml:space="preserve">undermines the presumption of innocence in all specific cases where the general elements are in question. </w:t>
      </w:r>
      <w:r w:rsidR="002C1704">
        <w:t>In contrast, the ICTY</w:t>
      </w:r>
      <w:r w:rsidR="002C1704" w:rsidRPr="00926216">
        <w:t xml:space="preserve"> </w:t>
      </w:r>
      <w:r w:rsidR="00893CEB">
        <w:t xml:space="preserve">showed much more caution, when </w:t>
      </w:r>
      <w:r w:rsidR="002C1704" w:rsidRPr="00926216">
        <w:t>it decided that even a general statement by the Registry that a crime had occurred, could have the potential to impact on the fairness of the trial where a defendant challenges the existence of that crime.</w:t>
      </w:r>
      <w:r w:rsidR="002C1704" w:rsidRPr="00926216">
        <w:rPr>
          <w:rStyle w:val="FootnoteReference"/>
          <w:rFonts w:cs="Times"/>
        </w:rPr>
        <w:footnoteReference w:id="119"/>
      </w:r>
      <w:r w:rsidR="002C1704" w:rsidRPr="00926216">
        <w:t xml:space="preserve"> </w:t>
      </w:r>
      <w:r w:rsidRPr="00926216">
        <w:t xml:space="preserve">To offer general assistance before a criminal conviction prejudices, or, at the very least, creates the perception of prejudice in all cases in the same situation. </w:t>
      </w:r>
      <w:r w:rsidRPr="00926216">
        <w:rPr>
          <w:rFonts w:cs="Times"/>
        </w:rPr>
        <w:t xml:space="preserve">This problem is exacerbated by the fact that there are no standards or guidelines to clarify how the Trust Fund establishes whether a crime under the jurisdiction of the Court has occurred and whether the beneficiaries are victims of this crime and not some other atrocity. </w:t>
      </w:r>
    </w:p>
    <w:p w14:paraId="3E60DD44" w14:textId="00C3F7FF" w:rsidR="0032670B" w:rsidRDefault="0032670B" w:rsidP="00D429DF">
      <w:pPr>
        <w:pStyle w:val="Heading2"/>
        <w:numPr>
          <w:ilvl w:val="1"/>
          <w:numId w:val="48"/>
        </w:numPr>
        <w:spacing w:before="100" w:beforeAutospacing="1" w:after="100" w:afterAutospacing="1" w:line="240" w:lineRule="auto"/>
      </w:pPr>
      <w:r>
        <w:t>Witness Credibility</w:t>
      </w:r>
    </w:p>
    <w:p w14:paraId="2515605B" w14:textId="360A54DD" w:rsidR="0032670B" w:rsidRPr="00E117A4" w:rsidRDefault="0032670B" w:rsidP="00D429DF">
      <w:pPr>
        <w:spacing w:before="100" w:beforeAutospacing="1" w:after="100" w:afterAutospacing="1"/>
        <w:contextualSpacing/>
        <w:rPr>
          <w:rFonts w:eastAsia="NewBaskerville-Roman"/>
        </w:rPr>
      </w:pPr>
      <w:r w:rsidRPr="00926216">
        <w:t xml:space="preserve">A further concern is the </w:t>
      </w:r>
      <w:r w:rsidRPr="00FA5D20">
        <w:t xml:space="preserve">relationship between the different roles a victim might have </w:t>
      </w:r>
      <w:r w:rsidR="00B26D7C">
        <w:t>at</w:t>
      </w:r>
      <w:r w:rsidRPr="00FA5D20">
        <w:t xml:space="preserve"> the Court. </w:t>
      </w:r>
      <w:r>
        <w:t xml:space="preserve">So far, </w:t>
      </w:r>
      <w:r w:rsidR="00B26D7C">
        <w:t>t</w:t>
      </w:r>
      <w:r w:rsidRPr="002D7F9D">
        <w:t>here is no provision dealing with the question of how to deal with a Trust Fund beneficiary who is later called to give testimony as a witness.</w:t>
      </w:r>
      <w:r>
        <w:t xml:space="preserve"> </w:t>
      </w:r>
      <w:r w:rsidR="006D23FB">
        <w:t>Even without the involvement of the Trust Fund,</w:t>
      </w:r>
      <w:r>
        <w:t xml:space="preserve"> the dual status as witness and victim has been proven to be problematic. In </w:t>
      </w:r>
      <w:r w:rsidRPr="00E117A4">
        <w:rPr>
          <w:i/>
        </w:rPr>
        <w:t>Lubanga</w:t>
      </w:r>
      <w:r w:rsidRPr="00EE4476">
        <w:t xml:space="preserve"> </w:t>
      </w:r>
      <w:r>
        <w:t>for example, the Trial Chamber withdrew the victim status from six witnesses whose evidence was found unreliable.</w:t>
      </w:r>
      <w:r>
        <w:rPr>
          <w:rStyle w:val="FootnoteReference"/>
          <w:rFonts w:eastAsiaTheme="majorEastAsia"/>
        </w:rPr>
        <w:footnoteReference w:id="120"/>
      </w:r>
      <w:r>
        <w:t xml:space="preserve"> The cause of </w:t>
      </w:r>
      <w:r w:rsidRPr="00FA5D20">
        <w:rPr>
          <w:rFonts w:eastAsia="NewBaskerville-Roman"/>
        </w:rPr>
        <w:t>‘contradictory’, ‘overly inaccurate’ and ‘excessively imprecise’</w:t>
      </w:r>
      <w:r>
        <w:rPr>
          <w:rStyle w:val="FootnoteReference"/>
          <w:rFonts w:eastAsia="NewBaskerville-Roman"/>
        </w:rPr>
        <w:footnoteReference w:id="121"/>
      </w:r>
      <w:r>
        <w:rPr>
          <w:rFonts w:eastAsia="NewBaskerville-Roman"/>
        </w:rPr>
        <w:t xml:space="preserve"> statements often lie in a lack of witness scrutiny of the Prosecution and the overreliance of intermediaries.</w:t>
      </w:r>
      <w:r>
        <w:rPr>
          <w:rStyle w:val="FootnoteReference"/>
          <w:rFonts w:eastAsia="NewBaskerville-Roman"/>
        </w:rPr>
        <w:footnoteReference w:id="122"/>
      </w:r>
      <w:r>
        <w:rPr>
          <w:rFonts w:eastAsia="NewBaskerville-Roman"/>
        </w:rPr>
        <w:t xml:space="preserve"> </w:t>
      </w:r>
      <w:r w:rsidR="006D23FB">
        <w:rPr>
          <w:rFonts w:eastAsia="NewBaskerville-Roman"/>
        </w:rPr>
        <w:t xml:space="preserve">The question of witness reliability will </w:t>
      </w:r>
      <w:r w:rsidR="00EE4476">
        <w:rPr>
          <w:rFonts w:eastAsia="NewBaskerville-Roman"/>
        </w:rPr>
        <w:t xml:space="preserve">still </w:t>
      </w:r>
      <w:r w:rsidR="006D23FB">
        <w:rPr>
          <w:rFonts w:eastAsia="NewBaskerville-Roman"/>
        </w:rPr>
        <w:t xml:space="preserve">be exacerbated if </w:t>
      </w:r>
      <w:r>
        <w:rPr>
          <w:rFonts w:eastAsia="NewBaskerville-Roman"/>
        </w:rPr>
        <w:t xml:space="preserve">victims might be influenced or at least seen to be influenced by the fact that they </w:t>
      </w:r>
      <w:r w:rsidR="006D23FB">
        <w:rPr>
          <w:rFonts w:eastAsia="NewBaskerville-Roman"/>
        </w:rPr>
        <w:t>have been</w:t>
      </w:r>
      <w:r>
        <w:rPr>
          <w:rFonts w:eastAsia="NewBaskerville-Roman"/>
        </w:rPr>
        <w:t xml:space="preserve"> drawing ta</w:t>
      </w:r>
      <w:r w:rsidR="006D23FB">
        <w:rPr>
          <w:rFonts w:eastAsia="NewBaskerville-Roman"/>
        </w:rPr>
        <w:t xml:space="preserve">ngible benefits from the Court </w:t>
      </w:r>
      <w:r>
        <w:rPr>
          <w:rFonts w:eastAsia="NewBaskerville-Roman"/>
        </w:rPr>
        <w:t xml:space="preserve">before giving testimony. Of course, most prosecution witnesses will be interested in a conviction, especially in the ICC where there is a chance of receiving reparations. However, </w:t>
      </w:r>
      <w:r>
        <w:t xml:space="preserve">unlike other victims who might benefit from a reparation order after a conviction, Trust Fund beneficiaries will potentially have already received material support before they are asked to give testimony, sometimes for many years. </w:t>
      </w:r>
      <w:r w:rsidRPr="002D7F9D">
        <w:t xml:space="preserve">The same </w:t>
      </w:r>
      <w:r>
        <w:t xml:space="preserve">concern arises </w:t>
      </w:r>
      <w:r w:rsidRPr="002D7F9D">
        <w:t xml:space="preserve">for NGOs </w:t>
      </w:r>
      <w:r>
        <w:t>who</w:t>
      </w:r>
      <w:r w:rsidRPr="002D7F9D">
        <w:t xml:space="preserve"> are </w:t>
      </w:r>
      <w:r>
        <w:t>working on general assistance mandate projects</w:t>
      </w:r>
      <w:r w:rsidRPr="002D7F9D">
        <w:t>.</w:t>
      </w:r>
      <w:r>
        <w:t xml:space="preserve"> </w:t>
      </w:r>
      <w:r w:rsidRPr="009E1471">
        <w:t xml:space="preserve">The Office of Public Counsel for the Defence expressed the concern that NGOs who are receiving funds from the Trust Fund </w:t>
      </w:r>
      <w:r>
        <w:t xml:space="preserve">in order </w:t>
      </w:r>
      <w:r w:rsidRPr="009E1471">
        <w:t xml:space="preserve">to implement projects of the general assistance mandate </w:t>
      </w:r>
      <w:r>
        <w:t>might later</w:t>
      </w:r>
      <w:r w:rsidRPr="009E1471">
        <w:t xml:space="preserve"> be asked by the Prosecutor to testify before the Court.</w:t>
      </w:r>
      <w:r w:rsidRPr="002D7F9D">
        <w:rPr>
          <w:rStyle w:val="FootnoteReference"/>
          <w:rFonts w:eastAsiaTheme="majorEastAsia"/>
        </w:rPr>
        <w:footnoteReference w:id="123"/>
      </w:r>
      <w:r w:rsidRPr="009E1471">
        <w:t xml:space="preserve"> Having benefited from the Trust Fund previously would undermine the credibility of the testimony of the NGO</w:t>
      </w:r>
      <w:r>
        <w:t>.</w:t>
      </w:r>
    </w:p>
    <w:p w14:paraId="401E570E" w14:textId="0C57622A" w:rsidR="0032670B" w:rsidRPr="00E117A4" w:rsidRDefault="0032670B" w:rsidP="00D429DF">
      <w:pPr>
        <w:spacing w:before="100" w:beforeAutospacing="1" w:after="100" w:afterAutospacing="1"/>
        <w:contextualSpacing/>
        <w:rPr>
          <w:color w:val="FF0000"/>
        </w:rPr>
      </w:pPr>
      <w:r>
        <w:lastRenderedPageBreak/>
        <w:t>In part, t</w:t>
      </w:r>
      <w:r w:rsidRPr="002D7F9D">
        <w:t>his problem can be overcome by Article 69 (4), which gives the Court discretion to reject evidence as inadmissible where it might cause prejudice to ‘</w:t>
      </w:r>
      <w:r w:rsidRPr="002D7F9D">
        <w:rPr>
          <w:color w:val="000000"/>
          <w:shd w:val="clear" w:color="auto" w:fill="FFFFFF"/>
        </w:rPr>
        <w:t xml:space="preserve">a fair trial or to a fair evaluation of the testimony of a witness.’ There are so far however no criteria to help the Court to evaluate a possible conflict between participation in the general assistance mandate and giving testimony before the ICC. </w:t>
      </w:r>
      <w:r>
        <w:rPr>
          <w:color w:val="000000"/>
          <w:shd w:val="clear" w:color="auto" w:fill="FFFFFF"/>
        </w:rPr>
        <w:t xml:space="preserve">Moreover, where the credibility of a testimony of a victim or an NGO is tainted because they have received money or other benefits from the Trust Fund, this means that the </w:t>
      </w:r>
      <w:r>
        <w:t>Prosecutor might lose a valuable witness. Since the Trust Fund begins operating in situations irrespectively from specific cases, there is no possibility for either the Prosecutor or the Trust Fund to identif</w:t>
      </w:r>
      <w:r w:rsidR="00E36771">
        <w:t>y possible overlaps in advance. Furthermore</w:t>
      </w:r>
      <w:r>
        <w:t>, even where it could be anticipated that an individual or an organisation might be called later as witness, it would be difficult to deny them access to the general assistance simply for this reason.</w:t>
      </w:r>
    </w:p>
    <w:p w14:paraId="2A8231D4" w14:textId="7C2B0F4D" w:rsidR="00CB77E1" w:rsidRPr="00E722FD" w:rsidRDefault="00CB77E1" w:rsidP="00D429DF">
      <w:pPr>
        <w:pStyle w:val="Heading2"/>
        <w:numPr>
          <w:ilvl w:val="1"/>
          <w:numId w:val="48"/>
        </w:numPr>
        <w:spacing w:before="100" w:beforeAutospacing="1" w:after="100" w:afterAutospacing="1" w:line="240" w:lineRule="auto"/>
      </w:pPr>
      <w:r>
        <w:t>Wider I</w:t>
      </w:r>
      <w:r w:rsidRPr="00926216">
        <w:t>mpact on Court Proceedings</w:t>
      </w:r>
    </w:p>
    <w:p w14:paraId="27538133" w14:textId="23B21C30" w:rsidR="00CB77E1" w:rsidRPr="00B50938" w:rsidRDefault="00EE01CE" w:rsidP="00D429DF">
      <w:pPr>
        <w:spacing w:before="100" w:beforeAutospacing="1" w:after="100" w:afterAutospacing="1"/>
        <w:contextualSpacing/>
        <w:rPr>
          <w:color w:val="000000" w:themeColor="text1"/>
        </w:rPr>
      </w:pPr>
      <w:r>
        <w:t xml:space="preserve">In </w:t>
      </w:r>
      <w:proofErr w:type="gramStart"/>
      <w:r>
        <w:t>addition</w:t>
      </w:r>
      <w:proofErr w:type="gramEnd"/>
      <w:r>
        <w:t xml:space="preserve"> there are a number of ways in which the general assistance mandate could impact negatively on both international and national proceedings. </w:t>
      </w:r>
      <w:proofErr w:type="gramStart"/>
      <w:r>
        <w:t>First of all</w:t>
      </w:r>
      <w:proofErr w:type="gramEnd"/>
      <w:r>
        <w:t>, t</w:t>
      </w:r>
      <w:r w:rsidR="00CB77E1" w:rsidRPr="00B50938">
        <w:rPr>
          <w:color w:val="000000" w:themeColor="text1"/>
        </w:rPr>
        <w:t xml:space="preserve">he involvement of the Trust Fund before a conviction might constitute </w:t>
      </w:r>
      <w:r w:rsidR="00CB77E1">
        <w:rPr>
          <w:color w:val="000000" w:themeColor="text1"/>
        </w:rPr>
        <w:t>a direct</w:t>
      </w:r>
      <w:r w:rsidR="00CB77E1" w:rsidRPr="00B50938">
        <w:rPr>
          <w:color w:val="000000" w:themeColor="text1"/>
        </w:rPr>
        <w:t xml:space="preserve"> problem </w:t>
      </w:r>
      <w:r>
        <w:rPr>
          <w:color w:val="000000" w:themeColor="text1"/>
        </w:rPr>
        <w:t xml:space="preserve">in instances where a state or the accused </w:t>
      </w:r>
      <w:r w:rsidR="00CB77E1" w:rsidRPr="00B50938">
        <w:rPr>
          <w:color w:val="000000" w:themeColor="text1"/>
        </w:rPr>
        <w:t xml:space="preserve">challenges </w:t>
      </w:r>
      <w:r>
        <w:rPr>
          <w:color w:val="000000" w:themeColor="text1"/>
        </w:rPr>
        <w:t xml:space="preserve">the </w:t>
      </w:r>
      <w:r w:rsidR="00CB77E1" w:rsidRPr="00B50938">
        <w:rPr>
          <w:color w:val="000000" w:themeColor="text1"/>
        </w:rPr>
        <w:t xml:space="preserve">admissibility of a case according to Article 19(2). </w:t>
      </w:r>
      <w:r w:rsidR="00CB77E1" w:rsidRPr="00115F48">
        <w:rPr>
          <w:color w:val="000000" w:themeColor="text1"/>
        </w:rPr>
        <w:t xml:space="preserve">While the general mandate is not linked to specific cases, so </w:t>
      </w:r>
      <w:proofErr w:type="gramStart"/>
      <w:r w:rsidR="00CB77E1" w:rsidRPr="00115F48">
        <w:rPr>
          <w:color w:val="000000" w:themeColor="text1"/>
        </w:rPr>
        <w:t>far</w:t>
      </w:r>
      <w:proofErr w:type="gramEnd"/>
      <w:r w:rsidR="00CB77E1" w:rsidRPr="00115F48">
        <w:rPr>
          <w:color w:val="000000" w:themeColor="text1"/>
        </w:rPr>
        <w:t xml:space="preserve"> the ICC deals only with a handful of cases in each situation. Thus, it is not unlikely that a situation arises where long after general assistance has begun in a region, the</w:t>
      </w:r>
      <w:r w:rsidR="00CB77E1">
        <w:rPr>
          <w:color w:val="000000" w:themeColor="text1"/>
        </w:rPr>
        <w:t xml:space="preserve">re will be </w:t>
      </w:r>
      <w:r>
        <w:rPr>
          <w:color w:val="000000" w:themeColor="text1"/>
        </w:rPr>
        <w:t>one or two</w:t>
      </w:r>
      <w:r w:rsidR="00CB77E1">
        <w:rPr>
          <w:color w:val="000000" w:themeColor="text1"/>
        </w:rPr>
        <w:t xml:space="preserve"> </w:t>
      </w:r>
      <w:r w:rsidR="00CB77E1" w:rsidRPr="00115F48">
        <w:rPr>
          <w:color w:val="000000" w:themeColor="text1"/>
        </w:rPr>
        <w:t>defendant</w:t>
      </w:r>
      <w:r w:rsidR="00CB77E1">
        <w:rPr>
          <w:color w:val="000000" w:themeColor="text1"/>
        </w:rPr>
        <w:t>s</w:t>
      </w:r>
      <w:r w:rsidR="00CB77E1" w:rsidRPr="00115F48">
        <w:rPr>
          <w:color w:val="000000" w:themeColor="text1"/>
        </w:rPr>
        <w:t xml:space="preserve"> </w:t>
      </w:r>
      <w:r>
        <w:rPr>
          <w:color w:val="000000" w:themeColor="text1"/>
        </w:rPr>
        <w:t>and they</w:t>
      </w:r>
      <w:r w:rsidR="00CB77E1">
        <w:rPr>
          <w:color w:val="000000" w:themeColor="text1"/>
        </w:rPr>
        <w:t xml:space="preserve"> might</w:t>
      </w:r>
      <w:r w:rsidR="00CB77E1" w:rsidRPr="00115F48">
        <w:rPr>
          <w:color w:val="000000" w:themeColor="text1"/>
        </w:rPr>
        <w:t xml:space="preserve"> challenge </w:t>
      </w:r>
      <w:r w:rsidR="00CB77E1">
        <w:rPr>
          <w:color w:val="000000" w:themeColor="text1"/>
        </w:rPr>
        <w:t xml:space="preserve">the </w:t>
      </w:r>
      <w:r w:rsidR="00CB77E1" w:rsidRPr="00115F48">
        <w:rPr>
          <w:color w:val="000000" w:themeColor="text1"/>
        </w:rPr>
        <w:t>admissibility</w:t>
      </w:r>
      <w:r w:rsidR="00CB77E1">
        <w:rPr>
          <w:color w:val="000000" w:themeColor="text1"/>
        </w:rPr>
        <w:t xml:space="preserve"> of their case</w:t>
      </w:r>
      <w:r w:rsidR="00CB77E1" w:rsidRPr="00115F48">
        <w:rPr>
          <w:color w:val="000000" w:themeColor="text1"/>
        </w:rPr>
        <w:t xml:space="preserve">. </w:t>
      </w:r>
      <w:r w:rsidR="00CB77E1">
        <w:rPr>
          <w:color w:val="000000" w:themeColor="text1"/>
        </w:rPr>
        <w:t xml:space="preserve">Since </w:t>
      </w:r>
      <w:r w:rsidR="00CB77E1" w:rsidRPr="00B50938">
        <w:rPr>
          <w:color w:val="000000" w:themeColor="text1"/>
        </w:rPr>
        <w:t xml:space="preserve">the ICC has no </w:t>
      </w:r>
      <w:r w:rsidR="00CB77E1">
        <w:rPr>
          <w:color w:val="000000" w:themeColor="text1"/>
        </w:rPr>
        <w:t>intention</w:t>
      </w:r>
      <w:r w:rsidR="00CB77E1" w:rsidRPr="00B50938">
        <w:rPr>
          <w:color w:val="000000" w:themeColor="text1"/>
        </w:rPr>
        <w:t xml:space="preserve"> to provide support to victims in cases which are inadmissible before the Court, the previous involvement of the Trust Fund could then </w:t>
      </w:r>
      <w:proofErr w:type="gramStart"/>
      <w:r w:rsidR="00CB77E1" w:rsidRPr="00B50938">
        <w:rPr>
          <w:color w:val="000000" w:themeColor="text1"/>
        </w:rPr>
        <w:t>be seen as</w:t>
      </w:r>
      <w:proofErr w:type="gramEnd"/>
      <w:r w:rsidR="00CB77E1" w:rsidRPr="00B50938">
        <w:rPr>
          <w:color w:val="000000" w:themeColor="text1"/>
        </w:rPr>
        <w:t xml:space="preserve"> the ICC having already pre-determined that the case</w:t>
      </w:r>
      <w:r w:rsidR="00CB77E1">
        <w:rPr>
          <w:color w:val="000000" w:themeColor="text1"/>
        </w:rPr>
        <w:t>s are</w:t>
      </w:r>
      <w:r w:rsidR="00CB77E1" w:rsidRPr="00B50938">
        <w:rPr>
          <w:color w:val="000000" w:themeColor="text1"/>
        </w:rPr>
        <w:t xml:space="preserve"> admissible. </w:t>
      </w:r>
      <w:r w:rsidR="00CB77E1">
        <w:rPr>
          <w:color w:val="000000" w:themeColor="text1"/>
        </w:rPr>
        <w:t xml:space="preserve">If the Court on the other hand decides that the case is inadmissible, the question arises </w:t>
      </w:r>
      <w:r w:rsidR="00CB77E1" w:rsidRPr="00BB7624">
        <w:rPr>
          <w:color w:val="000000" w:themeColor="text1"/>
        </w:rPr>
        <w:t>what happens to the</w:t>
      </w:r>
      <w:r w:rsidR="00CB77E1">
        <w:rPr>
          <w:color w:val="000000" w:themeColor="text1"/>
        </w:rPr>
        <w:t xml:space="preserve"> existing </w:t>
      </w:r>
      <w:r w:rsidR="00CB77E1" w:rsidRPr="00BB7624">
        <w:rPr>
          <w:color w:val="000000" w:themeColor="text1"/>
        </w:rPr>
        <w:t>general assistance programmes.</w:t>
      </w:r>
      <w:r w:rsidR="00CB77E1">
        <w:rPr>
          <w:color w:val="000000" w:themeColor="text1"/>
        </w:rPr>
        <w:t xml:space="preserve"> Either way</w:t>
      </w:r>
      <w:r>
        <w:rPr>
          <w:color w:val="000000" w:themeColor="text1"/>
        </w:rPr>
        <w:t>,</w:t>
      </w:r>
      <w:r w:rsidR="00CB77E1">
        <w:rPr>
          <w:color w:val="000000" w:themeColor="text1"/>
        </w:rPr>
        <w:t xml:space="preserve"> there the impartiality of the Court will </w:t>
      </w:r>
      <w:r w:rsidR="00EB014D">
        <w:rPr>
          <w:color w:val="000000" w:themeColor="text1"/>
        </w:rPr>
        <w:t>be</w:t>
      </w:r>
      <w:r w:rsidR="00CB77E1">
        <w:rPr>
          <w:color w:val="000000" w:themeColor="text1"/>
        </w:rPr>
        <w:t xml:space="preserve"> </w:t>
      </w:r>
      <w:r w:rsidR="00EB014D">
        <w:rPr>
          <w:color w:val="000000" w:themeColor="text1"/>
        </w:rPr>
        <w:t>tainted</w:t>
      </w:r>
      <w:r w:rsidR="00CB77E1">
        <w:rPr>
          <w:color w:val="000000" w:themeColor="text1"/>
        </w:rPr>
        <w:t xml:space="preserve">. </w:t>
      </w:r>
      <w:r w:rsidR="00CB77E1" w:rsidRPr="00B50938">
        <w:rPr>
          <w:color w:val="000000" w:themeColor="text1"/>
        </w:rPr>
        <w:t xml:space="preserve">This </w:t>
      </w:r>
      <w:r w:rsidR="00CB77E1">
        <w:rPr>
          <w:color w:val="000000" w:themeColor="text1"/>
        </w:rPr>
        <w:t>scenario</w:t>
      </w:r>
      <w:r w:rsidR="00CB77E1" w:rsidRPr="00B50938">
        <w:rPr>
          <w:color w:val="000000" w:themeColor="text1"/>
        </w:rPr>
        <w:t xml:space="preserve"> cannot be avoided, since an admissibility challenge in an individual case might occur only years after </w:t>
      </w:r>
      <w:r w:rsidR="00EB014D">
        <w:rPr>
          <w:color w:val="000000" w:themeColor="text1"/>
        </w:rPr>
        <w:t xml:space="preserve">the ICC has opened investigation in this situation and the Trust Fund began to </w:t>
      </w:r>
      <w:r w:rsidR="00CB77E1" w:rsidRPr="00B50938">
        <w:rPr>
          <w:color w:val="000000" w:themeColor="text1"/>
        </w:rPr>
        <w:t xml:space="preserve">operate the general assistance mandate. </w:t>
      </w:r>
    </w:p>
    <w:p w14:paraId="671206EF" w14:textId="1A59DCF1" w:rsidR="00FE3A39" w:rsidRDefault="00CB77E1" w:rsidP="00D429DF">
      <w:pPr>
        <w:spacing w:before="100" w:beforeAutospacing="1" w:after="100" w:afterAutospacing="1"/>
        <w:contextualSpacing/>
      </w:pPr>
      <w:r w:rsidRPr="00926216">
        <w:rPr>
          <w:color w:val="000000" w:themeColor="text1"/>
        </w:rPr>
        <w:t>Likewise, the second aspect of admissibility, namely the requirement of gravity, could be prejudiced.</w:t>
      </w:r>
      <w:r w:rsidRPr="00926216">
        <w:rPr>
          <w:rStyle w:val="FootnoteReference"/>
          <w:color w:val="000000" w:themeColor="text1"/>
        </w:rPr>
        <w:footnoteReference w:id="124"/>
      </w:r>
      <w:r w:rsidRPr="00926216">
        <w:rPr>
          <w:color w:val="000000" w:themeColor="text1"/>
        </w:rPr>
        <w:t xml:space="preserve"> </w:t>
      </w:r>
      <w:proofErr w:type="gramStart"/>
      <w:r w:rsidRPr="00926216">
        <w:rPr>
          <w:color w:val="000000" w:themeColor="text1"/>
        </w:rPr>
        <w:t>A</w:t>
      </w:r>
      <w:r w:rsidRPr="00926216">
        <w:t xml:space="preserve"> large number of</w:t>
      </w:r>
      <w:proofErr w:type="gramEnd"/>
      <w:r w:rsidRPr="00926216">
        <w:t xml:space="preserve"> beneficiaries of the assistance programmes could influence the Court to find gravity more easily, or at least </w:t>
      </w:r>
      <w:r w:rsidR="00A562B5">
        <w:t xml:space="preserve">to </w:t>
      </w:r>
      <w:r w:rsidRPr="00926216">
        <w:t xml:space="preserve">be seen to be influenced this way. </w:t>
      </w:r>
      <w:r w:rsidR="00A562B5">
        <w:t>T</w:t>
      </w:r>
      <w:r w:rsidRPr="00926216">
        <w:t>he</w:t>
      </w:r>
      <w:r w:rsidR="00A562B5">
        <w:t xml:space="preserve"> Trust Fund’s</w:t>
      </w:r>
      <w:r w:rsidRPr="00926216">
        <w:t xml:space="preserve"> decision to start the general assistance</w:t>
      </w:r>
      <w:r>
        <w:t xml:space="preserve"> </w:t>
      </w:r>
      <w:r w:rsidR="00A562B5">
        <w:t xml:space="preserve">in a certain area </w:t>
      </w:r>
      <w:r>
        <w:t xml:space="preserve">demonstrates that a section of the Court considers that there is </w:t>
      </w:r>
      <w:proofErr w:type="gramStart"/>
      <w:r>
        <w:t>sufficient</w:t>
      </w:r>
      <w:proofErr w:type="gramEnd"/>
      <w:r>
        <w:t xml:space="preserve"> gravity, long before the judges had the opportunity to make such finding. None of the admissibility challenges so far, have included concerns regarding the general assistance mandate</w:t>
      </w:r>
      <w:r w:rsidR="00A562B5">
        <w:t>,</w:t>
      </w:r>
      <w:r>
        <w:t xml:space="preserve"> but the more the general assistance mandate is run</w:t>
      </w:r>
      <w:r w:rsidR="006249F2">
        <w:t>,</w:t>
      </w:r>
      <w:r>
        <w:t xml:space="preserve"> the more likely will it be that these concerns regarding complementarity and gravity will be raised.</w:t>
      </w:r>
    </w:p>
    <w:p w14:paraId="7D2F9F0A" w14:textId="47A11F2E" w:rsidR="00200A1D" w:rsidRDefault="00200A1D" w:rsidP="00D429DF">
      <w:pPr>
        <w:spacing w:before="100" w:beforeAutospacing="1" w:after="100" w:afterAutospacing="1"/>
        <w:contextualSpacing/>
      </w:pPr>
      <w:r>
        <w:t xml:space="preserve">A further, more indirect </w:t>
      </w:r>
      <w:r w:rsidRPr="00926216">
        <w:t xml:space="preserve">obstacle to carrying out its criminal procedures </w:t>
      </w:r>
      <w:r>
        <w:t xml:space="preserve">is the cost of running the general assistance mandate as discussed above in Section 3. </w:t>
      </w:r>
      <w:r w:rsidRPr="00926216">
        <w:t xml:space="preserve">It has been shown that the general assistance mandate has high running costs without the Trust Fund being able to replenish the Fund’s resources sufficiently through fund raising. </w:t>
      </w:r>
      <w:r>
        <w:t>Any</w:t>
      </w:r>
      <w:r w:rsidRPr="00926216">
        <w:t xml:space="preserve"> drainage of the already scarce resources of the Court is undermining its ability to fulfil its core functions to its best abilities and thus indirectly weakening the Court’s legitimacy. Buchanan and Keohane warn that one must not confuse legitimacy with efficiency but agree that ‘if an institution steadfastly remains instrumentally suboptimal when it could take steps to become </w:t>
      </w:r>
      <w:r w:rsidRPr="00926216">
        <w:lastRenderedPageBreak/>
        <w:t>significantly more efficient or effective, this could impugn its legitimacy in an indirect way.’</w:t>
      </w:r>
      <w:r w:rsidRPr="00926216">
        <w:rPr>
          <w:rStyle w:val="FootnoteReference"/>
          <w:rFonts w:ascii="Times" w:hAnsi="Times"/>
          <w:color w:val="000000" w:themeColor="text1"/>
        </w:rPr>
        <w:footnoteReference w:id="125"/>
      </w:r>
      <w:r w:rsidRPr="00926216">
        <w:t xml:space="preserve"> </w:t>
      </w:r>
      <w:proofErr w:type="spellStart"/>
      <w:r w:rsidRPr="00926216">
        <w:t>Bassiouni</w:t>
      </w:r>
      <w:proofErr w:type="spellEnd"/>
      <w:r w:rsidRPr="00926216">
        <w:t xml:space="preserve"> too, sees a clear link between management and costs of an institution and its legitimacy: ‘The success of the ICC will not be predicated on the simple arithmetic of case numbers but on the regular flow of cases and more particularly, on the fairness, objectivity, and effective management and costs of the institution. This is what will earn the ICC international credibility and legitimacy.’</w:t>
      </w:r>
      <w:r w:rsidRPr="00926216">
        <w:rPr>
          <w:rStyle w:val="FootnoteReference"/>
          <w:rFonts w:ascii="Times" w:hAnsi="Times"/>
          <w:color w:val="000000" w:themeColor="text1"/>
        </w:rPr>
        <w:footnoteReference w:id="126"/>
      </w:r>
    </w:p>
    <w:p w14:paraId="38FA80E5" w14:textId="77777777" w:rsidR="00200A1D" w:rsidRDefault="00200A1D" w:rsidP="00D429DF">
      <w:pPr>
        <w:spacing w:before="100" w:beforeAutospacing="1" w:after="100" w:afterAutospacing="1"/>
        <w:contextualSpacing/>
      </w:pPr>
    </w:p>
    <w:p w14:paraId="6B08E532" w14:textId="77777777" w:rsidR="008B06A1" w:rsidRPr="00926216" w:rsidRDefault="008B06A1" w:rsidP="00D429DF">
      <w:pPr>
        <w:spacing w:before="100" w:beforeAutospacing="1" w:after="100" w:afterAutospacing="1"/>
        <w:contextualSpacing/>
      </w:pPr>
      <w:r w:rsidRPr="00926216">
        <w:t xml:space="preserve">In addition, the general assistance mandate has the potential of having a negative impact on the </w:t>
      </w:r>
      <w:r>
        <w:t xml:space="preserve">national </w:t>
      </w:r>
      <w:r w:rsidRPr="00926216">
        <w:t>criminal procedures, which the ICC is supposed to complement.</w:t>
      </w:r>
      <w:r w:rsidRPr="00926216">
        <w:rPr>
          <w:rStyle w:val="FootnoteReference"/>
        </w:rPr>
        <w:footnoteReference w:id="127"/>
      </w:r>
      <w:r w:rsidRPr="00926216">
        <w:t xml:space="preserve"> </w:t>
      </w:r>
      <w:r>
        <w:t>I</w:t>
      </w:r>
      <w:r w:rsidRPr="00926216">
        <w:t>n view of the very limited number of selected investigations by the ICC, there might well be national investigations alongside the ICC procedures. T</w:t>
      </w:r>
      <w:r w:rsidRPr="00926216">
        <w:rPr>
          <w:color w:val="000000" w:themeColor="text1"/>
          <w:shd w:val="clear" w:color="auto" w:fill="FFFFFF"/>
        </w:rPr>
        <w:t>he Trust Fund might therefore act in areas connected with domestic procedures without the national authorities being aware of its involvement.</w:t>
      </w:r>
      <w:r w:rsidRPr="00926216">
        <w:rPr>
          <w:rStyle w:val="FootnoteReference"/>
        </w:rPr>
        <w:footnoteReference w:id="128"/>
      </w:r>
      <w:r w:rsidRPr="00926216">
        <w:rPr>
          <w:color w:val="000000" w:themeColor="text1"/>
          <w:shd w:val="clear" w:color="auto" w:fill="FFFFFF"/>
        </w:rPr>
        <w:t xml:space="preserve"> This could easily lead to a domestic criminal case being conducted without the judges, the prosecution or the defence being aware that a witness is a beneficiary of the ICC assistance mandate.</w:t>
      </w:r>
      <w:r w:rsidRPr="00926216">
        <w:rPr>
          <w:rStyle w:val="FootnoteReference"/>
        </w:rPr>
        <w:footnoteReference w:id="129"/>
      </w:r>
      <w:r w:rsidRPr="00926216">
        <w:rPr>
          <w:color w:val="000000" w:themeColor="text1"/>
          <w:shd w:val="clear" w:color="auto" w:fill="FFFFFF"/>
        </w:rPr>
        <w:t xml:space="preserve"> This fear is justified as the Trust Fund is reluctant to reveal details of individual programmes in order to protect the beneficiaries and implementing partners. </w:t>
      </w:r>
      <w:proofErr w:type="gramStart"/>
      <w:r w:rsidRPr="00926216">
        <w:t>In spite of</w:t>
      </w:r>
      <w:proofErr w:type="gramEnd"/>
      <w:r w:rsidRPr="00926216">
        <w:t xml:space="preserve"> these concerns, there is no provision for state parties to reject or at least offer observations regarding the Trust Fund undertaking activities on their territory.</w:t>
      </w:r>
    </w:p>
    <w:p w14:paraId="4F4D9896" w14:textId="77777777" w:rsidR="008B06A1" w:rsidRDefault="008B06A1" w:rsidP="00D429DF">
      <w:pPr>
        <w:spacing w:before="100" w:beforeAutospacing="1" w:after="100" w:afterAutospacing="1"/>
        <w:contextualSpacing/>
      </w:pPr>
      <w:r w:rsidRPr="00926216">
        <w:rPr>
          <w:color w:val="000000" w:themeColor="text1"/>
          <w:shd w:val="clear" w:color="auto" w:fill="FFFFFF"/>
        </w:rPr>
        <w:t>Another way in which the general assistance might interfere with domestic procedures is that it undermines the attraction of national reparation schemes.</w:t>
      </w:r>
      <w:r w:rsidRPr="00926216">
        <w:t xml:space="preserve"> In criminal proceedings, reparations do not only serve as a way to compensate victims for their suffering but are also used as a means to encourage victim participation.</w:t>
      </w:r>
      <w:r w:rsidRPr="00926216">
        <w:rPr>
          <w:rStyle w:val="FootnoteReference"/>
        </w:rPr>
        <w:footnoteReference w:id="130"/>
      </w:r>
      <w:r w:rsidRPr="00926216">
        <w:t xml:space="preserve"> Indeed, it is not unknown for states to make compensation conditional on the victim first reporting the alleged crime to the relevant authorities.</w:t>
      </w:r>
      <w:r w:rsidRPr="00926216">
        <w:rPr>
          <w:rStyle w:val="FootnoteReference"/>
        </w:rPr>
        <w:footnoteReference w:id="131"/>
      </w:r>
      <w:r w:rsidRPr="00926216">
        <w:t xml:space="preserve"> In cases related to armed conflict, where witness statements are often the main form of evidence but victims put themselves and their loved ones into considerable danger when testifying, such incentives are even more important. This strategic use of reparations will however be undermined where victims are already benefitting from the general assistance mandate without any need to participate in any criminal procedure. The same problem might also affect in future the willingness for victims to testify at the ICC.</w:t>
      </w:r>
    </w:p>
    <w:p w14:paraId="4005AB1C" w14:textId="093098C4" w:rsidR="007A4CC3" w:rsidRDefault="00D25BE9" w:rsidP="00D429DF">
      <w:pPr>
        <w:pStyle w:val="Heading2"/>
        <w:numPr>
          <w:ilvl w:val="1"/>
          <w:numId w:val="48"/>
        </w:numPr>
        <w:tabs>
          <w:tab w:val="left" w:pos="6237"/>
        </w:tabs>
        <w:spacing w:before="100" w:beforeAutospacing="1" w:after="100" w:afterAutospacing="1" w:line="240" w:lineRule="auto"/>
      </w:pPr>
      <w:r w:rsidRPr="00926216">
        <w:t>Diverting from Lack of Sociological L</w:t>
      </w:r>
      <w:r w:rsidR="007A4CC3" w:rsidRPr="00926216">
        <w:t>egitimacy</w:t>
      </w:r>
    </w:p>
    <w:p w14:paraId="769D1DB0" w14:textId="77777777" w:rsidR="00C77A92" w:rsidRDefault="00C77A92" w:rsidP="00D429DF">
      <w:pPr>
        <w:spacing w:before="100" w:beforeAutospacing="1" w:after="100" w:afterAutospacing="1"/>
        <w:contextualSpacing/>
      </w:pPr>
      <w:r w:rsidRPr="00926216">
        <w:rPr>
          <w:rFonts w:ascii="Times" w:hAnsi="Times"/>
        </w:rPr>
        <w:t xml:space="preserve">The </w:t>
      </w:r>
      <w:r>
        <w:rPr>
          <w:rFonts w:ascii="Times" w:hAnsi="Times"/>
        </w:rPr>
        <w:t>final</w:t>
      </w:r>
      <w:r w:rsidRPr="00926216">
        <w:rPr>
          <w:rFonts w:ascii="Times" w:hAnsi="Times"/>
        </w:rPr>
        <w:t xml:space="preserve"> major legitimacy issue is the overlooked interplay between the general assistance mandate of the Trust Fund and the justice mandate of the Court. </w:t>
      </w:r>
      <w:r>
        <w:rPr>
          <w:color w:val="000000" w:themeColor="text1"/>
        </w:rPr>
        <w:t>While it has been argued above that a fair trial is an indispensable prerequisite for the Court’s legitimacy, there is a distinction between fair trial and justice. Indeed, it has been argued that ‘</w:t>
      </w:r>
      <w:r w:rsidRPr="00E42895">
        <w:rPr>
          <w:color w:val="000000" w:themeColor="text1"/>
        </w:rPr>
        <w:t xml:space="preserve">[t]he </w:t>
      </w:r>
      <w:r w:rsidRPr="00461452">
        <w:t>‘justice' of the international criminal trial is not generally measured by the fairness of the proceedings, but by the favourable outcome from the victims' perspective</w:t>
      </w:r>
      <w:r>
        <w:t>’</w:t>
      </w:r>
      <w:r w:rsidRPr="00461452">
        <w:rPr>
          <w:rStyle w:val="FootnoteReference"/>
        </w:rPr>
        <w:footnoteReference w:id="132"/>
      </w:r>
      <w:r w:rsidRPr="00461452">
        <w:t xml:space="preserve"> </w:t>
      </w:r>
      <w:r>
        <w:t xml:space="preserve">and this opinion is </w:t>
      </w:r>
      <w:r w:rsidRPr="00461452">
        <w:t>not only shared by victims but also of those working in the Court.</w:t>
      </w:r>
      <w:r w:rsidRPr="00461452">
        <w:rPr>
          <w:rStyle w:val="FootnoteReference"/>
        </w:rPr>
        <w:footnoteReference w:id="133"/>
      </w:r>
      <w:r w:rsidRPr="00461452">
        <w:t xml:space="preserve"> </w:t>
      </w:r>
      <w:r w:rsidRPr="00926216">
        <w:rPr>
          <w:rFonts w:ascii="Times" w:hAnsi="Times"/>
        </w:rPr>
        <w:t xml:space="preserve">Fischer claims that </w:t>
      </w:r>
      <w:r w:rsidRPr="00926216">
        <w:rPr>
          <w:rFonts w:ascii="Times" w:hAnsi="Times"/>
          <w:color w:val="000000"/>
        </w:rPr>
        <w:t xml:space="preserve">‘[t]he only measure for the success of the Victims' Trust Fund, </w:t>
      </w:r>
      <w:r w:rsidRPr="00926216">
        <w:rPr>
          <w:rFonts w:ascii="Times" w:hAnsi="Times"/>
          <w:i/>
          <w:color w:val="000000"/>
        </w:rPr>
        <w:t>and indeed the ICC itself</w:t>
      </w:r>
      <w:r w:rsidRPr="00926216">
        <w:rPr>
          <w:rFonts w:ascii="Times" w:hAnsi="Times"/>
          <w:color w:val="000000"/>
        </w:rPr>
        <w:t xml:space="preserve">, is in its ability </w:t>
      </w:r>
      <w:r w:rsidRPr="00926216">
        <w:rPr>
          <w:rFonts w:ascii="Times" w:hAnsi="Times"/>
          <w:color w:val="000000"/>
        </w:rPr>
        <w:lastRenderedPageBreak/>
        <w:t>to provide just restitution for victims [emphasis added].’</w:t>
      </w:r>
      <w:r w:rsidRPr="00926216">
        <w:rPr>
          <w:rStyle w:val="FootnoteReference"/>
          <w:rFonts w:ascii="Times" w:hAnsi="Times"/>
          <w:color w:val="000000"/>
        </w:rPr>
        <w:footnoteReference w:id="134"/>
      </w:r>
      <w:r w:rsidRPr="00926216">
        <w:rPr>
          <w:rFonts w:ascii="Times" w:hAnsi="Times"/>
          <w:color w:val="000000"/>
        </w:rPr>
        <w:t xml:space="preserve"> </w:t>
      </w:r>
      <w:r w:rsidRPr="00926216">
        <w:rPr>
          <w:rFonts w:ascii="Times" w:hAnsi="Times"/>
          <w:color w:val="000000" w:themeColor="text1"/>
        </w:rPr>
        <w:t>While the ICC is hoped to serve many different aims o</w:t>
      </w:r>
      <w:r w:rsidRPr="00926216">
        <w:rPr>
          <w:rFonts w:ascii="Times" w:hAnsi="Times"/>
          <w:color w:val="000000"/>
        </w:rPr>
        <w:t xml:space="preserve">ne must not lose sight of the fact that the first and foremost </w:t>
      </w:r>
      <w:r w:rsidRPr="00926216">
        <w:rPr>
          <w:rFonts w:ascii="Times" w:hAnsi="Times"/>
        </w:rPr>
        <w:t>mandate</w:t>
      </w:r>
      <w:r w:rsidRPr="00926216">
        <w:rPr>
          <w:rFonts w:ascii="Times" w:hAnsi="Times"/>
          <w:color w:val="000000"/>
        </w:rPr>
        <w:t xml:space="preserve"> </w:t>
      </w:r>
      <w:r w:rsidRPr="00926216">
        <w:rPr>
          <w:rFonts w:ascii="Times" w:hAnsi="Times"/>
        </w:rPr>
        <w:t xml:space="preserve">of the ICC is to </w:t>
      </w:r>
      <w:r w:rsidRPr="00926216">
        <w:rPr>
          <w:rFonts w:ascii="Times" w:hAnsi="Times"/>
          <w:color w:val="000000" w:themeColor="text1"/>
        </w:rPr>
        <w:t>bring perpetrators of the gravest crimes to justice</w:t>
      </w:r>
      <w:r w:rsidRPr="00926216">
        <w:rPr>
          <w:rStyle w:val="FootnoteReference"/>
          <w:rFonts w:ascii="Times" w:hAnsi="Times"/>
          <w:color w:val="000000" w:themeColor="text1"/>
        </w:rPr>
        <w:footnoteReference w:id="135"/>
      </w:r>
      <w:r w:rsidRPr="00926216">
        <w:rPr>
          <w:rFonts w:ascii="Times" w:hAnsi="Times"/>
          <w:color w:val="000000" w:themeColor="text1"/>
        </w:rPr>
        <w:t xml:space="preserve"> to end impunity</w:t>
      </w:r>
      <w:r w:rsidRPr="00926216">
        <w:rPr>
          <w:rStyle w:val="FootnoteReference"/>
          <w:rFonts w:ascii="Times" w:hAnsi="Times"/>
          <w:color w:val="000000" w:themeColor="text1"/>
        </w:rPr>
        <w:footnoteReference w:id="136"/>
      </w:r>
      <w:r w:rsidRPr="00926216">
        <w:rPr>
          <w:rFonts w:ascii="Times" w:hAnsi="Times"/>
          <w:color w:val="000000" w:themeColor="text1"/>
        </w:rPr>
        <w:t xml:space="preserve"> and to do so through a fair trial.</w:t>
      </w:r>
      <w:r w:rsidRPr="00926216">
        <w:rPr>
          <w:rStyle w:val="FootnoteReference"/>
          <w:rFonts w:ascii="Times" w:hAnsi="Times"/>
          <w:color w:val="000000" w:themeColor="text1"/>
        </w:rPr>
        <w:footnoteReference w:id="137"/>
      </w:r>
      <w:r>
        <w:rPr>
          <w:rFonts w:ascii="Times" w:hAnsi="Times"/>
          <w:color w:val="000000" w:themeColor="text1"/>
        </w:rPr>
        <w:t xml:space="preserve"> </w:t>
      </w:r>
      <w:r w:rsidRPr="00926216">
        <w:rPr>
          <w:rFonts w:ascii="Times" w:hAnsi="Times"/>
        </w:rPr>
        <w:t xml:space="preserve">So far, the Court has a poor track record in this regard. </w:t>
      </w:r>
      <w:r w:rsidRPr="00926216">
        <w:rPr>
          <w:rFonts w:ascii="Times" w:hAnsi="Times"/>
          <w:color w:val="000000" w:themeColor="text1"/>
        </w:rPr>
        <w:t xml:space="preserve">At the time of writing, only five defendants are in custody of the Court. Eight defendants have had their case against them closed and a further twelve defendants are still at large. </w:t>
      </w:r>
      <w:r w:rsidRPr="00926216">
        <w:rPr>
          <w:color w:val="000000" w:themeColor="text1"/>
        </w:rPr>
        <w:t xml:space="preserve">Out of the cases that did reach the trial stage, four resulted in an </w:t>
      </w:r>
      <w:r w:rsidRPr="00E42895">
        <w:rPr>
          <w:color w:val="000000" w:themeColor="text1"/>
        </w:rPr>
        <w:t>acquittal.</w:t>
      </w:r>
      <w:r w:rsidRPr="00E42895">
        <w:rPr>
          <w:rStyle w:val="FootnoteReference"/>
          <w:color w:val="000000" w:themeColor="text1"/>
        </w:rPr>
        <w:footnoteReference w:id="138"/>
      </w:r>
      <w:r w:rsidRPr="00E42895">
        <w:rPr>
          <w:color w:val="000000" w:themeColor="text1"/>
        </w:rPr>
        <w:t xml:space="preserve"> This means after 18 years of existence, only four out of 38 surviving </w:t>
      </w:r>
      <w:proofErr w:type="spellStart"/>
      <w:r w:rsidRPr="00E42895">
        <w:rPr>
          <w:color w:val="000000" w:themeColor="text1"/>
        </w:rPr>
        <w:t>indictees</w:t>
      </w:r>
      <w:proofErr w:type="spellEnd"/>
      <w:r w:rsidRPr="00E42895">
        <w:rPr>
          <w:color w:val="000000" w:themeColor="text1"/>
        </w:rPr>
        <w:t xml:space="preserve"> have been convicted for crimes under Article 5.</w:t>
      </w:r>
      <w:r w:rsidRPr="00E42895">
        <w:rPr>
          <w:rStyle w:val="FootnoteReference"/>
          <w:color w:val="000000" w:themeColor="text1"/>
        </w:rPr>
        <w:footnoteReference w:id="139"/>
      </w:r>
      <w:r w:rsidRPr="00E42895">
        <w:rPr>
          <w:color w:val="000000" w:themeColor="text1"/>
        </w:rPr>
        <w:t xml:space="preserve"> While acquittals and</w:t>
      </w:r>
      <w:r>
        <w:rPr>
          <w:color w:val="000000" w:themeColor="text1"/>
        </w:rPr>
        <w:t xml:space="preserve"> case</w:t>
      </w:r>
      <w:r w:rsidRPr="00E42895">
        <w:rPr>
          <w:color w:val="000000" w:themeColor="text1"/>
        </w:rPr>
        <w:t xml:space="preserve"> withdrawal</w:t>
      </w:r>
      <w:r>
        <w:rPr>
          <w:color w:val="000000" w:themeColor="text1"/>
        </w:rPr>
        <w:t>s</w:t>
      </w:r>
      <w:r w:rsidRPr="00E42895">
        <w:rPr>
          <w:color w:val="000000" w:themeColor="text1"/>
        </w:rPr>
        <w:t xml:space="preserve"> demonstrate the adherence of the Court to </w:t>
      </w:r>
      <w:r>
        <w:rPr>
          <w:color w:val="000000" w:themeColor="text1"/>
        </w:rPr>
        <w:t xml:space="preserve">fair trial principles, the facts is that </w:t>
      </w:r>
      <w:r w:rsidRPr="00E42895">
        <w:rPr>
          <w:color w:val="000000" w:themeColor="text1"/>
        </w:rPr>
        <w:t>in the end only a very small number of perpetrators have been brought to justice so far.</w:t>
      </w:r>
      <w:r w:rsidRPr="00E42895">
        <w:rPr>
          <w:rStyle w:val="FootnoteReference"/>
          <w:color w:val="000000" w:themeColor="text1"/>
        </w:rPr>
        <w:footnoteReference w:id="140"/>
      </w:r>
      <w:r w:rsidRPr="00E42895">
        <w:rPr>
          <w:color w:val="000000" w:themeColor="text1"/>
        </w:rPr>
        <w:t xml:space="preserve"> From the point of view of the millions of victims who have suffered in the conflicts before the ICC, this is a rather disappointing result.</w:t>
      </w:r>
      <w:r w:rsidRPr="00461452">
        <w:t xml:space="preserve"> </w:t>
      </w:r>
    </w:p>
    <w:p w14:paraId="5A07A327" w14:textId="2F47E903" w:rsidR="007A4CC3" w:rsidRPr="00E117A4" w:rsidRDefault="00C77A92" w:rsidP="00D429DF">
      <w:pPr>
        <w:spacing w:before="100" w:beforeAutospacing="1" w:after="100" w:afterAutospacing="1"/>
      </w:pPr>
      <w:r w:rsidRPr="00E42895">
        <w:t>At the same time, the ICC uses the general assistance mandate of the Trust Fund to promote the Court of having brought relief to the victims. On the ICC website the Trust Fund is even portrayed as one of the three pillars of the ICC (the Court organs and the Assembly of State Parties being the other two)</w:t>
      </w:r>
      <w:r w:rsidRPr="00E42895">
        <w:rPr>
          <w:rStyle w:val="FootnoteReference"/>
        </w:rPr>
        <w:footnoteReference w:id="141"/>
      </w:r>
      <w:r w:rsidRPr="00E42895">
        <w:t xml:space="preserve"> playing a main role in promoting the Court. </w:t>
      </w:r>
      <w:r w:rsidRPr="00461452">
        <w:t xml:space="preserve">Thus, the general assistance mandate is used to counter-balance the Court’s </w:t>
      </w:r>
      <w:r w:rsidR="00D429DF" w:rsidRPr="00461452">
        <w:t>deficiency</w:t>
      </w:r>
      <w:r w:rsidRPr="00461452">
        <w:t xml:space="preserve"> of sociological legitimacy by glossing over its shortcomings in its justice mandate. The Court should however not be able to </w:t>
      </w:r>
      <w:r w:rsidRPr="00E42895">
        <w:t xml:space="preserve">conceal its failure to provide </w:t>
      </w:r>
      <w:r>
        <w:t xml:space="preserve">more </w:t>
      </w:r>
      <w:r w:rsidRPr="00E42895">
        <w:t>justice</w:t>
      </w:r>
      <w:r>
        <w:t xml:space="preserve"> by bringing more perpetrators to justice</w:t>
      </w:r>
      <w:r w:rsidRPr="00E42895">
        <w:t xml:space="preserve"> behind </w:t>
      </w:r>
      <w:r>
        <w:t xml:space="preserve">the </w:t>
      </w:r>
      <w:r w:rsidRPr="00E42895">
        <w:t xml:space="preserve">financial assistance channelled through the Trust Fund. There is a real danger that victims’ support for the Court is gained through the promise of tangible assistance instead of earning it through fulfilling its justice mandate. </w:t>
      </w:r>
      <w:r>
        <w:t xml:space="preserve">Outside the context of the </w:t>
      </w:r>
      <w:r w:rsidR="00D429DF">
        <w:t>T</w:t>
      </w:r>
      <w:r>
        <w:t>rust Fund, the Pre-Trial Chamber itself pointed at the close</w:t>
      </w:r>
      <w:r w:rsidRPr="007D28AB">
        <w:rPr>
          <w:color w:val="000000" w:themeColor="text1"/>
        </w:rPr>
        <w:t xml:space="preserve"> link between victims’ disappointed expectations in the Court and the Court’s ability to work. </w:t>
      </w:r>
      <w:r>
        <w:rPr>
          <w:color w:val="000000" w:themeColor="text1"/>
        </w:rPr>
        <w:t xml:space="preserve">It warned recently of </w:t>
      </w:r>
      <w:r w:rsidRPr="007D28AB">
        <w:rPr>
          <w:color w:val="000000" w:themeColor="text1"/>
        </w:rPr>
        <w:t xml:space="preserve">actions of the Court </w:t>
      </w:r>
      <w:r>
        <w:rPr>
          <w:color w:val="000000" w:themeColor="text1"/>
        </w:rPr>
        <w:t>that ‘</w:t>
      </w:r>
      <w:r w:rsidRPr="007D28AB">
        <w:rPr>
          <w:color w:val="000000" w:themeColor="text1"/>
        </w:rPr>
        <w:t>far from honouring the victims' wishes and aspiration that justice be done, would result in creating frustration and possibly hostility vis-a-vis the Court and therefore negatively impact its very ability to pursue credibly the objectives it was created to serve.</w:t>
      </w:r>
      <w:r>
        <w:rPr>
          <w:color w:val="000000" w:themeColor="text1"/>
        </w:rPr>
        <w:t>’</w:t>
      </w:r>
      <w:r w:rsidRPr="00E42895">
        <w:rPr>
          <w:rStyle w:val="FootnoteReference"/>
          <w:color w:val="000000" w:themeColor="text1"/>
        </w:rPr>
        <w:footnoteReference w:id="142"/>
      </w:r>
      <w:r w:rsidRPr="007D28AB">
        <w:rPr>
          <w:color w:val="000000" w:themeColor="text1"/>
        </w:rPr>
        <w:t xml:space="preserve"> </w:t>
      </w:r>
      <w:r>
        <w:t>Rather than buying victims’ good will through funding support projects,</w:t>
      </w:r>
      <w:r w:rsidRPr="00E42895">
        <w:t xml:space="preserve"> the Court needs to focus on its core function and do everything it can to raise the sociological legitimacy of its justice mandate. I</w:t>
      </w:r>
      <w:r w:rsidRPr="007D28AB">
        <w:rPr>
          <w:color w:val="000000"/>
        </w:rPr>
        <w:t>t</w:t>
      </w:r>
      <w:r w:rsidRPr="00E42895">
        <w:t xml:space="preserve"> is not, and never has been, the role of a criminal court to offer general assistance. Distributing money donated from a handful of states to NGOs in the field is not part of the functions of a criminal court.</w:t>
      </w:r>
    </w:p>
    <w:bookmarkEnd w:id="5"/>
    <w:p w14:paraId="72262763" w14:textId="77777777" w:rsidR="005344AC" w:rsidRPr="00926216" w:rsidRDefault="005344AC" w:rsidP="00D429DF">
      <w:pPr>
        <w:pStyle w:val="Heading1"/>
        <w:numPr>
          <w:ilvl w:val="0"/>
          <w:numId w:val="48"/>
        </w:numPr>
        <w:spacing w:before="100" w:beforeAutospacing="1" w:after="100" w:afterAutospacing="1" w:line="240" w:lineRule="auto"/>
        <w:contextualSpacing/>
      </w:pPr>
      <w:r w:rsidRPr="00926216">
        <w:lastRenderedPageBreak/>
        <w:t>Conclusions</w:t>
      </w:r>
    </w:p>
    <w:p w14:paraId="382ED41D" w14:textId="478C50B0" w:rsidR="00367BA5" w:rsidRPr="00926216" w:rsidRDefault="005344AC" w:rsidP="00D429DF">
      <w:pPr>
        <w:spacing w:before="100" w:beforeAutospacing="1" w:after="100" w:afterAutospacing="1"/>
        <w:contextualSpacing/>
        <w:rPr>
          <w:rFonts w:ascii="Times" w:hAnsi="Times"/>
        </w:rPr>
      </w:pPr>
      <w:r w:rsidRPr="00926216">
        <w:rPr>
          <w:rFonts w:ascii="Times" w:hAnsi="Times"/>
        </w:rPr>
        <w:t xml:space="preserve">The general assistance mandate reflects </w:t>
      </w:r>
      <w:r w:rsidR="00E608A1" w:rsidRPr="00926216">
        <w:rPr>
          <w:rFonts w:ascii="Times" w:hAnsi="Times"/>
        </w:rPr>
        <w:t>the acknowledgement</w:t>
      </w:r>
      <w:r w:rsidRPr="00926216">
        <w:rPr>
          <w:rFonts w:ascii="Times" w:hAnsi="Times"/>
        </w:rPr>
        <w:t xml:space="preserve"> that retributive justice in</w:t>
      </w:r>
      <w:r w:rsidR="00336291" w:rsidRPr="00926216">
        <w:rPr>
          <w:rFonts w:ascii="Times" w:hAnsi="Times"/>
        </w:rPr>
        <w:t xml:space="preserve"> the</w:t>
      </w:r>
      <w:r w:rsidRPr="00926216">
        <w:rPr>
          <w:rFonts w:ascii="Times" w:hAnsi="Times"/>
        </w:rPr>
        <w:t xml:space="preserve"> form of the imprisonment of a handful of offenders is not enough to restore the victims’ dignity and rebuild their devastated lives. Even the innovative approach of reparation orders against individuals will never be </w:t>
      </w:r>
      <w:proofErr w:type="gramStart"/>
      <w:r w:rsidRPr="00926216">
        <w:rPr>
          <w:rFonts w:ascii="Times" w:hAnsi="Times"/>
        </w:rPr>
        <w:t>sufficient</w:t>
      </w:r>
      <w:proofErr w:type="gramEnd"/>
      <w:r w:rsidRPr="00926216">
        <w:rPr>
          <w:rFonts w:ascii="Times" w:hAnsi="Times"/>
        </w:rPr>
        <w:t xml:space="preserve"> to address the manifold needs of thousands of victims. It has been shown in this article that the general assistance mandate</w:t>
      </w:r>
      <w:r w:rsidR="0067074D" w:rsidRPr="00926216">
        <w:rPr>
          <w:rFonts w:ascii="Times" w:hAnsi="Times"/>
        </w:rPr>
        <w:t>,</w:t>
      </w:r>
      <w:r w:rsidRPr="00926216">
        <w:rPr>
          <w:rFonts w:ascii="Times" w:hAnsi="Times"/>
        </w:rPr>
        <w:t xml:space="preserve"> on the other hand</w:t>
      </w:r>
      <w:r w:rsidR="0067074D" w:rsidRPr="00926216">
        <w:rPr>
          <w:rFonts w:ascii="Times" w:hAnsi="Times"/>
        </w:rPr>
        <w:t>,</w:t>
      </w:r>
      <w:r w:rsidRPr="00926216">
        <w:rPr>
          <w:rFonts w:ascii="Times" w:hAnsi="Times"/>
        </w:rPr>
        <w:t xml:space="preserve"> is not in the position to fill this gap</w:t>
      </w:r>
      <w:r w:rsidR="005F36C8" w:rsidRPr="00926216">
        <w:rPr>
          <w:rFonts w:ascii="Times" w:hAnsi="Times"/>
        </w:rPr>
        <w:t>,</w:t>
      </w:r>
      <w:r w:rsidRPr="00926216">
        <w:rPr>
          <w:rFonts w:ascii="Times" w:hAnsi="Times"/>
        </w:rPr>
        <w:t xml:space="preserve"> not only </w:t>
      </w:r>
      <w:r w:rsidR="0067074D" w:rsidRPr="00926216">
        <w:rPr>
          <w:rFonts w:ascii="Times" w:hAnsi="Times"/>
        </w:rPr>
        <w:t>because of</w:t>
      </w:r>
      <w:r w:rsidRPr="00926216">
        <w:rPr>
          <w:rFonts w:ascii="Times" w:hAnsi="Times"/>
        </w:rPr>
        <w:t xml:space="preserve"> its own structural </w:t>
      </w:r>
      <w:r w:rsidR="0067074D" w:rsidRPr="00926216">
        <w:rPr>
          <w:rFonts w:ascii="Times" w:hAnsi="Times"/>
        </w:rPr>
        <w:t>weaknesses</w:t>
      </w:r>
      <w:r w:rsidRPr="00926216">
        <w:rPr>
          <w:rFonts w:ascii="Times" w:hAnsi="Times"/>
        </w:rPr>
        <w:t xml:space="preserve"> but moreover</w:t>
      </w:r>
      <w:r w:rsidR="0067074D" w:rsidRPr="00926216">
        <w:rPr>
          <w:rFonts w:ascii="Times" w:hAnsi="Times"/>
        </w:rPr>
        <w:t xml:space="preserve"> due to</w:t>
      </w:r>
      <w:r w:rsidRPr="00926216">
        <w:rPr>
          <w:rFonts w:ascii="Times" w:hAnsi="Times"/>
        </w:rPr>
        <w:t xml:space="preserve"> the negative impact it has on the criminal procedures of the Court. </w:t>
      </w:r>
    </w:p>
    <w:p w14:paraId="6A7362C8" w14:textId="77777777" w:rsidR="00B7522E" w:rsidRDefault="00B7522E" w:rsidP="00D429DF">
      <w:pPr>
        <w:spacing w:before="100" w:beforeAutospacing="1" w:after="100" w:afterAutospacing="1"/>
        <w:contextualSpacing/>
      </w:pPr>
    </w:p>
    <w:p w14:paraId="60CCCDF0" w14:textId="05DC0B06" w:rsidR="00643C00" w:rsidRPr="00B50938" w:rsidRDefault="00B7522E" w:rsidP="00D429DF">
      <w:pPr>
        <w:spacing w:before="100" w:beforeAutospacing="1" w:after="100" w:afterAutospacing="1"/>
        <w:contextualSpacing/>
        <w:rPr>
          <w:rFonts w:ascii="Times" w:hAnsi="Times"/>
        </w:rPr>
      </w:pPr>
      <w:r>
        <w:t>It could be argued that the general assistance mandate reflects the shift in recent years in international criminal law</w:t>
      </w:r>
      <w:r w:rsidR="00643C00">
        <w:t xml:space="preserve"> </w:t>
      </w:r>
      <w:r>
        <w:t>‘</w:t>
      </w:r>
      <w:r w:rsidR="00643C00" w:rsidRPr="00AF1599">
        <w:t>from the rights of the accused to the symbolic objectives of the international community and more particularly the interests of victims</w:t>
      </w:r>
      <w:r>
        <w:t>’</w:t>
      </w:r>
      <w:r w:rsidR="00643C00" w:rsidRPr="00AF1599">
        <w:t>.</w:t>
      </w:r>
      <w:r w:rsidR="00643C00">
        <w:rPr>
          <w:rStyle w:val="FootnoteReference"/>
        </w:rPr>
        <w:footnoteReference w:id="143"/>
      </w:r>
      <w:r w:rsidR="00643C00">
        <w:t xml:space="preserve"> It is clear that in the understanding of the Court, a fair trial does encompass more than only protecting the procedural safeguards of the accused, and that the role of the judges is to balance the interests of the different protagonists including the victims.</w:t>
      </w:r>
      <w:r w:rsidR="00643C00">
        <w:rPr>
          <w:rStyle w:val="FootnoteReference"/>
        </w:rPr>
        <w:footnoteReference w:id="144"/>
      </w:r>
      <w:r w:rsidR="00643C00">
        <w:t xml:space="preserve"> Indeed</w:t>
      </w:r>
      <w:r>
        <w:t>,</w:t>
      </w:r>
      <w:r w:rsidRPr="00B7522E">
        <w:t xml:space="preserve"> </w:t>
      </w:r>
      <w:r>
        <w:t>the victim is understood to be at the heart of ICL</w:t>
      </w:r>
      <w:r w:rsidR="00643C00">
        <w:t>.</w:t>
      </w:r>
      <w:r w:rsidR="00643C00">
        <w:rPr>
          <w:rStyle w:val="FootnoteReference"/>
        </w:rPr>
        <w:footnoteReference w:id="145"/>
      </w:r>
      <w:r w:rsidR="00643C00">
        <w:t xml:space="preserve"> But this</w:t>
      </w:r>
      <w:r>
        <w:t xml:space="preserve"> argument overlooks the </w:t>
      </w:r>
      <w:r w:rsidR="00643C00">
        <w:t>fact that t</w:t>
      </w:r>
      <w:r w:rsidR="00643C00" w:rsidRPr="00D642B5">
        <w:t xml:space="preserve">here must be a clear distinction between victims as protagonists of a trial and victims in the sense of beneficiaries of the Trust Fund’s general assistance mandate. </w:t>
      </w:r>
      <w:r w:rsidR="00643C00">
        <w:t xml:space="preserve">This article does not advocate limiting rights of the former, nor does it deny that the survivors of mass atrocities are in dire need of concrete support. What is argued here is that any support coming from the Court needs to be limited to those victims who have been identified by the Court as victims of the specific case. The general assistance mandate </w:t>
      </w:r>
      <w:r>
        <w:t>on the other hand</w:t>
      </w:r>
      <w:r w:rsidR="00643C00">
        <w:t xml:space="preserve"> extends the concept of victim to </w:t>
      </w:r>
      <w:r>
        <w:t xml:space="preserve">all those who have severely suffered in </w:t>
      </w:r>
      <w:r w:rsidR="00643C00">
        <w:t xml:space="preserve">the atrocities. This extension which gives non-protagonists support from the Court and which has a negative impact on many aspects of the procedure, as shown above, is highly problematic not at least because the selection of these beneficiaries </w:t>
      </w:r>
      <w:proofErr w:type="gramStart"/>
      <w:r w:rsidR="00643C00">
        <w:t>are</w:t>
      </w:r>
      <w:proofErr w:type="gramEnd"/>
      <w:r w:rsidR="00643C00">
        <w:t xml:space="preserve"> completely outside the control of the judges. </w:t>
      </w:r>
      <w:r w:rsidR="00643C00">
        <w:rPr>
          <w:rFonts w:ascii="Times" w:hAnsi="Times"/>
        </w:rPr>
        <w:t>Moreover</w:t>
      </w:r>
      <w:r w:rsidR="00643C00" w:rsidRPr="00B50938">
        <w:rPr>
          <w:rFonts w:ascii="Times" w:hAnsi="Times"/>
        </w:rPr>
        <w:t xml:space="preserve">, there is an alarming lack of transparency in the identification and selection of the beneficiaries. The </w:t>
      </w:r>
      <w:r w:rsidR="00643C00" w:rsidRPr="00B50938">
        <w:rPr>
          <w:rFonts w:ascii="Times" w:hAnsi="Times"/>
          <w:color w:val="000000" w:themeColor="text1"/>
          <w:shd w:val="clear" w:color="auto" w:fill="FFFFFF"/>
        </w:rPr>
        <w:t>Office of Public Counsel for the Defence (</w:t>
      </w:r>
      <w:r w:rsidR="00643C00" w:rsidRPr="00B50938">
        <w:rPr>
          <w:rFonts w:ascii="Times" w:hAnsi="Times"/>
        </w:rPr>
        <w:t xml:space="preserve">OPCD) criticises the Trust Fund for not revealing </w:t>
      </w:r>
      <w:r w:rsidR="00643C00" w:rsidRPr="00B50938">
        <w:rPr>
          <w:rFonts w:ascii="Times" w:hAnsi="Times" w:cs="Times"/>
        </w:rPr>
        <w:t>‘any formula or criteria, which were used to verify factually and legally that the persons receiving assistance suffered harm as the result of a crime under the Rome Statute.’</w:t>
      </w:r>
      <w:r w:rsidR="00643C00" w:rsidRPr="00926216">
        <w:rPr>
          <w:rStyle w:val="FootnoteReference"/>
          <w:rFonts w:ascii="Times" w:hAnsi="Times" w:cs="Times"/>
        </w:rPr>
        <w:footnoteReference w:id="146"/>
      </w:r>
      <w:r w:rsidR="00643C00" w:rsidRPr="00B50938">
        <w:rPr>
          <w:rFonts w:ascii="Times" w:hAnsi="Times" w:cs="Times"/>
        </w:rPr>
        <w:t xml:space="preserve"> The Fund does not even reveal the exact crimes the beneficiaries allegedly have suffered from, other than ‘crimes within the jurisdiction of the court’. Moreover, it is not clear whether, or how the Trust Fund assesses whether the victims have already received or will receive compensation from the national authorities. </w:t>
      </w:r>
      <w:r w:rsidR="00643C00" w:rsidRPr="00926216">
        <w:t>Hence, the selection of beneficiaries is based on information not verified by the Court, nor is it based on the Court’s evidentiary threshold of ‘</w:t>
      </w:r>
      <w:r w:rsidR="00643C00" w:rsidRPr="00B50938">
        <w:rPr>
          <w:color w:val="000000" w:themeColor="text1"/>
        </w:rPr>
        <w:t>beyond reasonable doubt’.</w:t>
      </w:r>
      <w:r w:rsidR="00643C00" w:rsidRPr="00926216">
        <w:rPr>
          <w:rStyle w:val="FootnoteReference"/>
          <w:color w:val="000000" w:themeColor="text1"/>
        </w:rPr>
        <w:footnoteReference w:id="147"/>
      </w:r>
      <w:r w:rsidR="00643C00" w:rsidRPr="00B50938">
        <w:rPr>
          <w:color w:val="000000" w:themeColor="text1"/>
        </w:rPr>
        <w:t xml:space="preserve"> </w:t>
      </w:r>
      <w:r w:rsidR="00643C00" w:rsidRPr="00B50938">
        <w:rPr>
          <w:rFonts w:ascii="Times" w:hAnsi="Times" w:cs="Times"/>
        </w:rPr>
        <w:t xml:space="preserve">This lack of transparency </w:t>
      </w:r>
      <w:r w:rsidR="00643C00" w:rsidRPr="00926216">
        <w:t>can be partially</w:t>
      </w:r>
      <w:r w:rsidR="00643C00" w:rsidRPr="00B50938">
        <w:rPr>
          <w:rFonts w:ascii="Times" w:hAnsi="Times" w:cs="Times"/>
        </w:rPr>
        <w:t xml:space="preserve"> explained with security concerns. B</w:t>
      </w:r>
      <w:r w:rsidR="00643C00" w:rsidRPr="00B50938">
        <w:rPr>
          <w:rFonts w:ascii="Times" w:hAnsi="Times"/>
        </w:rPr>
        <w:t>eing associated with a body of the ICC poses a security risk both for the beneficiaries as well as the implementing partners.</w:t>
      </w:r>
      <w:r w:rsidR="00643C00" w:rsidRPr="00926216">
        <w:rPr>
          <w:rStyle w:val="FootnoteReference"/>
          <w:rFonts w:ascii="Times" w:hAnsi="Times"/>
        </w:rPr>
        <w:footnoteReference w:id="148"/>
      </w:r>
      <w:r w:rsidR="00643C00" w:rsidRPr="00B50938">
        <w:rPr>
          <w:rFonts w:ascii="Times" w:hAnsi="Times"/>
        </w:rPr>
        <w:t xml:space="preserve"> The Trust Fund acknowledges that in the DRC this problem ‘has contributed to a low visibility of the Trust Fund in local communities, as well as to a lack of knowledge with beneficiaries about the legal and institutional framework of the support they are receiving.’</w:t>
      </w:r>
      <w:r w:rsidR="00643C00" w:rsidRPr="00926216">
        <w:rPr>
          <w:rStyle w:val="FootnoteReference"/>
          <w:rFonts w:ascii="Times" w:hAnsi="Times"/>
        </w:rPr>
        <w:footnoteReference w:id="149"/>
      </w:r>
      <w:r w:rsidR="00643C00" w:rsidRPr="00B50938">
        <w:rPr>
          <w:rFonts w:ascii="Times" w:hAnsi="Times"/>
        </w:rPr>
        <w:t xml:space="preserve"> Nevertheless, the security risk only explains the lack of transparency with regards to the identity of beneficiaries and implementing partners. It does </w:t>
      </w:r>
      <w:r w:rsidR="00643C00" w:rsidRPr="00B50938">
        <w:rPr>
          <w:rFonts w:ascii="Times" w:hAnsi="Times"/>
        </w:rPr>
        <w:lastRenderedPageBreak/>
        <w:t xml:space="preserve">not explain the obscure selection procedures or the lack of general information available to the public. Indeed, it is increasingly difficult to access information about the work of the Trust Fund with respect to the general assistance mandate. The last Strategic Plan that was made </w:t>
      </w:r>
      <w:proofErr w:type="spellStart"/>
      <w:r w:rsidR="00643C00" w:rsidRPr="00B50938">
        <w:rPr>
          <w:rFonts w:ascii="Times" w:hAnsi="Times"/>
        </w:rPr>
        <w:t>publically</w:t>
      </w:r>
      <w:proofErr w:type="spellEnd"/>
      <w:r w:rsidR="00643C00" w:rsidRPr="00B50938">
        <w:rPr>
          <w:rFonts w:ascii="Times" w:hAnsi="Times"/>
        </w:rPr>
        <w:t xml:space="preserve"> available was for the years 2014 to 2017 and there is only one edition of the so-called newsletter available on the website.</w:t>
      </w:r>
      <w:r w:rsidR="00643C00" w:rsidRPr="0082280F">
        <w:rPr>
          <w:rStyle w:val="FootnoteReference"/>
          <w:rFonts w:ascii="Times" w:hAnsi="Times"/>
        </w:rPr>
        <w:footnoteReference w:id="150"/>
      </w:r>
      <w:r w:rsidR="00643C00" w:rsidRPr="00B50938">
        <w:rPr>
          <w:rFonts w:ascii="Times" w:hAnsi="Times"/>
        </w:rPr>
        <w:t xml:space="preserve"> While the Trust Fund’s website has a contact email address inviting queries, none of the numerous requests for information by this author have been replied to or even acknowledged. The information on the website is often scarce and not regularly updated.</w:t>
      </w:r>
    </w:p>
    <w:p w14:paraId="7A20DB73" w14:textId="06095ABB" w:rsidR="005344AC" w:rsidRPr="00926216" w:rsidRDefault="004911C1" w:rsidP="00D429DF">
      <w:pPr>
        <w:spacing w:before="100" w:beforeAutospacing="1" w:after="100" w:afterAutospacing="1"/>
        <w:contextualSpacing/>
        <w:rPr>
          <w:rFonts w:ascii="Times" w:hAnsi="Times"/>
          <w:color w:val="000000" w:themeColor="text1"/>
        </w:rPr>
      </w:pPr>
      <w:r>
        <w:rPr>
          <w:rFonts w:ascii="Times" w:hAnsi="Times"/>
        </w:rPr>
        <w:t xml:space="preserve">A further drawback of the general assistance mandate is that </w:t>
      </w:r>
      <w:r w:rsidR="005344AC" w:rsidRPr="00926216">
        <w:rPr>
          <w:rFonts w:ascii="Times" w:hAnsi="Times"/>
        </w:rPr>
        <w:t>the link between general assistance and the ICC is not adding any value.</w:t>
      </w:r>
      <w:r w:rsidR="00E11808" w:rsidRPr="00926216">
        <w:rPr>
          <w:rFonts w:ascii="Times" w:hAnsi="Times"/>
        </w:rPr>
        <w:t xml:space="preserve"> </w:t>
      </w:r>
      <w:r w:rsidR="005344AC" w:rsidRPr="00926216">
        <w:rPr>
          <w:rFonts w:ascii="Times" w:hAnsi="Times"/>
        </w:rPr>
        <w:t xml:space="preserve">The </w:t>
      </w:r>
      <w:r w:rsidR="00367BA5" w:rsidRPr="00926216">
        <w:rPr>
          <w:rFonts w:ascii="Times" w:hAnsi="Times"/>
        </w:rPr>
        <w:t>T</w:t>
      </w:r>
      <w:r w:rsidR="00E11808" w:rsidRPr="00926216">
        <w:rPr>
          <w:rFonts w:ascii="Times" w:hAnsi="Times"/>
        </w:rPr>
        <w:t>rust Fund’s claim</w:t>
      </w:r>
      <w:r w:rsidR="005344AC" w:rsidRPr="00926216">
        <w:rPr>
          <w:rFonts w:ascii="Times" w:hAnsi="Times"/>
        </w:rPr>
        <w:t xml:space="preserve"> that </w:t>
      </w:r>
      <w:r w:rsidR="00E11808" w:rsidRPr="00926216">
        <w:rPr>
          <w:rFonts w:ascii="Times" w:hAnsi="Times"/>
        </w:rPr>
        <w:t>it</w:t>
      </w:r>
      <w:r w:rsidR="005344AC" w:rsidRPr="00926216">
        <w:rPr>
          <w:color w:val="000000" w:themeColor="text1"/>
        </w:rPr>
        <w:t xml:space="preserve"> </w:t>
      </w:r>
      <w:r w:rsidR="00367BA5" w:rsidRPr="00926216">
        <w:rPr>
          <w:color w:val="000000" w:themeColor="text1"/>
        </w:rPr>
        <w:t xml:space="preserve">is </w:t>
      </w:r>
      <w:r w:rsidR="00C208F9" w:rsidRPr="00926216">
        <w:rPr>
          <w:color w:val="000000" w:themeColor="text1"/>
        </w:rPr>
        <w:t>‘</w:t>
      </w:r>
      <w:r w:rsidR="005344AC" w:rsidRPr="00926216">
        <w:rPr>
          <w:color w:val="000000" w:themeColor="text1"/>
        </w:rPr>
        <w:t xml:space="preserve">a source of operational experience and knowledge about the particularities of </w:t>
      </w:r>
      <w:proofErr w:type="gramStart"/>
      <w:r w:rsidR="005344AC" w:rsidRPr="00926216">
        <w:rPr>
          <w:color w:val="000000" w:themeColor="text1"/>
        </w:rPr>
        <w:t>providing assistance to</w:t>
      </w:r>
      <w:proofErr w:type="gramEnd"/>
      <w:r w:rsidR="005344AC" w:rsidRPr="00926216">
        <w:rPr>
          <w:color w:val="000000" w:themeColor="text1"/>
        </w:rPr>
        <w:t xml:space="preserve"> victims under conditions of conflict, stigma and chronic vulnerability</w:t>
      </w:r>
      <w:r w:rsidR="00C208F9" w:rsidRPr="00926216">
        <w:rPr>
          <w:color w:val="000000" w:themeColor="text1"/>
        </w:rPr>
        <w:t>’</w:t>
      </w:r>
      <w:r w:rsidR="005344AC" w:rsidRPr="00926216">
        <w:rPr>
          <w:rStyle w:val="FootnoteReference"/>
          <w:color w:val="000000" w:themeColor="text1"/>
        </w:rPr>
        <w:footnoteReference w:id="151"/>
      </w:r>
      <w:r w:rsidR="005344AC" w:rsidRPr="00926216">
        <w:rPr>
          <w:color w:val="000000" w:themeColor="text1"/>
        </w:rPr>
        <w:t xml:space="preserve"> </w:t>
      </w:r>
      <w:r w:rsidR="005344AC" w:rsidRPr="00926216">
        <w:rPr>
          <w:rFonts w:ascii="Times" w:hAnsi="Times"/>
        </w:rPr>
        <w:t>is far from convincing.</w:t>
      </w:r>
      <w:r w:rsidR="0067074D" w:rsidRPr="00926216">
        <w:rPr>
          <w:rFonts w:ascii="Times" w:hAnsi="Times"/>
        </w:rPr>
        <w:t xml:space="preserve"> </w:t>
      </w:r>
      <w:proofErr w:type="gramStart"/>
      <w:r w:rsidR="0067074D" w:rsidRPr="00926216">
        <w:rPr>
          <w:rFonts w:ascii="Times" w:hAnsi="Times"/>
        </w:rPr>
        <w:t>First of all</w:t>
      </w:r>
      <w:proofErr w:type="gramEnd"/>
      <w:r w:rsidR="0067074D" w:rsidRPr="00926216">
        <w:rPr>
          <w:rFonts w:ascii="Times" w:hAnsi="Times"/>
        </w:rPr>
        <w:t>, the general assistance mandate operates in only</w:t>
      </w:r>
      <w:r w:rsidR="00336291" w:rsidRPr="00926216">
        <w:rPr>
          <w:rFonts w:ascii="Times" w:hAnsi="Times"/>
        </w:rPr>
        <w:t xml:space="preserve"> a</w:t>
      </w:r>
      <w:r w:rsidR="0067074D" w:rsidRPr="00926216">
        <w:rPr>
          <w:rFonts w:ascii="Times" w:hAnsi="Times"/>
        </w:rPr>
        <w:t xml:space="preserve"> few situations and not necessarily in those where a reparation order is later given. Furthermore, as the general assistance mandate is run </w:t>
      </w:r>
      <w:r w:rsidR="00926AF7" w:rsidRPr="00926216">
        <w:rPr>
          <w:rFonts w:ascii="Times" w:hAnsi="Times"/>
        </w:rPr>
        <w:t>by</w:t>
      </w:r>
      <w:r w:rsidR="0067074D" w:rsidRPr="00926216">
        <w:rPr>
          <w:rFonts w:ascii="Times" w:hAnsi="Times"/>
        </w:rPr>
        <w:t xml:space="preserve"> intermediaries, the Court could easily refer directly to the data available through the operating NGOs. The Trust Fund</w:t>
      </w:r>
      <w:r w:rsidR="00F320DF" w:rsidRPr="00926216">
        <w:rPr>
          <w:rFonts w:ascii="Times" w:hAnsi="Times"/>
          <w:color w:val="000000" w:themeColor="text1"/>
        </w:rPr>
        <w:t xml:space="preserve"> </w:t>
      </w:r>
      <w:r w:rsidR="0067074D" w:rsidRPr="00926216">
        <w:rPr>
          <w:rFonts w:ascii="Times" w:hAnsi="Times"/>
          <w:color w:val="000000" w:themeColor="text1"/>
        </w:rPr>
        <w:t xml:space="preserve">argues that </w:t>
      </w:r>
      <w:r w:rsidR="00C208F9" w:rsidRPr="00926216">
        <w:rPr>
          <w:color w:val="000000" w:themeColor="text1"/>
        </w:rPr>
        <w:t>‘</w:t>
      </w:r>
      <w:r w:rsidR="0067074D" w:rsidRPr="00926216">
        <w:rPr>
          <w:color w:val="000000" w:themeColor="text1"/>
        </w:rPr>
        <w:t>with its non-Court ordered general assistance, the TFV has an established presence on the ground and is well placed to implement such awards</w:t>
      </w:r>
      <w:r w:rsidR="00C208F9" w:rsidRPr="00926216">
        <w:rPr>
          <w:color w:val="000000" w:themeColor="text1"/>
        </w:rPr>
        <w:t>’</w:t>
      </w:r>
      <w:r w:rsidR="0067074D" w:rsidRPr="00926216">
        <w:rPr>
          <w:color w:val="000000" w:themeColor="text1"/>
        </w:rPr>
        <w:t>,</w:t>
      </w:r>
      <w:r w:rsidR="0067074D" w:rsidRPr="00926216">
        <w:rPr>
          <w:rStyle w:val="FootnoteReference"/>
          <w:color w:val="000000" w:themeColor="text1"/>
        </w:rPr>
        <w:footnoteReference w:id="152"/>
      </w:r>
      <w:r w:rsidR="0067074D" w:rsidRPr="00926216">
        <w:rPr>
          <w:color w:val="000000" w:themeColor="text1"/>
        </w:rPr>
        <w:t xml:space="preserve"> but t</w:t>
      </w:r>
      <w:r w:rsidR="0067074D" w:rsidRPr="00926216">
        <w:rPr>
          <w:rFonts w:ascii="Times" w:hAnsi="Times"/>
          <w:color w:val="000000" w:themeColor="text1"/>
        </w:rPr>
        <w:t xml:space="preserve">here is no explanation of what special knowledge or understanding exactly it has gained through its ‘presence’. </w:t>
      </w:r>
      <w:r w:rsidR="005344AC" w:rsidRPr="00926216">
        <w:rPr>
          <w:rFonts w:ascii="Times" w:hAnsi="Times"/>
          <w:color w:val="000000" w:themeColor="text1"/>
        </w:rPr>
        <w:t xml:space="preserve">Indeed, looking at the programmes that different NGO are running, there is nothing the Trust Fund does </w:t>
      </w:r>
      <w:r w:rsidR="00B75F50" w:rsidRPr="00926216">
        <w:rPr>
          <w:rFonts w:ascii="Times" w:hAnsi="Times"/>
          <w:color w:val="000000" w:themeColor="text1"/>
        </w:rPr>
        <w:t xml:space="preserve">that </w:t>
      </w:r>
      <w:r w:rsidR="005344AC" w:rsidRPr="00926216">
        <w:rPr>
          <w:rFonts w:ascii="Times" w:hAnsi="Times"/>
          <w:color w:val="000000" w:themeColor="text1"/>
        </w:rPr>
        <w:t xml:space="preserve">would require a link to a criminal court. The Trust Fund is </w:t>
      </w:r>
      <w:r w:rsidR="00FF4CA6" w:rsidRPr="00926216">
        <w:rPr>
          <w:rFonts w:ascii="Times" w:hAnsi="Times"/>
          <w:color w:val="000000" w:themeColor="text1"/>
        </w:rPr>
        <w:t xml:space="preserve">for example </w:t>
      </w:r>
      <w:r w:rsidR="005344AC" w:rsidRPr="00926216">
        <w:rPr>
          <w:rFonts w:ascii="Times" w:hAnsi="Times"/>
          <w:color w:val="000000" w:themeColor="text1"/>
        </w:rPr>
        <w:t xml:space="preserve">not privy to any </w:t>
      </w:r>
      <w:r w:rsidR="001479C4" w:rsidRPr="00926216">
        <w:rPr>
          <w:rFonts w:ascii="Times" w:hAnsi="Times"/>
          <w:color w:val="000000" w:themeColor="text1"/>
        </w:rPr>
        <w:t>information</w:t>
      </w:r>
      <w:r w:rsidR="005344AC" w:rsidRPr="00926216">
        <w:rPr>
          <w:rFonts w:ascii="Times" w:hAnsi="Times"/>
          <w:color w:val="000000" w:themeColor="text1"/>
        </w:rPr>
        <w:t xml:space="preserve"> </w:t>
      </w:r>
      <w:r w:rsidR="001479C4" w:rsidRPr="00926216">
        <w:rPr>
          <w:rFonts w:ascii="Times" w:hAnsi="Times"/>
          <w:color w:val="000000" w:themeColor="text1"/>
        </w:rPr>
        <w:t>or insights of</w:t>
      </w:r>
      <w:r w:rsidR="005344AC" w:rsidRPr="00926216">
        <w:rPr>
          <w:rFonts w:ascii="Times" w:hAnsi="Times"/>
          <w:color w:val="000000" w:themeColor="text1"/>
        </w:rPr>
        <w:t xml:space="preserve"> the Court</w:t>
      </w:r>
      <w:r w:rsidR="001479C4" w:rsidRPr="00926216">
        <w:rPr>
          <w:rFonts w:ascii="Times" w:hAnsi="Times"/>
          <w:color w:val="000000" w:themeColor="text1"/>
        </w:rPr>
        <w:t xml:space="preserve"> other than what is </w:t>
      </w:r>
      <w:r w:rsidR="00BA3374" w:rsidRPr="00926216">
        <w:rPr>
          <w:rFonts w:ascii="Times" w:hAnsi="Times"/>
          <w:color w:val="000000" w:themeColor="text1"/>
        </w:rPr>
        <w:t>publicly</w:t>
      </w:r>
      <w:r w:rsidR="001479C4" w:rsidRPr="00926216">
        <w:rPr>
          <w:rFonts w:ascii="Times" w:hAnsi="Times"/>
          <w:color w:val="000000" w:themeColor="text1"/>
        </w:rPr>
        <w:t xml:space="preserve"> available. </w:t>
      </w:r>
      <w:r w:rsidR="005F36C8" w:rsidRPr="00926216">
        <w:rPr>
          <w:rFonts w:ascii="Times" w:hAnsi="Times"/>
          <w:color w:val="000000" w:themeColor="text1"/>
        </w:rPr>
        <w:t>Nor is there any reason to believe that the Trust Fund attracts more money because of its link with the Court.</w:t>
      </w:r>
      <w:r w:rsidR="005334D9" w:rsidRPr="00926216">
        <w:rPr>
          <w:rFonts w:ascii="Times" w:hAnsi="Times"/>
          <w:color w:val="000000" w:themeColor="text1"/>
        </w:rPr>
        <w:t xml:space="preserve"> </w:t>
      </w:r>
      <w:r w:rsidR="0067074D" w:rsidRPr="00926216">
        <w:rPr>
          <w:rFonts w:ascii="Times" w:hAnsi="Times" w:cs="Times"/>
        </w:rPr>
        <w:t xml:space="preserve">On the contrary, </w:t>
      </w:r>
      <w:r w:rsidR="00F320DF" w:rsidRPr="00926216">
        <w:rPr>
          <w:rFonts w:ascii="Times" w:hAnsi="Times"/>
        </w:rPr>
        <w:t xml:space="preserve">as seen above, </w:t>
      </w:r>
      <w:r w:rsidR="0067074D" w:rsidRPr="00926216">
        <w:rPr>
          <w:rFonts w:ascii="Times" w:hAnsi="Times" w:cs="Times"/>
        </w:rPr>
        <w:t xml:space="preserve">a link with the Court </w:t>
      </w:r>
      <w:proofErr w:type="gramStart"/>
      <w:r w:rsidR="0067074D" w:rsidRPr="00926216">
        <w:rPr>
          <w:rFonts w:ascii="Times" w:hAnsi="Times" w:cs="Times"/>
        </w:rPr>
        <w:t>actually hinders</w:t>
      </w:r>
      <w:proofErr w:type="gramEnd"/>
      <w:r w:rsidR="0067074D" w:rsidRPr="00926216">
        <w:rPr>
          <w:rFonts w:ascii="Times" w:hAnsi="Times" w:cs="Times"/>
        </w:rPr>
        <w:t xml:space="preserve"> general assistance programmes</w:t>
      </w:r>
      <w:r w:rsidR="005334D9" w:rsidRPr="00926216">
        <w:rPr>
          <w:rFonts w:ascii="Times" w:hAnsi="Times" w:cs="Times"/>
        </w:rPr>
        <w:t xml:space="preserve"> in some situations</w:t>
      </w:r>
      <w:r w:rsidR="00F320DF" w:rsidRPr="00926216">
        <w:rPr>
          <w:rFonts w:ascii="Times" w:hAnsi="Times" w:cs="Times"/>
        </w:rPr>
        <w:t xml:space="preserve"> because of security concerns</w:t>
      </w:r>
      <w:r w:rsidR="0067074D" w:rsidRPr="00926216">
        <w:rPr>
          <w:rFonts w:ascii="Times" w:hAnsi="Times" w:cs="Times"/>
        </w:rPr>
        <w:t xml:space="preserve">. The </w:t>
      </w:r>
      <w:r w:rsidR="0067074D" w:rsidRPr="00926216">
        <w:rPr>
          <w:rFonts w:ascii="Times" w:hAnsi="Times"/>
          <w:color w:val="000000" w:themeColor="text1"/>
          <w:shd w:val="clear" w:color="auto" w:fill="FFFFFF"/>
        </w:rPr>
        <w:t>Trust Fund</w:t>
      </w:r>
      <w:r w:rsidR="0067074D" w:rsidRPr="00926216">
        <w:rPr>
          <w:rFonts w:ascii="Times" w:hAnsi="Times" w:cs="Times"/>
        </w:rPr>
        <w:t xml:space="preserve"> admits that</w:t>
      </w:r>
      <w:r w:rsidR="00336291" w:rsidRPr="00926216">
        <w:rPr>
          <w:rFonts w:ascii="Times" w:hAnsi="Times" w:cs="Times"/>
        </w:rPr>
        <w:t>,</w:t>
      </w:r>
      <w:r w:rsidR="0067074D" w:rsidRPr="00926216">
        <w:rPr>
          <w:rFonts w:ascii="Times" w:hAnsi="Times" w:cs="Times"/>
        </w:rPr>
        <w:t xml:space="preserve"> because of its connection with the Court</w:t>
      </w:r>
      <w:r w:rsidR="00336291" w:rsidRPr="00926216">
        <w:rPr>
          <w:rFonts w:ascii="Times" w:hAnsi="Times" w:cs="Times"/>
        </w:rPr>
        <w:t>,</w:t>
      </w:r>
      <w:r w:rsidR="0067074D" w:rsidRPr="00926216">
        <w:rPr>
          <w:rFonts w:ascii="Times" w:hAnsi="Times" w:cs="Times"/>
        </w:rPr>
        <w:t xml:space="preserve"> </w:t>
      </w:r>
      <w:r w:rsidR="00C208F9" w:rsidRPr="00926216">
        <w:rPr>
          <w:rFonts w:ascii="Times" w:hAnsi="Times" w:cs="Times"/>
        </w:rPr>
        <w:t>‘</w:t>
      </w:r>
      <w:r w:rsidR="0067074D" w:rsidRPr="00926216">
        <w:rPr>
          <w:rFonts w:ascii="Times" w:hAnsi="Times" w:cs="Times"/>
        </w:rPr>
        <w:t>victims who will benefit from the specified activities of the Trust Fund would be endangered as seen as having contact with the Court.</w:t>
      </w:r>
      <w:r w:rsidR="00C208F9" w:rsidRPr="00926216">
        <w:rPr>
          <w:rFonts w:ascii="Times" w:hAnsi="Times" w:cs="Times"/>
        </w:rPr>
        <w:t>’</w:t>
      </w:r>
      <w:r w:rsidR="0067074D" w:rsidRPr="00926216">
        <w:rPr>
          <w:rStyle w:val="FootnoteReference"/>
          <w:rFonts w:ascii="Times" w:hAnsi="Times" w:cs="Times"/>
        </w:rPr>
        <w:footnoteReference w:id="153"/>
      </w:r>
      <w:r w:rsidR="0067074D" w:rsidRPr="00926216">
        <w:rPr>
          <w:rFonts w:ascii="Times" w:hAnsi="Times" w:cs="Times"/>
        </w:rPr>
        <w:t xml:space="preserve"> Indeed, in its first notification to the Court regarding the situation in Uganda, the </w:t>
      </w:r>
      <w:r w:rsidR="0067074D" w:rsidRPr="00926216">
        <w:rPr>
          <w:rFonts w:ascii="Times" w:hAnsi="Times"/>
          <w:color w:val="000000" w:themeColor="text1"/>
          <w:shd w:val="clear" w:color="auto" w:fill="FFFFFF"/>
        </w:rPr>
        <w:t>Trust Fund</w:t>
      </w:r>
      <w:r w:rsidR="0067074D" w:rsidRPr="00926216">
        <w:rPr>
          <w:rFonts w:ascii="Times" w:hAnsi="Times" w:cs="Times"/>
        </w:rPr>
        <w:t xml:space="preserve"> repeatedly refers to the security risks for victims and the importance that the beneficiaries are not visibly linked to the Court.</w:t>
      </w:r>
      <w:r w:rsidR="0067074D" w:rsidRPr="00926216">
        <w:rPr>
          <w:rStyle w:val="FootnoteReference"/>
          <w:rFonts w:ascii="Times" w:hAnsi="Times" w:cs="Times"/>
        </w:rPr>
        <w:footnoteReference w:id="154"/>
      </w:r>
      <w:r w:rsidR="0067074D" w:rsidRPr="00926216">
        <w:rPr>
          <w:rFonts w:ascii="Times" w:hAnsi="Times" w:cs="Times"/>
        </w:rPr>
        <w:t xml:space="preserve"> </w:t>
      </w:r>
      <w:r w:rsidR="00F320DF" w:rsidRPr="00926216">
        <w:rPr>
          <w:rFonts w:ascii="Times" w:hAnsi="Times"/>
        </w:rPr>
        <w:t>In addition</w:t>
      </w:r>
      <w:r w:rsidR="00AB08A8" w:rsidRPr="00926216">
        <w:rPr>
          <w:rFonts w:ascii="Times" w:hAnsi="Times"/>
        </w:rPr>
        <w:t>, the Trust Fund is increasingly outsourcing main activities of the general assistance mandate</w:t>
      </w:r>
      <w:r>
        <w:rPr>
          <w:rFonts w:ascii="Times" w:hAnsi="Times"/>
        </w:rPr>
        <w:t>,</w:t>
      </w:r>
      <w:r w:rsidR="00AB08A8" w:rsidRPr="00926216">
        <w:rPr>
          <w:rStyle w:val="FootnoteReference"/>
          <w:rFonts w:ascii="Times" w:hAnsi="Times"/>
        </w:rPr>
        <w:footnoteReference w:id="155"/>
      </w:r>
      <w:r w:rsidR="00AB08A8" w:rsidRPr="00926216">
        <w:rPr>
          <w:rFonts w:ascii="Times" w:hAnsi="Times"/>
        </w:rPr>
        <w:t xml:space="preserve"> which begs the question as to what extent the Trust Fund itself is necessary.</w:t>
      </w:r>
    </w:p>
    <w:p w14:paraId="659F9069" w14:textId="77777777" w:rsidR="00B272D7" w:rsidRDefault="00B272D7" w:rsidP="00D429DF">
      <w:pPr>
        <w:spacing w:before="100" w:beforeAutospacing="1" w:after="100" w:afterAutospacing="1"/>
        <w:contextualSpacing/>
        <w:rPr>
          <w:rFonts w:ascii="Times" w:hAnsi="Times"/>
        </w:rPr>
      </w:pPr>
    </w:p>
    <w:p w14:paraId="288F9DF7" w14:textId="493C0094" w:rsidR="005344AC" w:rsidRPr="00926216" w:rsidRDefault="005344AC" w:rsidP="00D429DF">
      <w:pPr>
        <w:spacing w:before="100" w:beforeAutospacing="1" w:after="100" w:afterAutospacing="1"/>
        <w:contextualSpacing/>
        <w:rPr>
          <w:rFonts w:ascii="Times" w:hAnsi="Times"/>
          <w:color w:val="FF0000"/>
        </w:rPr>
      </w:pPr>
      <w:r w:rsidRPr="00926216">
        <w:rPr>
          <w:rFonts w:ascii="Times" w:hAnsi="Times"/>
        </w:rPr>
        <w:t xml:space="preserve">While it is accepted that a wide needs-based approach is </w:t>
      </w:r>
      <w:r w:rsidR="00F320DF" w:rsidRPr="00926216">
        <w:rPr>
          <w:rFonts w:ascii="Times" w:hAnsi="Times"/>
        </w:rPr>
        <w:t>needed</w:t>
      </w:r>
      <w:r w:rsidRPr="00926216">
        <w:rPr>
          <w:rFonts w:ascii="Times" w:hAnsi="Times"/>
        </w:rPr>
        <w:t xml:space="preserve"> to alleviate as much suffering as possible and as fast as possible, this broad assistance cannot be part of a criminal procedure with the necessarily narrow remit of a criminal case. Indeed, one of the core principles set out in the UN Victim Declaration is that victim support should </w:t>
      </w:r>
      <w:r w:rsidRPr="00926216">
        <w:rPr>
          <w:rFonts w:ascii="Times" w:hAnsi="Times"/>
          <w:i/>
        </w:rPr>
        <w:t>not</w:t>
      </w:r>
      <w:r w:rsidRPr="00926216">
        <w:rPr>
          <w:rFonts w:ascii="Times" w:hAnsi="Times"/>
        </w:rPr>
        <w:t xml:space="preserve"> depend on the perpetrator being convicted.</w:t>
      </w:r>
      <w:r w:rsidRPr="00926216">
        <w:rPr>
          <w:rStyle w:val="FootnoteReference"/>
          <w:rFonts w:ascii="Times" w:hAnsi="Times"/>
        </w:rPr>
        <w:footnoteReference w:id="156"/>
      </w:r>
      <w:r w:rsidRPr="00926216">
        <w:rPr>
          <w:rFonts w:ascii="Times" w:hAnsi="Times"/>
        </w:rPr>
        <w:t xml:space="preserve"> </w:t>
      </w:r>
      <w:r w:rsidR="00B272D7">
        <w:t>Hence it is</w:t>
      </w:r>
      <w:r w:rsidRPr="00926216">
        <w:t xml:space="preserve"> unsurprising that </w:t>
      </w:r>
      <w:r w:rsidRPr="00926216">
        <w:rPr>
          <w:rFonts w:ascii="Times" w:hAnsi="Times"/>
        </w:rPr>
        <w:t>such an extension beyond the criminal case has not been envisioned at the Rome negotiations and cannot be found in either the Rome Statute or the RPE. It is therefore argued that</w:t>
      </w:r>
      <w:r w:rsidR="004A41C5" w:rsidRPr="00926216">
        <w:rPr>
          <w:rFonts w:ascii="Times" w:hAnsi="Times"/>
        </w:rPr>
        <w:t>,</w:t>
      </w:r>
      <w:r w:rsidRPr="00926216">
        <w:rPr>
          <w:rFonts w:ascii="Times" w:hAnsi="Times"/>
        </w:rPr>
        <w:t xml:space="preserve"> in light of the limited reach of the Trust Fund </w:t>
      </w:r>
      <w:r w:rsidR="005334D9" w:rsidRPr="00926216">
        <w:rPr>
          <w:rFonts w:ascii="Times" w:hAnsi="Times"/>
        </w:rPr>
        <w:t xml:space="preserve">and the high running costs of the general assistance mandate </w:t>
      </w:r>
      <w:r w:rsidRPr="00926216">
        <w:rPr>
          <w:rFonts w:ascii="Times" w:hAnsi="Times"/>
        </w:rPr>
        <w:t xml:space="preserve">on the one hand, and its negative impact on the ICC on the other, the work of the general assistance mandate </w:t>
      </w:r>
      <w:r w:rsidRPr="00926216">
        <w:rPr>
          <w:rFonts w:ascii="Times" w:hAnsi="Times"/>
        </w:rPr>
        <w:lastRenderedPageBreak/>
        <w:t xml:space="preserve">should be separated from the Court and given to an external body. </w:t>
      </w:r>
      <w:r w:rsidR="0067074D" w:rsidRPr="00926216">
        <w:rPr>
          <w:rFonts w:ascii="Times" w:hAnsi="Times"/>
        </w:rPr>
        <w:t xml:space="preserve">In the first place, </w:t>
      </w:r>
      <w:r w:rsidR="00FF4CA6" w:rsidRPr="00926216">
        <w:rPr>
          <w:rFonts w:ascii="Times" w:hAnsi="Times"/>
        </w:rPr>
        <w:t xml:space="preserve">this </w:t>
      </w:r>
      <w:r w:rsidR="0067074D" w:rsidRPr="00926216">
        <w:rPr>
          <w:rFonts w:ascii="Times" w:hAnsi="Times"/>
        </w:rPr>
        <w:t>a</w:t>
      </w:r>
      <w:r w:rsidR="00682A9B" w:rsidRPr="00926216">
        <w:rPr>
          <w:rFonts w:ascii="Times" w:hAnsi="Times"/>
        </w:rPr>
        <w:t xml:space="preserve">ssistance should come from states </w:t>
      </w:r>
      <w:r w:rsidR="00184CB2" w:rsidRPr="00926216">
        <w:rPr>
          <w:rFonts w:ascii="Times" w:hAnsi="Times"/>
        </w:rPr>
        <w:t>since</w:t>
      </w:r>
      <w:r w:rsidR="00682A9B" w:rsidRPr="00926216">
        <w:rPr>
          <w:rFonts w:ascii="Times" w:hAnsi="Times"/>
        </w:rPr>
        <w:t xml:space="preserve"> the suffering caused by mass atrocities goes beyond the victimisation of individuals and includes the destruction of wider human and social relations.</w:t>
      </w:r>
      <w:r w:rsidR="00682A9B" w:rsidRPr="00926216">
        <w:rPr>
          <w:rStyle w:val="FootnoteReference"/>
          <w:rFonts w:ascii="Times" w:hAnsi="Times"/>
        </w:rPr>
        <w:footnoteReference w:id="157"/>
      </w:r>
      <w:r w:rsidR="00682A9B" w:rsidRPr="00926216">
        <w:rPr>
          <w:rFonts w:ascii="Times" w:hAnsi="Times"/>
        </w:rPr>
        <w:t xml:space="preserve"> The state is in a much better position to address the needs of a post-conflict society as a whole rather than a piecemeal approach of individual localised projects. For example, rather than providing training for rape victim counsellors, the state needs to rebuild the whole health, education, employment and social benefit system. This reconstruction is a political question, not a judicial one, and therefore should be dealt with by the national government and not an international court. </w:t>
      </w:r>
      <w:r w:rsidRPr="00926216">
        <w:rPr>
          <w:rFonts w:ascii="Times" w:hAnsi="Times"/>
        </w:rPr>
        <w:t xml:space="preserve">In the likely case that a state might not be willing or able to set up a comparable national body, it is the then international community who needs to step in to generate assistance to the victims. Indeed, at the Rome conference it was initially proposed to have the Fund administered by the UN to avoid the risk that </w:t>
      </w:r>
      <w:r w:rsidR="00C47E31" w:rsidRPr="00926216">
        <w:rPr>
          <w:rFonts w:ascii="Times" w:hAnsi="Times"/>
        </w:rPr>
        <w:t>it</w:t>
      </w:r>
      <w:r w:rsidRPr="00926216">
        <w:rPr>
          <w:rFonts w:ascii="Times" w:hAnsi="Times"/>
        </w:rPr>
        <w:t xml:space="preserve"> might impair on the impartiality of the Court. It was however the disillusion with UN administration and the fear that </w:t>
      </w:r>
      <w:r w:rsidR="006C642B" w:rsidRPr="00926216">
        <w:rPr>
          <w:rFonts w:ascii="Times" w:hAnsi="Times"/>
        </w:rPr>
        <w:t>this</w:t>
      </w:r>
      <w:r w:rsidRPr="00926216">
        <w:rPr>
          <w:rFonts w:ascii="Times" w:hAnsi="Times"/>
        </w:rPr>
        <w:t xml:space="preserve"> might lead to </w:t>
      </w:r>
      <w:r w:rsidRPr="00926216">
        <w:rPr>
          <w:rFonts w:ascii="Times" w:hAnsi="Times"/>
          <w:color w:val="000000"/>
        </w:rPr>
        <w:t>increased bureaucracy and less effectiveness that in the end the idea was dropped.</w:t>
      </w:r>
      <w:r w:rsidRPr="00926216">
        <w:rPr>
          <w:rStyle w:val="FootnoteReference"/>
          <w:rFonts w:ascii="Times" w:hAnsi="Times"/>
        </w:rPr>
        <w:footnoteReference w:id="158"/>
      </w:r>
      <w:r w:rsidRPr="00926216">
        <w:rPr>
          <w:rFonts w:ascii="Times" w:hAnsi="Times"/>
          <w:color w:val="000000"/>
        </w:rPr>
        <w:t xml:space="preserve"> The flaws of UN administration </w:t>
      </w:r>
      <w:r w:rsidR="00BA3374" w:rsidRPr="00926216">
        <w:rPr>
          <w:rFonts w:ascii="Times" w:hAnsi="Times"/>
          <w:color w:val="000000"/>
        </w:rPr>
        <w:t>are</w:t>
      </w:r>
      <w:r w:rsidRPr="00926216">
        <w:rPr>
          <w:rFonts w:ascii="Times" w:hAnsi="Times"/>
          <w:color w:val="000000"/>
        </w:rPr>
        <w:t xml:space="preserve"> however no justification to give the task to a criminal court.</w:t>
      </w:r>
    </w:p>
    <w:p w14:paraId="1E2481DD" w14:textId="4F6989D7" w:rsidR="00E56DD1" w:rsidRDefault="005344AC" w:rsidP="00D429DF">
      <w:pPr>
        <w:spacing w:before="100" w:beforeAutospacing="1" w:after="100" w:afterAutospacing="1"/>
        <w:contextualSpacing/>
        <w:rPr>
          <w:rFonts w:ascii="Times" w:hAnsi="Times"/>
          <w:color w:val="548DD4" w:themeColor="text2" w:themeTint="99"/>
        </w:rPr>
      </w:pPr>
      <w:r w:rsidRPr="00926216">
        <w:rPr>
          <w:rFonts w:ascii="Times" w:hAnsi="Times"/>
        </w:rPr>
        <w:t xml:space="preserve">The ICC is only one part in the range of international and national responses to gross human rights violations. Due to its </w:t>
      </w:r>
      <w:r w:rsidRPr="00926216">
        <w:t>financial and jurisdictional limitations it will only ever be a symbolic court that can only deal with a small part of atrocities.</w:t>
      </w:r>
      <w:r w:rsidRPr="00926216">
        <w:rPr>
          <w:rStyle w:val="FootnoteReference"/>
        </w:rPr>
        <w:footnoteReference w:id="159"/>
      </w:r>
      <w:r w:rsidRPr="00926216">
        <w:t xml:space="preserve"> But this symbolic value depends on the legitimacy </w:t>
      </w:r>
      <w:r w:rsidRPr="00926216">
        <w:rPr>
          <w:color w:val="000000" w:themeColor="text1"/>
        </w:rPr>
        <w:t xml:space="preserve">of the Court and its procedures. </w:t>
      </w:r>
      <w:r w:rsidRPr="00926216">
        <w:rPr>
          <w:rFonts w:ascii="Times" w:hAnsi="Times"/>
          <w:color w:val="000000" w:themeColor="text1"/>
        </w:rPr>
        <w:t xml:space="preserve">The general assistance mandate is not only a drain on scarce resources but more importantly, severely impacts on the legitimacy the Court. </w:t>
      </w:r>
      <w:r w:rsidR="0026244C" w:rsidRPr="00926216">
        <w:rPr>
          <w:rFonts w:ascii="Times" w:hAnsi="Times"/>
          <w:color w:val="000000" w:themeColor="text1"/>
        </w:rPr>
        <w:t>N</w:t>
      </w:r>
      <w:r w:rsidRPr="00926216">
        <w:rPr>
          <w:rFonts w:ascii="Times" w:hAnsi="Times"/>
          <w:color w:val="000000" w:themeColor="text1"/>
        </w:rPr>
        <w:t xml:space="preserve">eeds-based assistance </w:t>
      </w:r>
      <w:r w:rsidR="0026244C" w:rsidRPr="00926216">
        <w:rPr>
          <w:rFonts w:ascii="Times" w:hAnsi="Times"/>
          <w:color w:val="000000" w:themeColor="text1"/>
        </w:rPr>
        <w:t>for</w:t>
      </w:r>
      <w:r w:rsidRPr="00926216">
        <w:rPr>
          <w:rFonts w:ascii="Times" w:hAnsi="Times"/>
          <w:color w:val="000000" w:themeColor="text1"/>
        </w:rPr>
        <w:t xml:space="preserve"> victims and the justice mandate of the ICC </w:t>
      </w:r>
      <w:r w:rsidR="0026244C" w:rsidRPr="00926216">
        <w:rPr>
          <w:rFonts w:ascii="Times" w:hAnsi="Times"/>
          <w:color w:val="000000" w:themeColor="text1"/>
        </w:rPr>
        <w:t>are</w:t>
      </w:r>
      <w:r w:rsidRPr="00926216">
        <w:rPr>
          <w:rFonts w:ascii="Times" w:hAnsi="Times"/>
          <w:color w:val="000000" w:themeColor="text1"/>
        </w:rPr>
        <w:t xml:space="preserve"> incompatible and therefore need to be </w:t>
      </w:r>
      <w:r w:rsidR="0026244C" w:rsidRPr="00926216">
        <w:rPr>
          <w:rFonts w:ascii="Times" w:hAnsi="Times"/>
          <w:color w:val="000000" w:themeColor="text1"/>
        </w:rPr>
        <w:t>institutionally separated</w:t>
      </w:r>
      <w:r w:rsidRPr="00926216">
        <w:rPr>
          <w:rFonts w:ascii="Times" w:hAnsi="Times"/>
          <w:color w:val="000000" w:themeColor="text1"/>
        </w:rPr>
        <w:t>.</w:t>
      </w:r>
    </w:p>
    <w:p w14:paraId="53EE40B5" w14:textId="77777777" w:rsidR="00730491" w:rsidRPr="00E117A4" w:rsidRDefault="00730491" w:rsidP="00D429DF">
      <w:pPr>
        <w:spacing w:before="100" w:beforeAutospacing="1" w:after="100" w:afterAutospacing="1"/>
        <w:contextualSpacing/>
        <w:rPr>
          <w:rFonts w:ascii="Times" w:hAnsi="Times"/>
          <w:color w:val="548DD4" w:themeColor="text2" w:themeTint="99"/>
        </w:rPr>
      </w:pPr>
    </w:p>
    <w:p w14:paraId="5DE75466" w14:textId="77777777" w:rsidR="00D429DF" w:rsidRPr="00E117A4" w:rsidRDefault="00D429DF">
      <w:pPr>
        <w:spacing w:before="100" w:beforeAutospacing="1" w:after="100" w:afterAutospacing="1"/>
        <w:contextualSpacing/>
        <w:rPr>
          <w:rFonts w:ascii="Times" w:hAnsi="Times"/>
          <w:color w:val="548DD4" w:themeColor="text2" w:themeTint="99"/>
        </w:rPr>
      </w:pPr>
    </w:p>
    <w:sectPr w:rsidR="00D429DF" w:rsidRPr="00E117A4">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DB43D" w14:textId="77777777" w:rsidR="00BC3C64" w:rsidRDefault="00BC3C64" w:rsidP="00C4478F">
      <w:r>
        <w:separator/>
      </w:r>
    </w:p>
  </w:endnote>
  <w:endnote w:type="continuationSeparator" w:id="0">
    <w:p w14:paraId="4BC19C5B" w14:textId="77777777" w:rsidR="00BC3C64" w:rsidRDefault="00BC3C64" w:rsidP="00C4478F">
      <w:r>
        <w:continuationSeparator/>
      </w:r>
    </w:p>
  </w:endnote>
  <w:endnote w:type="continuationNotice" w:id="1">
    <w:p w14:paraId="3082BB72" w14:textId="77777777" w:rsidR="00BC3C64" w:rsidRDefault="00BC3C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Light">
    <w:altName w:val="Arial Unicode MS"/>
    <w:charset w:val="00"/>
    <w:family w:val="auto"/>
    <w:pitch w:val="variable"/>
    <w:sig w:usb0="00000003" w:usb1="7800205A" w:usb2="14600000" w:usb3="00000000" w:csb0="00000193" w:csb1="00000000"/>
  </w:font>
  <w:font w:name="TimesNewRomanPSMT">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Baskerville-Roman">
    <w:altName w:val="MS Gothic"/>
    <w:panose1 w:val="00000000000000000000"/>
    <w:charset w:val="80"/>
    <w:family w:val="roman"/>
    <w:notTrueType/>
    <w:pitch w:val="default"/>
    <w:sig w:usb0="00000001" w:usb1="08070000" w:usb2="00000010" w:usb3="00000000" w:csb0="00020000" w:csb1="00000000"/>
  </w:font>
  <w:font w:name="NewBaskerville-Italic">
    <w:altName w:val="MS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0DE56" w14:textId="77777777" w:rsidR="00B7522E" w:rsidRDefault="00B7522E" w:rsidP="005A322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FE7A02" w14:textId="77777777" w:rsidR="00B7522E" w:rsidRDefault="00B7522E" w:rsidP="00A145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F4BDB" w14:textId="77777777" w:rsidR="00B7522E" w:rsidRDefault="00B7522E" w:rsidP="005A322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57A1">
      <w:rPr>
        <w:rStyle w:val="PageNumber"/>
        <w:noProof/>
      </w:rPr>
      <w:t>17</w:t>
    </w:r>
    <w:r>
      <w:rPr>
        <w:rStyle w:val="PageNumber"/>
      </w:rPr>
      <w:fldChar w:fldCharType="end"/>
    </w:r>
  </w:p>
  <w:p w14:paraId="4E5DBAE4" w14:textId="77777777" w:rsidR="00B7522E" w:rsidRDefault="00B7522E" w:rsidP="00A145D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E0FCE" w14:textId="77777777" w:rsidR="00BC3C64" w:rsidRDefault="00BC3C64" w:rsidP="00C4478F">
      <w:r>
        <w:separator/>
      </w:r>
    </w:p>
  </w:footnote>
  <w:footnote w:type="continuationSeparator" w:id="0">
    <w:p w14:paraId="45A7764B" w14:textId="77777777" w:rsidR="00BC3C64" w:rsidRDefault="00BC3C64" w:rsidP="00C4478F">
      <w:r>
        <w:continuationSeparator/>
      </w:r>
    </w:p>
  </w:footnote>
  <w:footnote w:type="continuationNotice" w:id="1">
    <w:p w14:paraId="63ABB4F6" w14:textId="77777777" w:rsidR="00BC3C64" w:rsidRDefault="00BC3C64"/>
  </w:footnote>
  <w:footnote w:id="2">
    <w:p w14:paraId="71C2EB28" w14:textId="62C373E0" w:rsidR="00B7522E" w:rsidRPr="00FC1781" w:rsidRDefault="00B7522E" w:rsidP="00290A4E">
      <w:pPr>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For example, it is estimated that the five year </w:t>
      </w:r>
      <w:proofErr w:type="spellStart"/>
      <w:r w:rsidRPr="00FC1781">
        <w:rPr>
          <w:color w:val="000000" w:themeColor="text1"/>
          <w:sz w:val="20"/>
          <w:szCs w:val="20"/>
        </w:rPr>
        <w:t>Ituri</w:t>
      </w:r>
      <w:proofErr w:type="spellEnd"/>
      <w:r w:rsidRPr="00FC1781">
        <w:rPr>
          <w:color w:val="000000" w:themeColor="text1"/>
          <w:sz w:val="20"/>
          <w:szCs w:val="20"/>
        </w:rPr>
        <w:t xml:space="preserve"> war in DRC has killed 60,000 civilians in just two years, UN Integrated Regional Information Network, DRC: Special Report on </w:t>
      </w:r>
      <w:proofErr w:type="spellStart"/>
      <w:r w:rsidRPr="00FC1781">
        <w:rPr>
          <w:color w:val="000000" w:themeColor="text1"/>
          <w:sz w:val="20"/>
          <w:szCs w:val="20"/>
        </w:rPr>
        <w:t>Ituri</w:t>
      </w:r>
      <w:proofErr w:type="spellEnd"/>
      <w:r w:rsidRPr="00FC1781">
        <w:rPr>
          <w:color w:val="000000" w:themeColor="text1"/>
          <w:sz w:val="20"/>
          <w:szCs w:val="20"/>
        </w:rPr>
        <w:t xml:space="preserve"> District, North-eastern DRC, UN Security Council Report s/2004/573, </w:t>
      </w:r>
      <w:r w:rsidRPr="00FC1781">
        <w:rPr>
          <w:bCs/>
          <w:color w:val="000000" w:themeColor="text1"/>
          <w:sz w:val="20"/>
          <w:szCs w:val="20"/>
        </w:rPr>
        <w:t>16</w:t>
      </w:r>
      <w:r w:rsidRPr="00FC1781">
        <w:rPr>
          <w:b/>
          <w:bCs/>
          <w:color w:val="000000" w:themeColor="text1"/>
          <w:sz w:val="20"/>
          <w:szCs w:val="20"/>
        </w:rPr>
        <w:t xml:space="preserve"> </w:t>
      </w:r>
      <w:r w:rsidRPr="00FC1781">
        <w:rPr>
          <w:color w:val="000000" w:themeColor="text1"/>
          <w:sz w:val="20"/>
          <w:szCs w:val="20"/>
        </w:rPr>
        <w:t>July 2004, 4. Over 600,000 people are estimated to have been displaced in the post-election violence in Kenya between December 2007 and February 2008, Human Rights Watch, ‘</w:t>
      </w:r>
      <w:r w:rsidRPr="00FC1781">
        <w:rPr>
          <w:bCs/>
          <w:color w:val="000000" w:themeColor="text1"/>
          <w:sz w:val="20"/>
          <w:szCs w:val="20"/>
        </w:rPr>
        <w:t>Kenya: Fresh Evidence of Election-Period Abuses’ (25</w:t>
      </w:r>
      <w:r w:rsidRPr="00FC1781">
        <w:rPr>
          <w:color w:val="000000" w:themeColor="text1"/>
          <w:sz w:val="20"/>
          <w:szCs w:val="20"/>
          <w:shd w:val="clear" w:color="auto" w:fill="FFFFFF"/>
        </w:rPr>
        <w:t xml:space="preserve"> February 2018) available at www.hrw.org/news/2018/02/25/kenya-fresh-evidence-election-period-abuses.</w:t>
      </w:r>
    </w:p>
  </w:footnote>
  <w:footnote w:id="3">
    <w:p w14:paraId="4EDD032F" w14:textId="06E03ADF" w:rsidR="00B7522E" w:rsidRPr="00FC1781" w:rsidRDefault="00B7522E" w:rsidP="00290A4E">
      <w:pPr>
        <w:pStyle w:val="FootnoteText"/>
        <w:rPr>
          <w:color w:val="000000" w:themeColor="text1"/>
          <w:sz w:val="20"/>
          <w:szCs w:val="20"/>
        </w:rPr>
      </w:pPr>
      <w:r w:rsidRPr="00FC1781">
        <w:rPr>
          <w:rStyle w:val="FootnoteReference"/>
          <w:rFonts w:eastAsiaTheme="majorEastAsia"/>
          <w:color w:val="000000" w:themeColor="text1"/>
          <w:sz w:val="20"/>
          <w:szCs w:val="20"/>
        </w:rPr>
        <w:footnoteRef/>
      </w:r>
      <w:r w:rsidRPr="00FC1781">
        <w:rPr>
          <w:color w:val="000000" w:themeColor="text1"/>
          <w:sz w:val="20"/>
          <w:szCs w:val="20"/>
        </w:rPr>
        <w:t xml:space="preserve"> C. McCarthy, ‘The Rome Statute’s Regime of Victim Redress – Challenges and Perspectives’, in C. </w:t>
      </w:r>
      <w:proofErr w:type="spellStart"/>
      <w:r w:rsidRPr="00FC1781">
        <w:rPr>
          <w:color w:val="000000" w:themeColor="text1"/>
          <w:sz w:val="20"/>
          <w:szCs w:val="20"/>
        </w:rPr>
        <w:t>Stahn</w:t>
      </w:r>
      <w:proofErr w:type="spellEnd"/>
      <w:r w:rsidRPr="00FC1781">
        <w:rPr>
          <w:color w:val="000000" w:themeColor="text1"/>
          <w:sz w:val="20"/>
          <w:szCs w:val="20"/>
        </w:rPr>
        <w:t xml:space="preserve"> (ed.), </w:t>
      </w:r>
      <w:r w:rsidRPr="00FC1781">
        <w:rPr>
          <w:i/>
          <w:color w:val="000000" w:themeColor="text1"/>
          <w:sz w:val="20"/>
          <w:szCs w:val="20"/>
        </w:rPr>
        <w:t>The Law and Practice of the International Criminal Court</w:t>
      </w:r>
      <w:r w:rsidRPr="00FC1781">
        <w:rPr>
          <w:color w:val="000000" w:themeColor="text1"/>
          <w:sz w:val="20"/>
          <w:szCs w:val="20"/>
        </w:rPr>
        <w:t xml:space="preserve"> (2015), at 1215.</w:t>
      </w:r>
    </w:p>
  </w:footnote>
  <w:footnote w:id="4">
    <w:p w14:paraId="0FCFEEF4" w14:textId="1ED9EACE" w:rsidR="00B7522E" w:rsidRPr="00FC1781" w:rsidRDefault="00B7522E" w:rsidP="00290A4E">
      <w:pPr>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w:t>
      </w:r>
      <w:r w:rsidRPr="00FC1781">
        <w:rPr>
          <w:color w:val="000000" w:themeColor="text1"/>
          <w:sz w:val="20"/>
          <w:szCs w:val="20"/>
          <w:shd w:val="clear" w:color="auto" w:fill="FFFFFF"/>
        </w:rPr>
        <w:t xml:space="preserve">M. Wierda and P. de </w:t>
      </w:r>
      <w:proofErr w:type="spellStart"/>
      <w:r w:rsidRPr="00FC1781">
        <w:rPr>
          <w:color w:val="000000" w:themeColor="text1"/>
          <w:sz w:val="20"/>
          <w:szCs w:val="20"/>
          <w:shd w:val="clear" w:color="auto" w:fill="FFFFFF"/>
        </w:rPr>
        <w:t>Greiff</w:t>
      </w:r>
      <w:proofErr w:type="spellEnd"/>
      <w:r w:rsidRPr="00FC1781">
        <w:rPr>
          <w:color w:val="000000" w:themeColor="text1"/>
          <w:sz w:val="20"/>
          <w:szCs w:val="20"/>
          <w:shd w:val="clear" w:color="auto" w:fill="FFFFFF"/>
        </w:rPr>
        <w:t>, '</w:t>
      </w:r>
      <w:r w:rsidRPr="00FC1781">
        <w:rPr>
          <w:bCs/>
          <w:color w:val="000000" w:themeColor="text1"/>
          <w:sz w:val="20"/>
          <w:szCs w:val="20"/>
        </w:rPr>
        <w:t>Reparations and the International Criminal Court: A Prospective Role</w:t>
      </w:r>
      <w:r w:rsidRPr="00FC1781">
        <w:rPr>
          <w:color w:val="000000" w:themeColor="text1"/>
          <w:sz w:val="20"/>
          <w:szCs w:val="20"/>
          <w:shd w:val="clear" w:color="auto" w:fill="FFFFFF"/>
        </w:rPr>
        <w:t> for the </w:t>
      </w:r>
      <w:r w:rsidRPr="00FC1781">
        <w:rPr>
          <w:bCs/>
          <w:color w:val="000000" w:themeColor="text1"/>
          <w:sz w:val="20"/>
          <w:szCs w:val="20"/>
        </w:rPr>
        <w:t>Trust Fund for Victims</w:t>
      </w:r>
      <w:r w:rsidRPr="00FC1781">
        <w:rPr>
          <w:color w:val="000000" w:themeColor="text1"/>
          <w:sz w:val="20"/>
          <w:szCs w:val="20"/>
          <w:shd w:val="clear" w:color="auto" w:fill="FFFFFF"/>
        </w:rPr>
        <w:t>', Report for the International Centre for Transitional Justice, January 2004, available at: ictj.org/sites/default/files/ICTJ-Global-ICC-TrustFund-2004-English.pdf.</w:t>
      </w:r>
    </w:p>
  </w:footnote>
  <w:footnote w:id="5">
    <w:p w14:paraId="6957A2A3" w14:textId="1CE7AA24" w:rsidR="00B7522E" w:rsidRPr="00FC1781" w:rsidRDefault="00B7522E" w:rsidP="00290A4E">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P.G. Fischer, The </w:t>
      </w:r>
      <w:r w:rsidRPr="00FC1781">
        <w:rPr>
          <w:bCs/>
          <w:color w:val="000000" w:themeColor="text1"/>
          <w:sz w:val="20"/>
          <w:szCs w:val="20"/>
        </w:rPr>
        <w:t>Victims</w:t>
      </w:r>
      <w:r w:rsidRPr="00FC1781">
        <w:rPr>
          <w:color w:val="000000" w:themeColor="text1"/>
          <w:sz w:val="20"/>
          <w:szCs w:val="20"/>
        </w:rPr>
        <w:t xml:space="preserve">' </w:t>
      </w:r>
      <w:r w:rsidRPr="00FC1781">
        <w:rPr>
          <w:bCs/>
          <w:color w:val="000000" w:themeColor="text1"/>
          <w:sz w:val="20"/>
          <w:szCs w:val="20"/>
        </w:rPr>
        <w:t>Trust Fund</w:t>
      </w:r>
      <w:r w:rsidRPr="00FC1781">
        <w:rPr>
          <w:b/>
          <w:bCs/>
          <w:color w:val="000000" w:themeColor="text1"/>
          <w:sz w:val="20"/>
          <w:szCs w:val="20"/>
        </w:rPr>
        <w:t xml:space="preserve"> </w:t>
      </w:r>
      <w:r w:rsidRPr="00FC1781">
        <w:rPr>
          <w:color w:val="000000" w:themeColor="text1"/>
          <w:sz w:val="20"/>
          <w:szCs w:val="20"/>
        </w:rPr>
        <w:t>of the International Criminal Court—Formation of A Functional Reparations Scheme, (2003) 17 Emory Int'l L. Rev. 187, at 195.</w:t>
      </w:r>
    </w:p>
  </w:footnote>
  <w:footnote w:id="6">
    <w:p w14:paraId="4A50FF0B" w14:textId="77C89237" w:rsidR="00B7522E" w:rsidRPr="00FC1781" w:rsidRDefault="00B7522E" w:rsidP="00290A4E">
      <w:pPr>
        <w:pStyle w:val="FootnoteText"/>
        <w:rPr>
          <w:sz w:val="20"/>
          <w:szCs w:val="20"/>
        </w:rPr>
      </w:pPr>
      <w:r w:rsidRPr="00FC1781">
        <w:rPr>
          <w:rStyle w:val="FootnoteReference"/>
          <w:sz w:val="20"/>
          <w:szCs w:val="20"/>
        </w:rPr>
        <w:footnoteRef/>
      </w:r>
      <w:r w:rsidRPr="00FC1781">
        <w:rPr>
          <w:sz w:val="20"/>
          <w:szCs w:val="20"/>
        </w:rPr>
        <w:t xml:space="preserve"> Art. </w:t>
      </w:r>
      <w:r w:rsidRPr="00FC1781">
        <w:rPr>
          <w:color w:val="000000" w:themeColor="text1"/>
          <w:sz w:val="20"/>
          <w:szCs w:val="20"/>
        </w:rPr>
        <w:t>13 Declaration of Basic Principles of Justice for Victims of Crime and Abuse of Power, A/RES/40/34 (29 Nov 1985).</w:t>
      </w:r>
      <w:r w:rsidRPr="00FC1781">
        <w:rPr>
          <w:sz w:val="20"/>
          <w:szCs w:val="20"/>
        </w:rPr>
        <w:t xml:space="preserve"> Specific trust funds set up by the UN itself include the UN Voluntary Fund for Victims of Torture, UN GA Res 36/151 (16 Dec 1981) and the UN Voluntary Fund on Contemporary Forms of Slavery, </w:t>
      </w:r>
      <w:r w:rsidRPr="00FC1781">
        <w:rPr>
          <w:color w:val="000000" w:themeColor="text1"/>
          <w:sz w:val="20"/>
          <w:szCs w:val="20"/>
        </w:rPr>
        <w:t>GA Res 46/122 (17 Dec 1991).</w:t>
      </w:r>
      <w:r w:rsidRPr="00FC1781">
        <w:rPr>
          <w:sz w:val="20"/>
          <w:szCs w:val="20"/>
        </w:rPr>
        <w:t xml:space="preserve"> An example for a national trust fund is the Austrian General Settlement Fund for Victims of National Socialism, </w:t>
      </w:r>
      <w:r w:rsidRPr="00FC1781">
        <w:rPr>
          <w:color w:val="000000" w:themeColor="text1"/>
          <w:sz w:val="20"/>
          <w:szCs w:val="20"/>
          <w:lang w:val="en-US"/>
        </w:rPr>
        <w:t>www.entschaedigungsfonds.org/home.html.</w:t>
      </w:r>
    </w:p>
  </w:footnote>
  <w:footnote w:id="7">
    <w:p w14:paraId="20552B4E" w14:textId="3F9FF7CF" w:rsidR="00B7522E" w:rsidRPr="00FC1781" w:rsidRDefault="00B7522E" w:rsidP="00290A4E">
      <w:pPr>
        <w:pStyle w:val="FootnoteText"/>
        <w:rPr>
          <w:color w:val="000000" w:themeColor="text1"/>
          <w:sz w:val="20"/>
          <w:szCs w:val="20"/>
        </w:rPr>
      </w:pPr>
      <w:r w:rsidRPr="00FC1781">
        <w:rPr>
          <w:rStyle w:val="FootnoteReference"/>
          <w:rFonts w:eastAsiaTheme="majorEastAsia"/>
          <w:color w:val="000000" w:themeColor="text1"/>
          <w:sz w:val="20"/>
          <w:szCs w:val="20"/>
        </w:rPr>
        <w:footnoteRef/>
      </w:r>
      <w:r w:rsidRPr="00FC1781">
        <w:rPr>
          <w:color w:val="000000" w:themeColor="text1"/>
          <w:sz w:val="20"/>
          <w:szCs w:val="20"/>
        </w:rPr>
        <w:t xml:space="preserve"> W. Schabas, The International Criminal Court – A Commentary on the Rome Statute (2010) at 909.</w:t>
      </w:r>
    </w:p>
  </w:footnote>
  <w:footnote w:id="8">
    <w:p w14:paraId="25CC2A7D" w14:textId="44327C26" w:rsidR="00B7522E" w:rsidRPr="00FC1781" w:rsidRDefault="00B7522E" w:rsidP="00290A4E">
      <w:pPr>
        <w:pStyle w:val="FootnoteText"/>
        <w:rPr>
          <w:sz w:val="20"/>
          <w:szCs w:val="20"/>
        </w:rPr>
      </w:pPr>
      <w:r w:rsidRPr="00FC1781">
        <w:rPr>
          <w:rStyle w:val="FootnoteReference"/>
          <w:color w:val="000000" w:themeColor="text1"/>
          <w:sz w:val="20"/>
          <w:szCs w:val="20"/>
        </w:rPr>
        <w:footnoteRef/>
      </w:r>
      <w:r w:rsidRPr="00FC1781">
        <w:rPr>
          <w:color w:val="000000" w:themeColor="text1"/>
          <w:sz w:val="20"/>
          <w:szCs w:val="20"/>
        </w:rPr>
        <w:t xml:space="preserve"> L. </w:t>
      </w:r>
      <w:proofErr w:type="spellStart"/>
      <w:r w:rsidRPr="00FC1781">
        <w:rPr>
          <w:color w:val="000000" w:themeColor="text1"/>
          <w:sz w:val="20"/>
          <w:szCs w:val="20"/>
        </w:rPr>
        <w:t>Moffet</w:t>
      </w:r>
      <w:proofErr w:type="spellEnd"/>
      <w:r w:rsidRPr="00FC1781">
        <w:rPr>
          <w:color w:val="000000" w:themeColor="text1"/>
          <w:sz w:val="20"/>
          <w:szCs w:val="20"/>
        </w:rPr>
        <w:t>, ‘Reparations for Victims at the International Criminal Court: A New Way Forward?’ (2017) The International Journal of Human Rights 21(9), 1204 at 1209.</w:t>
      </w:r>
    </w:p>
  </w:footnote>
  <w:footnote w:id="9">
    <w:p w14:paraId="38B469C7" w14:textId="6ADA819E" w:rsidR="00B7522E" w:rsidRPr="00FC1781" w:rsidRDefault="00B7522E" w:rsidP="00290A4E">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P.J. Dixon, ‘Reparations, Assistance and the Experience of Justice: Lessons from Columbia and the Democratic Republic of the Congo’ (2016) 10/1 International Journal of Transitional Justice 88, at 92.</w:t>
      </w:r>
    </w:p>
  </w:footnote>
  <w:footnote w:id="10">
    <w:p w14:paraId="7C4ABF4C" w14:textId="124142E0" w:rsidR="00B7522E" w:rsidRPr="00FC1781" w:rsidRDefault="00B7522E" w:rsidP="00290A4E">
      <w:pPr>
        <w:pStyle w:val="FootnoteText"/>
        <w:rPr>
          <w:color w:val="000000" w:themeColor="text1"/>
          <w:sz w:val="20"/>
          <w:szCs w:val="20"/>
        </w:rPr>
      </w:pPr>
      <w:r w:rsidRPr="00FC1781">
        <w:rPr>
          <w:rStyle w:val="FootnoteReference"/>
          <w:rFonts w:eastAsiaTheme="majorEastAsia"/>
          <w:color w:val="000000" w:themeColor="text1"/>
          <w:sz w:val="20"/>
          <w:szCs w:val="20"/>
        </w:rPr>
        <w:footnoteRef/>
      </w:r>
      <w:r w:rsidRPr="00FC1781">
        <w:rPr>
          <w:color w:val="000000" w:themeColor="text1"/>
          <w:sz w:val="20"/>
          <w:szCs w:val="20"/>
        </w:rPr>
        <w:t xml:space="preserve"> See McCarthy, supra note 2, at 1215.</w:t>
      </w:r>
    </w:p>
  </w:footnote>
  <w:footnote w:id="11">
    <w:p w14:paraId="2AA4EF82" w14:textId="77777777" w:rsidR="00B7522E" w:rsidRPr="00FC1781" w:rsidRDefault="00B7522E" w:rsidP="00892954">
      <w:pPr>
        <w:pStyle w:val="NormalWeb"/>
        <w:spacing w:before="0" w:beforeAutospacing="0" w:after="0" w:afterAutospacing="0"/>
        <w:rPr>
          <w:sz w:val="20"/>
          <w:szCs w:val="20"/>
        </w:rPr>
      </w:pPr>
      <w:r w:rsidRPr="00FC1781">
        <w:rPr>
          <w:rStyle w:val="FootnoteReference"/>
          <w:sz w:val="20"/>
          <w:szCs w:val="20"/>
        </w:rPr>
        <w:footnoteRef/>
      </w:r>
      <w:r w:rsidRPr="00FC1781">
        <w:rPr>
          <w:sz w:val="20"/>
          <w:szCs w:val="20"/>
        </w:rPr>
        <w:t xml:space="preserve"> The Prosecutor v. Thomas Lubanga </w:t>
      </w:r>
      <w:proofErr w:type="spellStart"/>
      <w:r w:rsidRPr="00FC1781">
        <w:rPr>
          <w:sz w:val="20"/>
          <w:szCs w:val="20"/>
        </w:rPr>
        <w:t>Dyilo</w:t>
      </w:r>
      <w:proofErr w:type="spellEnd"/>
      <w:r w:rsidRPr="00FC1781">
        <w:rPr>
          <w:sz w:val="20"/>
          <w:szCs w:val="20"/>
        </w:rPr>
        <w:t>, Warrant of Arrest, ICC-01/04-01/06, 10 February 2006, at 4.</w:t>
      </w:r>
    </w:p>
  </w:footnote>
  <w:footnote w:id="12">
    <w:p w14:paraId="165417F7" w14:textId="1D2605F5" w:rsidR="00B7522E" w:rsidRPr="00FC1781" w:rsidRDefault="00B7522E" w:rsidP="00E117A4">
      <w:pPr>
        <w:autoSpaceDE w:val="0"/>
        <w:autoSpaceDN w:val="0"/>
        <w:adjustRightInd w:val="0"/>
        <w:rPr>
          <w:color w:val="010101"/>
          <w:sz w:val="20"/>
          <w:szCs w:val="20"/>
        </w:rPr>
      </w:pPr>
      <w:r w:rsidRPr="00FC1781">
        <w:rPr>
          <w:rStyle w:val="FootnoteReference"/>
          <w:sz w:val="20"/>
          <w:szCs w:val="20"/>
        </w:rPr>
        <w:footnoteRef/>
      </w:r>
      <w:r w:rsidRPr="00FC1781">
        <w:rPr>
          <w:sz w:val="20"/>
          <w:szCs w:val="20"/>
        </w:rPr>
        <w:t xml:space="preserve"> </w:t>
      </w:r>
      <w:r w:rsidRPr="00FC1781">
        <w:rPr>
          <w:color w:val="000000"/>
          <w:sz w:val="20"/>
          <w:szCs w:val="20"/>
        </w:rPr>
        <w:t xml:space="preserve">Judgment on the appeals of Mr Lubanga </w:t>
      </w:r>
      <w:proofErr w:type="spellStart"/>
      <w:r w:rsidRPr="00FC1781">
        <w:rPr>
          <w:color w:val="000000"/>
          <w:sz w:val="20"/>
          <w:szCs w:val="20"/>
        </w:rPr>
        <w:t>Dyilo</w:t>
      </w:r>
      <w:proofErr w:type="spellEnd"/>
      <w:r w:rsidRPr="00FC1781">
        <w:rPr>
          <w:color w:val="000000"/>
          <w:sz w:val="20"/>
          <w:szCs w:val="20"/>
        </w:rPr>
        <w:t xml:space="preserve"> and the Prosecutor against the Decision of Trial Chamber I of 14 July 2009 entitled “Decision giving notice to the parties and participants that the legal characterisation of the facts may be subject to change in accordance with Regulation 55(2) of the Regulations of the Court”, 8 December 2009, </w:t>
      </w:r>
      <w:r w:rsidRPr="00FC1781">
        <w:rPr>
          <w:color w:val="010101"/>
          <w:sz w:val="20"/>
          <w:szCs w:val="20"/>
        </w:rPr>
        <w:t>ICC-01/04-01/06-2205.</w:t>
      </w:r>
    </w:p>
  </w:footnote>
  <w:footnote w:id="13">
    <w:p w14:paraId="43FC8808" w14:textId="0BD08410" w:rsidR="00B7522E" w:rsidRPr="00FC1781" w:rsidRDefault="00B7522E" w:rsidP="00290A4E">
      <w:pPr>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See Moffett, supra note 7, at 1207.</w:t>
      </w:r>
    </w:p>
  </w:footnote>
  <w:footnote w:id="14">
    <w:p w14:paraId="13D46350" w14:textId="7B17D90C" w:rsidR="00B7522E" w:rsidRPr="00FC1781" w:rsidRDefault="00B7522E" w:rsidP="00290A4E">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The Court made three reparation orders in 2017. In the Lubanga case, t</w:t>
      </w:r>
      <w:r w:rsidRPr="00FC1781">
        <w:rPr>
          <w:color w:val="000000" w:themeColor="text1"/>
          <w:sz w:val="20"/>
          <w:szCs w:val="20"/>
          <w:shd w:val="clear" w:color="auto" w:fill="FFFFFF"/>
        </w:rPr>
        <w:t>he Chamber awarded collective reparations of the total amount of USD 10,000,000; in the Al Mahdi case, the Trial Chamber awarded 2.7 million euros in expenses for individual and collective reparations for the community of Timbuktu and in the Katanga case the Trial Chamber the reparation order amounted to $1,000,000 USD.</w:t>
      </w:r>
    </w:p>
  </w:footnote>
  <w:footnote w:id="15">
    <w:p w14:paraId="5DB23742" w14:textId="4E87A6C4" w:rsidR="00B7522E" w:rsidRPr="00FC1781" w:rsidRDefault="00B7522E" w:rsidP="00290A4E">
      <w:pPr>
        <w:pStyle w:val="NormalWeb"/>
        <w:spacing w:before="0" w:beforeAutospacing="0" w:after="0" w:afterAutospacing="0"/>
        <w:rPr>
          <w:sz w:val="20"/>
          <w:szCs w:val="20"/>
        </w:rPr>
      </w:pPr>
      <w:r w:rsidRPr="00FC1781">
        <w:rPr>
          <w:rStyle w:val="FootnoteReference"/>
          <w:color w:val="000000" w:themeColor="text1"/>
          <w:sz w:val="20"/>
          <w:szCs w:val="20"/>
        </w:rPr>
        <w:footnoteRef/>
      </w:r>
      <w:r w:rsidRPr="00FC1781">
        <w:rPr>
          <w:color w:val="000000" w:themeColor="text1"/>
          <w:sz w:val="20"/>
          <w:szCs w:val="20"/>
        </w:rPr>
        <w:t xml:space="preserve"> </w:t>
      </w:r>
      <w:r w:rsidRPr="00FC1781">
        <w:rPr>
          <w:iCs/>
          <w:color w:val="000000" w:themeColor="text1"/>
          <w:sz w:val="20"/>
          <w:szCs w:val="20"/>
        </w:rPr>
        <w:t xml:space="preserve">N. </w:t>
      </w:r>
      <w:proofErr w:type="spellStart"/>
      <w:r w:rsidRPr="00FC1781">
        <w:rPr>
          <w:iCs/>
          <w:color w:val="000000" w:themeColor="text1"/>
          <w:sz w:val="20"/>
          <w:szCs w:val="20"/>
        </w:rPr>
        <w:t>Roht-Arriaza</w:t>
      </w:r>
      <w:proofErr w:type="spellEnd"/>
      <w:r w:rsidRPr="00FC1781">
        <w:rPr>
          <w:iCs/>
          <w:color w:val="000000" w:themeColor="text1"/>
          <w:sz w:val="20"/>
          <w:szCs w:val="20"/>
        </w:rPr>
        <w:t xml:space="preserve"> and K. </w:t>
      </w:r>
      <w:proofErr w:type="spellStart"/>
      <w:r w:rsidRPr="00FC1781">
        <w:rPr>
          <w:iCs/>
          <w:color w:val="000000" w:themeColor="text1"/>
          <w:sz w:val="20"/>
          <w:szCs w:val="20"/>
        </w:rPr>
        <w:t>Orlovsky</w:t>
      </w:r>
      <w:proofErr w:type="spellEnd"/>
      <w:r w:rsidRPr="00FC1781">
        <w:rPr>
          <w:iCs/>
          <w:color w:val="000000" w:themeColor="text1"/>
          <w:sz w:val="20"/>
          <w:szCs w:val="20"/>
        </w:rPr>
        <w:t>, ‘</w:t>
      </w:r>
      <w:r w:rsidRPr="00FC1781">
        <w:rPr>
          <w:color w:val="000000" w:themeColor="text1"/>
          <w:sz w:val="20"/>
          <w:szCs w:val="20"/>
        </w:rPr>
        <w:t xml:space="preserve">A Complementary Relationship: Reparations and Development’ </w:t>
      </w:r>
      <w:proofErr w:type="gramStart"/>
      <w:r w:rsidRPr="00FC1781">
        <w:rPr>
          <w:color w:val="000000" w:themeColor="text1"/>
          <w:sz w:val="20"/>
          <w:szCs w:val="20"/>
        </w:rPr>
        <w:t>in:</w:t>
      </w:r>
      <w:proofErr w:type="gramEnd"/>
      <w:r w:rsidRPr="00FC1781">
        <w:rPr>
          <w:color w:val="000000" w:themeColor="text1"/>
          <w:sz w:val="20"/>
          <w:szCs w:val="20"/>
        </w:rPr>
        <w:t xml:space="preserve"> Pablo de </w:t>
      </w:r>
      <w:proofErr w:type="spellStart"/>
      <w:r w:rsidRPr="00FC1781">
        <w:rPr>
          <w:color w:val="000000" w:themeColor="text1"/>
          <w:sz w:val="20"/>
          <w:szCs w:val="20"/>
        </w:rPr>
        <w:t>Greiff</w:t>
      </w:r>
      <w:proofErr w:type="spellEnd"/>
      <w:r w:rsidRPr="00FC1781">
        <w:rPr>
          <w:color w:val="000000" w:themeColor="text1"/>
          <w:sz w:val="20"/>
          <w:szCs w:val="20"/>
        </w:rPr>
        <w:t xml:space="preserve"> and Roger Duthie</w:t>
      </w:r>
      <w:r w:rsidRPr="00FC1781">
        <w:rPr>
          <w:iCs/>
          <w:color w:val="000000" w:themeColor="text1"/>
          <w:sz w:val="20"/>
          <w:szCs w:val="20"/>
        </w:rPr>
        <w:t xml:space="preserve"> (eds)</w:t>
      </w:r>
      <w:r w:rsidRPr="00FC1781">
        <w:rPr>
          <w:i/>
          <w:iCs/>
          <w:color w:val="000000" w:themeColor="text1"/>
          <w:sz w:val="20"/>
          <w:szCs w:val="20"/>
        </w:rPr>
        <w:t xml:space="preserve"> Transitional Justice and Development - Making Connections </w:t>
      </w:r>
      <w:r w:rsidRPr="00FC1781">
        <w:rPr>
          <w:color w:val="000000" w:themeColor="text1"/>
          <w:sz w:val="20"/>
          <w:szCs w:val="20"/>
        </w:rPr>
        <w:t>(2009) at 201.</w:t>
      </w:r>
    </w:p>
  </w:footnote>
  <w:footnote w:id="16">
    <w:p w14:paraId="6137EFE1" w14:textId="77777777" w:rsidR="00B7522E" w:rsidRPr="00FC1781" w:rsidRDefault="00B7522E" w:rsidP="00290A4E">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Regulations of the Trust Fund for Victims, ICC-ASP/4/Res.3 (3 Dec 2005) Reg 42.</w:t>
      </w:r>
    </w:p>
  </w:footnote>
  <w:footnote w:id="17">
    <w:p w14:paraId="1F2295F8" w14:textId="1CD102ED" w:rsidR="00B7522E" w:rsidRPr="00FC1781" w:rsidRDefault="00B7522E" w:rsidP="00290A4E">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See Dixon supra note 8, at 102.</w:t>
      </w:r>
    </w:p>
  </w:footnote>
  <w:footnote w:id="18">
    <w:p w14:paraId="15C99351" w14:textId="130607D1" w:rsidR="00B7522E" w:rsidRPr="00FC1781" w:rsidRDefault="00B7522E" w:rsidP="00290A4E">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See Dixon supra note 8, at 88.</w:t>
      </w:r>
    </w:p>
  </w:footnote>
  <w:footnote w:id="19">
    <w:p w14:paraId="48657529" w14:textId="77777777" w:rsidR="00B7522E" w:rsidRPr="00FC1781" w:rsidRDefault="00B7522E" w:rsidP="00290A4E">
      <w:pPr>
        <w:pStyle w:val="FootnoteText"/>
        <w:rPr>
          <w:sz w:val="20"/>
          <w:szCs w:val="20"/>
        </w:rPr>
      </w:pPr>
      <w:r w:rsidRPr="00FC1781">
        <w:rPr>
          <w:rStyle w:val="FootnoteReference"/>
          <w:sz w:val="20"/>
          <w:szCs w:val="20"/>
        </w:rPr>
        <w:footnoteRef/>
      </w:r>
      <w:r w:rsidRPr="00FC1781">
        <w:rPr>
          <w:sz w:val="20"/>
          <w:szCs w:val="20"/>
        </w:rPr>
        <w:t xml:space="preserve"> </w:t>
      </w:r>
      <w:r w:rsidRPr="00FC1781">
        <w:rPr>
          <w:color w:val="000000" w:themeColor="text1"/>
          <w:sz w:val="20"/>
          <w:szCs w:val="20"/>
        </w:rPr>
        <w:t>Notification of Board of Directors 25 Jan 2008, ICC-02/04-114, para 49.</w:t>
      </w:r>
    </w:p>
  </w:footnote>
  <w:footnote w:id="20">
    <w:p w14:paraId="7AAB0D0B" w14:textId="48633D32" w:rsidR="00B7522E" w:rsidRPr="00FC1781" w:rsidRDefault="00B7522E" w:rsidP="00290A4E">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ibid. at para 56.</w:t>
      </w:r>
    </w:p>
  </w:footnote>
  <w:footnote w:id="21">
    <w:p w14:paraId="063E782F" w14:textId="2757C889" w:rsidR="00B7522E" w:rsidRPr="00FC1781" w:rsidRDefault="00B7522E" w:rsidP="00290A4E">
      <w:pPr>
        <w:pStyle w:val="FootnoteText"/>
        <w:rPr>
          <w:sz w:val="20"/>
          <w:szCs w:val="20"/>
        </w:rPr>
      </w:pPr>
      <w:r w:rsidRPr="00FC1781">
        <w:rPr>
          <w:rStyle w:val="FootnoteReference"/>
          <w:sz w:val="20"/>
          <w:szCs w:val="20"/>
        </w:rPr>
        <w:footnoteRef/>
      </w:r>
      <w:r w:rsidRPr="00FC1781">
        <w:rPr>
          <w:sz w:val="20"/>
          <w:szCs w:val="20"/>
        </w:rPr>
        <w:t xml:space="preserve"> ICC-ASP/4/Res.3 Regulations of the Trust Fund for Victims Rules 67 and 71.</w:t>
      </w:r>
    </w:p>
  </w:footnote>
  <w:footnote w:id="22">
    <w:p w14:paraId="327EFE51" w14:textId="322FE696" w:rsidR="00B7522E" w:rsidRPr="00FC1781" w:rsidRDefault="00B7522E" w:rsidP="00290A4E">
      <w:pPr>
        <w:autoSpaceDE w:val="0"/>
        <w:autoSpaceDN w:val="0"/>
        <w:adjustRightInd w:val="0"/>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TFV Programme Framework (2009-2012) </w:t>
      </w:r>
      <w:r w:rsidRPr="00FC1781">
        <w:rPr>
          <w:bCs/>
          <w:color w:val="000000" w:themeColor="text1"/>
          <w:sz w:val="20"/>
          <w:szCs w:val="20"/>
        </w:rPr>
        <w:t>Programme Progress Report Summer 2012 - Empowering victims and communities towards social change, www.trustfundforvictims.org/sites/default/files/imce/TFV%20PPR%20Summer%202012%20ENG%20Final_.pdf, p33</w:t>
      </w:r>
      <w:r w:rsidRPr="00FC1781">
        <w:rPr>
          <w:color w:val="000000" w:themeColor="text1"/>
          <w:sz w:val="20"/>
          <w:szCs w:val="20"/>
        </w:rPr>
        <w:t>.</w:t>
      </w:r>
    </w:p>
  </w:footnote>
  <w:footnote w:id="23">
    <w:p w14:paraId="7E0F64EC" w14:textId="30E422DA" w:rsidR="00B7522E" w:rsidRPr="00FC1781" w:rsidRDefault="00B7522E" w:rsidP="00290A4E">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TFV Strategic Report 2014-2017, 6.</w:t>
      </w:r>
    </w:p>
  </w:footnote>
  <w:footnote w:id="24">
    <w:p w14:paraId="2F9FA953" w14:textId="44514337" w:rsidR="00B7522E" w:rsidRPr="00FC1781" w:rsidRDefault="00B7522E" w:rsidP="00290A4E">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M. Noguchi, Report of the Board of Directors of the Trust Fund for Victims, 4 December 2017, 7.</w:t>
      </w:r>
    </w:p>
  </w:footnote>
  <w:footnote w:id="25">
    <w:p w14:paraId="1B2F9046" w14:textId="53F30BEA" w:rsidR="00B7522E" w:rsidRPr="00FC1781" w:rsidRDefault="00B7522E" w:rsidP="00290A4E">
      <w:pPr>
        <w:pStyle w:val="FootnoteText"/>
        <w:rPr>
          <w:color w:val="000000" w:themeColor="text1"/>
          <w:sz w:val="20"/>
          <w:szCs w:val="20"/>
        </w:rPr>
      </w:pPr>
      <w:r w:rsidRPr="00FC1781">
        <w:rPr>
          <w:rStyle w:val="FootnoteReference"/>
          <w:rFonts w:eastAsiaTheme="majorEastAsia"/>
          <w:color w:val="000000" w:themeColor="text1"/>
          <w:sz w:val="20"/>
          <w:szCs w:val="20"/>
        </w:rPr>
        <w:footnoteRef/>
      </w:r>
      <w:r w:rsidRPr="00FC1781">
        <w:rPr>
          <w:color w:val="000000" w:themeColor="text1"/>
          <w:sz w:val="20"/>
          <w:szCs w:val="20"/>
        </w:rPr>
        <w:t xml:space="preserve"> See Schabas supra note 6, at 915.</w:t>
      </w:r>
    </w:p>
  </w:footnote>
  <w:footnote w:id="26">
    <w:p w14:paraId="0521E7C7" w14:textId="77777777" w:rsidR="00B7522E" w:rsidRPr="00FC1781" w:rsidRDefault="00B7522E" w:rsidP="00290A4E">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Notification of Board of Directors 25 Jan 2008, ICC-02/04-114, para 58.</w:t>
      </w:r>
    </w:p>
  </w:footnote>
  <w:footnote w:id="27">
    <w:p w14:paraId="00C55F2A" w14:textId="77777777" w:rsidR="00B7522E" w:rsidRPr="00FC1781" w:rsidRDefault="00B7522E" w:rsidP="00290A4E">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TFV Notification Uganda, para 26.</w:t>
      </w:r>
    </w:p>
  </w:footnote>
  <w:footnote w:id="28">
    <w:p w14:paraId="113A2E40" w14:textId="77777777" w:rsidR="00B7522E" w:rsidRPr="00FC1781" w:rsidRDefault="00B7522E" w:rsidP="00290A4E">
      <w:pPr>
        <w:pStyle w:val="NormalWeb"/>
        <w:spacing w:before="0" w:beforeAutospacing="0" w:after="0" w:afterAutospacing="0"/>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Regulations of the Trust Fund for Victims, ICC-ASP/4/Res.3 (3 Dec 2005). </w:t>
      </w:r>
    </w:p>
  </w:footnote>
  <w:footnote w:id="29">
    <w:p w14:paraId="000CFD0F" w14:textId="77777777" w:rsidR="00B7522E" w:rsidRPr="00FC1781" w:rsidRDefault="00B7522E" w:rsidP="00290A4E">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Victims Legal Representative , </w:t>
      </w:r>
      <w:r w:rsidRPr="00FC1781">
        <w:rPr>
          <w:color w:val="000000" w:themeColor="text1"/>
          <w:sz w:val="20"/>
          <w:szCs w:val="20"/>
          <w:lang w:eastAsia="en-US"/>
        </w:rPr>
        <w:t xml:space="preserve">Situation in the Democratic Republic of Congo, Observations of the Legal Representative of Victims a/0016/06, a/0018/06, a/0021/06, a/0025/06, a/0028/06, a/0031/06, a/0032/06, a/0034/06, a/0042/06, a/0044/06, a/0045/06, a/0142/06, a/0148/06, a/0150/06, a/0188/06, a/0199/06 and a/0228/06 on the Notification of the Board of Directors of the Trust Fund for Victims </w:t>
      </w:r>
      <w:r w:rsidRPr="00FC1781">
        <w:rPr>
          <w:color w:val="000000" w:themeColor="text1"/>
          <w:sz w:val="20"/>
          <w:szCs w:val="20"/>
        </w:rPr>
        <w:t xml:space="preserve">, </w:t>
      </w:r>
      <w:r w:rsidRPr="00FC1781">
        <w:rPr>
          <w:color w:val="000000" w:themeColor="text1"/>
          <w:sz w:val="20"/>
          <w:szCs w:val="20"/>
          <w:lang w:eastAsia="en-US"/>
        </w:rPr>
        <w:t xml:space="preserve">ICC-01/04-461 (20 Feb 2008) </w:t>
      </w:r>
      <w:r w:rsidRPr="00FC1781">
        <w:rPr>
          <w:color w:val="000000" w:themeColor="text1"/>
          <w:sz w:val="20"/>
          <w:szCs w:val="20"/>
        </w:rPr>
        <w:t>at para 5.</w:t>
      </w:r>
    </w:p>
  </w:footnote>
  <w:footnote w:id="30">
    <w:p w14:paraId="0D54D795" w14:textId="739B2FDC" w:rsidR="00B7522E" w:rsidRPr="00FC1781" w:rsidRDefault="00B7522E" w:rsidP="00290A4E">
      <w:pPr>
        <w:pStyle w:val="FootnoteText"/>
        <w:rPr>
          <w:color w:val="000000" w:themeColor="text1"/>
          <w:sz w:val="20"/>
          <w:szCs w:val="20"/>
        </w:rPr>
      </w:pPr>
      <w:r w:rsidRPr="00FC1781">
        <w:rPr>
          <w:rStyle w:val="FootnoteReference"/>
          <w:rFonts w:eastAsiaTheme="majorEastAsia"/>
          <w:color w:val="000000" w:themeColor="text1"/>
          <w:sz w:val="20"/>
          <w:szCs w:val="20"/>
        </w:rPr>
        <w:footnoteRef/>
      </w:r>
      <w:r w:rsidRPr="00FC1781">
        <w:rPr>
          <w:color w:val="000000" w:themeColor="text1"/>
          <w:sz w:val="20"/>
          <w:szCs w:val="20"/>
        </w:rPr>
        <w:t xml:space="preserve"> </w:t>
      </w:r>
      <w:r w:rsidRPr="00FC1781">
        <w:rPr>
          <w:sz w:val="20"/>
          <w:szCs w:val="20"/>
        </w:rPr>
        <w:t xml:space="preserve">Schabas points out that the Trust Fund acts ‘rather like a humanitarian non-governmental organisation in an environment that is largely independent of the judicial process’. See </w:t>
      </w:r>
      <w:r w:rsidRPr="00FC1781">
        <w:rPr>
          <w:color w:val="000000" w:themeColor="text1"/>
          <w:sz w:val="20"/>
          <w:szCs w:val="20"/>
        </w:rPr>
        <w:t>Schabas supra note 6, at 909.</w:t>
      </w:r>
    </w:p>
  </w:footnote>
  <w:footnote w:id="31">
    <w:p w14:paraId="118B9D47" w14:textId="351F9C5F" w:rsidR="00B7522E" w:rsidRPr="00FC1781" w:rsidRDefault="00B7522E" w:rsidP="00290A4E">
      <w:pPr>
        <w:pStyle w:val="FootnoteText"/>
        <w:rPr>
          <w:color w:val="FF0000"/>
          <w:sz w:val="20"/>
          <w:szCs w:val="20"/>
        </w:rPr>
      </w:pPr>
      <w:r w:rsidRPr="00FC1781">
        <w:rPr>
          <w:rStyle w:val="FootnoteReference"/>
          <w:sz w:val="20"/>
          <w:szCs w:val="20"/>
        </w:rPr>
        <w:footnoteRef/>
      </w:r>
      <w:r w:rsidRPr="00FC1781">
        <w:rPr>
          <w:sz w:val="20"/>
          <w:szCs w:val="20"/>
        </w:rPr>
        <w:t xml:space="preserve"> See </w:t>
      </w:r>
      <w:r w:rsidRPr="00FC1781">
        <w:rPr>
          <w:color w:val="000000" w:themeColor="text1"/>
          <w:sz w:val="20"/>
          <w:szCs w:val="20"/>
        </w:rPr>
        <w:t xml:space="preserve">Schabas supra note 6, at 914; </w:t>
      </w:r>
      <w:r w:rsidRPr="00FC1781">
        <w:rPr>
          <w:sz w:val="20"/>
          <w:szCs w:val="20"/>
        </w:rPr>
        <w:t>The Trust Fund for Victims 2010 Programme Progress Report, ‘Learning from the TFV’s Second Mandate: From Implementing Rehabilitation Assistance to Reparations’ available at: www.trustfundforvictims.org/sites/default/files/imce/TFV%20Programme%20Report%20Fall%202010.pdf at 4.</w:t>
      </w:r>
    </w:p>
  </w:footnote>
  <w:footnote w:id="32">
    <w:p w14:paraId="341D7639" w14:textId="5967190D" w:rsidR="00B7522E" w:rsidRPr="00FC1781" w:rsidRDefault="00B7522E" w:rsidP="00290A4E">
      <w:pPr>
        <w:pStyle w:val="FootnoteText"/>
        <w:rPr>
          <w:sz w:val="20"/>
          <w:szCs w:val="20"/>
        </w:rPr>
      </w:pPr>
      <w:r w:rsidRPr="00FC1781">
        <w:rPr>
          <w:rStyle w:val="FootnoteReference"/>
          <w:sz w:val="20"/>
          <w:szCs w:val="20"/>
        </w:rPr>
        <w:footnoteRef/>
      </w:r>
      <w:r w:rsidRPr="00FC1781">
        <w:rPr>
          <w:sz w:val="20"/>
          <w:szCs w:val="20"/>
        </w:rPr>
        <w:t xml:space="preserve"> </w:t>
      </w:r>
      <w:r w:rsidRPr="00FC1781">
        <w:rPr>
          <w:color w:val="000000" w:themeColor="text1"/>
          <w:sz w:val="20"/>
          <w:szCs w:val="20"/>
        </w:rPr>
        <w:t>See Moffett supra note 7, at 1205.</w:t>
      </w:r>
    </w:p>
  </w:footnote>
  <w:footnote w:id="33">
    <w:p w14:paraId="752EECF5" w14:textId="77777777" w:rsidR="00B7522E" w:rsidRPr="00FC1781" w:rsidRDefault="00B7522E" w:rsidP="00290A4E">
      <w:pPr>
        <w:rPr>
          <w:sz w:val="20"/>
          <w:szCs w:val="20"/>
        </w:rPr>
      </w:pPr>
      <w:r w:rsidRPr="00FC1781">
        <w:rPr>
          <w:rStyle w:val="FootnoteReference"/>
          <w:sz w:val="20"/>
          <w:szCs w:val="20"/>
        </w:rPr>
        <w:footnoteRef/>
      </w:r>
      <w:r w:rsidRPr="00FC1781">
        <w:rPr>
          <w:sz w:val="20"/>
          <w:szCs w:val="20"/>
        </w:rPr>
        <w:t xml:space="preserve"> Report to the Assembly of States Parties on the activities and projects of the Board of Directors of the Trust Fund for Victims 2003-2004 29 July 2004 ICC-ASP/3/14, Annex A.</w:t>
      </w:r>
    </w:p>
  </w:footnote>
  <w:footnote w:id="34">
    <w:p w14:paraId="3D959BD9" w14:textId="77777777" w:rsidR="00B7522E" w:rsidRPr="00FC1781" w:rsidRDefault="00B7522E" w:rsidP="00290A4E">
      <w:pPr>
        <w:rPr>
          <w:sz w:val="20"/>
          <w:szCs w:val="20"/>
        </w:rPr>
      </w:pPr>
      <w:r w:rsidRPr="00FC1781">
        <w:rPr>
          <w:rStyle w:val="FootnoteReference"/>
          <w:sz w:val="20"/>
          <w:szCs w:val="20"/>
        </w:rPr>
        <w:footnoteRef/>
      </w:r>
      <w:r w:rsidRPr="00FC1781">
        <w:rPr>
          <w:sz w:val="20"/>
          <w:szCs w:val="20"/>
        </w:rPr>
        <w:t xml:space="preserve"> Resolution ICC-ASP/4/Res.3 Annex.</w:t>
      </w:r>
    </w:p>
  </w:footnote>
  <w:footnote w:id="35">
    <w:p w14:paraId="41C61709" w14:textId="2DFE15BC" w:rsidR="00B7522E" w:rsidRPr="00FC1781" w:rsidRDefault="00B7522E" w:rsidP="00290A4E">
      <w:pPr>
        <w:pStyle w:val="FootnoteText"/>
        <w:rPr>
          <w:sz w:val="20"/>
          <w:szCs w:val="20"/>
        </w:rPr>
      </w:pPr>
      <w:r w:rsidRPr="00FC1781">
        <w:rPr>
          <w:rStyle w:val="FootnoteReference"/>
          <w:sz w:val="20"/>
          <w:szCs w:val="20"/>
        </w:rPr>
        <w:footnoteRef/>
      </w:r>
      <w:r w:rsidRPr="00FC1781">
        <w:rPr>
          <w:sz w:val="20"/>
          <w:szCs w:val="20"/>
        </w:rPr>
        <w:t xml:space="preserve"> www.trustfundforvictims.org/en/about/two-mandates-tfv.</w:t>
      </w:r>
    </w:p>
  </w:footnote>
  <w:footnote w:id="36">
    <w:p w14:paraId="1A1295CE" w14:textId="09F852CE" w:rsidR="00B7522E" w:rsidRPr="00FC1781" w:rsidRDefault="00B7522E" w:rsidP="00290A4E">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w:t>
      </w:r>
      <w:r w:rsidRPr="00FC1781">
        <w:rPr>
          <w:sz w:val="20"/>
          <w:szCs w:val="20"/>
        </w:rPr>
        <w:t xml:space="preserve">Art. </w:t>
      </w:r>
      <w:r w:rsidRPr="00FC1781">
        <w:rPr>
          <w:color w:val="000000" w:themeColor="text1"/>
          <w:sz w:val="20"/>
          <w:szCs w:val="20"/>
        </w:rPr>
        <w:t xml:space="preserve">79(2) </w:t>
      </w:r>
      <w:r w:rsidRPr="00FC1781">
        <w:rPr>
          <w:sz w:val="20"/>
          <w:szCs w:val="20"/>
        </w:rPr>
        <w:t xml:space="preserve">Rome </w:t>
      </w:r>
      <w:r w:rsidRPr="00FC1781">
        <w:rPr>
          <w:color w:val="000000" w:themeColor="text1"/>
          <w:sz w:val="20"/>
          <w:szCs w:val="20"/>
        </w:rPr>
        <w:t>Statute.</w:t>
      </w:r>
    </w:p>
  </w:footnote>
  <w:footnote w:id="37">
    <w:p w14:paraId="5609CD76" w14:textId="1C00F1D4" w:rsidR="00B7522E" w:rsidRPr="00FC1781" w:rsidRDefault="00B7522E" w:rsidP="00290A4E">
      <w:pPr>
        <w:pStyle w:val="FootnoteText"/>
        <w:rPr>
          <w:color w:val="000000" w:themeColor="text1"/>
          <w:sz w:val="20"/>
          <w:szCs w:val="20"/>
          <w:lang w:val="en-US"/>
        </w:rPr>
      </w:pPr>
      <w:r w:rsidRPr="00FC1781">
        <w:rPr>
          <w:rStyle w:val="FootnoteReference"/>
          <w:rFonts w:eastAsiaTheme="majorEastAsia"/>
          <w:color w:val="000000" w:themeColor="text1"/>
          <w:sz w:val="20"/>
          <w:szCs w:val="20"/>
        </w:rPr>
        <w:footnoteRef/>
      </w:r>
      <w:r w:rsidRPr="00FC1781">
        <w:rPr>
          <w:color w:val="000000" w:themeColor="text1"/>
          <w:sz w:val="20"/>
          <w:szCs w:val="20"/>
        </w:rPr>
        <w:t xml:space="preserve"> </w:t>
      </w:r>
      <w:r w:rsidRPr="00FC1781">
        <w:rPr>
          <w:sz w:val="20"/>
          <w:szCs w:val="20"/>
        </w:rPr>
        <w:t xml:space="preserve">C. </w:t>
      </w:r>
      <w:proofErr w:type="spellStart"/>
      <w:r w:rsidRPr="00FC1781">
        <w:rPr>
          <w:sz w:val="20"/>
          <w:szCs w:val="20"/>
        </w:rPr>
        <w:t>Ferstman</w:t>
      </w:r>
      <w:proofErr w:type="spellEnd"/>
      <w:r w:rsidRPr="00FC1781">
        <w:rPr>
          <w:sz w:val="20"/>
          <w:szCs w:val="20"/>
        </w:rPr>
        <w:t>, ‘The International Court’s Trust Fund for Victims: Challenges and Opportunities’ (2003) 6 Yearbook of International Humanitarian Law 424, at</w:t>
      </w:r>
      <w:r w:rsidRPr="00FC1781">
        <w:rPr>
          <w:color w:val="000000" w:themeColor="text1"/>
          <w:sz w:val="20"/>
          <w:szCs w:val="20"/>
          <w:lang w:val="en-US"/>
        </w:rPr>
        <w:t xml:space="preserve"> 430.</w:t>
      </w:r>
    </w:p>
  </w:footnote>
  <w:footnote w:id="38">
    <w:p w14:paraId="083F0E42" w14:textId="77777777" w:rsidR="00B7522E" w:rsidRPr="00FC1781" w:rsidRDefault="00B7522E" w:rsidP="00290A4E">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No.: ICC</w:t>
      </w:r>
      <w:r w:rsidRPr="00FC1781">
        <w:rPr>
          <w:b/>
          <w:color w:val="000000" w:themeColor="text1"/>
          <w:sz w:val="20"/>
          <w:szCs w:val="20"/>
        </w:rPr>
        <w:t>-</w:t>
      </w:r>
      <w:r w:rsidRPr="00FC1781">
        <w:rPr>
          <w:bCs/>
          <w:color w:val="000000" w:themeColor="text1"/>
          <w:sz w:val="20"/>
          <w:szCs w:val="20"/>
        </w:rPr>
        <w:t>RoC85-01/13 Date</w:t>
      </w:r>
      <w:r w:rsidRPr="00FC1781">
        <w:rPr>
          <w:color w:val="000000" w:themeColor="text1"/>
          <w:sz w:val="20"/>
          <w:szCs w:val="20"/>
        </w:rPr>
        <w:t xml:space="preserve">: </w:t>
      </w:r>
      <w:r w:rsidRPr="00FC1781">
        <w:rPr>
          <w:bCs/>
          <w:color w:val="000000" w:themeColor="text1"/>
          <w:sz w:val="20"/>
          <w:szCs w:val="20"/>
        </w:rPr>
        <w:t>21 October 2014 Request for reconsideration of decision ICC-RoC85-01/13-21.</w:t>
      </w:r>
    </w:p>
  </w:footnote>
  <w:footnote w:id="39">
    <w:p w14:paraId="7612A894" w14:textId="19F28ED0" w:rsidR="00B7522E" w:rsidRPr="00FC1781" w:rsidRDefault="00B7522E" w:rsidP="00290A4E">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See Moffett supra note 7, at 1209.</w:t>
      </w:r>
    </w:p>
  </w:footnote>
  <w:footnote w:id="40">
    <w:p w14:paraId="44DA3538" w14:textId="77777777" w:rsidR="00B7522E" w:rsidRPr="00FC1781" w:rsidRDefault="00B7522E" w:rsidP="00290A4E">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No.: ICC</w:t>
      </w:r>
      <w:r w:rsidRPr="00FC1781">
        <w:rPr>
          <w:b/>
          <w:color w:val="000000" w:themeColor="text1"/>
          <w:sz w:val="20"/>
          <w:szCs w:val="20"/>
        </w:rPr>
        <w:t>-</w:t>
      </w:r>
      <w:r w:rsidRPr="00FC1781">
        <w:rPr>
          <w:bCs/>
          <w:color w:val="000000" w:themeColor="text1"/>
          <w:sz w:val="20"/>
          <w:szCs w:val="20"/>
        </w:rPr>
        <w:t>RoC85-01/13 Date</w:t>
      </w:r>
      <w:r w:rsidRPr="00FC1781">
        <w:rPr>
          <w:color w:val="000000" w:themeColor="text1"/>
          <w:sz w:val="20"/>
          <w:szCs w:val="20"/>
        </w:rPr>
        <w:t xml:space="preserve">: </w:t>
      </w:r>
      <w:r w:rsidRPr="00FC1781">
        <w:rPr>
          <w:bCs/>
          <w:color w:val="000000" w:themeColor="text1"/>
          <w:sz w:val="20"/>
          <w:szCs w:val="20"/>
        </w:rPr>
        <w:t>21 October 2014 Request for reconsideration of decision ICC-RoC85-01/13-21.</w:t>
      </w:r>
    </w:p>
  </w:footnote>
  <w:footnote w:id="41">
    <w:p w14:paraId="3B82C287" w14:textId="025CA0DA" w:rsidR="00B7522E" w:rsidRPr="00FC1781" w:rsidRDefault="00B7522E" w:rsidP="00290A4E">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ICC-ASP/1/Res 6. para 2(a).</w:t>
      </w:r>
    </w:p>
  </w:footnote>
  <w:footnote w:id="42">
    <w:p w14:paraId="226D92EE" w14:textId="0E20C1C8" w:rsidR="00B7522E" w:rsidRPr="00FC1781" w:rsidRDefault="00B7522E" w:rsidP="00290A4E">
      <w:pPr>
        <w:pStyle w:val="FootnoteText"/>
        <w:rPr>
          <w:color w:val="000000" w:themeColor="text1"/>
          <w:sz w:val="20"/>
          <w:szCs w:val="20"/>
        </w:rPr>
      </w:pPr>
      <w:r w:rsidRPr="00FC1781">
        <w:rPr>
          <w:rStyle w:val="FootnoteReference"/>
          <w:rFonts w:eastAsiaTheme="majorEastAsia"/>
          <w:color w:val="000000" w:themeColor="text1"/>
          <w:sz w:val="20"/>
          <w:szCs w:val="20"/>
        </w:rPr>
        <w:footnoteRef/>
      </w:r>
      <w:r w:rsidRPr="00FC1781">
        <w:rPr>
          <w:color w:val="000000" w:themeColor="text1"/>
          <w:sz w:val="20"/>
          <w:szCs w:val="20"/>
        </w:rPr>
        <w:t xml:space="preserve"> K. A.A. Khan in: O. </w:t>
      </w:r>
      <w:proofErr w:type="spellStart"/>
      <w:r w:rsidRPr="00FC1781">
        <w:rPr>
          <w:color w:val="000000" w:themeColor="text1"/>
          <w:sz w:val="20"/>
          <w:szCs w:val="20"/>
        </w:rPr>
        <w:t>Triffterer</w:t>
      </w:r>
      <w:proofErr w:type="spellEnd"/>
      <w:r w:rsidRPr="00FC1781">
        <w:rPr>
          <w:color w:val="000000" w:themeColor="text1"/>
          <w:sz w:val="20"/>
          <w:szCs w:val="20"/>
        </w:rPr>
        <w:t xml:space="preserve"> and K. Ambos, ‘</w:t>
      </w:r>
      <w:r w:rsidRPr="00FC1781">
        <w:rPr>
          <w:i/>
          <w:color w:val="000000" w:themeColor="text1"/>
          <w:sz w:val="20"/>
          <w:szCs w:val="20"/>
        </w:rPr>
        <w:t>The Rome Statute of the International Criminal Court – A Commentary</w:t>
      </w:r>
      <w:r w:rsidRPr="00FC1781">
        <w:rPr>
          <w:color w:val="000000" w:themeColor="text1"/>
          <w:sz w:val="20"/>
          <w:szCs w:val="20"/>
        </w:rPr>
        <w:t>’ 3</w:t>
      </w:r>
      <w:r w:rsidRPr="00FC1781">
        <w:rPr>
          <w:color w:val="000000" w:themeColor="text1"/>
          <w:sz w:val="20"/>
          <w:szCs w:val="20"/>
          <w:vertAlign w:val="superscript"/>
        </w:rPr>
        <w:t>rd</w:t>
      </w:r>
      <w:r w:rsidRPr="00FC1781">
        <w:rPr>
          <w:color w:val="000000" w:themeColor="text1"/>
          <w:sz w:val="20"/>
          <w:szCs w:val="20"/>
        </w:rPr>
        <w:t xml:space="preserve"> ed (2016) at 1902.</w:t>
      </w:r>
    </w:p>
  </w:footnote>
  <w:footnote w:id="43">
    <w:p w14:paraId="60AA7ECA" w14:textId="77777777" w:rsidR="00B7522E" w:rsidRPr="00FC1781" w:rsidRDefault="00B7522E" w:rsidP="00290A4E">
      <w:pPr>
        <w:pStyle w:val="FootnoteText"/>
        <w:rPr>
          <w:color w:val="000000" w:themeColor="text1"/>
          <w:sz w:val="20"/>
          <w:szCs w:val="20"/>
        </w:rPr>
      </w:pPr>
      <w:r w:rsidRPr="00FC1781">
        <w:rPr>
          <w:rStyle w:val="FootnoteReference"/>
          <w:rFonts w:eastAsiaTheme="majorEastAsia"/>
          <w:color w:val="000000" w:themeColor="text1"/>
          <w:sz w:val="20"/>
          <w:szCs w:val="20"/>
        </w:rPr>
        <w:footnoteRef/>
      </w:r>
      <w:r w:rsidRPr="00FC1781">
        <w:rPr>
          <w:color w:val="000000" w:themeColor="text1"/>
          <w:sz w:val="20"/>
          <w:szCs w:val="20"/>
        </w:rPr>
        <w:t xml:space="preserve"> ICC-ASP/1/res.6 Annex para 2.</w:t>
      </w:r>
    </w:p>
  </w:footnote>
  <w:footnote w:id="44">
    <w:p w14:paraId="07CEEC6B" w14:textId="77777777" w:rsidR="00B7522E" w:rsidRPr="00FC1781" w:rsidRDefault="00B7522E" w:rsidP="00290A4E">
      <w:pPr>
        <w:pStyle w:val="NormalWeb"/>
        <w:spacing w:before="0" w:beforeAutospacing="0" w:after="0" w:afterAutospacing="0"/>
        <w:rPr>
          <w:sz w:val="20"/>
          <w:szCs w:val="20"/>
        </w:rPr>
      </w:pPr>
      <w:r w:rsidRPr="00FC1781">
        <w:rPr>
          <w:rStyle w:val="FootnoteReference"/>
          <w:color w:val="000000" w:themeColor="text1"/>
          <w:sz w:val="20"/>
          <w:szCs w:val="20"/>
        </w:rPr>
        <w:footnoteRef/>
      </w:r>
      <w:r w:rsidRPr="00FC1781">
        <w:rPr>
          <w:color w:val="000000" w:themeColor="text1"/>
          <w:sz w:val="20"/>
          <w:szCs w:val="20"/>
        </w:rPr>
        <w:t xml:space="preserve"> </w:t>
      </w:r>
      <w:r w:rsidRPr="00FC1781">
        <w:rPr>
          <w:bCs/>
          <w:sz w:val="20"/>
          <w:szCs w:val="20"/>
        </w:rPr>
        <w:t>ICC-ASP/4/Res.3 para 16.</w:t>
      </w:r>
    </w:p>
  </w:footnote>
  <w:footnote w:id="45">
    <w:p w14:paraId="285080F7" w14:textId="77777777" w:rsidR="00B7522E" w:rsidRPr="00FC1781" w:rsidRDefault="00B7522E" w:rsidP="00290A4E">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ICC-ASP/1/res.6 Annex para 11.</w:t>
      </w:r>
    </w:p>
  </w:footnote>
  <w:footnote w:id="46">
    <w:p w14:paraId="3D4D0B39" w14:textId="0EEDB872" w:rsidR="00B7522E" w:rsidRPr="00FC1781" w:rsidRDefault="00B7522E" w:rsidP="00290A4E">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REDRESS </w:t>
      </w:r>
      <w:r w:rsidRPr="00FC1781">
        <w:rPr>
          <w:sz w:val="20"/>
          <w:szCs w:val="20"/>
        </w:rPr>
        <w:t>The International Criminal Court’s Trust Fund for Victims, Analysis and Options for the Development of Further Criteria for the Operation of the Trust Fund for Victims – Discussion Document, December 2003 www.vrwg.org/downloads/publications/02/TFVReport.pdf at</w:t>
      </w:r>
      <w:r w:rsidRPr="00FC1781">
        <w:rPr>
          <w:color w:val="000000" w:themeColor="text1"/>
          <w:sz w:val="20"/>
          <w:szCs w:val="20"/>
        </w:rPr>
        <w:t xml:space="preserve"> 20.</w:t>
      </w:r>
    </w:p>
  </w:footnote>
  <w:footnote w:id="47">
    <w:p w14:paraId="33705122" w14:textId="77777777" w:rsidR="00B7522E" w:rsidRPr="00FC1781" w:rsidRDefault="00B7522E" w:rsidP="00290A4E">
      <w:pPr>
        <w:widowControl w:val="0"/>
        <w:autoSpaceDE w:val="0"/>
        <w:autoSpaceDN w:val="0"/>
        <w:adjustRightInd w:val="0"/>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Official records of the assembly of state parties to the Rome statute of the international criminal court 8-12 September ICC-ASP/2/10, para 40.</w:t>
      </w:r>
    </w:p>
  </w:footnote>
  <w:footnote w:id="48">
    <w:p w14:paraId="76E5512D" w14:textId="77777777" w:rsidR="00B7522E" w:rsidRPr="00FC1781" w:rsidRDefault="00B7522E" w:rsidP="00290A4E">
      <w:pPr>
        <w:pStyle w:val="FootnoteText"/>
        <w:rPr>
          <w:color w:val="000000" w:themeColor="text1"/>
          <w:sz w:val="20"/>
          <w:szCs w:val="20"/>
        </w:rPr>
      </w:pPr>
      <w:r w:rsidRPr="00FC1781">
        <w:rPr>
          <w:rStyle w:val="FootnoteReference"/>
          <w:rFonts w:eastAsiaTheme="majorEastAsia"/>
          <w:color w:val="000000" w:themeColor="text1"/>
          <w:sz w:val="20"/>
          <w:szCs w:val="20"/>
        </w:rPr>
        <w:footnoteRef/>
      </w:r>
      <w:r w:rsidRPr="00FC1781">
        <w:rPr>
          <w:color w:val="000000" w:themeColor="text1"/>
          <w:sz w:val="20"/>
          <w:szCs w:val="20"/>
        </w:rPr>
        <w:t xml:space="preserve"> ICC-ASP/2/10, para 41.</w:t>
      </w:r>
    </w:p>
  </w:footnote>
  <w:footnote w:id="49">
    <w:p w14:paraId="560C0E58" w14:textId="77777777" w:rsidR="00B7522E" w:rsidRPr="00FC1781" w:rsidRDefault="00B7522E" w:rsidP="008F04CD">
      <w:pPr>
        <w:rPr>
          <w:sz w:val="20"/>
          <w:szCs w:val="20"/>
        </w:rPr>
      </w:pPr>
      <w:r w:rsidRPr="00FC1781">
        <w:rPr>
          <w:rStyle w:val="FootnoteReference"/>
          <w:sz w:val="20"/>
          <w:szCs w:val="20"/>
        </w:rPr>
        <w:footnoteRef/>
      </w:r>
      <w:r w:rsidRPr="00FC1781">
        <w:rPr>
          <w:sz w:val="20"/>
          <w:szCs w:val="20"/>
        </w:rPr>
        <w:t xml:space="preserve"> Data for 2015 nominations is not available.</w:t>
      </w:r>
    </w:p>
  </w:footnote>
  <w:footnote w:id="50">
    <w:p w14:paraId="278F3131" w14:textId="77777777" w:rsidR="00B7522E" w:rsidRPr="00FC1781" w:rsidRDefault="00B7522E" w:rsidP="008F04CD">
      <w:pPr>
        <w:rPr>
          <w:sz w:val="20"/>
          <w:szCs w:val="20"/>
        </w:rPr>
      </w:pPr>
      <w:r w:rsidRPr="00FC1781">
        <w:rPr>
          <w:rStyle w:val="FootnoteReference"/>
          <w:sz w:val="20"/>
          <w:szCs w:val="20"/>
        </w:rPr>
        <w:footnoteRef/>
      </w:r>
      <w:r w:rsidRPr="00FC1781">
        <w:rPr>
          <w:sz w:val="20"/>
          <w:szCs w:val="20"/>
        </w:rPr>
        <w:t xml:space="preserve"> Dates of extensions can be seen at Asp information, ‘ICC - Second election of the members of the Board of Directors of the Trust Fund for the benefit of victims’ at: </w:t>
      </w:r>
    </w:p>
    <w:p w14:paraId="3B5EFBDE" w14:textId="77777777" w:rsidR="00B7522E" w:rsidRPr="00FC1781" w:rsidRDefault="000B2336" w:rsidP="008F04CD">
      <w:pPr>
        <w:rPr>
          <w:sz w:val="20"/>
          <w:szCs w:val="20"/>
        </w:rPr>
      </w:pPr>
      <w:hyperlink r:id="rId1" w:history="1">
        <w:r w:rsidR="00B7522E" w:rsidRPr="00FC1781">
          <w:rPr>
            <w:rStyle w:val="Hyperlink"/>
            <w:rFonts w:eastAsiaTheme="majorEastAsia"/>
            <w:sz w:val="20"/>
            <w:szCs w:val="20"/>
          </w:rPr>
          <w:t>https://asp.icc-cpi.int/en_menus/asp/elections/trust%20fund%20for%20victims/2006/Pages/second%20election%20of%20the%20members%20of%20the%20board%20of%20directors%20of%20the%20trust%20fund%20for%20t.aspx</w:t>
        </w:r>
      </w:hyperlink>
      <w:r w:rsidR="00B7522E" w:rsidRPr="00FC1781">
        <w:rPr>
          <w:sz w:val="20"/>
          <w:szCs w:val="20"/>
        </w:rPr>
        <w:t xml:space="preserve"> </w:t>
      </w:r>
    </w:p>
  </w:footnote>
  <w:footnote w:id="51">
    <w:p w14:paraId="1AA0C843" w14:textId="45F00EBA" w:rsidR="00B7522E" w:rsidRPr="00FC1781" w:rsidRDefault="00B7522E" w:rsidP="00E117A4">
      <w:pPr>
        <w:rPr>
          <w:sz w:val="20"/>
          <w:szCs w:val="20"/>
        </w:rPr>
      </w:pPr>
      <w:r w:rsidRPr="00FC1781">
        <w:rPr>
          <w:rStyle w:val="FootnoteReference"/>
          <w:sz w:val="20"/>
          <w:szCs w:val="20"/>
        </w:rPr>
        <w:footnoteRef/>
      </w:r>
      <w:r w:rsidRPr="00FC1781">
        <w:rPr>
          <w:sz w:val="20"/>
          <w:szCs w:val="20"/>
        </w:rPr>
        <w:t xml:space="preserve"> </w:t>
      </w:r>
      <w:r w:rsidRPr="00FC1781">
        <w:rPr>
          <w:sz w:val="20"/>
          <w:szCs w:val="20"/>
          <w:lang w:eastAsia="en-GB"/>
        </w:rPr>
        <w:t xml:space="preserve">The TFV's current Board is composed of the following five members: </w:t>
      </w:r>
      <w:r w:rsidRPr="00FC1781">
        <w:rPr>
          <w:color w:val="000000" w:themeColor="text1"/>
          <w:sz w:val="20"/>
          <w:szCs w:val="20"/>
        </w:rPr>
        <w:t xml:space="preserve">Baroness </w:t>
      </w:r>
      <w:proofErr w:type="spellStart"/>
      <w:r w:rsidRPr="00FC1781">
        <w:rPr>
          <w:color w:val="000000" w:themeColor="text1"/>
          <w:sz w:val="20"/>
          <w:szCs w:val="20"/>
        </w:rPr>
        <w:t>Helić</w:t>
      </w:r>
      <w:proofErr w:type="spellEnd"/>
      <w:r w:rsidRPr="00FC1781">
        <w:rPr>
          <w:color w:val="000000" w:themeColor="text1"/>
          <w:sz w:val="20"/>
          <w:szCs w:val="20"/>
        </w:rPr>
        <w:t xml:space="preserve"> is a Member of the UK House of Lords and works as a defence and foreign policy advisor. </w:t>
      </w:r>
      <w:proofErr w:type="spellStart"/>
      <w:r w:rsidRPr="00FC1781">
        <w:rPr>
          <w:sz w:val="20"/>
          <w:szCs w:val="20"/>
        </w:rPr>
        <w:t>Gocha</w:t>
      </w:r>
      <w:proofErr w:type="spellEnd"/>
      <w:r w:rsidRPr="00FC1781">
        <w:rPr>
          <w:sz w:val="20"/>
          <w:szCs w:val="20"/>
        </w:rPr>
        <w:t xml:space="preserve"> </w:t>
      </w:r>
      <w:proofErr w:type="spellStart"/>
      <w:r w:rsidRPr="00FC1781">
        <w:rPr>
          <w:sz w:val="20"/>
          <w:szCs w:val="20"/>
        </w:rPr>
        <w:t>Lortkipanidze</w:t>
      </w:r>
      <w:proofErr w:type="spellEnd"/>
      <w:r w:rsidRPr="00FC1781">
        <w:rPr>
          <w:sz w:val="20"/>
          <w:szCs w:val="20"/>
        </w:rPr>
        <w:t xml:space="preserve"> is the Georgian Deputy Minister of Justice. He was involved in the creation of ICC in 1990s and early 2000s. </w:t>
      </w:r>
      <w:r w:rsidRPr="00FC1781">
        <w:rPr>
          <w:color w:val="000000" w:themeColor="text1"/>
          <w:sz w:val="20"/>
          <w:szCs w:val="20"/>
        </w:rPr>
        <w:t xml:space="preserve">Mama </w:t>
      </w:r>
      <w:proofErr w:type="spellStart"/>
      <w:r w:rsidRPr="00FC1781">
        <w:rPr>
          <w:color w:val="000000" w:themeColor="text1"/>
          <w:sz w:val="20"/>
          <w:szCs w:val="20"/>
        </w:rPr>
        <w:t>Koit</w:t>
      </w:r>
      <w:r w:rsidRPr="00FC1781">
        <w:rPr>
          <w:rStyle w:val="Emphasis"/>
          <w:rFonts w:eastAsiaTheme="majorEastAsia"/>
          <w:i w:val="0"/>
          <w:sz w:val="20"/>
          <w:szCs w:val="20"/>
        </w:rPr>
        <w:t>é</w:t>
      </w:r>
      <w:proofErr w:type="spellEnd"/>
      <w:r w:rsidRPr="00FC1781">
        <w:rPr>
          <w:color w:val="000000" w:themeColor="text1"/>
          <w:sz w:val="20"/>
          <w:szCs w:val="20"/>
        </w:rPr>
        <w:t xml:space="preserve"> Doumbia </w:t>
      </w:r>
      <w:r w:rsidRPr="00FC1781">
        <w:rPr>
          <w:iCs/>
          <w:color w:val="000000" w:themeColor="text1"/>
          <w:sz w:val="20"/>
          <w:szCs w:val="20"/>
        </w:rPr>
        <w:t xml:space="preserve">from Mali is a </w:t>
      </w:r>
      <w:proofErr w:type="gramStart"/>
      <w:r w:rsidRPr="00FC1781">
        <w:rPr>
          <w:iCs/>
          <w:color w:val="000000" w:themeColor="text1"/>
          <w:sz w:val="20"/>
          <w:szCs w:val="20"/>
        </w:rPr>
        <w:t>long standing</w:t>
      </w:r>
      <w:proofErr w:type="gramEnd"/>
      <w:r w:rsidRPr="00FC1781">
        <w:rPr>
          <w:iCs/>
          <w:color w:val="000000" w:themeColor="text1"/>
          <w:sz w:val="20"/>
          <w:szCs w:val="20"/>
        </w:rPr>
        <w:t xml:space="preserve"> trade unionist and is currently a </w:t>
      </w:r>
      <w:r w:rsidRPr="00FC1781">
        <w:rPr>
          <w:color w:val="000000" w:themeColor="text1"/>
          <w:sz w:val="20"/>
          <w:szCs w:val="20"/>
        </w:rPr>
        <w:t>member of the Economic, Social and Cultural Council of the African Union.</w:t>
      </w:r>
      <w:r w:rsidRPr="00FC1781">
        <w:rPr>
          <w:sz w:val="20"/>
          <w:szCs w:val="20"/>
          <w:lang w:eastAsia="en-GB"/>
        </w:rPr>
        <w:t xml:space="preserve"> </w:t>
      </w:r>
      <w:r w:rsidRPr="00FC1781">
        <w:rPr>
          <w:sz w:val="20"/>
          <w:szCs w:val="20"/>
        </w:rPr>
        <w:t xml:space="preserve"> </w:t>
      </w:r>
      <w:r w:rsidRPr="00FC1781">
        <w:rPr>
          <w:sz w:val="20"/>
          <w:szCs w:val="20"/>
          <w:lang w:eastAsia="en-GB"/>
        </w:rPr>
        <w:t xml:space="preserve">H.E. Sheikh Mohammed Belal has been serving as Ambassador of Bangladesh as "Facilitator for the Trust Fund of Victims" for the term 2015-2016. At the time of writing, sadly </w:t>
      </w:r>
      <w:r w:rsidRPr="00FC1781">
        <w:rPr>
          <w:color w:val="000000" w:themeColor="text1"/>
          <w:sz w:val="20"/>
          <w:szCs w:val="20"/>
        </w:rPr>
        <w:t xml:space="preserve">Felipe </w:t>
      </w:r>
      <w:proofErr w:type="spellStart"/>
      <w:r w:rsidRPr="00FC1781">
        <w:rPr>
          <w:color w:val="000000" w:themeColor="text1"/>
          <w:sz w:val="20"/>
          <w:szCs w:val="20"/>
        </w:rPr>
        <w:t>Michelini</w:t>
      </w:r>
      <w:proofErr w:type="spellEnd"/>
      <w:r w:rsidRPr="00FC1781">
        <w:rPr>
          <w:rFonts w:eastAsia="MS Mincho"/>
          <w:color w:val="000000" w:themeColor="text1"/>
          <w:sz w:val="20"/>
          <w:szCs w:val="20"/>
        </w:rPr>
        <w:t xml:space="preserve"> </w:t>
      </w:r>
      <w:r w:rsidRPr="00FC1781">
        <w:rPr>
          <w:iCs/>
          <w:color w:val="000000" w:themeColor="text1"/>
          <w:sz w:val="20"/>
          <w:szCs w:val="20"/>
        </w:rPr>
        <w:t>(Chair) has passed away on 20 April 2020. He was an a</w:t>
      </w:r>
      <w:r w:rsidRPr="00FC1781">
        <w:rPr>
          <w:color w:val="000000" w:themeColor="text1"/>
          <w:sz w:val="20"/>
          <w:szCs w:val="20"/>
        </w:rPr>
        <w:t xml:space="preserve">ttorney and professor who specialised in Human Rights and International Justice </w:t>
      </w:r>
      <w:proofErr w:type="gramStart"/>
      <w:r w:rsidRPr="00FC1781">
        <w:rPr>
          <w:color w:val="000000" w:themeColor="text1"/>
          <w:sz w:val="20"/>
          <w:szCs w:val="20"/>
        </w:rPr>
        <w:t>and also</w:t>
      </w:r>
      <w:proofErr w:type="gramEnd"/>
      <w:r w:rsidRPr="00FC1781">
        <w:rPr>
          <w:color w:val="000000" w:themeColor="text1"/>
          <w:sz w:val="20"/>
          <w:szCs w:val="20"/>
        </w:rPr>
        <w:t xml:space="preserve"> served as Under-Secretary of State, Vice Minister for Education and Culture, and Former Acting Minister for Education and Culture in Uruguay.</w:t>
      </w:r>
    </w:p>
  </w:footnote>
  <w:footnote w:id="52">
    <w:p w14:paraId="70CD08DF" w14:textId="77777777" w:rsidR="00B7522E" w:rsidRPr="00FC1781" w:rsidRDefault="00B7522E" w:rsidP="004D7BFF">
      <w:pPr>
        <w:autoSpaceDE w:val="0"/>
        <w:autoSpaceDN w:val="0"/>
        <w:adjustRightInd w:val="0"/>
        <w:rPr>
          <w:bCs/>
          <w:sz w:val="20"/>
          <w:szCs w:val="20"/>
        </w:rPr>
      </w:pPr>
      <w:r w:rsidRPr="00FC1781">
        <w:rPr>
          <w:rStyle w:val="FootnoteReference"/>
          <w:color w:val="000000" w:themeColor="text1"/>
          <w:sz w:val="20"/>
          <w:szCs w:val="20"/>
        </w:rPr>
        <w:footnoteRef/>
      </w:r>
      <w:r w:rsidRPr="00FC1781">
        <w:rPr>
          <w:color w:val="000000" w:themeColor="text1"/>
          <w:sz w:val="20"/>
          <w:szCs w:val="20"/>
        </w:rPr>
        <w:t xml:space="preserve"> Out of 28 states, 24 are European including small states such as Andorra and Liechtenstein. </w:t>
      </w:r>
      <w:r w:rsidRPr="00FC1781">
        <w:rPr>
          <w:bCs/>
          <w:sz w:val="20"/>
          <w:szCs w:val="20"/>
        </w:rPr>
        <w:t xml:space="preserve">Assembly of States Parties, Eighteenth Session </w:t>
      </w:r>
      <w:r w:rsidRPr="00FC1781">
        <w:rPr>
          <w:sz w:val="20"/>
          <w:szCs w:val="20"/>
        </w:rPr>
        <w:t xml:space="preserve">The Hague, 2-7 December 2019 </w:t>
      </w:r>
      <w:r w:rsidRPr="00FC1781">
        <w:rPr>
          <w:bCs/>
          <w:sz w:val="20"/>
          <w:szCs w:val="20"/>
        </w:rPr>
        <w:t xml:space="preserve">Report to the Assembly of States Parties on the projects and the activities of the Board of Directors of the Trust Fund for Victims for the period 1 July 2018 to 30 June 2019, </w:t>
      </w:r>
      <w:r w:rsidRPr="00FC1781">
        <w:rPr>
          <w:i/>
          <w:iCs/>
          <w:sz w:val="20"/>
          <w:szCs w:val="20"/>
        </w:rPr>
        <w:t xml:space="preserve">Executive Summary </w:t>
      </w:r>
      <w:r w:rsidRPr="00FC1781">
        <w:rPr>
          <w:bCs/>
          <w:sz w:val="20"/>
          <w:szCs w:val="20"/>
        </w:rPr>
        <w:t>ICC-ASP/18/14 (Annex I) 20.</w:t>
      </w:r>
    </w:p>
  </w:footnote>
  <w:footnote w:id="53">
    <w:p w14:paraId="78F336E2" w14:textId="62B3030B" w:rsidR="00B7522E" w:rsidRPr="00FC1781" w:rsidRDefault="00B7522E" w:rsidP="00E117A4">
      <w:pPr>
        <w:pStyle w:val="Default"/>
        <w:rPr>
          <w:bCs/>
          <w:sz w:val="20"/>
          <w:szCs w:val="20"/>
        </w:rPr>
      </w:pPr>
      <w:r w:rsidRPr="00FC1781">
        <w:rPr>
          <w:rStyle w:val="FootnoteReference"/>
          <w:rFonts w:ascii="Times New Roman" w:hAnsi="Times New Roman" w:cs="Times New Roman"/>
          <w:color w:val="000000" w:themeColor="text1"/>
          <w:sz w:val="20"/>
          <w:szCs w:val="20"/>
        </w:rPr>
        <w:footnoteRef/>
      </w:r>
      <w:r w:rsidRPr="00FC1781">
        <w:rPr>
          <w:rFonts w:ascii="Times New Roman" w:hAnsi="Times New Roman" w:cs="Times New Roman"/>
          <w:color w:val="000000" w:themeColor="text1"/>
          <w:sz w:val="20"/>
          <w:szCs w:val="20"/>
        </w:rPr>
        <w:t xml:space="preserve"> </w:t>
      </w:r>
      <w:r w:rsidRPr="00FC1781">
        <w:rPr>
          <w:color w:val="000000" w:themeColor="text1"/>
          <w:sz w:val="20"/>
          <w:szCs w:val="20"/>
        </w:rPr>
        <w:t xml:space="preserve">www.trustfundforvictims.org/en/financial-information.  </w:t>
      </w:r>
    </w:p>
  </w:footnote>
  <w:footnote w:id="54">
    <w:p w14:paraId="4093DA67" w14:textId="77777777" w:rsidR="00B7522E" w:rsidRPr="00FC1781" w:rsidRDefault="00B7522E" w:rsidP="004D7BFF">
      <w:pPr>
        <w:pStyle w:val="FootnoteText"/>
        <w:rPr>
          <w:sz w:val="20"/>
          <w:szCs w:val="20"/>
        </w:rPr>
      </w:pPr>
      <w:r w:rsidRPr="00FC1781">
        <w:rPr>
          <w:rStyle w:val="FootnoteReference"/>
          <w:sz w:val="20"/>
          <w:szCs w:val="20"/>
        </w:rPr>
        <w:footnoteRef/>
      </w:r>
      <w:r w:rsidRPr="00FC1781">
        <w:rPr>
          <w:sz w:val="20"/>
          <w:szCs w:val="20"/>
        </w:rPr>
        <w:t xml:space="preserve"> </w:t>
      </w:r>
      <w:r w:rsidRPr="00FC1781">
        <w:rPr>
          <w:bCs/>
          <w:sz w:val="20"/>
          <w:szCs w:val="20"/>
        </w:rPr>
        <w:t>Report to the Assembly of States Parties on the projects and the activities of the Board of Directors of the Trust Fund for Victims supra note 51.</w:t>
      </w:r>
    </w:p>
  </w:footnote>
  <w:footnote w:id="55">
    <w:p w14:paraId="06A8AE91" w14:textId="69747AE9" w:rsidR="00B7522E" w:rsidRPr="00FC1781" w:rsidRDefault="00B7522E" w:rsidP="00E117A4">
      <w:pPr>
        <w:pStyle w:val="Default"/>
        <w:rPr>
          <w:sz w:val="20"/>
          <w:szCs w:val="20"/>
        </w:rPr>
      </w:pPr>
      <w:r w:rsidRPr="00FC1781">
        <w:rPr>
          <w:rStyle w:val="FootnoteReference"/>
          <w:rFonts w:ascii="Times New Roman" w:hAnsi="Times New Roman" w:cs="Times New Roman"/>
          <w:sz w:val="20"/>
          <w:szCs w:val="20"/>
        </w:rPr>
        <w:footnoteRef/>
      </w:r>
      <w:r w:rsidRPr="00FC1781">
        <w:rPr>
          <w:rFonts w:ascii="Times New Roman" w:hAnsi="Times New Roman" w:cs="Times New Roman"/>
          <w:sz w:val="20"/>
          <w:szCs w:val="20"/>
        </w:rPr>
        <w:t xml:space="preserve"> €149,205,600 </w:t>
      </w:r>
      <w:r w:rsidRPr="00FC1781">
        <w:rPr>
          <w:rFonts w:ascii="Times New Roman" w:hAnsi="Times New Roman" w:cs="Times New Roman"/>
          <w:bCs/>
          <w:sz w:val="20"/>
          <w:szCs w:val="20"/>
        </w:rPr>
        <w:t>Resolution of the Assembly of States Parties on the proposed programme budget for 2020 [</w:t>
      </w:r>
      <w:proofErr w:type="gramStart"/>
      <w:r w:rsidRPr="00FC1781">
        <w:rPr>
          <w:rFonts w:ascii="Times New Roman" w:hAnsi="Times New Roman" w:cs="Times New Roman"/>
          <w:bCs/>
          <w:sz w:val="20"/>
          <w:szCs w:val="20"/>
        </w:rPr>
        <w:t>…]Resolution</w:t>
      </w:r>
      <w:proofErr w:type="gramEnd"/>
      <w:r w:rsidRPr="00FC1781">
        <w:rPr>
          <w:rFonts w:ascii="Times New Roman" w:hAnsi="Times New Roman" w:cs="Times New Roman"/>
          <w:bCs/>
          <w:sz w:val="20"/>
          <w:szCs w:val="20"/>
        </w:rPr>
        <w:t xml:space="preserve"> ICC-ASP/18/Res.1</w:t>
      </w:r>
      <w:r w:rsidRPr="00FC1781">
        <w:rPr>
          <w:rFonts w:ascii="Times New Roman" w:hAnsi="Times New Roman" w:cs="Times New Roman"/>
          <w:iCs/>
          <w:sz w:val="20"/>
          <w:szCs w:val="20"/>
        </w:rPr>
        <w:t>, 6 December 2019, 1.</w:t>
      </w:r>
    </w:p>
  </w:footnote>
  <w:footnote w:id="56">
    <w:p w14:paraId="2891E091" w14:textId="0CCEED38" w:rsidR="00B7522E" w:rsidRPr="00FC1781" w:rsidRDefault="00B7522E">
      <w:pPr>
        <w:pStyle w:val="FootnoteText"/>
        <w:rPr>
          <w:sz w:val="20"/>
          <w:szCs w:val="20"/>
        </w:rPr>
      </w:pPr>
      <w:r w:rsidRPr="00FC1781">
        <w:rPr>
          <w:rStyle w:val="FootnoteReference"/>
          <w:sz w:val="20"/>
          <w:szCs w:val="20"/>
        </w:rPr>
        <w:footnoteRef/>
      </w:r>
      <w:r w:rsidRPr="00FC1781">
        <w:rPr>
          <w:sz w:val="20"/>
          <w:szCs w:val="20"/>
        </w:rPr>
        <w:t xml:space="preserve"> </w:t>
      </w:r>
      <w:r w:rsidRPr="00FC1781">
        <w:rPr>
          <w:bCs/>
          <w:sz w:val="20"/>
          <w:szCs w:val="20"/>
        </w:rPr>
        <w:t>Resolution of the Assembly of States Parties on the proposed programme budget for 2020 [</w:t>
      </w:r>
      <w:proofErr w:type="gramStart"/>
      <w:r w:rsidRPr="00FC1781">
        <w:rPr>
          <w:bCs/>
          <w:sz w:val="20"/>
          <w:szCs w:val="20"/>
        </w:rPr>
        <w:t>…]Resolution</w:t>
      </w:r>
      <w:proofErr w:type="gramEnd"/>
      <w:r w:rsidRPr="00FC1781">
        <w:rPr>
          <w:bCs/>
          <w:sz w:val="20"/>
          <w:szCs w:val="20"/>
        </w:rPr>
        <w:t xml:space="preserve"> ICC-ASP/18/Res.1</w:t>
      </w:r>
      <w:r w:rsidRPr="00FC1781">
        <w:rPr>
          <w:iCs/>
          <w:sz w:val="20"/>
          <w:szCs w:val="20"/>
        </w:rPr>
        <w:t>, 6 December 2019, A1.</w:t>
      </w:r>
    </w:p>
  </w:footnote>
  <w:footnote w:id="57">
    <w:p w14:paraId="7E429341" w14:textId="15E87FDA" w:rsidR="00B7522E" w:rsidRPr="00FC1781" w:rsidRDefault="00B7522E">
      <w:pPr>
        <w:pStyle w:val="FootnoteText"/>
        <w:rPr>
          <w:sz w:val="20"/>
          <w:szCs w:val="20"/>
        </w:rPr>
      </w:pPr>
      <w:r w:rsidRPr="00FC1781">
        <w:rPr>
          <w:rStyle w:val="FootnoteReference"/>
          <w:sz w:val="20"/>
          <w:szCs w:val="20"/>
        </w:rPr>
        <w:footnoteRef/>
      </w:r>
      <w:r w:rsidRPr="00FC1781">
        <w:rPr>
          <w:sz w:val="20"/>
          <w:szCs w:val="20"/>
        </w:rPr>
        <w:t xml:space="preserve"> Trust Fund for Victims Press Release 7 December 2018 https://www.icc- cpi.int/Pages/</w:t>
      </w:r>
      <w:proofErr w:type="spellStart"/>
      <w:r w:rsidRPr="00FC1781">
        <w:rPr>
          <w:sz w:val="20"/>
          <w:szCs w:val="20"/>
        </w:rPr>
        <w:t>item.aspx?name</w:t>
      </w:r>
      <w:proofErr w:type="spellEnd"/>
      <w:r w:rsidRPr="00FC1781">
        <w:rPr>
          <w:sz w:val="20"/>
          <w:szCs w:val="20"/>
        </w:rPr>
        <w:t>=181207-TFVPR1.</w:t>
      </w:r>
    </w:p>
  </w:footnote>
  <w:footnote w:id="58">
    <w:p w14:paraId="1B24CBFF" w14:textId="77777777" w:rsidR="00B7522E" w:rsidRPr="00FC1781" w:rsidRDefault="00B7522E" w:rsidP="00BE74B9">
      <w:pPr>
        <w:pStyle w:val="FootnoteText"/>
        <w:rPr>
          <w:sz w:val="20"/>
          <w:szCs w:val="20"/>
        </w:rPr>
      </w:pPr>
      <w:r w:rsidRPr="00FC1781">
        <w:rPr>
          <w:rStyle w:val="FootnoteReference"/>
          <w:sz w:val="20"/>
          <w:szCs w:val="20"/>
        </w:rPr>
        <w:footnoteRef/>
      </w:r>
      <w:r w:rsidRPr="00FC1781">
        <w:rPr>
          <w:sz w:val="20"/>
          <w:szCs w:val="20"/>
        </w:rPr>
        <w:t xml:space="preserve"> Democratic Republic of the Congo, Uganda and Côte d’Ivoire.</w:t>
      </w:r>
    </w:p>
  </w:footnote>
  <w:footnote w:id="59">
    <w:p w14:paraId="4D91F907" w14:textId="3DB25209" w:rsidR="00B7522E" w:rsidRPr="00FC1781" w:rsidRDefault="00B7522E" w:rsidP="00F540A3">
      <w:pPr>
        <w:widowControl w:val="0"/>
        <w:autoSpaceDE w:val="0"/>
        <w:autoSpaceDN w:val="0"/>
        <w:adjustRightInd w:val="0"/>
        <w:rPr>
          <w:color w:val="000000" w:themeColor="text1"/>
          <w:sz w:val="20"/>
          <w:szCs w:val="20"/>
        </w:rPr>
      </w:pPr>
      <w:r w:rsidRPr="00FC1781">
        <w:rPr>
          <w:rStyle w:val="FootnoteReference"/>
          <w:rFonts w:eastAsiaTheme="majorEastAsia"/>
          <w:color w:val="000000" w:themeColor="text1"/>
          <w:sz w:val="20"/>
          <w:szCs w:val="20"/>
        </w:rPr>
        <w:footnoteRef/>
      </w:r>
      <w:r w:rsidRPr="00FC1781">
        <w:rPr>
          <w:color w:val="000000" w:themeColor="text1"/>
          <w:sz w:val="20"/>
          <w:szCs w:val="20"/>
        </w:rPr>
        <w:t xml:space="preserve"> </w:t>
      </w:r>
      <w:r w:rsidRPr="00FC1781">
        <w:rPr>
          <w:sz w:val="20"/>
          <w:szCs w:val="20"/>
        </w:rPr>
        <w:t xml:space="preserve">The Trust Fund runs with a comparably small number of </w:t>
      </w:r>
      <w:r w:rsidRPr="00FC1781">
        <w:rPr>
          <w:color w:val="000000" w:themeColor="text1"/>
          <w:sz w:val="20"/>
          <w:szCs w:val="20"/>
        </w:rPr>
        <w:t>thirteen</w:t>
      </w:r>
      <w:r w:rsidRPr="00FC1781">
        <w:rPr>
          <w:color w:val="FF0000"/>
          <w:sz w:val="20"/>
          <w:szCs w:val="20"/>
        </w:rPr>
        <w:t xml:space="preserve"> </w:t>
      </w:r>
      <w:r w:rsidRPr="00FC1781">
        <w:rPr>
          <w:sz w:val="20"/>
          <w:szCs w:val="20"/>
        </w:rPr>
        <w:t xml:space="preserve">staff members, supported by 44 posts of general temporary assistance. </w:t>
      </w:r>
      <w:r w:rsidRPr="00FC1781">
        <w:rPr>
          <w:color w:val="000000" w:themeColor="text1"/>
          <w:sz w:val="20"/>
          <w:szCs w:val="20"/>
        </w:rPr>
        <w:t>Proposed Programme Budget for 2019 of the International Criminal Court ICC-ASP/17/10, para 711.</w:t>
      </w:r>
    </w:p>
  </w:footnote>
  <w:footnote w:id="60">
    <w:p w14:paraId="740B6CC3" w14:textId="77777777" w:rsidR="00B7522E" w:rsidRPr="00FC1781" w:rsidRDefault="00B7522E" w:rsidP="00F540A3">
      <w:pPr>
        <w:pStyle w:val="FootnoteText"/>
        <w:rPr>
          <w:sz w:val="20"/>
          <w:szCs w:val="20"/>
        </w:rPr>
      </w:pPr>
      <w:r w:rsidRPr="00FC1781">
        <w:rPr>
          <w:rStyle w:val="FootnoteReference"/>
          <w:rFonts w:eastAsiaTheme="majorEastAsia"/>
          <w:sz w:val="20"/>
          <w:szCs w:val="20"/>
        </w:rPr>
        <w:footnoteRef/>
      </w:r>
      <w:r w:rsidRPr="00FC1781">
        <w:rPr>
          <w:sz w:val="20"/>
          <w:szCs w:val="20"/>
        </w:rPr>
        <w:t xml:space="preserve"> </w:t>
      </w:r>
      <w:r w:rsidRPr="00FC1781">
        <w:rPr>
          <w:bCs/>
          <w:sz w:val="20"/>
          <w:szCs w:val="20"/>
        </w:rPr>
        <w:t xml:space="preserve">Resolution of the Assembly of States Parties on the proposed programme budget for 2020, the Working Capital Fund for 2020, the scale of assessment for the apportionment of expenses of the International Criminal Court, financing appropriations for 2020 and the Contingency Fund </w:t>
      </w:r>
      <w:r w:rsidRPr="00FC1781">
        <w:rPr>
          <w:iCs/>
          <w:sz w:val="20"/>
          <w:szCs w:val="20"/>
        </w:rPr>
        <w:t xml:space="preserve">6 December 2019 </w:t>
      </w:r>
      <w:r w:rsidRPr="00FC1781">
        <w:rPr>
          <w:bCs/>
          <w:sz w:val="20"/>
          <w:szCs w:val="20"/>
        </w:rPr>
        <w:t>ICC-ASP/18/Res.1, 1.</w:t>
      </w:r>
    </w:p>
  </w:footnote>
  <w:footnote w:id="61">
    <w:p w14:paraId="75587244" w14:textId="77777777" w:rsidR="00B7522E" w:rsidRPr="00FC1781" w:rsidRDefault="00B7522E" w:rsidP="00F540A3">
      <w:pPr>
        <w:pStyle w:val="FootnoteText"/>
        <w:rPr>
          <w:sz w:val="20"/>
          <w:szCs w:val="20"/>
        </w:rPr>
      </w:pPr>
      <w:r w:rsidRPr="00FC1781">
        <w:rPr>
          <w:rStyle w:val="FootnoteReference"/>
          <w:rFonts w:eastAsiaTheme="majorEastAsia"/>
          <w:sz w:val="20"/>
          <w:szCs w:val="20"/>
        </w:rPr>
        <w:footnoteRef/>
      </w:r>
      <w:r w:rsidRPr="00FC1781">
        <w:rPr>
          <w:sz w:val="20"/>
          <w:szCs w:val="20"/>
        </w:rPr>
        <w:t xml:space="preserve"> </w:t>
      </w:r>
      <w:r w:rsidRPr="00FC1781">
        <w:rPr>
          <w:bCs/>
          <w:sz w:val="20"/>
          <w:szCs w:val="20"/>
        </w:rPr>
        <w:t xml:space="preserve">Resolution on the Programme budget for 2016, the Working Capital Fund and the Contingency Fund for 2016, scale of assessments for the apportionment of expenses of the International Criminal Court and financing appropriations for 2016 ICC-ASP/14/Res.1 </w:t>
      </w:r>
      <w:r w:rsidRPr="00FC1781">
        <w:rPr>
          <w:iCs/>
          <w:sz w:val="20"/>
          <w:szCs w:val="20"/>
        </w:rPr>
        <w:t>26 November 2015, 1.</w:t>
      </w:r>
    </w:p>
  </w:footnote>
  <w:footnote w:id="62">
    <w:p w14:paraId="5D249D9A" w14:textId="77777777" w:rsidR="00B7522E" w:rsidRPr="00FC1781" w:rsidRDefault="00B7522E" w:rsidP="00F540A3">
      <w:pPr>
        <w:pStyle w:val="FootnoteText"/>
        <w:rPr>
          <w:color w:val="000000" w:themeColor="text1"/>
          <w:sz w:val="20"/>
          <w:szCs w:val="20"/>
          <w:lang w:val="en-US"/>
        </w:rPr>
      </w:pPr>
      <w:r w:rsidRPr="00FC1781">
        <w:rPr>
          <w:rStyle w:val="FootnoteReference"/>
          <w:rFonts w:eastAsiaTheme="majorEastAsia"/>
          <w:color w:val="000000" w:themeColor="text1"/>
          <w:sz w:val="20"/>
          <w:szCs w:val="20"/>
        </w:rPr>
        <w:footnoteRef/>
      </w:r>
      <w:r w:rsidRPr="00FC1781">
        <w:rPr>
          <w:color w:val="000000" w:themeColor="text1"/>
          <w:sz w:val="20"/>
          <w:szCs w:val="20"/>
        </w:rPr>
        <w:t xml:space="preserve"> Proposed budget 2020 para 709</w:t>
      </w:r>
    </w:p>
  </w:footnote>
  <w:footnote w:id="63">
    <w:p w14:paraId="64C472C1" w14:textId="77777777" w:rsidR="00B7522E" w:rsidRPr="00FC1781" w:rsidRDefault="00B7522E" w:rsidP="00F540A3">
      <w:pPr>
        <w:pStyle w:val="FootnoteText"/>
        <w:rPr>
          <w:color w:val="000000" w:themeColor="text1"/>
          <w:sz w:val="20"/>
          <w:szCs w:val="20"/>
          <w:lang w:val="en-US"/>
        </w:rPr>
      </w:pPr>
      <w:r w:rsidRPr="00FC1781">
        <w:rPr>
          <w:rStyle w:val="FootnoteReference"/>
          <w:rFonts w:eastAsiaTheme="majorEastAsia"/>
          <w:color w:val="000000" w:themeColor="text1"/>
          <w:sz w:val="20"/>
          <w:szCs w:val="20"/>
        </w:rPr>
        <w:footnoteRef/>
      </w:r>
      <w:r w:rsidRPr="00FC1781">
        <w:rPr>
          <w:color w:val="000000" w:themeColor="text1"/>
          <w:sz w:val="20"/>
          <w:szCs w:val="20"/>
        </w:rPr>
        <w:t xml:space="preserve"> See Proposed Programme Budget for 2019 supra note 50, at para 752.</w:t>
      </w:r>
    </w:p>
  </w:footnote>
  <w:footnote w:id="64">
    <w:p w14:paraId="5F733C64" w14:textId="77777777" w:rsidR="00B7522E" w:rsidRPr="00FC1781" w:rsidRDefault="00B7522E" w:rsidP="00F540A3">
      <w:pPr>
        <w:pStyle w:val="FootnoteText"/>
        <w:rPr>
          <w:color w:val="000000" w:themeColor="text1"/>
          <w:sz w:val="20"/>
          <w:szCs w:val="20"/>
          <w:lang w:val="en-US"/>
        </w:rPr>
      </w:pPr>
      <w:r w:rsidRPr="00FC1781">
        <w:rPr>
          <w:rStyle w:val="FootnoteReference"/>
          <w:rFonts w:eastAsiaTheme="majorEastAsia"/>
          <w:color w:val="000000" w:themeColor="text1"/>
          <w:sz w:val="20"/>
          <w:szCs w:val="20"/>
        </w:rPr>
        <w:footnoteRef/>
      </w:r>
      <w:r w:rsidRPr="00FC1781">
        <w:rPr>
          <w:color w:val="000000" w:themeColor="text1"/>
          <w:sz w:val="20"/>
          <w:szCs w:val="20"/>
        </w:rPr>
        <w:t xml:space="preserve"> ibid. at para 718.</w:t>
      </w:r>
    </w:p>
  </w:footnote>
  <w:footnote w:id="65">
    <w:p w14:paraId="33233353" w14:textId="77777777" w:rsidR="00B7522E" w:rsidRPr="00FC1781" w:rsidRDefault="00B7522E" w:rsidP="00F540A3">
      <w:pPr>
        <w:pStyle w:val="FootnoteText"/>
        <w:rPr>
          <w:sz w:val="20"/>
          <w:szCs w:val="20"/>
        </w:rPr>
      </w:pPr>
      <w:r w:rsidRPr="00FC1781">
        <w:rPr>
          <w:rStyle w:val="FootnoteReference"/>
          <w:rFonts w:eastAsiaTheme="majorEastAsia"/>
          <w:sz w:val="20"/>
          <w:szCs w:val="20"/>
        </w:rPr>
        <w:footnoteRef/>
      </w:r>
      <w:r w:rsidRPr="00FC1781">
        <w:rPr>
          <w:sz w:val="20"/>
          <w:szCs w:val="20"/>
        </w:rPr>
        <w:t xml:space="preserve"> </w:t>
      </w:r>
      <w:r w:rsidRPr="00FC1781">
        <w:rPr>
          <w:color w:val="000000" w:themeColor="text1"/>
          <w:sz w:val="20"/>
          <w:szCs w:val="20"/>
        </w:rPr>
        <w:t xml:space="preserve">ibid. at para 711. While the current budget does not explicit mention the costs of the annual board meetings, it is interesting to note that in the 2017 budget </w:t>
      </w:r>
      <w:r w:rsidRPr="00FC1781">
        <w:rPr>
          <w:sz w:val="20"/>
          <w:szCs w:val="20"/>
        </w:rPr>
        <w:t xml:space="preserve">€35,000 were ring-fenced for this purpose. </w:t>
      </w:r>
      <w:r w:rsidRPr="00FC1781">
        <w:rPr>
          <w:color w:val="000000" w:themeColor="text1"/>
          <w:sz w:val="20"/>
          <w:szCs w:val="20"/>
        </w:rPr>
        <w:t>ICC Budget 2017 ICC-ASP/15/10, at para 716.</w:t>
      </w:r>
    </w:p>
  </w:footnote>
  <w:footnote w:id="66">
    <w:p w14:paraId="62E7A1F0" w14:textId="605F5152" w:rsidR="00B7522E" w:rsidRPr="00FC1781" w:rsidRDefault="00B7522E" w:rsidP="00290A4E">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www.trustfundforvictims.org/en/financial-information.</w:t>
      </w:r>
    </w:p>
  </w:footnote>
  <w:footnote w:id="67">
    <w:p w14:paraId="666F5892" w14:textId="3803B399" w:rsidR="00B7522E" w:rsidRPr="00FC1781" w:rsidRDefault="00B7522E" w:rsidP="00290A4E">
      <w:pPr>
        <w:pStyle w:val="FootnoteText"/>
        <w:rPr>
          <w:sz w:val="20"/>
          <w:szCs w:val="20"/>
        </w:rPr>
      </w:pPr>
      <w:r w:rsidRPr="00FC1781">
        <w:rPr>
          <w:rStyle w:val="FootnoteReference"/>
          <w:sz w:val="20"/>
          <w:szCs w:val="20"/>
        </w:rPr>
        <w:footnoteRef/>
      </w:r>
      <w:r w:rsidRPr="00FC1781">
        <w:rPr>
          <w:sz w:val="20"/>
          <w:szCs w:val="20"/>
        </w:rPr>
        <w:t xml:space="preserve"> Art. 114 Rome Statute.</w:t>
      </w:r>
    </w:p>
  </w:footnote>
  <w:footnote w:id="68">
    <w:p w14:paraId="6B3C70F1" w14:textId="260E66D9" w:rsidR="00B7522E" w:rsidRPr="00FC1781" w:rsidRDefault="00B7522E" w:rsidP="00290A4E">
      <w:pPr>
        <w:pStyle w:val="FootnoteText"/>
        <w:rPr>
          <w:color w:val="000000" w:themeColor="text1"/>
          <w:sz w:val="20"/>
          <w:szCs w:val="20"/>
          <w:lang w:val="en-US"/>
        </w:rPr>
      </w:pPr>
      <w:r w:rsidRPr="00FC1781">
        <w:rPr>
          <w:rStyle w:val="FootnoteReference"/>
          <w:color w:val="000000" w:themeColor="text1"/>
          <w:sz w:val="20"/>
          <w:szCs w:val="20"/>
        </w:rPr>
        <w:footnoteRef/>
      </w:r>
      <w:r w:rsidRPr="00FC1781">
        <w:rPr>
          <w:color w:val="000000" w:themeColor="text1"/>
          <w:sz w:val="20"/>
          <w:szCs w:val="20"/>
        </w:rPr>
        <w:t xml:space="preserve"> Another concern is that the Trust Fund announced in their strategic plan that they are even ‘exploring options to ensure tax deductibility of private donations,’ which indirectly will deprive the national taxpayers of funds. TFV Strategic Plan 2014-2017, 34.</w:t>
      </w:r>
    </w:p>
  </w:footnote>
  <w:footnote w:id="69">
    <w:p w14:paraId="08C5B7F4" w14:textId="77777777" w:rsidR="00B7522E" w:rsidRPr="00FC1781" w:rsidRDefault="00B7522E" w:rsidP="00290A4E">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TFV Strategic Plan 2014-2017, 7.</w:t>
      </w:r>
    </w:p>
  </w:footnote>
  <w:footnote w:id="70">
    <w:p w14:paraId="0731B234" w14:textId="7785C5B0" w:rsidR="00B7522E" w:rsidRPr="00FC1781" w:rsidRDefault="00B7522E" w:rsidP="00290A4E">
      <w:pPr>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ibid. at 24.</w:t>
      </w:r>
    </w:p>
  </w:footnote>
  <w:footnote w:id="71">
    <w:p w14:paraId="242EBC6C" w14:textId="0888A2D4" w:rsidR="00B7522E" w:rsidRPr="00FC1781" w:rsidRDefault="00B7522E" w:rsidP="00290A4E">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ibid.</w:t>
      </w:r>
    </w:p>
  </w:footnote>
  <w:footnote w:id="72">
    <w:p w14:paraId="6D1CDD5D" w14:textId="65064169" w:rsidR="00B7522E" w:rsidRPr="00FC1781" w:rsidRDefault="00B7522E" w:rsidP="00290A4E">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TFV Strategic Plan 2014-2017, 7. In addition, the Trust Fund commissioned an external programme evaluation in 2013 which included not only victim beneficiaries but also implementing partners and representatives of government agencies. (TFV Strategic Plan 2014-2017, 8) The Trust Fund also employed a private company (</w:t>
      </w:r>
      <w:proofErr w:type="spellStart"/>
      <w:r w:rsidRPr="00FC1781">
        <w:rPr>
          <w:color w:val="000000" w:themeColor="text1"/>
          <w:sz w:val="20"/>
          <w:szCs w:val="20"/>
        </w:rPr>
        <w:t>Deloitee</w:t>
      </w:r>
      <w:proofErr w:type="spellEnd"/>
      <w:r w:rsidRPr="00FC1781">
        <w:rPr>
          <w:color w:val="000000" w:themeColor="text1"/>
          <w:sz w:val="20"/>
          <w:szCs w:val="20"/>
        </w:rPr>
        <w:t xml:space="preserve"> Risk Service BV) to establish a ‘comprehensive risk management framework of the TFV’. (TFV Strategic Plan 2014-2017, 5).</w:t>
      </w:r>
    </w:p>
  </w:footnote>
  <w:footnote w:id="73">
    <w:p w14:paraId="07651FE4" w14:textId="6555AA1F" w:rsidR="00B7522E" w:rsidRPr="00FC1781" w:rsidRDefault="00B7522E" w:rsidP="00290A4E">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ibid. at 7.</w:t>
      </w:r>
    </w:p>
  </w:footnote>
  <w:footnote w:id="74">
    <w:p w14:paraId="110FC58A" w14:textId="041B2768" w:rsidR="00B7522E" w:rsidRPr="00FC1781" w:rsidRDefault="00B7522E" w:rsidP="00290A4E">
      <w:pPr>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See Noguchi supra note 24, at 8. Unfortunately, he does not explain how this estimate was calculated.</w:t>
      </w:r>
    </w:p>
  </w:footnote>
  <w:footnote w:id="75">
    <w:p w14:paraId="251A062B" w14:textId="32F83B58" w:rsidR="00B7522E" w:rsidRPr="00FC1781" w:rsidRDefault="00B7522E" w:rsidP="00290A4E">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ibid. at para 7.</w:t>
      </w:r>
    </w:p>
  </w:footnote>
  <w:footnote w:id="76">
    <w:p w14:paraId="726B5A96" w14:textId="30DB0770" w:rsidR="00B7522E" w:rsidRPr="00FC1781" w:rsidRDefault="00B7522E" w:rsidP="00290A4E">
      <w:pPr>
        <w:pStyle w:val="FootnoteText"/>
        <w:rPr>
          <w:sz w:val="20"/>
          <w:szCs w:val="20"/>
        </w:rPr>
      </w:pPr>
      <w:r w:rsidRPr="00FC1781">
        <w:rPr>
          <w:rStyle w:val="FootnoteReference"/>
          <w:sz w:val="20"/>
          <w:szCs w:val="20"/>
        </w:rPr>
        <w:footnoteRef/>
      </w:r>
      <w:r w:rsidRPr="00FC1781">
        <w:rPr>
          <w:sz w:val="20"/>
          <w:szCs w:val="20"/>
        </w:rPr>
        <w:t xml:space="preserve"> </w:t>
      </w:r>
      <w:r w:rsidRPr="00FC1781">
        <w:rPr>
          <w:color w:val="000000" w:themeColor="text1"/>
          <w:sz w:val="20"/>
          <w:szCs w:val="20"/>
        </w:rPr>
        <w:t>See Proposed Programme Budget for 2019 supra note 50, at para 709.</w:t>
      </w:r>
    </w:p>
  </w:footnote>
  <w:footnote w:id="77">
    <w:p w14:paraId="6CF9C48B" w14:textId="77777777" w:rsidR="00B7522E" w:rsidRPr="00FC1781" w:rsidRDefault="00B7522E" w:rsidP="004D7563">
      <w:pPr>
        <w:pStyle w:val="FootnoteText"/>
        <w:rPr>
          <w:color w:val="FF0000"/>
          <w:sz w:val="20"/>
          <w:szCs w:val="20"/>
        </w:rPr>
      </w:pPr>
      <w:r w:rsidRPr="00FC1781">
        <w:rPr>
          <w:rStyle w:val="FootnoteReference"/>
          <w:sz w:val="20"/>
          <w:szCs w:val="20"/>
        </w:rPr>
        <w:footnoteRef/>
      </w:r>
      <w:r w:rsidRPr="00FC1781">
        <w:rPr>
          <w:sz w:val="20"/>
          <w:szCs w:val="20"/>
        </w:rPr>
        <w:t xml:space="preserve"> </w:t>
      </w:r>
      <w:r w:rsidRPr="00FC1781">
        <w:rPr>
          <w:iCs/>
          <w:sz w:val="20"/>
          <w:szCs w:val="20"/>
        </w:rPr>
        <w:t>A. Cassese, ‘On the Current Trends towards Criminal Prosecution and Punishment of Breaches of International Humanitarian Law’</w:t>
      </w:r>
      <w:r w:rsidRPr="00FC1781">
        <w:rPr>
          <w:bCs/>
          <w:iCs/>
          <w:sz w:val="20"/>
          <w:szCs w:val="20"/>
        </w:rPr>
        <w:t xml:space="preserve"> </w:t>
      </w:r>
      <w:r w:rsidRPr="00FC1781">
        <w:rPr>
          <w:bCs/>
          <w:sz w:val="20"/>
          <w:szCs w:val="20"/>
        </w:rPr>
        <w:t xml:space="preserve">(1998) 9 </w:t>
      </w:r>
      <w:r w:rsidRPr="00FC1781">
        <w:rPr>
          <w:bCs/>
          <w:iCs/>
          <w:sz w:val="20"/>
          <w:szCs w:val="20"/>
        </w:rPr>
        <w:t>EJIL 2, at 13</w:t>
      </w:r>
      <w:r w:rsidRPr="00FC1781">
        <w:rPr>
          <w:sz w:val="20"/>
          <w:szCs w:val="20"/>
        </w:rPr>
        <w:t>.</w:t>
      </w:r>
    </w:p>
  </w:footnote>
  <w:footnote w:id="78">
    <w:p w14:paraId="44F5EB1A" w14:textId="77777777" w:rsidR="00B7522E" w:rsidRPr="00FC1781" w:rsidRDefault="00B7522E" w:rsidP="004D7563">
      <w:pPr>
        <w:pStyle w:val="FootnoteText"/>
        <w:rPr>
          <w:sz w:val="20"/>
          <w:szCs w:val="20"/>
        </w:rPr>
      </w:pPr>
      <w:r w:rsidRPr="00FC1781">
        <w:rPr>
          <w:rStyle w:val="FootnoteReference"/>
          <w:sz w:val="20"/>
          <w:szCs w:val="20"/>
        </w:rPr>
        <w:footnoteRef/>
      </w:r>
      <w:r w:rsidRPr="00FC1781">
        <w:rPr>
          <w:sz w:val="20"/>
          <w:szCs w:val="20"/>
        </w:rPr>
        <w:t xml:space="preserve"> </w:t>
      </w:r>
      <w:r w:rsidRPr="00FC1781">
        <w:rPr>
          <w:iCs/>
          <w:sz w:val="20"/>
          <w:szCs w:val="20"/>
        </w:rPr>
        <w:t>J.N. Clark,</w:t>
      </w:r>
      <w:r w:rsidRPr="00FC1781">
        <w:rPr>
          <w:i/>
          <w:iCs/>
          <w:sz w:val="20"/>
          <w:szCs w:val="20"/>
        </w:rPr>
        <w:t xml:space="preserve"> ‘</w:t>
      </w:r>
      <w:r w:rsidRPr="00FC1781">
        <w:rPr>
          <w:bCs/>
          <w:sz w:val="20"/>
          <w:szCs w:val="20"/>
        </w:rPr>
        <w:t xml:space="preserve">International Criminal Courts and Normative Legitimacy: An Achievable Goal?’ </w:t>
      </w:r>
      <w:r w:rsidRPr="00FC1781">
        <w:rPr>
          <w:sz w:val="20"/>
          <w:szCs w:val="20"/>
        </w:rPr>
        <w:t>(2015) 15 International Criminal Law Review 763, at 769.</w:t>
      </w:r>
    </w:p>
  </w:footnote>
  <w:footnote w:id="79">
    <w:p w14:paraId="29491FC9" w14:textId="77777777" w:rsidR="00B7522E" w:rsidRPr="00FC1781" w:rsidRDefault="00B7522E" w:rsidP="004D7563">
      <w:pPr>
        <w:pStyle w:val="FootnoteText"/>
        <w:rPr>
          <w:sz w:val="20"/>
          <w:szCs w:val="20"/>
        </w:rPr>
      </w:pPr>
      <w:r w:rsidRPr="00FC1781">
        <w:rPr>
          <w:rStyle w:val="FootnoteReference"/>
          <w:sz w:val="20"/>
          <w:szCs w:val="20"/>
        </w:rPr>
        <w:footnoteRef/>
      </w:r>
      <w:r w:rsidRPr="00FC1781">
        <w:rPr>
          <w:sz w:val="20"/>
          <w:szCs w:val="20"/>
        </w:rPr>
        <w:t xml:space="preserve"> M. de </w:t>
      </w:r>
      <w:proofErr w:type="spellStart"/>
      <w:r w:rsidRPr="00FC1781">
        <w:rPr>
          <w:sz w:val="20"/>
          <w:szCs w:val="20"/>
        </w:rPr>
        <w:t>Hoon</w:t>
      </w:r>
      <w:proofErr w:type="spellEnd"/>
      <w:r w:rsidRPr="00FC1781">
        <w:rPr>
          <w:sz w:val="20"/>
          <w:szCs w:val="20"/>
        </w:rPr>
        <w:t>, ‘The Future of the International Criminal Court. On Critique, Legalism and Strengthening the ICC’s Legitimacy’ 17(2017) ICLR 591, at 594.</w:t>
      </w:r>
    </w:p>
  </w:footnote>
  <w:footnote w:id="80">
    <w:p w14:paraId="3F81E4B1" w14:textId="0F4817BE" w:rsidR="00B7522E" w:rsidRPr="00FC1781" w:rsidRDefault="00B7522E" w:rsidP="003C6449">
      <w:pPr>
        <w:autoSpaceDE w:val="0"/>
        <w:autoSpaceDN w:val="0"/>
        <w:adjustRightInd w:val="0"/>
        <w:rPr>
          <w:sz w:val="20"/>
          <w:szCs w:val="20"/>
        </w:rPr>
      </w:pPr>
      <w:r w:rsidRPr="00FC1781">
        <w:rPr>
          <w:rStyle w:val="FootnoteReference"/>
          <w:sz w:val="20"/>
          <w:szCs w:val="20"/>
        </w:rPr>
        <w:footnoteRef/>
      </w:r>
      <w:r w:rsidRPr="00FC1781">
        <w:rPr>
          <w:sz w:val="20"/>
          <w:szCs w:val="20"/>
        </w:rPr>
        <w:t xml:space="preserve"> J. Nicholson, ‘‘Too High', 'Too Low', or 'Just Fair Enough'’?  (2019) 17/2 Journal of International Criminal Law 351, at 353.</w:t>
      </w:r>
    </w:p>
  </w:footnote>
  <w:footnote w:id="81">
    <w:p w14:paraId="7555259A" w14:textId="77777777" w:rsidR="00B7522E" w:rsidRPr="00FC1781" w:rsidRDefault="00B7522E" w:rsidP="004D7563">
      <w:pPr>
        <w:autoSpaceDE w:val="0"/>
        <w:autoSpaceDN w:val="0"/>
        <w:adjustRightInd w:val="0"/>
        <w:rPr>
          <w:color w:val="000000" w:themeColor="text1"/>
          <w:sz w:val="20"/>
          <w:szCs w:val="20"/>
        </w:rPr>
      </w:pPr>
      <w:r w:rsidRPr="00FC1781">
        <w:rPr>
          <w:rStyle w:val="FootnoteReference"/>
          <w:sz w:val="20"/>
          <w:szCs w:val="20"/>
        </w:rPr>
        <w:footnoteRef/>
      </w:r>
      <w:r w:rsidRPr="00FC1781">
        <w:rPr>
          <w:sz w:val="20"/>
          <w:szCs w:val="20"/>
        </w:rPr>
        <w:t xml:space="preserve"> M. Deguzman, ‘The Global-Local Dilemma and the ICC’s Legitimacy’ in </w:t>
      </w:r>
      <w:r w:rsidRPr="00FC1781">
        <w:rPr>
          <w:color w:val="000000" w:themeColor="text1"/>
          <w:sz w:val="20"/>
          <w:szCs w:val="20"/>
        </w:rPr>
        <w:t xml:space="preserve">Nienke Grossman, Harlan Cohen, Andreas </w:t>
      </w:r>
      <w:proofErr w:type="spellStart"/>
      <w:r w:rsidRPr="00FC1781">
        <w:rPr>
          <w:color w:val="000000" w:themeColor="text1"/>
          <w:sz w:val="20"/>
          <w:szCs w:val="20"/>
        </w:rPr>
        <w:t>Follesdal</w:t>
      </w:r>
      <w:proofErr w:type="spellEnd"/>
      <w:r w:rsidRPr="00FC1781">
        <w:rPr>
          <w:color w:val="000000" w:themeColor="text1"/>
          <w:sz w:val="20"/>
          <w:szCs w:val="20"/>
        </w:rPr>
        <w:t xml:space="preserve"> and </w:t>
      </w:r>
      <w:proofErr w:type="spellStart"/>
      <w:r w:rsidRPr="00FC1781">
        <w:rPr>
          <w:color w:val="000000" w:themeColor="text1"/>
          <w:sz w:val="20"/>
          <w:szCs w:val="20"/>
        </w:rPr>
        <w:t>Geir</w:t>
      </w:r>
      <w:proofErr w:type="spellEnd"/>
      <w:r w:rsidRPr="00FC1781">
        <w:rPr>
          <w:color w:val="000000" w:themeColor="text1"/>
          <w:sz w:val="20"/>
          <w:szCs w:val="20"/>
        </w:rPr>
        <w:t xml:space="preserve"> </w:t>
      </w:r>
      <w:proofErr w:type="spellStart"/>
      <w:r w:rsidRPr="00FC1781">
        <w:rPr>
          <w:color w:val="000000" w:themeColor="text1"/>
          <w:sz w:val="20"/>
          <w:szCs w:val="20"/>
        </w:rPr>
        <w:t>Ulfstein</w:t>
      </w:r>
      <w:proofErr w:type="spellEnd"/>
      <w:r w:rsidRPr="00FC1781">
        <w:rPr>
          <w:color w:val="000000" w:themeColor="text1"/>
          <w:sz w:val="20"/>
          <w:szCs w:val="20"/>
        </w:rPr>
        <w:t xml:space="preserve"> (eds) ‘Legitimacy and International Courts’ (2018).</w:t>
      </w:r>
    </w:p>
  </w:footnote>
  <w:footnote w:id="82">
    <w:p w14:paraId="5E907F01" w14:textId="77777777" w:rsidR="00B7522E" w:rsidRPr="00FC1781" w:rsidRDefault="00B7522E" w:rsidP="004D7563">
      <w:pPr>
        <w:pStyle w:val="FootnoteText"/>
        <w:rPr>
          <w:color w:val="FF0000"/>
          <w:sz w:val="20"/>
          <w:szCs w:val="20"/>
        </w:rPr>
      </w:pPr>
      <w:r w:rsidRPr="00FC1781">
        <w:rPr>
          <w:rStyle w:val="FootnoteReference"/>
          <w:sz w:val="20"/>
          <w:szCs w:val="20"/>
        </w:rPr>
        <w:footnoteRef/>
      </w:r>
      <w:r w:rsidRPr="00FC1781">
        <w:rPr>
          <w:sz w:val="20"/>
          <w:szCs w:val="20"/>
        </w:rPr>
        <w:t xml:space="preserve"> </w:t>
      </w:r>
      <w:r w:rsidRPr="00FC1781">
        <w:rPr>
          <w:rFonts w:eastAsiaTheme="majorEastAsia"/>
          <w:color w:val="000000" w:themeColor="text1"/>
          <w:sz w:val="20"/>
          <w:szCs w:val="20"/>
        </w:rPr>
        <w:t>E. Keppler</w:t>
      </w:r>
      <w:r w:rsidRPr="00FC1781">
        <w:rPr>
          <w:color w:val="000000" w:themeColor="text1"/>
          <w:sz w:val="20"/>
          <w:szCs w:val="20"/>
        </w:rPr>
        <w:t xml:space="preserve">, ‘AU's 'ICC Withdrawal Strategy' Less than Meets the Eye - Opposition to Withdrawal by States’ (1 Feb 2017) </w:t>
      </w:r>
      <w:r w:rsidRPr="00FC1781">
        <w:rPr>
          <w:sz w:val="20"/>
          <w:szCs w:val="20"/>
        </w:rPr>
        <w:t>www.hrw.org/news/2017/02/01/aus-icc-withdrawal-strategy-less-meets-eye</w:t>
      </w:r>
      <w:r w:rsidRPr="00FC1781">
        <w:rPr>
          <w:color w:val="000000" w:themeColor="text1"/>
          <w:sz w:val="20"/>
          <w:szCs w:val="20"/>
        </w:rPr>
        <w:t>.</w:t>
      </w:r>
    </w:p>
  </w:footnote>
  <w:footnote w:id="83">
    <w:p w14:paraId="68651F27" w14:textId="77777777" w:rsidR="00B7522E" w:rsidRPr="00FC1781" w:rsidRDefault="00B7522E" w:rsidP="004D7563">
      <w:pPr>
        <w:pStyle w:val="FootnoteText"/>
        <w:rPr>
          <w:sz w:val="20"/>
          <w:szCs w:val="20"/>
        </w:rPr>
      </w:pPr>
      <w:r w:rsidRPr="00FC1781">
        <w:rPr>
          <w:rStyle w:val="FootnoteReference"/>
          <w:sz w:val="20"/>
          <w:szCs w:val="20"/>
        </w:rPr>
        <w:footnoteRef/>
      </w:r>
      <w:r w:rsidRPr="00FC1781">
        <w:rPr>
          <w:sz w:val="20"/>
          <w:szCs w:val="20"/>
        </w:rPr>
        <w:t xml:space="preserve"> Burundi in October 2017 and Philippines in March 2019.</w:t>
      </w:r>
    </w:p>
  </w:footnote>
  <w:footnote w:id="84">
    <w:p w14:paraId="0A691A8D" w14:textId="77777777" w:rsidR="00B7522E" w:rsidRPr="00FC1781" w:rsidRDefault="00B7522E" w:rsidP="004D7563">
      <w:pPr>
        <w:pStyle w:val="FootnoteText"/>
        <w:rPr>
          <w:sz w:val="20"/>
          <w:szCs w:val="20"/>
        </w:rPr>
      </w:pPr>
      <w:r w:rsidRPr="00FC1781">
        <w:rPr>
          <w:rStyle w:val="FootnoteReference"/>
          <w:sz w:val="20"/>
          <w:szCs w:val="20"/>
        </w:rPr>
        <w:footnoteRef/>
      </w:r>
      <w:r w:rsidRPr="00FC1781">
        <w:rPr>
          <w:sz w:val="20"/>
          <w:szCs w:val="20"/>
        </w:rPr>
        <w:t xml:space="preserve"> S. </w:t>
      </w:r>
      <w:proofErr w:type="spellStart"/>
      <w:r w:rsidRPr="00FC1781">
        <w:rPr>
          <w:sz w:val="20"/>
          <w:szCs w:val="20"/>
        </w:rPr>
        <w:t>Vasiliev</w:t>
      </w:r>
      <w:proofErr w:type="spellEnd"/>
      <w:r w:rsidRPr="00FC1781">
        <w:rPr>
          <w:sz w:val="20"/>
          <w:szCs w:val="20"/>
        </w:rPr>
        <w:t xml:space="preserve">, ‘Between International Criminal Justice and Injustice: Theorising Legitimacy’: Nobuo Hayashi and Cecilia </w:t>
      </w:r>
      <w:proofErr w:type="spellStart"/>
      <w:r w:rsidRPr="00FC1781">
        <w:rPr>
          <w:sz w:val="20"/>
          <w:szCs w:val="20"/>
        </w:rPr>
        <w:t>Baillet</w:t>
      </w:r>
      <w:proofErr w:type="spellEnd"/>
      <w:r w:rsidRPr="00FC1781">
        <w:rPr>
          <w:sz w:val="20"/>
          <w:szCs w:val="20"/>
        </w:rPr>
        <w:t xml:space="preserve"> (eds), The Legitimacy of International Criminal Tribunals (2017) 71.</w:t>
      </w:r>
    </w:p>
  </w:footnote>
  <w:footnote w:id="85">
    <w:p w14:paraId="7D2C3E9A" w14:textId="77777777" w:rsidR="00B7522E" w:rsidRPr="00FC1781" w:rsidRDefault="00B7522E" w:rsidP="004D7563">
      <w:pPr>
        <w:pStyle w:val="FootnoteText"/>
        <w:rPr>
          <w:color w:val="000000" w:themeColor="text1"/>
          <w:sz w:val="20"/>
          <w:szCs w:val="20"/>
        </w:rPr>
      </w:pPr>
      <w:r w:rsidRPr="00FC1781">
        <w:rPr>
          <w:rStyle w:val="FootnoteReference"/>
          <w:sz w:val="20"/>
          <w:szCs w:val="20"/>
        </w:rPr>
        <w:footnoteRef/>
      </w:r>
      <w:r w:rsidRPr="00FC1781">
        <w:rPr>
          <w:sz w:val="20"/>
          <w:szCs w:val="20"/>
        </w:rPr>
        <w:t xml:space="preserve"> </w:t>
      </w:r>
      <w:r w:rsidRPr="00FC1781">
        <w:rPr>
          <w:bCs/>
          <w:sz w:val="20"/>
          <w:szCs w:val="20"/>
        </w:rPr>
        <w:t>A.S.</w:t>
      </w:r>
      <w:r w:rsidRPr="00FC1781">
        <w:rPr>
          <w:sz w:val="20"/>
          <w:szCs w:val="20"/>
        </w:rPr>
        <w:t xml:space="preserve"> </w:t>
      </w:r>
      <w:proofErr w:type="spellStart"/>
      <w:r w:rsidRPr="00FC1781">
        <w:rPr>
          <w:bCs/>
          <w:sz w:val="20"/>
          <w:szCs w:val="20"/>
        </w:rPr>
        <w:t>Galand</w:t>
      </w:r>
      <w:proofErr w:type="spellEnd"/>
      <w:r w:rsidRPr="00FC1781">
        <w:rPr>
          <w:bCs/>
          <w:sz w:val="20"/>
          <w:szCs w:val="20"/>
        </w:rPr>
        <w:t>, ‘A Global Public Goods Perspective on the Legitimacy of the International Criminal Court’</w:t>
      </w:r>
      <w:r w:rsidRPr="00FC1781">
        <w:rPr>
          <w:sz w:val="20"/>
          <w:szCs w:val="20"/>
        </w:rPr>
        <w:t xml:space="preserve"> (2017) 41 Loy. L.A. Int'l &amp; Comp. L. Rev. 125, at 126.</w:t>
      </w:r>
    </w:p>
  </w:footnote>
  <w:footnote w:id="86">
    <w:p w14:paraId="4167FDEB" w14:textId="77777777" w:rsidR="00B7522E" w:rsidRPr="00FC1781" w:rsidRDefault="00B7522E" w:rsidP="004D7563">
      <w:pPr>
        <w:rPr>
          <w:color w:val="000000" w:themeColor="text1"/>
          <w:sz w:val="20"/>
          <w:szCs w:val="20"/>
        </w:rPr>
      </w:pPr>
      <w:r w:rsidRPr="00FC1781">
        <w:rPr>
          <w:rStyle w:val="FootnoteReference"/>
          <w:sz w:val="20"/>
          <w:szCs w:val="20"/>
        </w:rPr>
        <w:footnoteRef/>
      </w:r>
      <w:r w:rsidRPr="00FC1781">
        <w:rPr>
          <w:sz w:val="20"/>
          <w:szCs w:val="20"/>
        </w:rPr>
        <w:t xml:space="preserve"> V. Baird, ‘Building Institutional Legitimacy: The Role of Procedural Justice (2001) 54(2) PRQ 333, at 336. Wolff distinguished two kinds of causes of legitimacy in an institution, namely ‘underlying structural causes and more immediate proximate causes</w:t>
      </w:r>
      <w:r w:rsidRPr="00FC1781">
        <w:rPr>
          <w:color w:val="000000" w:themeColor="text1"/>
          <w:sz w:val="20"/>
          <w:szCs w:val="20"/>
        </w:rPr>
        <w:t xml:space="preserve">’, Stefan Wolff, </w:t>
      </w:r>
      <w:r w:rsidRPr="00FC1781">
        <w:rPr>
          <w:i/>
          <w:iCs/>
          <w:color w:val="000000" w:themeColor="text1"/>
          <w:sz w:val="20"/>
          <w:szCs w:val="20"/>
        </w:rPr>
        <w:t xml:space="preserve">Ethnic Conflict: A Global Perspective </w:t>
      </w:r>
      <w:r w:rsidRPr="00FC1781">
        <w:rPr>
          <w:color w:val="000000" w:themeColor="text1"/>
          <w:sz w:val="20"/>
          <w:szCs w:val="20"/>
        </w:rPr>
        <w:t>(2006) at 67.</w:t>
      </w:r>
    </w:p>
  </w:footnote>
  <w:footnote w:id="87">
    <w:p w14:paraId="4D84F9AF" w14:textId="77777777" w:rsidR="00B7522E" w:rsidRPr="00FC1781" w:rsidRDefault="00B7522E" w:rsidP="004D7563">
      <w:pPr>
        <w:pStyle w:val="FootnoteText"/>
        <w:rPr>
          <w:sz w:val="20"/>
          <w:szCs w:val="20"/>
        </w:rPr>
      </w:pPr>
      <w:r w:rsidRPr="00FC1781">
        <w:rPr>
          <w:rStyle w:val="FootnoteReference"/>
          <w:sz w:val="20"/>
          <w:szCs w:val="20"/>
        </w:rPr>
        <w:footnoteRef/>
      </w:r>
      <w:r w:rsidRPr="00FC1781">
        <w:rPr>
          <w:sz w:val="20"/>
          <w:szCs w:val="20"/>
        </w:rPr>
        <w:t xml:space="preserve">  N. </w:t>
      </w:r>
      <w:proofErr w:type="spellStart"/>
      <w:r w:rsidRPr="00FC1781">
        <w:rPr>
          <w:sz w:val="20"/>
          <w:szCs w:val="20"/>
        </w:rPr>
        <w:t>Jørgenson</w:t>
      </w:r>
      <w:proofErr w:type="spellEnd"/>
      <w:r w:rsidRPr="00FC1781">
        <w:rPr>
          <w:sz w:val="20"/>
          <w:szCs w:val="20"/>
        </w:rPr>
        <w:t xml:space="preserve">, </w:t>
      </w:r>
      <w:r w:rsidRPr="00FC1781">
        <w:rPr>
          <w:i/>
          <w:sz w:val="20"/>
          <w:szCs w:val="20"/>
        </w:rPr>
        <w:t>The Elgar Companion to the Extraordinary Chambers in the Courts of Cambodia</w:t>
      </w:r>
      <w:r w:rsidRPr="00FC1781">
        <w:rPr>
          <w:sz w:val="20"/>
          <w:szCs w:val="20"/>
        </w:rPr>
        <w:t xml:space="preserve"> (2018) at 361.</w:t>
      </w:r>
    </w:p>
  </w:footnote>
  <w:footnote w:id="88">
    <w:p w14:paraId="016B9C33" w14:textId="77777777" w:rsidR="00B7522E" w:rsidRPr="00FC1781" w:rsidRDefault="00B7522E" w:rsidP="004D7563">
      <w:pPr>
        <w:autoSpaceDE w:val="0"/>
        <w:autoSpaceDN w:val="0"/>
        <w:adjustRightInd w:val="0"/>
        <w:rPr>
          <w:sz w:val="20"/>
          <w:szCs w:val="20"/>
        </w:rPr>
      </w:pPr>
      <w:r w:rsidRPr="00FC1781">
        <w:rPr>
          <w:rStyle w:val="FootnoteReference"/>
          <w:sz w:val="20"/>
          <w:szCs w:val="20"/>
        </w:rPr>
        <w:footnoteRef/>
      </w:r>
      <w:r w:rsidRPr="00FC1781">
        <w:rPr>
          <w:sz w:val="20"/>
          <w:szCs w:val="20"/>
        </w:rPr>
        <w:t xml:space="preserve"> M. </w:t>
      </w:r>
      <w:proofErr w:type="spellStart"/>
      <w:r w:rsidRPr="00FC1781">
        <w:rPr>
          <w:sz w:val="20"/>
          <w:szCs w:val="20"/>
        </w:rPr>
        <w:t>Suchman</w:t>
      </w:r>
      <w:proofErr w:type="spellEnd"/>
      <w:r w:rsidRPr="00FC1781">
        <w:rPr>
          <w:sz w:val="20"/>
          <w:szCs w:val="20"/>
        </w:rPr>
        <w:t>, ‘Managing Legitimacy: Strategic and Institutional Approaches’, (1995) 20 T</w:t>
      </w:r>
      <w:r w:rsidRPr="00FC1781">
        <w:rPr>
          <w:iCs/>
          <w:sz w:val="20"/>
          <w:szCs w:val="20"/>
        </w:rPr>
        <w:t>he Academy of Management Review</w:t>
      </w:r>
      <w:r w:rsidRPr="00FC1781">
        <w:rPr>
          <w:i/>
          <w:iCs/>
          <w:sz w:val="20"/>
          <w:szCs w:val="20"/>
        </w:rPr>
        <w:t xml:space="preserve"> </w:t>
      </w:r>
      <w:r w:rsidRPr="00FC1781">
        <w:rPr>
          <w:sz w:val="20"/>
          <w:szCs w:val="20"/>
        </w:rPr>
        <w:t>571, at 574.</w:t>
      </w:r>
    </w:p>
  </w:footnote>
  <w:footnote w:id="89">
    <w:p w14:paraId="1853FA0A" w14:textId="77777777" w:rsidR="00B7522E" w:rsidRPr="00FC1781" w:rsidRDefault="00B7522E" w:rsidP="004D7563">
      <w:pPr>
        <w:pStyle w:val="NormalWeb"/>
        <w:spacing w:before="0" w:beforeAutospacing="0" w:after="0" w:afterAutospacing="0"/>
        <w:rPr>
          <w:sz w:val="20"/>
          <w:szCs w:val="20"/>
        </w:rPr>
      </w:pPr>
      <w:r w:rsidRPr="00FC1781">
        <w:rPr>
          <w:rStyle w:val="FootnoteReference"/>
          <w:sz w:val="20"/>
          <w:szCs w:val="20"/>
        </w:rPr>
        <w:footnoteRef/>
      </w:r>
      <w:r w:rsidRPr="00FC1781">
        <w:rPr>
          <w:sz w:val="20"/>
          <w:szCs w:val="20"/>
        </w:rPr>
        <w:t xml:space="preserve"> H. </w:t>
      </w:r>
      <w:proofErr w:type="spellStart"/>
      <w:r w:rsidRPr="00FC1781">
        <w:rPr>
          <w:sz w:val="20"/>
          <w:szCs w:val="20"/>
        </w:rPr>
        <w:t>Takemura</w:t>
      </w:r>
      <w:proofErr w:type="spellEnd"/>
      <w:r w:rsidRPr="00FC1781">
        <w:rPr>
          <w:sz w:val="20"/>
          <w:szCs w:val="20"/>
        </w:rPr>
        <w:t xml:space="preserve">, Reconsidering the Meaning and Actuality of the Legitimacy of the International Criminal Court, (2012) 4 Amsterdam L.F. 3, 5. </w:t>
      </w:r>
      <w:proofErr w:type="spellStart"/>
      <w:r w:rsidRPr="00FC1781">
        <w:rPr>
          <w:color w:val="000000"/>
          <w:sz w:val="20"/>
          <w:szCs w:val="20"/>
        </w:rPr>
        <w:t>Varaki</w:t>
      </w:r>
      <w:proofErr w:type="spellEnd"/>
      <w:r w:rsidRPr="00FC1781">
        <w:rPr>
          <w:color w:val="000000"/>
          <w:sz w:val="20"/>
          <w:szCs w:val="20"/>
        </w:rPr>
        <w:t xml:space="preserve"> for example offers a threefold examination, distinguishing between a procedural view, a moral view and a subjective view on legitimacy (</w:t>
      </w:r>
      <w:r w:rsidRPr="00FC1781">
        <w:rPr>
          <w:bCs/>
          <w:sz w:val="20"/>
          <w:szCs w:val="20"/>
        </w:rPr>
        <w:t xml:space="preserve">M. </w:t>
      </w:r>
      <w:proofErr w:type="spellStart"/>
      <w:r w:rsidRPr="00FC1781">
        <w:rPr>
          <w:bCs/>
          <w:sz w:val="20"/>
          <w:szCs w:val="20"/>
        </w:rPr>
        <w:t>Varaki</w:t>
      </w:r>
      <w:proofErr w:type="spellEnd"/>
      <w:r w:rsidRPr="00FC1781">
        <w:rPr>
          <w:bCs/>
          <w:sz w:val="20"/>
          <w:szCs w:val="20"/>
        </w:rPr>
        <w:t>, ‘Introducing a Fairness-Based Theory of Prosecutorial Legitimacy before the International Criminal Court’ (2016) 27 (3) EJIL 769</w:t>
      </w:r>
      <w:r w:rsidRPr="00FC1781">
        <w:rPr>
          <w:sz w:val="20"/>
          <w:szCs w:val="20"/>
        </w:rPr>
        <w:t>, at 783)</w:t>
      </w:r>
      <w:r w:rsidRPr="00FC1781">
        <w:rPr>
          <w:rStyle w:val="FootnoteReference"/>
          <w:color w:val="000000"/>
          <w:sz w:val="20"/>
          <w:szCs w:val="20"/>
        </w:rPr>
        <w:t xml:space="preserve"> </w:t>
      </w:r>
      <w:r w:rsidRPr="00FC1781">
        <w:rPr>
          <w:sz w:val="20"/>
          <w:szCs w:val="20"/>
        </w:rPr>
        <w:t>.</w:t>
      </w:r>
    </w:p>
  </w:footnote>
  <w:footnote w:id="90">
    <w:p w14:paraId="68AC1D3C" w14:textId="77777777" w:rsidR="00B7522E" w:rsidRPr="00FC1781" w:rsidRDefault="00B7522E" w:rsidP="004D7563">
      <w:pPr>
        <w:pStyle w:val="FootnoteText"/>
        <w:rPr>
          <w:color w:val="FF0000"/>
          <w:sz w:val="20"/>
          <w:szCs w:val="20"/>
        </w:rPr>
      </w:pPr>
      <w:r w:rsidRPr="00FC1781">
        <w:rPr>
          <w:rStyle w:val="FootnoteReference"/>
          <w:sz w:val="20"/>
          <w:szCs w:val="20"/>
        </w:rPr>
        <w:footnoteRef/>
      </w:r>
      <w:r w:rsidRPr="00FC1781">
        <w:rPr>
          <w:sz w:val="20"/>
          <w:szCs w:val="20"/>
        </w:rPr>
        <w:t xml:space="preserve"> D. </w:t>
      </w:r>
      <w:proofErr w:type="spellStart"/>
      <w:r w:rsidRPr="00FC1781">
        <w:rPr>
          <w:sz w:val="20"/>
          <w:szCs w:val="20"/>
        </w:rPr>
        <w:t>Bodansky</w:t>
      </w:r>
      <w:proofErr w:type="spellEnd"/>
      <w:r w:rsidRPr="00FC1781">
        <w:rPr>
          <w:sz w:val="20"/>
          <w:szCs w:val="20"/>
        </w:rPr>
        <w:t>, ‘The Legitimacy of International Governance: A Coming Challenge for International Environmental Law (1999)93 AJIL 596, at 600-603.</w:t>
      </w:r>
    </w:p>
  </w:footnote>
  <w:footnote w:id="91">
    <w:p w14:paraId="2DEA76B4" w14:textId="537F3EA3" w:rsidR="00B7522E" w:rsidRPr="00FC1781" w:rsidRDefault="00B7522E" w:rsidP="004D7563">
      <w:pPr>
        <w:pStyle w:val="FootnoteText"/>
        <w:rPr>
          <w:sz w:val="20"/>
          <w:szCs w:val="20"/>
        </w:rPr>
      </w:pPr>
      <w:r w:rsidRPr="00FC1781">
        <w:rPr>
          <w:rStyle w:val="FootnoteReference"/>
          <w:sz w:val="20"/>
          <w:szCs w:val="20"/>
        </w:rPr>
        <w:footnoteRef/>
      </w:r>
      <w:r w:rsidRPr="00FC1781">
        <w:rPr>
          <w:sz w:val="20"/>
          <w:szCs w:val="20"/>
        </w:rPr>
        <w:t xml:space="preserve"> See </w:t>
      </w:r>
      <w:proofErr w:type="spellStart"/>
      <w:r w:rsidRPr="00FC1781">
        <w:rPr>
          <w:sz w:val="20"/>
          <w:szCs w:val="20"/>
        </w:rPr>
        <w:t>Varaki</w:t>
      </w:r>
      <w:proofErr w:type="spellEnd"/>
      <w:r w:rsidRPr="00FC1781">
        <w:rPr>
          <w:sz w:val="20"/>
          <w:szCs w:val="20"/>
        </w:rPr>
        <w:t xml:space="preserve"> supra note 98, at 783. With relation to the Trust Fund, the source legitimacy of ICC is irrelevant wand will therefore not </w:t>
      </w:r>
      <w:proofErr w:type="gramStart"/>
      <w:r w:rsidRPr="00FC1781">
        <w:rPr>
          <w:sz w:val="20"/>
          <w:szCs w:val="20"/>
        </w:rPr>
        <w:t>discussed</w:t>
      </w:r>
      <w:proofErr w:type="gramEnd"/>
      <w:r w:rsidRPr="00FC1781">
        <w:rPr>
          <w:sz w:val="20"/>
          <w:szCs w:val="20"/>
        </w:rPr>
        <w:t xml:space="preserve"> in this article.</w:t>
      </w:r>
    </w:p>
  </w:footnote>
  <w:footnote w:id="92">
    <w:p w14:paraId="16D8A8C4" w14:textId="579EE933" w:rsidR="00B7522E" w:rsidRPr="00FC1781" w:rsidRDefault="00B7522E" w:rsidP="004D7563">
      <w:pPr>
        <w:pStyle w:val="FootnoteText"/>
        <w:rPr>
          <w:sz w:val="20"/>
          <w:szCs w:val="20"/>
        </w:rPr>
      </w:pPr>
      <w:r w:rsidRPr="00FC1781">
        <w:rPr>
          <w:rStyle w:val="FootnoteReference"/>
          <w:sz w:val="20"/>
          <w:szCs w:val="20"/>
        </w:rPr>
        <w:footnoteRef/>
      </w:r>
      <w:r w:rsidRPr="00FC1781">
        <w:rPr>
          <w:sz w:val="20"/>
          <w:szCs w:val="20"/>
        </w:rPr>
        <w:t xml:space="preserve"> See </w:t>
      </w:r>
      <w:proofErr w:type="spellStart"/>
      <w:r w:rsidRPr="00FC1781">
        <w:rPr>
          <w:sz w:val="20"/>
          <w:szCs w:val="20"/>
        </w:rPr>
        <w:t>Takemura</w:t>
      </w:r>
      <w:proofErr w:type="spellEnd"/>
      <w:r w:rsidRPr="00FC1781">
        <w:rPr>
          <w:sz w:val="20"/>
          <w:szCs w:val="20"/>
        </w:rPr>
        <w:t xml:space="preserve"> supra note 98, at 5.</w:t>
      </w:r>
    </w:p>
  </w:footnote>
  <w:footnote w:id="93">
    <w:p w14:paraId="10CF24B9" w14:textId="77777777" w:rsidR="00B7522E" w:rsidRPr="00FC1781" w:rsidRDefault="00B7522E" w:rsidP="004D7563">
      <w:pPr>
        <w:pStyle w:val="NormalWeb"/>
        <w:spacing w:before="0" w:beforeAutospacing="0" w:after="0" w:afterAutospacing="0"/>
        <w:rPr>
          <w:color w:val="FF0000"/>
          <w:sz w:val="20"/>
          <w:szCs w:val="20"/>
          <w:lang w:eastAsia="en-US"/>
        </w:rPr>
      </w:pPr>
      <w:r w:rsidRPr="00FC1781">
        <w:rPr>
          <w:rStyle w:val="FootnoteReference"/>
          <w:sz w:val="20"/>
          <w:szCs w:val="20"/>
        </w:rPr>
        <w:footnoteRef/>
      </w:r>
      <w:r w:rsidRPr="00FC1781">
        <w:rPr>
          <w:sz w:val="20"/>
          <w:szCs w:val="20"/>
        </w:rPr>
        <w:t xml:space="preserve"> D. </w:t>
      </w:r>
      <w:proofErr w:type="spellStart"/>
      <w:r w:rsidRPr="00FC1781">
        <w:rPr>
          <w:sz w:val="20"/>
          <w:szCs w:val="20"/>
        </w:rPr>
        <w:t>Luban</w:t>
      </w:r>
      <w:proofErr w:type="spellEnd"/>
      <w:r w:rsidRPr="00FC1781">
        <w:rPr>
          <w:sz w:val="20"/>
          <w:szCs w:val="20"/>
        </w:rPr>
        <w:t xml:space="preserve">’ ‘Fairness to Rightness: Jurisdiction, Legality, and the Legitimacy of International Criminal Law’ </w:t>
      </w:r>
      <w:proofErr w:type="gramStart"/>
      <w:r w:rsidRPr="00FC1781">
        <w:rPr>
          <w:sz w:val="20"/>
          <w:szCs w:val="20"/>
        </w:rPr>
        <w:t>in:</w:t>
      </w:r>
      <w:proofErr w:type="gramEnd"/>
      <w:r w:rsidRPr="00FC1781">
        <w:rPr>
          <w:sz w:val="20"/>
          <w:szCs w:val="20"/>
        </w:rPr>
        <w:t xml:space="preserve"> Samantha Besson and John </w:t>
      </w:r>
      <w:proofErr w:type="spellStart"/>
      <w:r w:rsidRPr="00FC1781">
        <w:rPr>
          <w:sz w:val="20"/>
          <w:szCs w:val="20"/>
        </w:rPr>
        <w:t>Tasioulas</w:t>
      </w:r>
      <w:proofErr w:type="spellEnd"/>
      <w:r w:rsidRPr="00FC1781">
        <w:rPr>
          <w:sz w:val="20"/>
          <w:szCs w:val="20"/>
        </w:rPr>
        <w:t xml:space="preserve"> (eds)</w:t>
      </w:r>
      <w:r w:rsidRPr="00FC1781">
        <w:rPr>
          <w:color w:val="000000" w:themeColor="text1"/>
          <w:sz w:val="20"/>
          <w:szCs w:val="20"/>
        </w:rPr>
        <w:t xml:space="preserve"> ‘</w:t>
      </w:r>
      <w:r w:rsidRPr="00FC1781">
        <w:rPr>
          <w:i/>
          <w:color w:val="000000" w:themeColor="text1"/>
          <w:sz w:val="20"/>
          <w:szCs w:val="20"/>
        </w:rPr>
        <w:t>The Philosophy of International Law’</w:t>
      </w:r>
      <w:r w:rsidRPr="00FC1781">
        <w:rPr>
          <w:color w:val="000000" w:themeColor="text1"/>
          <w:sz w:val="20"/>
          <w:szCs w:val="20"/>
        </w:rPr>
        <w:t xml:space="preserve"> (</w:t>
      </w:r>
      <w:r w:rsidRPr="00FC1781">
        <w:rPr>
          <w:sz w:val="20"/>
          <w:szCs w:val="20"/>
        </w:rPr>
        <w:t xml:space="preserve">2010) </w:t>
      </w:r>
      <w:r w:rsidRPr="00FC1781">
        <w:rPr>
          <w:color w:val="000000" w:themeColor="text1"/>
          <w:sz w:val="20"/>
          <w:szCs w:val="20"/>
        </w:rPr>
        <w:t>569, at 579.</w:t>
      </w:r>
    </w:p>
  </w:footnote>
  <w:footnote w:id="94">
    <w:p w14:paraId="75C0858D" w14:textId="6D149BD4" w:rsidR="00B7522E" w:rsidRPr="00FC1781" w:rsidRDefault="00B7522E" w:rsidP="004D7563">
      <w:pPr>
        <w:pStyle w:val="FootnoteText"/>
        <w:rPr>
          <w:color w:val="FF0000"/>
          <w:sz w:val="20"/>
          <w:szCs w:val="20"/>
        </w:rPr>
      </w:pPr>
      <w:r w:rsidRPr="00FC1781">
        <w:rPr>
          <w:rStyle w:val="FootnoteReference"/>
          <w:sz w:val="20"/>
          <w:szCs w:val="20"/>
        </w:rPr>
        <w:footnoteRef/>
      </w:r>
      <w:r w:rsidRPr="00FC1781">
        <w:rPr>
          <w:sz w:val="20"/>
          <w:szCs w:val="20"/>
        </w:rPr>
        <w:t xml:space="preserve"> See Clark supra note 87, at 774.</w:t>
      </w:r>
    </w:p>
  </w:footnote>
  <w:footnote w:id="95">
    <w:p w14:paraId="75D062D6" w14:textId="77777777" w:rsidR="00B7522E" w:rsidRPr="00FC1781" w:rsidRDefault="00B7522E" w:rsidP="004D7563">
      <w:pPr>
        <w:pStyle w:val="FootnoteText"/>
        <w:rPr>
          <w:sz w:val="20"/>
          <w:szCs w:val="20"/>
        </w:rPr>
      </w:pPr>
      <w:r w:rsidRPr="00FC1781">
        <w:rPr>
          <w:rStyle w:val="FootnoteReference"/>
          <w:sz w:val="20"/>
          <w:szCs w:val="20"/>
        </w:rPr>
        <w:footnoteRef/>
      </w:r>
      <w:r w:rsidRPr="00FC1781">
        <w:rPr>
          <w:sz w:val="20"/>
          <w:szCs w:val="20"/>
        </w:rPr>
        <w:t xml:space="preserve"> S. </w:t>
      </w:r>
      <w:proofErr w:type="spellStart"/>
      <w:r w:rsidRPr="00FC1781">
        <w:rPr>
          <w:sz w:val="20"/>
          <w:szCs w:val="20"/>
        </w:rPr>
        <w:t>Langvatn</w:t>
      </w:r>
      <w:proofErr w:type="spellEnd"/>
      <w:r w:rsidRPr="00FC1781">
        <w:rPr>
          <w:sz w:val="20"/>
          <w:szCs w:val="20"/>
        </w:rPr>
        <w:t xml:space="preserve"> and T. </w:t>
      </w:r>
      <w:proofErr w:type="spellStart"/>
      <w:r w:rsidRPr="00FC1781">
        <w:rPr>
          <w:sz w:val="20"/>
          <w:szCs w:val="20"/>
        </w:rPr>
        <w:t>Squatrito</w:t>
      </w:r>
      <w:proofErr w:type="spellEnd"/>
      <w:r w:rsidRPr="00FC1781">
        <w:rPr>
          <w:sz w:val="20"/>
          <w:szCs w:val="20"/>
        </w:rPr>
        <w:t xml:space="preserve">, ‘Conceptualising and Measuring the Legitimacy of International Criminal Tribunals’ in N. Hayashi and C. </w:t>
      </w:r>
      <w:proofErr w:type="spellStart"/>
      <w:r w:rsidRPr="00FC1781">
        <w:rPr>
          <w:sz w:val="20"/>
          <w:szCs w:val="20"/>
        </w:rPr>
        <w:t>Baillet</w:t>
      </w:r>
      <w:proofErr w:type="spellEnd"/>
      <w:r w:rsidRPr="00FC1781">
        <w:rPr>
          <w:sz w:val="20"/>
          <w:szCs w:val="20"/>
        </w:rPr>
        <w:t xml:space="preserve"> (eds), </w:t>
      </w:r>
      <w:r w:rsidRPr="00FC1781">
        <w:rPr>
          <w:i/>
          <w:sz w:val="20"/>
          <w:szCs w:val="20"/>
        </w:rPr>
        <w:t>The Legitimacy of International Criminal Tribunals</w:t>
      </w:r>
      <w:r w:rsidRPr="00FC1781">
        <w:rPr>
          <w:sz w:val="20"/>
          <w:szCs w:val="20"/>
        </w:rPr>
        <w:t xml:space="preserve"> </w:t>
      </w:r>
      <w:proofErr w:type="gramStart"/>
      <w:r w:rsidRPr="00FC1781">
        <w:rPr>
          <w:sz w:val="20"/>
          <w:szCs w:val="20"/>
        </w:rPr>
        <w:t>( 2017</w:t>
      </w:r>
      <w:proofErr w:type="gramEnd"/>
      <w:r w:rsidRPr="00FC1781">
        <w:rPr>
          <w:sz w:val="20"/>
          <w:szCs w:val="20"/>
        </w:rPr>
        <w:t>) at 43.</w:t>
      </w:r>
    </w:p>
  </w:footnote>
  <w:footnote w:id="96">
    <w:p w14:paraId="566CAC3E" w14:textId="274D8121" w:rsidR="00B7522E" w:rsidRPr="00FC1781" w:rsidRDefault="00B7522E" w:rsidP="004D7563">
      <w:pPr>
        <w:pStyle w:val="FootnoteText"/>
        <w:rPr>
          <w:sz w:val="20"/>
          <w:szCs w:val="20"/>
        </w:rPr>
      </w:pPr>
      <w:r w:rsidRPr="00FC1781">
        <w:rPr>
          <w:rStyle w:val="FootnoteReference"/>
          <w:sz w:val="20"/>
          <w:szCs w:val="20"/>
        </w:rPr>
        <w:footnoteRef/>
      </w:r>
      <w:r w:rsidRPr="00FC1781">
        <w:rPr>
          <w:sz w:val="20"/>
          <w:szCs w:val="20"/>
        </w:rPr>
        <w:t xml:space="preserve"> See </w:t>
      </w:r>
      <w:proofErr w:type="spellStart"/>
      <w:r w:rsidRPr="00FC1781">
        <w:rPr>
          <w:sz w:val="20"/>
          <w:szCs w:val="20"/>
        </w:rPr>
        <w:t>Takemura</w:t>
      </w:r>
      <w:proofErr w:type="spellEnd"/>
      <w:r w:rsidRPr="00FC1781">
        <w:rPr>
          <w:sz w:val="20"/>
          <w:szCs w:val="20"/>
        </w:rPr>
        <w:t xml:space="preserve"> supra note 98, at 6.</w:t>
      </w:r>
    </w:p>
  </w:footnote>
  <w:footnote w:id="97">
    <w:p w14:paraId="2218B425" w14:textId="06C7B909" w:rsidR="00B7522E" w:rsidRPr="00FC1781" w:rsidRDefault="00B7522E" w:rsidP="004D7563">
      <w:pPr>
        <w:pStyle w:val="FootnoteText"/>
        <w:rPr>
          <w:color w:val="FF0000"/>
          <w:sz w:val="20"/>
          <w:szCs w:val="20"/>
        </w:rPr>
      </w:pPr>
      <w:r w:rsidRPr="00FC1781">
        <w:rPr>
          <w:rStyle w:val="FootnoteReference"/>
          <w:sz w:val="20"/>
          <w:szCs w:val="20"/>
        </w:rPr>
        <w:footnoteRef/>
      </w:r>
      <w:r w:rsidRPr="00FC1781">
        <w:rPr>
          <w:sz w:val="20"/>
          <w:szCs w:val="20"/>
        </w:rPr>
        <w:t xml:space="preserve"> See </w:t>
      </w:r>
      <w:proofErr w:type="spellStart"/>
      <w:r w:rsidRPr="00FC1781">
        <w:rPr>
          <w:sz w:val="20"/>
          <w:szCs w:val="20"/>
        </w:rPr>
        <w:t>Varaki</w:t>
      </w:r>
      <w:proofErr w:type="spellEnd"/>
      <w:r w:rsidRPr="00FC1781">
        <w:rPr>
          <w:sz w:val="20"/>
          <w:szCs w:val="20"/>
        </w:rPr>
        <w:t xml:space="preserve"> supra note 98 at 783.</w:t>
      </w:r>
    </w:p>
  </w:footnote>
  <w:footnote w:id="98">
    <w:p w14:paraId="180336D5" w14:textId="7257F666" w:rsidR="00B7522E" w:rsidRPr="00FC1781" w:rsidRDefault="00B7522E" w:rsidP="00E117A4">
      <w:pPr>
        <w:rPr>
          <w:sz w:val="20"/>
          <w:szCs w:val="20"/>
        </w:rPr>
      </w:pPr>
      <w:r w:rsidRPr="00FC1781">
        <w:rPr>
          <w:rStyle w:val="FootnoteReference"/>
          <w:sz w:val="20"/>
          <w:szCs w:val="20"/>
        </w:rPr>
        <w:footnoteRef/>
      </w:r>
      <w:r w:rsidRPr="00FC1781">
        <w:rPr>
          <w:sz w:val="20"/>
          <w:szCs w:val="20"/>
        </w:rPr>
        <w:t xml:space="preserve"> </w:t>
      </w:r>
      <w:r w:rsidRPr="00FC1781">
        <w:rPr>
          <w:bCs/>
          <w:sz w:val="20"/>
          <w:szCs w:val="20"/>
        </w:rPr>
        <w:t>Stephen</w:t>
      </w:r>
      <w:r w:rsidRPr="00FC1781">
        <w:rPr>
          <w:b/>
          <w:bCs/>
          <w:sz w:val="20"/>
          <w:szCs w:val="20"/>
        </w:rPr>
        <w:t xml:space="preserve"> </w:t>
      </w:r>
      <w:r w:rsidRPr="00FC1781">
        <w:rPr>
          <w:sz w:val="20"/>
          <w:szCs w:val="20"/>
        </w:rPr>
        <w:t xml:space="preserve">Bernstein, 'Legitimacy in Global Environmental Governance', </w:t>
      </w:r>
      <w:r w:rsidRPr="00FC1781">
        <w:rPr>
          <w:bCs/>
          <w:sz w:val="20"/>
          <w:szCs w:val="20"/>
        </w:rPr>
        <w:t xml:space="preserve">1 </w:t>
      </w:r>
      <w:r w:rsidRPr="00FC1781">
        <w:rPr>
          <w:iCs/>
          <w:sz w:val="20"/>
          <w:szCs w:val="20"/>
        </w:rPr>
        <w:t xml:space="preserve">Journal of International Law and International Relations </w:t>
      </w:r>
      <w:r w:rsidRPr="00FC1781">
        <w:rPr>
          <w:bCs/>
          <w:sz w:val="20"/>
          <w:szCs w:val="20"/>
        </w:rPr>
        <w:t xml:space="preserve">(2005), 139, </w:t>
      </w:r>
      <w:r w:rsidRPr="00FC1781">
        <w:rPr>
          <w:sz w:val="20"/>
          <w:szCs w:val="20"/>
        </w:rPr>
        <w:t xml:space="preserve">at </w:t>
      </w:r>
      <w:r w:rsidRPr="00FC1781">
        <w:rPr>
          <w:bCs/>
          <w:sz w:val="20"/>
          <w:szCs w:val="20"/>
        </w:rPr>
        <w:t xml:space="preserve">156 building on </w:t>
      </w:r>
      <w:r w:rsidRPr="00FC1781">
        <w:rPr>
          <w:sz w:val="20"/>
          <w:szCs w:val="20"/>
          <w:lang w:eastAsia="en-GB"/>
        </w:rPr>
        <w:t xml:space="preserve">Mark C. </w:t>
      </w:r>
      <w:proofErr w:type="spellStart"/>
      <w:r w:rsidRPr="00FC1781">
        <w:rPr>
          <w:sz w:val="20"/>
          <w:szCs w:val="20"/>
          <w:lang w:eastAsia="en-GB"/>
        </w:rPr>
        <w:t>Suchman</w:t>
      </w:r>
      <w:proofErr w:type="spellEnd"/>
      <w:r w:rsidRPr="00FC1781">
        <w:rPr>
          <w:sz w:val="20"/>
          <w:szCs w:val="20"/>
          <w:lang w:eastAsia="en-GB"/>
        </w:rPr>
        <w:t xml:space="preserve">, </w:t>
      </w:r>
      <w:bookmarkStart w:id="6" w:name="Result_1"/>
      <w:r w:rsidRPr="00FC1781">
        <w:rPr>
          <w:sz w:val="20"/>
          <w:szCs w:val="20"/>
          <w:lang w:eastAsia="en-GB"/>
        </w:rPr>
        <w:t>Managing Legitimacy: Strategic and Institutional Approaches</w:t>
      </w:r>
      <w:bookmarkEnd w:id="6"/>
      <w:r w:rsidRPr="00FC1781">
        <w:rPr>
          <w:sz w:val="20"/>
          <w:szCs w:val="20"/>
          <w:lang w:eastAsia="en-GB"/>
        </w:rPr>
        <w:t xml:space="preserve"> (1995) 20(3) Academy of Management 571, at 574.</w:t>
      </w:r>
    </w:p>
  </w:footnote>
  <w:footnote w:id="99">
    <w:p w14:paraId="1A89384C" w14:textId="0740EB0F" w:rsidR="00B7522E" w:rsidRPr="00FC1781" w:rsidRDefault="00B7522E" w:rsidP="00085EF8">
      <w:pPr>
        <w:autoSpaceDE w:val="0"/>
        <w:autoSpaceDN w:val="0"/>
        <w:adjustRightInd w:val="0"/>
        <w:rPr>
          <w:sz w:val="20"/>
          <w:szCs w:val="20"/>
        </w:rPr>
      </w:pPr>
      <w:r w:rsidRPr="00FC1781">
        <w:rPr>
          <w:rStyle w:val="FootnoteReference"/>
          <w:sz w:val="20"/>
          <w:szCs w:val="20"/>
        </w:rPr>
        <w:footnoteRef/>
      </w:r>
      <w:r w:rsidRPr="00FC1781">
        <w:rPr>
          <w:sz w:val="20"/>
          <w:szCs w:val="20"/>
        </w:rPr>
        <w:t xml:space="preserve"> A. </w:t>
      </w:r>
      <w:proofErr w:type="spellStart"/>
      <w:r w:rsidRPr="00FC1781">
        <w:rPr>
          <w:sz w:val="20"/>
          <w:szCs w:val="20"/>
        </w:rPr>
        <w:t>Kiyani</w:t>
      </w:r>
      <w:proofErr w:type="spellEnd"/>
      <w:r w:rsidRPr="00FC1781">
        <w:rPr>
          <w:sz w:val="20"/>
          <w:szCs w:val="20"/>
        </w:rPr>
        <w:t>, 'The Antinomies of Legitimacy: On the (</w:t>
      </w:r>
      <w:proofErr w:type="spellStart"/>
      <w:r w:rsidRPr="00FC1781">
        <w:rPr>
          <w:sz w:val="20"/>
          <w:szCs w:val="20"/>
        </w:rPr>
        <w:t>Im</w:t>
      </w:r>
      <w:proofErr w:type="spellEnd"/>
      <w:r w:rsidRPr="00FC1781">
        <w:rPr>
          <w:sz w:val="20"/>
          <w:szCs w:val="20"/>
        </w:rPr>
        <w:t xml:space="preserve">)possibility of a Legitimate International Criminal Court', 8 </w:t>
      </w:r>
      <w:r w:rsidRPr="00FC1781">
        <w:rPr>
          <w:i/>
          <w:iCs/>
          <w:sz w:val="20"/>
          <w:szCs w:val="20"/>
        </w:rPr>
        <w:t xml:space="preserve">African Journal of Legal Studies </w:t>
      </w:r>
      <w:r w:rsidRPr="00FC1781">
        <w:rPr>
          <w:sz w:val="20"/>
          <w:szCs w:val="20"/>
        </w:rPr>
        <w:t>(2015) 1, at 14.</w:t>
      </w:r>
    </w:p>
  </w:footnote>
  <w:footnote w:id="100">
    <w:p w14:paraId="28C3BF51" w14:textId="49D7250B" w:rsidR="00B7522E" w:rsidRPr="00FC1781" w:rsidRDefault="00B7522E" w:rsidP="004D7563">
      <w:pPr>
        <w:pStyle w:val="FootnoteText"/>
        <w:rPr>
          <w:sz w:val="20"/>
          <w:szCs w:val="20"/>
        </w:rPr>
      </w:pPr>
      <w:r w:rsidRPr="00FC1781">
        <w:rPr>
          <w:rStyle w:val="FootnoteReference"/>
          <w:sz w:val="20"/>
          <w:szCs w:val="20"/>
        </w:rPr>
        <w:footnoteRef/>
      </w:r>
      <w:r w:rsidRPr="00FC1781">
        <w:rPr>
          <w:sz w:val="20"/>
          <w:szCs w:val="20"/>
        </w:rPr>
        <w:t xml:space="preserve"> See Clark supra note 87, at 769.</w:t>
      </w:r>
    </w:p>
  </w:footnote>
  <w:footnote w:id="101">
    <w:p w14:paraId="788F5206" w14:textId="42CA4252" w:rsidR="00B7522E" w:rsidRPr="00FC1781" w:rsidRDefault="00B7522E" w:rsidP="004D7563">
      <w:pPr>
        <w:pStyle w:val="FootnoteText"/>
        <w:rPr>
          <w:sz w:val="20"/>
          <w:szCs w:val="20"/>
        </w:rPr>
      </w:pPr>
      <w:r w:rsidRPr="00FC1781">
        <w:rPr>
          <w:rStyle w:val="FootnoteReference"/>
          <w:sz w:val="20"/>
          <w:szCs w:val="20"/>
        </w:rPr>
        <w:footnoteRef/>
      </w:r>
      <w:r w:rsidRPr="00FC1781">
        <w:rPr>
          <w:sz w:val="20"/>
          <w:szCs w:val="20"/>
        </w:rPr>
        <w:t xml:space="preserve"> See </w:t>
      </w:r>
      <w:proofErr w:type="spellStart"/>
      <w:r w:rsidRPr="00FC1781">
        <w:rPr>
          <w:sz w:val="20"/>
          <w:szCs w:val="20"/>
        </w:rPr>
        <w:t>Langvatn</w:t>
      </w:r>
      <w:proofErr w:type="spellEnd"/>
      <w:r w:rsidRPr="00FC1781">
        <w:rPr>
          <w:sz w:val="20"/>
          <w:szCs w:val="20"/>
        </w:rPr>
        <w:t xml:space="preserve"> and </w:t>
      </w:r>
      <w:proofErr w:type="spellStart"/>
      <w:r w:rsidRPr="00FC1781">
        <w:rPr>
          <w:sz w:val="20"/>
          <w:szCs w:val="20"/>
        </w:rPr>
        <w:t>Squatrito</w:t>
      </w:r>
      <w:proofErr w:type="spellEnd"/>
      <w:r w:rsidRPr="00FC1781">
        <w:rPr>
          <w:sz w:val="20"/>
          <w:szCs w:val="20"/>
        </w:rPr>
        <w:t>, supra note 104, at 44.</w:t>
      </w:r>
    </w:p>
  </w:footnote>
  <w:footnote w:id="102">
    <w:p w14:paraId="7C88CC55" w14:textId="77777777" w:rsidR="00222959" w:rsidRDefault="00222959" w:rsidP="00222959">
      <w:pPr>
        <w:pStyle w:val="FootnoteText"/>
      </w:pPr>
      <w:r w:rsidRPr="009E0DB0">
        <w:rPr>
          <w:rStyle w:val="FootnoteReference"/>
          <w:rFonts w:eastAsiaTheme="majorEastAsia"/>
          <w:sz w:val="20"/>
          <w:szCs w:val="20"/>
        </w:rPr>
        <w:footnoteRef/>
      </w:r>
      <w:r w:rsidRPr="009E0DB0">
        <w:rPr>
          <w:sz w:val="20"/>
          <w:szCs w:val="20"/>
        </w:rPr>
        <w:t xml:space="preserve"> For a</w:t>
      </w:r>
      <w:r>
        <w:rPr>
          <w:sz w:val="20"/>
          <w:szCs w:val="20"/>
        </w:rPr>
        <w:t xml:space="preserve"> critical analysis to what extent the claim of centrality of fair trial</w:t>
      </w:r>
      <w:r w:rsidRPr="009E0DB0">
        <w:rPr>
          <w:sz w:val="20"/>
          <w:szCs w:val="20"/>
        </w:rPr>
        <w:t xml:space="preserve"> is translated into practice in view of defendants’ rights see</w:t>
      </w:r>
      <w:r w:rsidRPr="009E0DB0">
        <w:rPr>
          <w:color w:val="000000" w:themeColor="text1"/>
          <w:sz w:val="20"/>
          <w:szCs w:val="20"/>
        </w:rPr>
        <w:t xml:space="preserve"> D.</w:t>
      </w:r>
      <w:r w:rsidRPr="00FC1781">
        <w:rPr>
          <w:color w:val="000000" w:themeColor="text1"/>
          <w:sz w:val="20"/>
          <w:szCs w:val="20"/>
        </w:rPr>
        <w:t xml:space="preserve"> Jacobs, ‘Neither here nor there – The position of the Defence in International Criminal Tribunals’ in:  </w:t>
      </w:r>
      <w:r w:rsidRPr="00FC1781">
        <w:rPr>
          <w:bCs/>
          <w:color w:val="000000" w:themeColor="text1"/>
          <w:sz w:val="20"/>
          <w:szCs w:val="20"/>
        </w:rPr>
        <w:t xml:space="preserve">Kevin Jon Heller, Frédéric </w:t>
      </w:r>
      <w:proofErr w:type="spellStart"/>
      <w:r w:rsidRPr="00FC1781">
        <w:rPr>
          <w:bCs/>
          <w:color w:val="000000" w:themeColor="text1"/>
          <w:sz w:val="20"/>
          <w:szCs w:val="20"/>
        </w:rPr>
        <w:t>Mégret</w:t>
      </w:r>
      <w:proofErr w:type="spellEnd"/>
      <w:r w:rsidRPr="00FC1781">
        <w:rPr>
          <w:bCs/>
          <w:color w:val="000000" w:themeColor="text1"/>
          <w:sz w:val="20"/>
          <w:szCs w:val="20"/>
        </w:rPr>
        <w:t xml:space="preserve">, Sarah M. H. Nouwen, Jens David Ohlin, and Darryl Robinson (eds) </w:t>
      </w:r>
      <w:r w:rsidRPr="00FC1781">
        <w:rPr>
          <w:i/>
          <w:color w:val="000000" w:themeColor="text1"/>
          <w:sz w:val="20"/>
          <w:szCs w:val="20"/>
        </w:rPr>
        <w:t>The Oxford Handbook of International Criminal Law</w:t>
      </w:r>
      <w:r w:rsidRPr="00FC1781">
        <w:rPr>
          <w:color w:val="000000" w:themeColor="text1"/>
          <w:sz w:val="20"/>
          <w:szCs w:val="20"/>
        </w:rPr>
        <w:t xml:space="preserve"> </w:t>
      </w:r>
      <w:r w:rsidRPr="00FC1781">
        <w:rPr>
          <w:bCs/>
          <w:color w:val="000000" w:themeColor="text1"/>
          <w:sz w:val="20"/>
          <w:szCs w:val="20"/>
        </w:rPr>
        <w:t xml:space="preserve">(2020) </w:t>
      </w:r>
      <w:r>
        <w:rPr>
          <w:bCs/>
          <w:sz w:val="20"/>
          <w:szCs w:val="20"/>
        </w:rPr>
        <w:t>6</w:t>
      </w:r>
      <w:r w:rsidRPr="00FC1781">
        <w:rPr>
          <w:bCs/>
          <w:color w:val="000000" w:themeColor="text1"/>
          <w:sz w:val="20"/>
          <w:szCs w:val="20"/>
        </w:rPr>
        <w:t>7</w:t>
      </w:r>
      <w:r>
        <w:rPr>
          <w:bCs/>
          <w:color w:val="000000" w:themeColor="text1"/>
          <w:sz w:val="20"/>
          <w:szCs w:val="20"/>
        </w:rPr>
        <w:t>-88</w:t>
      </w:r>
      <w:r w:rsidRPr="00FC1781">
        <w:rPr>
          <w:bCs/>
          <w:color w:val="000000" w:themeColor="text1"/>
          <w:sz w:val="20"/>
          <w:szCs w:val="20"/>
        </w:rPr>
        <w:t>.</w:t>
      </w:r>
    </w:p>
  </w:footnote>
  <w:footnote w:id="103">
    <w:p w14:paraId="2713D616" w14:textId="77777777" w:rsidR="00222959" w:rsidRPr="00FC1781" w:rsidRDefault="00222959" w:rsidP="00222959">
      <w:pPr>
        <w:autoSpaceDE w:val="0"/>
        <w:autoSpaceDN w:val="0"/>
        <w:adjustRightInd w:val="0"/>
        <w:rPr>
          <w:sz w:val="20"/>
          <w:szCs w:val="20"/>
        </w:rPr>
      </w:pPr>
      <w:r w:rsidRPr="00FC1781">
        <w:rPr>
          <w:rStyle w:val="FootnoteReference"/>
          <w:sz w:val="20"/>
          <w:szCs w:val="20"/>
        </w:rPr>
        <w:footnoteRef/>
      </w:r>
      <w:r w:rsidRPr="00FC1781">
        <w:rPr>
          <w:sz w:val="20"/>
          <w:szCs w:val="20"/>
        </w:rPr>
        <w:t xml:space="preserve"> Human Rights and the International Criminal Court, address by </w:t>
      </w:r>
      <w:proofErr w:type="spellStart"/>
      <w:r w:rsidRPr="00FC1781">
        <w:rPr>
          <w:sz w:val="20"/>
          <w:szCs w:val="20"/>
        </w:rPr>
        <w:t>Dr.Jur.h.c</w:t>
      </w:r>
      <w:proofErr w:type="spellEnd"/>
      <w:r w:rsidRPr="00FC1781">
        <w:rPr>
          <w:sz w:val="20"/>
          <w:szCs w:val="20"/>
        </w:rPr>
        <w:t xml:space="preserve">. Hans-Peter Kaul 21 January 2011 available online at https://www.icc-cpi.int/NR/rdonlyres/2C496E38-8E14-4ECD-9CC9-5E0D2A0B3FA2/282947/FINAL_Speech_Panel1_HumanRightsandtheInternational.pdf. This follows in the tradition of other international criminal tribunals. They ICTY explained that it “intended to give effect to the highest standards of justice” (Decision on the objection of the Republic of Croatia to the Issuance of </w:t>
      </w:r>
      <w:proofErr w:type="spellStart"/>
      <w:r w:rsidRPr="00FC1781">
        <w:rPr>
          <w:i/>
          <w:iCs/>
          <w:sz w:val="20"/>
          <w:szCs w:val="20"/>
        </w:rPr>
        <w:t>Subpoenae</w:t>
      </w:r>
      <w:proofErr w:type="spellEnd"/>
      <w:r w:rsidRPr="00FC1781">
        <w:rPr>
          <w:i/>
          <w:iCs/>
          <w:sz w:val="20"/>
          <w:szCs w:val="20"/>
        </w:rPr>
        <w:t xml:space="preserve"> Duces Tecum, </w:t>
      </w:r>
      <w:proofErr w:type="spellStart"/>
      <w:r w:rsidRPr="00FC1781">
        <w:rPr>
          <w:i/>
          <w:iCs/>
          <w:sz w:val="20"/>
          <w:szCs w:val="20"/>
        </w:rPr>
        <w:t>Blaškić</w:t>
      </w:r>
      <w:proofErr w:type="spellEnd"/>
      <w:r w:rsidRPr="00FC1781">
        <w:rPr>
          <w:sz w:val="20"/>
          <w:szCs w:val="20"/>
        </w:rPr>
        <w:t xml:space="preserve"> (IT-95-14-T), Trial Chamber, 18 July 1997, at para 61) and the ICTR aspired to serve as a ‘model of fairness'</w:t>
      </w:r>
      <w:r w:rsidRPr="00FC1781">
        <w:rPr>
          <w:sz w:val="20"/>
          <w:szCs w:val="20"/>
          <w:vertAlign w:val="superscript"/>
        </w:rPr>
        <w:t xml:space="preserve"> (</w:t>
      </w:r>
      <w:r w:rsidRPr="00FC1781">
        <w:rPr>
          <w:sz w:val="20"/>
          <w:szCs w:val="20"/>
        </w:rPr>
        <w:t xml:space="preserve">Separate Opinion of Judge Pavel </w:t>
      </w:r>
      <w:proofErr w:type="spellStart"/>
      <w:r w:rsidRPr="00FC1781">
        <w:rPr>
          <w:sz w:val="20"/>
          <w:szCs w:val="20"/>
        </w:rPr>
        <w:t>Dolenc</w:t>
      </w:r>
      <w:proofErr w:type="spellEnd"/>
      <w:r w:rsidRPr="00FC1781">
        <w:rPr>
          <w:sz w:val="20"/>
          <w:szCs w:val="20"/>
        </w:rPr>
        <w:t xml:space="preserve">, Judgment, </w:t>
      </w:r>
      <w:proofErr w:type="spellStart"/>
      <w:r w:rsidRPr="00FC1781">
        <w:rPr>
          <w:i/>
          <w:iCs/>
          <w:sz w:val="20"/>
          <w:szCs w:val="20"/>
        </w:rPr>
        <w:t>Ntagerura</w:t>
      </w:r>
      <w:proofErr w:type="spellEnd"/>
      <w:r w:rsidRPr="00FC1781">
        <w:rPr>
          <w:i/>
          <w:iCs/>
          <w:sz w:val="20"/>
          <w:szCs w:val="20"/>
        </w:rPr>
        <w:t xml:space="preserve"> et al.</w:t>
      </w:r>
      <w:r w:rsidRPr="00FC1781">
        <w:rPr>
          <w:sz w:val="20"/>
          <w:szCs w:val="20"/>
        </w:rPr>
        <w:t xml:space="preserve"> (ICTR-99-46-T), Trial Chamber, 25 February 2004, at para 5).</w:t>
      </w:r>
    </w:p>
  </w:footnote>
  <w:footnote w:id="104">
    <w:p w14:paraId="3F08D18D" w14:textId="77777777" w:rsidR="00222959" w:rsidRPr="00FC1781" w:rsidRDefault="00222959" w:rsidP="00222959">
      <w:pPr>
        <w:pStyle w:val="FootnoteText"/>
        <w:rPr>
          <w:sz w:val="20"/>
          <w:szCs w:val="20"/>
        </w:rPr>
      </w:pPr>
      <w:r w:rsidRPr="00FC1781">
        <w:rPr>
          <w:rStyle w:val="FootnoteReference"/>
          <w:sz w:val="20"/>
          <w:szCs w:val="20"/>
        </w:rPr>
        <w:footnoteRef/>
      </w:r>
      <w:r w:rsidRPr="00FC1781">
        <w:rPr>
          <w:sz w:val="20"/>
          <w:szCs w:val="20"/>
        </w:rPr>
        <w:t xml:space="preserve"> Situation In The Democratic Republic Of The Congo In The Case Of The Prosecutor V. Thomas Lubanga </w:t>
      </w:r>
      <w:proofErr w:type="spellStart"/>
      <w:proofErr w:type="gramStart"/>
      <w:r w:rsidRPr="00FC1781">
        <w:rPr>
          <w:sz w:val="20"/>
          <w:szCs w:val="20"/>
        </w:rPr>
        <w:t>Dyilo</w:t>
      </w:r>
      <w:proofErr w:type="spellEnd"/>
      <w:r w:rsidRPr="00FC1781">
        <w:rPr>
          <w:sz w:val="20"/>
          <w:szCs w:val="20"/>
        </w:rPr>
        <w:t xml:space="preserve">  Public</w:t>
      </w:r>
      <w:proofErr w:type="gramEnd"/>
      <w:r w:rsidRPr="00FC1781">
        <w:rPr>
          <w:sz w:val="20"/>
          <w:szCs w:val="20"/>
        </w:rPr>
        <w:t xml:space="preserve"> Document Prosecution's Document in Support of Appeal against Decision to Stay Proceedings No.: ICC-01/04-01/06 OA13 Date: 24 July 2008, at para 23.</w:t>
      </w:r>
    </w:p>
  </w:footnote>
  <w:footnote w:id="105">
    <w:p w14:paraId="505BD39B" w14:textId="77777777" w:rsidR="00222959" w:rsidRPr="00FC1781" w:rsidRDefault="00222959" w:rsidP="00222959">
      <w:pPr>
        <w:pStyle w:val="FootnoteText"/>
        <w:rPr>
          <w:color w:val="FF0000"/>
          <w:sz w:val="20"/>
          <w:szCs w:val="20"/>
        </w:rPr>
      </w:pPr>
      <w:r w:rsidRPr="00FC1781">
        <w:rPr>
          <w:rStyle w:val="FootnoteReference"/>
          <w:sz w:val="20"/>
          <w:szCs w:val="20"/>
        </w:rPr>
        <w:footnoteRef/>
      </w:r>
      <w:r w:rsidRPr="00FC1781">
        <w:rPr>
          <w:sz w:val="20"/>
          <w:szCs w:val="20"/>
        </w:rPr>
        <w:t xml:space="preserve"> Decision on Prosecutor's Motion for Order Appointing Counsel to Assist Vojislav </w:t>
      </w:r>
      <w:proofErr w:type="spellStart"/>
      <w:proofErr w:type="gramStart"/>
      <w:r w:rsidRPr="00FC1781">
        <w:rPr>
          <w:i/>
          <w:iCs/>
          <w:sz w:val="20"/>
          <w:szCs w:val="20"/>
        </w:rPr>
        <w:t>Šešelj</w:t>
      </w:r>
      <w:proofErr w:type="spellEnd"/>
      <w:r w:rsidRPr="00FC1781">
        <w:rPr>
          <w:i/>
          <w:iCs/>
          <w:sz w:val="20"/>
          <w:szCs w:val="20"/>
        </w:rPr>
        <w:t xml:space="preserve"> </w:t>
      </w:r>
      <w:r w:rsidRPr="00FC1781">
        <w:rPr>
          <w:sz w:val="20"/>
          <w:szCs w:val="20"/>
        </w:rPr>
        <w:t xml:space="preserve"> with</w:t>
      </w:r>
      <w:proofErr w:type="gramEnd"/>
      <w:r w:rsidRPr="00FC1781">
        <w:rPr>
          <w:sz w:val="20"/>
          <w:szCs w:val="20"/>
        </w:rPr>
        <w:t xml:space="preserve"> his Defence, </w:t>
      </w:r>
      <w:proofErr w:type="spellStart"/>
      <w:r w:rsidRPr="00FC1781">
        <w:rPr>
          <w:i/>
          <w:iCs/>
          <w:sz w:val="20"/>
          <w:szCs w:val="20"/>
        </w:rPr>
        <w:t>Šešelj</w:t>
      </w:r>
      <w:proofErr w:type="spellEnd"/>
      <w:r w:rsidRPr="00FC1781">
        <w:rPr>
          <w:i/>
          <w:iCs/>
          <w:sz w:val="20"/>
          <w:szCs w:val="20"/>
        </w:rPr>
        <w:t xml:space="preserve"> </w:t>
      </w:r>
      <w:r w:rsidRPr="00FC1781">
        <w:rPr>
          <w:sz w:val="20"/>
          <w:szCs w:val="20"/>
        </w:rPr>
        <w:t xml:space="preserve"> (IT-93-676-PT), Trial Chamber, 9 May 2003, at para 21</w:t>
      </w:r>
      <w:r w:rsidRPr="00FC1781">
        <w:rPr>
          <w:color w:val="FF0000"/>
          <w:sz w:val="20"/>
          <w:szCs w:val="20"/>
        </w:rPr>
        <w:t>.</w:t>
      </w:r>
    </w:p>
  </w:footnote>
  <w:footnote w:id="106">
    <w:p w14:paraId="6DD1C2CA" w14:textId="77777777" w:rsidR="00222959" w:rsidRPr="00FC1781" w:rsidRDefault="00222959" w:rsidP="00222959">
      <w:pPr>
        <w:autoSpaceDE w:val="0"/>
        <w:autoSpaceDN w:val="0"/>
        <w:adjustRightInd w:val="0"/>
        <w:rPr>
          <w:sz w:val="20"/>
          <w:szCs w:val="20"/>
        </w:rPr>
      </w:pPr>
      <w:r w:rsidRPr="00FC1781">
        <w:rPr>
          <w:rStyle w:val="FootnoteReference"/>
          <w:sz w:val="20"/>
          <w:szCs w:val="20"/>
        </w:rPr>
        <w:footnoteRef/>
      </w:r>
      <w:r w:rsidRPr="00FC1781">
        <w:rPr>
          <w:sz w:val="20"/>
          <w:szCs w:val="20"/>
        </w:rPr>
        <w:t xml:space="preserve"> See Nicholson, supra note 89, at 353.</w:t>
      </w:r>
    </w:p>
  </w:footnote>
  <w:footnote w:id="107">
    <w:p w14:paraId="232AA54A" w14:textId="77777777" w:rsidR="00222959" w:rsidRPr="00FC1781" w:rsidRDefault="00222959" w:rsidP="00222959">
      <w:pPr>
        <w:autoSpaceDE w:val="0"/>
        <w:autoSpaceDN w:val="0"/>
        <w:adjustRightInd w:val="0"/>
        <w:rPr>
          <w:sz w:val="20"/>
          <w:szCs w:val="20"/>
        </w:rPr>
      </w:pPr>
      <w:r w:rsidRPr="00FC1781">
        <w:rPr>
          <w:rStyle w:val="FootnoteReference"/>
          <w:sz w:val="20"/>
          <w:szCs w:val="20"/>
        </w:rPr>
        <w:footnoteRef/>
      </w:r>
      <w:r w:rsidRPr="00FC1781">
        <w:rPr>
          <w:sz w:val="20"/>
          <w:szCs w:val="20"/>
        </w:rPr>
        <w:t xml:space="preserve"> ibid.</w:t>
      </w:r>
    </w:p>
  </w:footnote>
  <w:footnote w:id="108">
    <w:p w14:paraId="3613BC8F" w14:textId="77777777" w:rsidR="00222959" w:rsidRPr="00FC1781" w:rsidRDefault="00222959" w:rsidP="00222959">
      <w:pPr>
        <w:pStyle w:val="FootnoteText"/>
        <w:rPr>
          <w:color w:val="000000" w:themeColor="text1"/>
          <w:sz w:val="20"/>
          <w:szCs w:val="20"/>
        </w:rPr>
      </w:pPr>
      <w:r w:rsidRPr="00FC1781">
        <w:rPr>
          <w:rStyle w:val="FootnoteReference"/>
          <w:sz w:val="20"/>
          <w:szCs w:val="20"/>
        </w:rPr>
        <w:footnoteRef/>
      </w:r>
      <w:r w:rsidRPr="00FC1781">
        <w:rPr>
          <w:sz w:val="20"/>
          <w:szCs w:val="20"/>
        </w:rPr>
        <w:t xml:space="preserve"> </w:t>
      </w:r>
      <w:r w:rsidRPr="00FC1781">
        <w:rPr>
          <w:color w:val="000000" w:themeColor="text1"/>
          <w:sz w:val="20"/>
          <w:szCs w:val="20"/>
        </w:rPr>
        <w:t xml:space="preserve">De </w:t>
      </w:r>
      <w:proofErr w:type="spellStart"/>
      <w:r w:rsidRPr="00FC1781">
        <w:rPr>
          <w:color w:val="000000" w:themeColor="text1"/>
          <w:sz w:val="20"/>
          <w:szCs w:val="20"/>
        </w:rPr>
        <w:t>Hoon</w:t>
      </w:r>
      <w:proofErr w:type="spellEnd"/>
      <w:r w:rsidRPr="00FC1781">
        <w:rPr>
          <w:color w:val="000000" w:themeColor="text1"/>
          <w:sz w:val="20"/>
          <w:szCs w:val="20"/>
        </w:rPr>
        <w:t xml:space="preserve"> argues that the Court has too many objectives, see De </w:t>
      </w:r>
      <w:proofErr w:type="spellStart"/>
      <w:r w:rsidRPr="00FC1781">
        <w:rPr>
          <w:color w:val="000000" w:themeColor="text1"/>
          <w:sz w:val="20"/>
          <w:szCs w:val="20"/>
        </w:rPr>
        <w:t>Hoon</w:t>
      </w:r>
      <w:proofErr w:type="spellEnd"/>
      <w:r w:rsidRPr="00FC1781">
        <w:rPr>
          <w:color w:val="000000" w:themeColor="text1"/>
          <w:sz w:val="20"/>
          <w:szCs w:val="20"/>
        </w:rPr>
        <w:t xml:space="preserve"> supra note 88, at 600.</w:t>
      </w:r>
    </w:p>
  </w:footnote>
  <w:footnote w:id="109">
    <w:p w14:paraId="2E358807" w14:textId="77777777" w:rsidR="00222959" w:rsidRPr="00FC1781" w:rsidRDefault="00222959" w:rsidP="00222959">
      <w:pPr>
        <w:pStyle w:val="FootnoteText"/>
        <w:rPr>
          <w:sz w:val="20"/>
          <w:szCs w:val="20"/>
        </w:rPr>
      </w:pPr>
      <w:r w:rsidRPr="00FC1781">
        <w:rPr>
          <w:rStyle w:val="FootnoteReference"/>
          <w:sz w:val="20"/>
          <w:szCs w:val="20"/>
        </w:rPr>
        <w:footnoteRef/>
      </w:r>
      <w:r w:rsidRPr="00FC1781">
        <w:rPr>
          <w:sz w:val="20"/>
          <w:szCs w:val="20"/>
        </w:rPr>
        <w:t xml:space="preserve"> See </w:t>
      </w:r>
      <w:proofErr w:type="spellStart"/>
      <w:r w:rsidRPr="00FC1781">
        <w:rPr>
          <w:sz w:val="20"/>
          <w:szCs w:val="20"/>
        </w:rPr>
        <w:t>Vasiliev</w:t>
      </w:r>
      <w:proofErr w:type="spellEnd"/>
      <w:r w:rsidRPr="00FC1781">
        <w:rPr>
          <w:sz w:val="20"/>
          <w:szCs w:val="20"/>
        </w:rPr>
        <w:t xml:space="preserve"> supra note 93, at 71.</w:t>
      </w:r>
    </w:p>
  </w:footnote>
  <w:footnote w:id="110">
    <w:p w14:paraId="4578B4EF" w14:textId="77777777" w:rsidR="00B7522E" w:rsidRPr="00FC1781" w:rsidRDefault="00B7522E" w:rsidP="00FD54D1">
      <w:pPr>
        <w:rPr>
          <w:color w:val="000000"/>
          <w:sz w:val="20"/>
          <w:szCs w:val="20"/>
        </w:rPr>
      </w:pPr>
      <w:r w:rsidRPr="00FC1781">
        <w:rPr>
          <w:rStyle w:val="FootnoteReference"/>
          <w:sz w:val="20"/>
          <w:szCs w:val="20"/>
        </w:rPr>
        <w:footnoteRef/>
      </w:r>
      <w:r w:rsidRPr="00FC1781">
        <w:rPr>
          <w:sz w:val="20"/>
          <w:szCs w:val="20"/>
        </w:rPr>
        <w:t xml:space="preserve"> </w:t>
      </w:r>
      <w:r w:rsidRPr="00FC1781">
        <w:rPr>
          <w:color w:val="111111"/>
          <w:sz w:val="20"/>
          <w:szCs w:val="20"/>
          <w:shd w:val="clear" w:color="auto" w:fill="FFFFFF"/>
        </w:rPr>
        <w:t xml:space="preserve">M. </w:t>
      </w:r>
      <w:proofErr w:type="spellStart"/>
      <w:r w:rsidRPr="00FC1781">
        <w:rPr>
          <w:color w:val="111111"/>
          <w:sz w:val="20"/>
          <w:szCs w:val="20"/>
          <w:shd w:val="clear" w:color="auto" w:fill="FFFFFF"/>
        </w:rPr>
        <w:t>Struett</w:t>
      </w:r>
      <w:proofErr w:type="spellEnd"/>
      <w:r w:rsidRPr="00FC1781">
        <w:rPr>
          <w:color w:val="111111"/>
          <w:sz w:val="20"/>
          <w:szCs w:val="20"/>
          <w:shd w:val="clear" w:color="auto" w:fill="FFFFFF"/>
        </w:rPr>
        <w:t xml:space="preserve">, ‘The Politics of Discursive Legitimacy: Understanding the Dynamics and Implications of Prosecutorial Discretion at the International Criminal Court’ in </w:t>
      </w:r>
      <w:r w:rsidRPr="00FC1781">
        <w:rPr>
          <w:bCs/>
          <w:color w:val="000000"/>
          <w:sz w:val="20"/>
          <w:szCs w:val="20"/>
        </w:rPr>
        <w:t xml:space="preserve">Steven C. Roach (ed) </w:t>
      </w:r>
      <w:r w:rsidRPr="00FC1781">
        <w:rPr>
          <w:i/>
          <w:color w:val="000000"/>
          <w:sz w:val="20"/>
          <w:szCs w:val="20"/>
        </w:rPr>
        <w:t>Governance, Order, and the International Criminal Court: Between Realpolitik and a Cosmopolitan Court</w:t>
      </w:r>
      <w:r w:rsidRPr="00FC1781">
        <w:rPr>
          <w:color w:val="000000"/>
          <w:sz w:val="20"/>
          <w:szCs w:val="20"/>
        </w:rPr>
        <w:t xml:space="preserve"> (2009) at</w:t>
      </w:r>
      <w:r w:rsidRPr="00FC1781">
        <w:rPr>
          <w:color w:val="111111"/>
          <w:sz w:val="20"/>
          <w:szCs w:val="20"/>
          <w:shd w:val="clear" w:color="auto" w:fill="FFFFFF"/>
        </w:rPr>
        <w:t xml:space="preserve"> 107.</w:t>
      </w:r>
    </w:p>
  </w:footnote>
  <w:footnote w:id="111">
    <w:p w14:paraId="42C207B2" w14:textId="77777777" w:rsidR="00B7522E" w:rsidRPr="00FC1781" w:rsidRDefault="00B7522E" w:rsidP="00FD54D1">
      <w:pPr>
        <w:pStyle w:val="FootnoteText"/>
        <w:rPr>
          <w:sz w:val="20"/>
          <w:szCs w:val="20"/>
        </w:rPr>
      </w:pPr>
      <w:r w:rsidRPr="00FC1781">
        <w:rPr>
          <w:rStyle w:val="FootnoteReference"/>
          <w:sz w:val="20"/>
          <w:szCs w:val="20"/>
        </w:rPr>
        <w:footnoteRef/>
      </w:r>
      <w:r w:rsidRPr="00FC1781">
        <w:rPr>
          <w:sz w:val="20"/>
          <w:szCs w:val="20"/>
        </w:rPr>
        <w:t xml:space="preserve"> Art. 11(1) Universal Declaration of Human Rights GA Res. 217 A(III), UN Doc. A/810 (1948); Art 6(2) European Convention on Human Rights (1955) 213 UNTS 221; Art.14(2) International Covenant on Civil and Political Rights (1976) 999UNTS 171; Art. 7(2) American Convention in Human Rights 1144 UNTS 123 (1978); Art.7(1)(b) African Charter on Human and People’s Rights (1986) 1520 UNTS217.</w:t>
      </w:r>
    </w:p>
  </w:footnote>
  <w:footnote w:id="112">
    <w:p w14:paraId="28AE0D75" w14:textId="77777777" w:rsidR="00B7522E" w:rsidRPr="00FC1781" w:rsidRDefault="00B7522E" w:rsidP="00FD54D1">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Protected by </w:t>
      </w:r>
      <w:r w:rsidRPr="00FC1781">
        <w:rPr>
          <w:sz w:val="20"/>
          <w:szCs w:val="20"/>
        </w:rPr>
        <w:t>Art.</w:t>
      </w:r>
      <w:r w:rsidRPr="00FC1781">
        <w:rPr>
          <w:color w:val="000000" w:themeColor="text1"/>
          <w:sz w:val="20"/>
          <w:szCs w:val="20"/>
        </w:rPr>
        <w:t xml:space="preserve">66(1) </w:t>
      </w:r>
      <w:r w:rsidRPr="00FC1781">
        <w:rPr>
          <w:sz w:val="20"/>
          <w:szCs w:val="20"/>
        </w:rPr>
        <w:t xml:space="preserve">Rome </w:t>
      </w:r>
      <w:r w:rsidRPr="00FC1781">
        <w:rPr>
          <w:color w:val="000000" w:themeColor="text1"/>
          <w:sz w:val="20"/>
          <w:szCs w:val="20"/>
        </w:rPr>
        <w:t>Statute.</w:t>
      </w:r>
    </w:p>
  </w:footnote>
  <w:footnote w:id="113">
    <w:p w14:paraId="38471A85" w14:textId="77777777" w:rsidR="00B7522E" w:rsidRPr="00FC1781" w:rsidRDefault="00B7522E" w:rsidP="00FD54D1">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Decision on Notification DRC, 11 April 2008, at 11.</w:t>
      </w:r>
    </w:p>
  </w:footnote>
  <w:footnote w:id="114">
    <w:p w14:paraId="1AD13211" w14:textId="77777777" w:rsidR="00B7522E" w:rsidRPr="00FC1781" w:rsidRDefault="00B7522E" w:rsidP="00FD54D1">
      <w:pPr>
        <w:rPr>
          <w:sz w:val="20"/>
          <w:szCs w:val="20"/>
        </w:rPr>
      </w:pPr>
      <w:r w:rsidRPr="00FC1781">
        <w:rPr>
          <w:rStyle w:val="FootnoteReference"/>
          <w:color w:val="000000" w:themeColor="text1"/>
          <w:sz w:val="20"/>
          <w:szCs w:val="20"/>
        </w:rPr>
        <w:footnoteRef/>
      </w:r>
      <w:r w:rsidRPr="00FC1781">
        <w:rPr>
          <w:sz w:val="20"/>
          <w:szCs w:val="20"/>
        </w:rPr>
        <w:t xml:space="preserve"> Art.54(1)(a). See also H.J. Behrens, ‘</w:t>
      </w:r>
      <w:r w:rsidRPr="00FC1781">
        <w:rPr>
          <w:sz w:val="20"/>
          <w:szCs w:val="20"/>
          <w:shd w:val="clear" w:color="auto" w:fill="FFFFFF"/>
        </w:rPr>
        <w:t>Investigation, Trial and Appeal in the International Criminal Court Statute (Parts V, VI, VII)</w:t>
      </w:r>
      <w:r w:rsidRPr="00FC1781">
        <w:rPr>
          <w:rStyle w:val="apple-converted-space"/>
          <w:rFonts w:eastAsiaTheme="majorEastAsia"/>
          <w:color w:val="000000" w:themeColor="text1"/>
          <w:sz w:val="20"/>
          <w:szCs w:val="20"/>
          <w:shd w:val="clear" w:color="auto" w:fill="FFFFFF"/>
        </w:rPr>
        <w:t> </w:t>
      </w:r>
      <w:r w:rsidRPr="00FC1781">
        <w:rPr>
          <w:iCs/>
          <w:sz w:val="20"/>
          <w:szCs w:val="20"/>
        </w:rPr>
        <w:t>International Criminal Court’ (1998)</w:t>
      </w:r>
      <w:r w:rsidRPr="00FC1781">
        <w:rPr>
          <w:rStyle w:val="apple-converted-space"/>
          <w:rFonts w:eastAsiaTheme="majorEastAsia"/>
          <w:iCs/>
          <w:color w:val="000000" w:themeColor="text1"/>
          <w:sz w:val="20"/>
          <w:szCs w:val="20"/>
        </w:rPr>
        <w:t> </w:t>
      </w:r>
      <w:r w:rsidRPr="00FC1781">
        <w:rPr>
          <w:sz w:val="20"/>
          <w:szCs w:val="20"/>
        </w:rPr>
        <w:t>European Journal of Crime, Criminal Law and Criminal Justice 429 at 438-439.</w:t>
      </w:r>
    </w:p>
  </w:footnote>
  <w:footnote w:id="115">
    <w:p w14:paraId="667A702B" w14:textId="77777777" w:rsidR="00B7522E" w:rsidRPr="00FC1781" w:rsidRDefault="00B7522E" w:rsidP="00FD54D1">
      <w:pPr>
        <w:widowControl w:val="0"/>
        <w:autoSpaceDE w:val="0"/>
        <w:autoSpaceDN w:val="0"/>
        <w:adjustRightInd w:val="0"/>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Observations of the Legal Representative of Victims, Situation in the Democratic Republic of Congo, Legal Representative of Victims a/0016/06, a/0018/06, a/0021/06, a/0025/06, a/0028/06, a/0031/06, a/0032/06, a/0034/06, a/0042/06, a/0044/06, a/0045/06, a/0142/06, a/0148/06, a/0150/06, a/0188/06, a/0199/06 and a/0228/06 on the Notification of the Board of Directors of the Trust Fund for Victims , ICC-01/04-461 (20 Feb 2008) para 17.</w:t>
      </w:r>
    </w:p>
  </w:footnote>
  <w:footnote w:id="116">
    <w:p w14:paraId="022E1218" w14:textId="77777777" w:rsidR="00B7522E" w:rsidRPr="00FC1781" w:rsidRDefault="00B7522E" w:rsidP="00FD54D1">
      <w:pPr>
        <w:pStyle w:val="FootnoteText"/>
        <w:rPr>
          <w:color w:val="000000" w:themeColor="text1"/>
          <w:sz w:val="20"/>
          <w:szCs w:val="20"/>
          <w:lang w:val="en-US"/>
        </w:rPr>
      </w:pPr>
      <w:r w:rsidRPr="00FC1781">
        <w:rPr>
          <w:rStyle w:val="FootnoteReference"/>
          <w:color w:val="000000" w:themeColor="text1"/>
          <w:sz w:val="20"/>
          <w:szCs w:val="20"/>
        </w:rPr>
        <w:footnoteRef/>
      </w:r>
      <w:r w:rsidRPr="00FC1781">
        <w:rPr>
          <w:color w:val="000000" w:themeColor="text1"/>
          <w:sz w:val="20"/>
          <w:szCs w:val="20"/>
        </w:rPr>
        <w:t xml:space="preserve"> </w:t>
      </w:r>
      <w:r w:rsidRPr="00FC1781">
        <w:rPr>
          <w:sz w:val="20"/>
          <w:szCs w:val="20"/>
        </w:rPr>
        <w:t xml:space="preserve">Art. </w:t>
      </w:r>
      <w:r w:rsidRPr="00FC1781">
        <w:rPr>
          <w:color w:val="000000" w:themeColor="text1"/>
          <w:sz w:val="20"/>
          <w:szCs w:val="20"/>
          <w:lang w:val="en-US"/>
        </w:rPr>
        <w:t xml:space="preserve">66(2) and (3) </w:t>
      </w:r>
      <w:r w:rsidRPr="00FC1781">
        <w:rPr>
          <w:sz w:val="20"/>
          <w:szCs w:val="20"/>
        </w:rPr>
        <w:t xml:space="preserve">Rome </w:t>
      </w:r>
      <w:r w:rsidRPr="00FC1781">
        <w:rPr>
          <w:color w:val="000000" w:themeColor="text1"/>
          <w:sz w:val="20"/>
          <w:szCs w:val="20"/>
          <w:lang w:val="en-US"/>
        </w:rPr>
        <w:t>Statute.</w:t>
      </w:r>
    </w:p>
  </w:footnote>
  <w:footnote w:id="117">
    <w:p w14:paraId="3C78C87C" w14:textId="77777777" w:rsidR="00B7522E" w:rsidRPr="00FC1781" w:rsidRDefault="00B7522E" w:rsidP="00FD54D1">
      <w:pPr>
        <w:widowControl w:val="0"/>
        <w:autoSpaceDE w:val="0"/>
        <w:autoSpaceDN w:val="0"/>
        <w:adjustRightInd w:val="0"/>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Defence observations on applications for participation in the proceedings a/0010/06, a/0064/06 to a/0070/06, a/0081/06 to a/0104/06 and a/0111/06 to a/0127/06, 5 March 2007</w:t>
      </w:r>
      <w:r w:rsidRPr="00FC1781">
        <w:rPr>
          <w:b/>
          <w:bCs/>
          <w:color w:val="000000" w:themeColor="text1"/>
          <w:sz w:val="20"/>
          <w:szCs w:val="20"/>
        </w:rPr>
        <w:t xml:space="preserve">, </w:t>
      </w:r>
      <w:r w:rsidRPr="00FC1781">
        <w:rPr>
          <w:color w:val="000000" w:themeColor="text1"/>
          <w:sz w:val="20"/>
          <w:szCs w:val="20"/>
        </w:rPr>
        <w:t xml:space="preserve">ICC-02/04-01/05-21 at para.17. </w:t>
      </w:r>
    </w:p>
  </w:footnote>
  <w:footnote w:id="118">
    <w:p w14:paraId="4B6245C2" w14:textId="77777777" w:rsidR="00B7522E" w:rsidRPr="00FC1781" w:rsidRDefault="00B7522E" w:rsidP="002C1704">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See Observations of the Legal Representative of Victims supra note 27, para 17.</w:t>
      </w:r>
    </w:p>
  </w:footnote>
  <w:footnote w:id="119">
    <w:p w14:paraId="3FA83EA1" w14:textId="635879CF" w:rsidR="00B7522E" w:rsidRPr="00FC1781" w:rsidRDefault="00B7522E" w:rsidP="002C1704">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Prosecutor v. </w:t>
      </w:r>
      <w:proofErr w:type="spellStart"/>
      <w:r w:rsidRPr="00FC1781">
        <w:rPr>
          <w:color w:val="000000" w:themeColor="text1"/>
          <w:sz w:val="20"/>
          <w:szCs w:val="20"/>
        </w:rPr>
        <w:t>Popovi</w:t>
      </w:r>
      <w:r w:rsidRPr="00FC1781">
        <w:rPr>
          <w:rStyle w:val="st"/>
          <w:rFonts w:eastAsiaTheme="majorEastAsia"/>
          <w:sz w:val="20"/>
          <w:szCs w:val="20"/>
        </w:rPr>
        <w:t>ć</w:t>
      </w:r>
      <w:proofErr w:type="spellEnd"/>
      <w:r w:rsidRPr="00FC1781">
        <w:rPr>
          <w:color w:val="000000" w:themeColor="text1"/>
          <w:sz w:val="20"/>
          <w:szCs w:val="20"/>
        </w:rPr>
        <w:t xml:space="preserve"> et al, Transcript (26 Mar 2007) at 9461-9465.</w:t>
      </w:r>
    </w:p>
  </w:footnote>
  <w:footnote w:id="120">
    <w:p w14:paraId="66FE7F50" w14:textId="77777777" w:rsidR="00B7522E" w:rsidRPr="00FC1781" w:rsidRDefault="00B7522E" w:rsidP="0032670B">
      <w:pPr>
        <w:autoSpaceDE w:val="0"/>
        <w:autoSpaceDN w:val="0"/>
        <w:adjustRightInd w:val="0"/>
        <w:rPr>
          <w:rFonts w:eastAsia="NewBaskerville-Roman"/>
          <w:sz w:val="20"/>
          <w:szCs w:val="20"/>
        </w:rPr>
      </w:pPr>
      <w:r w:rsidRPr="00FC1781">
        <w:rPr>
          <w:rStyle w:val="FootnoteReference"/>
          <w:rFonts w:eastAsiaTheme="majorEastAsia"/>
          <w:sz w:val="20"/>
          <w:szCs w:val="20"/>
        </w:rPr>
        <w:footnoteRef/>
      </w:r>
      <w:r w:rsidRPr="00FC1781">
        <w:rPr>
          <w:sz w:val="20"/>
          <w:szCs w:val="20"/>
        </w:rPr>
        <w:t xml:space="preserve"> </w:t>
      </w:r>
      <w:r w:rsidRPr="00FC1781">
        <w:rPr>
          <w:rFonts w:eastAsia="NewBaskerville-Italic"/>
          <w:i/>
          <w:iCs/>
          <w:sz w:val="20"/>
          <w:szCs w:val="20"/>
        </w:rPr>
        <w:t xml:space="preserve">Prosecutor v Thomas Lubanga </w:t>
      </w:r>
      <w:proofErr w:type="spellStart"/>
      <w:r w:rsidRPr="00FC1781">
        <w:rPr>
          <w:rFonts w:eastAsia="NewBaskerville-Italic"/>
          <w:i/>
          <w:iCs/>
          <w:sz w:val="20"/>
          <w:szCs w:val="20"/>
        </w:rPr>
        <w:t>Dyilo</w:t>
      </w:r>
      <w:proofErr w:type="spellEnd"/>
      <w:r w:rsidRPr="00FC1781">
        <w:rPr>
          <w:rFonts w:eastAsia="NewBaskerville-Roman"/>
          <w:sz w:val="20"/>
          <w:szCs w:val="20"/>
        </w:rPr>
        <w:t>, Judgment pursuant to Art 74 ICC-01/04-01/06-2842, 14 March 2012, at para 479.</w:t>
      </w:r>
    </w:p>
  </w:footnote>
  <w:footnote w:id="121">
    <w:p w14:paraId="4C6707FD" w14:textId="77777777" w:rsidR="00B7522E" w:rsidRPr="00FC1781" w:rsidRDefault="00B7522E" w:rsidP="0032670B">
      <w:pPr>
        <w:pStyle w:val="FootnoteText"/>
        <w:rPr>
          <w:sz w:val="20"/>
          <w:szCs w:val="20"/>
        </w:rPr>
      </w:pPr>
      <w:r w:rsidRPr="00FC1781">
        <w:rPr>
          <w:rStyle w:val="FootnoteReference"/>
          <w:rFonts w:eastAsiaTheme="majorEastAsia"/>
          <w:sz w:val="20"/>
          <w:szCs w:val="20"/>
        </w:rPr>
        <w:footnoteRef/>
      </w:r>
      <w:r w:rsidRPr="00FC1781">
        <w:rPr>
          <w:sz w:val="20"/>
          <w:szCs w:val="20"/>
        </w:rPr>
        <w:t xml:space="preserve"> </w:t>
      </w:r>
      <w:r w:rsidRPr="00FC1781">
        <w:rPr>
          <w:rFonts w:eastAsia="NewBaskerville-Italic"/>
          <w:i/>
          <w:iCs/>
          <w:sz w:val="20"/>
          <w:szCs w:val="20"/>
        </w:rPr>
        <w:t xml:space="preserve">Prosecutor v Mathieu </w:t>
      </w:r>
      <w:proofErr w:type="spellStart"/>
      <w:r w:rsidRPr="00FC1781">
        <w:rPr>
          <w:rFonts w:eastAsia="NewBaskerville-Italic"/>
          <w:i/>
          <w:iCs/>
          <w:sz w:val="20"/>
          <w:szCs w:val="20"/>
        </w:rPr>
        <w:t>Ngudjolo</w:t>
      </w:r>
      <w:proofErr w:type="spellEnd"/>
      <w:r w:rsidRPr="00FC1781">
        <w:rPr>
          <w:rFonts w:eastAsia="NewBaskerville-Italic"/>
          <w:i/>
          <w:iCs/>
          <w:sz w:val="20"/>
          <w:szCs w:val="20"/>
        </w:rPr>
        <w:t xml:space="preserve"> Chui</w:t>
      </w:r>
      <w:r w:rsidRPr="00FC1781">
        <w:rPr>
          <w:rFonts w:eastAsia="NewBaskerville-Roman"/>
          <w:sz w:val="20"/>
          <w:szCs w:val="20"/>
        </w:rPr>
        <w:t xml:space="preserve">, Judgment pursuant to Art 74 of the Statute ICC-01/04-02/12-3-tENG, 18 December </w:t>
      </w:r>
      <w:proofErr w:type="gramStart"/>
      <w:r w:rsidRPr="00FC1781">
        <w:rPr>
          <w:rFonts w:eastAsia="NewBaskerville-Roman"/>
          <w:sz w:val="20"/>
          <w:szCs w:val="20"/>
        </w:rPr>
        <w:t>2012,at</w:t>
      </w:r>
      <w:proofErr w:type="gramEnd"/>
      <w:r w:rsidRPr="00FC1781">
        <w:rPr>
          <w:rFonts w:eastAsia="NewBaskerville-Roman"/>
          <w:sz w:val="20"/>
          <w:szCs w:val="20"/>
        </w:rPr>
        <w:t xml:space="preserve"> paras 189, 218.</w:t>
      </w:r>
    </w:p>
  </w:footnote>
  <w:footnote w:id="122">
    <w:p w14:paraId="27AA4C47" w14:textId="77777777" w:rsidR="00B7522E" w:rsidRPr="00FC1781" w:rsidRDefault="00B7522E" w:rsidP="0032670B">
      <w:pPr>
        <w:autoSpaceDE w:val="0"/>
        <w:autoSpaceDN w:val="0"/>
        <w:adjustRightInd w:val="0"/>
        <w:rPr>
          <w:sz w:val="20"/>
          <w:szCs w:val="20"/>
        </w:rPr>
      </w:pPr>
      <w:r w:rsidRPr="00FC1781">
        <w:rPr>
          <w:rStyle w:val="FootnoteReference"/>
          <w:rFonts w:eastAsiaTheme="majorEastAsia"/>
          <w:sz w:val="20"/>
          <w:szCs w:val="20"/>
        </w:rPr>
        <w:footnoteRef/>
      </w:r>
      <w:r w:rsidRPr="00FC1781">
        <w:rPr>
          <w:sz w:val="20"/>
          <w:szCs w:val="20"/>
        </w:rPr>
        <w:t xml:space="preserve"> Witnesses before the International Criminal Court </w:t>
      </w:r>
      <w:proofErr w:type="gramStart"/>
      <w:r w:rsidRPr="00FC1781">
        <w:rPr>
          <w:sz w:val="20"/>
          <w:szCs w:val="20"/>
        </w:rPr>
        <w:t>An</w:t>
      </w:r>
      <w:proofErr w:type="gramEnd"/>
      <w:r w:rsidRPr="00FC1781">
        <w:rPr>
          <w:sz w:val="20"/>
          <w:szCs w:val="20"/>
        </w:rPr>
        <w:t xml:space="preserve"> International Bar Association International Criminal Court Programme report on the ICC’s efforts and challenges to protect, support and ensure the rights of witnesses, July 2013 accessible at www.ibanet.org/Document/Default.aspx?DocumentUid=9C4F533D-1927-421B-8C12-D41768FFC11F (last visited April 2020).</w:t>
      </w:r>
    </w:p>
  </w:footnote>
  <w:footnote w:id="123">
    <w:p w14:paraId="4B3D11B0" w14:textId="005DF9A0" w:rsidR="00B7522E" w:rsidRPr="00FC1781" w:rsidRDefault="00B7522E" w:rsidP="0032670B">
      <w:pPr>
        <w:widowControl w:val="0"/>
        <w:autoSpaceDE w:val="0"/>
        <w:autoSpaceDN w:val="0"/>
        <w:adjustRightInd w:val="0"/>
        <w:rPr>
          <w:color w:val="000000" w:themeColor="text1"/>
          <w:sz w:val="20"/>
          <w:szCs w:val="20"/>
        </w:rPr>
      </w:pPr>
      <w:r w:rsidRPr="00FC1781">
        <w:rPr>
          <w:rStyle w:val="FootnoteReference"/>
          <w:rFonts w:eastAsiaTheme="majorEastAsia"/>
          <w:color w:val="000000" w:themeColor="text1"/>
          <w:sz w:val="20"/>
          <w:szCs w:val="20"/>
        </w:rPr>
        <w:footnoteRef/>
      </w:r>
      <w:r w:rsidRPr="00FC1781">
        <w:rPr>
          <w:color w:val="000000" w:themeColor="text1"/>
          <w:sz w:val="20"/>
          <w:szCs w:val="20"/>
        </w:rPr>
        <w:t xml:space="preserve"> </w:t>
      </w:r>
      <w:r w:rsidRPr="00FC1781">
        <w:rPr>
          <w:sz w:val="20"/>
          <w:szCs w:val="20"/>
        </w:rPr>
        <w:t xml:space="preserve">OPCD Observations on the Notification under Regulation 50 of the Regulations of the Trust Fund for Victims, ICC-02/04-122 (12 Mar 2008) Situation in Uganda at para </w:t>
      </w:r>
      <w:r w:rsidRPr="00FC1781">
        <w:rPr>
          <w:color w:val="000000" w:themeColor="text1"/>
          <w:sz w:val="20"/>
          <w:szCs w:val="20"/>
        </w:rPr>
        <w:t>66.</w:t>
      </w:r>
    </w:p>
  </w:footnote>
  <w:footnote w:id="124">
    <w:p w14:paraId="04E6BA02" w14:textId="77777777" w:rsidR="00B7522E" w:rsidRPr="00FC1781" w:rsidRDefault="00B7522E" w:rsidP="00CB77E1">
      <w:pPr>
        <w:pStyle w:val="FootnoteText"/>
        <w:rPr>
          <w:color w:val="000000" w:themeColor="text1"/>
          <w:sz w:val="20"/>
          <w:szCs w:val="20"/>
          <w:lang w:val="en-US"/>
        </w:rPr>
      </w:pPr>
      <w:r w:rsidRPr="00FC1781">
        <w:rPr>
          <w:rStyle w:val="FootnoteReference"/>
          <w:color w:val="000000" w:themeColor="text1"/>
          <w:sz w:val="20"/>
          <w:szCs w:val="20"/>
        </w:rPr>
        <w:footnoteRef/>
      </w:r>
      <w:r w:rsidRPr="00FC1781">
        <w:rPr>
          <w:color w:val="000000" w:themeColor="text1"/>
          <w:sz w:val="20"/>
          <w:szCs w:val="20"/>
        </w:rPr>
        <w:t xml:space="preserve"> </w:t>
      </w:r>
      <w:r w:rsidRPr="00FC1781">
        <w:rPr>
          <w:sz w:val="20"/>
          <w:szCs w:val="20"/>
        </w:rPr>
        <w:t xml:space="preserve">Art. </w:t>
      </w:r>
      <w:r w:rsidRPr="00FC1781">
        <w:rPr>
          <w:color w:val="000000" w:themeColor="text1"/>
          <w:sz w:val="20"/>
          <w:szCs w:val="20"/>
        </w:rPr>
        <w:t xml:space="preserve">17(1)(d) </w:t>
      </w:r>
      <w:r w:rsidRPr="00FC1781">
        <w:rPr>
          <w:sz w:val="20"/>
          <w:szCs w:val="20"/>
        </w:rPr>
        <w:t xml:space="preserve">Rome </w:t>
      </w:r>
      <w:r w:rsidRPr="00FC1781">
        <w:rPr>
          <w:color w:val="000000" w:themeColor="text1"/>
          <w:sz w:val="20"/>
          <w:szCs w:val="20"/>
        </w:rPr>
        <w:t>Statute.</w:t>
      </w:r>
    </w:p>
  </w:footnote>
  <w:footnote w:id="125">
    <w:p w14:paraId="26F53846" w14:textId="77777777" w:rsidR="00B7522E" w:rsidRPr="00FC1781" w:rsidRDefault="00B7522E" w:rsidP="00200A1D">
      <w:pPr>
        <w:pStyle w:val="FootnoteText"/>
        <w:rPr>
          <w:sz w:val="20"/>
          <w:szCs w:val="20"/>
        </w:rPr>
      </w:pPr>
      <w:r w:rsidRPr="00FC1781">
        <w:rPr>
          <w:rStyle w:val="FootnoteReference"/>
          <w:sz w:val="20"/>
          <w:szCs w:val="20"/>
        </w:rPr>
        <w:footnoteRef/>
      </w:r>
      <w:r w:rsidRPr="00FC1781">
        <w:rPr>
          <w:sz w:val="20"/>
          <w:szCs w:val="20"/>
        </w:rPr>
        <w:t xml:space="preserve"> </w:t>
      </w:r>
      <w:r w:rsidRPr="00FC1781">
        <w:rPr>
          <w:color w:val="000000" w:themeColor="text1"/>
          <w:sz w:val="20"/>
          <w:szCs w:val="20"/>
        </w:rPr>
        <w:t xml:space="preserve">A. Buchanan and R. Keohane; ‘The Legitimacy of Global Governance Institutions’ </w:t>
      </w:r>
      <w:r w:rsidRPr="00FC1781">
        <w:rPr>
          <w:color w:val="000000" w:themeColor="text1"/>
          <w:sz w:val="20"/>
          <w:szCs w:val="20"/>
          <w:shd w:val="clear" w:color="auto" w:fill="FFFFFF"/>
        </w:rPr>
        <w:t>(</w:t>
      </w:r>
      <w:r w:rsidRPr="00FC1781">
        <w:rPr>
          <w:color w:val="000000" w:themeColor="text1"/>
          <w:sz w:val="20"/>
          <w:szCs w:val="20"/>
        </w:rPr>
        <w:t>2006</w:t>
      </w:r>
      <w:r w:rsidRPr="00FC1781">
        <w:rPr>
          <w:color w:val="000000" w:themeColor="text1"/>
          <w:sz w:val="20"/>
          <w:szCs w:val="20"/>
          <w:shd w:val="clear" w:color="auto" w:fill="FFFFFF"/>
        </w:rPr>
        <w:t xml:space="preserve">) 20 (4) </w:t>
      </w:r>
      <w:r w:rsidRPr="00FC1781">
        <w:rPr>
          <w:rStyle w:val="Emphasis"/>
          <w:rFonts w:eastAsiaTheme="majorEastAsia"/>
          <w:i w:val="0"/>
          <w:color w:val="000000" w:themeColor="text1"/>
          <w:sz w:val="20"/>
          <w:szCs w:val="20"/>
        </w:rPr>
        <w:t xml:space="preserve">Ethics and International Affairs </w:t>
      </w:r>
      <w:r w:rsidRPr="00FC1781">
        <w:rPr>
          <w:color w:val="000000" w:themeColor="text1"/>
          <w:sz w:val="20"/>
          <w:szCs w:val="20"/>
          <w:shd w:val="clear" w:color="auto" w:fill="FFFFFF"/>
        </w:rPr>
        <w:t>405.</w:t>
      </w:r>
    </w:p>
  </w:footnote>
  <w:footnote w:id="126">
    <w:p w14:paraId="287C8FCD" w14:textId="77777777" w:rsidR="00B7522E" w:rsidRPr="00FC1781" w:rsidRDefault="00B7522E" w:rsidP="00200A1D">
      <w:pPr>
        <w:pStyle w:val="FootnoteText"/>
        <w:rPr>
          <w:sz w:val="20"/>
          <w:szCs w:val="20"/>
        </w:rPr>
      </w:pPr>
      <w:r w:rsidRPr="00FC1781">
        <w:rPr>
          <w:rStyle w:val="FootnoteReference"/>
          <w:sz w:val="20"/>
          <w:szCs w:val="20"/>
        </w:rPr>
        <w:footnoteRef/>
      </w:r>
      <w:r w:rsidRPr="00FC1781">
        <w:rPr>
          <w:sz w:val="20"/>
          <w:szCs w:val="20"/>
        </w:rPr>
        <w:t xml:space="preserve"> M. C. </w:t>
      </w:r>
      <w:proofErr w:type="spellStart"/>
      <w:r w:rsidRPr="00FC1781">
        <w:rPr>
          <w:sz w:val="20"/>
          <w:szCs w:val="20"/>
        </w:rPr>
        <w:t>Bassiouni</w:t>
      </w:r>
      <w:proofErr w:type="spellEnd"/>
      <w:r w:rsidRPr="00FC1781">
        <w:rPr>
          <w:sz w:val="20"/>
          <w:szCs w:val="20"/>
        </w:rPr>
        <w:t xml:space="preserve">, ‘The ICC - Quo Vadis?’, 2006(4) </w:t>
      </w:r>
      <w:r w:rsidRPr="00FC1781">
        <w:rPr>
          <w:rStyle w:val="Emphasis"/>
          <w:rFonts w:eastAsiaTheme="majorEastAsia"/>
          <w:i w:val="0"/>
          <w:color w:val="2A2A2A"/>
          <w:sz w:val="20"/>
          <w:szCs w:val="20"/>
          <w:bdr w:val="none" w:sz="0" w:space="0" w:color="auto" w:frame="1"/>
        </w:rPr>
        <w:t>IJCJ</w:t>
      </w:r>
      <w:r w:rsidRPr="00FC1781">
        <w:rPr>
          <w:color w:val="2A2A2A"/>
          <w:sz w:val="20"/>
          <w:szCs w:val="20"/>
          <w:shd w:val="clear" w:color="auto" w:fill="FFFFFF"/>
        </w:rPr>
        <w:t xml:space="preserve"> 421, at </w:t>
      </w:r>
      <w:r w:rsidRPr="00FC1781">
        <w:rPr>
          <w:sz w:val="20"/>
          <w:szCs w:val="20"/>
        </w:rPr>
        <w:t>426.</w:t>
      </w:r>
    </w:p>
  </w:footnote>
  <w:footnote w:id="127">
    <w:p w14:paraId="6EE3A235" w14:textId="10AE4B33" w:rsidR="00B7522E" w:rsidRPr="00FC1781" w:rsidRDefault="00B7522E" w:rsidP="008B06A1">
      <w:pPr>
        <w:pStyle w:val="FootnoteText"/>
        <w:rPr>
          <w:color w:val="FF0000"/>
          <w:sz w:val="20"/>
          <w:szCs w:val="20"/>
        </w:rPr>
      </w:pPr>
      <w:r w:rsidRPr="00FC1781">
        <w:rPr>
          <w:rStyle w:val="FootnoteReference"/>
          <w:sz w:val="20"/>
          <w:szCs w:val="20"/>
        </w:rPr>
        <w:footnoteRef/>
      </w:r>
      <w:r w:rsidRPr="00FC1781">
        <w:rPr>
          <w:sz w:val="20"/>
          <w:szCs w:val="20"/>
        </w:rPr>
        <w:t xml:space="preserve"> Rome Statute Preamble Para 10, Art.17.</w:t>
      </w:r>
    </w:p>
  </w:footnote>
  <w:footnote w:id="128">
    <w:p w14:paraId="2DD2C4CA" w14:textId="307121C8" w:rsidR="00B7522E" w:rsidRPr="00FC1781" w:rsidRDefault="00B7522E" w:rsidP="008B06A1">
      <w:pPr>
        <w:pStyle w:val="FootnoteText"/>
        <w:rPr>
          <w:sz w:val="20"/>
          <w:szCs w:val="20"/>
        </w:rPr>
      </w:pPr>
      <w:r w:rsidRPr="00FC1781">
        <w:rPr>
          <w:rStyle w:val="FootnoteReference"/>
          <w:sz w:val="20"/>
          <w:szCs w:val="20"/>
        </w:rPr>
        <w:footnoteRef/>
      </w:r>
      <w:r w:rsidRPr="00FC1781">
        <w:rPr>
          <w:sz w:val="20"/>
          <w:szCs w:val="20"/>
        </w:rPr>
        <w:t xml:space="preserve"> See OPCD Observations Uganda supra note 173, at para 41.</w:t>
      </w:r>
    </w:p>
  </w:footnote>
  <w:footnote w:id="129">
    <w:p w14:paraId="09D444D7" w14:textId="77777777" w:rsidR="00B7522E" w:rsidRPr="00FC1781" w:rsidRDefault="00B7522E" w:rsidP="008B06A1">
      <w:pPr>
        <w:pStyle w:val="FootnoteText"/>
        <w:rPr>
          <w:color w:val="000000" w:themeColor="text1"/>
          <w:sz w:val="20"/>
          <w:szCs w:val="20"/>
        </w:rPr>
      </w:pPr>
      <w:r w:rsidRPr="00FC1781">
        <w:rPr>
          <w:rStyle w:val="FootnoteReference"/>
          <w:sz w:val="20"/>
          <w:szCs w:val="20"/>
        </w:rPr>
        <w:footnoteRef/>
      </w:r>
      <w:r w:rsidRPr="00FC1781">
        <w:rPr>
          <w:sz w:val="20"/>
          <w:szCs w:val="20"/>
        </w:rPr>
        <w:t xml:space="preserve"> ibid. at para 42</w:t>
      </w:r>
      <w:r w:rsidRPr="00FC1781">
        <w:rPr>
          <w:color w:val="FF0000"/>
          <w:sz w:val="20"/>
          <w:szCs w:val="20"/>
        </w:rPr>
        <w:t>.</w:t>
      </w:r>
    </w:p>
  </w:footnote>
  <w:footnote w:id="130">
    <w:p w14:paraId="2F619C36" w14:textId="77777777" w:rsidR="00B7522E" w:rsidRPr="00FC1781" w:rsidRDefault="00B7522E" w:rsidP="008B06A1">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M. C. </w:t>
      </w:r>
      <w:proofErr w:type="spellStart"/>
      <w:r w:rsidRPr="00FC1781">
        <w:rPr>
          <w:color w:val="000000" w:themeColor="text1"/>
          <w:sz w:val="20"/>
          <w:szCs w:val="20"/>
        </w:rPr>
        <w:t>Bassiouni</w:t>
      </w:r>
      <w:proofErr w:type="spellEnd"/>
      <w:r w:rsidRPr="00FC1781">
        <w:rPr>
          <w:color w:val="000000" w:themeColor="text1"/>
          <w:sz w:val="20"/>
          <w:szCs w:val="20"/>
        </w:rPr>
        <w:t>, ‘International Recognition of Victims’ Rights’ (2006) 6 HRLR 203 at 210.</w:t>
      </w:r>
    </w:p>
  </w:footnote>
  <w:footnote w:id="131">
    <w:p w14:paraId="4EB28E9F" w14:textId="77777777" w:rsidR="00B7522E" w:rsidRPr="00FC1781" w:rsidRDefault="00B7522E" w:rsidP="008B06A1">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Green Paper, Compensation to Crime Victims, COM (2001) 536, 28 September 2001, at section 3.5.1.</w:t>
      </w:r>
    </w:p>
  </w:footnote>
  <w:footnote w:id="132">
    <w:p w14:paraId="1BF49E2C" w14:textId="3494C8BE" w:rsidR="00B7522E" w:rsidRPr="00FC1781" w:rsidRDefault="00B7522E" w:rsidP="00C77A92">
      <w:pPr>
        <w:pStyle w:val="FootnoteText"/>
        <w:rPr>
          <w:sz w:val="20"/>
          <w:szCs w:val="20"/>
        </w:rPr>
      </w:pPr>
      <w:r w:rsidRPr="00FC1781">
        <w:rPr>
          <w:rStyle w:val="FootnoteReference"/>
          <w:sz w:val="20"/>
          <w:szCs w:val="20"/>
        </w:rPr>
        <w:footnoteRef/>
      </w:r>
      <w:r w:rsidRPr="00FC1781">
        <w:rPr>
          <w:sz w:val="20"/>
          <w:szCs w:val="20"/>
        </w:rPr>
        <w:t xml:space="preserve"> See </w:t>
      </w:r>
      <w:r w:rsidRPr="00FC1781">
        <w:rPr>
          <w:color w:val="000000" w:themeColor="text1"/>
          <w:sz w:val="20"/>
          <w:szCs w:val="20"/>
        </w:rPr>
        <w:t>Jacobs</w:t>
      </w:r>
      <w:r w:rsidRPr="00FC1781">
        <w:rPr>
          <w:sz w:val="20"/>
          <w:szCs w:val="20"/>
        </w:rPr>
        <w:t xml:space="preserve"> supra note 1</w:t>
      </w:r>
      <w:r w:rsidR="00B17639" w:rsidRPr="00FC1781">
        <w:rPr>
          <w:sz w:val="20"/>
          <w:szCs w:val="20"/>
        </w:rPr>
        <w:t>01</w:t>
      </w:r>
      <w:r w:rsidRPr="00FC1781">
        <w:rPr>
          <w:sz w:val="20"/>
          <w:szCs w:val="20"/>
        </w:rPr>
        <w:t xml:space="preserve">, at </w:t>
      </w:r>
      <w:r w:rsidRPr="00FC1781">
        <w:rPr>
          <w:bCs/>
          <w:color w:val="000000" w:themeColor="text1"/>
          <w:sz w:val="20"/>
          <w:szCs w:val="20"/>
        </w:rPr>
        <w:t>85</w:t>
      </w:r>
    </w:p>
  </w:footnote>
  <w:footnote w:id="133">
    <w:p w14:paraId="1264C7B8" w14:textId="77777777" w:rsidR="00B7522E" w:rsidRPr="00FC1781" w:rsidRDefault="00B7522E" w:rsidP="00C77A92">
      <w:pPr>
        <w:pStyle w:val="FootnoteText"/>
        <w:rPr>
          <w:sz w:val="20"/>
          <w:szCs w:val="20"/>
        </w:rPr>
      </w:pPr>
      <w:r w:rsidRPr="00FC1781">
        <w:rPr>
          <w:rStyle w:val="FootnoteReference"/>
          <w:sz w:val="20"/>
          <w:szCs w:val="20"/>
        </w:rPr>
        <w:footnoteRef/>
      </w:r>
      <w:r w:rsidRPr="00FC1781">
        <w:rPr>
          <w:sz w:val="20"/>
          <w:szCs w:val="20"/>
        </w:rPr>
        <w:t xml:space="preserve"> </w:t>
      </w:r>
      <w:r w:rsidRPr="00FC1781">
        <w:rPr>
          <w:color w:val="000000" w:themeColor="text1"/>
          <w:sz w:val="20"/>
          <w:szCs w:val="20"/>
        </w:rPr>
        <w:t>Ibid at</w:t>
      </w:r>
      <w:r w:rsidRPr="00FC1781">
        <w:rPr>
          <w:bCs/>
          <w:color w:val="000000" w:themeColor="text1"/>
          <w:sz w:val="20"/>
          <w:szCs w:val="20"/>
        </w:rPr>
        <w:t>, 86</w:t>
      </w:r>
    </w:p>
  </w:footnote>
  <w:footnote w:id="134">
    <w:p w14:paraId="3F4E92A2" w14:textId="77777777" w:rsidR="00B7522E" w:rsidRPr="00FC1781" w:rsidRDefault="00B7522E" w:rsidP="00C77A92">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See Fischer supra note 4, at 201.</w:t>
      </w:r>
    </w:p>
  </w:footnote>
  <w:footnote w:id="135">
    <w:p w14:paraId="445C1633" w14:textId="77777777" w:rsidR="00B7522E" w:rsidRPr="00FC1781" w:rsidRDefault="00B7522E" w:rsidP="00C77A92">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Preamble para 4.</w:t>
      </w:r>
    </w:p>
  </w:footnote>
  <w:footnote w:id="136">
    <w:p w14:paraId="1BCC6D4F" w14:textId="77777777" w:rsidR="00B7522E" w:rsidRPr="00FC1781" w:rsidRDefault="00B7522E" w:rsidP="00C77A92">
      <w:pPr>
        <w:pStyle w:val="FootnoteText"/>
        <w:rPr>
          <w:color w:val="FF0000"/>
          <w:sz w:val="20"/>
          <w:szCs w:val="20"/>
        </w:rPr>
      </w:pPr>
      <w:r w:rsidRPr="00FC1781">
        <w:rPr>
          <w:rStyle w:val="FootnoteReference"/>
          <w:color w:val="000000" w:themeColor="text1"/>
          <w:sz w:val="20"/>
          <w:szCs w:val="20"/>
        </w:rPr>
        <w:footnoteRef/>
      </w:r>
      <w:r w:rsidRPr="00FC1781">
        <w:rPr>
          <w:color w:val="000000" w:themeColor="text1"/>
          <w:sz w:val="20"/>
          <w:szCs w:val="20"/>
        </w:rPr>
        <w:t xml:space="preserve"> Preamble para 5.</w:t>
      </w:r>
    </w:p>
  </w:footnote>
  <w:footnote w:id="137">
    <w:p w14:paraId="0C8A2DD1" w14:textId="77777777" w:rsidR="00B7522E" w:rsidRPr="00FC1781" w:rsidRDefault="00B7522E" w:rsidP="00C77A92">
      <w:pPr>
        <w:pStyle w:val="FootnoteText"/>
        <w:rPr>
          <w:color w:val="FF0000"/>
          <w:sz w:val="20"/>
          <w:szCs w:val="20"/>
        </w:rPr>
      </w:pPr>
      <w:r w:rsidRPr="00FC1781">
        <w:rPr>
          <w:rStyle w:val="FootnoteReference"/>
          <w:color w:val="000000" w:themeColor="text1"/>
          <w:sz w:val="20"/>
          <w:szCs w:val="20"/>
        </w:rPr>
        <w:footnoteRef/>
      </w:r>
      <w:r w:rsidRPr="00FC1781">
        <w:rPr>
          <w:color w:val="000000" w:themeColor="text1"/>
          <w:sz w:val="20"/>
          <w:szCs w:val="20"/>
        </w:rPr>
        <w:t xml:space="preserve"> Art 64(2) Rome Statute.</w:t>
      </w:r>
    </w:p>
  </w:footnote>
  <w:footnote w:id="138">
    <w:p w14:paraId="2C0C74A8" w14:textId="77777777" w:rsidR="00B7522E" w:rsidRPr="00FC1781" w:rsidRDefault="00B7522E" w:rsidP="00C77A92">
      <w:pPr>
        <w:pStyle w:val="FootnoteText"/>
        <w:rPr>
          <w:b/>
          <w:bCs/>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Mathieu </w:t>
      </w:r>
      <w:proofErr w:type="spellStart"/>
      <w:r w:rsidRPr="00FC1781">
        <w:rPr>
          <w:color w:val="000000" w:themeColor="text1"/>
          <w:sz w:val="20"/>
          <w:szCs w:val="20"/>
        </w:rPr>
        <w:t>Ngudjolo</w:t>
      </w:r>
      <w:proofErr w:type="spellEnd"/>
      <w:r w:rsidRPr="00FC1781">
        <w:rPr>
          <w:color w:val="000000" w:themeColor="text1"/>
          <w:sz w:val="20"/>
          <w:szCs w:val="20"/>
        </w:rPr>
        <w:t xml:space="preserve"> Chui (</w:t>
      </w:r>
      <w:r w:rsidRPr="00FC1781">
        <w:rPr>
          <w:bCs/>
          <w:color w:val="000000" w:themeColor="text1"/>
          <w:sz w:val="20"/>
          <w:szCs w:val="20"/>
        </w:rPr>
        <w:t xml:space="preserve">acquitted </w:t>
      </w:r>
      <w:r w:rsidRPr="00FC1781">
        <w:rPr>
          <w:color w:val="000000" w:themeColor="text1"/>
          <w:sz w:val="20"/>
          <w:szCs w:val="20"/>
          <w:shd w:val="clear" w:color="auto" w:fill="FFFFFF"/>
        </w:rPr>
        <w:t xml:space="preserve">18 December 2012), </w:t>
      </w:r>
      <w:r w:rsidRPr="00FC1781">
        <w:rPr>
          <w:color w:val="000000" w:themeColor="text1"/>
          <w:sz w:val="20"/>
          <w:szCs w:val="20"/>
        </w:rPr>
        <w:t xml:space="preserve">Jean-Pierre Bemba </w:t>
      </w:r>
      <w:proofErr w:type="spellStart"/>
      <w:r w:rsidRPr="00FC1781">
        <w:rPr>
          <w:color w:val="000000" w:themeColor="text1"/>
          <w:sz w:val="20"/>
          <w:szCs w:val="20"/>
        </w:rPr>
        <w:t>Gombo</w:t>
      </w:r>
      <w:proofErr w:type="spellEnd"/>
      <w:r w:rsidRPr="00FC1781">
        <w:rPr>
          <w:color w:val="000000" w:themeColor="text1"/>
          <w:sz w:val="20"/>
          <w:szCs w:val="20"/>
        </w:rPr>
        <w:t xml:space="preserve"> (</w:t>
      </w:r>
      <w:r w:rsidRPr="00FC1781">
        <w:rPr>
          <w:bCs/>
          <w:color w:val="000000" w:themeColor="text1"/>
          <w:sz w:val="20"/>
          <w:szCs w:val="20"/>
        </w:rPr>
        <w:t xml:space="preserve">acquitted 8 June 2018), </w:t>
      </w:r>
      <w:r w:rsidRPr="00FC1781">
        <w:rPr>
          <w:color w:val="000000" w:themeColor="text1"/>
          <w:sz w:val="20"/>
          <w:szCs w:val="20"/>
        </w:rPr>
        <w:t xml:space="preserve">Laurent Gbagbo and Charles </w:t>
      </w:r>
      <w:proofErr w:type="spellStart"/>
      <w:r w:rsidRPr="00FC1781">
        <w:rPr>
          <w:color w:val="000000" w:themeColor="text1"/>
          <w:sz w:val="20"/>
          <w:szCs w:val="20"/>
        </w:rPr>
        <w:t>Blé</w:t>
      </w:r>
      <w:proofErr w:type="spellEnd"/>
      <w:r w:rsidRPr="00FC1781">
        <w:rPr>
          <w:color w:val="000000" w:themeColor="text1"/>
          <w:sz w:val="20"/>
          <w:szCs w:val="20"/>
        </w:rPr>
        <w:t xml:space="preserve"> </w:t>
      </w:r>
      <w:proofErr w:type="spellStart"/>
      <w:r w:rsidRPr="00FC1781">
        <w:rPr>
          <w:color w:val="000000" w:themeColor="text1"/>
          <w:sz w:val="20"/>
          <w:szCs w:val="20"/>
        </w:rPr>
        <w:t>Goudé</w:t>
      </w:r>
      <w:proofErr w:type="spellEnd"/>
      <w:r w:rsidRPr="00FC1781">
        <w:rPr>
          <w:color w:val="000000" w:themeColor="text1"/>
          <w:sz w:val="20"/>
          <w:szCs w:val="20"/>
        </w:rPr>
        <w:t xml:space="preserve"> (</w:t>
      </w:r>
      <w:r w:rsidRPr="00FC1781">
        <w:rPr>
          <w:bCs/>
          <w:color w:val="000000" w:themeColor="text1"/>
          <w:sz w:val="20"/>
          <w:szCs w:val="20"/>
        </w:rPr>
        <w:t>acquitted 15 January 2019).</w:t>
      </w:r>
    </w:p>
  </w:footnote>
  <w:footnote w:id="139">
    <w:p w14:paraId="74E420AD" w14:textId="77777777" w:rsidR="00B7522E" w:rsidRPr="00FC1781" w:rsidRDefault="00B7522E" w:rsidP="00C77A92">
      <w:pPr>
        <w:rPr>
          <w:b/>
          <w:color w:val="243F60" w:themeColor="accent1" w:themeShade="7F"/>
          <w:sz w:val="20"/>
          <w:szCs w:val="20"/>
        </w:rPr>
      </w:pPr>
      <w:r w:rsidRPr="00FC1781">
        <w:rPr>
          <w:rStyle w:val="FootnoteReference"/>
          <w:color w:val="000000" w:themeColor="text1"/>
          <w:sz w:val="20"/>
          <w:szCs w:val="20"/>
        </w:rPr>
        <w:footnoteRef/>
      </w:r>
      <w:r w:rsidRPr="00FC1781">
        <w:rPr>
          <w:color w:val="000000" w:themeColor="text1"/>
          <w:sz w:val="20"/>
          <w:szCs w:val="20"/>
        </w:rPr>
        <w:t xml:space="preserve"> </w:t>
      </w:r>
      <w:r w:rsidRPr="00FC1781">
        <w:rPr>
          <w:rFonts w:eastAsiaTheme="majorEastAsia"/>
          <w:sz w:val="20"/>
          <w:szCs w:val="20"/>
        </w:rPr>
        <w:t>One of which is currently under appeal</w:t>
      </w:r>
      <w:r w:rsidRPr="00FC1781">
        <w:rPr>
          <w:sz w:val="20"/>
          <w:szCs w:val="20"/>
        </w:rPr>
        <w:t xml:space="preserve"> (</w:t>
      </w:r>
      <w:r w:rsidRPr="00FC1781">
        <w:rPr>
          <w:rFonts w:eastAsiaTheme="majorEastAsia"/>
          <w:sz w:val="20"/>
          <w:szCs w:val="20"/>
        </w:rPr>
        <w:t>The Prosecutor v. Bosco Ntaganda, Decision on request for leave to reply (Appeals Chamber) ICC-01/04-02/06-2522 04 May 2020</w:t>
      </w:r>
      <w:r w:rsidRPr="00FC1781">
        <w:rPr>
          <w:sz w:val="20"/>
          <w:szCs w:val="20"/>
        </w:rPr>
        <w:t xml:space="preserve">). </w:t>
      </w:r>
      <w:r w:rsidRPr="00FC1781">
        <w:rPr>
          <w:color w:val="000000" w:themeColor="text1"/>
          <w:sz w:val="20"/>
          <w:szCs w:val="20"/>
        </w:rPr>
        <w:t xml:space="preserve">Five of the </w:t>
      </w:r>
      <w:proofErr w:type="gramStart"/>
      <w:r w:rsidRPr="00FC1781">
        <w:rPr>
          <w:color w:val="000000" w:themeColor="text1"/>
          <w:sz w:val="20"/>
          <w:szCs w:val="20"/>
        </w:rPr>
        <w:t>total</w:t>
      </w:r>
      <w:proofErr w:type="gramEnd"/>
      <w:r w:rsidRPr="00FC1781">
        <w:rPr>
          <w:color w:val="000000" w:themeColor="text1"/>
          <w:sz w:val="20"/>
          <w:szCs w:val="20"/>
        </w:rPr>
        <w:t xml:space="preserve"> of nine convictions are for offences against the administration of justice according to </w:t>
      </w:r>
      <w:r w:rsidRPr="00FC1781">
        <w:rPr>
          <w:sz w:val="20"/>
          <w:szCs w:val="20"/>
        </w:rPr>
        <w:t xml:space="preserve">Art. </w:t>
      </w:r>
      <w:r w:rsidRPr="00FC1781">
        <w:rPr>
          <w:color w:val="000000" w:themeColor="text1"/>
          <w:sz w:val="20"/>
          <w:szCs w:val="20"/>
        </w:rPr>
        <w:t xml:space="preserve">70 </w:t>
      </w:r>
      <w:r w:rsidRPr="00FC1781">
        <w:rPr>
          <w:sz w:val="20"/>
          <w:szCs w:val="20"/>
        </w:rPr>
        <w:t xml:space="preserve">Rome </w:t>
      </w:r>
      <w:r w:rsidRPr="00FC1781">
        <w:rPr>
          <w:color w:val="000000" w:themeColor="text1"/>
          <w:sz w:val="20"/>
          <w:szCs w:val="20"/>
        </w:rPr>
        <w:t xml:space="preserve">Statute, The Prosecutor v. Jean-Pierre Bemba </w:t>
      </w:r>
      <w:proofErr w:type="spellStart"/>
      <w:r w:rsidRPr="00FC1781">
        <w:rPr>
          <w:color w:val="000000" w:themeColor="text1"/>
          <w:sz w:val="20"/>
          <w:szCs w:val="20"/>
        </w:rPr>
        <w:t>Gombo</w:t>
      </w:r>
      <w:proofErr w:type="spellEnd"/>
      <w:r w:rsidRPr="00FC1781">
        <w:rPr>
          <w:color w:val="000000" w:themeColor="text1"/>
          <w:sz w:val="20"/>
          <w:szCs w:val="20"/>
        </w:rPr>
        <w:t xml:space="preserve">, </w:t>
      </w:r>
      <w:proofErr w:type="spellStart"/>
      <w:r w:rsidRPr="00FC1781">
        <w:rPr>
          <w:color w:val="000000" w:themeColor="text1"/>
          <w:sz w:val="20"/>
          <w:szCs w:val="20"/>
        </w:rPr>
        <w:t>Aimé</w:t>
      </w:r>
      <w:proofErr w:type="spellEnd"/>
      <w:r w:rsidRPr="00FC1781">
        <w:rPr>
          <w:color w:val="000000" w:themeColor="text1"/>
          <w:sz w:val="20"/>
          <w:szCs w:val="20"/>
        </w:rPr>
        <w:t xml:space="preserve"> </w:t>
      </w:r>
      <w:proofErr w:type="spellStart"/>
      <w:r w:rsidRPr="00FC1781">
        <w:rPr>
          <w:rFonts w:eastAsiaTheme="majorEastAsia"/>
          <w:sz w:val="20"/>
          <w:szCs w:val="20"/>
        </w:rPr>
        <w:t>Kilolo</w:t>
      </w:r>
      <w:proofErr w:type="spellEnd"/>
      <w:r w:rsidRPr="00FC1781">
        <w:rPr>
          <w:rFonts w:eastAsiaTheme="majorEastAsia"/>
          <w:sz w:val="20"/>
          <w:szCs w:val="20"/>
        </w:rPr>
        <w:t xml:space="preserve"> </w:t>
      </w:r>
      <w:proofErr w:type="spellStart"/>
      <w:r w:rsidRPr="00FC1781">
        <w:rPr>
          <w:rFonts w:eastAsiaTheme="majorEastAsia"/>
          <w:sz w:val="20"/>
          <w:szCs w:val="20"/>
        </w:rPr>
        <w:t>Musamba</w:t>
      </w:r>
      <w:proofErr w:type="spellEnd"/>
      <w:r w:rsidRPr="00FC1781">
        <w:rPr>
          <w:rFonts w:eastAsiaTheme="majorEastAsia"/>
          <w:sz w:val="20"/>
          <w:szCs w:val="20"/>
        </w:rPr>
        <w:t xml:space="preserve">, Jean-Jacques </w:t>
      </w:r>
      <w:proofErr w:type="spellStart"/>
      <w:r w:rsidRPr="00FC1781">
        <w:rPr>
          <w:rFonts w:eastAsiaTheme="majorEastAsia"/>
          <w:sz w:val="20"/>
          <w:szCs w:val="20"/>
        </w:rPr>
        <w:t>Mangenda</w:t>
      </w:r>
      <w:proofErr w:type="spellEnd"/>
      <w:r w:rsidRPr="00FC1781">
        <w:rPr>
          <w:rFonts w:eastAsiaTheme="majorEastAsia"/>
          <w:sz w:val="20"/>
          <w:szCs w:val="20"/>
        </w:rPr>
        <w:t xml:space="preserve"> </w:t>
      </w:r>
      <w:proofErr w:type="spellStart"/>
      <w:r w:rsidRPr="00FC1781">
        <w:rPr>
          <w:rFonts w:eastAsiaTheme="majorEastAsia"/>
          <w:sz w:val="20"/>
          <w:szCs w:val="20"/>
        </w:rPr>
        <w:t>Kabongo</w:t>
      </w:r>
      <w:proofErr w:type="spellEnd"/>
      <w:r w:rsidRPr="00FC1781">
        <w:rPr>
          <w:rFonts w:eastAsiaTheme="majorEastAsia"/>
          <w:sz w:val="20"/>
          <w:szCs w:val="20"/>
        </w:rPr>
        <w:t xml:space="preserve">, </w:t>
      </w:r>
      <w:proofErr w:type="spellStart"/>
      <w:r w:rsidRPr="00FC1781">
        <w:rPr>
          <w:rFonts w:eastAsiaTheme="majorEastAsia"/>
          <w:sz w:val="20"/>
          <w:szCs w:val="20"/>
        </w:rPr>
        <w:t>Fidèle</w:t>
      </w:r>
      <w:proofErr w:type="spellEnd"/>
      <w:r w:rsidRPr="00FC1781">
        <w:rPr>
          <w:rFonts w:eastAsiaTheme="majorEastAsia"/>
          <w:sz w:val="20"/>
          <w:szCs w:val="20"/>
        </w:rPr>
        <w:t xml:space="preserve"> </w:t>
      </w:r>
      <w:proofErr w:type="spellStart"/>
      <w:r w:rsidRPr="00FC1781">
        <w:rPr>
          <w:rFonts w:eastAsiaTheme="majorEastAsia"/>
          <w:sz w:val="20"/>
          <w:szCs w:val="20"/>
        </w:rPr>
        <w:t>Babala</w:t>
      </w:r>
      <w:proofErr w:type="spellEnd"/>
      <w:r w:rsidRPr="00FC1781">
        <w:rPr>
          <w:rFonts w:eastAsiaTheme="majorEastAsia"/>
          <w:sz w:val="20"/>
          <w:szCs w:val="20"/>
        </w:rPr>
        <w:t xml:space="preserve"> </w:t>
      </w:r>
      <w:proofErr w:type="spellStart"/>
      <w:r w:rsidRPr="00FC1781">
        <w:rPr>
          <w:rFonts w:eastAsiaTheme="majorEastAsia"/>
          <w:sz w:val="20"/>
          <w:szCs w:val="20"/>
        </w:rPr>
        <w:t>Wandu</w:t>
      </w:r>
      <w:proofErr w:type="spellEnd"/>
      <w:r w:rsidRPr="00FC1781">
        <w:rPr>
          <w:rFonts w:eastAsiaTheme="majorEastAsia"/>
          <w:sz w:val="20"/>
          <w:szCs w:val="20"/>
        </w:rPr>
        <w:t xml:space="preserve"> and Narcisse </w:t>
      </w:r>
      <w:proofErr w:type="spellStart"/>
      <w:r w:rsidRPr="00FC1781">
        <w:rPr>
          <w:rFonts w:eastAsiaTheme="majorEastAsia"/>
          <w:sz w:val="20"/>
          <w:szCs w:val="20"/>
        </w:rPr>
        <w:t>Arido</w:t>
      </w:r>
      <w:proofErr w:type="spellEnd"/>
      <w:r w:rsidRPr="00FC1781">
        <w:rPr>
          <w:rFonts w:eastAsiaTheme="majorEastAsia"/>
          <w:sz w:val="20"/>
          <w:szCs w:val="20"/>
        </w:rPr>
        <w:t xml:space="preserve"> ICC-01/05-01/13. </w:t>
      </w:r>
    </w:p>
  </w:footnote>
  <w:footnote w:id="140">
    <w:p w14:paraId="6EC69045" w14:textId="77777777" w:rsidR="00B7522E" w:rsidRPr="00FC1781" w:rsidRDefault="00B7522E" w:rsidP="00C77A92">
      <w:pPr>
        <w:pStyle w:val="FootnoteText"/>
        <w:rPr>
          <w:sz w:val="20"/>
          <w:szCs w:val="20"/>
        </w:rPr>
      </w:pPr>
      <w:r w:rsidRPr="00FC1781">
        <w:rPr>
          <w:rStyle w:val="FootnoteReference"/>
          <w:sz w:val="20"/>
          <w:szCs w:val="20"/>
        </w:rPr>
        <w:footnoteRef/>
      </w:r>
      <w:r w:rsidRPr="00FC1781">
        <w:rPr>
          <w:sz w:val="20"/>
          <w:szCs w:val="20"/>
        </w:rPr>
        <w:t xml:space="preserve"> An analysis for the various reasons such as problems with instigation, prosecution strategies, lack of state co-operation, witness tampering and others lie outside the scope of this article.</w:t>
      </w:r>
    </w:p>
  </w:footnote>
  <w:footnote w:id="141">
    <w:p w14:paraId="2DEE05E8" w14:textId="77777777" w:rsidR="00B7522E" w:rsidRPr="00FC1781" w:rsidRDefault="00B7522E" w:rsidP="00C77A92">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w:t>
      </w:r>
      <w:r w:rsidRPr="00FC1781">
        <w:rPr>
          <w:sz w:val="20"/>
          <w:szCs w:val="20"/>
        </w:rPr>
        <w:t>https://www.icc-cpi.int/about/how-the-court-works/Pages/default.aspx#legalProcess</w:t>
      </w:r>
      <w:r w:rsidRPr="00FC1781">
        <w:rPr>
          <w:color w:val="000000" w:themeColor="text1"/>
          <w:sz w:val="20"/>
          <w:szCs w:val="20"/>
        </w:rPr>
        <w:t>.</w:t>
      </w:r>
    </w:p>
  </w:footnote>
  <w:footnote w:id="142">
    <w:p w14:paraId="1F655E6A" w14:textId="77777777" w:rsidR="00B7522E" w:rsidRPr="00FC1781" w:rsidRDefault="00B7522E" w:rsidP="00C77A92">
      <w:pPr>
        <w:autoSpaceDE w:val="0"/>
        <w:autoSpaceDN w:val="0"/>
        <w:adjustRightInd w:val="0"/>
        <w:rPr>
          <w:sz w:val="20"/>
          <w:szCs w:val="20"/>
        </w:rPr>
      </w:pPr>
      <w:r w:rsidRPr="00FC1781">
        <w:rPr>
          <w:rStyle w:val="FootnoteReference"/>
          <w:sz w:val="20"/>
          <w:szCs w:val="20"/>
        </w:rPr>
        <w:footnoteRef/>
      </w:r>
      <w:r w:rsidRPr="00FC1781">
        <w:rPr>
          <w:sz w:val="20"/>
          <w:szCs w:val="20"/>
        </w:rPr>
        <w:t xml:space="preserve"> Decision Pursuant to Article 15 of the Rome Statute on the Authorisation of an</w:t>
      </w:r>
    </w:p>
    <w:p w14:paraId="0EE3C6C7" w14:textId="77777777" w:rsidR="00B7522E" w:rsidRPr="00FC1781" w:rsidRDefault="00B7522E" w:rsidP="00C77A92">
      <w:pPr>
        <w:pStyle w:val="FootnoteText"/>
        <w:rPr>
          <w:sz w:val="20"/>
          <w:szCs w:val="20"/>
        </w:rPr>
      </w:pPr>
      <w:r w:rsidRPr="00FC1781">
        <w:rPr>
          <w:sz w:val="20"/>
          <w:szCs w:val="20"/>
        </w:rPr>
        <w:t>Investigation into the Situation in the Islamic Republic of Afghanistan No. ICC-02/17, 12 April 2019 para 96.</w:t>
      </w:r>
    </w:p>
  </w:footnote>
  <w:footnote w:id="143">
    <w:p w14:paraId="2C0565FA" w14:textId="77777777" w:rsidR="00B7522E" w:rsidRPr="00FC1781" w:rsidRDefault="00B7522E" w:rsidP="00643C00">
      <w:pPr>
        <w:pStyle w:val="FootnoteText"/>
        <w:rPr>
          <w:bCs/>
          <w:sz w:val="20"/>
          <w:szCs w:val="20"/>
        </w:rPr>
      </w:pPr>
      <w:r w:rsidRPr="00FC1781">
        <w:rPr>
          <w:rStyle w:val="FootnoteReference"/>
          <w:sz w:val="20"/>
          <w:szCs w:val="20"/>
        </w:rPr>
        <w:footnoteRef/>
      </w:r>
      <w:r w:rsidRPr="00FC1781">
        <w:rPr>
          <w:sz w:val="20"/>
          <w:szCs w:val="20"/>
        </w:rPr>
        <w:t xml:space="preserve"> See Jacobs supra note 133, at 85.</w:t>
      </w:r>
    </w:p>
  </w:footnote>
  <w:footnote w:id="144">
    <w:p w14:paraId="6625EFF9" w14:textId="77777777" w:rsidR="00B7522E" w:rsidRPr="00FC1781" w:rsidRDefault="00B7522E" w:rsidP="00643C00">
      <w:pPr>
        <w:pStyle w:val="FootnoteText"/>
        <w:rPr>
          <w:sz w:val="20"/>
          <w:szCs w:val="20"/>
        </w:rPr>
      </w:pPr>
      <w:r w:rsidRPr="00FC1781">
        <w:rPr>
          <w:rStyle w:val="FootnoteReference"/>
          <w:sz w:val="20"/>
          <w:szCs w:val="20"/>
        </w:rPr>
        <w:footnoteRef/>
      </w:r>
      <w:r w:rsidRPr="00FC1781">
        <w:rPr>
          <w:sz w:val="20"/>
          <w:szCs w:val="20"/>
        </w:rPr>
        <w:t xml:space="preserve"> ibid. at </w:t>
      </w:r>
      <w:r w:rsidRPr="00FC1781">
        <w:rPr>
          <w:bCs/>
          <w:sz w:val="20"/>
          <w:szCs w:val="20"/>
        </w:rPr>
        <w:t>77.</w:t>
      </w:r>
    </w:p>
  </w:footnote>
  <w:footnote w:id="145">
    <w:p w14:paraId="58742096" w14:textId="22FD4865" w:rsidR="00B7522E" w:rsidRPr="00FC1781" w:rsidRDefault="00B7522E" w:rsidP="00643C00">
      <w:pPr>
        <w:pStyle w:val="FootnoteText"/>
        <w:rPr>
          <w:sz w:val="20"/>
          <w:szCs w:val="20"/>
        </w:rPr>
      </w:pPr>
      <w:r w:rsidRPr="00FC1781">
        <w:rPr>
          <w:rStyle w:val="FootnoteReference"/>
          <w:sz w:val="20"/>
          <w:szCs w:val="20"/>
        </w:rPr>
        <w:footnoteRef/>
      </w:r>
      <w:r w:rsidRPr="00FC1781">
        <w:rPr>
          <w:sz w:val="20"/>
          <w:szCs w:val="20"/>
        </w:rPr>
        <w:t xml:space="preserve"> ibid, at </w:t>
      </w:r>
      <w:r w:rsidRPr="00FC1781">
        <w:rPr>
          <w:bCs/>
          <w:color w:val="000000" w:themeColor="text1"/>
          <w:sz w:val="20"/>
          <w:szCs w:val="20"/>
        </w:rPr>
        <w:t>83.</w:t>
      </w:r>
    </w:p>
  </w:footnote>
  <w:footnote w:id="146">
    <w:p w14:paraId="7A13015E" w14:textId="5A7A504F" w:rsidR="00B7522E" w:rsidRPr="00FC1781" w:rsidRDefault="00B7522E" w:rsidP="00643C00">
      <w:pPr>
        <w:rPr>
          <w:sz w:val="20"/>
          <w:szCs w:val="20"/>
        </w:rPr>
      </w:pPr>
      <w:r w:rsidRPr="00FC1781">
        <w:rPr>
          <w:rStyle w:val="FootnoteReference"/>
          <w:color w:val="000000" w:themeColor="text1"/>
          <w:sz w:val="20"/>
          <w:szCs w:val="20"/>
        </w:rPr>
        <w:footnoteRef/>
      </w:r>
      <w:r w:rsidRPr="00FC1781">
        <w:rPr>
          <w:sz w:val="20"/>
          <w:szCs w:val="20"/>
        </w:rPr>
        <w:t xml:space="preserve"> See OPCD Observations Uganda supra note 173, at para 48.</w:t>
      </w:r>
    </w:p>
  </w:footnote>
  <w:footnote w:id="147">
    <w:p w14:paraId="46285C0C" w14:textId="77777777" w:rsidR="00B7522E" w:rsidRPr="00FC1781" w:rsidRDefault="00B7522E" w:rsidP="00643C00">
      <w:pPr>
        <w:rPr>
          <w:sz w:val="20"/>
          <w:szCs w:val="20"/>
          <w:lang w:val="en-US"/>
        </w:rPr>
      </w:pPr>
      <w:r w:rsidRPr="00FC1781">
        <w:rPr>
          <w:rStyle w:val="FootnoteReference"/>
          <w:color w:val="000000" w:themeColor="text1"/>
          <w:sz w:val="20"/>
          <w:szCs w:val="20"/>
        </w:rPr>
        <w:footnoteRef/>
      </w:r>
      <w:r w:rsidRPr="00FC1781">
        <w:rPr>
          <w:sz w:val="20"/>
          <w:szCs w:val="20"/>
        </w:rPr>
        <w:t xml:space="preserve"> Art. 66(3) Rome Statute.</w:t>
      </w:r>
    </w:p>
  </w:footnote>
  <w:footnote w:id="148">
    <w:p w14:paraId="15601D97" w14:textId="77777777" w:rsidR="00B7522E" w:rsidRPr="00FC1781" w:rsidRDefault="00B7522E" w:rsidP="00643C00">
      <w:pPr>
        <w:rPr>
          <w:sz w:val="20"/>
          <w:szCs w:val="20"/>
        </w:rPr>
      </w:pPr>
      <w:r w:rsidRPr="00FC1781">
        <w:rPr>
          <w:rStyle w:val="FootnoteReference"/>
          <w:color w:val="000000" w:themeColor="text1"/>
          <w:sz w:val="20"/>
          <w:szCs w:val="20"/>
        </w:rPr>
        <w:footnoteRef/>
      </w:r>
      <w:r w:rsidRPr="00FC1781">
        <w:rPr>
          <w:sz w:val="20"/>
          <w:szCs w:val="20"/>
        </w:rPr>
        <w:t xml:space="preserve"> TFV Strategic Plan 2014-2017, at para 23.</w:t>
      </w:r>
    </w:p>
  </w:footnote>
  <w:footnote w:id="149">
    <w:p w14:paraId="235BEC8B" w14:textId="77777777" w:rsidR="00B7522E" w:rsidRPr="00FC1781" w:rsidRDefault="00B7522E" w:rsidP="00643C00">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ibid.</w:t>
      </w:r>
    </w:p>
  </w:footnote>
  <w:footnote w:id="150">
    <w:p w14:paraId="289E0D6B" w14:textId="25F9F755" w:rsidR="00B7522E" w:rsidRPr="00FC1781" w:rsidRDefault="00B7522E" w:rsidP="00E117A4">
      <w:pPr>
        <w:rPr>
          <w:sz w:val="20"/>
          <w:szCs w:val="20"/>
        </w:rPr>
      </w:pPr>
      <w:r w:rsidRPr="00FC1781">
        <w:rPr>
          <w:rStyle w:val="FootnoteReference"/>
          <w:color w:val="000000" w:themeColor="text1"/>
          <w:sz w:val="20"/>
          <w:szCs w:val="20"/>
        </w:rPr>
        <w:footnoteRef/>
      </w:r>
      <w:r w:rsidRPr="00FC1781">
        <w:rPr>
          <w:color w:val="000000" w:themeColor="text1"/>
          <w:sz w:val="20"/>
          <w:szCs w:val="20"/>
          <w:lang w:val="en-US"/>
        </w:rPr>
        <w:t xml:space="preserve"> </w:t>
      </w:r>
      <w:r w:rsidRPr="00FC1781">
        <w:rPr>
          <w:sz w:val="20"/>
          <w:szCs w:val="20"/>
        </w:rPr>
        <w:t xml:space="preserve">Trust Fund </w:t>
      </w:r>
      <w:proofErr w:type="gramStart"/>
      <w:r w:rsidRPr="00FC1781">
        <w:rPr>
          <w:sz w:val="20"/>
          <w:szCs w:val="20"/>
        </w:rPr>
        <w:t>For</w:t>
      </w:r>
      <w:proofErr w:type="gramEnd"/>
      <w:r w:rsidRPr="00FC1781">
        <w:rPr>
          <w:sz w:val="20"/>
          <w:szCs w:val="20"/>
        </w:rPr>
        <w:t xml:space="preserve"> Victims International Criminal Court Newsletter#3 – May 2017 </w:t>
      </w:r>
      <w:r w:rsidRPr="00FC1781">
        <w:rPr>
          <w:color w:val="000000" w:themeColor="text1"/>
          <w:sz w:val="20"/>
          <w:szCs w:val="20"/>
          <w:lang w:val="en-US"/>
        </w:rPr>
        <w:t xml:space="preserve">accessible at </w:t>
      </w:r>
      <w:r w:rsidRPr="00FC1781">
        <w:rPr>
          <w:sz w:val="20"/>
          <w:szCs w:val="20"/>
          <w:lang w:val="en-US"/>
        </w:rPr>
        <w:t>www.trustfundforvictims.org/sites/default/files/imce/TFV%20Newsletter%20May%202017%20ENG.pdf</w:t>
      </w:r>
      <w:r w:rsidRPr="00FC1781">
        <w:rPr>
          <w:color w:val="000000" w:themeColor="text1"/>
          <w:sz w:val="20"/>
          <w:szCs w:val="20"/>
          <w:lang w:val="en-US"/>
        </w:rPr>
        <w:t>.</w:t>
      </w:r>
    </w:p>
  </w:footnote>
  <w:footnote w:id="151">
    <w:p w14:paraId="0277E2EA" w14:textId="18C94CA6" w:rsidR="00B7522E" w:rsidRPr="00FC1781" w:rsidRDefault="00B7522E" w:rsidP="00290A4E">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See </w:t>
      </w:r>
      <w:proofErr w:type="gramStart"/>
      <w:r w:rsidRPr="00FC1781">
        <w:rPr>
          <w:color w:val="000000" w:themeColor="text1"/>
          <w:sz w:val="20"/>
          <w:szCs w:val="20"/>
        </w:rPr>
        <w:t>The</w:t>
      </w:r>
      <w:proofErr w:type="gramEnd"/>
      <w:r w:rsidRPr="00FC1781">
        <w:rPr>
          <w:color w:val="000000" w:themeColor="text1"/>
          <w:sz w:val="20"/>
          <w:szCs w:val="20"/>
        </w:rPr>
        <w:t xml:space="preserve"> Trust Fund for Victims 2010 Programme Progress Report supra note 29, at 31.</w:t>
      </w:r>
    </w:p>
  </w:footnote>
  <w:footnote w:id="152">
    <w:p w14:paraId="086C1D7C" w14:textId="025C82F7" w:rsidR="00B7522E" w:rsidRPr="00FC1781" w:rsidRDefault="00B7522E" w:rsidP="00290A4E">
      <w:pPr>
        <w:pStyle w:val="FootnoteText"/>
        <w:rPr>
          <w:sz w:val="20"/>
          <w:szCs w:val="20"/>
        </w:rPr>
      </w:pPr>
      <w:r w:rsidRPr="00FC1781">
        <w:rPr>
          <w:rStyle w:val="FootnoteReference"/>
          <w:color w:val="000000" w:themeColor="text1"/>
          <w:sz w:val="20"/>
          <w:szCs w:val="20"/>
        </w:rPr>
        <w:footnoteRef/>
      </w:r>
      <w:r w:rsidRPr="00FC1781">
        <w:rPr>
          <w:color w:val="000000" w:themeColor="text1"/>
          <w:sz w:val="20"/>
          <w:szCs w:val="20"/>
        </w:rPr>
        <w:t xml:space="preserve"> ibid. at 30.</w:t>
      </w:r>
    </w:p>
  </w:footnote>
  <w:footnote w:id="153">
    <w:p w14:paraId="64831429" w14:textId="0C15F6B1" w:rsidR="00B7522E" w:rsidRPr="00FC1781" w:rsidRDefault="00B7522E" w:rsidP="00290A4E">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Notification of Board of Directors 25 Jan 2008, ICC-02/04-114, para 42.</w:t>
      </w:r>
    </w:p>
  </w:footnote>
  <w:footnote w:id="154">
    <w:p w14:paraId="13A95F6F" w14:textId="20C37E4D" w:rsidR="00B7522E" w:rsidRPr="00FC1781" w:rsidRDefault="00B7522E" w:rsidP="00290A4E">
      <w:pPr>
        <w:pStyle w:val="FootnoteText"/>
        <w:rPr>
          <w:color w:val="FF0000"/>
          <w:sz w:val="20"/>
          <w:szCs w:val="20"/>
        </w:rPr>
      </w:pPr>
      <w:r w:rsidRPr="00FC1781">
        <w:rPr>
          <w:rStyle w:val="FootnoteReference"/>
          <w:sz w:val="20"/>
          <w:szCs w:val="20"/>
        </w:rPr>
        <w:footnoteRef/>
      </w:r>
      <w:r w:rsidRPr="00FC1781">
        <w:rPr>
          <w:sz w:val="20"/>
          <w:szCs w:val="20"/>
        </w:rPr>
        <w:t xml:space="preserve"> </w:t>
      </w:r>
      <w:r w:rsidRPr="00FC1781">
        <w:rPr>
          <w:color w:val="000000" w:themeColor="text1"/>
          <w:sz w:val="20"/>
          <w:szCs w:val="20"/>
        </w:rPr>
        <w:t>ibid.</w:t>
      </w:r>
    </w:p>
  </w:footnote>
  <w:footnote w:id="155">
    <w:p w14:paraId="2E5AC8BD" w14:textId="77777777" w:rsidR="00B7522E" w:rsidRPr="00FC1781" w:rsidRDefault="00B7522E" w:rsidP="00290A4E">
      <w:pPr>
        <w:pStyle w:val="FootnoteText"/>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ICC Budget 2017, 128 The estimated costs €1,050,000 will be funded through the voluntary contributions.</w:t>
      </w:r>
    </w:p>
  </w:footnote>
  <w:footnote w:id="156">
    <w:p w14:paraId="755F1836" w14:textId="77777777" w:rsidR="00B7522E" w:rsidRPr="00FC1781" w:rsidRDefault="00B7522E" w:rsidP="00290A4E">
      <w:pPr>
        <w:widowControl w:val="0"/>
        <w:autoSpaceDE w:val="0"/>
        <w:autoSpaceDN w:val="0"/>
        <w:adjustRightInd w:val="0"/>
        <w:rPr>
          <w:color w:val="000000" w:themeColor="text1"/>
          <w:sz w:val="20"/>
          <w:szCs w:val="20"/>
        </w:rPr>
      </w:pPr>
      <w:r w:rsidRPr="00FC1781">
        <w:rPr>
          <w:rStyle w:val="FootnoteReference"/>
          <w:color w:val="000000" w:themeColor="text1"/>
          <w:sz w:val="20"/>
          <w:szCs w:val="20"/>
        </w:rPr>
        <w:footnoteRef/>
      </w:r>
      <w:r w:rsidRPr="00FC1781">
        <w:rPr>
          <w:color w:val="000000" w:themeColor="text1"/>
          <w:sz w:val="20"/>
          <w:szCs w:val="20"/>
        </w:rPr>
        <w:t xml:space="preserve"> UN GA Res 40/34, 24 November 1983, ANNEX para 2 and 14.</w:t>
      </w:r>
    </w:p>
  </w:footnote>
  <w:footnote w:id="157">
    <w:p w14:paraId="2C393660" w14:textId="0F56203F" w:rsidR="00B7522E" w:rsidRPr="00FC1781" w:rsidRDefault="00B7522E" w:rsidP="00290A4E">
      <w:pPr>
        <w:pStyle w:val="FootnoteText"/>
        <w:rPr>
          <w:color w:val="000000" w:themeColor="text1"/>
          <w:sz w:val="20"/>
          <w:szCs w:val="20"/>
          <w:lang w:val="de-DE"/>
        </w:rPr>
      </w:pPr>
      <w:r w:rsidRPr="00FC1781">
        <w:rPr>
          <w:rStyle w:val="FootnoteReference"/>
          <w:color w:val="000000" w:themeColor="text1"/>
          <w:sz w:val="20"/>
          <w:szCs w:val="20"/>
        </w:rPr>
        <w:footnoteRef/>
      </w:r>
      <w:r w:rsidRPr="00FC1781">
        <w:rPr>
          <w:color w:val="000000" w:themeColor="text1"/>
          <w:sz w:val="20"/>
          <w:szCs w:val="20"/>
          <w:lang w:val="de-DE"/>
        </w:rPr>
        <w:t xml:space="preserve"> </w:t>
      </w:r>
      <w:r w:rsidRPr="00FC1781">
        <w:rPr>
          <w:color w:val="000000" w:themeColor="text1"/>
          <w:sz w:val="20"/>
          <w:szCs w:val="20"/>
          <w:lang w:val="de-DE"/>
        </w:rPr>
        <w:t>See Wierda/de Greiff supra note 3.</w:t>
      </w:r>
    </w:p>
  </w:footnote>
  <w:footnote w:id="158">
    <w:p w14:paraId="6E1986BC" w14:textId="053E1FB0" w:rsidR="00B7522E" w:rsidRPr="00FC1781" w:rsidRDefault="00B7522E" w:rsidP="00290A4E">
      <w:pPr>
        <w:pStyle w:val="FootnoteText"/>
        <w:rPr>
          <w:color w:val="000000" w:themeColor="text1"/>
          <w:sz w:val="20"/>
          <w:szCs w:val="20"/>
          <w:lang w:val="en-US"/>
        </w:rPr>
      </w:pPr>
      <w:r w:rsidRPr="00FC1781">
        <w:rPr>
          <w:rStyle w:val="FootnoteReference"/>
          <w:color w:val="000000" w:themeColor="text1"/>
          <w:sz w:val="20"/>
          <w:szCs w:val="20"/>
        </w:rPr>
        <w:footnoteRef/>
      </w:r>
      <w:r w:rsidRPr="00FC1781">
        <w:rPr>
          <w:color w:val="000000" w:themeColor="text1"/>
          <w:sz w:val="20"/>
          <w:szCs w:val="20"/>
        </w:rPr>
        <w:t xml:space="preserve"> See Fischer supra note 4, at 210.</w:t>
      </w:r>
    </w:p>
  </w:footnote>
  <w:footnote w:id="159">
    <w:p w14:paraId="6452BF00" w14:textId="06D10853" w:rsidR="00B7522E" w:rsidRPr="00FC1781" w:rsidRDefault="00B7522E" w:rsidP="00290A4E">
      <w:pPr>
        <w:pStyle w:val="FootnoteText"/>
        <w:tabs>
          <w:tab w:val="left" w:pos="5507"/>
        </w:tabs>
        <w:rPr>
          <w:sz w:val="20"/>
          <w:szCs w:val="20"/>
        </w:rPr>
      </w:pPr>
      <w:r w:rsidRPr="00FC1781">
        <w:rPr>
          <w:rStyle w:val="FootnoteReference"/>
          <w:sz w:val="20"/>
          <w:szCs w:val="20"/>
        </w:rPr>
        <w:footnoteRef/>
      </w:r>
      <w:r w:rsidRPr="00FC1781">
        <w:rPr>
          <w:sz w:val="20"/>
          <w:szCs w:val="20"/>
        </w:rPr>
        <w:t xml:space="preserve"> See De </w:t>
      </w:r>
      <w:proofErr w:type="spellStart"/>
      <w:r w:rsidRPr="00FC1781">
        <w:rPr>
          <w:sz w:val="20"/>
          <w:szCs w:val="20"/>
        </w:rPr>
        <w:t>Hoon</w:t>
      </w:r>
      <w:proofErr w:type="spellEnd"/>
      <w:r w:rsidRPr="00FC1781">
        <w:rPr>
          <w:sz w:val="20"/>
          <w:szCs w:val="20"/>
        </w:rPr>
        <w:t xml:space="preserve"> supra note 88, at 611.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84C11" w14:textId="77777777" w:rsidR="00B7522E" w:rsidRDefault="00B752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7C98"/>
    <w:multiLevelType w:val="hybridMultilevel"/>
    <w:tmpl w:val="C186BFD6"/>
    <w:lvl w:ilvl="0" w:tplc="253487A2">
      <w:start w:val="1"/>
      <w:numFmt w:val="decimal"/>
      <w:lvlText w:val="%1."/>
      <w:lvlJc w:val="left"/>
      <w:pPr>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E7863"/>
    <w:multiLevelType w:val="hybridMultilevel"/>
    <w:tmpl w:val="BD422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22597"/>
    <w:multiLevelType w:val="hybridMultilevel"/>
    <w:tmpl w:val="1590B72A"/>
    <w:lvl w:ilvl="0" w:tplc="0AA26D4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C1DC8"/>
    <w:multiLevelType w:val="hybridMultilevel"/>
    <w:tmpl w:val="6694D0C8"/>
    <w:lvl w:ilvl="0" w:tplc="C344A42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E1BC4"/>
    <w:multiLevelType w:val="hybridMultilevel"/>
    <w:tmpl w:val="BC80EE82"/>
    <w:lvl w:ilvl="0" w:tplc="CE02C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7B7592"/>
    <w:multiLevelType w:val="multilevel"/>
    <w:tmpl w:val="65501F1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E434B7"/>
    <w:multiLevelType w:val="hybridMultilevel"/>
    <w:tmpl w:val="092E71EA"/>
    <w:lvl w:ilvl="0" w:tplc="0AA26D4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13196"/>
    <w:multiLevelType w:val="hybridMultilevel"/>
    <w:tmpl w:val="06B6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10ECD"/>
    <w:multiLevelType w:val="hybridMultilevel"/>
    <w:tmpl w:val="893E71EE"/>
    <w:lvl w:ilvl="0" w:tplc="FAFC590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B72AD"/>
    <w:multiLevelType w:val="hybridMultilevel"/>
    <w:tmpl w:val="935E0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8275A"/>
    <w:multiLevelType w:val="hybridMultilevel"/>
    <w:tmpl w:val="1C229A9E"/>
    <w:lvl w:ilvl="0" w:tplc="8C60A382">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77472"/>
    <w:multiLevelType w:val="hybridMultilevel"/>
    <w:tmpl w:val="282A472A"/>
    <w:lvl w:ilvl="0" w:tplc="0AA26D4A">
      <w:start w:val="1"/>
      <w:numFmt w:val="decimal"/>
      <w:lvlText w:val="%1.1."/>
      <w:lvlJc w:val="left"/>
      <w:pPr>
        <w:ind w:left="3712" w:hanging="360"/>
      </w:pPr>
      <w:rPr>
        <w:rFonts w:hint="default"/>
      </w:rPr>
    </w:lvl>
    <w:lvl w:ilvl="1" w:tplc="08090019">
      <w:start w:val="1"/>
      <w:numFmt w:val="lowerLetter"/>
      <w:lvlText w:val="%2."/>
      <w:lvlJc w:val="left"/>
      <w:pPr>
        <w:ind w:left="3656" w:hanging="360"/>
      </w:pPr>
    </w:lvl>
    <w:lvl w:ilvl="2" w:tplc="0809001B" w:tentative="1">
      <w:start w:val="1"/>
      <w:numFmt w:val="lowerRoman"/>
      <w:lvlText w:val="%3."/>
      <w:lvlJc w:val="right"/>
      <w:pPr>
        <w:ind w:left="4376" w:hanging="180"/>
      </w:pPr>
    </w:lvl>
    <w:lvl w:ilvl="3" w:tplc="0809000F" w:tentative="1">
      <w:start w:val="1"/>
      <w:numFmt w:val="decimal"/>
      <w:lvlText w:val="%4."/>
      <w:lvlJc w:val="left"/>
      <w:pPr>
        <w:ind w:left="5096" w:hanging="360"/>
      </w:pPr>
    </w:lvl>
    <w:lvl w:ilvl="4" w:tplc="08090019" w:tentative="1">
      <w:start w:val="1"/>
      <w:numFmt w:val="lowerLetter"/>
      <w:lvlText w:val="%5."/>
      <w:lvlJc w:val="left"/>
      <w:pPr>
        <w:ind w:left="5816" w:hanging="360"/>
      </w:pPr>
    </w:lvl>
    <w:lvl w:ilvl="5" w:tplc="0809001B" w:tentative="1">
      <w:start w:val="1"/>
      <w:numFmt w:val="lowerRoman"/>
      <w:lvlText w:val="%6."/>
      <w:lvlJc w:val="right"/>
      <w:pPr>
        <w:ind w:left="6536" w:hanging="180"/>
      </w:pPr>
    </w:lvl>
    <w:lvl w:ilvl="6" w:tplc="0809000F" w:tentative="1">
      <w:start w:val="1"/>
      <w:numFmt w:val="decimal"/>
      <w:lvlText w:val="%7."/>
      <w:lvlJc w:val="left"/>
      <w:pPr>
        <w:ind w:left="7256" w:hanging="360"/>
      </w:pPr>
    </w:lvl>
    <w:lvl w:ilvl="7" w:tplc="08090019" w:tentative="1">
      <w:start w:val="1"/>
      <w:numFmt w:val="lowerLetter"/>
      <w:lvlText w:val="%8."/>
      <w:lvlJc w:val="left"/>
      <w:pPr>
        <w:ind w:left="7976" w:hanging="360"/>
      </w:pPr>
    </w:lvl>
    <w:lvl w:ilvl="8" w:tplc="0809001B" w:tentative="1">
      <w:start w:val="1"/>
      <w:numFmt w:val="lowerRoman"/>
      <w:lvlText w:val="%9."/>
      <w:lvlJc w:val="right"/>
      <w:pPr>
        <w:ind w:left="8696" w:hanging="180"/>
      </w:pPr>
    </w:lvl>
  </w:abstractNum>
  <w:abstractNum w:abstractNumId="12" w15:restartNumberingAfterBreak="0">
    <w:nsid w:val="227A50D4"/>
    <w:multiLevelType w:val="multilevel"/>
    <w:tmpl w:val="954288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38B3973"/>
    <w:multiLevelType w:val="multilevel"/>
    <w:tmpl w:val="954288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C41CA7"/>
    <w:multiLevelType w:val="multilevel"/>
    <w:tmpl w:val="AF4477A6"/>
    <w:lvl w:ilvl="0">
      <w:start w:val="1"/>
      <w:numFmt w:val="bullet"/>
      <w:lvlText w:val=""/>
      <w:lvlJc w:val="left"/>
      <w:pPr>
        <w:ind w:left="720" w:hanging="360"/>
      </w:pPr>
      <w:rPr>
        <w:rFonts w:ascii="Wingdings" w:hAnsi="Wingding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A454D19"/>
    <w:multiLevelType w:val="hybridMultilevel"/>
    <w:tmpl w:val="DC309954"/>
    <w:lvl w:ilvl="0" w:tplc="C344A42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528FD"/>
    <w:multiLevelType w:val="multilevel"/>
    <w:tmpl w:val="E384C5FE"/>
    <w:styleLink w:val="Style1"/>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966F2"/>
    <w:multiLevelType w:val="multilevel"/>
    <w:tmpl w:val="2744D3A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157725"/>
    <w:multiLevelType w:val="multilevel"/>
    <w:tmpl w:val="954288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5736F3"/>
    <w:multiLevelType w:val="hybridMultilevel"/>
    <w:tmpl w:val="E0DCE3DC"/>
    <w:lvl w:ilvl="0" w:tplc="0809000F">
      <w:start w:val="1"/>
      <w:numFmt w:val="decimal"/>
      <w:lvlText w:val="%1."/>
      <w:lvlJc w:val="left"/>
      <w:pPr>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CD5287"/>
    <w:multiLevelType w:val="hybridMultilevel"/>
    <w:tmpl w:val="A9A0E690"/>
    <w:lvl w:ilvl="0" w:tplc="0AA26D4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B86499"/>
    <w:multiLevelType w:val="multilevel"/>
    <w:tmpl w:val="0A2CBAC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6E24D5E"/>
    <w:multiLevelType w:val="hybridMultilevel"/>
    <w:tmpl w:val="C9229854"/>
    <w:lvl w:ilvl="0" w:tplc="6272471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230AA8"/>
    <w:multiLevelType w:val="hybridMultilevel"/>
    <w:tmpl w:val="0DE2DF14"/>
    <w:lvl w:ilvl="0" w:tplc="0AA26D4A">
      <w:start w:val="1"/>
      <w:numFmt w:val="decimal"/>
      <w:lvlText w:val="%1.1."/>
      <w:lvlJc w:val="left"/>
      <w:pPr>
        <w:ind w:left="1496" w:hanging="360"/>
      </w:pPr>
      <w:rPr>
        <w:rFonts w:hint="default"/>
      </w:r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24" w15:restartNumberingAfterBreak="0">
    <w:nsid w:val="39F64045"/>
    <w:multiLevelType w:val="multilevel"/>
    <w:tmpl w:val="2744D3A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A79744F"/>
    <w:multiLevelType w:val="multilevel"/>
    <w:tmpl w:val="6A6643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3EDE78FF"/>
    <w:multiLevelType w:val="hybridMultilevel"/>
    <w:tmpl w:val="24FAF952"/>
    <w:lvl w:ilvl="0" w:tplc="0AA26D4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741613"/>
    <w:multiLevelType w:val="hybridMultilevel"/>
    <w:tmpl w:val="2D300098"/>
    <w:lvl w:ilvl="0" w:tplc="0AA26D4A">
      <w:start w:val="1"/>
      <w:numFmt w:val="decimal"/>
      <w:lvlText w:val="%1.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46A4C8B"/>
    <w:multiLevelType w:val="multilevel"/>
    <w:tmpl w:val="6D220DF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5225BB7"/>
    <w:multiLevelType w:val="multilevel"/>
    <w:tmpl w:val="8E609C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ACC3CB8"/>
    <w:multiLevelType w:val="multilevel"/>
    <w:tmpl w:val="77600706"/>
    <w:lvl w:ilvl="0">
      <w:start w:val="2"/>
      <w:numFmt w:val="decimal"/>
      <w:lvlText w:val="%1."/>
      <w:lvlJc w:val="left"/>
      <w:pPr>
        <w:ind w:left="360" w:hanging="360"/>
      </w:pPr>
      <w:rPr>
        <w:rFonts w:hint="default"/>
      </w:rPr>
    </w:lvl>
    <w:lvl w:ilvl="1">
      <w:start w:val="2"/>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B5C3A30"/>
    <w:multiLevelType w:val="multilevel"/>
    <w:tmpl w:val="0A885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904CF4"/>
    <w:multiLevelType w:val="multilevel"/>
    <w:tmpl w:val="6A6643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4D920EAD"/>
    <w:multiLevelType w:val="hybridMultilevel"/>
    <w:tmpl w:val="4C605914"/>
    <w:lvl w:ilvl="0" w:tplc="0AA26D4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E100F9D"/>
    <w:multiLevelType w:val="multilevel"/>
    <w:tmpl w:val="394C92CC"/>
    <w:lvl w:ilvl="0">
      <w:start w:val="1"/>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FC50609"/>
    <w:multiLevelType w:val="multilevel"/>
    <w:tmpl w:val="677C8E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DD03EB"/>
    <w:multiLevelType w:val="multilevel"/>
    <w:tmpl w:val="0A2CBAC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41F6467"/>
    <w:multiLevelType w:val="multilevel"/>
    <w:tmpl w:val="8902A970"/>
    <w:lvl w:ilvl="0">
      <w:start w:val="1"/>
      <w:numFmt w:val="decimal"/>
      <w:lvlText w:val="%1."/>
      <w:lvlJc w:val="left"/>
      <w:pPr>
        <w:ind w:left="720" w:hanging="360"/>
      </w:pPr>
      <w:rPr>
        <w:rFonts w:hint="default"/>
      </w:rPr>
    </w:lvl>
    <w:lvl w:ilvl="1">
      <w:start w:val="2"/>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5184793"/>
    <w:multiLevelType w:val="hybridMultilevel"/>
    <w:tmpl w:val="408CB58E"/>
    <w:lvl w:ilvl="0" w:tplc="C0864CE0">
      <w:start w:val="2"/>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6AD63CE"/>
    <w:multiLevelType w:val="hybridMultilevel"/>
    <w:tmpl w:val="1E70F086"/>
    <w:lvl w:ilvl="0" w:tplc="0AA26D4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8950882"/>
    <w:multiLevelType w:val="hybridMultilevel"/>
    <w:tmpl w:val="3AA401C2"/>
    <w:lvl w:ilvl="0" w:tplc="0A0238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B96B5D"/>
    <w:multiLevelType w:val="multilevel"/>
    <w:tmpl w:val="2ECCC806"/>
    <w:lvl w:ilvl="0">
      <w:start w:val="1"/>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B2D0F36"/>
    <w:multiLevelType w:val="hybridMultilevel"/>
    <w:tmpl w:val="40EE4E1C"/>
    <w:lvl w:ilvl="0" w:tplc="E3F25822">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DDA34E7"/>
    <w:multiLevelType w:val="hybridMultilevel"/>
    <w:tmpl w:val="DDB858D4"/>
    <w:lvl w:ilvl="0" w:tplc="0AA26D4A">
      <w:start w:val="1"/>
      <w:numFmt w:val="decimal"/>
      <w:lvlText w:val="%1.1."/>
      <w:lvlJc w:val="left"/>
      <w:pPr>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E1F06F9"/>
    <w:multiLevelType w:val="hybridMultilevel"/>
    <w:tmpl w:val="4CCC7FE8"/>
    <w:lvl w:ilvl="0" w:tplc="0AA26D4A">
      <w:start w:val="1"/>
      <w:numFmt w:val="decimal"/>
      <w:lvlText w:val="%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5FF16A96"/>
    <w:multiLevelType w:val="multilevel"/>
    <w:tmpl w:val="AD701AD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0E15603"/>
    <w:multiLevelType w:val="hybridMultilevel"/>
    <w:tmpl w:val="7D7A11F2"/>
    <w:lvl w:ilvl="0" w:tplc="253487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100021D"/>
    <w:multiLevelType w:val="multilevel"/>
    <w:tmpl w:val="A022B4F2"/>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48468F5"/>
    <w:multiLevelType w:val="hybridMultilevel"/>
    <w:tmpl w:val="5D20F4E0"/>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49860E3"/>
    <w:multiLevelType w:val="multilevel"/>
    <w:tmpl w:val="85163BA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784093B"/>
    <w:multiLevelType w:val="multilevel"/>
    <w:tmpl w:val="098826FA"/>
    <w:lvl w:ilvl="0">
      <w:start w:val="2"/>
      <w:numFmt w:val="decimal"/>
      <w:lvlText w:val="%1."/>
      <w:lvlJc w:val="left"/>
      <w:pPr>
        <w:ind w:left="360" w:hanging="360"/>
      </w:pPr>
      <w:rPr>
        <w:rFonts w:hint="default"/>
      </w:rPr>
    </w:lvl>
    <w:lvl w:ilvl="1">
      <w:start w:val="1"/>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92210BA"/>
    <w:multiLevelType w:val="hybridMultilevel"/>
    <w:tmpl w:val="3F3ADDD4"/>
    <w:lvl w:ilvl="0" w:tplc="285012EC">
      <w:start w:val="1"/>
      <w:numFmt w:val="decimal"/>
      <w:lvlText w:val="4%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39727A4"/>
    <w:multiLevelType w:val="hybridMultilevel"/>
    <w:tmpl w:val="0AD610D8"/>
    <w:lvl w:ilvl="0" w:tplc="0AA26D4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3FB3795"/>
    <w:multiLevelType w:val="hybridMultilevel"/>
    <w:tmpl w:val="85628818"/>
    <w:lvl w:ilvl="0" w:tplc="E3F25822">
      <w:start w:val="1"/>
      <w:numFmt w:val="bullet"/>
      <w:lvlText w:val="-"/>
      <w:lvlJc w:val="left"/>
      <w:pPr>
        <w:ind w:left="144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5F472AF"/>
    <w:multiLevelType w:val="hybridMultilevel"/>
    <w:tmpl w:val="8B40BABA"/>
    <w:lvl w:ilvl="0" w:tplc="04090013">
      <w:start w:val="1"/>
      <w:numFmt w:val="upperRoman"/>
      <w:lvlText w:val="%1."/>
      <w:lvlJc w:val="right"/>
      <w:pPr>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6A32068"/>
    <w:multiLevelType w:val="hybridMultilevel"/>
    <w:tmpl w:val="ECE828C8"/>
    <w:lvl w:ilvl="0" w:tplc="7BA4DE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8650213"/>
    <w:multiLevelType w:val="multilevel"/>
    <w:tmpl w:val="A60833A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2"/>
  </w:num>
  <w:num w:numId="2">
    <w:abstractNumId w:val="53"/>
  </w:num>
  <w:num w:numId="3">
    <w:abstractNumId w:val="55"/>
  </w:num>
  <w:num w:numId="4">
    <w:abstractNumId w:val="16"/>
  </w:num>
  <w:num w:numId="5">
    <w:abstractNumId w:val="43"/>
  </w:num>
  <w:num w:numId="6">
    <w:abstractNumId w:val="14"/>
  </w:num>
  <w:num w:numId="7">
    <w:abstractNumId w:val="4"/>
  </w:num>
  <w:num w:numId="8">
    <w:abstractNumId w:val="15"/>
  </w:num>
  <w:num w:numId="9">
    <w:abstractNumId w:val="9"/>
  </w:num>
  <w:num w:numId="10">
    <w:abstractNumId w:val="37"/>
  </w:num>
  <w:num w:numId="11">
    <w:abstractNumId w:val="3"/>
  </w:num>
  <w:num w:numId="12">
    <w:abstractNumId w:val="21"/>
  </w:num>
  <w:num w:numId="13">
    <w:abstractNumId w:val="10"/>
  </w:num>
  <w:num w:numId="14">
    <w:abstractNumId w:val="7"/>
  </w:num>
  <w:num w:numId="15">
    <w:abstractNumId w:val="31"/>
  </w:num>
  <w:num w:numId="16">
    <w:abstractNumId w:val="47"/>
  </w:num>
  <w:num w:numId="17">
    <w:abstractNumId w:val="28"/>
  </w:num>
  <w:num w:numId="18">
    <w:abstractNumId w:val="36"/>
  </w:num>
  <w:num w:numId="19">
    <w:abstractNumId w:val="34"/>
  </w:num>
  <w:num w:numId="20">
    <w:abstractNumId w:val="45"/>
  </w:num>
  <w:num w:numId="21">
    <w:abstractNumId w:val="32"/>
  </w:num>
  <w:num w:numId="22">
    <w:abstractNumId w:val="25"/>
  </w:num>
  <w:num w:numId="23">
    <w:abstractNumId w:val="40"/>
  </w:num>
  <w:num w:numId="24">
    <w:abstractNumId w:val="54"/>
  </w:num>
  <w:num w:numId="25">
    <w:abstractNumId w:val="1"/>
  </w:num>
  <w:num w:numId="26">
    <w:abstractNumId w:val="2"/>
  </w:num>
  <w:num w:numId="27">
    <w:abstractNumId w:val="19"/>
  </w:num>
  <w:num w:numId="28">
    <w:abstractNumId w:val="29"/>
  </w:num>
  <w:num w:numId="29">
    <w:abstractNumId w:val="50"/>
  </w:num>
  <w:num w:numId="30">
    <w:abstractNumId w:val="41"/>
  </w:num>
  <w:num w:numId="31">
    <w:abstractNumId w:val="44"/>
  </w:num>
  <w:num w:numId="32">
    <w:abstractNumId w:val="52"/>
  </w:num>
  <w:num w:numId="33">
    <w:abstractNumId w:val="26"/>
  </w:num>
  <w:num w:numId="34">
    <w:abstractNumId w:val="23"/>
  </w:num>
  <w:num w:numId="35">
    <w:abstractNumId w:val="11"/>
  </w:num>
  <w:num w:numId="36">
    <w:abstractNumId w:val="30"/>
  </w:num>
  <w:num w:numId="37">
    <w:abstractNumId w:val="49"/>
  </w:num>
  <w:num w:numId="38">
    <w:abstractNumId w:val="39"/>
  </w:num>
  <w:num w:numId="39">
    <w:abstractNumId w:val="38"/>
  </w:num>
  <w:num w:numId="40">
    <w:abstractNumId w:val="35"/>
  </w:num>
  <w:num w:numId="41">
    <w:abstractNumId w:val="5"/>
  </w:num>
  <w:num w:numId="42">
    <w:abstractNumId w:val="56"/>
  </w:num>
  <w:num w:numId="43">
    <w:abstractNumId w:val="0"/>
  </w:num>
  <w:num w:numId="44">
    <w:abstractNumId w:val="17"/>
  </w:num>
  <w:num w:numId="45">
    <w:abstractNumId w:val="24"/>
  </w:num>
  <w:num w:numId="46">
    <w:abstractNumId w:val="27"/>
  </w:num>
  <w:num w:numId="47">
    <w:abstractNumId w:val="22"/>
  </w:num>
  <w:num w:numId="48">
    <w:abstractNumId w:val="13"/>
  </w:num>
  <w:num w:numId="49">
    <w:abstractNumId w:val="33"/>
  </w:num>
  <w:num w:numId="50">
    <w:abstractNumId w:val="6"/>
  </w:num>
  <w:num w:numId="51">
    <w:abstractNumId w:val="20"/>
  </w:num>
  <w:num w:numId="52">
    <w:abstractNumId w:val="46"/>
  </w:num>
  <w:num w:numId="53">
    <w:abstractNumId w:val="51"/>
  </w:num>
  <w:num w:numId="54">
    <w:abstractNumId w:val="8"/>
  </w:num>
  <w:num w:numId="55">
    <w:abstractNumId w:val="48"/>
  </w:num>
  <w:num w:numId="56">
    <w:abstractNumId w:val="12"/>
  </w:num>
  <w:num w:numId="57">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en-GB" w:vendorID="2" w:dllVersion="6"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8F"/>
    <w:rsid w:val="0000089E"/>
    <w:rsid w:val="000012A5"/>
    <w:rsid w:val="00001A9F"/>
    <w:rsid w:val="0000471F"/>
    <w:rsid w:val="00006327"/>
    <w:rsid w:val="0000769A"/>
    <w:rsid w:val="000100C0"/>
    <w:rsid w:val="0001357B"/>
    <w:rsid w:val="0001365C"/>
    <w:rsid w:val="0001467A"/>
    <w:rsid w:val="00015398"/>
    <w:rsid w:val="000153CC"/>
    <w:rsid w:val="000163EF"/>
    <w:rsid w:val="000177EA"/>
    <w:rsid w:val="00017ACE"/>
    <w:rsid w:val="0002075D"/>
    <w:rsid w:val="00020F83"/>
    <w:rsid w:val="000212A0"/>
    <w:rsid w:val="00022538"/>
    <w:rsid w:val="00022555"/>
    <w:rsid w:val="0002256D"/>
    <w:rsid w:val="00023935"/>
    <w:rsid w:val="00024147"/>
    <w:rsid w:val="00025C2A"/>
    <w:rsid w:val="000263DA"/>
    <w:rsid w:val="00026E18"/>
    <w:rsid w:val="0002752A"/>
    <w:rsid w:val="00030297"/>
    <w:rsid w:val="00030D50"/>
    <w:rsid w:val="00031586"/>
    <w:rsid w:val="00031657"/>
    <w:rsid w:val="000316C0"/>
    <w:rsid w:val="000332C5"/>
    <w:rsid w:val="00034326"/>
    <w:rsid w:val="000344CE"/>
    <w:rsid w:val="00034A15"/>
    <w:rsid w:val="00034DBE"/>
    <w:rsid w:val="00036BD4"/>
    <w:rsid w:val="00037141"/>
    <w:rsid w:val="000371DE"/>
    <w:rsid w:val="00037FE8"/>
    <w:rsid w:val="00041974"/>
    <w:rsid w:val="0004251A"/>
    <w:rsid w:val="00042A64"/>
    <w:rsid w:val="000431F9"/>
    <w:rsid w:val="00044969"/>
    <w:rsid w:val="000456A6"/>
    <w:rsid w:val="00045F0F"/>
    <w:rsid w:val="00047417"/>
    <w:rsid w:val="000501E9"/>
    <w:rsid w:val="00053CA1"/>
    <w:rsid w:val="00053CA5"/>
    <w:rsid w:val="00053D00"/>
    <w:rsid w:val="00055AEC"/>
    <w:rsid w:val="00057CF1"/>
    <w:rsid w:val="00060C3A"/>
    <w:rsid w:val="00060DEF"/>
    <w:rsid w:val="00060EE7"/>
    <w:rsid w:val="000619C5"/>
    <w:rsid w:val="00061AF4"/>
    <w:rsid w:val="00062FEB"/>
    <w:rsid w:val="000640DB"/>
    <w:rsid w:val="0006440B"/>
    <w:rsid w:val="000652D9"/>
    <w:rsid w:val="00065E0D"/>
    <w:rsid w:val="00065F50"/>
    <w:rsid w:val="00066746"/>
    <w:rsid w:val="000670A2"/>
    <w:rsid w:val="00067128"/>
    <w:rsid w:val="000702C5"/>
    <w:rsid w:val="0007127B"/>
    <w:rsid w:val="00071AD3"/>
    <w:rsid w:val="000720B9"/>
    <w:rsid w:val="000728A8"/>
    <w:rsid w:val="00075CEC"/>
    <w:rsid w:val="000762B4"/>
    <w:rsid w:val="00077F9C"/>
    <w:rsid w:val="0008053A"/>
    <w:rsid w:val="00082286"/>
    <w:rsid w:val="00082B8E"/>
    <w:rsid w:val="00083081"/>
    <w:rsid w:val="000836F3"/>
    <w:rsid w:val="00083802"/>
    <w:rsid w:val="000842C4"/>
    <w:rsid w:val="000848B2"/>
    <w:rsid w:val="00085EF8"/>
    <w:rsid w:val="000862AE"/>
    <w:rsid w:val="00086389"/>
    <w:rsid w:val="00087672"/>
    <w:rsid w:val="00090428"/>
    <w:rsid w:val="00090C6E"/>
    <w:rsid w:val="00090E2C"/>
    <w:rsid w:val="00091269"/>
    <w:rsid w:val="00091F10"/>
    <w:rsid w:val="0009236A"/>
    <w:rsid w:val="000927B1"/>
    <w:rsid w:val="000928C2"/>
    <w:rsid w:val="00093314"/>
    <w:rsid w:val="00095A62"/>
    <w:rsid w:val="000961CF"/>
    <w:rsid w:val="000975FE"/>
    <w:rsid w:val="000A04C7"/>
    <w:rsid w:val="000A11D3"/>
    <w:rsid w:val="000A21A7"/>
    <w:rsid w:val="000A29C3"/>
    <w:rsid w:val="000A3DA1"/>
    <w:rsid w:val="000A4053"/>
    <w:rsid w:val="000A6A3B"/>
    <w:rsid w:val="000A79E4"/>
    <w:rsid w:val="000A7CFF"/>
    <w:rsid w:val="000A7D56"/>
    <w:rsid w:val="000A7D84"/>
    <w:rsid w:val="000B0F4E"/>
    <w:rsid w:val="000B212B"/>
    <w:rsid w:val="000B2336"/>
    <w:rsid w:val="000B2661"/>
    <w:rsid w:val="000B375D"/>
    <w:rsid w:val="000B4A3A"/>
    <w:rsid w:val="000B6ADE"/>
    <w:rsid w:val="000B76C0"/>
    <w:rsid w:val="000C081F"/>
    <w:rsid w:val="000C2499"/>
    <w:rsid w:val="000C329B"/>
    <w:rsid w:val="000C3DA0"/>
    <w:rsid w:val="000C4705"/>
    <w:rsid w:val="000C52A5"/>
    <w:rsid w:val="000C55C7"/>
    <w:rsid w:val="000C68CE"/>
    <w:rsid w:val="000C765E"/>
    <w:rsid w:val="000C79BE"/>
    <w:rsid w:val="000D01C9"/>
    <w:rsid w:val="000D1516"/>
    <w:rsid w:val="000D17A9"/>
    <w:rsid w:val="000D2757"/>
    <w:rsid w:val="000D28D9"/>
    <w:rsid w:val="000D37DA"/>
    <w:rsid w:val="000D3808"/>
    <w:rsid w:val="000D44C2"/>
    <w:rsid w:val="000D5877"/>
    <w:rsid w:val="000D6EAA"/>
    <w:rsid w:val="000D74E5"/>
    <w:rsid w:val="000D7D8D"/>
    <w:rsid w:val="000E15DB"/>
    <w:rsid w:val="000E2400"/>
    <w:rsid w:val="000E2793"/>
    <w:rsid w:val="000E28DA"/>
    <w:rsid w:val="000E3A3F"/>
    <w:rsid w:val="000E5E5D"/>
    <w:rsid w:val="000E6CA1"/>
    <w:rsid w:val="000E6D6A"/>
    <w:rsid w:val="000E7032"/>
    <w:rsid w:val="000E7584"/>
    <w:rsid w:val="000E7EF0"/>
    <w:rsid w:val="000F0CAA"/>
    <w:rsid w:val="000F0FD9"/>
    <w:rsid w:val="000F11EF"/>
    <w:rsid w:val="000F26EA"/>
    <w:rsid w:val="000F2A07"/>
    <w:rsid w:val="000F5C30"/>
    <w:rsid w:val="000F5E05"/>
    <w:rsid w:val="000F670D"/>
    <w:rsid w:val="000F7056"/>
    <w:rsid w:val="000F7147"/>
    <w:rsid w:val="000F7AC9"/>
    <w:rsid w:val="000F7FF7"/>
    <w:rsid w:val="00100A5E"/>
    <w:rsid w:val="00101E3A"/>
    <w:rsid w:val="001020E4"/>
    <w:rsid w:val="00102A0D"/>
    <w:rsid w:val="00102D13"/>
    <w:rsid w:val="001041A7"/>
    <w:rsid w:val="001044D2"/>
    <w:rsid w:val="00104C16"/>
    <w:rsid w:val="0010570F"/>
    <w:rsid w:val="00105A58"/>
    <w:rsid w:val="00105E6F"/>
    <w:rsid w:val="001068A3"/>
    <w:rsid w:val="00106E6F"/>
    <w:rsid w:val="0010776C"/>
    <w:rsid w:val="001102BF"/>
    <w:rsid w:val="001113D9"/>
    <w:rsid w:val="0011233F"/>
    <w:rsid w:val="00112CC9"/>
    <w:rsid w:val="001154CB"/>
    <w:rsid w:val="001166B2"/>
    <w:rsid w:val="00117009"/>
    <w:rsid w:val="0011707B"/>
    <w:rsid w:val="00117A4C"/>
    <w:rsid w:val="00120079"/>
    <w:rsid w:val="00120272"/>
    <w:rsid w:val="0012130B"/>
    <w:rsid w:val="00121A03"/>
    <w:rsid w:val="001227F6"/>
    <w:rsid w:val="00122E64"/>
    <w:rsid w:val="00123AF5"/>
    <w:rsid w:val="0012472D"/>
    <w:rsid w:val="00124A54"/>
    <w:rsid w:val="00126A18"/>
    <w:rsid w:val="00127B59"/>
    <w:rsid w:val="001309A9"/>
    <w:rsid w:val="00130AC8"/>
    <w:rsid w:val="00131FA1"/>
    <w:rsid w:val="0013278E"/>
    <w:rsid w:val="00132862"/>
    <w:rsid w:val="001330A6"/>
    <w:rsid w:val="001334C6"/>
    <w:rsid w:val="0013402F"/>
    <w:rsid w:val="0013421B"/>
    <w:rsid w:val="00134BE4"/>
    <w:rsid w:val="001353AE"/>
    <w:rsid w:val="00135E0E"/>
    <w:rsid w:val="00136016"/>
    <w:rsid w:val="001366F4"/>
    <w:rsid w:val="0014067E"/>
    <w:rsid w:val="00141267"/>
    <w:rsid w:val="001424C0"/>
    <w:rsid w:val="0014261A"/>
    <w:rsid w:val="001432AE"/>
    <w:rsid w:val="00143DE4"/>
    <w:rsid w:val="00144B9E"/>
    <w:rsid w:val="00144F1C"/>
    <w:rsid w:val="00145BD7"/>
    <w:rsid w:val="00146A05"/>
    <w:rsid w:val="001479C4"/>
    <w:rsid w:val="00150738"/>
    <w:rsid w:val="00150E6F"/>
    <w:rsid w:val="0015129A"/>
    <w:rsid w:val="00151802"/>
    <w:rsid w:val="00151B46"/>
    <w:rsid w:val="00151EC8"/>
    <w:rsid w:val="00152753"/>
    <w:rsid w:val="001551A0"/>
    <w:rsid w:val="00155816"/>
    <w:rsid w:val="00155F00"/>
    <w:rsid w:val="00155F9A"/>
    <w:rsid w:val="00160059"/>
    <w:rsid w:val="0016166F"/>
    <w:rsid w:val="0016219D"/>
    <w:rsid w:val="00164033"/>
    <w:rsid w:val="001646CA"/>
    <w:rsid w:val="0016564F"/>
    <w:rsid w:val="00166384"/>
    <w:rsid w:val="00167D2C"/>
    <w:rsid w:val="001707CE"/>
    <w:rsid w:val="001737CB"/>
    <w:rsid w:val="001744FA"/>
    <w:rsid w:val="00174BF0"/>
    <w:rsid w:val="00174C45"/>
    <w:rsid w:val="00175328"/>
    <w:rsid w:val="00175E5A"/>
    <w:rsid w:val="001764E7"/>
    <w:rsid w:val="0018028E"/>
    <w:rsid w:val="00181CA2"/>
    <w:rsid w:val="001826D7"/>
    <w:rsid w:val="00182AC7"/>
    <w:rsid w:val="00182E26"/>
    <w:rsid w:val="00182E96"/>
    <w:rsid w:val="00183463"/>
    <w:rsid w:val="001841F7"/>
    <w:rsid w:val="00184523"/>
    <w:rsid w:val="00184CB2"/>
    <w:rsid w:val="001851BD"/>
    <w:rsid w:val="00185873"/>
    <w:rsid w:val="00185C00"/>
    <w:rsid w:val="001860D1"/>
    <w:rsid w:val="0018639F"/>
    <w:rsid w:val="001868CD"/>
    <w:rsid w:val="001872FA"/>
    <w:rsid w:val="0018732D"/>
    <w:rsid w:val="0018744B"/>
    <w:rsid w:val="001875F3"/>
    <w:rsid w:val="00190C8D"/>
    <w:rsid w:val="00190D82"/>
    <w:rsid w:val="00190FA7"/>
    <w:rsid w:val="0019227F"/>
    <w:rsid w:val="001938AB"/>
    <w:rsid w:val="00194DDF"/>
    <w:rsid w:val="00195FD4"/>
    <w:rsid w:val="001970DC"/>
    <w:rsid w:val="00197CCB"/>
    <w:rsid w:val="001A0654"/>
    <w:rsid w:val="001A0747"/>
    <w:rsid w:val="001A0F25"/>
    <w:rsid w:val="001A1225"/>
    <w:rsid w:val="001A188E"/>
    <w:rsid w:val="001A208F"/>
    <w:rsid w:val="001A2771"/>
    <w:rsid w:val="001A2FAE"/>
    <w:rsid w:val="001A4C40"/>
    <w:rsid w:val="001A505C"/>
    <w:rsid w:val="001A5551"/>
    <w:rsid w:val="001A56FC"/>
    <w:rsid w:val="001A74DA"/>
    <w:rsid w:val="001A7E91"/>
    <w:rsid w:val="001B0357"/>
    <w:rsid w:val="001B11AA"/>
    <w:rsid w:val="001B13DB"/>
    <w:rsid w:val="001B1551"/>
    <w:rsid w:val="001B1947"/>
    <w:rsid w:val="001B1C83"/>
    <w:rsid w:val="001B1D16"/>
    <w:rsid w:val="001B256E"/>
    <w:rsid w:val="001B28FB"/>
    <w:rsid w:val="001B32D7"/>
    <w:rsid w:val="001B35F6"/>
    <w:rsid w:val="001B46FF"/>
    <w:rsid w:val="001B4DD1"/>
    <w:rsid w:val="001B5939"/>
    <w:rsid w:val="001B5EC9"/>
    <w:rsid w:val="001B6FA1"/>
    <w:rsid w:val="001C03A7"/>
    <w:rsid w:val="001C5143"/>
    <w:rsid w:val="001C77B9"/>
    <w:rsid w:val="001C784F"/>
    <w:rsid w:val="001C79C1"/>
    <w:rsid w:val="001D28BE"/>
    <w:rsid w:val="001D2B60"/>
    <w:rsid w:val="001D2FA4"/>
    <w:rsid w:val="001D3693"/>
    <w:rsid w:val="001D3917"/>
    <w:rsid w:val="001D42FC"/>
    <w:rsid w:val="001D53E0"/>
    <w:rsid w:val="001D5749"/>
    <w:rsid w:val="001D7384"/>
    <w:rsid w:val="001D7C6E"/>
    <w:rsid w:val="001E0C04"/>
    <w:rsid w:val="001E1272"/>
    <w:rsid w:val="001E2A51"/>
    <w:rsid w:val="001E3F28"/>
    <w:rsid w:val="001E408F"/>
    <w:rsid w:val="001E4167"/>
    <w:rsid w:val="001E5EF9"/>
    <w:rsid w:val="001E7263"/>
    <w:rsid w:val="001E7644"/>
    <w:rsid w:val="001E7B59"/>
    <w:rsid w:val="001F0B84"/>
    <w:rsid w:val="001F214D"/>
    <w:rsid w:val="001F3753"/>
    <w:rsid w:val="001F473B"/>
    <w:rsid w:val="001F4833"/>
    <w:rsid w:val="001F4F9A"/>
    <w:rsid w:val="001F50D3"/>
    <w:rsid w:val="001F6375"/>
    <w:rsid w:val="001F70FB"/>
    <w:rsid w:val="001F77F2"/>
    <w:rsid w:val="001F7ACF"/>
    <w:rsid w:val="00200041"/>
    <w:rsid w:val="00200312"/>
    <w:rsid w:val="00200A1D"/>
    <w:rsid w:val="00200FFD"/>
    <w:rsid w:val="0020148E"/>
    <w:rsid w:val="00202301"/>
    <w:rsid w:val="0020269B"/>
    <w:rsid w:val="00204039"/>
    <w:rsid w:val="00204837"/>
    <w:rsid w:val="0020610E"/>
    <w:rsid w:val="002064DB"/>
    <w:rsid w:val="00211A4A"/>
    <w:rsid w:val="00212624"/>
    <w:rsid w:val="00212B02"/>
    <w:rsid w:val="00212D0A"/>
    <w:rsid w:val="00212D15"/>
    <w:rsid w:val="00212F2C"/>
    <w:rsid w:val="00212FDE"/>
    <w:rsid w:val="0021311E"/>
    <w:rsid w:val="0021334D"/>
    <w:rsid w:val="00214599"/>
    <w:rsid w:val="00215E11"/>
    <w:rsid w:val="00215FB2"/>
    <w:rsid w:val="00216347"/>
    <w:rsid w:val="00217138"/>
    <w:rsid w:val="002208B1"/>
    <w:rsid w:val="00220C44"/>
    <w:rsid w:val="002222D3"/>
    <w:rsid w:val="00222959"/>
    <w:rsid w:val="00222961"/>
    <w:rsid w:val="002252AD"/>
    <w:rsid w:val="0022580F"/>
    <w:rsid w:val="002268AA"/>
    <w:rsid w:val="00226AAD"/>
    <w:rsid w:val="002279B9"/>
    <w:rsid w:val="00231751"/>
    <w:rsid w:val="00231847"/>
    <w:rsid w:val="002319E8"/>
    <w:rsid w:val="0023399D"/>
    <w:rsid w:val="00233E5A"/>
    <w:rsid w:val="00233E9B"/>
    <w:rsid w:val="00235442"/>
    <w:rsid w:val="00236CE2"/>
    <w:rsid w:val="00237E74"/>
    <w:rsid w:val="00242293"/>
    <w:rsid w:val="002429B7"/>
    <w:rsid w:val="00244845"/>
    <w:rsid w:val="002449D1"/>
    <w:rsid w:val="0024648B"/>
    <w:rsid w:val="00246DE4"/>
    <w:rsid w:val="00247AC0"/>
    <w:rsid w:val="00247B15"/>
    <w:rsid w:val="00247B19"/>
    <w:rsid w:val="002501C9"/>
    <w:rsid w:val="00254691"/>
    <w:rsid w:val="0025539E"/>
    <w:rsid w:val="0025722A"/>
    <w:rsid w:val="00261D06"/>
    <w:rsid w:val="0026244C"/>
    <w:rsid w:val="002629EF"/>
    <w:rsid w:val="00262AEC"/>
    <w:rsid w:val="00263452"/>
    <w:rsid w:val="00264108"/>
    <w:rsid w:val="0026426A"/>
    <w:rsid w:val="00264E2E"/>
    <w:rsid w:val="00265675"/>
    <w:rsid w:val="00272CF2"/>
    <w:rsid w:val="002730E3"/>
    <w:rsid w:val="002734BA"/>
    <w:rsid w:val="00274701"/>
    <w:rsid w:val="002749A8"/>
    <w:rsid w:val="00274A23"/>
    <w:rsid w:val="0027562D"/>
    <w:rsid w:val="00276309"/>
    <w:rsid w:val="00276FCE"/>
    <w:rsid w:val="00277B39"/>
    <w:rsid w:val="00277F42"/>
    <w:rsid w:val="0028063A"/>
    <w:rsid w:val="00280F74"/>
    <w:rsid w:val="00281E8F"/>
    <w:rsid w:val="00283720"/>
    <w:rsid w:val="00283EF3"/>
    <w:rsid w:val="002868CB"/>
    <w:rsid w:val="00287823"/>
    <w:rsid w:val="00290A4E"/>
    <w:rsid w:val="00291404"/>
    <w:rsid w:val="002915B8"/>
    <w:rsid w:val="002915F6"/>
    <w:rsid w:val="00292673"/>
    <w:rsid w:val="002935DB"/>
    <w:rsid w:val="00294E42"/>
    <w:rsid w:val="00297DD2"/>
    <w:rsid w:val="002A2FAE"/>
    <w:rsid w:val="002A40D6"/>
    <w:rsid w:val="002A5645"/>
    <w:rsid w:val="002A6EF1"/>
    <w:rsid w:val="002B03B3"/>
    <w:rsid w:val="002B045A"/>
    <w:rsid w:val="002B1B0C"/>
    <w:rsid w:val="002B24FF"/>
    <w:rsid w:val="002B2B4F"/>
    <w:rsid w:val="002B378B"/>
    <w:rsid w:val="002B59E9"/>
    <w:rsid w:val="002B6272"/>
    <w:rsid w:val="002B6E61"/>
    <w:rsid w:val="002C013E"/>
    <w:rsid w:val="002C1704"/>
    <w:rsid w:val="002C3134"/>
    <w:rsid w:val="002C35FC"/>
    <w:rsid w:val="002C3B70"/>
    <w:rsid w:val="002C5612"/>
    <w:rsid w:val="002C5B1F"/>
    <w:rsid w:val="002C5EEA"/>
    <w:rsid w:val="002C604B"/>
    <w:rsid w:val="002C666A"/>
    <w:rsid w:val="002C6676"/>
    <w:rsid w:val="002C6B56"/>
    <w:rsid w:val="002C6EE8"/>
    <w:rsid w:val="002C7C03"/>
    <w:rsid w:val="002D0B73"/>
    <w:rsid w:val="002D0D9E"/>
    <w:rsid w:val="002D16CF"/>
    <w:rsid w:val="002D1E79"/>
    <w:rsid w:val="002D1F84"/>
    <w:rsid w:val="002D2A81"/>
    <w:rsid w:val="002D2DF7"/>
    <w:rsid w:val="002D3343"/>
    <w:rsid w:val="002D4BE0"/>
    <w:rsid w:val="002D4F80"/>
    <w:rsid w:val="002D51B3"/>
    <w:rsid w:val="002D540A"/>
    <w:rsid w:val="002D656F"/>
    <w:rsid w:val="002D6DE7"/>
    <w:rsid w:val="002D724B"/>
    <w:rsid w:val="002D727F"/>
    <w:rsid w:val="002D7C27"/>
    <w:rsid w:val="002E055C"/>
    <w:rsid w:val="002E0B58"/>
    <w:rsid w:val="002E0B75"/>
    <w:rsid w:val="002E0C56"/>
    <w:rsid w:val="002E1EE3"/>
    <w:rsid w:val="002E2027"/>
    <w:rsid w:val="002E26E3"/>
    <w:rsid w:val="002E288B"/>
    <w:rsid w:val="002E346C"/>
    <w:rsid w:val="002E3486"/>
    <w:rsid w:val="002E3DBE"/>
    <w:rsid w:val="002E3F2D"/>
    <w:rsid w:val="002E5356"/>
    <w:rsid w:val="002E5B52"/>
    <w:rsid w:val="002E672A"/>
    <w:rsid w:val="002F0F8F"/>
    <w:rsid w:val="002F13D3"/>
    <w:rsid w:val="002F1B7B"/>
    <w:rsid w:val="002F1D76"/>
    <w:rsid w:val="002F260E"/>
    <w:rsid w:val="002F3514"/>
    <w:rsid w:val="002F53C4"/>
    <w:rsid w:val="002F683E"/>
    <w:rsid w:val="002F6C46"/>
    <w:rsid w:val="003012C6"/>
    <w:rsid w:val="00301313"/>
    <w:rsid w:val="00301870"/>
    <w:rsid w:val="00301D94"/>
    <w:rsid w:val="00302923"/>
    <w:rsid w:val="003034BD"/>
    <w:rsid w:val="00303C58"/>
    <w:rsid w:val="003067B1"/>
    <w:rsid w:val="00306A8D"/>
    <w:rsid w:val="00311BE2"/>
    <w:rsid w:val="003120A0"/>
    <w:rsid w:val="00312C11"/>
    <w:rsid w:val="0031523D"/>
    <w:rsid w:val="0031539C"/>
    <w:rsid w:val="00316818"/>
    <w:rsid w:val="003177B0"/>
    <w:rsid w:val="00321C32"/>
    <w:rsid w:val="00321D3E"/>
    <w:rsid w:val="00322588"/>
    <w:rsid w:val="00322DFE"/>
    <w:rsid w:val="003256FF"/>
    <w:rsid w:val="00325888"/>
    <w:rsid w:val="00325EC3"/>
    <w:rsid w:val="0032670B"/>
    <w:rsid w:val="00326D8D"/>
    <w:rsid w:val="003278C1"/>
    <w:rsid w:val="003279B7"/>
    <w:rsid w:val="00331AF8"/>
    <w:rsid w:val="00332418"/>
    <w:rsid w:val="0033332D"/>
    <w:rsid w:val="00333B26"/>
    <w:rsid w:val="00334814"/>
    <w:rsid w:val="003349B4"/>
    <w:rsid w:val="00334B23"/>
    <w:rsid w:val="00335007"/>
    <w:rsid w:val="003355DE"/>
    <w:rsid w:val="003357EC"/>
    <w:rsid w:val="00336291"/>
    <w:rsid w:val="00336EA9"/>
    <w:rsid w:val="00337290"/>
    <w:rsid w:val="003375E2"/>
    <w:rsid w:val="00337880"/>
    <w:rsid w:val="00337A83"/>
    <w:rsid w:val="00340190"/>
    <w:rsid w:val="0034216C"/>
    <w:rsid w:val="003426C2"/>
    <w:rsid w:val="00343310"/>
    <w:rsid w:val="003434D8"/>
    <w:rsid w:val="00343CB2"/>
    <w:rsid w:val="0034543D"/>
    <w:rsid w:val="003462DF"/>
    <w:rsid w:val="003464CC"/>
    <w:rsid w:val="0035052E"/>
    <w:rsid w:val="003510E3"/>
    <w:rsid w:val="00351130"/>
    <w:rsid w:val="0035165F"/>
    <w:rsid w:val="0035249B"/>
    <w:rsid w:val="00352C1C"/>
    <w:rsid w:val="00352D2B"/>
    <w:rsid w:val="003546E6"/>
    <w:rsid w:val="00354A6D"/>
    <w:rsid w:val="00354D56"/>
    <w:rsid w:val="00355121"/>
    <w:rsid w:val="00355626"/>
    <w:rsid w:val="003556DE"/>
    <w:rsid w:val="0035758F"/>
    <w:rsid w:val="00357B12"/>
    <w:rsid w:val="003605C9"/>
    <w:rsid w:val="00360F0C"/>
    <w:rsid w:val="00361441"/>
    <w:rsid w:val="003616D2"/>
    <w:rsid w:val="00361E0B"/>
    <w:rsid w:val="0036355B"/>
    <w:rsid w:val="00364E33"/>
    <w:rsid w:val="00366702"/>
    <w:rsid w:val="00367BA5"/>
    <w:rsid w:val="00370CA6"/>
    <w:rsid w:val="00371B80"/>
    <w:rsid w:val="00372B49"/>
    <w:rsid w:val="00372C12"/>
    <w:rsid w:val="00373466"/>
    <w:rsid w:val="00373E3D"/>
    <w:rsid w:val="0037468A"/>
    <w:rsid w:val="00374B23"/>
    <w:rsid w:val="00375889"/>
    <w:rsid w:val="003758E5"/>
    <w:rsid w:val="00375A70"/>
    <w:rsid w:val="00375ED7"/>
    <w:rsid w:val="003760B7"/>
    <w:rsid w:val="003766DD"/>
    <w:rsid w:val="003769B8"/>
    <w:rsid w:val="00376AD8"/>
    <w:rsid w:val="00376F1E"/>
    <w:rsid w:val="0037710D"/>
    <w:rsid w:val="003801D7"/>
    <w:rsid w:val="00380B00"/>
    <w:rsid w:val="00380CDC"/>
    <w:rsid w:val="00383CDF"/>
    <w:rsid w:val="00384D8E"/>
    <w:rsid w:val="00385041"/>
    <w:rsid w:val="003853E5"/>
    <w:rsid w:val="0038577D"/>
    <w:rsid w:val="003857AB"/>
    <w:rsid w:val="00386937"/>
    <w:rsid w:val="00386B78"/>
    <w:rsid w:val="003875E5"/>
    <w:rsid w:val="00390E06"/>
    <w:rsid w:val="00391D14"/>
    <w:rsid w:val="00392178"/>
    <w:rsid w:val="00392638"/>
    <w:rsid w:val="0039437C"/>
    <w:rsid w:val="00394549"/>
    <w:rsid w:val="00395FDD"/>
    <w:rsid w:val="00396C0D"/>
    <w:rsid w:val="003A0AEA"/>
    <w:rsid w:val="003A1DB3"/>
    <w:rsid w:val="003A1FCB"/>
    <w:rsid w:val="003A3906"/>
    <w:rsid w:val="003A44FF"/>
    <w:rsid w:val="003A4779"/>
    <w:rsid w:val="003A4D05"/>
    <w:rsid w:val="003A5456"/>
    <w:rsid w:val="003A57F0"/>
    <w:rsid w:val="003A62F1"/>
    <w:rsid w:val="003B06A1"/>
    <w:rsid w:val="003B0770"/>
    <w:rsid w:val="003B12D4"/>
    <w:rsid w:val="003B2DA0"/>
    <w:rsid w:val="003B333C"/>
    <w:rsid w:val="003B366D"/>
    <w:rsid w:val="003B59D8"/>
    <w:rsid w:val="003B5EC0"/>
    <w:rsid w:val="003B60B1"/>
    <w:rsid w:val="003C0997"/>
    <w:rsid w:val="003C150A"/>
    <w:rsid w:val="003C1E8E"/>
    <w:rsid w:val="003C30D7"/>
    <w:rsid w:val="003C4194"/>
    <w:rsid w:val="003C4391"/>
    <w:rsid w:val="003C4715"/>
    <w:rsid w:val="003C54B9"/>
    <w:rsid w:val="003C6008"/>
    <w:rsid w:val="003C6449"/>
    <w:rsid w:val="003C6507"/>
    <w:rsid w:val="003C770A"/>
    <w:rsid w:val="003C7BAA"/>
    <w:rsid w:val="003D0778"/>
    <w:rsid w:val="003D2B10"/>
    <w:rsid w:val="003D3E62"/>
    <w:rsid w:val="003D4E1F"/>
    <w:rsid w:val="003D66B0"/>
    <w:rsid w:val="003E0709"/>
    <w:rsid w:val="003E2F7C"/>
    <w:rsid w:val="003E43D5"/>
    <w:rsid w:val="003E7EE4"/>
    <w:rsid w:val="003F1131"/>
    <w:rsid w:val="003F15E1"/>
    <w:rsid w:val="003F1AA4"/>
    <w:rsid w:val="003F2072"/>
    <w:rsid w:val="003F2D66"/>
    <w:rsid w:val="003F335F"/>
    <w:rsid w:val="003F377D"/>
    <w:rsid w:val="003F4F37"/>
    <w:rsid w:val="003F6157"/>
    <w:rsid w:val="003F6393"/>
    <w:rsid w:val="003F6482"/>
    <w:rsid w:val="003F6B08"/>
    <w:rsid w:val="003F72B1"/>
    <w:rsid w:val="003F7AD9"/>
    <w:rsid w:val="003F7E6B"/>
    <w:rsid w:val="0040034A"/>
    <w:rsid w:val="004008E3"/>
    <w:rsid w:val="00400ED0"/>
    <w:rsid w:val="004015CD"/>
    <w:rsid w:val="004026D6"/>
    <w:rsid w:val="00403264"/>
    <w:rsid w:val="00403DA1"/>
    <w:rsid w:val="00403EC7"/>
    <w:rsid w:val="00404850"/>
    <w:rsid w:val="004063F8"/>
    <w:rsid w:val="004069C1"/>
    <w:rsid w:val="00407452"/>
    <w:rsid w:val="00407A25"/>
    <w:rsid w:val="004102A2"/>
    <w:rsid w:val="004109E9"/>
    <w:rsid w:val="00410E2F"/>
    <w:rsid w:val="004118B6"/>
    <w:rsid w:val="00411B43"/>
    <w:rsid w:val="00411D1B"/>
    <w:rsid w:val="00412917"/>
    <w:rsid w:val="00412BA9"/>
    <w:rsid w:val="0041353A"/>
    <w:rsid w:val="00413B26"/>
    <w:rsid w:val="00414F5E"/>
    <w:rsid w:val="004159A5"/>
    <w:rsid w:val="004166C9"/>
    <w:rsid w:val="0041780C"/>
    <w:rsid w:val="00420032"/>
    <w:rsid w:val="00422D59"/>
    <w:rsid w:val="00423262"/>
    <w:rsid w:val="00423343"/>
    <w:rsid w:val="00424693"/>
    <w:rsid w:val="00424CFD"/>
    <w:rsid w:val="00424DE9"/>
    <w:rsid w:val="00425316"/>
    <w:rsid w:val="0042576E"/>
    <w:rsid w:val="004257E3"/>
    <w:rsid w:val="0042588B"/>
    <w:rsid w:val="0042777A"/>
    <w:rsid w:val="00427F80"/>
    <w:rsid w:val="00431738"/>
    <w:rsid w:val="00431ECA"/>
    <w:rsid w:val="00432B14"/>
    <w:rsid w:val="0043306B"/>
    <w:rsid w:val="004340A1"/>
    <w:rsid w:val="0043419C"/>
    <w:rsid w:val="004345FB"/>
    <w:rsid w:val="00436255"/>
    <w:rsid w:val="00436337"/>
    <w:rsid w:val="0043790B"/>
    <w:rsid w:val="00440905"/>
    <w:rsid w:val="004417CE"/>
    <w:rsid w:val="00441831"/>
    <w:rsid w:val="00442051"/>
    <w:rsid w:val="00442D24"/>
    <w:rsid w:val="00443D2E"/>
    <w:rsid w:val="0044407F"/>
    <w:rsid w:val="00444C02"/>
    <w:rsid w:val="00446005"/>
    <w:rsid w:val="00447269"/>
    <w:rsid w:val="00447E22"/>
    <w:rsid w:val="00451644"/>
    <w:rsid w:val="00451E6C"/>
    <w:rsid w:val="00453259"/>
    <w:rsid w:val="00453E61"/>
    <w:rsid w:val="00454AA1"/>
    <w:rsid w:val="004554A1"/>
    <w:rsid w:val="00456A75"/>
    <w:rsid w:val="00457991"/>
    <w:rsid w:val="00460352"/>
    <w:rsid w:val="00460A17"/>
    <w:rsid w:val="004612B8"/>
    <w:rsid w:val="00461452"/>
    <w:rsid w:val="00461938"/>
    <w:rsid w:val="00461E8E"/>
    <w:rsid w:val="004629A3"/>
    <w:rsid w:val="00463F53"/>
    <w:rsid w:val="0046427F"/>
    <w:rsid w:val="004647DB"/>
    <w:rsid w:val="00465580"/>
    <w:rsid w:val="0046559A"/>
    <w:rsid w:val="00465803"/>
    <w:rsid w:val="00466DF2"/>
    <w:rsid w:val="004672DD"/>
    <w:rsid w:val="004679A1"/>
    <w:rsid w:val="004703A5"/>
    <w:rsid w:val="0047072A"/>
    <w:rsid w:val="004729A5"/>
    <w:rsid w:val="00472B57"/>
    <w:rsid w:val="00472EAC"/>
    <w:rsid w:val="0047356D"/>
    <w:rsid w:val="00473AFB"/>
    <w:rsid w:val="0047429C"/>
    <w:rsid w:val="00474338"/>
    <w:rsid w:val="004749CA"/>
    <w:rsid w:val="00474F74"/>
    <w:rsid w:val="004761B3"/>
    <w:rsid w:val="0047763D"/>
    <w:rsid w:val="00480CE9"/>
    <w:rsid w:val="00481AA2"/>
    <w:rsid w:val="00481B50"/>
    <w:rsid w:val="00482D74"/>
    <w:rsid w:val="00483279"/>
    <w:rsid w:val="00483366"/>
    <w:rsid w:val="00483E79"/>
    <w:rsid w:val="00484075"/>
    <w:rsid w:val="00484B17"/>
    <w:rsid w:val="00485747"/>
    <w:rsid w:val="0048585E"/>
    <w:rsid w:val="00485A84"/>
    <w:rsid w:val="00485AAC"/>
    <w:rsid w:val="00485F52"/>
    <w:rsid w:val="00486FC0"/>
    <w:rsid w:val="004872BB"/>
    <w:rsid w:val="0048734A"/>
    <w:rsid w:val="00487754"/>
    <w:rsid w:val="00490ECD"/>
    <w:rsid w:val="004911C1"/>
    <w:rsid w:val="00493CD7"/>
    <w:rsid w:val="00494585"/>
    <w:rsid w:val="00494F8F"/>
    <w:rsid w:val="0049576E"/>
    <w:rsid w:val="004957EA"/>
    <w:rsid w:val="004964B0"/>
    <w:rsid w:val="0049702F"/>
    <w:rsid w:val="00497080"/>
    <w:rsid w:val="00497418"/>
    <w:rsid w:val="004974ED"/>
    <w:rsid w:val="004A0E70"/>
    <w:rsid w:val="004A3A44"/>
    <w:rsid w:val="004A3DB3"/>
    <w:rsid w:val="004A41C5"/>
    <w:rsid w:val="004A4B44"/>
    <w:rsid w:val="004A5B3C"/>
    <w:rsid w:val="004A7A09"/>
    <w:rsid w:val="004B06C7"/>
    <w:rsid w:val="004B29B8"/>
    <w:rsid w:val="004B39A3"/>
    <w:rsid w:val="004B3F7B"/>
    <w:rsid w:val="004B4B9D"/>
    <w:rsid w:val="004B4F22"/>
    <w:rsid w:val="004B652A"/>
    <w:rsid w:val="004B69C4"/>
    <w:rsid w:val="004B70BB"/>
    <w:rsid w:val="004B786C"/>
    <w:rsid w:val="004C066A"/>
    <w:rsid w:val="004C0E6B"/>
    <w:rsid w:val="004C37AB"/>
    <w:rsid w:val="004C42FA"/>
    <w:rsid w:val="004C5C8B"/>
    <w:rsid w:val="004C5F46"/>
    <w:rsid w:val="004C6323"/>
    <w:rsid w:val="004D14E0"/>
    <w:rsid w:val="004D1842"/>
    <w:rsid w:val="004D23BE"/>
    <w:rsid w:val="004D2DB6"/>
    <w:rsid w:val="004D402C"/>
    <w:rsid w:val="004D549A"/>
    <w:rsid w:val="004D56B8"/>
    <w:rsid w:val="004D6200"/>
    <w:rsid w:val="004D67C5"/>
    <w:rsid w:val="004D6C31"/>
    <w:rsid w:val="004D7563"/>
    <w:rsid w:val="004D790D"/>
    <w:rsid w:val="004D7BFF"/>
    <w:rsid w:val="004D7DE3"/>
    <w:rsid w:val="004D7DFD"/>
    <w:rsid w:val="004E22C0"/>
    <w:rsid w:val="004E230B"/>
    <w:rsid w:val="004E291C"/>
    <w:rsid w:val="004E297B"/>
    <w:rsid w:val="004E4045"/>
    <w:rsid w:val="004E4722"/>
    <w:rsid w:val="004E5CA9"/>
    <w:rsid w:val="004E6392"/>
    <w:rsid w:val="004E690B"/>
    <w:rsid w:val="004F15A3"/>
    <w:rsid w:val="004F16E6"/>
    <w:rsid w:val="004F1A75"/>
    <w:rsid w:val="004F1DEB"/>
    <w:rsid w:val="004F3D4E"/>
    <w:rsid w:val="004F3DBE"/>
    <w:rsid w:val="004F40FF"/>
    <w:rsid w:val="004F4675"/>
    <w:rsid w:val="004F49B6"/>
    <w:rsid w:val="004F4E55"/>
    <w:rsid w:val="004F5F64"/>
    <w:rsid w:val="004F6377"/>
    <w:rsid w:val="004F6E76"/>
    <w:rsid w:val="004F7D00"/>
    <w:rsid w:val="005017D6"/>
    <w:rsid w:val="00501F80"/>
    <w:rsid w:val="00503E0D"/>
    <w:rsid w:val="0050500C"/>
    <w:rsid w:val="00505089"/>
    <w:rsid w:val="0050620B"/>
    <w:rsid w:val="0050647E"/>
    <w:rsid w:val="005065B8"/>
    <w:rsid w:val="005068DA"/>
    <w:rsid w:val="00506DF4"/>
    <w:rsid w:val="005071C1"/>
    <w:rsid w:val="005110C0"/>
    <w:rsid w:val="0051165F"/>
    <w:rsid w:val="005117FA"/>
    <w:rsid w:val="00512CEC"/>
    <w:rsid w:val="00514C97"/>
    <w:rsid w:val="00514EE6"/>
    <w:rsid w:val="0051614E"/>
    <w:rsid w:val="00516F67"/>
    <w:rsid w:val="00517BE5"/>
    <w:rsid w:val="00517E25"/>
    <w:rsid w:val="005201FC"/>
    <w:rsid w:val="005218E5"/>
    <w:rsid w:val="0052215A"/>
    <w:rsid w:val="00522CAD"/>
    <w:rsid w:val="00522D3D"/>
    <w:rsid w:val="00523DB5"/>
    <w:rsid w:val="00524D9B"/>
    <w:rsid w:val="005250A1"/>
    <w:rsid w:val="005250C9"/>
    <w:rsid w:val="00525756"/>
    <w:rsid w:val="005274DC"/>
    <w:rsid w:val="005324F1"/>
    <w:rsid w:val="00532982"/>
    <w:rsid w:val="005334D9"/>
    <w:rsid w:val="00533A57"/>
    <w:rsid w:val="005344AC"/>
    <w:rsid w:val="00535394"/>
    <w:rsid w:val="00535A78"/>
    <w:rsid w:val="005360D4"/>
    <w:rsid w:val="005401F7"/>
    <w:rsid w:val="0054024F"/>
    <w:rsid w:val="005405E1"/>
    <w:rsid w:val="005409FA"/>
    <w:rsid w:val="00541ABD"/>
    <w:rsid w:val="00541EEE"/>
    <w:rsid w:val="005427B5"/>
    <w:rsid w:val="00542E3C"/>
    <w:rsid w:val="005430CD"/>
    <w:rsid w:val="00543E39"/>
    <w:rsid w:val="0054471F"/>
    <w:rsid w:val="005459EE"/>
    <w:rsid w:val="00545ED5"/>
    <w:rsid w:val="00546F41"/>
    <w:rsid w:val="00550058"/>
    <w:rsid w:val="00554505"/>
    <w:rsid w:val="00554852"/>
    <w:rsid w:val="00560017"/>
    <w:rsid w:val="00560133"/>
    <w:rsid w:val="00560828"/>
    <w:rsid w:val="00561498"/>
    <w:rsid w:val="005628C1"/>
    <w:rsid w:val="00562929"/>
    <w:rsid w:val="00562D94"/>
    <w:rsid w:val="00563880"/>
    <w:rsid w:val="005644CB"/>
    <w:rsid w:val="00564901"/>
    <w:rsid w:val="00564C1D"/>
    <w:rsid w:val="00564F22"/>
    <w:rsid w:val="00565084"/>
    <w:rsid w:val="0056547E"/>
    <w:rsid w:val="00565F48"/>
    <w:rsid w:val="00566D3B"/>
    <w:rsid w:val="0056744A"/>
    <w:rsid w:val="005678BB"/>
    <w:rsid w:val="00567A0E"/>
    <w:rsid w:val="005710F9"/>
    <w:rsid w:val="00571998"/>
    <w:rsid w:val="00571DBE"/>
    <w:rsid w:val="00572289"/>
    <w:rsid w:val="00572A9F"/>
    <w:rsid w:val="00573821"/>
    <w:rsid w:val="00573B79"/>
    <w:rsid w:val="005758A6"/>
    <w:rsid w:val="00575A6B"/>
    <w:rsid w:val="00575F58"/>
    <w:rsid w:val="005766AA"/>
    <w:rsid w:val="00577105"/>
    <w:rsid w:val="00577203"/>
    <w:rsid w:val="0057763B"/>
    <w:rsid w:val="00580672"/>
    <w:rsid w:val="005806F7"/>
    <w:rsid w:val="00580C3D"/>
    <w:rsid w:val="00580E63"/>
    <w:rsid w:val="0058132E"/>
    <w:rsid w:val="005813BB"/>
    <w:rsid w:val="0058203B"/>
    <w:rsid w:val="00583EF1"/>
    <w:rsid w:val="0058445B"/>
    <w:rsid w:val="0058603D"/>
    <w:rsid w:val="00586281"/>
    <w:rsid w:val="005866F3"/>
    <w:rsid w:val="00587B3E"/>
    <w:rsid w:val="00591F26"/>
    <w:rsid w:val="005921BA"/>
    <w:rsid w:val="00592495"/>
    <w:rsid w:val="0059348E"/>
    <w:rsid w:val="005941D3"/>
    <w:rsid w:val="005949E2"/>
    <w:rsid w:val="00594E89"/>
    <w:rsid w:val="00595695"/>
    <w:rsid w:val="00595D3E"/>
    <w:rsid w:val="0059617D"/>
    <w:rsid w:val="00596C27"/>
    <w:rsid w:val="005A0FFE"/>
    <w:rsid w:val="005A11BF"/>
    <w:rsid w:val="005A133E"/>
    <w:rsid w:val="005A1588"/>
    <w:rsid w:val="005A3226"/>
    <w:rsid w:val="005A3FCE"/>
    <w:rsid w:val="005A41F6"/>
    <w:rsid w:val="005A4EA3"/>
    <w:rsid w:val="005A511E"/>
    <w:rsid w:val="005A5ABE"/>
    <w:rsid w:val="005A605F"/>
    <w:rsid w:val="005A6A8F"/>
    <w:rsid w:val="005B07B2"/>
    <w:rsid w:val="005B0DDE"/>
    <w:rsid w:val="005B12F6"/>
    <w:rsid w:val="005B1ECC"/>
    <w:rsid w:val="005B26ED"/>
    <w:rsid w:val="005B3DBD"/>
    <w:rsid w:val="005B7FBF"/>
    <w:rsid w:val="005B7FD1"/>
    <w:rsid w:val="005C1809"/>
    <w:rsid w:val="005C23A4"/>
    <w:rsid w:val="005C28E3"/>
    <w:rsid w:val="005C3C60"/>
    <w:rsid w:val="005C4535"/>
    <w:rsid w:val="005C45C7"/>
    <w:rsid w:val="005C48E4"/>
    <w:rsid w:val="005C4B4B"/>
    <w:rsid w:val="005C5707"/>
    <w:rsid w:val="005C5CC8"/>
    <w:rsid w:val="005C5E9E"/>
    <w:rsid w:val="005C6797"/>
    <w:rsid w:val="005C6C14"/>
    <w:rsid w:val="005C6DB0"/>
    <w:rsid w:val="005C74B5"/>
    <w:rsid w:val="005C7AE2"/>
    <w:rsid w:val="005D0ACB"/>
    <w:rsid w:val="005D1F4E"/>
    <w:rsid w:val="005D2358"/>
    <w:rsid w:val="005D3009"/>
    <w:rsid w:val="005D4128"/>
    <w:rsid w:val="005D4A53"/>
    <w:rsid w:val="005D4FAD"/>
    <w:rsid w:val="005D54E0"/>
    <w:rsid w:val="005D7267"/>
    <w:rsid w:val="005D77DD"/>
    <w:rsid w:val="005D78D3"/>
    <w:rsid w:val="005D7D57"/>
    <w:rsid w:val="005E0EB1"/>
    <w:rsid w:val="005E25EC"/>
    <w:rsid w:val="005E49FE"/>
    <w:rsid w:val="005E5005"/>
    <w:rsid w:val="005E663E"/>
    <w:rsid w:val="005E69A3"/>
    <w:rsid w:val="005E7264"/>
    <w:rsid w:val="005E7FFA"/>
    <w:rsid w:val="005F0167"/>
    <w:rsid w:val="005F0CC8"/>
    <w:rsid w:val="005F1520"/>
    <w:rsid w:val="005F36C8"/>
    <w:rsid w:val="005F3814"/>
    <w:rsid w:val="005F4054"/>
    <w:rsid w:val="005F4EB7"/>
    <w:rsid w:val="005F522A"/>
    <w:rsid w:val="005F550F"/>
    <w:rsid w:val="005F5875"/>
    <w:rsid w:val="005F59C1"/>
    <w:rsid w:val="00600612"/>
    <w:rsid w:val="0060102D"/>
    <w:rsid w:val="00601C71"/>
    <w:rsid w:val="00601FFE"/>
    <w:rsid w:val="006027EF"/>
    <w:rsid w:val="006028DC"/>
    <w:rsid w:val="00602DF8"/>
    <w:rsid w:val="00602EB8"/>
    <w:rsid w:val="0060300A"/>
    <w:rsid w:val="0060404B"/>
    <w:rsid w:val="00605197"/>
    <w:rsid w:val="00605E82"/>
    <w:rsid w:val="00606121"/>
    <w:rsid w:val="00610289"/>
    <w:rsid w:val="00610D99"/>
    <w:rsid w:val="00610FA7"/>
    <w:rsid w:val="00611E94"/>
    <w:rsid w:val="006132F5"/>
    <w:rsid w:val="00614376"/>
    <w:rsid w:val="00614C80"/>
    <w:rsid w:val="00615277"/>
    <w:rsid w:val="0061641B"/>
    <w:rsid w:val="00616772"/>
    <w:rsid w:val="006168B5"/>
    <w:rsid w:val="00617BC4"/>
    <w:rsid w:val="00620065"/>
    <w:rsid w:val="00621496"/>
    <w:rsid w:val="00621C71"/>
    <w:rsid w:val="00622541"/>
    <w:rsid w:val="00622E0F"/>
    <w:rsid w:val="00622F42"/>
    <w:rsid w:val="00622FCE"/>
    <w:rsid w:val="006240C4"/>
    <w:rsid w:val="006249F2"/>
    <w:rsid w:val="00625153"/>
    <w:rsid w:val="00625206"/>
    <w:rsid w:val="00625AD7"/>
    <w:rsid w:val="006268F7"/>
    <w:rsid w:val="00626BD7"/>
    <w:rsid w:val="00627A67"/>
    <w:rsid w:val="00627E88"/>
    <w:rsid w:val="0063193F"/>
    <w:rsid w:val="00631A84"/>
    <w:rsid w:val="0063239D"/>
    <w:rsid w:val="00632462"/>
    <w:rsid w:val="00632B47"/>
    <w:rsid w:val="0063318B"/>
    <w:rsid w:val="00633951"/>
    <w:rsid w:val="00634CAB"/>
    <w:rsid w:val="00634ECF"/>
    <w:rsid w:val="00635075"/>
    <w:rsid w:val="00635A20"/>
    <w:rsid w:val="00635B6F"/>
    <w:rsid w:val="00636DEF"/>
    <w:rsid w:val="006377D9"/>
    <w:rsid w:val="006415CC"/>
    <w:rsid w:val="00641BE3"/>
    <w:rsid w:val="0064204A"/>
    <w:rsid w:val="00642BA9"/>
    <w:rsid w:val="006430F7"/>
    <w:rsid w:val="00643C00"/>
    <w:rsid w:val="00643D3C"/>
    <w:rsid w:val="006442D3"/>
    <w:rsid w:val="00646C4B"/>
    <w:rsid w:val="006475B3"/>
    <w:rsid w:val="00647AE3"/>
    <w:rsid w:val="00647D48"/>
    <w:rsid w:val="00651375"/>
    <w:rsid w:val="00651A94"/>
    <w:rsid w:val="00652514"/>
    <w:rsid w:val="006530DA"/>
    <w:rsid w:val="00653865"/>
    <w:rsid w:val="00655876"/>
    <w:rsid w:val="0065621B"/>
    <w:rsid w:val="00657940"/>
    <w:rsid w:val="00660F13"/>
    <w:rsid w:val="00661D6E"/>
    <w:rsid w:val="006628EF"/>
    <w:rsid w:val="0066292F"/>
    <w:rsid w:val="00662AD4"/>
    <w:rsid w:val="00663367"/>
    <w:rsid w:val="0066447B"/>
    <w:rsid w:val="00665460"/>
    <w:rsid w:val="00665BE6"/>
    <w:rsid w:val="006668AD"/>
    <w:rsid w:val="00666E36"/>
    <w:rsid w:val="006676D4"/>
    <w:rsid w:val="006678EA"/>
    <w:rsid w:val="00667DD6"/>
    <w:rsid w:val="0067032D"/>
    <w:rsid w:val="0067074D"/>
    <w:rsid w:val="00672844"/>
    <w:rsid w:val="00672CAF"/>
    <w:rsid w:val="006730D3"/>
    <w:rsid w:val="00676E54"/>
    <w:rsid w:val="00677A0A"/>
    <w:rsid w:val="00677EBE"/>
    <w:rsid w:val="00680E56"/>
    <w:rsid w:val="0068126D"/>
    <w:rsid w:val="006817B6"/>
    <w:rsid w:val="00682A9B"/>
    <w:rsid w:val="00682D1B"/>
    <w:rsid w:val="00683551"/>
    <w:rsid w:val="00683B19"/>
    <w:rsid w:val="00684BC8"/>
    <w:rsid w:val="00685E74"/>
    <w:rsid w:val="006869D4"/>
    <w:rsid w:val="0069179D"/>
    <w:rsid w:val="00692BA9"/>
    <w:rsid w:val="00692BE9"/>
    <w:rsid w:val="00693046"/>
    <w:rsid w:val="0069311E"/>
    <w:rsid w:val="006931ED"/>
    <w:rsid w:val="006933C9"/>
    <w:rsid w:val="00693695"/>
    <w:rsid w:val="00694A39"/>
    <w:rsid w:val="0069512C"/>
    <w:rsid w:val="006961D9"/>
    <w:rsid w:val="006967B1"/>
    <w:rsid w:val="006A0761"/>
    <w:rsid w:val="006A1D6C"/>
    <w:rsid w:val="006A222E"/>
    <w:rsid w:val="006A39A4"/>
    <w:rsid w:val="006A4EED"/>
    <w:rsid w:val="006A61BD"/>
    <w:rsid w:val="006A66E6"/>
    <w:rsid w:val="006A67C2"/>
    <w:rsid w:val="006A7084"/>
    <w:rsid w:val="006A75F2"/>
    <w:rsid w:val="006B0455"/>
    <w:rsid w:val="006B3003"/>
    <w:rsid w:val="006B58E5"/>
    <w:rsid w:val="006B67A6"/>
    <w:rsid w:val="006C0A77"/>
    <w:rsid w:val="006C0BB9"/>
    <w:rsid w:val="006C123E"/>
    <w:rsid w:val="006C185D"/>
    <w:rsid w:val="006C3BE5"/>
    <w:rsid w:val="006C4ACD"/>
    <w:rsid w:val="006C5938"/>
    <w:rsid w:val="006C642B"/>
    <w:rsid w:val="006C7363"/>
    <w:rsid w:val="006C76C4"/>
    <w:rsid w:val="006C7DFA"/>
    <w:rsid w:val="006D0196"/>
    <w:rsid w:val="006D0631"/>
    <w:rsid w:val="006D0B82"/>
    <w:rsid w:val="006D1350"/>
    <w:rsid w:val="006D199E"/>
    <w:rsid w:val="006D224D"/>
    <w:rsid w:val="006D23FB"/>
    <w:rsid w:val="006D3019"/>
    <w:rsid w:val="006D3B94"/>
    <w:rsid w:val="006D3F51"/>
    <w:rsid w:val="006D4585"/>
    <w:rsid w:val="006D50DE"/>
    <w:rsid w:val="006D517B"/>
    <w:rsid w:val="006D5358"/>
    <w:rsid w:val="006D53E7"/>
    <w:rsid w:val="006D54EF"/>
    <w:rsid w:val="006D573F"/>
    <w:rsid w:val="006D5915"/>
    <w:rsid w:val="006D5D54"/>
    <w:rsid w:val="006D6543"/>
    <w:rsid w:val="006D6827"/>
    <w:rsid w:val="006D6AD4"/>
    <w:rsid w:val="006D7013"/>
    <w:rsid w:val="006D736B"/>
    <w:rsid w:val="006D7F56"/>
    <w:rsid w:val="006E0B91"/>
    <w:rsid w:val="006E10BB"/>
    <w:rsid w:val="006E1B92"/>
    <w:rsid w:val="006E22ED"/>
    <w:rsid w:val="006E2E4C"/>
    <w:rsid w:val="006E33BA"/>
    <w:rsid w:val="006E3A8C"/>
    <w:rsid w:val="006E3B12"/>
    <w:rsid w:val="006E3CBA"/>
    <w:rsid w:val="006E42C3"/>
    <w:rsid w:val="006E66D2"/>
    <w:rsid w:val="006E728C"/>
    <w:rsid w:val="006E748E"/>
    <w:rsid w:val="006E74D1"/>
    <w:rsid w:val="006E7C35"/>
    <w:rsid w:val="006F157F"/>
    <w:rsid w:val="006F1A71"/>
    <w:rsid w:val="006F254D"/>
    <w:rsid w:val="006F35CD"/>
    <w:rsid w:val="006F407D"/>
    <w:rsid w:val="006F427D"/>
    <w:rsid w:val="006F4561"/>
    <w:rsid w:val="006F5E85"/>
    <w:rsid w:val="006F701C"/>
    <w:rsid w:val="006F722C"/>
    <w:rsid w:val="00700FE4"/>
    <w:rsid w:val="0070153C"/>
    <w:rsid w:val="00701D8D"/>
    <w:rsid w:val="0070222D"/>
    <w:rsid w:val="007026CA"/>
    <w:rsid w:val="007027BD"/>
    <w:rsid w:val="00703247"/>
    <w:rsid w:val="007034F1"/>
    <w:rsid w:val="00703D62"/>
    <w:rsid w:val="00703EF2"/>
    <w:rsid w:val="007044B3"/>
    <w:rsid w:val="00704D8F"/>
    <w:rsid w:val="00705CE2"/>
    <w:rsid w:val="0070687A"/>
    <w:rsid w:val="0070687F"/>
    <w:rsid w:val="007068F0"/>
    <w:rsid w:val="00706C37"/>
    <w:rsid w:val="00706CA1"/>
    <w:rsid w:val="00710026"/>
    <w:rsid w:val="00711D3C"/>
    <w:rsid w:val="00714205"/>
    <w:rsid w:val="00714E7F"/>
    <w:rsid w:val="0071517F"/>
    <w:rsid w:val="0071621E"/>
    <w:rsid w:val="0071628A"/>
    <w:rsid w:val="00717008"/>
    <w:rsid w:val="007172D5"/>
    <w:rsid w:val="0072013B"/>
    <w:rsid w:val="00720396"/>
    <w:rsid w:val="00720687"/>
    <w:rsid w:val="00721172"/>
    <w:rsid w:val="00721F3A"/>
    <w:rsid w:val="0072241F"/>
    <w:rsid w:val="00722ECD"/>
    <w:rsid w:val="007237C7"/>
    <w:rsid w:val="00725DF0"/>
    <w:rsid w:val="0072611B"/>
    <w:rsid w:val="00726C9F"/>
    <w:rsid w:val="00727B61"/>
    <w:rsid w:val="00727CED"/>
    <w:rsid w:val="00730491"/>
    <w:rsid w:val="00730850"/>
    <w:rsid w:val="00730C80"/>
    <w:rsid w:val="00730E1E"/>
    <w:rsid w:val="00731C58"/>
    <w:rsid w:val="00734E3E"/>
    <w:rsid w:val="00734F29"/>
    <w:rsid w:val="007350DC"/>
    <w:rsid w:val="00736533"/>
    <w:rsid w:val="0073659E"/>
    <w:rsid w:val="007377E5"/>
    <w:rsid w:val="007401D9"/>
    <w:rsid w:val="00741323"/>
    <w:rsid w:val="00741359"/>
    <w:rsid w:val="00742F59"/>
    <w:rsid w:val="00746437"/>
    <w:rsid w:val="0074703D"/>
    <w:rsid w:val="0074782A"/>
    <w:rsid w:val="00747C92"/>
    <w:rsid w:val="00747ED9"/>
    <w:rsid w:val="0075033E"/>
    <w:rsid w:val="00750783"/>
    <w:rsid w:val="007507E5"/>
    <w:rsid w:val="007512C1"/>
    <w:rsid w:val="00751FFD"/>
    <w:rsid w:val="00752502"/>
    <w:rsid w:val="00752918"/>
    <w:rsid w:val="00752E53"/>
    <w:rsid w:val="00753A8C"/>
    <w:rsid w:val="00753C49"/>
    <w:rsid w:val="00754ADC"/>
    <w:rsid w:val="00757852"/>
    <w:rsid w:val="007578E6"/>
    <w:rsid w:val="00757B51"/>
    <w:rsid w:val="00760CFD"/>
    <w:rsid w:val="00760E31"/>
    <w:rsid w:val="007612D5"/>
    <w:rsid w:val="007613A5"/>
    <w:rsid w:val="00761CF2"/>
    <w:rsid w:val="00762B93"/>
    <w:rsid w:val="00763C53"/>
    <w:rsid w:val="00764FF0"/>
    <w:rsid w:val="00765098"/>
    <w:rsid w:val="0076556C"/>
    <w:rsid w:val="00766080"/>
    <w:rsid w:val="0076613D"/>
    <w:rsid w:val="00767463"/>
    <w:rsid w:val="007679B6"/>
    <w:rsid w:val="00767B35"/>
    <w:rsid w:val="00770166"/>
    <w:rsid w:val="00771ACB"/>
    <w:rsid w:val="007734BC"/>
    <w:rsid w:val="00775E3F"/>
    <w:rsid w:val="00776565"/>
    <w:rsid w:val="00776C27"/>
    <w:rsid w:val="00780802"/>
    <w:rsid w:val="007814EE"/>
    <w:rsid w:val="00782711"/>
    <w:rsid w:val="007840E4"/>
    <w:rsid w:val="0078686E"/>
    <w:rsid w:val="007871FF"/>
    <w:rsid w:val="007909B0"/>
    <w:rsid w:val="00791503"/>
    <w:rsid w:val="007929C1"/>
    <w:rsid w:val="00792E8A"/>
    <w:rsid w:val="0079560D"/>
    <w:rsid w:val="007971D1"/>
    <w:rsid w:val="007977D6"/>
    <w:rsid w:val="00797C6C"/>
    <w:rsid w:val="007A0907"/>
    <w:rsid w:val="007A0DA4"/>
    <w:rsid w:val="007A1555"/>
    <w:rsid w:val="007A165B"/>
    <w:rsid w:val="007A1935"/>
    <w:rsid w:val="007A2DA2"/>
    <w:rsid w:val="007A3B35"/>
    <w:rsid w:val="007A4CC3"/>
    <w:rsid w:val="007A531C"/>
    <w:rsid w:val="007B18D0"/>
    <w:rsid w:val="007B21D0"/>
    <w:rsid w:val="007B2980"/>
    <w:rsid w:val="007B4F91"/>
    <w:rsid w:val="007B5A19"/>
    <w:rsid w:val="007B5B85"/>
    <w:rsid w:val="007B5BDE"/>
    <w:rsid w:val="007B74B1"/>
    <w:rsid w:val="007B74CD"/>
    <w:rsid w:val="007B75CC"/>
    <w:rsid w:val="007C0399"/>
    <w:rsid w:val="007C1F75"/>
    <w:rsid w:val="007C2601"/>
    <w:rsid w:val="007C52BB"/>
    <w:rsid w:val="007C6390"/>
    <w:rsid w:val="007C676B"/>
    <w:rsid w:val="007C724A"/>
    <w:rsid w:val="007D12CC"/>
    <w:rsid w:val="007D1878"/>
    <w:rsid w:val="007D1F5F"/>
    <w:rsid w:val="007D53AC"/>
    <w:rsid w:val="007D6571"/>
    <w:rsid w:val="007D6D8A"/>
    <w:rsid w:val="007D6E19"/>
    <w:rsid w:val="007D7F74"/>
    <w:rsid w:val="007E0575"/>
    <w:rsid w:val="007E0F2E"/>
    <w:rsid w:val="007E19C1"/>
    <w:rsid w:val="007E21AC"/>
    <w:rsid w:val="007E44F7"/>
    <w:rsid w:val="007E467E"/>
    <w:rsid w:val="007E6437"/>
    <w:rsid w:val="007E6721"/>
    <w:rsid w:val="007E7824"/>
    <w:rsid w:val="007F1803"/>
    <w:rsid w:val="007F194E"/>
    <w:rsid w:val="007F1E6F"/>
    <w:rsid w:val="007F2CC7"/>
    <w:rsid w:val="007F322B"/>
    <w:rsid w:val="007F4323"/>
    <w:rsid w:val="007F6269"/>
    <w:rsid w:val="007F742B"/>
    <w:rsid w:val="007F7452"/>
    <w:rsid w:val="007F7468"/>
    <w:rsid w:val="007F7EA6"/>
    <w:rsid w:val="0080044D"/>
    <w:rsid w:val="008007D1"/>
    <w:rsid w:val="00800E8B"/>
    <w:rsid w:val="00800EA0"/>
    <w:rsid w:val="00800FF2"/>
    <w:rsid w:val="00801156"/>
    <w:rsid w:val="00801EB5"/>
    <w:rsid w:val="008026B5"/>
    <w:rsid w:val="0080439F"/>
    <w:rsid w:val="008044A1"/>
    <w:rsid w:val="00805BBC"/>
    <w:rsid w:val="00805FF5"/>
    <w:rsid w:val="00806804"/>
    <w:rsid w:val="008071AF"/>
    <w:rsid w:val="00807872"/>
    <w:rsid w:val="00807BFB"/>
    <w:rsid w:val="00810545"/>
    <w:rsid w:val="0081056B"/>
    <w:rsid w:val="00810B04"/>
    <w:rsid w:val="0081152A"/>
    <w:rsid w:val="00812538"/>
    <w:rsid w:val="0081434D"/>
    <w:rsid w:val="00815626"/>
    <w:rsid w:val="00815840"/>
    <w:rsid w:val="008161EB"/>
    <w:rsid w:val="008161FC"/>
    <w:rsid w:val="00816EF9"/>
    <w:rsid w:val="00817175"/>
    <w:rsid w:val="00820299"/>
    <w:rsid w:val="00820A58"/>
    <w:rsid w:val="0082163D"/>
    <w:rsid w:val="00822775"/>
    <w:rsid w:val="00823F7D"/>
    <w:rsid w:val="00824313"/>
    <w:rsid w:val="00824580"/>
    <w:rsid w:val="00824E70"/>
    <w:rsid w:val="00825E47"/>
    <w:rsid w:val="008266AB"/>
    <w:rsid w:val="00826AA6"/>
    <w:rsid w:val="00826AED"/>
    <w:rsid w:val="00827F78"/>
    <w:rsid w:val="00830C57"/>
    <w:rsid w:val="008312E0"/>
    <w:rsid w:val="00832318"/>
    <w:rsid w:val="00832CD7"/>
    <w:rsid w:val="008341FA"/>
    <w:rsid w:val="00834BFA"/>
    <w:rsid w:val="00834CE3"/>
    <w:rsid w:val="0083541D"/>
    <w:rsid w:val="00836331"/>
    <w:rsid w:val="00837271"/>
    <w:rsid w:val="00837ABE"/>
    <w:rsid w:val="00840058"/>
    <w:rsid w:val="00842DC7"/>
    <w:rsid w:val="00843371"/>
    <w:rsid w:val="00843A25"/>
    <w:rsid w:val="00843B48"/>
    <w:rsid w:val="00844269"/>
    <w:rsid w:val="00845065"/>
    <w:rsid w:val="00847A2D"/>
    <w:rsid w:val="00850AF3"/>
    <w:rsid w:val="00850C6C"/>
    <w:rsid w:val="008526B8"/>
    <w:rsid w:val="00853589"/>
    <w:rsid w:val="008537CB"/>
    <w:rsid w:val="008543B1"/>
    <w:rsid w:val="00855456"/>
    <w:rsid w:val="00860097"/>
    <w:rsid w:val="00861815"/>
    <w:rsid w:val="00861E76"/>
    <w:rsid w:val="00862871"/>
    <w:rsid w:val="00863E4C"/>
    <w:rsid w:val="00864108"/>
    <w:rsid w:val="00864C39"/>
    <w:rsid w:val="00864D30"/>
    <w:rsid w:val="0086538A"/>
    <w:rsid w:val="0086551D"/>
    <w:rsid w:val="008668CF"/>
    <w:rsid w:val="00866EF9"/>
    <w:rsid w:val="00866F57"/>
    <w:rsid w:val="00867032"/>
    <w:rsid w:val="0086707C"/>
    <w:rsid w:val="00867B88"/>
    <w:rsid w:val="0087041A"/>
    <w:rsid w:val="008706BB"/>
    <w:rsid w:val="008707AC"/>
    <w:rsid w:val="00870959"/>
    <w:rsid w:val="00871FA3"/>
    <w:rsid w:val="00873A9E"/>
    <w:rsid w:val="008749B1"/>
    <w:rsid w:val="00875086"/>
    <w:rsid w:val="00875508"/>
    <w:rsid w:val="0087662F"/>
    <w:rsid w:val="00883985"/>
    <w:rsid w:val="00883D18"/>
    <w:rsid w:val="00883EBE"/>
    <w:rsid w:val="00884791"/>
    <w:rsid w:val="0089092E"/>
    <w:rsid w:val="00890BE6"/>
    <w:rsid w:val="0089202A"/>
    <w:rsid w:val="00892954"/>
    <w:rsid w:val="00892DCD"/>
    <w:rsid w:val="00893216"/>
    <w:rsid w:val="00893CEB"/>
    <w:rsid w:val="00896060"/>
    <w:rsid w:val="00896917"/>
    <w:rsid w:val="00897A3D"/>
    <w:rsid w:val="008A004B"/>
    <w:rsid w:val="008A31E0"/>
    <w:rsid w:val="008A3B51"/>
    <w:rsid w:val="008A45EA"/>
    <w:rsid w:val="008A4C41"/>
    <w:rsid w:val="008A4E02"/>
    <w:rsid w:val="008A5693"/>
    <w:rsid w:val="008A5D5A"/>
    <w:rsid w:val="008A6011"/>
    <w:rsid w:val="008A6668"/>
    <w:rsid w:val="008A74AD"/>
    <w:rsid w:val="008A77F0"/>
    <w:rsid w:val="008A7AAA"/>
    <w:rsid w:val="008B06A1"/>
    <w:rsid w:val="008B143F"/>
    <w:rsid w:val="008B2174"/>
    <w:rsid w:val="008B26B8"/>
    <w:rsid w:val="008B283A"/>
    <w:rsid w:val="008B4122"/>
    <w:rsid w:val="008B494D"/>
    <w:rsid w:val="008B5357"/>
    <w:rsid w:val="008C0162"/>
    <w:rsid w:val="008C1C53"/>
    <w:rsid w:val="008C3599"/>
    <w:rsid w:val="008C3EA3"/>
    <w:rsid w:val="008C484E"/>
    <w:rsid w:val="008C49FE"/>
    <w:rsid w:val="008C4A10"/>
    <w:rsid w:val="008C4A37"/>
    <w:rsid w:val="008C517D"/>
    <w:rsid w:val="008C53B1"/>
    <w:rsid w:val="008C5D1D"/>
    <w:rsid w:val="008C6486"/>
    <w:rsid w:val="008C6C4C"/>
    <w:rsid w:val="008D1616"/>
    <w:rsid w:val="008D1EBB"/>
    <w:rsid w:val="008D342B"/>
    <w:rsid w:val="008D485E"/>
    <w:rsid w:val="008D5DA9"/>
    <w:rsid w:val="008D6C1D"/>
    <w:rsid w:val="008D77EA"/>
    <w:rsid w:val="008D7D04"/>
    <w:rsid w:val="008E07E2"/>
    <w:rsid w:val="008E0B13"/>
    <w:rsid w:val="008E11B4"/>
    <w:rsid w:val="008E2067"/>
    <w:rsid w:val="008E2C5D"/>
    <w:rsid w:val="008E5B75"/>
    <w:rsid w:val="008E5C7F"/>
    <w:rsid w:val="008E5F97"/>
    <w:rsid w:val="008E7715"/>
    <w:rsid w:val="008E7D94"/>
    <w:rsid w:val="008F04CD"/>
    <w:rsid w:val="008F0A5B"/>
    <w:rsid w:val="008F1155"/>
    <w:rsid w:val="008F22A9"/>
    <w:rsid w:val="008F3A2C"/>
    <w:rsid w:val="008F3FCA"/>
    <w:rsid w:val="008F48E0"/>
    <w:rsid w:val="008F5769"/>
    <w:rsid w:val="008F5BBB"/>
    <w:rsid w:val="008F69B9"/>
    <w:rsid w:val="008F74AD"/>
    <w:rsid w:val="009004F7"/>
    <w:rsid w:val="0090183A"/>
    <w:rsid w:val="00901D91"/>
    <w:rsid w:val="00902134"/>
    <w:rsid w:val="009026A3"/>
    <w:rsid w:val="00903D58"/>
    <w:rsid w:val="009048D1"/>
    <w:rsid w:val="009058BA"/>
    <w:rsid w:val="00911739"/>
    <w:rsid w:val="00911994"/>
    <w:rsid w:val="00911DAE"/>
    <w:rsid w:val="0091273D"/>
    <w:rsid w:val="009148F3"/>
    <w:rsid w:val="00915592"/>
    <w:rsid w:val="00915AF7"/>
    <w:rsid w:val="00915B20"/>
    <w:rsid w:val="00915BEC"/>
    <w:rsid w:val="0091663D"/>
    <w:rsid w:val="0091666B"/>
    <w:rsid w:val="009170CA"/>
    <w:rsid w:val="00917DEC"/>
    <w:rsid w:val="00920136"/>
    <w:rsid w:val="00920771"/>
    <w:rsid w:val="009207A5"/>
    <w:rsid w:val="00921172"/>
    <w:rsid w:val="0092121F"/>
    <w:rsid w:val="00921F89"/>
    <w:rsid w:val="00921FC1"/>
    <w:rsid w:val="00922B34"/>
    <w:rsid w:val="00922E46"/>
    <w:rsid w:val="00922EA9"/>
    <w:rsid w:val="009234C9"/>
    <w:rsid w:val="0092388D"/>
    <w:rsid w:val="00924AD9"/>
    <w:rsid w:val="009255EE"/>
    <w:rsid w:val="0092600B"/>
    <w:rsid w:val="00926216"/>
    <w:rsid w:val="00926AF7"/>
    <w:rsid w:val="00930BFB"/>
    <w:rsid w:val="00930D6D"/>
    <w:rsid w:val="00932806"/>
    <w:rsid w:val="009331BF"/>
    <w:rsid w:val="00933415"/>
    <w:rsid w:val="00934FF9"/>
    <w:rsid w:val="0093552C"/>
    <w:rsid w:val="0093591E"/>
    <w:rsid w:val="00935E9C"/>
    <w:rsid w:val="0093689E"/>
    <w:rsid w:val="00937808"/>
    <w:rsid w:val="00937FDD"/>
    <w:rsid w:val="00940B96"/>
    <w:rsid w:val="00941070"/>
    <w:rsid w:val="009416DA"/>
    <w:rsid w:val="009418DC"/>
    <w:rsid w:val="00942260"/>
    <w:rsid w:val="009424A0"/>
    <w:rsid w:val="00943B98"/>
    <w:rsid w:val="00943FEF"/>
    <w:rsid w:val="0094422D"/>
    <w:rsid w:val="0094517B"/>
    <w:rsid w:val="009455E4"/>
    <w:rsid w:val="00945E0D"/>
    <w:rsid w:val="009461DD"/>
    <w:rsid w:val="009478A4"/>
    <w:rsid w:val="00947EB3"/>
    <w:rsid w:val="00950165"/>
    <w:rsid w:val="00950242"/>
    <w:rsid w:val="00951085"/>
    <w:rsid w:val="00951211"/>
    <w:rsid w:val="0095140F"/>
    <w:rsid w:val="0095256D"/>
    <w:rsid w:val="00953881"/>
    <w:rsid w:val="00953A87"/>
    <w:rsid w:val="0095451B"/>
    <w:rsid w:val="009562A3"/>
    <w:rsid w:val="00957061"/>
    <w:rsid w:val="0095755D"/>
    <w:rsid w:val="00957A07"/>
    <w:rsid w:val="00960958"/>
    <w:rsid w:val="00960D53"/>
    <w:rsid w:val="00961510"/>
    <w:rsid w:val="00961E08"/>
    <w:rsid w:val="00962989"/>
    <w:rsid w:val="009634CE"/>
    <w:rsid w:val="00964250"/>
    <w:rsid w:val="00964C6B"/>
    <w:rsid w:val="00964DC1"/>
    <w:rsid w:val="00965781"/>
    <w:rsid w:val="00965F1B"/>
    <w:rsid w:val="00966813"/>
    <w:rsid w:val="00966830"/>
    <w:rsid w:val="0097055B"/>
    <w:rsid w:val="00970D29"/>
    <w:rsid w:val="00970F91"/>
    <w:rsid w:val="0097193D"/>
    <w:rsid w:val="00974818"/>
    <w:rsid w:val="00975409"/>
    <w:rsid w:val="00975542"/>
    <w:rsid w:val="009761B1"/>
    <w:rsid w:val="009772FC"/>
    <w:rsid w:val="00977E3B"/>
    <w:rsid w:val="0098007D"/>
    <w:rsid w:val="00983053"/>
    <w:rsid w:val="00984229"/>
    <w:rsid w:val="00985BDE"/>
    <w:rsid w:val="009864AC"/>
    <w:rsid w:val="00987046"/>
    <w:rsid w:val="00987EA2"/>
    <w:rsid w:val="00990EF1"/>
    <w:rsid w:val="00991B1E"/>
    <w:rsid w:val="009933E8"/>
    <w:rsid w:val="009938FE"/>
    <w:rsid w:val="00994143"/>
    <w:rsid w:val="00994314"/>
    <w:rsid w:val="0099547F"/>
    <w:rsid w:val="009973AD"/>
    <w:rsid w:val="00997430"/>
    <w:rsid w:val="00997AC2"/>
    <w:rsid w:val="00997EE2"/>
    <w:rsid w:val="00997FF0"/>
    <w:rsid w:val="009A02F3"/>
    <w:rsid w:val="009A0C56"/>
    <w:rsid w:val="009A2E4F"/>
    <w:rsid w:val="009A3128"/>
    <w:rsid w:val="009A41B6"/>
    <w:rsid w:val="009A4B6B"/>
    <w:rsid w:val="009A50E1"/>
    <w:rsid w:val="009A567A"/>
    <w:rsid w:val="009A74F8"/>
    <w:rsid w:val="009A7FE0"/>
    <w:rsid w:val="009B0051"/>
    <w:rsid w:val="009B0696"/>
    <w:rsid w:val="009B174D"/>
    <w:rsid w:val="009B1D09"/>
    <w:rsid w:val="009B20BF"/>
    <w:rsid w:val="009B2D3E"/>
    <w:rsid w:val="009B2DE1"/>
    <w:rsid w:val="009B3C23"/>
    <w:rsid w:val="009B3F43"/>
    <w:rsid w:val="009B4710"/>
    <w:rsid w:val="009B49EF"/>
    <w:rsid w:val="009B4B4F"/>
    <w:rsid w:val="009B4D6C"/>
    <w:rsid w:val="009B4ED2"/>
    <w:rsid w:val="009B6AA1"/>
    <w:rsid w:val="009B7385"/>
    <w:rsid w:val="009C104F"/>
    <w:rsid w:val="009C1135"/>
    <w:rsid w:val="009C1194"/>
    <w:rsid w:val="009C1466"/>
    <w:rsid w:val="009C153B"/>
    <w:rsid w:val="009C240B"/>
    <w:rsid w:val="009C3AA4"/>
    <w:rsid w:val="009C50A4"/>
    <w:rsid w:val="009C68CD"/>
    <w:rsid w:val="009C6DE0"/>
    <w:rsid w:val="009C7C03"/>
    <w:rsid w:val="009C7CEC"/>
    <w:rsid w:val="009D0160"/>
    <w:rsid w:val="009D0EDC"/>
    <w:rsid w:val="009D2984"/>
    <w:rsid w:val="009D29E0"/>
    <w:rsid w:val="009D41C2"/>
    <w:rsid w:val="009D6140"/>
    <w:rsid w:val="009D66B6"/>
    <w:rsid w:val="009D6D4D"/>
    <w:rsid w:val="009D79CA"/>
    <w:rsid w:val="009D7A40"/>
    <w:rsid w:val="009E0980"/>
    <w:rsid w:val="009E14EA"/>
    <w:rsid w:val="009E15B7"/>
    <w:rsid w:val="009E31DE"/>
    <w:rsid w:val="009E359E"/>
    <w:rsid w:val="009E36BB"/>
    <w:rsid w:val="009E43C5"/>
    <w:rsid w:val="009E5170"/>
    <w:rsid w:val="009E53E4"/>
    <w:rsid w:val="009E6424"/>
    <w:rsid w:val="009E77A1"/>
    <w:rsid w:val="009E791B"/>
    <w:rsid w:val="009F01A2"/>
    <w:rsid w:val="009F0FCD"/>
    <w:rsid w:val="009F176D"/>
    <w:rsid w:val="009F243B"/>
    <w:rsid w:val="009F2E08"/>
    <w:rsid w:val="009F5DF4"/>
    <w:rsid w:val="009F622B"/>
    <w:rsid w:val="009F7562"/>
    <w:rsid w:val="009F7D5C"/>
    <w:rsid w:val="00A01D8D"/>
    <w:rsid w:val="00A0290F"/>
    <w:rsid w:val="00A03FD6"/>
    <w:rsid w:val="00A04D09"/>
    <w:rsid w:val="00A0550C"/>
    <w:rsid w:val="00A05807"/>
    <w:rsid w:val="00A05854"/>
    <w:rsid w:val="00A05F43"/>
    <w:rsid w:val="00A06C86"/>
    <w:rsid w:val="00A074A4"/>
    <w:rsid w:val="00A076E8"/>
    <w:rsid w:val="00A079A9"/>
    <w:rsid w:val="00A1071B"/>
    <w:rsid w:val="00A10B42"/>
    <w:rsid w:val="00A10D62"/>
    <w:rsid w:val="00A10DA4"/>
    <w:rsid w:val="00A118CC"/>
    <w:rsid w:val="00A1281E"/>
    <w:rsid w:val="00A12865"/>
    <w:rsid w:val="00A12B37"/>
    <w:rsid w:val="00A1324E"/>
    <w:rsid w:val="00A13CA7"/>
    <w:rsid w:val="00A1450E"/>
    <w:rsid w:val="00A145DD"/>
    <w:rsid w:val="00A166D0"/>
    <w:rsid w:val="00A16CC4"/>
    <w:rsid w:val="00A17909"/>
    <w:rsid w:val="00A17BAF"/>
    <w:rsid w:val="00A202E3"/>
    <w:rsid w:val="00A21552"/>
    <w:rsid w:val="00A21599"/>
    <w:rsid w:val="00A21F99"/>
    <w:rsid w:val="00A2207D"/>
    <w:rsid w:val="00A22112"/>
    <w:rsid w:val="00A2378B"/>
    <w:rsid w:val="00A237AD"/>
    <w:rsid w:val="00A24193"/>
    <w:rsid w:val="00A24F8D"/>
    <w:rsid w:val="00A26ACC"/>
    <w:rsid w:val="00A27A29"/>
    <w:rsid w:val="00A307D3"/>
    <w:rsid w:val="00A31E7F"/>
    <w:rsid w:val="00A32C30"/>
    <w:rsid w:val="00A33748"/>
    <w:rsid w:val="00A33886"/>
    <w:rsid w:val="00A33EC0"/>
    <w:rsid w:val="00A344FE"/>
    <w:rsid w:val="00A35053"/>
    <w:rsid w:val="00A35381"/>
    <w:rsid w:val="00A3546E"/>
    <w:rsid w:val="00A357FA"/>
    <w:rsid w:val="00A3615D"/>
    <w:rsid w:val="00A37120"/>
    <w:rsid w:val="00A400E8"/>
    <w:rsid w:val="00A409F8"/>
    <w:rsid w:val="00A41BA5"/>
    <w:rsid w:val="00A425A7"/>
    <w:rsid w:val="00A42E21"/>
    <w:rsid w:val="00A43AB1"/>
    <w:rsid w:val="00A43CA6"/>
    <w:rsid w:val="00A43D5A"/>
    <w:rsid w:val="00A447E6"/>
    <w:rsid w:val="00A44F13"/>
    <w:rsid w:val="00A45401"/>
    <w:rsid w:val="00A4556D"/>
    <w:rsid w:val="00A4564E"/>
    <w:rsid w:val="00A45894"/>
    <w:rsid w:val="00A47367"/>
    <w:rsid w:val="00A47378"/>
    <w:rsid w:val="00A47561"/>
    <w:rsid w:val="00A477C2"/>
    <w:rsid w:val="00A47F6E"/>
    <w:rsid w:val="00A50D42"/>
    <w:rsid w:val="00A52283"/>
    <w:rsid w:val="00A5239F"/>
    <w:rsid w:val="00A52F37"/>
    <w:rsid w:val="00A53606"/>
    <w:rsid w:val="00A53786"/>
    <w:rsid w:val="00A537E4"/>
    <w:rsid w:val="00A54093"/>
    <w:rsid w:val="00A5489B"/>
    <w:rsid w:val="00A54A2E"/>
    <w:rsid w:val="00A54B40"/>
    <w:rsid w:val="00A55519"/>
    <w:rsid w:val="00A55D95"/>
    <w:rsid w:val="00A55DF4"/>
    <w:rsid w:val="00A562B5"/>
    <w:rsid w:val="00A57419"/>
    <w:rsid w:val="00A57A84"/>
    <w:rsid w:val="00A606D4"/>
    <w:rsid w:val="00A617F4"/>
    <w:rsid w:val="00A62B0D"/>
    <w:rsid w:val="00A62D29"/>
    <w:rsid w:val="00A6374D"/>
    <w:rsid w:val="00A64FAC"/>
    <w:rsid w:val="00A65AEA"/>
    <w:rsid w:val="00A65C14"/>
    <w:rsid w:val="00A65DB8"/>
    <w:rsid w:val="00A67D14"/>
    <w:rsid w:val="00A67E95"/>
    <w:rsid w:val="00A67F36"/>
    <w:rsid w:val="00A7028C"/>
    <w:rsid w:val="00A71298"/>
    <w:rsid w:val="00A7196D"/>
    <w:rsid w:val="00A72D22"/>
    <w:rsid w:val="00A73F56"/>
    <w:rsid w:val="00A76232"/>
    <w:rsid w:val="00A76C19"/>
    <w:rsid w:val="00A76E64"/>
    <w:rsid w:val="00A76E8E"/>
    <w:rsid w:val="00A76F80"/>
    <w:rsid w:val="00A7794A"/>
    <w:rsid w:val="00A77F9A"/>
    <w:rsid w:val="00A806A6"/>
    <w:rsid w:val="00A80EE3"/>
    <w:rsid w:val="00A81B0C"/>
    <w:rsid w:val="00A8253D"/>
    <w:rsid w:val="00A835A3"/>
    <w:rsid w:val="00A83B13"/>
    <w:rsid w:val="00A83E02"/>
    <w:rsid w:val="00A84073"/>
    <w:rsid w:val="00A84233"/>
    <w:rsid w:val="00A84DC0"/>
    <w:rsid w:val="00A86161"/>
    <w:rsid w:val="00A864A5"/>
    <w:rsid w:val="00A8687B"/>
    <w:rsid w:val="00A86EA5"/>
    <w:rsid w:val="00A903FF"/>
    <w:rsid w:val="00A91521"/>
    <w:rsid w:val="00A926AF"/>
    <w:rsid w:val="00A930EE"/>
    <w:rsid w:val="00A94857"/>
    <w:rsid w:val="00A9498D"/>
    <w:rsid w:val="00A95B75"/>
    <w:rsid w:val="00A971C4"/>
    <w:rsid w:val="00A9735B"/>
    <w:rsid w:val="00A97C9C"/>
    <w:rsid w:val="00AA1266"/>
    <w:rsid w:val="00AA1F71"/>
    <w:rsid w:val="00AA224B"/>
    <w:rsid w:val="00AA263E"/>
    <w:rsid w:val="00AA2D97"/>
    <w:rsid w:val="00AA3458"/>
    <w:rsid w:val="00AA398B"/>
    <w:rsid w:val="00AA4EEB"/>
    <w:rsid w:val="00AA519C"/>
    <w:rsid w:val="00AA599E"/>
    <w:rsid w:val="00AA6203"/>
    <w:rsid w:val="00AA694A"/>
    <w:rsid w:val="00AA7A0F"/>
    <w:rsid w:val="00AA7B17"/>
    <w:rsid w:val="00AB04E7"/>
    <w:rsid w:val="00AB08A8"/>
    <w:rsid w:val="00AB1108"/>
    <w:rsid w:val="00AB1582"/>
    <w:rsid w:val="00AB204A"/>
    <w:rsid w:val="00AC0164"/>
    <w:rsid w:val="00AC08AE"/>
    <w:rsid w:val="00AC12DD"/>
    <w:rsid w:val="00AC1903"/>
    <w:rsid w:val="00AC1D10"/>
    <w:rsid w:val="00AC29B0"/>
    <w:rsid w:val="00AC29D5"/>
    <w:rsid w:val="00AC308C"/>
    <w:rsid w:val="00AC425C"/>
    <w:rsid w:val="00AC4379"/>
    <w:rsid w:val="00AC5231"/>
    <w:rsid w:val="00AC5667"/>
    <w:rsid w:val="00AC58AF"/>
    <w:rsid w:val="00AC6350"/>
    <w:rsid w:val="00AC6533"/>
    <w:rsid w:val="00AC7010"/>
    <w:rsid w:val="00AC75DA"/>
    <w:rsid w:val="00AD0A98"/>
    <w:rsid w:val="00AD4094"/>
    <w:rsid w:val="00AD7584"/>
    <w:rsid w:val="00AE017E"/>
    <w:rsid w:val="00AE0CF2"/>
    <w:rsid w:val="00AE1403"/>
    <w:rsid w:val="00AE5ACB"/>
    <w:rsid w:val="00AE685E"/>
    <w:rsid w:val="00AE7F91"/>
    <w:rsid w:val="00AF26F5"/>
    <w:rsid w:val="00AF29C8"/>
    <w:rsid w:val="00AF2E95"/>
    <w:rsid w:val="00AF438E"/>
    <w:rsid w:val="00AF52D1"/>
    <w:rsid w:val="00AF5B07"/>
    <w:rsid w:val="00AF5E7D"/>
    <w:rsid w:val="00AF6DB7"/>
    <w:rsid w:val="00AF708D"/>
    <w:rsid w:val="00AF7A08"/>
    <w:rsid w:val="00B00190"/>
    <w:rsid w:val="00B015F2"/>
    <w:rsid w:val="00B02F7B"/>
    <w:rsid w:val="00B032D2"/>
    <w:rsid w:val="00B040A9"/>
    <w:rsid w:val="00B04B7E"/>
    <w:rsid w:val="00B04D49"/>
    <w:rsid w:val="00B05FF7"/>
    <w:rsid w:val="00B0704F"/>
    <w:rsid w:val="00B07E60"/>
    <w:rsid w:val="00B07E9F"/>
    <w:rsid w:val="00B10B68"/>
    <w:rsid w:val="00B10E9C"/>
    <w:rsid w:val="00B1166A"/>
    <w:rsid w:val="00B11817"/>
    <w:rsid w:val="00B123EE"/>
    <w:rsid w:val="00B1314A"/>
    <w:rsid w:val="00B135DE"/>
    <w:rsid w:val="00B137C1"/>
    <w:rsid w:val="00B1416C"/>
    <w:rsid w:val="00B1432E"/>
    <w:rsid w:val="00B15329"/>
    <w:rsid w:val="00B158AA"/>
    <w:rsid w:val="00B15B08"/>
    <w:rsid w:val="00B15BA8"/>
    <w:rsid w:val="00B17339"/>
    <w:rsid w:val="00B17639"/>
    <w:rsid w:val="00B2061B"/>
    <w:rsid w:val="00B20A68"/>
    <w:rsid w:val="00B212B4"/>
    <w:rsid w:val="00B212F0"/>
    <w:rsid w:val="00B22281"/>
    <w:rsid w:val="00B223CA"/>
    <w:rsid w:val="00B22693"/>
    <w:rsid w:val="00B26D7C"/>
    <w:rsid w:val="00B272D7"/>
    <w:rsid w:val="00B27C06"/>
    <w:rsid w:val="00B30BBC"/>
    <w:rsid w:val="00B336A0"/>
    <w:rsid w:val="00B343BD"/>
    <w:rsid w:val="00B35A54"/>
    <w:rsid w:val="00B37C13"/>
    <w:rsid w:val="00B426CF"/>
    <w:rsid w:val="00B426E9"/>
    <w:rsid w:val="00B42DBD"/>
    <w:rsid w:val="00B44966"/>
    <w:rsid w:val="00B45C30"/>
    <w:rsid w:val="00B46808"/>
    <w:rsid w:val="00B46AD9"/>
    <w:rsid w:val="00B47729"/>
    <w:rsid w:val="00B47F4E"/>
    <w:rsid w:val="00B501C0"/>
    <w:rsid w:val="00B50E59"/>
    <w:rsid w:val="00B511AA"/>
    <w:rsid w:val="00B514BD"/>
    <w:rsid w:val="00B524FC"/>
    <w:rsid w:val="00B52AF4"/>
    <w:rsid w:val="00B54496"/>
    <w:rsid w:val="00B54B53"/>
    <w:rsid w:val="00B54FB4"/>
    <w:rsid w:val="00B55121"/>
    <w:rsid w:val="00B568C7"/>
    <w:rsid w:val="00B60CAC"/>
    <w:rsid w:val="00B61220"/>
    <w:rsid w:val="00B634D6"/>
    <w:rsid w:val="00B65CAA"/>
    <w:rsid w:val="00B66954"/>
    <w:rsid w:val="00B66A82"/>
    <w:rsid w:val="00B67FFB"/>
    <w:rsid w:val="00B71EEE"/>
    <w:rsid w:val="00B7219C"/>
    <w:rsid w:val="00B724E3"/>
    <w:rsid w:val="00B73543"/>
    <w:rsid w:val="00B7382E"/>
    <w:rsid w:val="00B73EBF"/>
    <w:rsid w:val="00B7522E"/>
    <w:rsid w:val="00B75F50"/>
    <w:rsid w:val="00B764FB"/>
    <w:rsid w:val="00B779B3"/>
    <w:rsid w:val="00B80166"/>
    <w:rsid w:val="00B80F30"/>
    <w:rsid w:val="00B83046"/>
    <w:rsid w:val="00B833A7"/>
    <w:rsid w:val="00B83A15"/>
    <w:rsid w:val="00B83ACA"/>
    <w:rsid w:val="00B83B4D"/>
    <w:rsid w:val="00B84C46"/>
    <w:rsid w:val="00B84C7D"/>
    <w:rsid w:val="00B8559C"/>
    <w:rsid w:val="00B862F0"/>
    <w:rsid w:val="00B86494"/>
    <w:rsid w:val="00B86777"/>
    <w:rsid w:val="00B86A75"/>
    <w:rsid w:val="00B87904"/>
    <w:rsid w:val="00B87D93"/>
    <w:rsid w:val="00B91A8A"/>
    <w:rsid w:val="00B91B6D"/>
    <w:rsid w:val="00B91C5F"/>
    <w:rsid w:val="00B91DC1"/>
    <w:rsid w:val="00B9283E"/>
    <w:rsid w:val="00B93F90"/>
    <w:rsid w:val="00B94F5B"/>
    <w:rsid w:val="00B95900"/>
    <w:rsid w:val="00BA078E"/>
    <w:rsid w:val="00BA0EA7"/>
    <w:rsid w:val="00BA132F"/>
    <w:rsid w:val="00BA2561"/>
    <w:rsid w:val="00BA2C27"/>
    <w:rsid w:val="00BA3374"/>
    <w:rsid w:val="00BA5966"/>
    <w:rsid w:val="00BA5FFC"/>
    <w:rsid w:val="00BA66DD"/>
    <w:rsid w:val="00BA6700"/>
    <w:rsid w:val="00BA74C9"/>
    <w:rsid w:val="00BB0447"/>
    <w:rsid w:val="00BB0F04"/>
    <w:rsid w:val="00BB11D8"/>
    <w:rsid w:val="00BB13B7"/>
    <w:rsid w:val="00BB17D6"/>
    <w:rsid w:val="00BB1AE0"/>
    <w:rsid w:val="00BB1FCB"/>
    <w:rsid w:val="00BB2262"/>
    <w:rsid w:val="00BB2D93"/>
    <w:rsid w:val="00BB2DA2"/>
    <w:rsid w:val="00BB32C1"/>
    <w:rsid w:val="00BB40BC"/>
    <w:rsid w:val="00BB42E7"/>
    <w:rsid w:val="00BB4F25"/>
    <w:rsid w:val="00BB516A"/>
    <w:rsid w:val="00BB51F9"/>
    <w:rsid w:val="00BB53AF"/>
    <w:rsid w:val="00BB55D2"/>
    <w:rsid w:val="00BB65BF"/>
    <w:rsid w:val="00BB69CA"/>
    <w:rsid w:val="00BB6B39"/>
    <w:rsid w:val="00BB738C"/>
    <w:rsid w:val="00BB7BB0"/>
    <w:rsid w:val="00BB7CFA"/>
    <w:rsid w:val="00BC0996"/>
    <w:rsid w:val="00BC163D"/>
    <w:rsid w:val="00BC1891"/>
    <w:rsid w:val="00BC1D78"/>
    <w:rsid w:val="00BC228C"/>
    <w:rsid w:val="00BC2EED"/>
    <w:rsid w:val="00BC38CD"/>
    <w:rsid w:val="00BC3C64"/>
    <w:rsid w:val="00BC3FFE"/>
    <w:rsid w:val="00BC49A7"/>
    <w:rsid w:val="00BC54D2"/>
    <w:rsid w:val="00BC5634"/>
    <w:rsid w:val="00BC5B3A"/>
    <w:rsid w:val="00BC5B99"/>
    <w:rsid w:val="00BC5C72"/>
    <w:rsid w:val="00BC5DE6"/>
    <w:rsid w:val="00BC605E"/>
    <w:rsid w:val="00BC6110"/>
    <w:rsid w:val="00BC661E"/>
    <w:rsid w:val="00BC6E4E"/>
    <w:rsid w:val="00BD096E"/>
    <w:rsid w:val="00BD13EA"/>
    <w:rsid w:val="00BD1551"/>
    <w:rsid w:val="00BD2082"/>
    <w:rsid w:val="00BD3751"/>
    <w:rsid w:val="00BD4442"/>
    <w:rsid w:val="00BD44AA"/>
    <w:rsid w:val="00BD451C"/>
    <w:rsid w:val="00BD4B48"/>
    <w:rsid w:val="00BD4C78"/>
    <w:rsid w:val="00BD5528"/>
    <w:rsid w:val="00BD705B"/>
    <w:rsid w:val="00BD72EB"/>
    <w:rsid w:val="00BD731A"/>
    <w:rsid w:val="00BD7415"/>
    <w:rsid w:val="00BE01F5"/>
    <w:rsid w:val="00BE1CB8"/>
    <w:rsid w:val="00BE1FB4"/>
    <w:rsid w:val="00BE2E1C"/>
    <w:rsid w:val="00BE4206"/>
    <w:rsid w:val="00BE4F4F"/>
    <w:rsid w:val="00BE5D89"/>
    <w:rsid w:val="00BE6B81"/>
    <w:rsid w:val="00BE74B9"/>
    <w:rsid w:val="00BE798F"/>
    <w:rsid w:val="00BE7D3F"/>
    <w:rsid w:val="00BF0276"/>
    <w:rsid w:val="00BF03F6"/>
    <w:rsid w:val="00BF067E"/>
    <w:rsid w:val="00BF1A8F"/>
    <w:rsid w:val="00BF1CA4"/>
    <w:rsid w:val="00BF2395"/>
    <w:rsid w:val="00BF50E8"/>
    <w:rsid w:val="00BF56DB"/>
    <w:rsid w:val="00BF5BAE"/>
    <w:rsid w:val="00BF7826"/>
    <w:rsid w:val="00BF7A2E"/>
    <w:rsid w:val="00BF7D63"/>
    <w:rsid w:val="00C0040F"/>
    <w:rsid w:val="00C01885"/>
    <w:rsid w:val="00C0213C"/>
    <w:rsid w:val="00C026F3"/>
    <w:rsid w:val="00C02B2B"/>
    <w:rsid w:val="00C02E44"/>
    <w:rsid w:val="00C0375B"/>
    <w:rsid w:val="00C04DFF"/>
    <w:rsid w:val="00C05668"/>
    <w:rsid w:val="00C05E97"/>
    <w:rsid w:val="00C064E7"/>
    <w:rsid w:val="00C06DFA"/>
    <w:rsid w:val="00C0701D"/>
    <w:rsid w:val="00C075E9"/>
    <w:rsid w:val="00C106B2"/>
    <w:rsid w:val="00C10C55"/>
    <w:rsid w:val="00C11C93"/>
    <w:rsid w:val="00C1209E"/>
    <w:rsid w:val="00C1312A"/>
    <w:rsid w:val="00C1369C"/>
    <w:rsid w:val="00C13C89"/>
    <w:rsid w:val="00C14948"/>
    <w:rsid w:val="00C14BB8"/>
    <w:rsid w:val="00C14CD6"/>
    <w:rsid w:val="00C15464"/>
    <w:rsid w:val="00C1558C"/>
    <w:rsid w:val="00C158BE"/>
    <w:rsid w:val="00C1656D"/>
    <w:rsid w:val="00C202C4"/>
    <w:rsid w:val="00C208F9"/>
    <w:rsid w:val="00C20D39"/>
    <w:rsid w:val="00C21FA7"/>
    <w:rsid w:val="00C222FE"/>
    <w:rsid w:val="00C224B7"/>
    <w:rsid w:val="00C2255E"/>
    <w:rsid w:val="00C24854"/>
    <w:rsid w:val="00C24CDE"/>
    <w:rsid w:val="00C251C8"/>
    <w:rsid w:val="00C2763F"/>
    <w:rsid w:val="00C27F76"/>
    <w:rsid w:val="00C30325"/>
    <w:rsid w:val="00C3252C"/>
    <w:rsid w:val="00C33CD3"/>
    <w:rsid w:val="00C34526"/>
    <w:rsid w:val="00C34596"/>
    <w:rsid w:val="00C35237"/>
    <w:rsid w:val="00C35321"/>
    <w:rsid w:val="00C3540B"/>
    <w:rsid w:val="00C356B8"/>
    <w:rsid w:val="00C36089"/>
    <w:rsid w:val="00C36B79"/>
    <w:rsid w:val="00C36CBD"/>
    <w:rsid w:val="00C36EA5"/>
    <w:rsid w:val="00C37610"/>
    <w:rsid w:val="00C403A9"/>
    <w:rsid w:val="00C40FB0"/>
    <w:rsid w:val="00C41B8F"/>
    <w:rsid w:val="00C43227"/>
    <w:rsid w:val="00C432AC"/>
    <w:rsid w:val="00C43672"/>
    <w:rsid w:val="00C4443B"/>
    <w:rsid w:val="00C44630"/>
    <w:rsid w:val="00C4478F"/>
    <w:rsid w:val="00C44913"/>
    <w:rsid w:val="00C44F3E"/>
    <w:rsid w:val="00C45986"/>
    <w:rsid w:val="00C46649"/>
    <w:rsid w:val="00C47E31"/>
    <w:rsid w:val="00C50EF3"/>
    <w:rsid w:val="00C51746"/>
    <w:rsid w:val="00C53010"/>
    <w:rsid w:val="00C530CF"/>
    <w:rsid w:val="00C54693"/>
    <w:rsid w:val="00C547E7"/>
    <w:rsid w:val="00C54E30"/>
    <w:rsid w:val="00C54FEF"/>
    <w:rsid w:val="00C55F21"/>
    <w:rsid w:val="00C603B0"/>
    <w:rsid w:val="00C6053B"/>
    <w:rsid w:val="00C616C3"/>
    <w:rsid w:val="00C61CA5"/>
    <w:rsid w:val="00C61E8E"/>
    <w:rsid w:val="00C62469"/>
    <w:rsid w:val="00C62F1E"/>
    <w:rsid w:val="00C63CA2"/>
    <w:rsid w:val="00C64F10"/>
    <w:rsid w:val="00C65237"/>
    <w:rsid w:val="00C6523B"/>
    <w:rsid w:val="00C66D67"/>
    <w:rsid w:val="00C66F11"/>
    <w:rsid w:val="00C676E0"/>
    <w:rsid w:val="00C702E0"/>
    <w:rsid w:val="00C71D16"/>
    <w:rsid w:val="00C746C4"/>
    <w:rsid w:val="00C7526E"/>
    <w:rsid w:val="00C77A92"/>
    <w:rsid w:val="00C77ECD"/>
    <w:rsid w:val="00C802AE"/>
    <w:rsid w:val="00C831EC"/>
    <w:rsid w:val="00C84763"/>
    <w:rsid w:val="00C8496F"/>
    <w:rsid w:val="00C86FBC"/>
    <w:rsid w:val="00C87461"/>
    <w:rsid w:val="00C91D70"/>
    <w:rsid w:val="00C93230"/>
    <w:rsid w:val="00C945D7"/>
    <w:rsid w:val="00C948C3"/>
    <w:rsid w:val="00C94B0D"/>
    <w:rsid w:val="00C9688B"/>
    <w:rsid w:val="00C96FBA"/>
    <w:rsid w:val="00C975C0"/>
    <w:rsid w:val="00CA0822"/>
    <w:rsid w:val="00CA09ED"/>
    <w:rsid w:val="00CA0A9B"/>
    <w:rsid w:val="00CA204A"/>
    <w:rsid w:val="00CA337D"/>
    <w:rsid w:val="00CA33A5"/>
    <w:rsid w:val="00CA35E8"/>
    <w:rsid w:val="00CA4D3D"/>
    <w:rsid w:val="00CA5975"/>
    <w:rsid w:val="00CA5A13"/>
    <w:rsid w:val="00CA5F1A"/>
    <w:rsid w:val="00CA670F"/>
    <w:rsid w:val="00CB4B13"/>
    <w:rsid w:val="00CB503C"/>
    <w:rsid w:val="00CB519E"/>
    <w:rsid w:val="00CB5414"/>
    <w:rsid w:val="00CB5AA3"/>
    <w:rsid w:val="00CB5D4A"/>
    <w:rsid w:val="00CB61CD"/>
    <w:rsid w:val="00CB654A"/>
    <w:rsid w:val="00CB73C3"/>
    <w:rsid w:val="00CB77E1"/>
    <w:rsid w:val="00CB7865"/>
    <w:rsid w:val="00CC0B3C"/>
    <w:rsid w:val="00CC1472"/>
    <w:rsid w:val="00CC1B22"/>
    <w:rsid w:val="00CC2437"/>
    <w:rsid w:val="00CC2ADC"/>
    <w:rsid w:val="00CC336E"/>
    <w:rsid w:val="00CC430F"/>
    <w:rsid w:val="00CC445C"/>
    <w:rsid w:val="00CC47E2"/>
    <w:rsid w:val="00CC4A7D"/>
    <w:rsid w:val="00CC543C"/>
    <w:rsid w:val="00CC59A6"/>
    <w:rsid w:val="00CC76BC"/>
    <w:rsid w:val="00CD098A"/>
    <w:rsid w:val="00CD0ADD"/>
    <w:rsid w:val="00CD19AD"/>
    <w:rsid w:val="00CD36C7"/>
    <w:rsid w:val="00CD3C88"/>
    <w:rsid w:val="00CD466F"/>
    <w:rsid w:val="00CD4712"/>
    <w:rsid w:val="00CD472E"/>
    <w:rsid w:val="00CD4B86"/>
    <w:rsid w:val="00CD4B9D"/>
    <w:rsid w:val="00CD7CF2"/>
    <w:rsid w:val="00CE1104"/>
    <w:rsid w:val="00CE14AD"/>
    <w:rsid w:val="00CE2370"/>
    <w:rsid w:val="00CE2434"/>
    <w:rsid w:val="00CE4743"/>
    <w:rsid w:val="00CF0823"/>
    <w:rsid w:val="00CF1274"/>
    <w:rsid w:val="00CF14C3"/>
    <w:rsid w:val="00CF179F"/>
    <w:rsid w:val="00CF217D"/>
    <w:rsid w:val="00CF2944"/>
    <w:rsid w:val="00CF32B1"/>
    <w:rsid w:val="00CF4E91"/>
    <w:rsid w:val="00CF4ED6"/>
    <w:rsid w:val="00CF6619"/>
    <w:rsid w:val="00CF66E8"/>
    <w:rsid w:val="00CF71E7"/>
    <w:rsid w:val="00CF799C"/>
    <w:rsid w:val="00D0082F"/>
    <w:rsid w:val="00D016FA"/>
    <w:rsid w:val="00D020E8"/>
    <w:rsid w:val="00D052D3"/>
    <w:rsid w:val="00D0653D"/>
    <w:rsid w:val="00D06790"/>
    <w:rsid w:val="00D070DE"/>
    <w:rsid w:val="00D07C31"/>
    <w:rsid w:val="00D10AA6"/>
    <w:rsid w:val="00D10C9D"/>
    <w:rsid w:val="00D11326"/>
    <w:rsid w:val="00D11DF3"/>
    <w:rsid w:val="00D122BC"/>
    <w:rsid w:val="00D12444"/>
    <w:rsid w:val="00D12783"/>
    <w:rsid w:val="00D127EC"/>
    <w:rsid w:val="00D127FC"/>
    <w:rsid w:val="00D133DF"/>
    <w:rsid w:val="00D1377D"/>
    <w:rsid w:val="00D13CC6"/>
    <w:rsid w:val="00D13EF0"/>
    <w:rsid w:val="00D142F5"/>
    <w:rsid w:val="00D147F1"/>
    <w:rsid w:val="00D14EC2"/>
    <w:rsid w:val="00D1531C"/>
    <w:rsid w:val="00D157A1"/>
    <w:rsid w:val="00D15998"/>
    <w:rsid w:val="00D17410"/>
    <w:rsid w:val="00D177F8"/>
    <w:rsid w:val="00D208FC"/>
    <w:rsid w:val="00D2443C"/>
    <w:rsid w:val="00D248B6"/>
    <w:rsid w:val="00D24F7E"/>
    <w:rsid w:val="00D25BE9"/>
    <w:rsid w:val="00D26089"/>
    <w:rsid w:val="00D26D0C"/>
    <w:rsid w:val="00D30AE6"/>
    <w:rsid w:val="00D31EB4"/>
    <w:rsid w:val="00D3202C"/>
    <w:rsid w:val="00D32D9E"/>
    <w:rsid w:val="00D3425D"/>
    <w:rsid w:val="00D349F6"/>
    <w:rsid w:val="00D35FDC"/>
    <w:rsid w:val="00D36155"/>
    <w:rsid w:val="00D3637B"/>
    <w:rsid w:val="00D3723D"/>
    <w:rsid w:val="00D37263"/>
    <w:rsid w:val="00D37FB4"/>
    <w:rsid w:val="00D4149A"/>
    <w:rsid w:val="00D41697"/>
    <w:rsid w:val="00D41CDF"/>
    <w:rsid w:val="00D42038"/>
    <w:rsid w:val="00D426CE"/>
    <w:rsid w:val="00D429DF"/>
    <w:rsid w:val="00D42C97"/>
    <w:rsid w:val="00D437A2"/>
    <w:rsid w:val="00D45128"/>
    <w:rsid w:val="00D4547B"/>
    <w:rsid w:val="00D45B64"/>
    <w:rsid w:val="00D45FF9"/>
    <w:rsid w:val="00D46C03"/>
    <w:rsid w:val="00D46DA4"/>
    <w:rsid w:val="00D4718D"/>
    <w:rsid w:val="00D47251"/>
    <w:rsid w:val="00D515F7"/>
    <w:rsid w:val="00D51796"/>
    <w:rsid w:val="00D51EFB"/>
    <w:rsid w:val="00D52A0F"/>
    <w:rsid w:val="00D536E0"/>
    <w:rsid w:val="00D5751F"/>
    <w:rsid w:val="00D57678"/>
    <w:rsid w:val="00D57C3F"/>
    <w:rsid w:val="00D60267"/>
    <w:rsid w:val="00D621D3"/>
    <w:rsid w:val="00D6381B"/>
    <w:rsid w:val="00D63E40"/>
    <w:rsid w:val="00D6450F"/>
    <w:rsid w:val="00D65972"/>
    <w:rsid w:val="00D65F66"/>
    <w:rsid w:val="00D66180"/>
    <w:rsid w:val="00D666D2"/>
    <w:rsid w:val="00D67ADC"/>
    <w:rsid w:val="00D707BB"/>
    <w:rsid w:val="00D70E6D"/>
    <w:rsid w:val="00D71417"/>
    <w:rsid w:val="00D716E3"/>
    <w:rsid w:val="00D726DC"/>
    <w:rsid w:val="00D727DE"/>
    <w:rsid w:val="00D72994"/>
    <w:rsid w:val="00D72E3A"/>
    <w:rsid w:val="00D7614E"/>
    <w:rsid w:val="00D77F8B"/>
    <w:rsid w:val="00D80ABB"/>
    <w:rsid w:val="00D80B37"/>
    <w:rsid w:val="00D80D82"/>
    <w:rsid w:val="00D81064"/>
    <w:rsid w:val="00D81AE6"/>
    <w:rsid w:val="00D82333"/>
    <w:rsid w:val="00D831AA"/>
    <w:rsid w:val="00D83600"/>
    <w:rsid w:val="00D83677"/>
    <w:rsid w:val="00D83BD5"/>
    <w:rsid w:val="00D851A0"/>
    <w:rsid w:val="00D85814"/>
    <w:rsid w:val="00D8654A"/>
    <w:rsid w:val="00D87F0D"/>
    <w:rsid w:val="00D91266"/>
    <w:rsid w:val="00D92BA9"/>
    <w:rsid w:val="00D930A1"/>
    <w:rsid w:val="00D94B96"/>
    <w:rsid w:val="00D96298"/>
    <w:rsid w:val="00D9632D"/>
    <w:rsid w:val="00D965A1"/>
    <w:rsid w:val="00D96E0C"/>
    <w:rsid w:val="00D971C1"/>
    <w:rsid w:val="00D97442"/>
    <w:rsid w:val="00D97927"/>
    <w:rsid w:val="00D97F08"/>
    <w:rsid w:val="00DA12CE"/>
    <w:rsid w:val="00DA2263"/>
    <w:rsid w:val="00DA2573"/>
    <w:rsid w:val="00DA2B5A"/>
    <w:rsid w:val="00DA387D"/>
    <w:rsid w:val="00DA5604"/>
    <w:rsid w:val="00DA5713"/>
    <w:rsid w:val="00DA62D5"/>
    <w:rsid w:val="00DA73D2"/>
    <w:rsid w:val="00DB0022"/>
    <w:rsid w:val="00DB06B5"/>
    <w:rsid w:val="00DB0DAF"/>
    <w:rsid w:val="00DB3BEC"/>
    <w:rsid w:val="00DB4AE1"/>
    <w:rsid w:val="00DB4E3E"/>
    <w:rsid w:val="00DB501C"/>
    <w:rsid w:val="00DB521A"/>
    <w:rsid w:val="00DB5349"/>
    <w:rsid w:val="00DB59EB"/>
    <w:rsid w:val="00DB7382"/>
    <w:rsid w:val="00DB74B7"/>
    <w:rsid w:val="00DC0200"/>
    <w:rsid w:val="00DC02F5"/>
    <w:rsid w:val="00DC0D08"/>
    <w:rsid w:val="00DC2AA6"/>
    <w:rsid w:val="00DC32E4"/>
    <w:rsid w:val="00DC39DD"/>
    <w:rsid w:val="00DC50D2"/>
    <w:rsid w:val="00DC5B3A"/>
    <w:rsid w:val="00DC5D94"/>
    <w:rsid w:val="00DC61BE"/>
    <w:rsid w:val="00DC6474"/>
    <w:rsid w:val="00DC68DB"/>
    <w:rsid w:val="00DD1380"/>
    <w:rsid w:val="00DD1890"/>
    <w:rsid w:val="00DD1C48"/>
    <w:rsid w:val="00DD2381"/>
    <w:rsid w:val="00DD2B96"/>
    <w:rsid w:val="00DD4279"/>
    <w:rsid w:val="00DD4549"/>
    <w:rsid w:val="00DD465E"/>
    <w:rsid w:val="00DD4C99"/>
    <w:rsid w:val="00DD520A"/>
    <w:rsid w:val="00DD6D4E"/>
    <w:rsid w:val="00DD6E61"/>
    <w:rsid w:val="00DE0812"/>
    <w:rsid w:val="00DE163E"/>
    <w:rsid w:val="00DE188B"/>
    <w:rsid w:val="00DE1DEE"/>
    <w:rsid w:val="00DE21AA"/>
    <w:rsid w:val="00DE2A23"/>
    <w:rsid w:val="00DE2B42"/>
    <w:rsid w:val="00DE3092"/>
    <w:rsid w:val="00DE5033"/>
    <w:rsid w:val="00DE51FF"/>
    <w:rsid w:val="00DE60D1"/>
    <w:rsid w:val="00DE62F7"/>
    <w:rsid w:val="00DF0153"/>
    <w:rsid w:val="00DF08A4"/>
    <w:rsid w:val="00DF09D2"/>
    <w:rsid w:val="00DF10B4"/>
    <w:rsid w:val="00DF1A2A"/>
    <w:rsid w:val="00DF28D7"/>
    <w:rsid w:val="00DF412A"/>
    <w:rsid w:val="00DF4568"/>
    <w:rsid w:val="00DF6477"/>
    <w:rsid w:val="00DF67E9"/>
    <w:rsid w:val="00DF7F03"/>
    <w:rsid w:val="00E02101"/>
    <w:rsid w:val="00E036D7"/>
    <w:rsid w:val="00E04221"/>
    <w:rsid w:val="00E0458A"/>
    <w:rsid w:val="00E05B07"/>
    <w:rsid w:val="00E076C6"/>
    <w:rsid w:val="00E07AC2"/>
    <w:rsid w:val="00E07EFD"/>
    <w:rsid w:val="00E100C7"/>
    <w:rsid w:val="00E10654"/>
    <w:rsid w:val="00E1103C"/>
    <w:rsid w:val="00E117A4"/>
    <w:rsid w:val="00E11808"/>
    <w:rsid w:val="00E129E6"/>
    <w:rsid w:val="00E12D09"/>
    <w:rsid w:val="00E137FD"/>
    <w:rsid w:val="00E13DAC"/>
    <w:rsid w:val="00E148B5"/>
    <w:rsid w:val="00E16310"/>
    <w:rsid w:val="00E16964"/>
    <w:rsid w:val="00E1701F"/>
    <w:rsid w:val="00E17154"/>
    <w:rsid w:val="00E200B4"/>
    <w:rsid w:val="00E217AF"/>
    <w:rsid w:val="00E21C46"/>
    <w:rsid w:val="00E21EA4"/>
    <w:rsid w:val="00E22F36"/>
    <w:rsid w:val="00E2458A"/>
    <w:rsid w:val="00E260C7"/>
    <w:rsid w:val="00E26407"/>
    <w:rsid w:val="00E26922"/>
    <w:rsid w:val="00E27A0A"/>
    <w:rsid w:val="00E31A16"/>
    <w:rsid w:val="00E3289B"/>
    <w:rsid w:val="00E34C01"/>
    <w:rsid w:val="00E35246"/>
    <w:rsid w:val="00E35CE0"/>
    <w:rsid w:val="00E3641F"/>
    <w:rsid w:val="00E36771"/>
    <w:rsid w:val="00E3784D"/>
    <w:rsid w:val="00E3788A"/>
    <w:rsid w:val="00E37EAF"/>
    <w:rsid w:val="00E40A0A"/>
    <w:rsid w:val="00E41FA3"/>
    <w:rsid w:val="00E42340"/>
    <w:rsid w:val="00E4259E"/>
    <w:rsid w:val="00E425D0"/>
    <w:rsid w:val="00E42C70"/>
    <w:rsid w:val="00E43B69"/>
    <w:rsid w:val="00E44028"/>
    <w:rsid w:val="00E4414B"/>
    <w:rsid w:val="00E44205"/>
    <w:rsid w:val="00E47730"/>
    <w:rsid w:val="00E50106"/>
    <w:rsid w:val="00E50519"/>
    <w:rsid w:val="00E53417"/>
    <w:rsid w:val="00E549A2"/>
    <w:rsid w:val="00E54E46"/>
    <w:rsid w:val="00E567A5"/>
    <w:rsid w:val="00E56A01"/>
    <w:rsid w:val="00E56DD1"/>
    <w:rsid w:val="00E608A1"/>
    <w:rsid w:val="00E61142"/>
    <w:rsid w:val="00E612BA"/>
    <w:rsid w:val="00E619F3"/>
    <w:rsid w:val="00E6200F"/>
    <w:rsid w:val="00E62926"/>
    <w:rsid w:val="00E64F52"/>
    <w:rsid w:val="00E6500B"/>
    <w:rsid w:val="00E655C1"/>
    <w:rsid w:val="00E65BA4"/>
    <w:rsid w:val="00E66046"/>
    <w:rsid w:val="00E6613B"/>
    <w:rsid w:val="00E67623"/>
    <w:rsid w:val="00E709E0"/>
    <w:rsid w:val="00E70F28"/>
    <w:rsid w:val="00E71D2C"/>
    <w:rsid w:val="00E722FD"/>
    <w:rsid w:val="00E725C6"/>
    <w:rsid w:val="00E72C79"/>
    <w:rsid w:val="00E72CBD"/>
    <w:rsid w:val="00E72F63"/>
    <w:rsid w:val="00E7383F"/>
    <w:rsid w:val="00E74E7C"/>
    <w:rsid w:val="00E758EA"/>
    <w:rsid w:val="00E75BEB"/>
    <w:rsid w:val="00E75EB7"/>
    <w:rsid w:val="00E7695F"/>
    <w:rsid w:val="00E77A29"/>
    <w:rsid w:val="00E80304"/>
    <w:rsid w:val="00E803BC"/>
    <w:rsid w:val="00E80417"/>
    <w:rsid w:val="00E81E7B"/>
    <w:rsid w:val="00E82C21"/>
    <w:rsid w:val="00E84D31"/>
    <w:rsid w:val="00E84EA5"/>
    <w:rsid w:val="00E85179"/>
    <w:rsid w:val="00E8523C"/>
    <w:rsid w:val="00E8533C"/>
    <w:rsid w:val="00E8667B"/>
    <w:rsid w:val="00E86DC1"/>
    <w:rsid w:val="00E87026"/>
    <w:rsid w:val="00E87418"/>
    <w:rsid w:val="00E906CF"/>
    <w:rsid w:val="00E91704"/>
    <w:rsid w:val="00E926E0"/>
    <w:rsid w:val="00E93128"/>
    <w:rsid w:val="00E939FD"/>
    <w:rsid w:val="00E94D29"/>
    <w:rsid w:val="00E950EE"/>
    <w:rsid w:val="00EA0171"/>
    <w:rsid w:val="00EA1147"/>
    <w:rsid w:val="00EA152A"/>
    <w:rsid w:val="00EA1D22"/>
    <w:rsid w:val="00EA2278"/>
    <w:rsid w:val="00EA2A2C"/>
    <w:rsid w:val="00EA3707"/>
    <w:rsid w:val="00EA4322"/>
    <w:rsid w:val="00EA4576"/>
    <w:rsid w:val="00EA6CD1"/>
    <w:rsid w:val="00EA77B0"/>
    <w:rsid w:val="00EB014D"/>
    <w:rsid w:val="00EB1EDF"/>
    <w:rsid w:val="00EB1FAA"/>
    <w:rsid w:val="00EB2916"/>
    <w:rsid w:val="00EB2E13"/>
    <w:rsid w:val="00EB3267"/>
    <w:rsid w:val="00EB52DA"/>
    <w:rsid w:val="00EB54FC"/>
    <w:rsid w:val="00EB55A2"/>
    <w:rsid w:val="00EB58E6"/>
    <w:rsid w:val="00EB59CD"/>
    <w:rsid w:val="00EB5B0B"/>
    <w:rsid w:val="00EB6274"/>
    <w:rsid w:val="00EB63C5"/>
    <w:rsid w:val="00EB68A3"/>
    <w:rsid w:val="00EB6E1A"/>
    <w:rsid w:val="00EB7326"/>
    <w:rsid w:val="00EC08D2"/>
    <w:rsid w:val="00EC11B3"/>
    <w:rsid w:val="00EC1DB3"/>
    <w:rsid w:val="00EC2225"/>
    <w:rsid w:val="00EC252C"/>
    <w:rsid w:val="00EC2AF9"/>
    <w:rsid w:val="00EC3D25"/>
    <w:rsid w:val="00EC593B"/>
    <w:rsid w:val="00EC5BFD"/>
    <w:rsid w:val="00EC5C13"/>
    <w:rsid w:val="00EC63DF"/>
    <w:rsid w:val="00EC6781"/>
    <w:rsid w:val="00EC6885"/>
    <w:rsid w:val="00EC72C7"/>
    <w:rsid w:val="00EC7E98"/>
    <w:rsid w:val="00ED0054"/>
    <w:rsid w:val="00ED0418"/>
    <w:rsid w:val="00ED0488"/>
    <w:rsid w:val="00ED06AF"/>
    <w:rsid w:val="00ED0BC7"/>
    <w:rsid w:val="00ED0D14"/>
    <w:rsid w:val="00ED0F00"/>
    <w:rsid w:val="00ED1472"/>
    <w:rsid w:val="00ED2428"/>
    <w:rsid w:val="00ED2AA3"/>
    <w:rsid w:val="00ED2F40"/>
    <w:rsid w:val="00ED311E"/>
    <w:rsid w:val="00ED4664"/>
    <w:rsid w:val="00ED4DF0"/>
    <w:rsid w:val="00ED5198"/>
    <w:rsid w:val="00ED53B5"/>
    <w:rsid w:val="00ED5732"/>
    <w:rsid w:val="00ED6CAA"/>
    <w:rsid w:val="00ED7576"/>
    <w:rsid w:val="00ED768F"/>
    <w:rsid w:val="00EE01CE"/>
    <w:rsid w:val="00EE11E7"/>
    <w:rsid w:val="00EE1B22"/>
    <w:rsid w:val="00EE2008"/>
    <w:rsid w:val="00EE22B1"/>
    <w:rsid w:val="00EE22E0"/>
    <w:rsid w:val="00EE30E9"/>
    <w:rsid w:val="00EE4476"/>
    <w:rsid w:val="00EE4657"/>
    <w:rsid w:val="00EE5989"/>
    <w:rsid w:val="00EE6D6C"/>
    <w:rsid w:val="00EE7DA1"/>
    <w:rsid w:val="00EF0C9F"/>
    <w:rsid w:val="00EF244A"/>
    <w:rsid w:val="00EF374E"/>
    <w:rsid w:val="00EF3912"/>
    <w:rsid w:val="00EF4012"/>
    <w:rsid w:val="00EF654D"/>
    <w:rsid w:val="00EF6966"/>
    <w:rsid w:val="00EF6BA3"/>
    <w:rsid w:val="00F0270B"/>
    <w:rsid w:val="00F04AA2"/>
    <w:rsid w:val="00F04E2D"/>
    <w:rsid w:val="00F05259"/>
    <w:rsid w:val="00F052D9"/>
    <w:rsid w:val="00F05D63"/>
    <w:rsid w:val="00F0734A"/>
    <w:rsid w:val="00F07D9F"/>
    <w:rsid w:val="00F10998"/>
    <w:rsid w:val="00F10D2C"/>
    <w:rsid w:val="00F118DD"/>
    <w:rsid w:val="00F11977"/>
    <w:rsid w:val="00F11A3B"/>
    <w:rsid w:val="00F123BA"/>
    <w:rsid w:val="00F12946"/>
    <w:rsid w:val="00F135A2"/>
    <w:rsid w:val="00F149ED"/>
    <w:rsid w:val="00F165C3"/>
    <w:rsid w:val="00F17675"/>
    <w:rsid w:val="00F202D0"/>
    <w:rsid w:val="00F2060E"/>
    <w:rsid w:val="00F21B39"/>
    <w:rsid w:val="00F21D5A"/>
    <w:rsid w:val="00F22042"/>
    <w:rsid w:val="00F22389"/>
    <w:rsid w:val="00F22918"/>
    <w:rsid w:val="00F22D71"/>
    <w:rsid w:val="00F23E59"/>
    <w:rsid w:val="00F241E3"/>
    <w:rsid w:val="00F2454D"/>
    <w:rsid w:val="00F248A4"/>
    <w:rsid w:val="00F264FC"/>
    <w:rsid w:val="00F26CCF"/>
    <w:rsid w:val="00F307AA"/>
    <w:rsid w:val="00F318CC"/>
    <w:rsid w:val="00F320DF"/>
    <w:rsid w:val="00F334CC"/>
    <w:rsid w:val="00F339CD"/>
    <w:rsid w:val="00F34E8B"/>
    <w:rsid w:val="00F355AA"/>
    <w:rsid w:val="00F35AB4"/>
    <w:rsid w:val="00F36CE7"/>
    <w:rsid w:val="00F40B7F"/>
    <w:rsid w:val="00F4297B"/>
    <w:rsid w:val="00F42A42"/>
    <w:rsid w:val="00F43094"/>
    <w:rsid w:val="00F43B98"/>
    <w:rsid w:val="00F43CE7"/>
    <w:rsid w:val="00F445F3"/>
    <w:rsid w:val="00F45EA0"/>
    <w:rsid w:val="00F465C0"/>
    <w:rsid w:val="00F46843"/>
    <w:rsid w:val="00F46A04"/>
    <w:rsid w:val="00F46AA6"/>
    <w:rsid w:val="00F47062"/>
    <w:rsid w:val="00F5012E"/>
    <w:rsid w:val="00F50A08"/>
    <w:rsid w:val="00F514E6"/>
    <w:rsid w:val="00F53E5E"/>
    <w:rsid w:val="00F540A3"/>
    <w:rsid w:val="00F5498B"/>
    <w:rsid w:val="00F5606B"/>
    <w:rsid w:val="00F561A0"/>
    <w:rsid w:val="00F56760"/>
    <w:rsid w:val="00F571F6"/>
    <w:rsid w:val="00F57C0C"/>
    <w:rsid w:val="00F57DF7"/>
    <w:rsid w:val="00F634F5"/>
    <w:rsid w:val="00F641C2"/>
    <w:rsid w:val="00F644A9"/>
    <w:rsid w:val="00F6464A"/>
    <w:rsid w:val="00F6486F"/>
    <w:rsid w:val="00F649C8"/>
    <w:rsid w:val="00F6548B"/>
    <w:rsid w:val="00F65B5F"/>
    <w:rsid w:val="00F66BBB"/>
    <w:rsid w:val="00F67671"/>
    <w:rsid w:val="00F701FC"/>
    <w:rsid w:val="00F7073A"/>
    <w:rsid w:val="00F710B3"/>
    <w:rsid w:val="00F71824"/>
    <w:rsid w:val="00F72057"/>
    <w:rsid w:val="00F7286C"/>
    <w:rsid w:val="00F72EF9"/>
    <w:rsid w:val="00F74BCD"/>
    <w:rsid w:val="00F74FE6"/>
    <w:rsid w:val="00F75DFE"/>
    <w:rsid w:val="00F770B5"/>
    <w:rsid w:val="00F80704"/>
    <w:rsid w:val="00F80755"/>
    <w:rsid w:val="00F80793"/>
    <w:rsid w:val="00F808DB"/>
    <w:rsid w:val="00F82B8C"/>
    <w:rsid w:val="00F82D37"/>
    <w:rsid w:val="00F8464D"/>
    <w:rsid w:val="00F84793"/>
    <w:rsid w:val="00F85777"/>
    <w:rsid w:val="00F85B36"/>
    <w:rsid w:val="00F86429"/>
    <w:rsid w:val="00F87389"/>
    <w:rsid w:val="00F87A63"/>
    <w:rsid w:val="00F9006E"/>
    <w:rsid w:val="00F91E3F"/>
    <w:rsid w:val="00F92106"/>
    <w:rsid w:val="00F930CF"/>
    <w:rsid w:val="00F9353F"/>
    <w:rsid w:val="00F9361A"/>
    <w:rsid w:val="00F93A7E"/>
    <w:rsid w:val="00F93D02"/>
    <w:rsid w:val="00F9434D"/>
    <w:rsid w:val="00F950E7"/>
    <w:rsid w:val="00F95CE6"/>
    <w:rsid w:val="00F96662"/>
    <w:rsid w:val="00F97B30"/>
    <w:rsid w:val="00FA002B"/>
    <w:rsid w:val="00FA104B"/>
    <w:rsid w:val="00FA2B64"/>
    <w:rsid w:val="00FA2BB2"/>
    <w:rsid w:val="00FA2C7C"/>
    <w:rsid w:val="00FA367E"/>
    <w:rsid w:val="00FA3704"/>
    <w:rsid w:val="00FA448C"/>
    <w:rsid w:val="00FA45F0"/>
    <w:rsid w:val="00FA53E5"/>
    <w:rsid w:val="00FA5ABC"/>
    <w:rsid w:val="00FA6000"/>
    <w:rsid w:val="00FA785B"/>
    <w:rsid w:val="00FB03A4"/>
    <w:rsid w:val="00FB0E2E"/>
    <w:rsid w:val="00FB1455"/>
    <w:rsid w:val="00FB1BE6"/>
    <w:rsid w:val="00FB250D"/>
    <w:rsid w:val="00FB272D"/>
    <w:rsid w:val="00FB2905"/>
    <w:rsid w:val="00FB39D8"/>
    <w:rsid w:val="00FB4351"/>
    <w:rsid w:val="00FB459D"/>
    <w:rsid w:val="00FB4615"/>
    <w:rsid w:val="00FB47D1"/>
    <w:rsid w:val="00FB65BE"/>
    <w:rsid w:val="00FB6C4C"/>
    <w:rsid w:val="00FB7788"/>
    <w:rsid w:val="00FB7A28"/>
    <w:rsid w:val="00FC0749"/>
    <w:rsid w:val="00FC0B89"/>
    <w:rsid w:val="00FC1781"/>
    <w:rsid w:val="00FC240B"/>
    <w:rsid w:val="00FC3DE0"/>
    <w:rsid w:val="00FC412B"/>
    <w:rsid w:val="00FC509F"/>
    <w:rsid w:val="00FC5607"/>
    <w:rsid w:val="00FC6CBF"/>
    <w:rsid w:val="00FC7484"/>
    <w:rsid w:val="00FC7A0D"/>
    <w:rsid w:val="00FD02B3"/>
    <w:rsid w:val="00FD1894"/>
    <w:rsid w:val="00FD1CCA"/>
    <w:rsid w:val="00FD3813"/>
    <w:rsid w:val="00FD41CE"/>
    <w:rsid w:val="00FD4A00"/>
    <w:rsid w:val="00FD4C6C"/>
    <w:rsid w:val="00FD522C"/>
    <w:rsid w:val="00FD54D1"/>
    <w:rsid w:val="00FD79A3"/>
    <w:rsid w:val="00FE0208"/>
    <w:rsid w:val="00FE0630"/>
    <w:rsid w:val="00FE0A81"/>
    <w:rsid w:val="00FE0BA4"/>
    <w:rsid w:val="00FE0C08"/>
    <w:rsid w:val="00FE1E0E"/>
    <w:rsid w:val="00FE22EF"/>
    <w:rsid w:val="00FE2537"/>
    <w:rsid w:val="00FE2621"/>
    <w:rsid w:val="00FE264E"/>
    <w:rsid w:val="00FE3A39"/>
    <w:rsid w:val="00FE3DB5"/>
    <w:rsid w:val="00FE3FC8"/>
    <w:rsid w:val="00FE4271"/>
    <w:rsid w:val="00FE4573"/>
    <w:rsid w:val="00FE602A"/>
    <w:rsid w:val="00FE679D"/>
    <w:rsid w:val="00FE76CA"/>
    <w:rsid w:val="00FF1F02"/>
    <w:rsid w:val="00FF2008"/>
    <w:rsid w:val="00FF200F"/>
    <w:rsid w:val="00FF34A7"/>
    <w:rsid w:val="00FF39F9"/>
    <w:rsid w:val="00FF3B1D"/>
    <w:rsid w:val="00FF4CA6"/>
    <w:rsid w:val="00FF6F1B"/>
    <w:rsid w:val="00FF74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3A5C3D"/>
  <w15:docId w15:val="{446F57FF-0156-AF42-B89B-BAEDBC21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460"/>
    <w:pPr>
      <w:spacing w:after="0" w:line="240" w:lineRule="auto"/>
    </w:pPr>
    <w:rPr>
      <w:rFonts w:eastAsia="Times New Roman"/>
    </w:rPr>
  </w:style>
  <w:style w:type="paragraph" w:styleId="Heading1">
    <w:name w:val="heading 1"/>
    <w:basedOn w:val="Normal"/>
    <w:next w:val="Normal"/>
    <w:link w:val="Heading1Char"/>
    <w:uiPriority w:val="9"/>
    <w:qFormat/>
    <w:rsid w:val="009D6D4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438E"/>
    <w:pPr>
      <w:keepNext/>
      <w:keepLines/>
      <w:spacing w:after="120" w:line="276" w:lineRule="auto"/>
      <w:contextualSpacing/>
      <w:outlineLvl w:val="1"/>
    </w:pPr>
    <w:rPr>
      <w:rFonts w:ascii="Times" w:eastAsiaTheme="majorEastAsia" w:hAnsi="Times"/>
      <w:b/>
      <w:bCs/>
      <w:color w:val="4F81BD" w:themeColor="accent1"/>
    </w:rPr>
  </w:style>
  <w:style w:type="paragraph" w:styleId="Heading3">
    <w:name w:val="heading 3"/>
    <w:basedOn w:val="Normal"/>
    <w:next w:val="Normal"/>
    <w:link w:val="Heading3Char"/>
    <w:uiPriority w:val="9"/>
    <w:unhideWhenUsed/>
    <w:qFormat/>
    <w:rsid w:val="009D6D4D"/>
    <w:pPr>
      <w:keepNext/>
      <w:keepLines/>
      <w:spacing w:before="20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unhideWhenUsed/>
    <w:qFormat/>
    <w:rsid w:val="00200312"/>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paragraph" w:styleId="Heading5">
    <w:name w:val="heading 5"/>
    <w:basedOn w:val="Normal"/>
    <w:next w:val="Normal"/>
    <w:link w:val="Heading5Char"/>
    <w:uiPriority w:val="9"/>
    <w:unhideWhenUsed/>
    <w:qFormat/>
    <w:rsid w:val="008B26B8"/>
    <w:pPr>
      <w:keepNext/>
      <w:keepLines/>
      <w:spacing w:before="200" w:line="276" w:lineRule="auto"/>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iPriority w:val="9"/>
    <w:unhideWhenUsed/>
    <w:qFormat/>
    <w:rsid w:val="00164033"/>
    <w:pPr>
      <w:keepNext/>
      <w:keepLines/>
      <w:spacing w:before="40" w:line="276" w:lineRule="auto"/>
      <w:outlineLvl w:val="5"/>
    </w:pPr>
    <w:rPr>
      <w:rFonts w:asciiTheme="majorHAnsi" w:eastAsiaTheme="majorEastAsia" w:hAnsiTheme="majorHAnsi" w:cstheme="majorBidi"/>
      <w:color w:val="243F60"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D4D"/>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rsid w:val="00AF438E"/>
    <w:rPr>
      <w:rFonts w:ascii="Times" w:eastAsiaTheme="majorEastAsia" w:hAnsi="Times"/>
      <w:b/>
      <w:bCs/>
      <w:color w:val="4F81BD" w:themeColor="accent1"/>
    </w:rPr>
  </w:style>
  <w:style w:type="character" w:customStyle="1" w:styleId="Heading3Char">
    <w:name w:val="Heading 3 Char"/>
    <w:basedOn w:val="DefaultParagraphFont"/>
    <w:link w:val="Heading3"/>
    <w:uiPriority w:val="9"/>
    <w:rsid w:val="009D6D4D"/>
    <w:rPr>
      <w:rFonts w:asciiTheme="majorHAnsi" w:eastAsiaTheme="majorEastAsia" w:hAnsiTheme="majorHAnsi" w:cstheme="majorBidi"/>
      <w:b/>
      <w:bCs/>
      <w:color w:val="4F81BD" w:themeColor="accent1"/>
      <w:sz w:val="20"/>
      <w:szCs w:val="20"/>
      <w:lang w:eastAsia="en-GB"/>
    </w:rPr>
  </w:style>
  <w:style w:type="paragraph" w:styleId="Title">
    <w:name w:val="Title"/>
    <w:basedOn w:val="Normal"/>
    <w:next w:val="Normal"/>
    <w:link w:val="TitleChar"/>
    <w:qFormat/>
    <w:rsid w:val="009D6D4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D6D4D"/>
    <w:rPr>
      <w:rFonts w:asciiTheme="majorHAnsi" w:eastAsiaTheme="majorEastAsia" w:hAnsiTheme="majorHAnsi" w:cstheme="majorBidi"/>
      <w:color w:val="17365D" w:themeColor="text2" w:themeShade="BF"/>
      <w:spacing w:val="5"/>
      <w:kern w:val="28"/>
      <w:sz w:val="52"/>
      <w:szCs w:val="52"/>
      <w:lang w:eastAsia="en-GB"/>
    </w:rPr>
  </w:style>
  <w:style w:type="character" w:styleId="Emphasis">
    <w:name w:val="Emphasis"/>
    <w:basedOn w:val="DefaultParagraphFont"/>
    <w:uiPriority w:val="20"/>
    <w:qFormat/>
    <w:rsid w:val="009D6D4D"/>
    <w:rPr>
      <w:i/>
      <w:iCs/>
    </w:rPr>
  </w:style>
  <w:style w:type="paragraph" w:styleId="ListParagraph">
    <w:name w:val="List Paragraph"/>
    <w:basedOn w:val="Normal"/>
    <w:uiPriority w:val="34"/>
    <w:qFormat/>
    <w:rsid w:val="009D6D4D"/>
    <w:pPr>
      <w:spacing w:after="200" w:line="276" w:lineRule="auto"/>
      <w:ind w:left="720"/>
      <w:contextualSpacing/>
    </w:pPr>
    <w:rPr>
      <w:rFonts w:eastAsiaTheme="minorHAnsi" w:cstheme="minorBidi"/>
      <w:szCs w:val="22"/>
    </w:rPr>
  </w:style>
  <w:style w:type="paragraph" w:styleId="NormalWeb">
    <w:name w:val="Normal (Web)"/>
    <w:basedOn w:val="Normal"/>
    <w:uiPriority w:val="99"/>
    <w:rsid w:val="00C4478F"/>
    <w:pPr>
      <w:spacing w:before="100" w:beforeAutospacing="1" w:after="100" w:afterAutospacing="1"/>
    </w:pPr>
    <w:rPr>
      <w:lang w:eastAsia="en-GB"/>
    </w:rPr>
  </w:style>
  <w:style w:type="paragraph" w:styleId="FootnoteText">
    <w:name w:val="footnote text"/>
    <w:basedOn w:val="Normal"/>
    <w:link w:val="FootnoteTextChar"/>
    <w:uiPriority w:val="99"/>
    <w:rsid w:val="00C4478F"/>
    <w:rPr>
      <w:lang w:eastAsia="en-GB"/>
    </w:rPr>
  </w:style>
  <w:style w:type="character" w:customStyle="1" w:styleId="FootnoteTextChar">
    <w:name w:val="Footnote Text Char"/>
    <w:basedOn w:val="DefaultParagraphFont"/>
    <w:link w:val="FootnoteText"/>
    <w:uiPriority w:val="99"/>
    <w:rsid w:val="00C4478F"/>
    <w:rPr>
      <w:rFonts w:eastAsia="Times New Roman"/>
      <w:lang w:eastAsia="en-GB"/>
    </w:rPr>
  </w:style>
  <w:style w:type="character" w:styleId="FootnoteReference">
    <w:name w:val="footnote reference"/>
    <w:uiPriority w:val="99"/>
    <w:rsid w:val="00C4478F"/>
    <w:rPr>
      <w:vertAlign w:val="superscript"/>
    </w:rPr>
  </w:style>
  <w:style w:type="paragraph" w:styleId="HTMLPreformatted">
    <w:name w:val="HTML Preformatted"/>
    <w:basedOn w:val="Normal"/>
    <w:link w:val="HTMLPreformattedChar"/>
    <w:uiPriority w:val="99"/>
    <w:unhideWhenUsed/>
    <w:rsid w:val="00C44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C4478F"/>
    <w:rPr>
      <w:rFonts w:ascii="Courier New" w:eastAsia="Times New Roman" w:hAnsi="Courier New" w:cs="Courier New"/>
      <w:sz w:val="20"/>
      <w:szCs w:val="20"/>
      <w:lang w:eastAsia="en-GB"/>
    </w:rPr>
  </w:style>
  <w:style w:type="character" w:customStyle="1" w:styleId="apple-converted-space">
    <w:name w:val="apple-converted-space"/>
    <w:rsid w:val="00C4478F"/>
  </w:style>
  <w:style w:type="character" w:styleId="Hyperlink">
    <w:name w:val="Hyperlink"/>
    <w:basedOn w:val="DefaultParagraphFont"/>
    <w:uiPriority w:val="99"/>
    <w:rsid w:val="00C4478F"/>
    <w:rPr>
      <w:color w:val="0000FF" w:themeColor="hyperlink"/>
      <w:u w:val="single"/>
    </w:rPr>
  </w:style>
  <w:style w:type="paragraph" w:styleId="BalloonText">
    <w:name w:val="Balloon Text"/>
    <w:basedOn w:val="Normal"/>
    <w:link w:val="BalloonTextChar"/>
    <w:uiPriority w:val="99"/>
    <w:semiHidden/>
    <w:unhideWhenUsed/>
    <w:rsid w:val="00C4478F"/>
    <w:rPr>
      <w:rFonts w:ascii="Tahoma" w:hAnsi="Tahoma" w:cs="Tahoma"/>
      <w:sz w:val="16"/>
      <w:szCs w:val="16"/>
    </w:rPr>
  </w:style>
  <w:style w:type="character" w:customStyle="1" w:styleId="BalloonTextChar">
    <w:name w:val="Balloon Text Char"/>
    <w:basedOn w:val="DefaultParagraphFont"/>
    <w:link w:val="BalloonText"/>
    <w:uiPriority w:val="99"/>
    <w:semiHidden/>
    <w:rsid w:val="00C4478F"/>
    <w:rPr>
      <w:rFonts w:ascii="Tahoma" w:hAnsi="Tahoma" w:cs="Tahoma"/>
      <w:sz w:val="16"/>
      <w:szCs w:val="16"/>
    </w:rPr>
  </w:style>
  <w:style w:type="character" w:customStyle="1" w:styleId="Heading4Char">
    <w:name w:val="Heading 4 Char"/>
    <w:basedOn w:val="DefaultParagraphFont"/>
    <w:link w:val="Heading4"/>
    <w:uiPriority w:val="9"/>
    <w:rsid w:val="00200312"/>
    <w:rPr>
      <w:rFonts w:asciiTheme="majorHAnsi" w:eastAsiaTheme="majorEastAsia" w:hAnsiTheme="majorHAnsi" w:cstheme="majorBidi"/>
      <w:b/>
      <w:bCs/>
      <w:i/>
      <w:iCs/>
      <w:color w:val="4F81BD" w:themeColor="accent1"/>
      <w:szCs w:val="22"/>
    </w:rPr>
  </w:style>
  <w:style w:type="paragraph" w:styleId="DocumentMap">
    <w:name w:val="Document Map"/>
    <w:basedOn w:val="Normal"/>
    <w:link w:val="DocumentMapChar"/>
    <w:uiPriority w:val="99"/>
    <w:semiHidden/>
    <w:unhideWhenUsed/>
    <w:rsid w:val="00EE30E9"/>
  </w:style>
  <w:style w:type="character" w:customStyle="1" w:styleId="DocumentMapChar">
    <w:name w:val="Document Map Char"/>
    <w:basedOn w:val="DefaultParagraphFont"/>
    <w:link w:val="DocumentMap"/>
    <w:uiPriority w:val="99"/>
    <w:semiHidden/>
    <w:rsid w:val="00EE30E9"/>
  </w:style>
  <w:style w:type="paragraph" w:styleId="TOCHeading">
    <w:name w:val="TOC Heading"/>
    <w:basedOn w:val="Heading1"/>
    <w:next w:val="Normal"/>
    <w:uiPriority w:val="39"/>
    <w:unhideWhenUsed/>
    <w:qFormat/>
    <w:rsid w:val="001B1D16"/>
    <w:pPr>
      <w:outlineLvl w:val="9"/>
    </w:pPr>
    <w:rPr>
      <w:lang w:val="en-US"/>
    </w:rPr>
  </w:style>
  <w:style w:type="paragraph" w:styleId="TOC1">
    <w:name w:val="toc 1"/>
    <w:basedOn w:val="Normal"/>
    <w:next w:val="Normal"/>
    <w:autoRedefine/>
    <w:uiPriority w:val="39"/>
    <w:unhideWhenUsed/>
    <w:rsid w:val="00482D74"/>
    <w:pPr>
      <w:tabs>
        <w:tab w:val="left" w:pos="480"/>
        <w:tab w:val="right" w:leader="dot" w:pos="9016"/>
      </w:tabs>
      <w:spacing w:before="120" w:line="276" w:lineRule="auto"/>
    </w:pPr>
    <w:rPr>
      <w:rFonts w:asciiTheme="minorHAnsi" w:eastAsiaTheme="minorHAnsi" w:hAnsiTheme="minorHAnsi" w:cstheme="minorBidi"/>
      <w:b/>
      <w:bCs/>
    </w:rPr>
  </w:style>
  <w:style w:type="paragraph" w:styleId="TOC2">
    <w:name w:val="toc 2"/>
    <w:basedOn w:val="Normal"/>
    <w:next w:val="Normal"/>
    <w:autoRedefine/>
    <w:uiPriority w:val="39"/>
    <w:unhideWhenUsed/>
    <w:rsid w:val="001B1D16"/>
    <w:pPr>
      <w:spacing w:line="276" w:lineRule="auto"/>
      <w:ind w:left="240"/>
    </w:pPr>
    <w:rPr>
      <w:rFonts w:asciiTheme="minorHAnsi" w:eastAsiaTheme="minorHAnsi" w:hAnsiTheme="minorHAnsi" w:cstheme="minorBidi"/>
      <w:b/>
      <w:bCs/>
      <w:sz w:val="22"/>
      <w:szCs w:val="22"/>
    </w:rPr>
  </w:style>
  <w:style w:type="paragraph" w:styleId="TOC3">
    <w:name w:val="toc 3"/>
    <w:basedOn w:val="Normal"/>
    <w:next w:val="Normal"/>
    <w:autoRedefine/>
    <w:uiPriority w:val="39"/>
    <w:unhideWhenUsed/>
    <w:rsid w:val="001B1D16"/>
    <w:pPr>
      <w:spacing w:line="276" w:lineRule="auto"/>
      <w:ind w:left="480"/>
    </w:pPr>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1B1D16"/>
    <w:pPr>
      <w:spacing w:line="276" w:lineRule="auto"/>
      <w:ind w:left="720"/>
    </w:pPr>
    <w:rPr>
      <w:rFonts w:asciiTheme="minorHAnsi" w:eastAsiaTheme="minorHAnsi" w:hAnsiTheme="minorHAnsi" w:cstheme="minorBidi"/>
      <w:sz w:val="20"/>
      <w:szCs w:val="20"/>
    </w:rPr>
  </w:style>
  <w:style w:type="paragraph" w:styleId="TOC5">
    <w:name w:val="toc 5"/>
    <w:basedOn w:val="Normal"/>
    <w:next w:val="Normal"/>
    <w:autoRedefine/>
    <w:uiPriority w:val="39"/>
    <w:unhideWhenUsed/>
    <w:rsid w:val="001B1D16"/>
    <w:pPr>
      <w:spacing w:line="276" w:lineRule="auto"/>
      <w:ind w:left="960"/>
    </w:pPr>
    <w:rPr>
      <w:rFonts w:asciiTheme="minorHAnsi" w:eastAsiaTheme="minorHAnsi" w:hAnsiTheme="minorHAnsi" w:cstheme="minorBidi"/>
      <w:sz w:val="20"/>
      <w:szCs w:val="20"/>
    </w:rPr>
  </w:style>
  <w:style w:type="paragraph" w:styleId="TOC6">
    <w:name w:val="toc 6"/>
    <w:basedOn w:val="Normal"/>
    <w:next w:val="Normal"/>
    <w:autoRedefine/>
    <w:uiPriority w:val="39"/>
    <w:unhideWhenUsed/>
    <w:rsid w:val="001B1D16"/>
    <w:pPr>
      <w:spacing w:line="276" w:lineRule="auto"/>
      <w:ind w:left="1200"/>
    </w:pPr>
    <w:rPr>
      <w:rFonts w:asciiTheme="minorHAnsi" w:eastAsiaTheme="minorHAnsi" w:hAnsiTheme="minorHAnsi" w:cstheme="minorBidi"/>
      <w:sz w:val="20"/>
      <w:szCs w:val="20"/>
    </w:rPr>
  </w:style>
  <w:style w:type="paragraph" w:styleId="TOC7">
    <w:name w:val="toc 7"/>
    <w:basedOn w:val="Normal"/>
    <w:next w:val="Normal"/>
    <w:autoRedefine/>
    <w:uiPriority w:val="39"/>
    <w:unhideWhenUsed/>
    <w:rsid w:val="001B1D16"/>
    <w:pPr>
      <w:spacing w:line="276" w:lineRule="auto"/>
      <w:ind w:left="1440"/>
    </w:pPr>
    <w:rPr>
      <w:rFonts w:asciiTheme="minorHAnsi" w:eastAsiaTheme="minorHAnsi" w:hAnsiTheme="minorHAnsi" w:cstheme="minorBidi"/>
      <w:sz w:val="20"/>
      <w:szCs w:val="20"/>
    </w:rPr>
  </w:style>
  <w:style w:type="paragraph" w:styleId="TOC8">
    <w:name w:val="toc 8"/>
    <w:basedOn w:val="Normal"/>
    <w:next w:val="Normal"/>
    <w:autoRedefine/>
    <w:uiPriority w:val="39"/>
    <w:unhideWhenUsed/>
    <w:rsid w:val="001B1D16"/>
    <w:pPr>
      <w:spacing w:line="276" w:lineRule="auto"/>
      <w:ind w:left="1680"/>
    </w:pPr>
    <w:rPr>
      <w:rFonts w:asciiTheme="minorHAnsi" w:eastAsiaTheme="minorHAnsi" w:hAnsiTheme="minorHAnsi" w:cstheme="minorBidi"/>
      <w:sz w:val="20"/>
      <w:szCs w:val="20"/>
    </w:rPr>
  </w:style>
  <w:style w:type="paragraph" w:styleId="TOC9">
    <w:name w:val="toc 9"/>
    <w:basedOn w:val="Normal"/>
    <w:next w:val="Normal"/>
    <w:autoRedefine/>
    <w:uiPriority w:val="39"/>
    <w:unhideWhenUsed/>
    <w:rsid w:val="001B1D16"/>
    <w:pPr>
      <w:spacing w:line="276" w:lineRule="auto"/>
      <w:ind w:left="1920"/>
    </w:pPr>
    <w:rPr>
      <w:rFonts w:asciiTheme="minorHAnsi" w:eastAsiaTheme="minorHAnsi" w:hAnsiTheme="minorHAnsi" w:cstheme="minorBidi"/>
      <w:sz w:val="20"/>
      <w:szCs w:val="20"/>
    </w:rPr>
  </w:style>
  <w:style w:type="paragraph" w:styleId="EndnoteText">
    <w:name w:val="endnote text"/>
    <w:basedOn w:val="Normal"/>
    <w:link w:val="EndnoteTextChar"/>
    <w:uiPriority w:val="99"/>
    <w:unhideWhenUsed/>
    <w:rsid w:val="005430CD"/>
    <w:rPr>
      <w:rFonts w:eastAsiaTheme="minorHAnsi" w:cstheme="minorBidi"/>
    </w:rPr>
  </w:style>
  <w:style w:type="character" w:customStyle="1" w:styleId="EndnoteTextChar">
    <w:name w:val="Endnote Text Char"/>
    <w:basedOn w:val="DefaultParagraphFont"/>
    <w:link w:val="EndnoteText"/>
    <w:uiPriority w:val="99"/>
    <w:rsid w:val="005430CD"/>
    <w:rPr>
      <w:rFonts w:cstheme="minorBidi"/>
    </w:rPr>
  </w:style>
  <w:style w:type="character" w:styleId="EndnoteReference">
    <w:name w:val="endnote reference"/>
    <w:basedOn w:val="DefaultParagraphFont"/>
    <w:uiPriority w:val="99"/>
    <w:unhideWhenUsed/>
    <w:rsid w:val="005430CD"/>
    <w:rPr>
      <w:vertAlign w:val="superscript"/>
    </w:rPr>
  </w:style>
  <w:style w:type="character" w:customStyle="1" w:styleId="a">
    <w:name w:val="a"/>
    <w:basedOn w:val="DefaultParagraphFont"/>
    <w:rsid w:val="006D1350"/>
  </w:style>
  <w:style w:type="character" w:customStyle="1" w:styleId="l7">
    <w:name w:val="l7"/>
    <w:basedOn w:val="DefaultParagraphFont"/>
    <w:rsid w:val="006D1350"/>
  </w:style>
  <w:style w:type="character" w:customStyle="1" w:styleId="l8">
    <w:name w:val="l8"/>
    <w:basedOn w:val="DefaultParagraphFont"/>
    <w:rsid w:val="006D1350"/>
  </w:style>
  <w:style w:type="character" w:customStyle="1" w:styleId="l6">
    <w:name w:val="l6"/>
    <w:basedOn w:val="DefaultParagraphFont"/>
    <w:rsid w:val="006D1350"/>
  </w:style>
  <w:style w:type="character" w:customStyle="1" w:styleId="field">
    <w:name w:val="field"/>
    <w:basedOn w:val="DefaultParagraphFont"/>
    <w:rsid w:val="00447E22"/>
  </w:style>
  <w:style w:type="paragraph" w:styleId="Footer">
    <w:name w:val="footer"/>
    <w:basedOn w:val="Normal"/>
    <w:link w:val="FooterChar"/>
    <w:uiPriority w:val="99"/>
    <w:unhideWhenUsed/>
    <w:rsid w:val="00A145DD"/>
    <w:pPr>
      <w:tabs>
        <w:tab w:val="center" w:pos="4513"/>
        <w:tab w:val="right" w:pos="9026"/>
      </w:tabs>
    </w:pPr>
    <w:rPr>
      <w:rFonts w:eastAsiaTheme="minorHAnsi" w:cstheme="minorBidi"/>
      <w:szCs w:val="22"/>
    </w:rPr>
  </w:style>
  <w:style w:type="character" w:customStyle="1" w:styleId="FooterChar">
    <w:name w:val="Footer Char"/>
    <w:basedOn w:val="DefaultParagraphFont"/>
    <w:link w:val="Footer"/>
    <w:uiPriority w:val="99"/>
    <w:rsid w:val="00A145DD"/>
    <w:rPr>
      <w:rFonts w:cstheme="minorBidi"/>
      <w:szCs w:val="22"/>
    </w:rPr>
  </w:style>
  <w:style w:type="character" w:styleId="PageNumber">
    <w:name w:val="page number"/>
    <w:basedOn w:val="DefaultParagraphFont"/>
    <w:uiPriority w:val="99"/>
    <w:semiHidden/>
    <w:unhideWhenUsed/>
    <w:rsid w:val="00A145DD"/>
  </w:style>
  <w:style w:type="character" w:customStyle="1" w:styleId="Heading5Char">
    <w:name w:val="Heading 5 Char"/>
    <w:basedOn w:val="DefaultParagraphFont"/>
    <w:link w:val="Heading5"/>
    <w:uiPriority w:val="9"/>
    <w:rsid w:val="008B26B8"/>
    <w:rPr>
      <w:rFonts w:asciiTheme="majorHAnsi" w:eastAsiaTheme="majorEastAsia" w:hAnsiTheme="majorHAnsi" w:cstheme="majorBidi"/>
      <w:color w:val="243F60" w:themeColor="accent1" w:themeShade="7F"/>
      <w:szCs w:val="22"/>
    </w:rPr>
  </w:style>
  <w:style w:type="character" w:styleId="Strong">
    <w:name w:val="Strong"/>
    <w:basedOn w:val="DefaultParagraphFont"/>
    <w:uiPriority w:val="22"/>
    <w:qFormat/>
    <w:rsid w:val="006B0455"/>
    <w:rPr>
      <w:b/>
      <w:bCs/>
    </w:rPr>
  </w:style>
  <w:style w:type="paragraph" w:customStyle="1" w:styleId="Default">
    <w:name w:val="Default"/>
    <w:rsid w:val="00BB65BF"/>
    <w:pPr>
      <w:autoSpaceDE w:val="0"/>
      <w:autoSpaceDN w:val="0"/>
      <w:adjustRightInd w:val="0"/>
      <w:spacing w:after="0" w:line="240" w:lineRule="auto"/>
    </w:pPr>
    <w:rPr>
      <w:rFonts w:ascii="Palatino Linotype" w:hAnsi="Palatino Linotype" w:cs="Palatino Linotype"/>
      <w:color w:val="000000"/>
    </w:rPr>
  </w:style>
  <w:style w:type="paragraph" w:styleId="Revision">
    <w:name w:val="Revision"/>
    <w:hidden/>
    <w:uiPriority w:val="99"/>
    <w:semiHidden/>
    <w:rsid w:val="00E758EA"/>
    <w:pPr>
      <w:spacing w:after="0" w:line="240" w:lineRule="auto"/>
    </w:pPr>
    <w:rPr>
      <w:rFonts w:cstheme="minorBidi"/>
      <w:szCs w:val="22"/>
    </w:rPr>
  </w:style>
  <w:style w:type="character" w:styleId="FollowedHyperlink">
    <w:name w:val="FollowedHyperlink"/>
    <w:basedOn w:val="DefaultParagraphFont"/>
    <w:uiPriority w:val="99"/>
    <w:semiHidden/>
    <w:unhideWhenUsed/>
    <w:rsid w:val="000D28D9"/>
    <w:rPr>
      <w:color w:val="800080" w:themeColor="followedHyperlink"/>
      <w:u w:val="single"/>
    </w:rPr>
  </w:style>
  <w:style w:type="numbering" w:customStyle="1" w:styleId="Style1">
    <w:name w:val="Style1"/>
    <w:uiPriority w:val="99"/>
    <w:rsid w:val="0091666B"/>
    <w:pPr>
      <w:numPr>
        <w:numId w:val="4"/>
      </w:numPr>
    </w:pPr>
  </w:style>
  <w:style w:type="character" w:customStyle="1" w:styleId="Heading6Char">
    <w:name w:val="Heading 6 Char"/>
    <w:basedOn w:val="DefaultParagraphFont"/>
    <w:link w:val="Heading6"/>
    <w:uiPriority w:val="9"/>
    <w:rsid w:val="00164033"/>
    <w:rPr>
      <w:rFonts w:asciiTheme="majorHAnsi" w:eastAsiaTheme="majorEastAsia" w:hAnsiTheme="majorHAnsi" w:cstheme="majorBidi"/>
      <w:color w:val="243F60" w:themeColor="accent1" w:themeShade="7F"/>
      <w:szCs w:val="22"/>
    </w:rPr>
  </w:style>
  <w:style w:type="character" w:styleId="CommentReference">
    <w:name w:val="annotation reference"/>
    <w:basedOn w:val="DefaultParagraphFont"/>
    <w:uiPriority w:val="99"/>
    <w:semiHidden/>
    <w:unhideWhenUsed/>
    <w:rsid w:val="00D45B64"/>
    <w:rPr>
      <w:sz w:val="16"/>
      <w:szCs w:val="16"/>
    </w:rPr>
  </w:style>
  <w:style w:type="paragraph" w:styleId="CommentText">
    <w:name w:val="annotation text"/>
    <w:basedOn w:val="Normal"/>
    <w:link w:val="CommentTextChar"/>
    <w:uiPriority w:val="99"/>
    <w:semiHidden/>
    <w:unhideWhenUsed/>
    <w:rsid w:val="00D45B64"/>
    <w:rPr>
      <w:sz w:val="20"/>
      <w:szCs w:val="20"/>
    </w:rPr>
  </w:style>
  <w:style w:type="character" w:customStyle="1" w:styleId="CommentTextChar">
    <w:name w:val="Comment Text Char"/>
    <w:basedOn w:val="DefaultParagraphFont"/>
    <w:link w:val="CommentText"/>
    <w:uiPriority w:val="99"/>
    <w:semiHidden/>
    <w:rsid w:val="00D45B64"/>
    <w:rPr>
      <w:sz w:val="20"/>
      <w:szCs w:val="20"/>
      <w:lang w:eastAsia="en-GB"/>
    </w:rPr>
  </w:style>
  <w:style w:type="paragraph" w:styleId="CommentSubject">
    <w:name w:val="annotation subject"/>
    <w:basedOn w:val="CommentText"/>
    <w:next w:val="CommentText"/>
    <w:link w:val="CommentSubjectChar"/>
    <w:uiPriority w:val="99"/>
    <w:semiHidden/>
    <w:unhideWhenUsed/>
    <w:rsid w:val="00D45B64"/>
    <w:rPr>
      <w:b/>
      <w:bCs/>
    </w:rPr>
  </w:style>
  <w:style w:type="character" w:customStyle="1" w:styleId="CommentSubjectChar">
    <w:name w:val="Comment Subject Char"/>
    <w:basedOn w:val="CommentTextChar"/>
    <w:link w:val="CommentSubject"/>
    <w:uiPriority w:val="99"/>
    <w:semiHidden/>
    <w:rsid w:val="00D45B64"/>
    <w:rPr>
      <w:b/>
      <w:bCs/>
      <w:sz w:val="20"/>
      <w:szCs w:val="20"/>
      <w:lang w:eastAsia="en-GB"/>
    </w:rPr>
  </w:style>
  <w:style w:type="character" w:customStyle="1" w:styleId="UnresolvedMention1">
    <w:name w:val="Unresolved Mention1"/>
    <w:basedOn w:val="DefaultParagraphFont"/>
    <w:uiPriority w:val="99"/>
    <w:semiHidden/>
    <w:unhideWhenUsed/>
    <w:rsid w:val="0063239D"/>
    <w:rPr>
      <w:color w:val="605E5C"/>
      <w:shd w:val="clear" w:color="auto" w:fill="E1DFDD"/>
    </w:rPr>
  </w:style>
  <w:style w:type="paragraph" w:customStyle="1" w:styleId="Subtitle1">
    <w:name w:val="Subtitle1"/>
    <w:basedOn w:val="Normal"/>
    <w:rsid w:val="0063239D"/>
    <w:pPr>
      <w:spacing w:before="100" w:beforeAutospacing="1" w:after="100" w:afterAutospacing="1"/>
    </w:pPr>
  </w:style>
  <w:style w:type="paragraph" w:styleId="Header">
    <w:name w:val="header"/>
    <w:basedOn w:val="Normal"/>
    <w:link w:val="HeaderChar"/>
    <w:uiPriority w:val="99"/>
    <w:unhideWhenUsed/>
    <w:rsid w:val="0036355B"/>
    <w:pPr>
      <w:tabs>
        <w:tab w:val="center" w:pos="4513"/>
        <w:tab w:val="right" w:pos="9026"/>
      </w:tabs>
    </w:pPr>
  </w:style>
  <w:style w:type="character" w:customStyle="1" w:styleId="HeaderChar">
    <w:name w:val="Header Char"/>
    <w:basedOn w:val="DefaultParagraphFont"/>
    <w:link w:val="Header"/>
    <w:uiPriority w:val="99"/>
    <w:rsid w:val="0036355B"/>
    <w:rPr>
      <w:rFonts w:eastAsia="Times New Roman"/>
    </w:rPr>
  </w:style>
  <w:style w:type="character" w:customStyle="1" w:styleId="UnresolvedMention2">
    <w:name w:val="Unresolved Mention2"/>
    <w:basedOn w:val="DefaultParagraphFont"/>
    <w:uiPriority w:val="99"/>
    <w:semiHidden/>
    <w:unhideWhenUsed/>
    <w:rsid w:val="00283EF3"/>
    <w:rPr>
      <w:color w:val="605E5C"/>
      <w:shd w:val="clear" w:color="auto" w:fill="E1DFDD"/>
    </w:rPr>
  </w:style>
  <w:style w:type="character" w:customStyle="1" w:styleId="UnresolvedMention3">
    <w:name w:val="Unresolved Mention3"/>
    <w:basedOn w:val="DefaultParagraphFont"/>
    <w:uiPriority w:val="99"/>
    <w:semiHidden/>
    <w:unhideWhenUsed/>
    <w:rsid w:val="00DB3BEC"/>
    <w:rPr>
      <w:color w:val="605E5C"/>
      <w:shd w:val="clear" w:color="auto" w:fill="E1DFDD"/>
    </w:rPr>
  </w:style>
  <w:style w:type="character" w:customStyle="1" w:styleId="st">
    <w:name w:val="st"/>
    <w:basedOn w:val="DefaultParagraphFont"/>
    <w:rsid w:val="00643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2953">
      <w:bodyDiv w:val="1"/>
      <w:marLeft w:val="0"/>
      <w:marRight w:val="0"/>
      <w:marTop w:val="0"/>
      <w:marBottom w:val="0"/>
      <w:divBdr>
        <w:top w:val="none" w:sz="0" w:space="0" w:color="auto"/>
        <w:left w:val="none" w:sz="0" w:space="0" w:color="auto"/>
        <w:bottom w:val="none" w:sz="0" w:space="0" w:color="auto"/>
        <w:right w:val="none" w:sz="0" w:space="0" w:color="auto"/>
      </w:divBdr>
      <w:divsChild>
        <w:div w:id="1056201604">
          <w:marLeft w:val="0"/>
          <w:marRight w:val="0"/>
          <w:marTop w:val="0"/>
          <w:marBottom w:val="0"/>
          <w:divBdr>
            <w:top w:val="none" w:sz="0" w:space="0" w:color="auto"/>
            <w:left w:val="none" w:sz="0" w:space="0" w:color="auto"/>
            <w:bottom w:val="none" w:sz="0" w:space="0" w:color="auto"/>
            <w:right w:val="none" w:sz="0" w:space="0" w:color="auto"/>
          </w:divBdr>
          <w:divsChild>
            <w:div w:id="1998606497">
              <w:marLeft w:val="0"/>
              <w:marRight w:val="0"/>
              <w:marTop w:val="0"/>
              <w:marBottom w:val="0"/>
              <w:divBdr>
                <w:top w:val="none" w:sz="0" w:space="0" w:color="auto"/>
                <w:left w:val="none" w:sz="0" w:space="0" w:color="auto"/>
                <w:bottom w:val="none" w:sz="0" w:space="0" w:color="auto"/>
                <w:right w:val="none" w:sz="0" w:space="0" w:color="auto"/>
              </w:divBdr>
              <w:divsChild>
                <w:div w:id="58191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029">
      <w:bodyDiv w:val="1"/>
      <w:marLeft w:val="0"/>
      <w:marRight w:val="0"/>
      <w:marTop w:val="0"/>
      <w:marBottom w:val="0"/>
      <w:divBdr>
        <w:top w:val="none" w:sz="0" w:space="0" w:color="auto"/>
        <w:left w:val="none" w:sz="0" w:space="0" w:color="auto"/>
        <w:bottom w:val="none" w:sz="0" w:space="0" w:color="auto"/>
        <w:right w:val="none" w:sz="0" w:space="0" w:color="auto"/>
      </w:divBdr>
      <w:divsChild>
        <w:div w:id="419520989">
          <w:marLeft w:val="0"/>
          <w:marRight w:val="0"/>
          <w:marTop w:val="0"/>
          <w:marBottom w:val="0"/>
          <w:divBdr>
            <w:top w:val="none" w:sz="0" w:space="0" w:color="auto"/>
            <w:left w:val="none" w:sz="0" w:space="0" w:color="auto"/>
            <w:bottom w:val="none" w:sz="0" w:space="0" w:color="auto"/>
            <w:right w:val="none" w:sz="0" w:space="0" w:color="auto"/>
          </w:divBdr>
          <w:divsChild>
            <w:div w:id="2021007209">
              <w:marLeft w:val="0"/>
              <w:marRight w:val="0"/>
              <w:marTop w:val="0"/>
              <w:marBottom w:val="0"/>
              <w:divBdr>
                <w:top w:val="none" w:sz="0" w:space="0" w:color="auto"/>
                <w:left w:val="none" w:sz="0" w:space="0" w:color="auto"/>
                <w:bottom w:val="none" w:sz="0" w:space="0" w:color="auto"/>
                <w:right w:val="none" w:sz="0" w:space="0" w:color="auto"/>
              </w:divBdr>
              <w:divsChild>
                <w:div w:id="14512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5155">
      <w:bodyDiv w:val="1"/>
      <w:marLeft w:val="0"/>
      <w:marRight w:val="0"/>
      <w:marTop w:val="0"/>
      <w:marBottom w:val="0"/>
      <w:divBdr>
        <w:top w:val="none" w:sz="0" w:space="0" w:color="auto"/>
        <w:left w:val="none" w:sz="0" w:space="0" w:color="auto"/>
        <w:bottom w:val="none" w:sz="0" w:space="0" w:color="auto"/>
        <w:right w:val="none" w:sz="0" w:space="0" w:color="auto"/>
      </w:divBdr>
    </w:div>
    <w:div w:id="79570637">
      <w:bodyDiv w:val="1"/>
      <w:marLeft w:val="0"/>
      <w:marRight w:val="0"/>
      <w:marTop w:val="0"/>
      <w:marBottom w:val="0"/>
      <w:divBdr>
        <w:top w:val="none" w:sz="0" w:space="0" w:color="auto"/>
        <w:left w:val="none" w:sz="0" w:space="0" w:color="auto"/>
        <w:bottom w:val="none" w:sz="0" w:space="0" w:color="auto"/>
        <w:right w:val="none" w:sz="0" w:space="0" w:color="auto"/>
      </w:divBdr>
      <w:divsChild>
        <w:div w:id="1627810493">
          <w:marLeft w:val="0"/>
          <w:marRight w:val="0"/>
          <w:marTop w:val="0"/>
          <w:marBottom w:val="0"/>
          <w:divBdr>
            <w:top w:val="none" w:sz="0" w:space="0" w:color="auto"/>
            <w:left w:val="none" w:sz="0" w:space="0" w:color="auto"/>
            <w:bottom w:val="none" w:sz="0" w:space="0" w:color="auto"/>
            <w:right w:val="none" w:sz="0" w:space="0" w:color="auto"/>
          </w:divBdr>
          <w:divsChild>
            <w:div w:id="1158687789">
              <w:marLeft w:val="0"/>
              <w:marRight w:val="0"/>
              <w:marTop w:val="0"/>
              <w:marBottom w:val="0"/>
              <w:divBdr>
                <w:top w:val="none" w:sz="0" w:space="0" w:color="auto"/>
                <w:left w:val="none" w:sz="0" w:space="0" w:color="auto"/>
                <w:bottom w:val="none" w:sz="0" w:space="0" w:color="auto"/>
                <w:right w:val="none" w:sz="0" w:space="0" w:color="auto"/>
              </w:divBdr>
              <w:divsChild>
                <w:div w:id="13924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7473">
      <w:bodyDiv w:val="1"/>
      <w:marLeft w:val="0"/>
      <w:marRight w:val="0"/>
      <w:marTop w:val="0"/>
      <w:marBottom w:val="0"/>
      <w:divBdr>
        <w:top w:val="none" w:sz="0" w:space="0" w:color="auto"/>
        <w:left w:val="none" w:sz="0" w:space="0" w:color="auto"/>
        <w:bottom w:val="none" w:sz="0" w:space="0" w:color="auto"/>
        <w:right w:val="none" w:sz="0" w:space="0" w:color="auto"/>
      </w:divBdr>
      <w:divsChild>
        <w:div w:id="1421296011">
          <w:marLeft w:val="0"/>
          <w:marRight w:val="0"/>
          <w:marTop w:val="0"/>
          <w:marBottom w:val="0"/>
          <w:divBdr>
            <w:top w:val="none" w:sz="0" w:space="0" w:color="auto"/>
            <w:left w:val="none" w:sz="0" w:space="0" w:color="auto"/>
            <w:bottom w:val="none" w:sz="0" w:space="0" w:color="auto"/>
            <w:right w:val="none" w:sz="0" w:space="0" w:color="auto"/>
          </w:divBdr>
          <w:divsChild>
            <w:div w:id="995063408">
              <w:marLeft w:val="0"/>
              <w:marRight w:val="0"/>
              <w:marTop w:val="0"/>
              <w:marBottom w:val="0"/>
              <w:divBdr>
                <w:top w:val="none" w:sz="0" w:space="0" w:color="auto"/>
                <w:left w:val="none" w:sz="0" w:space="0" w:color="auto"/>
                <w:bottom w:val="none" w:sz="0" w:space="0" w:color="auto"/>
                <w:right w:val="none" w:sz="0" w:space="0" w:color="auto"/>
              </w:divBdr>
              <w:divsChild>
                <w:div w:id="1921597055">
                  <w:marLeft w:val="0"/>
                  <w:marRight w:val="0"/>
                  <w:marTop w:val="0"/>
                  <w:marBottom w:val="0"/>
                  <w:divBdr>
                    <w:top w:val="none" w:sz="0" w:space="0" w:color="auto"/>
                    <w:left w:val="none" w:sz="0" w:space="0" w:color="auto"/>
                    <w:bottom w:val="none" w:sz="0" w:space="0" w:color="auto"/>
                    <w:right w:val="none" w:sz="0" w:space="0" w:color="auto"/>
                  </w:divBdr>
                  <w:divsChild>
                    <w:div w:id="79849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35158">
      <w:bodyDiv w:val="1"/>
      <w:marLeft w:val="0"/>
      <w:marRight w:val="0"/>
      <w:marTop w:val="0"/>
      <w:marBottom w:val="0"/>
      <w:divBdr>
        <w:top w:val="none" w:sz="0" w:space="0" w:color="auto"/>
        <w:left w:val="none" w:sz="0" w:space="0" w:color="auto"/>
        <w:bottom w:val="none" w:sz="0" w:space="0" w:color="auto"/>
        <w:right w:val="none" w:sz="0" w:space="0" w:color="auto"/>
      </w:divBdr>
      <w:divsChild>
        <w:div w:id="1579436120">
          <w:marLeft w:val="0"/>
          <w:marRight w:val="0"/>
          <w:marTop w:val="0"/>
          <w:marBottom w:val="0"/>
          <w:divBdr>
            <w:top w:val="none" w:sz="0" w:space="0" w:color="auto"/>
            <w:left w:val="none" w:sz="0" w:space="0" w:color="auto"/>
            <w:bottom w:val="none" w:sz="0" w:space="0" w:color="auto"/>
            <w:right w:val="none" w:sz="0" w:space="0" w:color="auto"/>
          </w:divBdr>
          <w:divsChild>
            <w:div w:id="1151629449">
              <w:marLeft w:val="0"/>
              <w:marRight w:val="0"/>
              <w:marTop w:val="0"/>
              <w:marBottom w:val="0"/>
              <w:divBdr>
                <w:top w:val="none" w:sz="0" w:space="0" w:color="auto"/>
                <w:left w:val="none" w:sz="0" w:space="0" w:color="auto"/>
                <w:bottom w:val="none" w:sz="0" w:space="0" w:color="auto"/>
                <w:right w:val="none" w:sz="0" w:space="0" w:color="auto"/>
              </w:divBdr>
              <w:divsChild>
                <w:div w:id="12848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7654">
      <w:bodyDiv w:val="1"/>
      <w:marLeft w:val="0"/>
      <w:marRight w:val="0"/>
      <w:marTop w:val="0"/>
      <w:marBottom w:val="0"/>
      <w:divBdr>
        <w:top w:val="none" w:sz="0" w:space="0" w:color="auto"/>
        <w:left w:val="none" w:sz="0" w:space="0" w:color="auto"/>
        <w:bottom w:val="none" w:sz="0" w:space="0" w:color="auto"/>
        <w:right w:val="none" w:sz="0" w:space="0" w:color="auto"/>
      </w:divBdr>
      <w:divsChild>
        <w:div w:id="120343878">
          <w:marLeft w:val="0"/>
          <w:marRight w:val="0"/>
          <w:marTop w:val="0"/>
          <w:marBottom w:val="0"/>
          <w:divBdr>
            <w:top w:val="none" w:sz="0" w:space="0" w:color="auto"/>
            <w:left w:val="none" w:sz="0" w:space="0" w:color="auto"/>
            <w:bottom w:val="none" w:sz="0" w:space="0" w:color="auto"/>
            <w:right w:val="none" w:sz="0" w:space="0" w:color="auto"/>
          </w:divBdr>
          <w:divsChild>
            <w:div w:id="1529875827">
              <w:marLeft w:val="0"/>
              <w:marRight w:val="0"/>
              <w:marTop w:val="0"/>
              <w:marBottom w:val="0"/>
              <w:divBdr>
                <w:top w:val="none" w:sz="0" w:space="0" w:color="auto"/>
                <w:left w:val="none" w:sz="0" w:space="0" w:color="auto"/>
                <w:bottom w:val="none" w:sz="0" w:space="0" w:color="auto"/>
                <w:right w:val="none" w:sz="0" w:space="0" w:color="auto"/>
              </w:divBdr>
              <w:divsChild>
                <w:div w:id="212318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7647">
      <w:bodyDiv w:val="1"/>
      <w:marLeft w:val="0"/>
      <w:marRight w:val="0"/>
      <w:marTop w:val="0"/>
      <w:marBottom w:val="0"/>
      <w:divBdr>
        <w:top w:val="none" w:sz="0" w:space="0" w:color="auto"/>
        <w:left w:val="none" w:sz="0" w:space="0" w:color="auto"/>
        <w:bottom w:val="none" w:sz="0" w:space="0" w:color="auto"/>
        <w:right w:val="none" w:sz="0" w:space="0" w:color="auto"/>
      </w:divBdr>
    </w:div>
    <w:div w:id="132645240">
      <w:bodyDiv w:val="1"/>
      <w:marLeft w:val="0"/>
      <w:marRight w:val="0"/>
      <w:marTop w:val="0"/>
      <w:marBottom w:val="0"/>
      <w:divBdr>
        <w:top w:val="none" w:sz="0" w:space="0" w:color="auto"/>
        <w:left w:val="none" w:sz="0" w:space="0" w:color="auto"/>
        <w:bottom w:val="none" w:sz="0" w:space="0" w:color="auto"/>
        <w:right w:val="none" w:sz="0" w:space="0" w:color="auto"/>
      </w:divBdr>
    </w:div>
    <w:div w:id="153111403">
      <w:bodyDiv w:val="1"/>
      <w:marLeft w:val="0"/>
      <w:marRight w:val="0"/>
      <w:marTop w:val="0"/>
      <w:marBottom w:val="0"/>
      <w:divBdr>
        <w:top w:val="none" w:sz="0" w:space="0" w:color="auto"/>
        <w:left w:val="none" w:sz="0" w:space="0" w:color="auto"/>
        <w:bottom w:val="none" w:sz="0" w:space="0" w:color="auto"/>
        <w:right w:val="none" w:sz="0" w:space="0" w:color="auto"/>
      </w:divBdr>
    </w:div>
    <w:div w:id="186797920">
      <w:bodyDiv w:val="1"/>
      <w:marLeft w:val="0"/>
      <w:marRight w:val="0"/>
      <w:marTop w:val="0"/>
      <w:marBottom w:val="0"/>
      <w:divBdr>
        <w:top w:val="none" w:sz="0" w:space="0" w:color="auto"/>
        <w:left w:val="none" w:sz="0" w:space="0" w:color="auto"/>
        <w:bottom w:val="none" w:sz="0" w:space="0" w:color="auto"/>
        <w:right w:val="none" w:sz="0" w:space="0" w:color="auto"/>
      </w:divBdr>
      <w:divsChild>
        <w:div w:id="1548565111">
          <w:marLeft w:val="0"/>
          <w:marRight w:val="0"/>
          <w:marTop w:val="0"/>
          <w:marBottom w:val="0"/>
          <w:divBdr>
            <w:top w:val="none" w:sz="0" w:space="0" w:color="auto"/>
            <w:left w:val="none" w:sz="0" w:space="0" w:color="auto"/>
            <w:bottom w:val="none" w:sz="0" w:space="0" w:color="auto"/>
            <w:right w:val="none" w:sz="0" w:space="0" w:color="auto"/>
          </w:divBdr>
          <w:divsChild>
            <w:div w:id="314576959">
              <w:marLeft w:val="0"/>
              <w:marRight w:val="0"/>
              <w:marTop w:val="0"/>
              <w:marBottom w:val="0"/>
              <w:divBdr>
                <w:top w:val="none" w:sz="0" w:space="0" w:color="auto"/>
                <w:left w:val="none" w:sz="0" w:space="0" w:color="auto"/>
                <w:bottom w:val="none" w:sz="0" w:space="0" w:color="auto"/>
                <w:right w:val="none" w:sz="0" w:space="0" w:color="auto"/>
              </w:divBdr>
              <w:divsChild>
                <w:div w:id="54063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4388">
      <w:bodyDiv w:val="1"/>
      <w:marLeft w:val="0"/>
      <w:marRight w:val="0"/>
      <w:marTop w:val="0"/>
      <w:marBottom w:val="0"/>
      <w:divBdr>
        <w:top w:val="none" w:sz="0" w:space="0" w:color="auto"/>
        <w:left w:val="none" w:sz="0" w:space="0" w:color="auto"/>
        <w:bottom w:val="none" w:sz="0" w:space="0" w:color="auto"/>
        <w:right w:val="none" w:sz="0" w:space="0" w:color="auto"/>
      </w:divBdr>
    </w:div>
    <w:div w:id="250624680">
      <w:bodyDiv w:val="1"/>
      <w:marLeft w:val="0"/>
      <w:marRight w:val="0"/>
      <w:marTop w:val="0"/>
      <w:marBottom w:val="0"/>
      <w:divBdr>
        <w:top w:val="none" w:sz="0" w:space="0" w:color="auto"/>
        <w:left w:val="none" w:sz="0" w:space="0" w:color="auto"/>
        <w:bottom w:val="none" w:sz="0" w:space="0" w:color="auto"/>
        <w:right w:val="none" w:sz="0" w:space="0" w:color="auto"/>
      </w:divBdr>
      <w:divsChild>
        <w:div w:id="1116633100">
          <w:marLeft w:val="0"/>
          <w:marRight w:val="0"/>
          <w:marTop w:val="0"/>
          <w:marBottom w:val="0"/>
          <w:divBdr>
            <w:top w:val="none" w:sz="0" w:space="0" w:color="auto"/>
            <w:left w:val="none" w:sz="0" w:space="0" w:color="auto"/>
            <w:bottom w:val="none" w:sz="0" w:space="0" w:color="auto"/>
            <w:right w:val="none" w:sz="0" w:space="0" w:color="auto"/>
          </w:divBdr>
          <w:divsChild>
            <w:div w:id="1442258160">
              <w:marLeft w:val="0"/>
              <w:marRight w:val="0"/>
              <w:marTop w:val="0"/>
              <w:marBottom w:val="0"/>
              <w:divBdr>
                <w:top w:val="none" w:sz="0" w:space="0" w:color="auto"/>
                <w:left w:val="none" w:sz="0" w:space="0" w:color="auto"/>
                <w:bottom w:val="none" w:sz="0" w:space="0" w:color="auto"/>
                <w:right w:val="none" w:sz="0" w:space="0" w:color="auto"/>
              </w:divBdr>
              <w:divsChild>
                <w:div w:id="1285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15703">
      <w:bodyDiv w:val="1"/>
      <w:marLeft w:val="0"/>
      <w:marRight w:val="0"/>
      <w:marTop w:val="0"/>
      <w:marBottom w:val="0"/>
      <w:divBdr>
        <w:top w:val="none" w:sz="0" w:space="0" w:color="auto"/>
        <w:left w:val="none" w:sz="0" w:space="0" w:color="auto"/>
        <w:bottom w:val="none" w:sz="0" w:space="0" w:color="auto"/>
        <w:right w:val="none" w:sz="0" w:space="0" w:color="auto"/>
      </w:divBdr>
      <w:divsChild>
        <w:div w:id="2084404343">
          <w:marLeft w:val="0"/>
          <w:marRight w:val="0"/>
          <w:marTop w:val="0"/>
          <w:marBottom w:val="0"/>
          <w:divBdr>
            <w:top w:val="none" w:sz="0" w:space="0" w:color="auto"/>
            <w:left w:val="none" w:sz="0" w:space="0" w:color="auto"/>
            <w:bottom w:val="none" w:sz="0" w:space="0" w:color="auto"/>
            <w:right w:val="none" w:sz="0" w:space="0" w:color="auto"/>
          </w:divBdr>
          <w:divsChild>
            <w:div w:id="2002275854">
              <w:marLeft w:val="0"/>
              <w:marRight w:val="0"/>
              <w:marTop w:val="0"/>
              <w:marBottom w:val="0"/>
              <w:divBdr>
                <w:top w:val="none" w:sz="0" w:space="0" w:color="auto"/>
                <w:left w:val="none" w:sz="0" w:space="0" w:color="auto"/>
                <w:bottom w:val="none" w:sz="0" w:space="0" w:color="auto"/>
                <w:right w:val="none" w:sz="0" w:space="0" w:color="auto"/>
              </w:divBdr>
              <w:divsChild>
                <w:div w:id="137685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08822">
      <w:bodyDiv w:val="1"/>
      <w:marLeft w:val="0"/>
      <w:marRight w:val="0"/>
      <w:marTop w:val="0"/>
      <w:marBottom w:val="0"/>
      <w:divBdr>
        <w:top w:val="none" w:sz="0" w:space="0" w:color="auto"/>
        <w:left w:val="none" w:sz="0" w:space="0" w:color="auto"/>
        <w:bottom w:val="none" w:sz="0" w:space="0" w:color="auto"/>
        <w:right w:val="none" w:sz="0" w:space="0" w:color="auto"/>
      </w:divBdr>
    </w:div>
    <w:div w:id="290332391">
      <w:bodyDiv w:val="1"/>
      <w:marLeft w:val="0"/>
      <w:marRight w:val="0"/>
      <w:marTop w:val="0"/>
      <w:marBottom w:val="0"/>
      <w:divBdr>
        <w:top w:val="none" w:sz="0" w:space="0" w:color="auto"/>
        <w:left w:val="none" w:sz="0" w:space="0" w:color="auto"/>
        <w:bottom w:val="none" w:sz="0" w:space="0" w:color="auto"/>
        <w:right w:val="none" w:sz="0" w:space="0" w:color="auto"/>
      </w:divBdr>
    </w:div>
    <w:div w:id="328678942">
      <w:bodyDiv w:val="1"/>
      <w:marLeft w:val="0"/>
      <w:marRight w:val="0"/>
      <w:marTop w:val="0"/>
      <w:marBottom w:val="0"/>
      <w:divBdr>
        <w:top w:val="none" w:sz="0" w:space="0" w:color="auto"/>
        <w:left w:val="none" w:sz="0" w:space="0" w:color="auto"/>
        <w:bottom w:val="none" w:sz="0" w:space="0" w:color="auto"/>
        <w:right w:val="none" w:sz="0" w:space="0" w:color="auto"/>
      </w:divBdr>
    </w:div>
    <w:div w:id="330449034">
      <w:bodyDiv w:val="1"/>
      <w:marLeft w:val="0"/>
      <w:marRight w:val="0"/>
      <w:marTop w:val="0"/>
      <w:marBottom w:val="0"/>
      <w:divBdr>
        <w:top w:val="none" w:sz="0" w:space="0" w:color="auto"/>
        <w:left w:val="none" w:sz="0" w:space="0" w:color="auto"/>
        <w:bottom w:val="none" w:sz="0" w:space="0" w:color="auto"/>
        <w:right w:val="none" w:sz="0" w:space="0" w:color="auto"/>
      </w:divBdr>
      <w:divsChild>
        <w:div w:id="1813061351">
          <w:marLeft w:val="0"/>
          <w:marRight w:val="0"/>
          <w:marTop w:val="0"/>
          <w:marBottom w:val="0"/>
          <w:divBdr>
            <w:top w:val="none" w:sz="0" w:space="0" w:color="auto"/>
            <w:left w:val="none" w:sz="0" w:space="0" w:color="auto"/>
            <w:bottom w:val="none" w:sz="0" w:space="0" w:color="auto"/>
            <w:right w:val="none" w:sz="0" w:space="0" w:color="auto"/>
          </w:divBdr>
          <w:divsChild>
            <w:div w:id="282156708">
              <w:marLeft w:val="0"/>
              <w:marRight w:val="0"/>
              <w:marTop w:val="0"/>
              <w:marBottom w:val="0"/>
              <w:divBdr>
                <w:top w:val="none" w:sz="0" w:space="0" w:color="auto"/>
                <w:left w:val="none" w:sz="0" w:space="0" w:color="auto"/>
                <w:bottom w:val="none" w:sz="0" w:space="0" w:color="auto"/>
                <w:right w:val="none" w:sz="0" w:space="0" w:color="auto"/>
              </w:divBdr>
              <w:divsChild>
                <w:div w:id="12013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563621">
      <w:bodyDiv w:val="1"/>
      <w:marLeft w:val="0"/>
      <w:marRight w:val="0"/>
      <w:marTop w:val="0"/>
      <w:marBottom w:val="0"/>
      <w:divBdr>
        <w:top w:val="none" w:sz="0" w:space="0" w:color="auto"/>
        <w:left w:val="none" w:sz="0" w:space="0" w:color="auto"/>
        <w:bottom w:val="none" w:sz="0" w:space="0" w:color="auto"/>
        <w:right w:val="none" w:sz="0" w:space="0" w:color="auto"/>
      </w:divBdr>
    </w:div>
    <w:div w:id="358050144">
      <w:bodyDiv w:val="1"/>
      <w:marLeft w:val="0"/>
      <w:marRight w:val="0"/>
      <w:marTop w:val="0"/>
      <w:marBottom w:val="0"/>
      <w:divBdr>
        <w:top w:val="none" w:sz="0" w:space="0" w:color="auto"/>
        <w:left w:val="none" w:sz="0" w:space="0" w:color="auto"/>
        <w:bottom w:val="none" w:sz="0" w:space="0" w:color="auto"/>
        <w:right w:val="none" w:sz="0" w:space="0" w:color="auto"/>
      </w:divBdr>
    </w:div>
    <w:div w:id="371812198">
      <w:bodyDiv w:val="1"/>
      <w:marLeft w:val="0"/>
      <w:marRight w:val="0"/>
      <w:marTop w:val="0"/>
      <w:marBottom w:val="0"/>
      <w:divBdr>
        <w:top w:val="none" w:sz="0" w:space="0" w:color="auto"/>
        <w:left w:val="none" w:sz="0" w:space="0" w:color="auto"/>
        <w:bottom w:val="none" w:sz="0" w:space="0" w:color="auto"/>
        <w:right w:val="none" w:sz="0" w:space="0" w:color="auto"/>
      </w:divBdr>
      <w:divsChild>
        <w:div w:id="1772511770">
          <w:marLeft w:val="0"/>
          <w:marRight w:val="0"/>
          <w:marTop w:val="0"/>
          <w:marBottom w:val="0"/>
          <w:divBdr>
            <w:top w:val="none" w:sz="0" w:space="0" w:color="auto"/>
            <w:left w:val="none" w:sz="0" w:space="0" w:color="auto"/>
            <w:bottom w:val="none" w:sz="0" w:space="0" w:color="auto"/>
            <w:right w:val="none" w:sz="0" w:space="0" w:color="auto"/>
          </w:divBdr>
          <w:divsChild>
            <w:div w:id="1618415059">
              <w:marLeft w:val="0"/>
              <w:marRight w:val="0"/>
              <w:marTop w:val="0"/>
              <w:marBottom w:val="0"/>
              <w:divBdr>
                <w:top w:val="none" w:sz="0" w:space="0" w:color="auto"/>
                <w:left w:val="none" w:sz="0" w:space="0" w:color="auto"/>
                <w:bottom w:val="none" w:sz="0" w:space="0" w:color="auto"/>
                <w:right w:val="none" w:sz="0" w:space="0" w:color="auto"/>
              </w:divBdr>
              <w:divsChild>
                <w:div w:id="857889397">
                  <w:marLeft w:val="0"/>
                  <w:marRight w:val="0"/>
                  <w:marTop w:val="0"/>
                  <w:marBottom w:val="0"/>
                  <w:divBdr>
                    <w:top w:val="none" w:sz="0" w:space="0" w:color="auto"/>
                    <w:left w:val="none" w:sz="0" w:space="0" w:color="auto"/>
                    <w:bottom w:val="none" w:sz="0" w:space="0" w:color="auto"/>
                    <w:right w:val="none" w:sz="0" w:space="0" w:color="auto"/>
                  </w:divBdr>
                  <w:divsChild>
                    <w:div w:id="97795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846232">
      <w:bodyDiv w:val="1"/>
      <w:marLeft w:val="0"/>
      <w:marRight w:val="0"/>
      <w:marTop w:val="0"/>
      <w:marBottom w:val="0"/>
      <w:divBdr>
        <w:top w:val="none" w:sz="0" w:space="0" w:color="auto"/>
        <w:left w:val="none" w:sz="0" w:space="0" w:color="auto"/>
        <w:bottom w:val="none" w:sz="0" w:space="0" w:color="auto"/>
        <w:right w:val="none" w:sz="0" w:space="0" w:color="auto"/>
      </w:divBdr>
      <w:divsChild>
        <w:div w:id="968321432">
          <w:marLeft w:val="0"/>
          <w:marRight w:val="0"/>
          <w:marTop w:val="0"/>
          <w:marBottom w:val="0"/>
          <w:divBdr>
            <w:top w:val="none" w:sz="0" w:space="0" w:color="auto"/>
            <w:left w:val="none" w:sz="0" w:space="0" w:color="auto"/>
            <w:bottom w:val="none" w:sz="0" w:space="0" w:color="auto"/>
            <w:right w:val="none" w:sz="0" w:space="0" w:color="auto"/>
          </w:divBdr>
          <w:divsChild>
            <w:div w:id="235634678">
              <w:marLeft w:val="0"/>
              <w:marRight w:val="0"/>
              <w:marTop w:val="0"/>
              <w:marBottom w:val="0"/>
              <w:divBdr>
                <w:top w:val="none" w:sz="0" w:space="0" w:color="auto"/>
                <w:left w:val="none" w:sz="0" w:space="0" w:color="auto"/>
                <w:bottom w:val="none" w:sz="0" w:space="0" w:color="auto"/>
                <w:right w:val="none" w:sz="0" w:space="0" w:color="auto"/>
              </w:divBdr>
              <w:divsChild>
                <w:div w:id="20570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79840">
      <w:bodyDiv w:val="1"/>
      <w:marLeft w:val="0"/>
      <w:marRight w:val="0"/>
      <w:marTop w:val="0"/>
      <w:marBottom w:val="0"/>
      <w:divBdr>
        <w:top w:val="none" w:sz="0" w:space="0" w:color="auto"/>
        <w:left w:val="none" w:sz="0" w:space="0" w:color="auto"/>
        <w:bottom w:val="none" w:sz="0" w:space="0" w:color="auto"/>
        <w:right w:val="none" w:sz="0" w:space="0" w:color="auto"/>
      </w:divBdr>
      <w:divsChild>
        <w:div w:id="361790283">
          <w:marLeft w:val="0"/>
          <w:marRight w:val="0"/>
          <w:marTop w:val="0"/>
          <w:marBottom w:val="0"/>
          <w:divBdr>
            <w:top w:val="none" w:sz="0" w:space="0" w:color="auto"/>
            <w:left w:val="none" w:sz="0" w:space="0" w:color="auto"/>
            <w:bottom w:val="none" w:sz="0" w:space="0" w:color="auto"/>
            <w:right w:val="none" w:sz="0" w:space="0" w:color="auto"/>
          </w:divBdr>
          <w:divsChild>
            <w:div w:id="1559826287">
              <w:marLeft w:val="0"/>
              <w:marRight w:val="0"/>
              <w:marTop w:val="0"/>
              <w:marBottom w:val="0"/>
              <w:divBdr>
                <w:top w:val="none" w:sz="0" w:space="0" w:color="auto"/>
                <w:left w:val="none" w:sz="0" w:space="0" w:color="auto"/>
                <w:bottom w:val="none" w:sz="0" w:space="0" w:color="auto"/>
                <w:right w:val="none" w:sz="0" w:space="0" w:color="auto"/>
              </w:divBdr>
              <w:divsChild>
                <w:div w:id="26268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18461">
      <w:bodyDiv w:val="1"/>
      <w:marLeft w:val="0"/>
      <w:marRight w:val="0"/>
      <w:marTop w:val="0"/>
      <w:marBottom w:val="0"/>
      <w:divBdr>
        <w:top w:val="none" w:sz="0" w:space="0" w:color="auto"/>
        <w:left w:val="none" w:sz="0" w:space="0" w:color="auto"/>
        <w:bottom w:val="none" w:sz="0" w:space="0" w:color="auto"/>
        <w:right w:val="none" w:sz="0" w:space="0" w:color="auto"/>
      </w:divBdr>
    </w:div>
    <w:div w:id="399525977">
      <w:bodyDiv w:val="1"/>
      <w:marLeft w:val="0"/>
      <w:marRight w:val="0"/>
      <w:marTop w:val="0"/>
      <w:marBottom w:val="0"/>
      <w:divBdr>
        <w:top w:val="none" w:sz="0" w:space="0" w:color="auto"/>
        <w:left w:val="none" w:sz="0" w:space="0" w:color="auto"/>
        <w:bottom w:val="none" w:sz="0" w:space="0" w:color="auto"/>
        <w:right w:val="none" w:sz="0" w:space="0" w:color="auto"/>
      </w:divBdr>
      <w:divsChild>
        <w:div w:id="1987511861">
          <w:marLeft w:val="0"/>
          <w:marRight w:val="0"/>
          <w:marTop w:val="0"/>
          <w:marBottom w:val="75"/>
          <w:divBdr>
            <w:top w:val="none" w:sz="0" w:space="0" w:color="auto"/>
            <w:left w:val="none" w:sz="0" w:space="0" w:color="auto"/>
            <w:bottom w:val="none" w:sz="0" w:space="0" w:color="auto"/>
            <w:right w:val="none" w:sz="0" w:space="0" w:color="auto"/>
          </w:divBdr>
        </w:div>
      </w:divsChild>
    </w:div>
    <w:div w:id="408355917">
      <w:bodyDiv w:val="1"/>
      <w:marLeft w:val="0"/>
      <w:marRight w:val="0"/>
      <w:marTop w:val="0"/>
      <w:marBottom w:val="0"/>
      <w:divBdr>
        <w:top w:val="none" w:sz="0" w:space="0" w:color="auto"/>
        <w:left w:val="none" w:sz="0" w:space="0" w:color="auto"/>
        <w:bottom w:val="none" w:sz="0" w:space="0" w:color="auto"/>
        <w:right w:val="none" w:sz="0" w:space="0" w:color="auto"/>
      </w:divBdr>
      <w:divsChild>
        <w:div w:id="111292550">
          <w:marLeft w:val="0"/>
          <w:marRight w:val="0"/>
          <w:marTop w:val="0"/>
          <w:marBottom w:val="0"/>
          <w:divBdr>
            <w:top w:val="none" w:sz="0" w:space="0" w:color="auto"/>
            <w:left w:val="none" w:sz="0" w:space="0" w:color="auto"/>
            <w:bottom w:val="none" w:sz="0" w:space="0" w:color="auto"/>
            <w:right w:val="none" w:sz="0" w:space="0" w:color="auto"/>
          </w:divBdr>
          <w:divsChild>
            <w:div w:id="221983981">
              <w:marLeft w:val="0"/>
              <w:marRight w:val="0"/>
              <w:marTop w:val="0"/>
              <w:marBottom w:val="0"/>
              <w:divBdr>
                <w:top w:val="none" w:sz="0" w:space="0" w:color="auto"/>
                <w:left w:val="none" w:sz="0" w:space="0" w:color="auto"/>
                <w:bottom w:val="none" w:sz="0" w:space="0" w:color="auto"/>
                <w:right w:val="none" w:sz="0" w:space="0" w:color="auto"/>
              </w:divBdr>
              <w:divsChild>
                <w:div w:id="190390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6117">
      <w:bodyDiv w:val="1"/>
      <w:marLeft w:val="0"/>
      <w:marRight w:val="0"/>
      <w:marTop w:val="0"/>
      <w:marBottom w:val="0"/>
      <w:divBdr>
        <w:top w:val="none" w:sz="0" w:space="0" w:color="auto"/>
        <w:left w:val="none" w:sz="0" w:space="0" w:color="auto"/>
        <w:bottom w:val="none" w:sz="0" w:space="0" w:color="auto"/>
        <w:right w:val="none" w:sz="0" w:space="0" w:color="auto"/>
      </w:divBdr>
      <w:divsChild>
        <w:div w:id="431556035">
          <w:marLeft w:val="0"/>
          <w:marRight w:val="0"/>
          <w:marTop w:val="0"/>
          <w:marBottom w:val="0"/>
          <w:divBdr>
            <w:top w:val="none" w:sz="0" w:space="0" w:color="auto"/>
            <w:left w:val="none" w:sz="0" w:space="0" w:color="auto"/>
            <w:bottom w:val="none" w:sz="0" w:space="0" w:color="auto"/>
            <w:right w:val="none" w:sz="0" w:space="0" w:color="auto"/>
          </w:divBdr>
          <w:divsChild>
            <w:div w:id="1637565465">
              <w:marLeft w:val="0"/>
              <w:marRight w:val="0"/>
              <w:marTop w:val="0"/>
              <w:marBottom w:val="0"/>
              <w:divBdr>
                <w:top w:val="none" w:sz="0" w:space="0" w:color="auto"/>
                <w:left w:val="none" w:sz="0" w:space="0" w:color="auto"/>
                <w:bottom w:val="none" w:sz="0" w:space="0" w:color="auto"/>
                <w:right w:val="none" w:sz="0" w:space="0" w:color="auto"/>
              </w:divBdr>
              <w:divsChild>
                <w:div w:id="1327783161">
                  <w:marLeft w:val="0"/>
                  <w:marRight w:val="0"/>
                  <w:marTop w:val="0"/>
                  <w:marBottom w:val="0"/>
                  <w:divBdr>
                    <w:top w:val="none" w:sz="0" w:space="0" w:color="auto"/>
                    <w:left w:val="none" w:sz="0" w:space="0" w:color="auto"/>
                    <w:bottom w:val="none" w:sz="0" w:space="0" w:color="auto"/>
                    <w:right w:val="none" w:sz="0" w:space="0" w:color="auto"/>
                  </w:divBdr>
                  <w:divsChild>
                    <w:div w:id="112985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261746">
      <w:bodyDiv w:val="1"/>
      <w:marLeft w:val="0"/>
      <w:marRight w:val="0"/>
      <w:marTop w:val="0"/>
      <w:marBottom w:val="0"/>
      <w:divBdr>
        <w:top w:val="none" w:sz="0" w:space="0" w:color="auto"/>
        <w:left w:val="none" w:sz="0" w:space="0" w:color="auto"/>
        <w:bottom w:val="none" w:sz="0" w:space="0" w:color="auto"/>
        <w:right w:val="none" w:sz="0" w:space="0" w:color="auto"/>
      </w:divBdr>
    </w:div>
    <w:div w:id="481431232">
      <w:bodyDiv w:val="1"/>
      <w:marLeft w:val="0"/>
      <w:marRight w:val="0"/>
      <w:marTop w:val="0"/>
      <w:marBottom w:val="0"/>
      <w:divBdr>
        <w:top w:val="none" w:sz="0" w:space="0" w:color="auto"/>
        <w:left w:val="none" w:sz="0" w:space="0" w:color="auto"/>
        <w:bottom w:val="none" w:sz="0" w:space="0" w:color="auto"/>
        <w:right w:val="none" w:sz="0" w:space="0" w:color="auto"/>
      </w:divBdr>
      <w:divsChild>
        <w:div w:id="1230919420">
          <w:marLeft w:val="0"/>
          <w:marRight w:val="0"/>
          <w:marTop w:val="0"/>
          <w:marBottom w:val="0"/>
          <w:divBdr>
            <w:top w:val="none" w:sz="0" w:space="0" w:color="auto"/>
            <w:left w:val="none" w:sz="0" w:space="0" w:color="auto"/>
            <w:bottom w:val="none" w:sz="0" w:space="0" w:color="auto"/>
            <w:right w:val="none" w:sz="0" w:space="0" w:color="auto"/>
          </w:divBdr>
          <w:divsChild>
            <w:div w:id="1177619869">
              <w:marLeft w:val="0"/>
              <w:marRight w:val="0"/>
              <w:marTop w:val="0"/>
              <w:marBottom w:val="0"/>
              <w:divBdr>
                <w:top w:val="none" w:sz="0" w:space="0" w:color="auto"/>
                <w:left w:val="none" w:sz="0" w:space="0" w:color="auto"/>
                <w:bottom w:val="none" w:sz="0" w:space="0" w:color="auto"/>
                <w:right w:val="none" w:sz="0" w:space="0" w:color="auto"/>
              </w:divBdr>
              <w:divsChild>
                <w:div w:id="903418810">
                  <w:marLeft w:val="0"/>
                  <w:marRight w:val="0"/>
                  <w:marTop w:val="0"/>
                  <w:marBottom w:val="0"/>
                  <w:divBdr>
                    <w:top w:val="none" w:sz="0" w:space="0" w:color="auto"/>
                    <w:left w:val="none" w:sz="0" w:space="0" w:color="auto"/>
                    <w:bottom w:val="none" w:sz="0" w:space="0" w:color="auto"/>
                    <w:right w:val="none" w:sz="0" w:space="0" w:color="auto"/>
                  </w:divBdr>
                  <w:divsChild>
                    <w:div w:id="76788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089268">
      <w:bodyDiv w:val="1"/>
      <w:marLeft w:val="0"/>
      <w:marRight w:val="0"/>
      <w:marTop w:val="0"/>
      <w:marBottom w:val="0"/>
      <w:divBdr>
        <w:top w:val="none" w:sz="0" w:space="0" w:color="auto"/>
        <w:left w:val="none" w:sz="0" w:space="0" w:color="auto"/>
        <w:bottom w:val="none" w:sz="0" w:space="0" w:color="auto"/>
        <w:right w:val="none" w:sz="0" w:space="0" w:color="auto"/>
      </w:divBdr>
    </w:div>
    <w:div w:id="498693588">
      <w:bodyDiv w:val="1"/>
      <w:marLeft w:val="0"/>
      <w:marRight w:val="0"/>
      <w:marTop w:val="0"/>
      <w:marBottom w:val="0"/>
      <w:divBdr>
        <w:top w:val="none" w:sz="0" w:space="0" w:color="auto"/>
        <w:left w:val="none" w:sz="0" w:space="0" w:color="auto"/>
        <w:bottom w:val="none" w:sz="0" w:space="0" w:color="auto"/>
        <w:right w:val="none" w:sz="0" w:space="0" w:color="auto"/>
      </w:divBdr>
    </w:div>
    <w:div w:id="504979523">
      <w:bodyDiv w:val="1"/>
      <w:marLeft w:val="0"/>
      <w:marRight w:val="0"/>
      <w:marTop w:val="0"/>
      <w:marBottom w:val="0"/>
      <w:divBdr>
        <w:top w:val="none" w:sz="0" w:space="0" w:color="auto"/>
        <w:left w:val="none" w:sz="0" w:space="0" w:color="auto"/>
        <w:bottom w:val="none" w:sz="0" w:space="0" w:color="auto"/>
        <w:right w:val="none" w:sz="0" w:space="0" w:color="auto"/>
      </w:divBdr>
    </w:div>
    <w:div w:id="510146177">
      <w:bodyDiv w:val="1"/>
      <w:marLeft w:val="0"/>
      <w:marRight w:val="0"/>
      <w:marTop w:val="0"/>
      <w:marBottom w:val="0"/>
      <w:divBdr>
        <w:top w:val="none" w:sz="0" w:space="0" w:color="auto"/>
        <w:left w:val="none" w:sz="0" w:space="0" w:color="auto"/>
        <w:bottom w:val="none" w:sz="0" w:space="0" w:color="auto"/>
        <w:right w:val="none" w:sz="0" w:space="0" w:color="auto"/>
      </w:divBdr>
      <w:divsChild>
        <w:div w:id="773745979">
          <w:marLeft w:val="0"/>
          <w:marRight w:val="0"/>
          <w:marTop w:val="0"/>
          <w:marBottom w:val="0"/>
          <w:divBdr>
            <w:top w:val="none" w:sz="0" w:space="0" w:color="auto"/>
            <w:left w:val="none" w:sz="0" w:space="0" w:color="auto"/>
            <w:bottom w:val="none" w:sz="0" w:space="0" w:color="auto"/>
            <w:right w:val="none" w:sz="0" w:space="0" w:color="auto"/>
          </w:divBdr>
          <w:divsChild>
            <w:div w:id="1952319950">
              <w:marLeft w:val="0"/>
              <w:marRight w:val="0"/>
              <w:marTop w:val="0"/>
              <w:marBottom w:val="0"/>
              <w:divBdr>
                <w:top w:val="none" w:sz="0" w:space="0" w:color="auto"/>
                <w:left w:val="none" w:sz="0" w:space="0" w:color="auto"/>
                <w:bottom w:val="none" w:sz="0" w:space="0" w:color="auto"/>
                <w:right w:val="none" w:sz="0" w:space="0" w:color="auto"/>
              </w:divBdr>
              <w:divsChild>
                <w:div w:id="3965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82751">
      <w:bodyDiv w:val="1"/>
      <w:marLeft w:val="0"/>
      <w:marRight w:val="0"/>
      <w:marTop w:val="0"/>
      <w:marBottom w:val="0"/>
      <w:divBdr>
        <w:top w:val="none" w:sz="0" w:space="0" w:color="auto"/>
        <w:left w:val="none" w:sz="0" w:space="0" w:color="auto"/>
        <w:bottom w:val="none" w:sz="0" w:space="0" w:color="auto"/>
        <w:right w:val="none" w:sz="0" w:space="0" w:color="auto"/>
      </w:divBdr>
      <w:divsChild>
        <w:div w:id="158280371">
          <w:marLeft w:val="0"/>
          <w:marRight w:val="0"/>
          <w:marTop w:val="0"/>
          <w:marBottom w:val="0"/>
          <w:divBdr>
            <w:top w:val="none" w:sz="0" w:space="0" w:color="auto"/>
            <w:left w:val="none" w:sz="0" w:space="0" w:color="auto"/>
            <w:bottom w:val="none" w:sz="0" w:space="0" w:color="auto"/>
            <w:right w:val="none" w:sz="0" w:space="0" w:color="auto"/>
          </w:divBdr>
          <w:divsChild>
            <w:div w:id="1131825744">
              <w:marLeft w:val="0"/>
              <w:marRight w:val="0"/>
              <w:marTop w:val="0"/>
              <w:marBottom w:val="0"/>
              <w:divBdr>
                <w:top w:val="none" w:sz="0" w:space="0" w:color="auto"/>
                <w:left w:val="none" w:sz="0" w:space="0" w:color="auto"/>
                <w:bottom w:val="none" w:sz="0" w:space="0" w:color="auto"/>
                <w:right w:val="none" w:sz="0" w:space="0" w:color="auto"/>
              </w:divBdr>
              <w:divsChild>
                <w:div w:id="162342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7061">
      <w:bodyDiv w:val="1"/>
      <w:marLeft w:val="0"/>
      <w:marRight w:val="0"/>
      <w:marTop w:val="0"/>
      <w:marBottom w:val="0"/>
      <w:divBdr>
        <w:top w:val="none" w:sz="0" w:space="0" w:color="auto"/>
        <w:left w:val="none" w:sz="0" w:space="0" w:color="auto"/>
        <w:bottom w:val="none" w:sz="0" w:space="0" w:color="auto"/>
        <w:right w:val="none" w:sz="0" w:space="0" w:color="auto"/>
      </w:divBdr>
      <w:divsChild>
        <w:div w:id="1416972130">
          <w:marLeft w:val="0"/>
          <w:marRight w:val="0"/>
          <w:marTop w:val="0"/>
          <w:marBottom w:val="0"/>
          <w:divBdr>
            <w:top w:val="none" w:sz="0" w:space="0" w:color="auto"/>
            <w:left w:val="none" w:sz="0" w:space="0" w:color="auto"/>
            <w:bottom w:val="none" w:sz="0" w:space="0" w:color="auto"/>
            <w:right w:val="none" w:sz="0" w:space="0" w:color="auto"/>
          </w:divBdr>
          <w:divsChild>
            <w:div w:id="640114186">
              <w:marLeft w:val="0"/>
              <w:marRight w:val="0"/>
              <w:marTop w:val="0"/>
              <w:marBottom w:val="0"/>
              <w:divBdr>
                <w:top w:val="none" w:sz="0" w:space="0" w:color="auto"/>
                <w:left w:val="none" w:sz="0" w:space="0" w:color="auto"/>
                <w:bottom w:val="none" w:sz="0" w:space="0" w:color="auto"/>
                <w:right w:val="none" w:sz="0" w:space="0" w:color="auto"/>
              </w:divBdr>
              <w:divsChild>
                <w:div w:id="6509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88502">
      <w:bodyDiv w:val="1"/>
      <w:marLeft w:val="0"/>
      <w:marRight w:val="0"/>
      <w:marTop w:val="0"/>
      <w:marBottom w:val="0"/>
      <w:divBdr>
        <w:top w:val="none" w:sz="0" w:space="0" w:color="auto"/>
        <w:left w:val="none" w:sz="0" w:space="0" w:color="auto"/>
        <w:bottom w:val="none" w:sz="0" w:space="0" w:color="auto"/>
        <w:right w:val="none" w:sz="0" w:space="0" w:color="auto"/>
      </w:divBdr>
      <w:divsChild>
        <w:div w:id="1555115429">
          <w:marLeft w:val="0"/>
          <w:marRight w:val="0"/>
          <w:marTop w:val="0"/>
          <w:marBottom w:val="0"/>
          <w:divBdr>
            <w:top w:val="none" w:sz="0" w:space="0" w:color="auto"/>
            <w:left w:val="none" w:sz="0" w:space="0" w:color="auto"/>
            <w:bottom w:val="none" w:sz="0" w:space="0" w:color="auto"/>
            <w:right w:val="none" w:sz="0" w:space="0" w:color="auto"/>
          </w:divBdr>
          <w:divsChild>
            <w:div w:id="80876044">
              <w:marLeft w:val="0"/>
              <w:marRight w:val="0"/>
              <w:marTop w:val="0"/>
              <w:marBottom w:val="0"/>
              <w:divBdr>
                <w:top w:val="none" w:sz="0" w:space="0" w:color="auto"/>
                <w:left w:val="none" w:sz="0" w:space="0" w:color="auto"/>
                <w:bottom w:val="none" w:sz="0" w:space="0" w:color="auto"/>
                <w:right w:val="none" w:sz="0" w:space="0" w:color="auto"/>
              </w:divBdr>
              <w:divsChild>
                <w:div w:id="106680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8812">
      <w:bodyDiv w:val="1"/>
      <w:marLeft w:val="0"/>
      <w:marRight w:val="0"/>
      <w:marTop w:val="0"/>
      <w:marBottom w:val="0"/>
      <w:divBdr>
        <w:top w:val="none" w:sz="0" w:space="0" w:color="auto"/>
        <w:left w:val="none" w:sz="0" w:space="0" w:color="auto"/>
        <w:bottom w:val="none" w:sz="0" w:space="0" w:color="auto"/>
        <w:right w:val="none" w:sz="0" w:space="0" w:color="auto"/>
      </w:divBdr>
      <w:divsChild>
        <w:div w:id="517237999">
          <w:marLeft w:val="0"/>
          <w:marRight w:val="0"/>
          <w:marTop w:val="0"/>
          <w:marBottom w:val="0"/>
          <w:divBdr>
            <w:top w:val="none" w:sz="0" w:space="0" w:color="auto"/>
            <w:left w:val="none" w:sz="0" w:space="0" w:color="auto"/>
            <w:bottom w:val="none" w:sz="0" w:space="0" w:color="auto"/>
            <w:right w:val="none" w:sz="0" w:space="0" w:color="auto"/>
          </w:divBdr>
          <w:divsChild>
            <w:div w:id="411512292">
              <w:marLeft w:val="0"/>
              <w:marRight w:val="0"/>
              <w:marTop w:val="0"/>
              <w:marBottom w:val="0"/>
              <w:divBdr>
                <w:top w:val="none" w:sz="0" w:space="0" w:color="auto"/>
                <w:left w:val="none" w:sz="0" w:space="0" w:color="auto"/>
                <w:bottom w:val="none" w:sz="0" w:space="0" w:color="auto"/>
                <w:right w:val="none" w:sz="0" w:space="0" w:color="auto"/>
              </w:divBdr>
              <w:divsChild>
                <w:div w:id="77155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81704">
      <w:bodyDiv w:val="1"/>
      <w:marLeft w:val="0"/>
      <w:marRight w:val="0"/>
      <w:marTop w:val="0"/>
      <w:marBottom w:val="0"/>
      <w:divBdr>
        <w:top w:val="none" w:sz="0" w:space="0" w:color="auto"/>
        <w:left w:val="none" w:sz="0" w:space="0" w:color="auto"/>
        <w:bottom w:val="none" w:sz="0" w:space="0" w:color="auto"/>
        <w:right w:val="none" w:sz="0" w:space="0" w:color="auto"/>
      </w:divBdr>
    </w:div>
    <w:div w:id="631835724">
      <w:bodyDiv w:val="1"/>
      <w:marLeft w:val="0"/>
      <w:marRight w:val="0"/>
      <w:marTop w:val="0"/>
      <w:marBottom w:val="0"/>
      <w:divBdr>
        <w:top w:val="none" w:sz="0" w:space="0" w:color="auto"/>
        <w:left w:val="none" w:sz="0" w:space="0" w:color="auto"/>
        <w:bottom w:val="none" w:sz="0" w:space="0" w:color="auto"/>
        <w:right w:val="none" w:sz="0" w:space="0" w:color="auto"/>
      </w:divBdr>
    </w:div>
    <w:div w:id="641270565">
      <w:bodyDiv w:val="1"/>
      <w:marLeft w:val="0"/>
      <w:marRight w:val="0"/>
      <w:marTop w:val="0"/>
      <w:marBottom w:val="0"/>
      <w:divBdr>
        <w:top w:val="none" w:sz="0" w:space="0" w:color="auto"/>
        <w:left w:val="none" w:sz="0" w:space="0" w:color="auto"/>
        <w:bottom w:val="none" w:sz="0" w:space="0" w:color="auto"/>
        <w:right w:val="none" w:sz="0" w:space="0" w:color="auto"/>
      </w:divBdr>
      <w:divsChild>
        <w:div w:id="176506629">
          <w:marLeft w:val="0"/>
          <w:marRight w:val="0"/>
          <w:marTop w:val="0"/>
          <w:marBottom w:val="0"/>
          <w:divBdr>
            <w:top w:val="none" w:sz="0" w:space="0" w:color="auto"/>
            <w:left w:val="none" w:sz="0" w:space="0" w:color="auto"/>
            <w:bottom w:val="none" w:sz="0" w:space="0" w:color="auto"/>
            <w:right w:val="none" w:sz="0" w:space="0" w:color="auto"/>
          </w:divBdr>
          <w:divsChild>
            <w:div w:id="399717500">
              <w:marLeft w:val="0"/>
              <w:marRight w:val="0"/>
              <w:marTop w:val="0"/>
              <w:marBottom w:val="0"/>
              <w:divBdr>
                <w:top w:val="none" w:sz="0" w:space="0" w:color="auto"/>
                <w:left w:val="none" w:sz="0" w:space="0" w:color="auto"/>
                <w:bottom w:val="none" w:sz="0" w:space="0" w:color="auto"/>
                <w:right w:val="none" w:sz="0" w:space="0" w:color="auto"/>
              </w:divBdr>
              <w:divsChild>
                <w:div w:id="189905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283210">
      <w:bodyDiv w:val="1"/>
      <w:marLeft w:val="0"/>
      <w:marRight w:val="0"/>
      <w:marTop w:val="0"/>
      <w:marBottom w:val="0"/>
      <w:divBdr>
        <w:top w:val="none" w:sz="0" w:space="0" w:color="auto"/>
        <w:left w:val="none" w:sz="0" w:space="0" w:color="auto"/>
        <w:bottom w:val="none" w:sz="0" w:space="0" w:color="auto"/>
        <w:right w:val="none" w:sz="0" w:space="0" w:color="auto"/>
      </w:divBdr>
      <w:divsChild>
        <w:div w:id="258488325">
          <w:marLeft w:val="0"/>
          <w:marRight w:val="0"/>
          <w:marTop w:val="0"/>
          <w:marBottom w:val="0"/>
          <w:divBdr>
            <w:top w:val="none" w:sz="0" w:space="0" w:color="auto"/>
            <w:left w:val="none" w:sz="0" w:space="0" w:color="auto"/>
            <w:bottom w:val="none" w:sz="0" w:space="0" w:color="auto"/>
            <w:right w:val="none" w:sz="0" w:space="0" w:color="auto"/>
          </w:divBdr>
          <w:divsChild>
            <w:div w:id="1001851875">
              <w:marLeft w:val="0"/>
              <w:marRight w:val="0"/>
              <w:marTop w:val="0"/>
              <w:marBottom w:val="0"/>
              <w:divBdr>
                <w:top w:val="none" w:sz="0" w:space="0" w:color="auto"/>
                <w:left w:val="none" w:sz="0" w:space="0" w:color="auto"/>
                <w:bottom w:val="none" w:sz="0" w:space="0" w:color="auto"/>
                <w:right w:val="none" w:sz="0" w:space="0" w:color="auto"/>
              </w:divBdr>
              <w:divsChild>
                <w:div w:id="100639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13444">
      <w:bodyDiv w:val="1"/>
      <w:marLeft w:val="0"/>
      <w:marRight w:val="0"/>
      <w:marTop w:val="0"/>
      <w:marBottom w:val="0"/>
      <w:divBdr>
        <w:top w:val="none" w:sz="0" w:space="0" w:color="auto"/>
        <w:left w:val="none" w:sz="0" w:space="0" w:color="auto"/>
        <w:bottom w:val="none" w:sz="0" w:space="0" w:color="auto"/>
        <w:right w:val="none" w:sz="0" w:space="0" w:color="auto"/>
      </w:divBdr>
    </w:div>
    <w:div w:id="706679801">
      <w:bodyDiv w:val="1"/>
      <w:marLeft w:val="0"/>
      <w:marRight w:val="0"/>
      <w:marTop w:val="0"/>
      <w:marBottom w:val="0"/>
      <w:divBdr>
        <w:top w:val="none" w:sz="0" w:space="0" w:color="auto"/>
        <w:left w:val="none" w:sz="0" w:space="0" w:color="auto"/>
        <w:bottom w:val="none" w:sz="0" w:space="0" w:color="auto"/>
        <w:right w:val="none" w:sz="0" w:space="0" w:color="auto"/>
      </w:divBdr>
    </w:div>
    <w:div w:id="715351401">
      <w:bodyDiv w:val="1"/>
      <w:marLeft w:val="0"/>
      <w:marRight w:val="0"/>
      <w:marTop w:val="0"/>
      <w:marBottom w:val="0"/>
      <w:divBdr>
        <w:top w:val="none" w:sz="0" w:space="0" w:color="auto"/>
        <w:left w:val="none" w:sz="0" w:space="0" w:color="auto"/>
        <w:bottom w:val="none" w:sz="0" w:space="0" w:color="auto"/>
        <w:right w:val="none" w:sz="0" w:space="0" w:color="auto"/>
      </w:divBdr>
      <w:divsChild>
        <w:div w:id="1207572416">
          <w:marLeft w:val="0"/>
          <w:marRight w:val="0"/>
          <w:marTop w:val="0"/>
          <w:marBottom w:val="0"/>
          <w:divBdr>
            <w:top w:val="none" w:sz="0" w:space="0" w:color="auto"/>
            <w:left w:val="none" w:sz="0" w:space="0" w:color="auto"/>
            <w:bottom w:val="none" w:sz="0" w:space="0" w:color="auto"/>
            <w:right w:val="none" w:sz="0" w:space="0" w:color="auto"/>
          </w:divBdr>
          <w:divsChild>
            <w:div w:id="398672279">
              <w:marLeft w:val="0"/>
              <w:marRight w:val="0"/>
              <w:marTop w:val="0"/>
              <w:marBottom w:val="0"/>
              <w:divBdr>
                <w:top w:val="none" w:sz="0" w:space="0" w:color="auto"/>
                <w:left w:val="none" w:sz="0" w:space="0" w:color="auto"/>
                <w:bottom w:val="none" w:sz="0" w:space="0" w:color="auto"/>
                <w:right w:val="none" w:sz="0" w:space="0" w:color="auto"/>
              </w:divBdr>
              <w:divsChild>
                <w:div w:id="1005745955">
                  <w:marLeft w:val="0"/>
                  <w:marRight w:val="0"/>
                  <w:marTop w:val="0"/>
                  <w:marBottom w:val="0"/>
                  <w:divBdr>
                    <w:top w:val="none" w:sz="0" w:space="0" w:color="auto"/>
                    <w:left w:val="none" w:sz="0" w:space="0" w:color="auto"/>
                    <w:bottom w:val="none" w:sz="0" w:space="0" w:color="auto"/>
                    <w:right w:val="none" w:sz="0" w:space="0" w:color="auto"/>
                  </w:divBdr>
                  <w:divsChild>
                    <w:div w:id="11423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562395">
      <w:bodyDiv w:val="1"/>
      <w:marLeft w:val="0"/>
      <w:marRight w:val="0"/>
      <w:marTop w:val="0"/>
      <w:marBottom w:val="0"/>
      <w:divBdr>
        <w:top w:val="none" w:sz="0" w:space="0" w:color="auto"/>
        <w:left w:val="none" w:sz="0" w:space="0" w:color="auto"/>
        <w:bottom w:val="none" w:sz="0" w:space="0" w:color="auto"/>
        <w:right w:val="none" w:sz="0" w:space="0" w:color="auto"/>
      </w:divBdr>
    </w:div>
    <w:div w:id="741220841">
      <w:bodyDiv w:val="1"/>
      <w:marLeft w:val="0"/>
      <w:marRight w:val="0"/>
      <w:marTop w:val="0"/>
      <w:marBottom w:val="0"/>
      <w:divBdr>
        <w:top w:val="none" w:sz="0" w:space="0" w:color="auto"/>
        <w:left w:val="none" w:sz="0" w:space="0" w:color="auto"/>
        <w:bottom w:val="none" w:sz="0" w:space="0" w:color="auto"/>
        <w:right w:val="none" w:sz="0" w:space="0" w:color="auto"/>
      </w:divBdr>
      <w:divsChild>
        <w:div w:id="1444107754">
          <w:marLeft w:val="0"/>
          <w:marRight w:val="0"/>
          <w:marTop w:val="0"/>
          <w:marBottom w:val="0"/>
          <w:divBdr>
            <w:top w:val="none" w:sz="0" w:space="0" w:color="auto"/>
            <w:left w:val="none" w:sz="0" w:space="0" w:color="auto"/>
            <w:bottom w:val="none" w:sz="0" w:space="0" w:color="auto"/>
            <w:right w:val="none" w:sz="0" w:space="0" w:color="auto"/>
          </w:divBdr>
        </w:div>
        <w:div w:id="709190324">
          <w:marLeft w:val="0"/>
          <w:marRight w:val="0"/>
          <w:marTop w:val="0"/>
          <w:marBottom w:val="0"/>
          <w:divBdr>
            <w:top w:val="none" w:sz="0" w:space="0" w:color="auto"/>
            <w:left w:val="none" w:sz="0" w:space="0" w:color="auto"/>
            <w:bottom w:val="none" w:sz="0" w:space="0" w:color="auto"/>
            <w:right w:val="none" w:sz="0" w:space="0" w:color="auto"/>
          </w:divBdr>
          <w:divsChild>
            <w:div w:id="737245330">
              <w:marLeft w:val="0"/>
              <w:marRight w:val="0"/>
              <w:marTop w:val="0"/>
              <w:marBottom w:val="0"/>
              <w:divBdr>
                <w:top w:val="none" w:sz="0" w:space="0" w:color="auto"/>
                <w:left w:val="none" w:sz="0" w:space="0" w:color="auto"/>
                <w:bottom w:val="none" w:sz="0" w:space="0" w:color="auto"/>
                <w:right w:val="none" w:sz="0" w:space="0" w:color="auto"/>
              </w:divBdr>
              <w:divsChild>
                <w:div w:id="34413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01594">
      <w:bodyDiv w:val="1"/>
      <w:marLeft w:val="0"/>
      <w:marRight w:val="0"/>
      <w:marTop w:val="0"/>
      <w:marBottom w:val="0"/>
      <w:divBdr>
        <w:top w:val="none" w:sz="0" w:space="0" w:color="auto"/>
        <w:left w:val="none" w:sz="0" w:space="0" w:color="auto"/>
        <w:bottom w:val="none" w:sz="0" w:space="0" w:color="auto"/>
        <w:right w:val="none" w:sz="0" w:space="0" w:color="auto"/>
      </w:divBdr>
      <w:divsChild>
        <w:div w:id="401560186">
          <w:marLeft w:val="0"/>
          <w:marRight w:val="0"/>
          <w:marTop w:val="0"/>
          <w:marBottom w:val="0"/>
          <w:divBdr>
            <w:top w:val="none" w:sz="0" w:space="0" w:color="auto"/>
            <w:left w:val="none" w:sz="0" w:space="0" w:color="auto"/>
            <w:bottom w:val="none" w:sz="0" w:space="0" w:color="auto"/>
            <w:right w:val="none" w:sz="0" w:space="0" w:color="auto"/>
          </w:divBdr>
          <w:divsChild>
            <w:div w:id="640816967">
              <w:marLeft w:val="0"/>
              <w:marRight w:val="0"/>
              <w:marTop w:val="0"/>
              <w:marBottom w:val="0"/>
              <w:divBdr>
                <w:top w:val="none" w:sz="0" w:space="0" w:color="auto"/>
                <w:left w:val="none" w:sz="0" w:space="0" w:color="auto"/>
                <w:bottom w:val="none" w:sz="0" w:space="0" w:color="auto"/>
                <w:right w:val="none" w:sz="0" w:space="0" w:color="auto"/>
              </w:divBdr>
              <w:divsChild>
                <w:div w:id="16223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008058">
      <w:bodyDiv w:val="1"/>
      <w:marLeft w:val="0"/>
      <w:marRight w:val="0"/>
      <w:marTop w:val="0"/>
      <w:marBottom w:val="0"/>
      <w:divBdr>
        <w:top w:val="none" w:sz="0" w:space="0" w:color="auto"/>
        <w:left w:val="none" w:sz="0" w:space="0" w:color="auto"/>
        <w:bottom w:val="none" w:sz="0" w:space="0" w:color="auto"/>
        <w:right w:val="none" w:sz="0" w:space="0" w:color="auto"/>
      </w:divBdr>
      <w:divsChild>
        <w:div w:id="1248424846">
          <w:marLeft w:val="0"/>
          <w:marRight w:val="0"/>
          <w:marTop w:val="0"/>
          <w:marBottom w:val="0"/>
          <w:divBdr>
            <w:top w:val="none" w:sz="0" w:space="0" w:color="auto"/>
            <w:left w:val="none" w:sz="0" w:space="0" w:color="auto"/>
            <w:bottom w:val="none" w:sz="0" w:space="0" w:color="auto"/>
            <w:right w:val="none" w:sz="0" w:space="0" w:color="auto"/>
          </w:divBdr>
          <w:divsChild>
            <w:div w:id="1396709009">
              <w:marLeft w:val="0"/>
              <w:marRight w:val="0"/>
              <w:marTop w:val="0"/>
              <w:marBottom w:val="0"/>
              <w:divBdr>
                <w:top w:val="none" w:sz="0" w:space="0" w:color="auto"/>
                <w:left w:val="none" w:sz="0" w:space="0" w:color="auto"/>
                <w:bottom w:val="none" w:sz="0" w:space="0" w:color="auto"/>
                <w:right w:val="none" w:sz="0" w:space="0" w:color="auto"/>
              </w:divBdr>
              <w:divsChild>
                <w:div w:id="41867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628542">
      <w:bodyDiv w:val="1"/>
      <w:marLeft w:val="0"/>
      <w:marRight w:val="0"/>
      <w:marTop w:val="0"/>
      <w:marBottom w:val="0"/>
      <w:divBdr>
        <w:top w:val="none" w:sz="0" w:space="0" w:color="auto"/>
        <w:left w:val="none" w:sz="0" w:space="0" w:color="auto"/>
        <w:bottom w:val="none" w:sz="0" w:space="0" w:color="auto"/>
        <w:right w:val="none" w:sz="0" w:space="0" w:color="auto"/>
      </w:divBdr>
    </w:div>
    <w:div w:id="831602874">
      <w:bodyDiv w:val="1"/>
      <w:marLeft w:val="0"/>
      <w:marRight w:val="0"/>
      <w:marTop w:val="0"/>
      <w:marBottom w:val="0"/>
      <w:divBdr>
        <w:top w:val="none" w:sz="0" w:space="0" w:color="auto"/>
        <w:left w:val="none" w:sz="0" w:space="0" w:color="auto"/>
        <w:bottom w:val="none" w:sz="0" w:space="0" w:color="auto"/>
        <w:right w:val="none" w:sz="0" w:space="0" w:color="auto"/>
      </w:divBdr>
    </w:div>
    <w:div w:id="859658514">
      <w:bodyDiv w:val="1"/>
      <w:marLeft w:val="0"/>
      <w:marRight w:val="0"/>
      <w:marTop w:val="0"/>
      <w:marBottom w:val="0"/>
      <w:divBdr>
        <w:top w:val="none" w:sz="0" w:space="0" w:color="auto"/>
        <w:left w:val="none" w:sz="0" w:space="0" w:color="auto"/>
        <w:bottom w:val="none" w:sz="0" w:space="0" w:color="auto"/>
        <w:right w:val="none" w:sz="0" w:space="0" w:color="auto"/>
      </w:divBdr>
    </w:div>
    <w:div w:id="860434090">
      <w:bodyDiv w:val="1"/>
      <w:marLeft w:val="0"/>
      <w:marRight w:val="0"/>
      <w:marTop w:val="0"/>
      <w:marBottom w:val="0"/>
      <w:divBdr>
        <w:top w:val="none" w:sz="0" w:space="0" w:color="auto"/>
        <w:left w:val="none" w:sz="0" w:space="0" w:color="auto"/>
        <w:bottom w:val="none" w:sz="0" w:space="0" w:color="auto"/>
        <w:right w:val="none" w:sz="0" w:space="0" w:color="auto"/>
      </w:divBdr>
      <w:divsChild>
        <w:div w:id="1967540587">
          <w:marLeft w:val="0"/>
          <w:marRight w:val="0"/>
          <w:marTop w:val="0"/>
          <w:marBottom w:val="0"/>
          <w:divBdr>
            <w:top w:val="none" w:sz="0" w:space="0" w:color="auto"/>
            <w:left w:val="none" w:sz="0" w:space="0" w:color="auto"/>
            <w:bottom w:val="none" w:sz="0" w:space="0" w:color="auto"/>
            <w:right w:val="none" w:sz="0" w:space="0" w:color="auto"/>
          </w:divBdr>
          <w:divsChild>
            <w:div w:id="1977249426">
              <w:marLeft w:val="0"/>
              <w:marRight w:val="0"/>
              <w:marTop w:val="0"/>
              <w:marBottom w:val="0"/>
              <w:divBdr>
                <w:top w:val="none" w:sz="0" w:space="0" w:color="auto"/>
                <w:left w:val="none" w:sz="0" w:space="0" w:color="auto"/>
                <w:bottom w:val="none" w:sz="0" w:space="0" w:color="auto"/>
                <w:right w:val="none" w:sz="0" w:space="0" w:color="auto"/>
              </w:divBdr>
              <w:divsChild>
                <w:div w:id="33924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843662">
      <w:bodyDiv w:val="1"/>
      <w:marLeft w:val="0"/>
      <w:marRight w:val="0"/>
      <w:marTop w:val="0"/>
      <w:marBottom w:val="0"/>
      <w:divBdr>
        <w:top w:val="none" w:sz="0" w:space="0" w:color="auto"/>
        <w:left w:val="none" w:sz="0" w:space="0" w:color="auto"/>
        <w:bottom w:val="none" w:sz="0" w:space="0" w:color="auto"/>
        <w:right w:val="none" w:sz="0" w:space="0" w:color="auto"/>
      </w:divBdr>
      <w:divsChild>
        <w:div w:id="717053386">
          <w:marLeft w:val="0"/>
          <w:marRight w:val="0"/>
          <w:marTop w:val="0"/>
          <w:marBottom w:val="0"/>
          <w:divBdr>
            <w:top w:val="none" w:sz="0" w:space="0" w:color="auto"/>
            <w:left w:val="none" w:sz="0" w:space="0" w:color="auto"/>
            <w:bottom w:val="none" w:sz="0" w:space="0" w:color="auto"/>
            <w:right w:val="none" w:sz="0" w:space="0" w:color="auto"/>
          </w:divBdr>
          <w:divsChild>
            <w:div w:id="997659640">
              <w:marLeft w:val="0"/>
              <w:marRight w:val="0"/>
              <w:marTop w:val="0"/>
              <w:marBottom w:val="0"/>
              <w:divBdr>
                <w:top w:val="none" w:sz="0" w:space="0" w:color="auto"/>
                <w:left w:val="none" w:sz="0" w:space="0" w:color="auto"/>
                <w:bottom w:val="none" w:sz="0" w:space="0" w:color="auto"/>
                <w:right w:val="none" w:sz="0" w:space="0" w:color="auto"/>
              </w:divBdr>
              <w:divsChild>
                <w:div w:id="1340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40999">
      <w:bodyDiv w:val="1"/>
      <w:marLeft w:val="0"/>
      <w:marRight w:val="0"/>
      <w:marTop w:val="0"/>
      <w:marBottom w:val="0"/>
      <w:divBdr>
        <w:top w:val="none" w:sz="0" w:space="0" w:color="auto"/>
        <w:left w:val="none" w:sz="0" w:space="0" w:color="auto"/>
        <w:bottom w:val="none" w:sz="0" w:space="0" w:color="auto"/>
        <w:right w:val="none" w:sz="0" w:space="0" w:color="auto"/>
      </w:divBdr>
    </w:div>
    <w:div w:id="876896870">
      <w:bodyDiv w:val="1"/>
      <w:marLeft w:val="0"/>
      <w:marRight w:val="0"/>
      <w:marTop w:val="0"/>
      <w:marBottom w:val="0"/>
      <w:divBdr>
        <w:top w:val="none" w:sz="0" w:space="0" w:color="auto"/>
        <w:left w:val="none" w:sz="0" w:space="0" w:color="auto"/>
        <w:bottom w:val="none" w:sz="0" w:space="0" w:color="auto"/>
        <w:right w:val="none" w:sz="0" w:space="0" w:color="auto"/>
      </w:divBdr>
    </w:div>
    <w:div w:id="877089417">
      <w:bodyDiv w:val="1"/>
      <w:marLeft w:val="0"/>
      <w:marRight w:val="0"/>
      <w:marTop w:val="0"/>
      <w:marBottom w:val="0"/>
      <w:divBdr>
        <w:top w:val="none" w:sz="0" w:space="0" w:color="auto"/>
        <w:left w:val="none" w:sz="0" w:space="0" w:color="auto"/>
        <w:bottom w:val="none" w:sz="0" w:space="0" w:color="auto"/>
        <w:right w:val="none" w:sz="0" w:space="0" w:color="auto"/>
      </w:divBdr>
      <w:divsChild>
        <w:div w:id="1906064813">
          <w:marLeft w:val="0"/>
          <w:marRight w:val="0"/>
          <w:marTop w:val="0"/>
          <w:marBottom w:val="0"/>
          <w:divBdr>
            <w:top w:val="none" w:sz="0" w:space="0" w:color="auto"/>
            <w:left w:val="none" w:sz="0" w:space="0" w:color="auto"/>
            <w:bottom w:val="none" w:sz="0" w:space="0" w:color="auto"/>
            <w:right w:val="none" w:sz="0" w:space="0" w:color="auto"/>
          </w:divBdr>
          <w:divsChild>
            <w:div w:id="1903322839">
              <w:marLeft w:val="0"/>
              <w:marRight w:val="0"/>
              <w:marTop w:val="0"/>
              <w:marBottom w:val="0"/>
              <w:divBdr>
                <w:top w:val="none" w:sz="0" w:space="0" w:color="auto"/>
                <w:left w:val="none" w:sz="0" w:space="0" w:color="auto"/>
                <w:bottom w:val="none" w:sz="0" w:space="0" w:color="auto"/>
                <w:right w:val="none" w:sz="0" w:space="0" w:color="auto"/>
              </w:divBdr>
              <w:divsChild>
                <w:div w:id="11029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21979">
      <w:bodyDiv w:val="1"/>
      <w:marLeft w:val="0"/>
      <w:marRight w:val="0"/>
      <w:marTop w:val="0"/>
      <w:marBottom w:val="0"/>
      <w:divBdr>
        <w:top w:val="none" w:sz="0" w:space="0" w:color="auto"/>
        <w:left w:val="none" w:sz="0" w:space="0" w:color="auto"/>
        <w:bottom w:val="none" w:sz="0" w:space="0" w:color="auto"/>
        <w:right w:val="none" w:sz="0" w:space="0" w:color="auto"/>
      </w:divBdr>
    </w:div>
    <w:div w:id="942609266">
      <w:bodyDiv w:val="1"/>
      <w:marLeft w:val="0"/>
      <w:marRight w:val="0"/>
      <w:marTop w:val="0"/>
      <w:marBottom w:val="0"/>
      <w:divBdr>
        <w:top w:val="none" w:sz="0" w:space="0" w:color="auto"/>
        <w:left w:val="none" w:sz="0" w:space="0" w:color="auto"/>
        <w:bottom w:val="none" w:sz="0" w:space="0" w:color="auto"/>
        <w:right w:val="none" w:sz="0" w:space="0" w:color="auto"/>
      </w:divBdr>
    </w:div>
    <w:div w:id="956104911">
      <w:bodyDiv w:val="1"/>
      <w:marLeft w:val="0"/>
      <w:marRight w:val="0"/>
      <w:marTop w:val="0"/>
      <w:marBottom w:val="0"/>
      <w:divBdr>
        <w:top w:val="none" w:sz="0" w:space="0" w:color="auto"/>
        <w:left w:val="none" w:sz="0" w:space="0" w:color="auto"/>
        <w:bottom w:val="none" w:sz="0" w:space="0" w:color="auto"/>
        <w:right w:val="none" w:sz="0" w:space="0" w:color="auto"/>
      </w:divBdr>
      <w:divsChild>
        <w:div w:id="1322003030">
          <w:marLeft w:val="0"/>
          <w:marRight w:val="0"/>
          <w:marTop w:val="0"/>
          <w:marBottom w:val="0"/>
          <w:divBdr>
            <w:top w:val="none" w:sz="0" w:space="0" w:color="auto"/>
            <w:left w:val="none" w:sz="0" w:space="0" w:color="auto"/>
            <w:bottom w:val="none" w:sz="0" w:space="0" w:color="auto"/>
            <w:right w:val="none" w:sz="0" w:space="0" w:color="auto"/>
          </w:divBdr>
          <w:divsChild>
            <w:div w:id="1527790274">
              <w:marLeft w:val="0"/>
              <w:marRight w:val="0"/>
              <w:marTop w:val="0"/>
              <w:marBottom w:val="0"/>
              <w:divBdr>
                <w:top w:val="none" w:sz="0" w:space="0" w:color="auto"/>
                <w:left w:val="none" w:sz="0" w:space="0" w:color="auto"/>
                <w:bottom w:val="none" w:sz="0" w:space="0" w:color="auto"/>
                <w:right w:val="none" w:sz="0" w:space="0" w:color="auto"/>
              </w:divBdr>
              <w:divsChild>
                <w:div w:id="1420446137">
                  <w:marLeft w:val="0"/>
                  <w:marRight w:val="0"/>
                  <w:marTop w:val="0"/>
                  <w:marBottom w:val="0"/>
                  <w:divBdr>
                    <w:top w:val="none" w:sz="0" w:space="0" w:color="auto"/>
                    <w:left w:val="none" w:sz="0" w:space="0" w:color="auto"/>
                    <w:bottom w:val="none" w:sz="0" w:space="0" w:color="auto"/>
                    <w:right w:val="none" w:sz="0" w:space="0" w:color="auto"/>
                  </w:divBdr>
                  <w:divsChild>
                    <w:div w:id="127031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165880">
      <w:bodyDiv w:val="1"/>
      <w:marLeft w:val="0"/>
      <w:marRight w:val="0"/>
      <w:marTop w:val="0"/>
      <w:marBottom w:val="0"/>
      <w:divBdr>
        <w:top w:val="none" w:sz="0" w:space="0" w:color="auto"/>
        <w:left w:val="none" w:sz="0" w:space="0" w:color="auto"/>
        <w:bottom w:val="none" w:sz="0" w:space="0" w:color="auto"/>
        <w:right w:val="none" w:sz="0" w:space="0" w:color="auto"/>
      </w:divBdr>
      <w:divsChild>
        <w:div w:id="701325127">
          <w:marLeft w:val="0"/>
          <w:marRight w:val="0"/>
          <w:marTop w:val="0"/>
          <w:marBottom w:val="0"/>
          <w:divBdr>
            <w:top w:val="none" w:sz="0" w:space="0" w:color="auto"/>
            <w:left w:val="none" w:sz="0" w:space="0" w:color="auto"/>
            <w:bottom w:val="none" w:sz="0" w:space="0" w:color="auto"/>
            <w:right w:val="none" w:sz="0" w:space="0" w:color="auto"/>
          </w:divBdr>
          <w:divsChild>
            <w:div w:id="546913042">
              <w:marLeft w:val="0"/>
              <w:marRight w:val="0"/>
              <w:marTop w:val="0"/>
              <w:marBottom w:val="0"/>
              <w:divBdr>
                <w:top w:val="none" w:sz="0" w:space="0" w:color="auto"/>
                <w:left w:val="none" w:sz="0" w:space="0" w:color="auto"/>
                <w:bottom w:val="none" w:sz="0" w:space="0" w:color="auto"/>
                <w:right w:val="none" w:sz="0" w:space="0" w:color="auto"/>
              </w:divBdr>
              <w:divsChild>
                <w:div w:id="10444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97432">
      <w:bodyDiv w:val="1"/>
      <w:marLeft w:val="0"/>
      <w:marRight w:val="0"/>
      <w:marTop w:val="0"/>
      <w:marBottom w:val="0"/>
      <w:divBdr>
        <w:top w:val="none" w:sz="0" w:space="0" w:color="auto"/>
        <w:left w:val="none" w:sz="0" w:space="0" w:color="auto"/>
        <w:bottom w:val="none" w:sz="0" w:space="0" w:color="auto"/>
        <w:right w:val="none" w:sz="0" w:space="0" w:color="auto"/>
      </w:divBdr>
    </w:div>
    <w:div w:id="974287275">
      <w:bodyDiv w:val="1"/>
      <w:marLeft w:val="0"/>
      <w:marRight w:val="0"/>
      <w:marTop w:val="0"/>
      <w:marBottom w:val="0"/>
      <w:divBdr>
        <w:top w:val="none" w:sz="0" w:space="0" w:color="auto"/>
        <w:left w:val="none" w:sz="0" w:space="0" w:color="auto"/>
        <w:bottom w:val="none" w:sz="0" w:space="0" w:color="auto"/>
        <w:right w:val="none" w:sz="0" w:space="0" w:color="auto"/>
      </w:divBdr>
      <w:divsChild>
        <w:div w:id="1082065154">
          <w:marLeft w:val="0"/>
          <w:marRight w:val="0"/>
          <w:marTop w:val="0"/>
          <w:marBottom w:val="0"/>
          <w:divBdr>
            <w:top w:val="none" w:sz="0" w:space="0" w:color="auto"/>
            <w:left w:val="none" w:sz="0" w:space="0" w:color="auto"/>
            <w:bottom w:val="none" w:sz="0" w:space="0" w:color="auto"/>
            <w:right w:val="none" w:sz="0" w:space="0" w:color="auto"/>
          </w:divBdr>
          <w:divsChild>
            <w:div w:id="639387361">
              <w:marLeft w:val="0"/>
              <w:marRight w:val="0"/>
              <w:marTop w:val="0"/>
              <w:marBottom w:val="0"/>
              <w:divBdr>
                <w:top w:val="none" w:sz="0" w:space="0" w:color="auto"/>
                <w:left w:val="none" w:sz="0" w:space="0" w:color="auto"/>
                <w:bottom w:val="none" w:sz="0" w:space="0" w:color="auto"/>
                <w:right w:val="none" w:sz="0" w:space="0" w:color="auto"/>
              </w:divBdr>
              <w:divsChild>
                <w:div w:id="19398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971846">
      <w:bodyDiv w:val="1"/>
      <w:marLeft w:val="0"/>
      <w:marRight w:val="0"/>
      <w:marTop w:val="0"/>
      <w:marBottom w:val="0"/>
      <w:divBdr>
        <w:top w:val="none" w:sz="0" w:space="0" w:color="auto"/>
        <w:left w:val="none" w:sz="0" w:space="0" w:color="auto"/>
        <w:bottom w:val="none" w:sz="0" w:space="0" w:color="auto"/>
        <w:right w:val="none" w:sz="0" w:space="0" w:color="auto"/>
      </w:divBdr>
      <w:divsChild>
        <w:div w:id="193081799">
          <w:marLeft w:val="0"/>
          <w:marRight w:val="0"/>
          <w:marTop w:val="0"/>
          <w:marBottom w:val="0"/>
          <w:divBdr>
            <w:top w:val="none" w:sz="0" w:space="0" w:color="auto"/>
            <w:left w:val="none" w:sz="0" w:space="0" w:color="auto"/>
            <w:bottom w:val="none" w:sz="0" w:space="0" w:color="auto"/>
            <w:right w:val="none" w:sz="0" w:space="0" w:color="auto"/>
          </w:divBdr>
          <w:divsChild>
            <w:div w:id="339741383">
              <w:marLeft w:val="0"/>
              <w:marRight w:val="0"/>
              <w:marTop w:val="0"/>
              <w:marBottom w:val="0"/>
              <w:divBdr>
                <w:top w:val="none" w:sz="0" w:space="0" w:color="auto"/>
                <w:left w:val="none" w:sz="0" w:space="0" w:color="auto"/>
                <w:bottom w:val="none" w:sz="0" w:space="0" w:color="auto"/>
                <w:right w:val="none" w:sz="0" w:space="0" w:color="auto"/>
              </w:divBdr>
              <w:divsChild>
                <w:div w:id="16037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147047">
      <w:bodyDiv w:val="1"/>
      <w:marLeft w:val="0"/>
      <w:marRight w:val="0"/>
      <w:marTop w:val="0"/>
      <w:marBottom w:val="0"/>
      <w:divBdr>
        <w:top w:val="none" w:sz="0" w:space="0" w:color="auto"/>
        <w:left w:val="none" w:sz="0" w:space="0" w:color="auto"/>
        <w:bottom w:val="none" w:sz="0" w:space="0" w:color="auto"/>
        <w:right w:val="none" w:sz="0" w:space="0" w:color="auto"/>
      </w:divBdr>
      <w:divsChild>
        <w:div w:id="1706523648">
          <w:marLeft w:val="0"/>
          <w:marRight w:val="0"/>
          <w:marTop w:val="0"/>
          <w:marBottom w:val="0"/>
          <w:divBdr>
            <w:top w:val="none" w:sz="0" w:space="0" w:color="auto"/>
            <w:left w:val="none" w:sz="0" w:space="0" w:color="auto"/>
            <w:bottom w:val="none" w:sz="0" w:space="0" w:color="auto"/>
            <w:right w:val="none" w:sz="0" w:space="0" w:color="auto"/>
          </w:divBdr>
          <w:divsChild>
            <w:div w:id="1107234743">
              <w:marLeft w:val="0"/>
              <w:marRight w:val="0"/>
              <w:marTop w:val="0"/>
              <w:marBottom w:val="0"/>
              <w:divBdr>
                <w:top w:val="none" w:sz="0" w:space="0" w:color="auto"/>
                <w:left w:val="none" w:sz="0" w:space="0" w:color="auto"/>
                <w:bottom w:val="none" w:sz="0" w:space="0" w:color="auto"/>
                <w:right w:val="none" w:sz="0" w:space="0" w:color="auto"/>
              </w:divBdr>
              <w:divsChild>
                <w:div w:id="29676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8616">
      <w:bodyDiv w:val="1"/>
      <w:marLeft w:val="0"/>
      <w:marRight w:val="0"/>
      <w:marTop w:val="0"/>
      <w:marBottom w:val="0"/>
      <w:divBdr>
        <w:top w:val="none" w:sz="0" w:space="0" w:color="auto"/>
        <w:left w:val="none" w:sz="0" w:space="0" w:color="auto"/>
        <w:bottom w:val="none" w:sz="0" w:space="0" w:color="auto"/>
        <w:right w:val="none" w:sz="0" w:space="0" w:color="auto"/>
      </w:divBdr>
      <w:divsChild>
        <w:div w:id="1358659438">
          <w:marLeft w:val="0"/>
          <w:marRight w:val="0"/>
          <w:marTop w:val="0"/>
          <w:marBottom w:val="0"/>
          <w:divBdr>
            <w:top w:val="none" w:sz="0" w:space="0" w:color="auto"/>
            <w:left w:val="none" w:sz="0" w:space="0" w:color="auto"/>
            <w:bottom w:val="none" w:sz="0" w:space="0" w:color="auto"/>
            <w:right w:val="none" w:sz="0" w:space="0" w:color="auto"/>
          </w:divBdr>
          <w:divsChild>
            <w:div w:id="1829396819">
              <w:marLeft w:val="0"/>
              <w:marRight w:val="0"/>
              <w:marTop w:val="0"/>
              <w:marBottom w:val="0"/>
              <w:divBdr>
                <w:top w:val="none" w:sz="0" w:space="0" w:color="auto"/>
                <w:left w:val="none" w:sz="0" w:space="0" w:color="auto"/>
                <w:bottom w:val="none" w:sz="0" w:space="0" w:color="auto"/>
                <w:right w:val="none" w:sz="0" w:space="0" w:color="auto"/>
              </w:divBdr>
              <w:divsChild>
                <w:div w:id="46551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78234">
      <w:bodyDiv w:val="1"/>
      <w:marLeft w:val="0"/>
      <w:marRight w:val="0"/>
      <w:marTop w:val="0"/>
      <w:marBottom w:val="0"/>
      <w:divBdr>
        <w:top w:val="none" w:sz="0" w:space="0" w:color="auto"/>
        <w:left w:val="none" w:sz="0" w:space="0" w:color="auto"/>
        <w:bottom w:val="none" w:sz="0" w:space="0" w:color="auto"/>
        <w:right w:val="none" w:sz="0" w:space="0" w:color="auto"/>
      </w:divBdr>
    </w:div>
    <w:div w:id="1097140352">
      <w:bodyDiv w:val="1"/>
      <w:marLeft w:val="0"/>
      <w:marRight w:val="0"/>
      <w:marTop w:val="0"/>
      <w:marBottom w:val="0"/>
      <w:divBdr>
        <w:top w:val="none" w:sz="0" w:space="0" w:color="auto"/>
        <w:left w:val="none" w:sz="0" w:space="0" w:color="auto"/>
        <w:bottom w:val="none" w:sz="0" w:space="0" w:color="auto"/>
        <w:right w:val="none" w:sz="0" w:space="0" w:color="auto"/>
      </w:divBdr>
      <w:divsChild>
        <w:div w:id="2015572884">
          <w:marLeft w:val="994"/>
          <w:marRight w:val="0"/>
          <w:marTop w:val="0"/>
          <w:marBottom w:val="0"/>
          <w:divBdr>
            <w:top w:val="none" w:sz="0" w:space="0" w:color="auto"/>
            <w:left w:val="none" w:sz="0" w:space="0" w:color="auto"/>
            <w:bottom w:val="none" w:sz="0" w:space="0" w:color="auto"/>
            <w:right w:val="none" w:sz="0" w:space="0" w:color="auto"/>
          </w:divBdr>
        </w:div>
      </w:divsChild>
    </w:div>
    <w:div w:id="1173686362">
      <w:bodyDiv w:val="1"/>
      <w:marLeft w:val="0"/>
      <w:marRight w:val="0"/>
      <w:marTop w:val="0"/>
      <w:marBottom w:val="0"/>
      <w:divBdr>
        <w:top w:val="none" w:sz="0" w:space="0" w:color="auto"/>
        <w:left w:val="none" w:sz="0" w:space="0" w:color="auto"/>
        <w:bottom w:val="none" w:sz="0" w:space="0" w:color="auto"/>
        <w:right w:val="none" w:sz="0" w:space="0" w:color="auto"/>
      </w:divBdr>
      <w:divsChild>
        <w:div w:id="1056077924">
          <w:marLeft w:val="0"/>
          <w:marRight w:val="0"/>
          <w:marTop w:val="0"/>
          <w:marBottom w:val="0"/>
          <w:divBdr>
            <w:top w:val="none" w:sz="0" w:space="0" w:color="auto"/>
            <w:left w:val="none" w:sz="0" w:space="0" w:color="auto"/>
            <w:bottom w:val="none" w:sz="0" w:space="0" w:color="auto"/>
            <w:right w:val="none" w:sz="0" w:space="0" w:color="auto"/>
          </w:divBdr>
          <w:divsChild>
            <w:div w:id="1155292278">
              <w:marLeft w:val="0"/>
              <w:marRight w:val="0"/>
              <w:marTop w:val="0"/>
              <w:marBottom w:val="0"/>
              <w:divBdr>
                <w:top w:val="none" w:sz="0" w:space="0" w:color="auto"/>
                <w:left w:val="none" w:sz="0" w:space="0" w:color="auto"/>
                <w:bottom w:val="none" w:sz="0" w:space="0" w:color="auto"/>
                <w:right w:val="none" w:sz="0" w:space="0" w:color="auto"/>
              </w:divBdr>
              <w:divsChild>
                <w:div w:id="19693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7931">
      <w:bodyDiv w:val="1"/>
      <w:marLeft w:val="0"/>
      <w:marRight w:val="0"/>
      <w:marTop w:val="0"/>
      <w:marBottom w:val="0"/>
      <w:divBdr>
        <w:top w:val="none" w:sz="0" w:space="0" w:color="auto"/>
        <w:left w:val="none" w:sz="0" w:space="0" w:color="auto"/>
        <w:bottom w:val="none" w:sz="0" w:space="0" w:color="auto"/>
        <w:right w:val="none" w:sz="0" w:space="0" w:color="auto"/>
      </w:divBdr>
      <w:divsChild>
        <w:div w:id="1778791683">
          <w:marLeft w:val="0"/>
          <w:marRight w:val="0"/>
          <w:marTop w:val="0"/>
          <w:marBottom w:val="0"/>
          <w:divBdr>
            <w:top w:val="none" w:sz="0" w:space="0" w:color="auto"/>
            <w:left w:val="none" w:sz="0" w:space="0" w:color="auto"/>
            <w:bottom w:val="none" w:sz="0" w:space="0" w:color="auto"/>
            <w:right w:val="none" w:sz="0" w:space="0" w:color="auto"/>
          </w:divBdr>
          <w:divsChild>
            <w:div w:id="392775324">
              <w:marLeft w:val="0"/>
              <w:marRight w:val="0"/>
              <w:marTop w:val="0"/>
              <w:marBottom w:val="0"/>
              <w:divBdr>
                <w:top w:val="none" w:sz="0" w:space="0" w:color="auto"/>
                <w:left w:val="none" w:sz="0" w:space="0" w:color="auto"/>
                <w:bottom w:val="none" w:sz="0" w:space="0" w:color="auto"/>
                <w:right w:val="none" w:sz="0" w:space="0" w:color="auto"/>
              </w:divBdr>
              <w:divsChild>
                <w:div w:id="1052146187">
                  <w:marLeft w:val="0"/>
                  <w:marRight w:val="0"/>
                  <w:marTop w:val="0"/>
                  <w:marBottom w:val="0"/>
                  <w:divBdr>
                    <w:top w:val="none" w:sz="0" w:space="0" w:color="auto"/>
                    <w:left w:val="none" w:sz="0" w:space="0" w:color="auto"/>
                    <w:bottom w:val="none" w:sz="0" w:space="0" w:color="auto"/>
                    <w:right w:val="none" w:sz="0" w:space="0" w:color="auto"/>
                  </w:divBdr>
                  <w:divsChild>
                    <w:div w:id="133557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920843">
      <w:bodyDiv w:val="1"/>
      <w:marLeft w:val="0"/>
      <w:marRight w:val="0"/>
      <w:marTop w:val="0"/>
      <w:marBottom w:val="0"/>
      <w:divBdr>
        <w:top w:val="none" w:sz="0" w:space="0" w:color="auto"/>
        <w:left w:val="none" w:sz="0" w:space="0" w:color="auto"/>
        <w:bottom w:val="none" w:sz="0" w:space="0" w:color="auto"/>
        <w:right w:val="none" w:sz="0" w:space="0" w:color="auto"/>
      </w:divBdr>
    </w:div>
    <w:div w:id="1320771613">
      <w:bodyDiv w:val="1"/>
      <w:marLeft w:val="0"/>
      <w:marRight w:val="0"/>
      <w:marTop w:val="0"/>
      <w:marBottom w:val="0"/>
      <w:divBdr>
        <w:top w:val="none" w:sz="0" w:space="0" w:color="auto"/>
        <w:left w:val="none" w:sz="0" w:space="0" w:color="auto"/>
        <w:bottom w:val="none" w:sz="0" w:space="0" w:color="auto"/>
        <w:right w:val="none" w:sz="0" w:space="0" w:color="auto"/>
      </w:divBdr>
      <w:divsChild>
        <w:div w:id="667833212">
          <w:marLeft w:val="0"/>
          <w:marRight w:val="0"/>
          <w:marTop w:val="0"/>
          <w:marBottom w:val="0"/>
          <w:divBdr>
            <w:top w:val="none" w:sz="0" w:space="0" w:color="auto"/>
            <w:left w:val="none" w:sz="0" w:space="0" w:color="auto"/>
            <w:bottom w:val="none" w:sz="0" w:space="0" w:color="auto"/>
            <w:right w:val="none" w:sz="0" w:space="0" w:color="auto"/>
          </w:divBdr>
          <w:divsChild>
            <w:div w:id="17315057">
              <w:marLeft w:val="0"/>
              <w:marRight w:val="0"/>
              <w:marTop w:val="0"/>
              <w:marBottom w:val="0"/>
              <w:divBdr>
                <w:top w:val="none" w:sz="0" w:space="0" w:color="auto"/>
                <w:left w:val="none" w:sz="0" w:space="0" w:color="auto"/>
                <w:bottom w:val="none" w:sz="0" w:space="0" w:color="auto"/>
                <w:right w:val="none" w:sz="0" w:space="0" w:color="auto"/>
              </w:divBdr>
              <w:divsChild>
                <w:div w:id="12185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7108">
      <w:bodyDiv w:val="1"/>
      <w:marLeft w:val="0"/>
      <w:marRight w:val="0"/>
      <w:marTop w:val="0"/>
      <w:marBottom w:val="0"/>
      <w:divBdr>
        <w:top w:val="none" w:sz="0" w:space="0" w:color="auto"/>
        <w:left w:val="none" w:sz="0" w:space="0" w:color="auto"/>
        <w:bottom w:val="none" w:sz="0" w:space="0" w:color="auto"/>
        <w:right w:val="none" w:sz="0" w:space="0" w:color="auto"/>
      </w:divBdr>
    </w:div>
    <w:div w:id="1382247976">
      <w:bodyDiv w:val="1"/>
      <w:marLeft w:val="0"/>
      <w:marRight w:val="0"/>
      <w:marTop w:val="0"/>
      <w:marBottom w:val="0"/>
      <w:divBdr>
        <w:top w:val="none" w:sz="0" w:space="0" w:color="auto"/>
        <w:left w:val="none" w:sz="0" w:space="0" w:color="auto"/>
        <w:bottom w:val="none" w:sz="0" w:space="0" w:color="auto"/>
        <w:right w:val="none" w:sz="0" w:space="0" w:color="auto"/>
      </w:divBdr>
      <w:divsChild>
        <w:div w:id="766922393">
          <w:marLeft w:val="0"/>
          <w:marRight w:val="0"/>
          <w:marTop w:val="0"/>
          <w:marBottom w:val="0"/>
          <w:divBdr>
            <w:top w:val="none" w:sz="0" w:space="0" w:color="auto"/>
            <w:left w:val="none" w:sz="0" w:space="0" w:color="auto"/>
            <w:bottom w:val="none" w:sz="0" w:space="0" w:color="auto"/>
            <w:right w:val="none" w:sz="0" w:space="0" w:color="auto"/>
          </w:divBdr>
          <w:divsChild>
            <w:div w:id="1703093462">
              <w:marLeft w:val="0"/>
              <w:marRight w:val="0"/>
              <w:marTop w:val="0"/>
              <w:marBottom w:val="0"/>
              <w:divBdr>
                <w:top w:val="none" w:sz="0" w:space="0" w:color="auto"/>
                <w:left w:val="none" w:sz="0" w:space="0" w:color="auto"/>
                <w:bottom w:val="none" w:sz="0" w:space="0" w:color="auto"/>
                <w:right w:val="none" w:sz="0" w:space="0" w:color="auto"/>
              </w:divBdr>
              <w:divsChild>
                <w:div w:id="191273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38121">
      <w:bodyDiv w:val="1"/>
      <w:marLeft w:val="0"/>
      <w:marRight w:val="0"/>
      <w:marTop w:val="0"/>
      <w:marBottom w:val="0"/>
      <w:divBdr>
        <w:top w:val="none" w:sz="0" w:space="0" w:color="auto"/>
        <w:left w:val="none" w:sz="0" w:space="0" w:color="auto"/>
        <w:bottom w:val="none" w:sz="0" w:space="0" w:color="auto"/>
        <w:right w:val="none" w:sz="0" w:space="0" w:color="auto"/>
      </w:divBdr>
    </w:div>
    <w:div w:id="1461344598">
      <w:bodyDiv w:val="1"/>
      <w:marLeft w:val="0"/>
      <w:marRight w:val="0"/>
      <w:marTop w:val="0"/>
      <w:marBottom w:val="0"/>
      <w:divBdr>
        <w:top w:val="none" w:sz="0" w:space="0" w:color="auto"/>
        <w:left w:val="none" w:sz="0" w:space="0" w:color="auto"/>
        <w:bottom w:val="none" w:sz="0" w:space="0" w:color="auto"/>
        <w:right w:val="none" w:sz="0" w:space="0" w:color="auto"/>
      </w:divBdr>
      <w:divsChild>
        <w:div w:id="1967277470">
          <w:marLeft w:val="0"/>
          <w:marRight w:val="0"/>
          <w:marTop w:val="0"/>
          <w:marBottom w:val="0"/>
          <w:divBdr>
            <w:top w:val="none" w:sz="0" w:space="0" w:color="auto"/>
            <w:left w:val="none" w:sz="0" w:space="0" w:color="auto"/>
            <w:bottom w:val="none" w:sz="0" w:space="0" w:color="auto"/>
            <w:right w:val="none" w:sz="0" w:space="0" w:color="auto"/>
          </w:divBdr>
          <w:divsChild>
            <w:div w:id="896235354">
              <w:marLeft w:val="0"/>
              <w:marRight w:val="0"/>
              <w:marTop w:val="0"/>
              <w:marBottom w:val="0"/>
              <w:divBdr>
                <w:top w:val="none" w:sz="0" w:space="0" w:color="auto"/>
                <w:left w:val="none" w:sz="0" w:space="0" w:color="auto"/>
                <w:bottom w:val="none" w:sz="0" w:space="0" w:color="auto"/>
                <w:right w:val="none" w:sz="0" w:space="0" w:color="auto"/>
              </w:divBdr>
              <w:divsChild>
                <w:div w:id="179585804">
                  <w:marLeft w:val="0"/>
                  <w:marRight w:val="0"/>
                  <w:marTop w:val="0"/>
                  <w:marBottom w:val="0"/>
                  <w:divBdr>
                    <w:top w:val="none" w:sz="0" w:space="0" w:color="auto"/>
                    <w:left w:val="none" w:sz="0" w:space="0" w:color="auto"/>
                    <w:bottom w:val="none" w:sz="0" w:space="0" w:color="auto"/>
                    <w:right w:val="none" w:sz="0" w:space="0" w:color="auto"/>
                  </w:divBdr>
                  <w:divsChild>
                    <w:div w:id="19608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3968">
      <w:bodyDiv w:val="1"/>
      <w:marLeft w:val="0"/>
      <w:marRight w:val="0"/>
      <w:marTop w:val="0"/>
      <w:marBottom w:val="0"/>
      <w:divBdr>
        <w:top w:val="none" w:sz="0" w:space="0" w:color="auto"/>
        <w:left w:val="none" w:sz="0" w:space="0" w:color="auto"/>
        <w:bottom w:val="none" w:sz="0" w:space="0" w:color="auto"/>
        <w:right w:val="none" w:sz="0" w:space="0" w:color="auto"/>
      </w:divBdr>
      <w:divsChild>
        <w:div w:id="1743210950">
          <w:marLeft w:val="0"/>
          <w:marRight w:val="0"/>
          <w:marTop w:val="0"/>
          <w:marBottom w:val="0"/>
          <w:divBdr>
            <w:top w:val="none" w:sz="0" w:space="0" w:color="auto"/>
            <w:left w:val="none" w:sz="0" w:space="0" w:color="auto"/>
            <w:bottom w:val="none" w:sz="0" w:space="0" w:color="auto"/>
            <w:right w:val="none" w:sz="0" w:space="0" w:color="auto"/>
          </w:divBdr>
          <w:divsChild>
            <w:div w:id="2115709624">
              <w:marLeft w:val="0"/>
              <w:marRight w:val="0"/>
              <w:marTop w:val="0"/>
              <w:marBottom w:val="0"/>
              <w:divBdr>
                <w:top w:val="none" w:sz="0" w:space="0" w:color="auto"/>
                <w:left w:val="none" w:sz="0" w:space="0" w:color="auto"/>
                <w:bottom w:val="none" w:sz="0" w:space="0" w:color="auto"/>
                <w:right w:val="none" w:sz="0" w:space="0" w:color="auto"/>
              </w:divBdr>
              <w:divsChild>
                <w:div w:id="1927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51368">
      <w:bodyDiv w:val="1"/>
      <w:marLeft w:val="0"/>
      <w:marRight w:val="0"/>
      <w:marTop w:val="0"/>
      <w:marBottom w:val="0"/>
      <w:divBdr>
        <w:top w:val="none" w:sz="0" w:space="0" w:color="auto"/>
        <w:left w:val="none" w:sz="0" w:space="0" w:color="auto"/>
        <w:bottom w:val="none" w:sz="0" w:space="0" w:color="auto"/>
        <w:right w:val="none" w:sz="0" w:space="0" w:color="auto"/>
      </w:divBdr>
      <w:divsChild>
        <w:div w:id="726419109">
          <w:marLeft w:val="0"/>
          <w:marRight w:val="0"/>
          <w:marTop w:val="0"/>
          <w:marBottom w:val="0"/>
          <w:divBdr>
            <w:top w:val="none" w:sz="0" w:space="0" w:color="auto"/>
            <w:left w:val="none" w:sz="0" w:space="0" w:color="auto"/>
            <w:bottom w:val="none" w:sz="0" w:space="0" w:color="auto"/>
            <w:right w:val="none" w:sz="0" w:space="0" w:color="auto"/>
          </w:divBdr>
        </w:div>
        <w:div w:id="1807312018">
          <w:marLeft w:val="0"/>
          <w:marRight w:val="0"/>
          <w:marTop w:val="0"/>
          <w:marBottom w:val="0"/>
          <w:divBdr>
            <w:top w:val="none" w:sz="0" w:space="0" w:color="auto"/>
            <w:left w:val="none" w:sz="0" w:space="0" w:color="auto"/>
            <w:bottom w:val="none" w:sz="0" w:space="0" w:color="auto"/>
            <w:right w:val="none" w:sz="0" w:space="0" w:color="auto"/>
          </w:divBdr>
          <w:divsChild>
            <w:div w:id="389303454">
              <w:marLeft w:val="0"/>
              <w:marRight w:val="0"/>
              <w:marTop w:val="0"/>
              <w:marBottom w:val="0"/>
              <w:divBdr>
                <w:top w:val="none" w:sz="0" w:space="0" w:color="auto"/>
                <w:left w:val="none" w:sz="0" w:space="0" w:color="auto"/>
                <w:bottom w:val="none" w:sz="0" w:space="0" w:color="auto"/>
                <w:right w:val="none" w:sz="0" w:space="0" w:color="auto"/>
              </w:divBdr>
              <w:divsChild>
                <w:div w:id="16058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854856">
      <w:bodyDiv w:val="1"/>
      <w:marLeft w:val="0"/>
      <w:marRight w:val="0"/>
      <w:marTop w:val="0"/>
      <w:marBottom w:val="0"/>
      <w:divBdr>
        <w:top w:val="none" w:sz="0" w:space="0" w:color="auto"/>
        <w:left w:val="none" w:sz="0" w:space="0" w:color="auto"/>
        <w:bottom w:val="none" w:sz="0" w:space="0" w:color="auto"/>
        <w:right w:val="none" w:sz="0" w:space="0" w:color="auto"/>
      </w:divBdr>
    </w:div>
    <w:div w:id="1577714181">
      <w:bodyDiv w:val="1"/>
      <w:marLeft w:val="0"/>
      <w:marRight w:val="0"/>
      <w:marTop w:val="0"/>
      <w:marBottom w:val="0"/>
      <w:divBdr>
        <w:top w:val="none" w:sz="0" w:space="0" w:color="auto"/>
        <w:left w:val="none" w:sz="0" w:space="0" w:color="auto"/>
        <w:bottom w:val="none" w:sz="0" w:space="0" w:color="auto"/>
        <w:right w:val="none" w:sz="0" w:space="0" w:color="auto"/>
      </w:divBdr>
    </w:div>
    <w:div w:id="1581527492">
      <w:bodyDiv w:val="1"/>
      <w:marLeft w:val="0"/>
      <w:marRight w:val="0"/>
      <w:marTop w:val="0"/>
      <w:marBottom w:val="0"/>
      <w:divBdr>
        <w:top w:val="none" w:sz="0" w:space="0" w:color="auto"/>
        <w:left w:val="none" w:sz="0" w:space="0" w:color="auto"/>
        <w:bottom w:val="none" w:sz="0" w:space="0" w:color="auto"/>
        <w:right w:val="none" w:sz="0" w:space="0" w:color="auto"/>
      </w:divBdr>
    </w:div>
    <w:div w:id="1588032872">
      <w:bodyDiv w:val="1"/>
      <w:marLeft w:val="0"/>
      <w:marRight w:val="0"/>
      <w:marTop w:val="0"/>
      <w:marBottom w:val="0"/>
      <w:divBdr>
        <w:top w:val="none" w:sz="0" w:space="0" w:color="auto"/>
        <w:left w:val="none" w:sz="0" w:space="0" w:color="auto"/>
        <w:bottom w:val="none" w:sz="0" w:space="0" w:color="auto"/>
        <w:right w:val="none" w:sz="0" w:space="0" w:color="auto"/>
      </w:divBdr>
      <w:divsChild>
        <w:div w:id="165638958">
          <w:marLeft w:val="0"/>
          <w:marRight w:val="0"/>
          <w:marTop w:val="0"/>
          <w:marBottom w:val="0"/>
          <w:divBdr>
            <w:top w:val="none" w:sz="0" w:space="0" w:color="auto"/>
            <w:left w:val="none" w:sz="0" w:space="0" w:color="auto"/>
            <w:bottom w:val="none" w:sz="0" w:space="0" w:color="auto"/>
            <w:right w:val="none" w:sz="0" w:space="0" w:color="auto"/>
          </w:divBdr>
          <w:divsChild>
            <w:div w:id="1914703616">
              <w:marLeft w:val="0"/>
              <w:marRight w:val="0"/>
              <w:marTop w:val="0"/>
              <w:marBottom w:val="0"/>
              <w:divBdr>
                <w:top w:val="none" w:sz="0" w:space="0" w:color="auto"/>
                <w:left w:val="none" w:sz="0" w:space="0" w:color="auto"/>
                <w:bottom w:val="none" w:sz="0" w:space="0" w:color="auto"/>
                <w:right w:val="none" w:sz="0" w:space="0" w:color="auto"/>
              </w:divBdr>
              <w:divsChild>
                <w:div w:id="1067610897">
                  <w:marLeft w:val="0"/>
                  <w:marRight w:val="0"/>
                  <w:marTop w:val="0"/>
                  <w:marBottom w:val="0"/>
                  <w:divBdr>
                    <w:top w:val="none" w:sz="0" w:space="0" w:color="auto"/>
                    <w:left w:val="none" w:sz="0" w:space="0" w:color="auto"/>
                    <w:bottom w:val="none" w:sz="0" w:space="0" w:color="auto"/>
                    <w:right w:val="none" w:sz="0" w:space="0" w:color="auto"/>
                  </w:divBdr>
                  <w:divsChild>
                    <w:div w:id="164708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815731">
      <w:bodyDiv w:val="1"/>
      <w:marLeft w:val="0"/>
      <w:marRight w:val="0"/>
      <w:marTop w:val="0"/>
      <w:marBottom w:val="0"/>
      <w:divBdr>
        <w:top w:val="none" w:sz="0" w:space="0" w:color="auto"/>
        <w:left w:val="none" w:sz="0" w:space="0" w:color="auto"/>
        <w:bottom w:val="none" w:sz="0" w:space="0" w:color="auto"/>
        <w:right w:val="none" w:sz="0" w:space="0" w:color="auto"/>
      </w:divBdr>
      <w:divsChild>
        <w:div w:id="345134912">
          <w:marLeft w:val="0"/>
          <w:marRight w:val="0"/>
          <w:marTop w:val="0"/>
          <w:marBottom w:val="0"/>
          <w:divBdr>
            <w:top w:val="none" w:sz="0" w:space="0" w:color="auto"/>
            <w:left w:val="none" w:sz="0" w:space="0" w:color="auto"/>
            <w:bottom w:val="none" w:sz="0" w:space="0" w:color="auto"/>
            <w:right w:val="none" w:sz="0" w:space="0" w:color="auto"/>
          </w:divBdr>
          <w:divsChild>
            <w:div w:id="1153567862">
              <w:marLeft w:val="0"/>
              <w:marRight w:val="0"/>
              <w:marTop w:val="0"/>
              <w:marBottom w:val="0"/>
              <w:divBdr>
                <w:top w:val="none" w:sz="0" w:space="0" w:color="auto"/>
                <w:left w:val="none" w:sz="0" w:space="0" w:color="auto"/>
                <w:bottom w:val="none" w:sz="0" w:space="0" w:color="auto"/>
                <w:right w:val="none" w:sz="0" w:space="0" w:color="auto"/>
              </w:divBdr>
              <w:divsChild>
                <w:div w:id="1934824358">
                  <w:marLeft w:val="0"/>
                  <w:marRight w:val="0"/>
                  <w:marTop w:val="0"/>
                  <w:marBottom w:val="0"/>
                  <w:divBdr>
                    <w:top w:val="none" w:sz="0" w:space="0" w:color="auto"/>
                    <w:left w:val="none" w:sz="0" w:space="0" w:color="auto"/>
                    <w:bottom w:val="none" w:sz="0" w:space="0" w:color="auto"/>
                    <w:right w:val="none" w:sz="0" w:space="0" w:color="auto"/>
                  </w:divBdr>
                  <w:divsChild>
                    <w:div w:id="16643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294325">
      <w:bodyDiv w:val="1"/>
      <w:marLeft w:val="0"/>
      <w:marRight w:val="0"/>
      <w:marTop w:val="0"/>
      <w:marBottom w:val="0"/>
      <w:divBdr>
        <w:top w:val="none" w:sz="0" w:space="0" w:color="auto"/>
        <w:left w:val="none" w:sz="0" w:space="0" w:color="auto"/>
        <w:bottom w:val="none" w:sz="0" w:space="0" w:color="auto"/>
        <w:right w:val="none" w:sz="0" w:space="0" w:color="auto"/>
      </w:divBdr>
      <w:divsChild>
        <w:div w:id="1834635879">
          <w:marLeft w:val="0"/>
          <w:marRight w:val="0"/>
          <w:marTop w:val="0"/>
          <w:marBottom w:val="0"/>
          <w:divBdr>
            <w:top w:val="none" w:sz="0" w:space="0" w:color="auto"/>
            <w:left w:val="none" w:sz="0" w:space="0" w:color="auto"/>
            <w:bottom w:val="none" w:sz="0" w:space="0" w:color="auto"/>
            <w:right w:val="none" w:sz="0" w:space="0" w:color="auto"/>
          </w:divBdr>
          <w:divsChild>
            <w:div w:id="292828607">
              <w:marLeft w:val="0"/>
              <w:marRight w:val="0"/>
              <w:marTop w:val="0"/>
              <w:marBottom w:val="0"/>
              <w:divBdr>
                <w:top w:val="none" w:sz="0" w:space="0" w:color="auto"/>
                <w:left w:val="none" w:sz="0" w:space="0" w:color="auto"/>
                <w:bottom w:val="none" w:sz="0" w:space="0" w:color="auto"/>
                <w:right w:val="none" w:sz="0" w:space="0" w:color="auto"/>
              </w:divBdr>
              <w:divsChild>
                <w:div w:id="1406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49623">
      <w:bodyDiv w:val="1"/>
      <w:marLeft w:val="0"/>
      <w:marRight w:val="0"/>
      <w:marTop w:val="0"/>
      <w:marBottom w:val="0"/>
      <w:divBdr>
        <w:top w:val="none" w:sz="0" w:space="0" w:color="auto"/>
        <w:left w:val="none" w:sz="0" w:space="0" w:color="auto"/>
        <w:bottom w:val="none" w:sz="0" w:space="0" w:color="auto"/>
        <w:right w:val="none" w:sz="0" w:space="0" w:color="auto"/>
      </w:divBdr>
      <w:divsChild>
        <w:div w:id="1997218851">
          <w:marLeft w:val="0"/>
          <w:marRight w:val="0"/>
          <w:marTop w:val="0"/>
          <w:marBottom w:val="0"/>
          <w:divBdr>
            <w:top w:val="none" w:sz="0" w:space="0" w:color="auto"/>
            <w:left w:val="none" w:sz="0" w:space="0" w:color="auto"/>
            <w:bottom w:val="none" w:sz="0" w:space="0" w:color="auto"/>
            <w:right w:val="none" w:sz="0" w:space="0" w:color="auto"/>
          </w:divBdr>
          <w:divsChild>
            <w:div w:id="837232706">
              <w:marLeft w:val="0"/>
              <w:marRight w:val="0"/>
              <w:marTop w:val="0"/>
              <w:marBottom w:val="0"/>
              <w:divBdr>
                <w:top w:val="none" w:sz="0" w:space="0" w:color="auto"/>
                <w:left w:val="none" w:sz="0" w:space="0" w:color="auto"/>
                <w:bottom w:val="none" w:sz="0" w:space="0" w:color="auto"/>
                <w:right w:val="none" w:sz="0" w:space="0" w:color="auto"/>
              </w:divBdr>
              <w:divsChild>
                <w:div w:id="465704973">
                  <w:marLeft w:val="0"/>
                  <w:marRight w:val="0"/>
                  <w:marTop w:val="0"/>
                  <w:marBottom w:val="0"/>
                  <w:divBdr>
                    <w:top w:val="none" w:sz="0" w:space="0" w:color="auto"/>
                    <w:left w:val="none" w:sz="0" w:space="0" w:color="auto"/>
                    <w:bottom w:val="none" w:sz="0" w:space="0" w:color="auto"/>
                    <w:right w:val="none" w:sz="0" w:space="0" w:color="auto"/>
                  </w:divBdr>
                  <w:divsChild>
                    <w:div w:id="1740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39391">
      <w:bodyDiv w:val="1"/>
      <w:marLeft w:val="0"/>
      <w:marRight w:val="0"/>
      <w:marTop w:val="0"/>
      <w:marBottom w:val="0"/>
      <w:divBdr>
        <w:top w:val="none" w:sz="0" w:space="0" w:color="auto"/>
        <w:left w:val="none" w:sz="0" w:space="0" w:color="auto"/>
        <w:bottom w:val="none" w:sz="0" w:space="0" w:color="auto"/>
        <w:right w:val="none" w:sz="0" w:space="0" w:color="auto"/>
      </w:divBdr>
      <w:divsChild>
        <w:div w:id="533007570">
          <w:marLeft w:val="0"/>
          <w:marRight w:val="0"/>
          <w:marTop w:val="0"/>
          <w:marBottom w:val="0"/>
          <w:divBdr>
            <w:top w:val="none" w:sz="0" w:space="0" w:color="auto"/>
            <w:left w:val="none" w:sz="0" w:space="0" w:color="auto"/>
            <w:bottom w:val="none" w:sz="0" w:space="0" w:color="auto"/>
            <w:right w:val="none" w:sz="0" w:space="0" w:color="auto"/>
          </w:divBdr>
          <w:divsChild>
            <w:div w:id="1798330935">
              <w:marLeft w:val="0"/>
              <w:marRight w:val="0"/>
              <w:marTop w:val="0"/>
              <w:marBottom w:val="0"/>
              <w:divBdr>
                <w:top w:val="none" w:sz="0" w:space="0" w:color="auto"/>
                <w:left w:val="none" w:sz="0" w:space="0" w:color="auto"/>
                <w:bottom w:val="none" w:sz="0" w:space="0" w:color="auto"/>
                <w:right w:val="none" w:sz="0" w:space="0" w:color="auto"/>
              </w:divBdr>
              <w:divsChild>
                <w:div w:id="86143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10508">
      <w:bodyDiv w:val="1"/>
      <w:marLeft w:val="0"/>
      <w:marRight w:val="0"/>
      <w:marTop w:val="0"/>
      <w:marBottom w:val="0"/>
      <w:divBdr>
        <w:top w:val="none" w:sz="0" w:space="0" w:color="auto"/>
        <w:left w:val="none" w:sz="0" w:space="0" w:color="auto"/>
        <w:bottom w:val="none" w:sz="0" w:space="0" w:color="auto"/>
        <w:right w:val="none" w:sz="0" w:space="0" w:color="auto"/>
      </w:divBdr>
    </w:div>
    <w:div w:id="1785465440">
      <w:bodyDiv w:val="1"/>
      <w:marLeft w:val="0"/>
      <w:marRight w:val="0"/>
      <w:marTop w:val="0"/>
      <w:marBottom w:val="0"/>
      <w:divBdr>
        <w:top w:val="none" w:sz="0" w:space="0" w:color="auto"/>
        <w:left w:val="none" w:sz="0" w:space="0" w:color="auto"/>
        <w:bottom w:val="none" w:sz="0" w:space="0" w:color="auto"/>
        <w:right w:val="none" w:sz="0" w:space="0" w:color="auto"/>
      </w:divBdr>
      <w:divsChild>
        <w:div w:id="172762150">
          <w:marLeft w:val="0"/>
          <w:marRight w:val="0"/>
          <w:marTop w:val="0"/>
          <w:marBottom w:val="0"/>
          <w:divBdr>
            <w:top w:val="none" w:sz="0" w:space="0" w:color="auto"/>
            <w:left w:val="none" w:sz="0" w:space="0" w:color="auto"/>
            <w:bottom w:val="none" w:sz="0" w:space="0" w:color="auto"/>
            <w:right w:val="none" w:sz="0" w:space="0" w:color="auto"/>
          </w:divBdr>
          <w:divsChild>
            <w:div w:id="733159326">
              <w:marLeft w:val="0"/>
              <w:marRight w:val="0"/>
              <w:marTop w:val="0"/>
              <w:marBottom w:val="0"/>
              <w:divBdr>
                <w:top w:val="none" w:sz="0" w:space="0" w:color="auto"/>
                <w:left w:val="none" w:sz="0" w:space="0" w:color="auto"/>
                <w:bottom w:val="none" w:sz="0" w:space="0" w:color="auto"/>
                <w:right w:val="none" w:sz="0" w:space="0" w:color="auto"/>
              </w:divBdr>
              <w:divsChild>
                <w:div w:id="28882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048105">
      <w:bodyDiv w:val="1"/>
      <w:marLeft w:val="0"/>
      <w:marRight w:val="0"/>
      <w:marTop w:val="0"/>
      <w:marBottom w:val="0"/>
      <w:divBdr>
        <w:top w:val="none" w:sz="0" w:space="0" w:color="auto"/>
        <w:left w:val="none" w:sz="0" w:space="0" w:color="auto"/>
        <w:bottom w:val="none" w:sz="0" w:space="0" w:color="auto"/>
        <w:right w:val="none" w:sz="0" w:space="0" w:color="auto"/>
      </w:divBdr>
    </w:div>
    <w:div w:id="1812550343">
      <w:bodyDiv w:val="1"/>
      <w:marLeft w:val="0"/>
      <w:marRight w:val="0"/>
      <w:marTop w:val="0"/>
      <w:marBottom w:val="0"/>
      <w:divBdr>
        <w:top w:val="none" w:sz="0" w:space="0" w:color="auto"/>
        <w:left w:val="none" w:sz="0" w:space="0" w:color="auto"/>
        <w:bottom w:val="none" w:sz="0" w:space="0" w:color="auto"/>
        <w:right w:val="none" w:sz="0" w:space="0" w:color="auto"/>
      </w:divBdr>
      <w:divsChild>
        <w:div w:id="726611204">
          <w:marLeft w:val="994"/>
          <w:marRight w:val="0"/>
          <w:marTop w:val="0"/>
          <w:marBottom w:val="0"/>
          <w:divBdr>
            <w:top w:val="none" w:sz="0" w:space="0" w:color="auto"/>
            <w:left w:val="none" w:sz="0" w:space="0" w:color="auto"/>
            <w:bottom w:val="none" w:sz="0" w:space="0" w:color="auto"/>
            <w:right w:val="none" w:sz="0" w:space="0" w:color="auto"/>
          </w:divBdr>
        </w:div>
      </w:divsChild>
    </w:div>
    <w:div w:id="1819608858">
      <w:bodyDiv w:val="1"/>
      <w:marLeft w:val="0"/>
      <w:marRight w:val="0"/>
      <w:marTop w:val="0"/>
      <w:marBottom w:val="0"/>
      <w:divBdr>
        <w:top w:val="none" w:sz="0" w:space="0" w:color="auto"/>
        <w:left w:val="none" w:sz="0" w:space="0" w:color="auto"/>
        <w:bottom w:val="none" w:sz="0" w:space="0" w:color="auto"/>
        <w:right w:val="none" w:sz="0" w:space="0" w:color="auto"/>
      </w:divBdr>
    </w:div>
    <w:div w:id="1840533673">
      <w:bodyDiv w:val="1"/>
      <w:marLeft w:val="0"/>
      <w:marRight w:val="0"/>
      <w:marTop w:val="0"/>
      <w:marBottom w:val="0"/>
      <w:divBdr>
        <w:top w:val="none" w:sz="0" w:space="0" w:color="auto"/>
        <w:left w:val="none" w:sz="0" w:space="0" w:color="auto"/>
        <w:bottom w:val="none" w:sz="0" w:space="0" w:color="auto"/>
        <w:right w:val="none" w:sz="0" w:space="0" w:color="auto"/>
      </w:divBdr>
      <w:divsChild>
        <w:div w:id="1545823582">
          <w:marLeft w:val="0"/>
          <w:marRight w:val="0"/>
          <w:marTop w:val="0"/>
          <w:marBottom w:val="0"/>
          <w:divBdr>
            <w:top w:val="none" w:sz="0" w:space="0" w:color="auto"/>
            <w:left w:val="none" w:sz="0" w:space="0" w:color="auto"/>
            <w:bottom w:val="none" w:sz="0" w:space="0" w:color="auto"/>
            <w:right w:val="none" w:sz="0" w:space="0" w:color="auto"/>
          </w:divBdr>
          <w:divsChild>
            <w:div w:id="2141996333">
              <w:marLeft w:val="0"/>
              <w:marRight w:val="0"/>
              <w:marTop w:val="0"/>
              <w:marBottom w:val="0"/>
              <w:divBdr>
                <w:top w:val="none" w:sz="0" w:space="0" w:color="auto"/>
                <w:left w:val="none" w:sz="0" w:space="0" w:color="auto"/>
                <w:bottom w:val="none" w:sz="0" w:space="0" w:color="auto"/>
                <w:right w:val="none" w:sz="0" w:space="0" w:color="auto"/>
              </w:divBdr>
              <w:divsChild>
                <w:div w:id="116451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92491">
      <w:bodyDiv w:val="1"/>
      <w:marLeft w:val="0"/>
      <w:marRight w:val="0"/>
      <w:marTop w:val="0"/>
      <w:marBottom w:val="0"/>
      <w:divBdr>
        <w:top w:val="none" w:sz="0" w:space="0" w:color="auto"/>
        <w:left w:val="none" w:sz="0" w:space="0" w:color="auto"/>
        <w:bottom w:val="none" w:sz="0" w:space="0" w:color="auto"/>
        <w:right w:val="none" w:sz="0" w:space="0" w:color="auto"/>
      </w:divBdr>
    </w:div>
    <w:div w:id="1877963171">
      <w:bodyDiv w:val="1"/>
      <w:marLeft w:val="0"/>
      <w:marRight w:val="0"/>
      <w:marTop w:val="0"/>
      <w:marBottom w:val="0"/>
      <w:divBdr>
        <w:top w:val="none" w:sz="0" w:space="0" w:color="auto"/>
        <w:left w:val="none" w:sz="0" w:space="0" w:color="auto"/>
        <w:bottom w:val="none" w:sz="0" w:space="0" w:color="auto"/>
        <w:right w:val="none" w:sz="0" w:space="0" w:color="auto"/>
      </w:divBdr>
      <w:divsChild>
        <w:div w:id="564337772">
          <w:marLeft w:val="0"/>
          <w:marRight w:val="0"/>
          <w:marTop w:val="0"/>
          <w:marBottom w:val="0"/>
          <w:divBdr>
            <w:top w:val="none" w:sz="0" w:space="0" w:color="auto"/>
            <w:left w:val="none" w:sz="0" w:space="0" w:color="auto"/>
            <w:bottom w:val="none" w:sz="0" w:space="0" w:color="auto"/>
            <w:right w:val="none" w:sz="0" w:space="0" w:color="auto"/>
          </w:divBdr>
          <w:divsChild>
            <w:div w:id="1929844615">
              <w:marLeft w:val="0"/>
              <w:marRight w:val="0"/>
              <w:marTop w:val="0"/>
              <w:marBottom w:val="0"/>
              <w:divBdr>
                <w:top w:val="none" w:sz="0" w:space="0" w:color="auto"/>
                <w:left w:val="none" w:sz="0" w:space="0" w:color="auto"/>
                <w:bottom w:val="none" w:sz="0" w:space="0" w:color="auto"/>
                <w:right w:val="none" w:sz="0" w:space="0" w:color="auto"/>
              </w:divBdr>
              <w:divsChild>
                <w:div w:id="6357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434301">
      <w:bodyDiv w:val="1"/>
      <w:marLeft w:val="0"/>
      <w:marRight w:val="0"/>
      <w:marTop w:val="0"/>
      <w:marBottom w:val="0"/>
      <w:divBdr>
        <w:top w:val="none" w:sz="0" w:space="0" w:color="auto"/>
        <w:left w:val="none" w:sz="0" w:space="0" w:color="auto"/>
        <w:bottom w:val="none" w:sz="0" w:space="0" w:color="auto"/>
        <w:right w:val="none" w:sz="0" w:space="0" w:color="auto"/>
      </w:divBdr>
      <w:divsChild>
        <w:div w:id="444664889">
          <w:marLeft w:val="0"/>
          <w:marRight w:val="0"/>
          <w:marTop w:val="0"/>
          <w:marBottom w:val="0"/>
          <w:divBdr>
            <w:top w:val="none" w:sz="0" w:space="0" w:color="auto"/>
            <w:left w:val="none" w:sz="0" w:space="0" w:color="auto"/>
            <w:bottom w:val="none" w:sz="0" w:space="0" w:color="auto"/>
            <w:right w:val="none" w:sz="0" w:space="0" w:color="auto"/>
          </w:divBdr>
          <w:divsChild>
            <w:div w:id="140776093">
              <w:marLeft w:val="0"/>
              <w:marRight w:val="0"/>
              <w:marTop w:val="0"/>
              <w:marBottom w:val="0"/>
              <w:divBdr>
                <w:top w:val="none" w:sz="0" w:space="0" w:color="auto"/>
                <w:left w:val="none" w:sz="0" w:space="0" w:color="auto"/>
                <w:bottom w:val="none" w:sz="0" w:space="0" w:color="auto"/>
                <w:right w:val="none" w:sz="0" w:space="0" w:color="auto"/>
              </w:divBdr>
              <w:divsChild>
                <w:div w:id="94181588">
                  <w:marLeft w:val="0"/>
                  <w:marRight w:val="0"/>
                  <w:marTop w:val="0"/>
                  <w:marBottom w:val="0"/>
                  <w:divBdr>
                    <w:top w:val="none" w:sz="0" w:space="0" w:color="auto"/>
                    <w:left w:val="none" w:sz="0" w:space="0" w:color="auto"/>
                    <w:bottom w:val="none" w:sz="0" w:space="0" w:color="auto"/>
                    <w:right w:val="none" w:sz="0" w:space="0" w:color="auto"/>
                  </w:divBdr>
                  <w:divsChild>
                    <w:div w:id="113456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96656">
      <w:bodyDiv w:val="1"/>
      <w:marLeft w:val="0"/>
      <w:marRight w:val="0"/>
      <w:marTop w:val="0"/>
      <w:marBottom w:val="0"/>
      <w:divBdr>
        <w:top w:val="none" w:sz="0" w:space="0" w:color="auto"/>
        <w:left w:val="none" w:sz="0" w:space="0" w:color="auto"/>
        <w:bottom w:val="none" w:sz="0" w:space="0" w:color="auto"/>
        <w:right w:val="none" w:sz="0" w:space="0" w:color="auto"/>
      </w:divBdr>
    </w:div>
    <w:div w:id="1940479490">
      <w:bodyDiv w:val="1"/>
      <w:marLeft w:val="0"/>
      <w:marRight w:val="0"/>
      <w:marTop w:val="0"/>
      <w:marBottom w:val="0"/>
      <w:divBdr>
        <w:top w:val="none" w:sz="0" w:space="0" w:color="auto"/>
        <w:left w:val="none" w:sz="0" w:space="0" w:color="auto"/>
        <w:bottom w:val="none" w:sz="0" w:space="0" w:color="auto"/>
        <w:right w:val="none" w:sz="0" w:space="0" w:color="auto"/>
      </w:divBdr>
      <w:divsChild>
        <w:div w:id="1449936674">
          <w:marLeft w:val="0"/>
          <w:marRight w:val="0"/>
          <w:marTop w:val="0"/>
          <w:marBottom w:val="0"/>
          <w:divBdr>
            <w:top w:val="none" w:sz="0" w:space="0" w:color="auto"/>
            <w:left w:val="none" w:sz="0" w:space="0" w:color="auto"/>
            <w:bottom w:val="none" w:sz="0" w:space="0" w:color="auto"/>
            <w:right w:val="none" w:sz="0" w:space="0" w:color="auto"/>
          </w:divBdr>
          <w:divsChild>
            <w:div w:id="982857971">
              <w:marLeft w:val="0"/>
              <w:marRight w:val="0"/>
              <w:marTop w:val="0"/>
              <w:marBottom w:val="0"/>
              <w:divBdr>
                <w:top w:val="none" w:sz="0" w:space="0" w:color="auto"/>
                <w:left w:val="none" w:sz="0" w:space="0" w:color="auto"/>
                <w:bottom w:val="none" w:sz="0" w:space="0" w:color="auto"/>
                <w:right w:val="none" w:sz="0" w:space="0" w:color="auto"/>
              </w:divBdr>
              <w:divsChild>
                <w:div w:id="7775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433505">
      <w:bodyDiv w:val="1"/>
      <w:marLeft w:val="0"/>
      <w:marRight w:val="0"/>
      <w:marTop w:val="0"/>
      <w:marBottom w:val="0"/>
      <w:divBdr>
        <w:top w:val="none" w:sz="0" w:space="0" w:color="auto"/>
        <w:left w:val="none" w:sz="0" w:space="0" w:color="auto"/>
        <w:bottom w:val="none" w:sz="0" w:space="0" w:color="auto"/>
        <w:right w:val="none" w:sz="0" w:space="0" w:color="auto"/>
      </w:divBdr>
      <w:divsChild>
        <w:div w:id="626156148">
          <w:marLeft w:val="0"/>
          <w:marRight w:val="0"/>
          <w:marTop w:val="0"/>
          <w:marBottom w:val="0"/>
          <w:divBdr>
            <w:top w:val="none" w:sz="0" w:space="0" w:color="auto"/>
            <w:left w:val="none" w:sz="0" w:space="0" w:color="auto"/>
            <w:bottom w:val="none" w:sz="0" w:space="0" w:color="auto"/>
            <w:right w:val="none" w:sz="0" w:space="0" w:color="auto"/>
          </w:divBdr>
        </w:div>
        <w:div w:id="1753504737">
          <w:marLeft w:val="0"/>
          <w:marRight w:val="0"/>
          <w:marTop w:val="0"/>
          <w:marBottom w:val="0"/>
          <w:divBdr>
            <w:top w:val="none" w:sz="0" w:space="0" w:color="auto"/>
            <w:left w:val="none" w:sz="0" w:space="0" w:color="auto"/>
            <w:bottom w:val="none" w:sz="0" w:space="0" w:color="auto"/>
            <w:right w:val="none" w:sz="0" w:space="0" w:color="auto"/>
          </w:divBdr>
          <w:divsChild>
            <w:div w:id="290287276">
              <w:marLeft w:val="0"/>
              <w:marRight w:val="0"/>
              <w:marTop w:val="0"/>
              <w:marBottom w:val="0"/>
              <w:divBdr>
                <w:top w:val="none" w:sz="0" w:space="0" w:color="auto"/>
                <w:left w:val="none" w:sz="0" w:space="0" w:color="auto"/>
                <w:bottom w:val="none" w:sz="0" w:space="0" w:color="auto"/>
                <w:right w:val="none" w:sz="0" w:space="0" w:color="auto"/>
              </w:divBdr>
              <w:divsChild>
                <w:div w:id="132554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491787">
      <w:bodyDiv w:val="1"/>
      <w:marLeft w:val="0"/>
      <w:marRight w:val="0"/>
      <w:marTop w:val="0"/>
      <w:marBottom w:val="0"/>
      <w:divBdr>
        <w:top w:val="none" w:sz="0" w:space="0" w:color="auto"/>
        <w:left w:val="none" w:sz="0" w:space="0" w:color="auto"/>
        <w:bottom w:val="none" w:sz="0" w:space="0" w:color="auto"/>
        <w:right w:val="none" w:sz="0" w:space="0" w:color="auto"/>
      </w:divBdr>
      <w:divsChild>
        <w:div w:id="7023402">
          <w:marLeft w:val="0"/>
          <w:marRight w:val="0"/>
          <w:marTop w:val="0"/>
          <w:marBottom w:val="0"/>
          <w:divBdr>
            <w:top w:val="none" w:sz="0" w:space="0" w:color="auto"/>
            <w:left w:val="none" w:sz="0" w:space="0" w:color="auto"/>
            <w:bottom w:val="none" w:sz="0" w:space="0" w:color="auto"/>
            <w:right w:val="none" w:sz="0" w:space="0" w:color="auto"/>
          </w:divBdr>
          <w:divsChild>
            <w:div w:id="1372997110">
              <w:marLeft w:val="0"/>
              <w:marRight w:val="0"/>
              <w:marTop w:val="0"/>
              <w:marBottom w:val="0"/>
              <w:divBdr>
                <w:top w:val="none" w:sz="0" w:space="0" w:color="auto"/>
                <w:left w:val="none" w:sz="0" w:space="0" w:color="auto"/>
                <w:bottom w:val="none" w:sz="0" w:space="0" w:color="auto"/>
                <w:right w:val="none" w:sz="0" w:space="0" w:color="auto"/>
              </w:divBdr>
              <w:divsChild>
                <w:div w:id="147116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07191">
      <w:bodyDiv w:val="1"/>
      <w:marLeft w:val="0"/>
      <w:marRight w:val="0"/>
      <w:marTop w:val="0"/>
      <w:marBottom w:val="0"/>
      <w:divBdr>
        <w:top w:val="none" w:sz="0" w:space="0" w:color="auto"/>
        <w:left w:val="none" w:sz="0" w:space="0" w:color="auto"/>
        <w:bottom w:val="none" w:sz="0" w:space="0" w:color="auto"/>
        <w:right w:val="none" w:sz="0" w:space="0" w:color="auto"/>
      </w:divBdr>
      <w:divsChild>
        <w:div w:id="478419389">
          <w:marLeft w:val="0"/>
          <w:marRight w:val="0"/>
          <w:marTop w:val="0"/>
          <w:marBottom w:val="0"/>
          <w:divBdr>
            <w:top w:val="none" w:sz="0" w:space="0" w:color="auto"/>
            <w:left w:val="none" w:sz="0" w:space="0" w:color="auto"/>
            <w:bottom w:val="none" w:sz="0" w:space="0" w:color="auto"/>
            <w:right w:val="none" w:sz="0" w:space="0" w:color="auto"/>
          </w:divBdr>
          <w:divsChild>
            <w:div w:id="1634604805">
              <w:marLeft w:val="0"/>
              <w:marRight w:val="0"/>
              <w:marTop w:val="0"/>
              <w:marBottom w:val="0"/>
              <w:divBdr>
                <w:top w:val="none" w:sz="0" w:space="0" w:color="auto"/>
                <w:left w:val="none" w:sz="0" w:space="0" w:color="auto"/>
                <w:bottom w:val="none" w:sz="0" w:space="0" w:color="auto"/>
                <w:right w:val="none" w:sz="0" w:space="0" w:color="auto"/>
              </w:divBdr>
              <w:divsChild>
                <w:div w:id="100377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14763">
      <w:bodyDiv w:val="1"/>
      <w:marLeft w:val="0"/>
      <w:marRight w:val="0"/>
      <w:marTop w:val="0"/>
      <w:marBottom w:val="0"/>
      <w:divBdr>
        <w:top w:val="none" w:sz="0" w:space="0" w:color="auto"/>
        <w:left w:val="none" w:sz="0" w:space="0" w:color="auto"/>
        <w:bottom w:val="none" w:sz="0" w:space="0" w:color="auto"/>
        <w:right w:val="none" w:sz="0" w:space="0" w:color="auto"/>
      </w:divBdr>
      <w:divsChild>
        <w:div w:id="1579172301">
          <w:marLeft w:val="0"/>
          <w:marRight w:val="0"/>
          <w:marTop w:val="0"/>
          <w:marBottom w:val="0"/>
          <w:divBdr>
            <w:top w:val="none" w:sz="0" w:space="0" w:color="auto"/>
            <w:left w:val="none" w:sz="0" w:space="0" w:color="auto"/>
            <w:bottom w:val="none" w:sz="0" w:space="0" w:color="auto"/>
            <w:right w:val="none" w:sz="0" w:space="0" w:color="auto"/>
          </w:divBdr>
          <w:divsChild>
            <w:div w:id="1062170180">
              <w:marLeft w:val="0"/>
              <w:marRight w:val="0"/>
              <w:marTop w:val="0"/>
              <w:marBottom w:val="0"/>
              <w:divBdr>
                <w:top w:val="none" w:sz="0" w:space="0" w:color="auto"/>
                <w:left w:val="none" w:sz="0" w:space="0" w:color="auto"/>
                <w:bottom w:val="none" w:sz="0" w:space="0" w:color="auto"/>
                <w:right w:val="none" w:sz="0" w:space="0" w:color="auto"/>
              </w:divBdr>
              <w:divsChild>
                <w:div w:id="1437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90863">
      <w:bodyDiv w:val="1"/>
      <w:marLeft w:val="0"/>
      <w:marRight w:val="0"/>
      <w:marTop w:val="0"/>
      <w:marBottom w:val="0"/>
      <w:divBdr>
        <w:top w:val="none" w:sz="0" w:space="0" w:color="auto"/>
        <w:left w:val="none" w:sz="0" w:space="0" w:color="auto"/>
        <w:bottom w:val="none" w:sz="0" w:space="0" w:color="auto"/>
        <w:right w:val="none" w:sz="0" w:space="0" w:color="auto"/>
      </w:divBdr>
    </w:div>
    <w:div w:id="2025209146">
      <w:bodyDiv w:val="1"/>
      <w:marLeft w:val="0"/>
      <w:marRight w:val="0"/>
      <w:marTop w:val="0"/>
      <w:marBottom w:val="0"/>
      <w:divBdr>
        <w:top w:val="none" w:sz="0" w:space="0" w:color="auto"/>
        <w:left w:val="none" w:sz="0" w:space="0" w:color="auto"/>
        <w:bottom w:val="none" w:sz="0" w:space="0" w:color="auto"/>
        <w:right w:val="none" w:sz="0" w:space="0" w:color="auto"/>
      </w:divBdr>
      <w:divsChild>
        <w:div w:id="588316975">
          <w:marLeft w:val="0"/>
          <w:marRight w:val="0"/>
          <w:marTop w:val="0"/>
          <w:marBottom w:val="0"/>
          <w:divBdr>
            <w:top w:val="none" w:sz="0" w:space="0" w:color="auto"/>
            <w:left w:val="none" w:sz="0" w:space="0" w:color="auto"/>
            <w:bottom w:val="none" w:sz="0" w:space="0" w:color="auto"/>
            <w:right w:val="none" w:sz="0" w:space="0" w:color="auto"/>
          </w:divBdr>
          <w:divsChild>
            <w:div w:id="1992563431">
              <w:marLeft w:val="0"/>
              <w:marRight w:val="0"/>
              <w:marTop w:val="0"/>
              <w:marBottom w:val="0"/>
              <w:divBdr>
                <w:top w:val="none" w:sz="0" w:space="0" w:color="auto"/>
                <w:left w:val="none" w:sz="0" w:space="0" w:color="auto"/>
                <w:bottom w:val="none" w:sz="0" w:space="0" w:color="auto"/>
                <w:right w:val="none" w:sz="0" w:space="0" w:color="auto"/>
              </w:divBdr>
              <w:divsChild>
                <w:div w:id="201969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77170">
      <w:bodyDiv w:val="1"/>
      <w:marLeft w:val="0"/>
      <w:marRight w:val="0"/>
      <w:marTop w:val="0"/>
      <w:marBottom w:val="0"/>
      <w:divBdr>
        <w:top w:val="none" w:sz="0" w:space="0" w:color="auto"/>
        <w:left w:val="none" w:sz="0" w:space="0" w:color="auto"/>
        <w:bottom w:val="none" w:sz="0" w:space="0" w:color="auto"/>
        <w:right w:val="none" w:sz="0" w:space="0" w:color="auto"/>
      </w:divBdr>
    </w:div>
    <w:div w:id="2040625614">
      <w:bodyDiv w:val="1"/>
      <w:marLeft w:val="0"/>
      <w:marRight w:val="0"/>
      <w:marTop w:val="0"/>
      <w:marBottom w:val="0"/>
      <w:divBdr>
        <w:top w:val="none" w:sz="0" w:space="0" w:color="auto"/>
        <w:left w:val="none" w:sz="0" w:space="0" w:color="auto"/>
        <w:bottom w:val="none" w:sz="0" w:space="0" w:color="auto"/>
        <w:right w:val="none" w:sz="0" w:space="0" w:color="auto"/>
      </w:divBdr>
    </w:div>
    <w:div w:id="2095128313">
      <w:bodyDiv w:val="1"/>
      <w:marLeft w:val="0"/>
      <w:marRight w:val="0"/>
      <w:marTop w:val="0"/>
      <w:marBottom w:val="0"/>
      <w:divBdr>
        <w:top w:val="none" w:sz="0" w:space="0" w:color="auto"/>
        <w:left w:val="none" w:sz="0" w:space="0" w:color="auto"/>
        <w:bottom w:val="none" w:sz="0" w:space="0" w:color="auto"/>
        <w:right w:val="none" w:sz="0" w:space="0" w:color="auto"/>
      </w:divBdr>
    </w:div>
    <w:div w:id="2095973542">
      <w:bodyDiv w:val="1"/>
      <w:marLeft w:val="0"/>
      <w:marRight w:val="0"/>
      <w:marTop w:val="0"/>
      <w:marBottom w:val="0"/>
      <w:divBdr>
        <w:top w:val="none" w:sz="0" w:space="0" w:color="auto"/>
        <w:left w:val="none" w:sz="0" w:space="0" w:color="auto"/>
        <w:bottom w:val="none" w:sz="0" w:space="0" w:color="auto"/>
        <w:right w:val="none" w:sz="0" w:space="0" w:color="auto"/>
      </w:divBdr>
      <w:divsChild>
        <w:div w:id="1606883269">
          <w:marLeft w:val="0"/>
          <w:marRight w:val="0"/>
          <w:marTop w:val="0"/>
          <w:marBottom w:val="0"/>
          <w:divBdr>
            <w:top w:val="none" w:sz="0" w:space="0" w:color="auto"/>
            <w:left w:val="none" w:sz="0" w:space="0" w:color="auto"/>
            <w:bottom w:val="none" w:sz="0" w:space="0" w:color="auto"/>
            <w:right w:val="none" w:sz="0" w:space="0" w:color="auto"/>
          </w:divBdr>
          <w:divsChild>
            <w:div w:id="688605635">
              <w:marLeft w:val="0"/>
              <w:marRight w:val="0"/>
              <w:marTop w:val="0"/>
              <w:marBottom w:val="0"/>
              <w:divBdr>
                <w:top w:val="none" w:sz="0" w:space="0" w:color="auto"/>
                <w:left w:val="none" w:sz="0" w:space="0" w:color="auto"/>
                <w:bottom w:val="none" w:sz="0" w:space="0" w:color="auto"/>
                <w:right w:val="none" w:sz="0" w:space="0" w:color="auto"/>
              </w:divBdr>
              <w:divsChild>
                <w:div w:id="12891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2510">
      <w:bodyDiv w:val="1"/>
      <w:marLeft w:val="0"/>
      <w:marRight w:val="0"/>
      <w:marTop w:val="0"/>
      <w:marBottom w:val="0"/>
      <w:divBdr>
        <w:top w:val="none" w:sz="0" w:space="0" w:color="auto"/>
        <w:left w:val="none" w:sz="0" w:space="0" w:color="auto"/>
        <w:bottom w:val="none" w:sz="0" w:space="0" w:color="auto"/>
        <w:right w:val="none" w:sz="0" w:space="0" w:color="auto"/>
      </w:divBdr>
      <w:divsChild>
        <w:div w:id="180705830">
          <w:marLeft w:val="0"/>
          <w:marRight w:val="0"/>
          <w:marTop w:val="0"/>
          <w:marBottom w:val="0"/>
          <w:divBdr>
            <w:top w:val="none" w:sz="0" w:space="0" w:color="auto"/>
            <w:left w:val="none" w:sz="0" w:space="0" w:color="auto"/>
            <w:bottom w:val="none" w:sz="0" w:space="0" w:color="auto"/>
            <w:right w:val="none" w:sz="0" w:space="0" w:color="auto"/>
          </w:divBdr>
          <w:divsChild>
            <w:div w:id="1339503500">
              <w:marLeft w:val="0"/>
              <w:marRight w:val="0"/>
              <w:marTop w:val="0"/>
              <w:marBottom w:val="0"/>
              <w:divBdr>
                <w:top w:val="none" w:sz="0" w:space="0" w:color="auto"/>
                <w:left w:val="none" w:sz="0" w:space="0" w:color="auto"/>
                <w:bottom w:val="none" w:sz="0" w:space="0" w:color="auto"/>
                <w:right w:val="none" w:sz="0" w:space="0" w:color="auto"/>
              </w:divBdr>
              <w:divsChild>
                <w:div w:id="49376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13594">
      <w:bodyDiv w:val="1"/>
      <w:marLeft w:val="0"/>
      <w:marRight w:val="0"/>
      <w:marTop w:val="0"/>
      <w:marBottom w:val="0"/>
      <w:divBdr>
        <w:top w:val="none" w:sz="0" w:space="0" w:color="auto"/>
        <w:left w:val="none" w:sz="0" w:space="0" w:color="auto"/>
        <w:bottom w:val="none" w:sz="0" w:space="0" w:color="auto"/>
        <w:right w:val="none" w:sz="0" w:space="0" w:color="auto"/>
      </w:divBdr>
    </w:div>
    <w:div w:id="2124567396">
      <w:bodyDiv w:val="1"/>
      <w:marLeft w:val="0"/>
      <w:marRight w:val="0"/>
      <w:marTop w:val="0"/>
      <w:marBottom w:val="0"/>
      <w:divBdr>
        <w:top w:val="none" w:sz="0" w:space="0" w:color="auto"/>
        <w:left w:val="none" w:sz="0" w:space="0" w:color="auto"/>
        <w:bottom w:val="none" w:sz="0" w:space="0" w:color="auto"/>
        <w:right w:val="none" w:sz="0" w:space="0" w:color="auto"/>
      </w:divBdr>
      <w:divsChild>
        <w:div w:id="1110054264">
          <w:marLeft w:val="0"/>
          <w:marRight w:val="0"/>
          <w:marTop w:val="0"/>
          <w:marBottom w:val="0"/>
          <w:divBdr>
            <w:top w:val="none" w:sz="0" w:space="0" w:color="auto"/>
            <w:left w:val="none" w:sz="0" w:space="0" w:color="auto"/>
            <w:bottom w:val="none" w:sz="0" w:space="0" w:color="auto"/>
            <w:right w:val="none" w:sz="0" w:space="0" w:color="auto"/>
          </w:divBdr>
        </w:div>
        <w:div w:id="497313315">
          <w:marLeft w:val="0"/>
          <w:marRight w:val="0"/>
          <w:marTop w:val="0"/>
          <w:marBottom w:val="0"/>
          <w:divBdr>
            <w:top w:val="none" w:sz="0" w:space="0" w:color="auto"/>
            <w:left w:val="none" w:sz="0" w:space="0" w:color="auto"/>
            <w:bottom w:val="none" w:sz="0" w:space="0" w:color="auto"/>
            <w:right w:val="none" w:sz="0" w:space="0" w:color="auto"/>
          </w:divBdr>
        </w:div>
      </w:divsChild>
    </w:div>
    <w:div w:id="2136750861">
      <w:bodyDiv w:val="1"/>
      <w:marLeft w:val="0"/>
      <w:marRight w:val="0"/>
      <w:marTop w:val="0"/>
      <w:marBottom w:val="0"/>
      <w:divBdr>
        <w:top w:val="none" w:sz="0" w:space="0" w:color="auto"/>
        <w:left w:val="none" w:sz="0" w:space="0" w:color="auto"/>
        <w:bottom w:val="none" w:sz="0" w:space="0" w:color="auto"/>
        <w:right w:val="none" w:sz="0" w:space="0" w:color="auto"/>
      </w:divBdr>
      <w:divsChild>
        <w:div w:id="1526362480">
          <w:marLeft w:val="0"/>
          <w:marRight w:val="0"/>
          <w:marTop w:val="0"/>
          <w:marBottom w:val="0"/>
          <w:divBdr>
            <w:top w:val="none" w:sz="0" w:space="0" w:color="auto"/>
            <w:left w:val="none" w:sz="0" w:space="0" w:color="auto"/>
            <w:bottom w:val="none" w:sz="0" w:space="0" w:color="auto"/>
            <w:right w:val="none" w:sz="0" w:space="0" w:color="auto"/>
          </w:divBdr>
          <w:divsChild>
            <w:div w:id="2020500886">
              <w:marLeft w:val="0"/>
              <w:marRight w:val="0"/>
              <w:marTop w:val="0"/>
              <w:marBottom w:val="0"/>
              <w:divBdr>
                <w:top w:val="none" w:sz="0" w:space="0" w:color="auto"/>
                <w:left w:val="none" w:sz="0" w:space="0" w:color="auto"/>
                <w:bottom w:val="none" w:sz="0" w:space="0" w:color="auto"/>
                <w:right w:val="none" w:sz="0" w:space="0" w:color="auto"/>
              </w:divBdr>
              <w:divsChild>
                <w:div w:id="2248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p.icc-cpi.int/en_menus/asp/elections/trust%20fund%20for%20victims/2006/Pages/second%20election%20of%20the%20members%20of%20the%20board%20of%20directors%20of%20the%20trust%20fund%20for%20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16545-56CF-4F23-A720-E3240BE82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9117</Words>
  <Characters>51973</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Rauxloh</dc:creator>
  <cp:lastModifiedBy>de Montfalcon S.P.</cp:lastModifiedBy>
  <cp:revision>2</cp:revision>
  <cp:lastPrinted>2019-06-12T07:48:00Z</cp:lastPrinted>
  <dcterms:created xsi:type="dcterms:W3CDTF">2020-08-28T11:48:00Z</dcterms:created>
  <dcterms:modified xsi:type="dcterms:W3CDTF">2020-08-28T11:48:00Z</dcterms:modified>
</cp:coreProperties>
</file>