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945" w:rsidRPr="00C21793" w:rsidRDefault="00306945" w:rsidP="00306945">
      <w:pPr>
        <w:pStyle w:val="arttitle"/>
        <w:snapToGrid w:val="0"/>
        <w:spacing w:after="0" w:line="360" w:lineRule="auto"/>
        <w:jc w:val="center"/>
        <w:rPr>
          <w:rFonts w:ascii="Times New Roman" w:hAnsi="Times New Roman"/>
          <w:szCs w:val="32"/>
        </w:rPr>
      </w:pPr>
      <w:bookmarkStart w:id="0" w:name="_GoBack"/>
      <w:bookmarkEnd w:id="0"/>
      <w:r w:rsidRPr="00C21793">
        <w:rPr>
          <w:rFonts w:ascii="Times New Roman" w:hAnsi="Times New Roman"/>
          <w:szCs w:val="32"/>
        </w:rPr>
        <w:t xml:space="preserve">Fluctuations in environmental pollutants and air quality during the lockdown in the United States and China: Two sides of COVID-19 pandemic </w:t>
      </w:r>
    </w:p>
    <w:p w:rsidR="00306945" w:rsidRPr="00C21793" w:rsidRDefault="00306945" w:rsidP="00306945">
      <w:pPr>
        <w:pStyle w:val="arttitle"/>
        <w:snapToGrid w:val="0"/>
        <w:spacing w:after="0" w:line="360" w:lineRule="auto"/>
        <w:rPr>
          <w:rFonts w:ascii="Times New Roman" w:hAnsi="Times New Roman"/>
          <w:szCs w:val="32"/>
        </w:rPr>
      </w:pPr>
    </w:p>
    <w:p w:rsidR="00306945" w:rsidRPr="00C21793" w:rsidRDefault="00306945" w:rsidP="00704AA5">
      <w:pPr>
        <w:pStyle w:val="arttitle"/>
        <w:snapToGrid w:val="0"/>
        <w:spacing w:after="0" w:line="360" w:lineRule="auto"/>
        <w:jc w:val="both"/>
        <w:rPr>
          <w:rFonts w:ascii="Times New Roman" w:hAnsi="Times New Roman"/>
          <w:b w:val="0"/>
          <w:sz w:val="24"/>
          <w:szCs w:val="32"/>
        </w:rPr>
      </w:pPr>
      <w:proofErr w:type="spellStart"/>
      <w:r w:rsidRPr="00C21793">
        <w:rPr>
          <w:rFonts w:ascii="Times New Roman" w:hAnsi="Times New Roman"/>
          <w:b w:val="0"/>
          <w:sz w:val="24"/>
          <w:szCs w:val="32"/>
        </w:rPr>
        <w:t>Awais</w:t>
      </w:r>
      <w:proofErr w:type="spellEnd"/>
      <w:r w:rsidRPr="00C21793">
        <w:rPr>
          <w:rFonts w:ascii="Times New Roman" w:hAnsi="Times New Roman"/>
          <w:b w:val="0"/>
          <w:sz w:val="24"/>
          <w:szCs w:val="32"/>
        </w:rPr>
        <w:t xml:space="preserve"> shakoor</w:t>
      </w:r>
      <w:r w:rsidRPr="00C21793">
        <w:rPr>
          <w:rFonts w:ascii="Times New Roman" w:hAnsi="Times New Roman"/>
          <w:b w:val="0"/>
          <w:sz w:val="24"/>
          <w:szCs w:val="32"/>
          <w:vertAlign w:val="superscript"/>
        </w:rPr>
        <w:t>1</w:t>
      </w:r>
      <w:r w:rsidRPr="00C21793">
        <w:rPr>
          <w:rFonts w:ascii="Times New Roman" w:hAnsi="Times New Roman"/>
          <w:b w:val="0"/>
          <w:sz w:val="24"/>
          <w:szCs w:val="32"/>
        </w:rPr>
        <w:t xml:space="preserve">, </w:t>
      </w:r>
      <w:proofErr w:type="spellStart"/>
      <w:r w:rsidR="00704AA5" w:rsidRPr="00C21793">
        <w:rPr>
          <w:rFonts w:ascii="Times New Roman" w:hAnsi="Times New Roman"/>
          <w:b w:val="0"/>
          <w:sz w:val="24"/>
          <w:szCs w:val="32"/>
        </w:rPr>
        <w:t>Xiaoyong</w:t>
      </w:r>
      <w:proofErr w:type="spellEnd"/>
      <w:r w:rsidR="00704AA5" w:rsidRPr="00C21793">
        <w:rPr>
          <w:rFonts w:ascii="Times New Roman" w:hAnsi="Times New Roman"/>
          <w:b w:val="0"/>
          <w:sz w:val="24"/>
          <w:szCs w:val="32"/>
        </w:rPr>
        <w:t xml:space="preserve"> Chen</w:t>
      </w:r>
      <w:r w:rsidR="00704AA5" w:rsidRPr="00C21793">
        <w:rPr>
          <w:rFonts w:ascii="Times New Roman" w:hAnsi="Times New Roman"/>
          <w:b w:val="0"/>
          <w:sz w:val="24"/>
          <w:szCs w:val="32"/>
          <w:vertAlign w:val="superscript"/>
        </w:rPr>
        <w:t>2,3</w:t>
      </w:r>
      <w:r w:rsidR="00704AA5" w:rsidRPr="00C21793">
        <w:rPr>
          <w:rFonts w:ascii="Times New Roman" w:hAnsi="Times New Roman"/>
          <w:b w:val="0"/>
          <w:sz w:val="24"/>
          <w:szCs w:val="32"/>
        </w:rPr>
        <w:t>, Taimoor Hassan Farooq</w:t>
      </w:r>
      <w:r w:rsidR="00704AA5" w:rsidRPr="00C21793">
        <w:rPr>
          <w:rFonts w:ascii="Times New Roman" w:hAnsi="Times New Roman"/>
          <w:b w:val="0"/>
          <w:sz w:val="24"/>
          <w:szCs w:val="32"/>
          <w:vertAlign w:val="superscript"/>
        </w:rPr>
        <w:t>2,</w:t>
      </w:r>
      <w:proofErr w:type="gramStart"/>
      <w:r w:rsidR="00704AA5" w:rsidRPr="00C21793">
        <w:rPr>
          <w:rFonts w:ascii="Times New Roman" w:hAnsi="Times New Roman"/>
          <w:b w:val="0"/>
          <w:sz w:val="24"/>
          <w:szCs w:val="32"/>
          <w:vertAlign w:val="superscript"/>
        </w:rPr>
        <w:t>3,</w:t>
      </w:r>
      <w:r w:rsidR="00704AA5" w:rsidRPr="00C21793">
        <w:rPr>
          <w:rFonts w:ascii="Times New Roman" w:hAnsi="Times New Roman"/>
          <w:b w:val="0"/>
          <w:sz w:val="28"/>
          <w:szCs w:val="32"/>
          <w:vertAlign w:val="superscript"/>
        </w:rPr>
        <w:t>*</w:t>
      </w:r>
      <w:proofErr w:type="gramEnd"/>
      <w:r w:rsidR="00704AA5" w:rsidRPr="00C21793">
        <w:rPr>
          <w:rFonts w:ascii="Times New Roman" w:hAnsi="Times New Roman"/>
          <w:b w:val="0"/>
          <w:sz w:val="24"/>
          <w:szCs w:val="32"/>
        </w:rPr>
        <w:t xml:space="preserve">, </w:t>
      </w:r>
      <w:proofErr w:type="spellStart"/>
      <w:r w:rsidR="00704AA5" w:rsidRPr="00C21793">
        <w:rPr>
          <w:rFonts w:ascii="Times New Roman" w:hAnsi="Times New Roman"/>
          <w:b w:val="0"/>
          <w:sz w:val="24"/>
          <w:szCs w:val="32"/>
        </w:rPr>
        <w:t>Umer</w:t>
      </w:r>
      <w:proofErr w:type="spellEnd"/>
      <w:r w:rsidR="00704AA5" w:rsidRPr="00C21793">
        <w:rPr>
          <w:rFonts w:ascii="Times New Roman" w:hAnsi="Times New Roman"/>
          <w:b w:val="0"/>
          <w:sz w:val="24"/>
          <w:szCs w:val="32"/>
        </w:rPr>
        <w:t xml:space="preserve"> Shahzad</w:t>
      </w:r>
      <w:r w:rsidR="00704AA5" w:rsidRPr="00C21793">
        <w:rPr>
          <w:rFonts w:ascii="Times New Roman" w:hAnsi="Times New Roman"/>
          <w:b w:val="0"/>
          <w:sz w:val="24"/>
          <w:szCs w:val="32"/>
          <w:vertAlign w:val="superscript"/>
        </w:rPr>
        <w:t>4</w:t>
      </w:r>
      <w:r w:rsidR="00704AA5" w:rsidRPr="00C21793">
        <w:rPr>
          <w:rFonts w:ascii="Times New Roman" w:hAnsi="Times New Roman"/>
          <w:b w:val="0"/>
          <w:sz w:val="24"/>
          <w:szCs w:val="32"/>
        </w:rPr>
        <w:t xml:space="preserve">, </w:t>
      </w:r>
      <w:r w:rsidRPr="00C21793">
        <w:rPr>
          <w:rFonts w:ascii="Times New Roman" w:hAnsi="Times New Roman"/>
          <w:b w:val="0"/>
          <w:sz w:val="24"/>
          <w:szCs w:val="32"/>
        </w:rPr>
        <w:t>Fatima Ashraf</w:t>
      </w:r>
      <w:r w:rsidR="00704AA5" w:rsidRPr="00C21793">
        <w:rPr>
          <w:rFonts w:ascii="Times New Roman" w:hAnsi="Times New Roman"/>
          <w:b w:val="0"/>
          <w:sz w:val="24"/>
          <w:szCs w:val="32"/>
          <w:vertAlign w:val="superscript"/>
        </w:rPr>
        <w:t>5</w:t>
      </w:r>
      <w:r w:rsidRPr="00C21793">
        <w:rPr>
          <w:rFonts w:ascii="Times New Roman" w:hAnsi="Times New Roman"/>
          <w:b w:val="0"/>
          <w:sz w:val="24"/>
          <w:szCs w:val="32"/>
        </w:rPr>
        <w:t>, Abdul Rehman</w:t>
      </w:r>
      <w:r w:rsidR="00704AA5" w:rsidRPr="00C21793">
        <w:rPr>
          <w:rFonts w:ascii="Times New Roman" w:hAnsi="Times New Roman"/>
          <w:b w:val="0"/>
          <w:sz w:val="24"/>
          <w:szCs w:val="32"/>
          <w:vertAlign w:val="superscript"/>
        </w:rPr>
        <w:t>6</w:t>
      </w:r>
      <w:r w:rsidRPr="00C21793">
        <w:rPr>
          <w:rFonts w:ascii="Times New Roman" w:hAnsi="Times New Roman"/>
          <w:b w:val="0"/>
          <w:sz w:val="24"/>
          <w:szCs w:val="32"/>
        </w:rPr>
        <w:t>, Najam e Sahar</w:t>
      </w:r>
      <w:r w:rsidR="00CF0888" w:rsidRPr="00C21793">
        <w:rPr>
          <w:rFonts w:ascii="Times New Roman" w:hAnsi="Times New Roman"/>
          <w:b w:val="0"/>
          <w:sz w:val="24"/>
          <w:szCs w:val="32"/>
          <w:vertAlign w:val="superscript"/>
        </w:rPr>
        <w:t>7</w:t>
      </w:r>
      <w:r w:rsidR="00835254" w:rsidRPr="00C21793">
        <w:rPr>
          <w:rFonts w:ascii="Times New Roman" w:hAnsi="Times New Roman"/>
          <w:b w:val="0"/>
          <w:sz w:val="24"/>
          <w:szCs w:val="32"/>
          <w:vertAlign w:val="superscript"/>
        </w:rPr>
        <w:t xml:space="preserve">, </w:t>
      </w:r>
      <w:r w:rsidR="00704AA5" w:rsidRPr="00C21793">
        <w:rPr>
          <w:rFonts w:ascii="Times New Roman" w:hAnsi="Times New Roman"/>
          <w:b w:val="0"/>
          <w:sz w:val="24"/>
          <w:szCs w:val="32"/>
        </w:rPr>
        <w:t>Wende Yan</w:t>
      </w:r>
      <w:r w:rsidR="00704AA5" w:rsidRPr="00C21793">
        <w:rPr>
          <w:rFonts w:ascii="Times New Roman" w:hAnsi="Times New Roman"/>
          <w:b w:val="0"/>
          <w:sz w:val="24"/>
          <w:szCs w:val="32"/>
          <w:vertAlign w:val="superscript"/>
        </w:rPr>
        <w:t>2,3,</w:t>
      </w:r>
      <w:r w:rsidR="00704AA5" w:rsidRPr="00C21793">
        <w:rPr>
          <w:rFonts w:ascii="Times New Roman" w:hAnsi="Times New Roman"/>
          <w:b w:val="0"/>
          <w:sz w:val="28"/>
          <w:szCs w:val="32"/>
          <w:vertAlign w:val="superscript"/>
        </w:rPr>
        <w:t xml:space="preserve"> *</w:t>
      </w:r>
    </w:p>
    <w:p w:rsidR="00306945" w:rsidRPr="00C21793" w:rsidRDefault="00306945" w:rsidP="00306945">
      <w:pPr>
        <w:pStyle w:val="arttitle"/>
        <w:snapToGrid w:val="0"/>
        <w:spacing w:after="0" w:line="360" w:lineRule="auto"/>
        <w:jc w:val="both"/>
        <w:rPr>
          <w:rFonts w:ascii="Times New Roman" w:hAnsi="Times New Roman"/>
          <w:b w:val="0"/>
          <w:sz w:val="24"/>
          <w:szCs w:val="32"/>
        </w:rPr>
      </w:pPr>
    </w:p>
    <w:p w:rsidR="00306945" w:rsidRPr="00C21793" w:rsidRDefault="00306945" w:rsidP="00306945">
      <w:pPr>
        <w:pStyle w:val="NoSpacing"/>
        <w:spacing w:line="360" w:lineRule="auto"/>
        <w:jc w:val="both"/>
        <w:rPr>
          <w:rFonts w:ascii="Times New Roman" w:hAnsi="Times New Roman" w:cs="Times New Roman"/>
          <w:sz w:val="24"/>
          <w:szCs w:val="24"/>
        </w:rPr>
      </w:pPr>
      <w:r w:rsidRPr="00C21793">
        <w:rPr>
          <w:rFonts w:ascii="Times New Roman" w:hAnsi="Times New Roman" w:cs="Times New Roman"/>
          <w:sz w:val="24"/>
          <w:szCs w:val="24"/>
          <w:vertAlign w:val="superscript"/>
        </w:rPr>
        <w:t xml:space="preserve">1 </w:t>
      </w:r>
      <w:proofErr w:type="spellStart"/>
      <w:r w:rsidRPr="00C21793">
        <w:rPr>
          <w:rFonts w:ascii="Times New Roman" w:hAnsi="Times New Roman" w:cs="Times New Roman"/>
          <w:sz w:val="24"/>
          <w:szCs w:val="24"/>
        </w:rPr>
        <w:t>Department</w:t>
      </w:r>
      <w:proofErr w:type="spellEnd"/>
      <w:r w:rsidRPr="00C21793">
        <w:rPr>
          <w:rFonts w:ascii="Times New Roman" w:hAnsi="Times New Roman" w:cs="Times New Roman"/>
          <w:sz w:val="24"/>
          <w:szCs w:val="24"/>
        </w:rPr>
        <w:t xml:space="preserve"> of </w:t>
      </w:r>
      <w:proofErr w:type="spellStart"/>
      <w:r w:rsidRPr="00C21793">
        <w:rPr>
          <w:rFonts w:ascii="Times New Roman" w:hAnsi="Times New Roman" w:cs="Times New Roman"/>
          <w:sz w:val="24"/>
          <w:szCs w:val="24"/>
        </w:rPr>
        <w:t>Environment</w:t>
      </w:r>
      <w:proofErr w:type="spellEnd"/>
      <w:r w:rsidRPr="00C21793">
        <w:rPr>
          <w:rFonts w:ascii="Times New Roman" w:hAnsi="Times New Roman" w:cs="Times New Roman"/>
          <w:sz w:val="24"/>
          <w:szCs w:val="24"/>
        </w:rPr>
        <w:t xml:space="preserve"> and </w:t>
      </w:r>
      <w:proofErr w:type="spellStart"/>
      <w:r w:rsidRPr="00C21793">
        <w:rPr>
          <w:rFonts w:ascii="Times New Roman" w:hAnsi="Times New Roman" w:cs="Times New Roman"/>
          <w:sz w:val="24"/>
          <w:szCs w:val="24"/>
        </w:rPr>
        <w:t>Soil</w:t>
      </w:r>
      <w:proofErr w:type="spellEnd"/>
      <w:r w:rsidRPr="00C21793">
        <w:rPr>
          <w:rFonts w:ascii="Times New Roman" w:hAnsi="Times New Roman" w:cs="Times New Roman"/>
          <w:sz w:val="24"/>
          <w:szCs w:val="24"/>
        </w:rPr>
        <w:t xml:space="preserve"> Sciences, </w:t>
      </w:r>
      <w:proofErr w:type="spellStart"/>
      <w:r w:rsidRPr="00C21793">
        <w:rPr>
          <w:rFonts w:ascii="Times New Roman" w:hAnsi="Times New Roman" w:cs="Times New Roman"/>
          <w:sz w:val="24"/>
          <w:szCs w:val="24"/>
        </w:rPr>
        <w:t>University</w:t>
      </w:r>
      <w:proofErr w:type="spellEnd"/>
      <w:r w:rsidRPr="00C21793">
        <w:rPr>
          <w:rFonts w:ascii="Times New Roman" w:hAnsi="Times New Roman" w:cs="Times New Roman"/>
          <w:sz w:val="24"/>
          <w:szCs w:val="24"/>
        </w:rPr>
        <w:t xml:space="preserve"> of Lleida, </w:t>
      </w:r>
      <w:proofErr w:type="spellStart"/>
      <w:r w:rsidRPr="00C21793">
        <w:rPr>
          <w:rFonts w:ascii="Times New Roman" w:hAnsi="Times New Roman" w:cs="Times New Roman"/>
          <w:sz w:val="24"/>
          <w:szCs w:val="24"/>
        </w:rPr>
        <w:t>Avinguda</w:t>
      </w:r>
      <w:proofErr w:type="spellEnd"/>
      <w:r w:rsidRPr="00C21793">
        <w:rPr>
          <w:rFonts w:ascii="Times New Roman" w:hAnsi="Times New Roman" w:cs="Times New Roman"/>
          <w:sz w:val="24"/>
          <w:szCs w:val="24"/>
        </w:rPr>
        <w:t xml:space="preserve"> Alcalde Rovira </w:t>
      </w:r>
      <w:proofErr w:type="spellStart"/>
      <w:r w:rsidRPr="00C21793">
        <w:rPr>
          <w:rFonts w:ascii="Times New Roman" w:hAnsi="Times New Roman" w:cs="Times New Roman"/>
          <w:sz w:val="24"/>
          <w:szCs w:val="24"/>
        </w:rPr>
        <w:t>Roure</w:t>
      </w:r>
      <w:proofErr w:type="spellEnd"/>
      <w:r w:rsidRPr="00C21793">
        <w:rPr>
          <w:rFonts w:ascii="Times New Roman" w:hAnsi="Times New Roman" w:cs="Times New Roman"/>
          <w:sz w:val="24"/>
          <w:szCs w:val="24"/>
        </w:rPr>
        <w:t xml:space="preserve"> 191, 25198, Lleida, </w:t>
      </w:r>
      <w:proofErr w:type="spellStart"/>
      <w:r w:rsidRPr="00C21793">
        <w:rPr>
          <w:rFonts w:ascii="Times New Roman" w:hAnsi="Times New Roman" w:cs="Times New Roman"/>
          <w:sz w:val="24"/>
          <w:szCs w:val="24"/>
        </w:rPr>
        <w:t>Spain</w:t>
      </w:r>
      <w:proofErr w:type="spellEnd"/>
    </w:p>
    <w:p w:rsidR="00256B99" w:rsidRPr="00C21793" w:rsidRDefault="00256B99" w:rsidP="00256B99">
      <w:pPr>
        <w:spacing w:line="360" w:lineRule="auto"/>
        <w:jc w:val="both"/>
        <w:rPr>
          <w:shd w:val="clear" w:color="auto" w:fill="FFFFFF"/>
        </w:rPr>
      </w:pPr>
      <w:r w:rsidRPr="00C21793">
        <w:rPr>
          <w:shd w:val="clear" w:color="auto" w:fill="FFFFFF"/>
          <w:vertAlign w:val="superscript"/>
          <w:lang w:val="es-ES"/>
        </w:rPr>
        <w:t>2</w:t>
      </w:r>
      <w:r w:rsidRPr="00C21793">
        <w:rPr>
          <w:shd w:val="clear" w:color="auto" w:fill="FFFFFF"/>
        </w:rPr>
        <w:t xml:space="preserve"> College of Life Science and Technology, Central South University of Forestry and Technology, Changsha, 410004, Hunan Province, PR China</w:t>
      </w:r>
    </w:p>
    <w:p w:rsidR="00284584" w:rsidRPr="00C21793" w:rsidRDefault="00256B99" w:rsidP="00CF0888">
      <w:pPr>
        <w:pStyle w:val="NoSpacing"/>
        <w:spacing w:line="360" w:lineRule="auto"/>
        <w:jc w:val="both"/>
        <w:rPr>
          <w:rFonts w:ascii="Times New Roman" w:eastAsia="AdobeHeitiStd-Regular" w:hAnsi="Times New Roman" w:cs="Times New Roman"/>
          <w:iCs/>
          <w:sz w:val="24"/>
          <w:szCs w:val="24"/>
        </w:rPr>
      </w:pPr>
      <w:r w:rsidRPr="00C21793">
        <w:rPr>
          <w:rFonts w:ascii="Times New Roman" w:eastAsia="E-BX+ZKLGyH-7" w:hAnsi="Times New Roman" w:cs="Times New Roman"/>
          <w:iCs/>
          <w:sz w:val="24"/>
          <w:szCs w:val="24"/>
          <w:vertAlign w:val="superscript"/>
        </w:rPr>
        <w:t>3</w:t>
      </w:r>
      <w:r w:rsidR="00835254" w:rsidRPr="00C21793">
        <w:rPr>
          <w:rFonts w:ascii="Times New Roman" w:eastAsia="E-BX+ZKLGyH-7" w:hAnsi="Times New Roman" w:cs="Times New Roman"/>
          <w:iCs/>
          <w:sz w:val="24"/>
          <w:szCs w:val="24"/>
        </w:rPr>
        <w:t xml:space="preserve"> </w:t>
      </w:r>
      <w:proofErr w:type="spellStart"/>
      <w:r w:rsidR="00835254" w:rsidRPr="00C21793">
        <w:rPr>
          <w:rFonts w:ascii="Times New Roman" w:eastAsia="E-BX+ZKLGyH-7" w:hAnsi="Times New Roman" w:cs="Times New Roman"/>
          <w:iCs/>
          <w:sz w:val="24"/>
          <w:szCs w:val="24"/>
        </w:rPr>
        <w:t>National</w:t>
      </w:r>
      <w:proofErr w:type="spellEnd"/>
      <w:r w:rsidR="00835254" w:rsidRPr="00C21793">
        <w:rPr>
          <w:rFonts w:ascii="Times New Roman" w:eastAsia="E-BX+ZKLGyH-7" w:hAnsi="Times New Roman" w:cs="Times New Roman"/>
          <w:iCs/>
          <w:sz w:val="24"/>
          <w:szCs w:val="24"/>
        </w:rPr>
        <w:t xml:space="preserve"> Engineering </w:t>
      </w:r>
      <w:proofErr w:type="spellStart"/>
      <w:r w:rsidR="00835254" w:rsidRPr="00C21793">
        <w:rPr>
          <w:rFonts w:ascii="Times New Roman" w:eastAsia="E-BX+ZKLGyH-7" w:hAnsi="Times New Roman" w:cs="Times New Roman"/>
          <w:iCs/>
          <w:sz w:val="24"/>
          <w:szCs w:val="24"/>
        </w:rPr>
        <w:t>Laboratory</w:t>
      </w:r>
      <w:proofErr w:type="spellEnd"/>
      <w:r w:rsidR="00835254" w:rsidRPr="00C21793">
        <w:rPr>
          <w:rFonts w:ascii="Times New Roman" w:eastAsia="E-BX+ZKLGyH-7" w:hAnsi="Times New Roman" w:cs="Times New Roman"/>
          <w:iCs/>
          <w:sz w:val="24"/>
          <w:szCs w:val="24"/>
        </w:rPr>
        <w:t xml:space="preserve"> </w:t>
      </w:r>
      <w:proofErr w:type="spellStart"/>
      <w:r w:rsidR="00835254" w:rsidRPr="00C21793">
        <w:rPr>
          <w:rFonts w:ascii="Times New Roman" w:eastAsia="E-BX+ZKLGyH-7" w:hAnsi="Times New Roman" w:cs="Times New Roman"/>
          <w:iCs/>
          <w:sz w:val="24"/>
          <w:szCs w:val="24"/>
        </w:rPr>
        <w:t>for</w:t>
      </w:r>
      <w:proofErr w:type="spellEnd"/>
      <w:r w:rsidR="00835254" w:rsidRPr="00C21793">
        <w:rPr>
          <w:rFonts w:ascii="Times New Roman" w:eastAsia="E-BX+ZKLGyH-7" w:hAnsi="Times New Roman" w:cs="Times New Roman"/>
          <w:iCs/>
          <w:sz w:val="24"/>
          <w:szCs w:val="24"/>
        </w:rPr>
        <w:t xml:space="preserve"> </w:t>
      </w:r>
      <w:proofErr w:type="spellStart"/>
      <w:r w:rsidR="00835254" w:rsidRPr="00C21793">
        <w:rPr>
          <w:rFonts w:ascii="Times New Roman" w:eastAsia="E-BX+ZKLGyH-7" w:hAnsi="Times New Roman" w:cs="Times New Roman"/>
          <w:iCs/>
          <w:sz w:val="24"/>
          <w:szCs w:val="24"/>
        </w:rPr>
        <w:t>Applied</w:t>
      </w:r>
      <w:proofErr w:type="spellEnd"/>
      <w:r w:rsidR="00835254" w:rsidRPr="00C21793">
        <w:rPr>
          <w:rFonts w:ascii="Times New Roman" w:eastAsia="E-BX+ZKLGyH-7" w:hAnsi="Times New Roman" w:cs="Times New Roman"/>
          <w:iCs/>
          <w:sz w:val="24"/>
          <w:szCs w:val="24"/>
        </w:rPr>
        <w:t xml:space="preserve"> </w:t>
      </w:r>
      <w:proofErr w:type="spellStart"/>
      <w:r w:rsidR="00835254" w:rsidRPr="00C21793">
        <w:rPr>
          <w:rFonts w:ascii="Times New Roman" w:eastAsia="E-BX+ZKLGyH-7" w:hAnsi="Times New Roman" w:cs="Times New Roman"/>
          <w:iCs/>
          <w:sz w:val="24"/>
          <w:szCs w:val="24"/>
        </w:rPr>
        <w:t>Technology</w:t>
      </w:r>
      <w:proofErr w:type="spellEnd"/>
      <w:r w:rsidR="00835254" w:rsidRPr="00C21793">
        <w:rPr>
          <w:rFonts w:ascii="Times New Roman" w:eastAsia="E-BX+ZKLGyH-7" w:hAnsi="Times New Roman" w:cs="Times New Roman"/>
          <w:iCs/>
          <w:sz w:val="24"/>
          <w:szCs w:val="24"/>
        </w:rPr>
        <w:t xml:space="preserve"> of </w:t>
      </w:r>
      <w:proofErr w:type="spellStart"/>
      <w:r w:rsidR="00835254" w:rsidRPr="00C21793">
        <w:rPr>
          <w:rFonts w:ascii="Times New Roman" w:eastAsia="E-BX+ZKLGyH-7" w:hAnsi="Times New Roman" w:cs="Times New Roman"/>
          <w:iCs/>
          <w:sz w:val="24"/>
          <w:szCs w:val="24"/>
        </w:rPr>
        <w:t>Forestry</w:t>
      </w:r>
      <w:proofErr w:type="spellEnd"/>
      <w:r w:rsidR="00835254" w:rsidRPr="00C21793">
        <w:rPr>
          <w:rFonts w:ascii="Times New Roman" w:eastAsia="E-BX+ZKLGyH-7" w:hAnsi="Times New Roman" w:cs="Times New Roman"/>
          <w:iCs/>
          <w:sz w:val="24"/>
          <w:szCs w:val="24"/>
        </w:rPr>
        <w:t xml:space="preserve"> and </w:t>
      </w:r>
      <w:proofErr w:type="spellStart"/>
      <w:r w:rsidR="00835254" w:rsidRPr="00C21793">
        <w:rPr>
          <w:rFonts w:ascii="Times New Roman" w:eastAsia="E-BX+ZKLGyH-7" w:hAnsi="Times New Roman" w:cs="Times New Roman"/>
          <w:iCs/>
          <w:sz w:val="24"/>
          <w:szCs w:val="24"/>
        </w:rPr>
        <w:t>Ecology</w:t>
      </w:r>
      <w:proofErr w:type="spellEnd"/>
      <w:r w:rsidR="00835254" w:rsidRPr="00C21793">
        <w:rPr>
          <w:rFonts w:ascii="Times New Roman" w:eastAsia="E-BX+ZKLGyH-7" w:hAnsi="Times New Roman" w:cs="Times New Roman"/>
          <w:iCs/>
          <w:sz w:val="24"/>
          <w:szCs w:val="24"/>
        </w:rPr>
        <w:t xml:space="preserve"> in South China</w:t>
      </w:r>
      <w:r w:rsidR="00835254" w:rsidRPr="00C21793">
        <w:rPr>
          <w:rFonts w:ascii="Times New Roman" w:eastAsia="AdobeHeitiStd-Regular" w:hAnsi="Times New Roman" w:cs="Times New Roman"/>
          <w:iCs/>
          <w:sz w:val="24"/>
          <w:szCs w:val="24"/>
        </w:rPr>
        <w:t xml:space="preserve">, Changsha, 410004, Hunan </w:t>
      </w:r>
      <w:proofErr w:type="spellStart"/>
      <w:r w:rsidR="00835254" w:rsidRPr="00C21793">
        <w:rPr>
          <w:rFonts w:ascii="Times New Roman" w:eastAsia="AdobeHeitiStd-Regular" w:hAnsi="Times New Roman" w:cs="Times New Roman"/>
          <w:iCs/>
          <w:sz w:val="24"/>
          <w:szCs w:val="24"/>
        </w:rPr>
        <w:t>Province</w:t>
      </w:r>
      <w:proofErr w:type="spellEnd"/>
      <w:r w:rsidR="00835254" w:rsidRPr="00C21793">
        <w:rPr>
          <w:rFonts w:ascii="Times New Roman" w:eastAsia="AdobeHeitiStd-Regular" w:hAnsi="Times New Roman" w:cs="Times New Roman"/>
          <w:iCs/>
          <w:sz w:val="24"/>
          <w:szCs w:val="24"/>
        </w:rPr>
        <w:t>, PR China</w:t>
      </w:r>
    </w:p>
    <w:p w:rsidR="00704AA5" w:rsidRPr="00C21793" w:rsidRDefault="00704AA5" w:rsidP="00704AA5">
      <w:pPr>
        <w:pStyle w:val="NoSpacing"/>
        <w:spacing w:line="360" w:lineRule="auto"/>
        <w:jc w:val="both"/>
        <w:rPr>
          <w:rFonts w:ascii="Times New Roman" w:eastAsia="AdobeHeitiStd-Regular" w:hAnsi="Times New Roman" w:cs="Times New Roman"/>
          <w:iCs/>
          <w:sz w:val="24"/>
          <w:szCs w:val="24"/>
        </w:rPr>
      </w:pPr>
      <w:r w:rsidRPr="00C21793">
        <w:rPr>
          <w:rFonts w:ascii="Times New Roman" w:eastAsia="AdobeHeitiStd-Regular" w:hAnsi="Times New Roman" w:cs="Times New Roman"/>
          <w:iCs/>
          <w:sz w:val="24"/>
          <w:szCs w:val="24"/>
          <w:vertAlign w:val="superscript"/>
        </w:rPr>
        <w:t>4</w:t>
      </w:r>
      <w:r w:rsidRPr="00C21793">
        <w:rPr>
          <w:rFonts w:ascii="Times New Roman" w:eastAsia="AdobeHeitiStd-Regular" w:hAnsi="Times New Roman" w:cs="Times New Roman"/>
          <w:iCs/>
          <w:sz w:val="24"/>
          <w:szCs w:val="24"/>
        </w:rPr>
        <w:t xml:space="preserve">School of </w:t>
      </w:r>
      <w:proofErr w:type="spellStart"/>
      <w:r w:rsidRPr="00C21793">
        <w:rPr>
          <w:rFonts w:ascii="Times New Roman" w:eastAsia="AdobeHeitiStd-Regular" w:hAnsi="Times New Roman" w:cs="Times New Roman"/>
          <w:iCs/>
          <w:sz w:val="24"/>
          <w:szCs w:val="24"/>
        </w:rPr>
        <w:t>Statistics</w:t>
      </w:r>
      <w:proofErr w:type="spellEnd"/>
      <w:r w:rsidRPr="00C21793">
        <w:rPr>
          <w:rFonts w:ascii="Times New Roman" w:eastAsia="AdobeHeitiStd-Regular" w:hAnsi="Times New Roman" w:cs="Times New Roman"/>
          <w:iCs/>
          <w:sz w:val="24"/>
          <w:szCs w:val="24"/>
        </w:rPr>
        <w:t xml:space="preserve"> and </w:t>
      </w:r>
      <w:proofErr w:type="spellStart"/>
      <w:r w:rsidRPr="00C21793">
        <w:rPr>
          <w:rFonts w:ascii="Times New Roman" w:eastAsia="AdobeHeitiStd-Regular" w:hAnsi="Times New Roman" w:cs="Times New Roman"/>
          <w:iCs/>
          <w:sz w:val="24"/>
          <w:szCs w:val="24"/>
        </w:rPr>
        <w:t>Applied</w:t>
      </w:r>
      <w:proofErr w:type="spellEnd"/>
      <w:r w:rsidRPr="00C21793">
        <w:rPr>
          <w:rFonts w:ascii="Times New Roman" w:eastAsia="AdobeHeitiStd-Regular" w:hAnsi="Times New Roman" w:cs="Times New Roman"/>
          <w:iCs/>
          <w:sz w:val="24"/>
          <w:szCs w:val="24"/>
        </w:rPr>
        <w:t xml:space="preserve"> </w:t>
      </w:r>
      <w:proofErr w:type="spellStart"/>
      <w:r w:rsidRPr="00C21793">
        <w:rPr>
          <w:rFonts w:ascii="Times New Roman" w:eastAsia="AdobeHeitiStd-Regular" w:hAnsi="Times New Roman" w:cs="Times New Roman"/>
          <w:iCs/>
          <w:sz w:val="24"/>
          <w:szCs w:val="24"/>
        </w:rPr>
        <w:t>Mathematics</w:t>
      </w:r>
      <w:proofErr w:type="spellEnd"/>
      <w:r w:rsidRPr="00C21793">
        <w:rPr>
          <w:rFonts w:ascii="Times New Roman" w:eastAsia="AdobeHeitiStd-Regular" w:hAnsi="Times New Roman" w:cs="Times New Roman"/>
          <w:iCs/>
          <w:sz w:val="24"/>
          <w:szCs w:val="24"/>
        </w:rPr>
        <w:t xml:space="preserve">, Anhui </w:t>
      </w:r>
      <w:proofErr w:type="spellStart"/>
      <w:r w:rsidRPr="00C21793">
        <w:rPr>
          <w:rFonts w:ascii="Times New Roman" w:eastAsia="AdobeHeitiStd-Regular" w:hAnsi="Times New Roman" w:cs="Times New Roman"/>
          <w:iCs/>
          <w:sz w:val="24"/>
          <w:szCs w:val="24"/>
        </w:rPr>
        <w:t>University</w:t>
      </w:r>
      <w:proofErr w:type="spellEnd"/>
      <w:r w:rsidRPr="00C21793">
        <w:rPr>
          <w:rFonts w:ascii="Times New Roman" w:eastAsia="AdobeHeitiStd-Regular" w:hAnsi="Times New Roman" w:cs="Times New Roman"/>
          <w:iCs/>
          <w:sz w:val="24"/>
          <w:szCs w:val="24"/>
        </w:rPr>
        <w:t xml:space="preserve"> of </w:t>
      </w:r>
      <w:proofErr w:type="spellStart"/>
      <w:r w:rsidRPr="00C21793">
        <w:rPr>
          <w:rFonts w:ascii="Times New Roman" w:eastAsia="AdobeHeitiStd-Regular" w:hAnsi="Times New Roman" w:cs="Times New Roman"/>
          <w:iCs/>
          <w:sz w:val="24"/>
          <w:szCs w:val="24"/>
        </w:rPr>
        <w:t>Finance</w:t>
      </w:r>
      <w:proofErr w:type="spellEnd"/>
      <w:r w:rsidRPr="00C21793">
        <w:rPr>
          <w:rFonts w:ascii="Times New Roman" w:eastAsia="AdobeHeitiStd-Regular" w:hAnsi="Times New Roman" w:cs="Times New Roman"/>
          <w:iCs/>
          <w:sz w:val="24"/>
          <w:szCs w:val="24"/>
        </w:rPr>
        <w:t xml:space="preserve"> and </w:t>
      </w:r>
      <w:proofErr w:type="spellStart"/>
      <w:r w:rsidRPr="00C21793">
        <w:rPr>
          <w:rFonts w:ascii="Times New Roman" w:eastAsia="AdobeHeitiStd-Regular" w:hAnsi="Times New Roman" w:cs="Times New Roman"/>
          <w:iCs/>
          <w:sz w:val="24"/>
          <w:szCs w:val="24"/>
        </w:rPr>
        <w:t>Economics</w:t>
      </w:r>
      <w:proofErr w:type="spellEnd"/>
      <w:r w:rsidRPr="00C21793">
        <w:rPr>
          <w:rFonts w:ascii="Times New Roman" w:eastAsia="AdobeHeitiStd-Regular" w:hAnsi="Times New Roman" w:cs="Times New Roman"/>
          <w:iCs/>
          <w:sz w:val="24"/>
          <w:szCs w:val="24"/>
        </w:rPr>
        <w:t xml:space="preserve">, Bengbu 233030, </w:t>
      </w:r>
      <w:proofErr w:type="spellStart"/>
      <w:r w:rsidRPr="00C21793">
        <w:rPr>
          <w:rFonts w:ascii="Times New Roman" w:eastAsia="AdobeHeitiStd-Regular" w:hAnsi="Times New Roman" w:cs="Times New Roman"/>
          <w:iCs/>
          <w:sz w:val="24"/>
          <w:szCs w:val="24"/>
        </w:rPr>
        <w:t>People’s</w:t>
      </w:r>
      <w:proofErr w:type="spellEnd"/>
      <w:r w:rsidRPr="00C21793">
        <w:rPr>
          <w:rFonts w:ascii="Times New Roman" w:eastAsia="AdobeHeitiStd-Regular" w:hAnsi="Times New Roman" w:cs="Times New Roman"/>
          <w:iCs/>
          <w:sz w:val="24"/>
          <w:szCs w:val="24"/>
        </w:rPr>
        <w:t xml:space="preserve"> </w:t>
      </w:r>
      <w:proofErr w:type="spellStart"/>
      <w:r w:rsidRPr="00C21793">
        <w:rPr>
          <w:rFonts w:ascii="Times New Roman" w:eastAsia="AdobeHeitiStd-Regular" w:hAnsi="Times New Roman" w:cs="Times New Roman"/>
          <w:iCs/>
          <w:sz w:val="24"/>
          <w:szCs w:val="24"/>
        </w:rPr>
        <w:t>Republic</w:t>
      </w:r>
      <w:proofErr w:type="spellEnd"/>
      <w:r w:rsidRPr="00C21793">
        <w:rPr>
          <w:rFonts w:ascii="Times New Roman" w:eastAsia="AdobeHeitiStd-Regular" w:hAnsi="Times New Roman" w:cs="Times New Roman"/>
          <w:iCs/>
          <w:sz w:val="24"/>
          <w:szCs w:val="24"/>
        </w:rPr>
        <w:t xml:space="preserve"> of China</w:t>
      </w:r>
    </w:p>
    <w:p w:rsidR="00306945" w:rsidRPr="00C21793" w:rsidRDefault="00704AA5" w:rsidP="00306945">
      <w:pPr>
        <w:pStyle w:val="NoSpacing"/>
        <w:spacing w:line="360" w:lineRule="auto"/>
        <w:jc w:val="both"/>
        <w:rPr>
          <w:rFonts w:ascii="Times New Roman" w:hAnsi="Times New Roman" w:cs="Times New Roman"/>
          <w:sz w:val="24"/>
          <w:szCs w:val="24"/>
        </w:rPr>
      </w:pPr>
      <w:r w:rsidRPr="00C21793">
        <w:rPr>
          <w:rFonts w:ascii="Times New Roman" w:hAnsi="Times New Roman" w:cs="Times New Roman"/>
          <w:sz w:val="24"/>
          <w:szCs w:val="24"/>
          <w:vertAlign w:val="superscript"/>
        </w:rPr>
        <w:t>5</w:t>
      </w:r>
      <w:r w:rsidR="00306945" w:rsidRPr="00C21793">
        <w:rPr>
          <w:rFonts w:ascii="Times New Roman" w:hAnsi="Times New Roman" w:cs="Times New Roman"/>
          <w:sz w:val="24"/>
          <w:szCs w:val="24"/>
        </w:rPr>
        <w:t xml:space="preserve"> </w:t>
      </w:r>
      <w:proofErr w:type="spellStart"/>
      <w:r w:rsidR="00306945" w:rsidRPr="00C21793">
        <w:rPr>
          <w:rFonts w:ascii="Times New Roman" w:hAnsi="Times New Roman" w:cs="Times New Roman"/>
          <w:sz w:val="24"/>
          <w:szCs w:val="24"/>
        </w:rPr>
        <w:t>Department</w:t>
      </w:r>
      <w:proofErr w:type="spellEnd"/>
      <w:r w:rsidR="00306945" w:rsidRPr="00C21793">
        <w:rPr>
          <w:rFonts w:ascii="Times New Roman" w:hAnsi="Times New Roman" w:cs="Times New Roman"/>
          <w:sz w:val="24"/>
          <w:szCs w:val="24"/>
        </w:rPr>
        <w:t xml:space="preserve"> of </w:t>
      </w:r>
      <w:proofErr w:type="spellStart"/>
      <w:r w:rsidR="00306945" w:rsidRPr="00C21793">
        <w:rPr>
          <w:rFonts w:ascii="Times New Roman" w:hAnsi="Times New Roman" w:cs="Times New Roman"/>
          <w:sz w:val="24"/>
          <w:szCs w:val="24"/>
        </w:rPr>
        <w:t>Chemistry</w:t>
      </w:r>
      <w:proofErr w:type="spellEnd"/>
      <w:r w:rsidR="00306945" w:rsidRPr="00C21793">
        <w:rPr>
          <w:rFonts w:ascii="Times New Roman" w:hAnsi="Times New Roman" w:cs="Times New Roman"/>
          <w:sz w:val="24"/>
          <w:szCs w:val="24"/>
        </w:rPr>
        <w:t xml:space="preserve">, Lahore </w:t>
      </w:r>
      <w:proofErr w:type="spellStart"/>
      <w:r w:rsidR="00306945" w:rsidRPr="00C21793">
        <w:rPr>
          <w:rFonts w:ascii="Times New Roman" w:hAnsi="Times New Roman" w:cs="Times New Roman"/>
          <w:sz w:val="24"/>
          <w:szCs w:val="24"/>
        </w:rPr>
        <w:t>College</w:t>
      </w:r>
      <w:proofErr w:type="spellEnd"/>
      <w:r w:rsidR="00306945" w:rsidRPr="00C21793">
        <w:rPr>
          <w:rFonts w:ascii="Times New Roman" w:hAnsi="Times New Roman" w:cs="Times New Roman"/>
          <w:sz w:val="24"/>
          <w:szCs w:val="24"/>
        </w:rPr>
        <w:t xml:space="preserve"> </w:t>
      </w:r>
      <w:proofErr w:type="spellStart"/>
      <w:r w:rsidR="00306945" w:rsidRPr="00C21793">
        <w:rPr>
          <w:rFonts w:ascii="Times New Roman" w:hAnsi="Times New Roman" w:cs="Times New Roman"/>
          <w:sz w:val="24"/>
          <w:szCs w:val="24"/>
        </w:rPr>
        <w:t>for</w:t>
      </w:r>
      <w:proofErr w:type="spellEnd"/>
      <w:r w:rsidR="00306945" w:rsidRPr="00C21793">
        <w:rPr>
          <w:rFonts w:ascii="Times New Roman" w:hAnsi="Times New Roman" w:cs="Times New Roman"/>
          <w:sz w:val="24"/>
          <w:szCs w:val="24"/>
        </w:rPr>
        <w:t xml:space="preserve"> </w:t>
      </w:r>
      <w:proofErr w:type="spellStart"/>
      <w:r w:rsidR="00306945" w:rsidRPr="00C21793">
        <w:rPr>
          <w:rFonts w:ascii="Times New Roman" w:hAnsi="Times New Roman" w:cs="Times New Roman"/>
          <w:sz w:val="24"/>
          <w:szCs w:val="24"/>
        </w:rPr>
        <w:t>Women</w:t>
      </w:r>
      <w:proofErr w:type="spellEnd"/>
      <w:r w:rsidR="00306945" w:rsidRPr="00C21793">
        <w:rPr>
          <w:rFonts w:ascii="Times New Roman" w:hAnsi="Times New Roman" w:cs="Times New Roman"/>
          <w:sz w:val="24"/>
          <w:szCs w:val="24"/>
        </w:rPr>
        <w:t xml:space="preserve"> </w:t>
      </w:r>
      <w:proofErr w:type="spellStart"/>
      <w:r w:rsidR="00306945" w:rsidRPr="00C21793">
        <w:rPr>
          <w:rFonts w:ascii="Times New Roman" w:hAnsi="Times New Roman" w:cs="Times New Roman"/>
          <w:sz w:val="24"/>
          <w:szCs w:val="24"/>
        </w:rPr>
        <w:t>University</w:t>
      </w:r>
      <w:proofErr w:type="spellEnd"/>
      <w:r w:rsidR="00306945" w:rsidRPr="00C21793">
        <w:rPr>
          <w:rFonts w:ascii="Times New Roman" w:hAnsi="Times New Roman" w:cs="Times New Roman"/>
          <w:sz w:val="24"/>
          <w:szCs w:val="24"/>
        </w:rPr>
        <w:t xml:space="preserve">, Lahore, </w:t>
      </w:r>
      <w:proofErr w:type="spellStart"/>
      <w:r w:rsidR="00306945" w:rsidRPr="00C21793">
        <w:rPr>
          <w:rFonts w:ascii="Times New Roman" w:hAnsi="Times New Roman" w:cs="Times New Roman"/>
          <w:sz w:val="24"/>
          <w:szCs w:val="24"/>
        </w:rPr>
        <w:t>Pakistan</w:t>
      </w:r>
      <w:proofErr w:type="spellEnd"/>
    </w:p>
    <w:p w:rsidR="0056422C" w:rsidRPr="00C21793" w:rsidRDefault="00704AA5" w:rsidP="0056422C">
      <w:pPr>
        <w:pStyle w:val="NoSpacing"/>
        <w:spacing w:line="360" w:lineRule="auto"/>
        <w:jc w:val="both"/>
        <w:rPr>
          <w:rFonts w:ascii="Times New Roman" w:hAnsi="Times New Roman" w:cs="Times New Roman"/>
          <w:sz w:val="24"/>
          <w:szCs w:val="24"/>
        </w:rPr>
      </w:pPr>
      <w:r w:rsidRPr="00C21793">
        <w:rPr>
          <w:rFonts w:ascii="Times New Roman" w:hAnsi="Times New Roman" w:cs="Times New Roman"/>
          <w:sz w:val="24"/>
          <w:szCs w:val="24"/>
          <w:vertAlign w:val="superscript"/>
        </w:rPr>
        <w:t>6</w:t>
      </w:r>
      <w:r w:rsidR="0056422C" w:rsidRPr="00C21793">
        <w:rPr>
          <w:rFonts w:ascii="Times New Roman" w:hAnsi="Times New Roman" w:cs="Times New Roman"/>
          <w:sz w:val="24"/>
          <w:szCs w:val="24"/>
        </w:rPr>
        <w:t xml:space="preserve"> CAS-Key </w:t>
      </w:r>
      <w:proofErr w:type="spellStart"/>
      <w:r w:rsidR="0056422C" w:rsidRPr="00C21793">
        <w:rPr>
          <w:rFonts w:ascii="Times New Roman" w:hAnsi="Times New Roman" w:cs="Times New Roman"/>
          <w:sz w:val="24"/>
          <w:szCs w:val="24"/>
        </w:rPr>
        <w:t>Laboratory</w:t>
      </w:r>
      <w:proofErr w:type="spellEnd"/>
      <w:r w:rsidR="0056422C" w:rsidRPr="00C21793">
        <w:rPr>
          <w:rFonts w:ascii="Times New Roman" w:hAnsi="Times New Roman" w:cs="Times New Roman"/>
          <w:sz w:val="24"/>
          <w:szCs w:val="24"/>
        </w:rPr>
        <w:t xml:space="preserve"> of </w:t>
      </w:r>
      <w:proofErr w:type="spellStart"/>
      <w:r w:rsidR="0056422C" w:rsidRPr="00C21793">
        <w:rPr>
          <w:rFonts w:ascii="Times New Roman" w:hAnsi="Times New Roman" w:cs="Times New Roman"/>
          <w:sz w:val="24"/>
          <w:szCs w:val="24"/>
        </w:rPr>
        <w:t>Crust-Mantle</w:t>
      </w:r>
      <w:proofErr w:type="spellEnd"/>
      <w:r w:rsidR="0056422C" w:rsidRPr="00C21793">
        <w:rPr>
          <w:rFonts w:ascii="Times New Roman" w:hAnsi="Times New Roman" w:cs="Times New Roman"/>
          <w:sz w:val="24"/>
          <w:szCs w:val="24"/>
        </w:rPr>
        <w:t xml:space="preserve"> </w:t>
      </w:r>
      <w:proofErr w:type="spellStart"/>
      <w:r w:rsidR="0056422C" w:rsidRPr="00C21793">
        <w:rPr>
          <w:rFonts w:ascii="Times New Roman" w:hAnsi="Times New Roman" w:cs="Times New Roman"/>
          <w:sz w:val="24"/>
          <w:szCs w:val="24"/>
        </w:rPr>
        <w:t>Materials</w:t>
      </w:r>
      <w:proofErr w:type="spellEnd"/>
      <w:r w:rsidR="0056422C" w:rsidRPr="00C21793">
        <w:rPr>
          <w:rFonts w:ascii="Times New Roman" w:hAnsi="Times New Roman" w:cs="Times New Roman"/>
          <w:sz w:val="24"/>
          <w:szCs w:val="24"/>
        </w:rPr>
        <w:t xml:space="preserve"> and </w:t>
      </w:r>
      <w:proofErr w:type="spellStart"/>
      <w:r w:rsidR="0056422C" w:rsidRPr="00C21793">
        <w:rPr>
          <w:rFonts w:ascii="Times New Roman" w:hAnsi="Times New Roman" w:cs="Times New Roman"/>
          <w:sz w:val="24"/>
          <w:szCs w:val="24"/>
        </w:rPr>
        <w:t>the</w:t>
      </w:r>
      <w:proofErr w:type="spellEnd"/>
      <w:r w:rsidR="0056422C" w:rsidRPr="00C21793">
        <w:rPr>
          <w:rFonts w:ascii="Times New Roman" w:hAnsi="Times New Roman" w:cs="Times New Roman"/>
          <w:sz w:val="24"/>
          <w:szCs w:val="24"/>
        </w:rPr>
        <w:t xml:space="preserve"> </w:t>
      </w:r>
      <w:proofErr w:type="spellStart"/>
      <w:r w:rsidR="0056422C" w:rsidRPr="00C21793">
        <w:rPr>
          <w:rFonts w:ascii="Times New Roman" w:hAnsi="Times New Roman" w:cs="Times New Roman"/>
          <w:sz w:val="24"/>
          <w:szCs w:val="24"/>
        </w:rPr>
        <w:t>Environments</w:t>
      </w:r>
      <w:proofErr w:type="spellEnd"/>
      <w:r w:rsidR="0056422C" w:rsidRPr="00C21793">
        <w:rPr>
          <w:rFonts w:ascii="Times New Roman" w:hAnsi="Times New Roman" w:cs="Times New Roman"/>
          <w:sz w:val="24"/>
          <w:szCs w:val="24"/>
        </w:rPr>
        <w:t xml:space="preserve">, School of </w:t>
      </w:r>
      <w:proofErr w:type="spellStart"/>
      <w:r w:rsidR="0056422C" w:rsidRPr="00C21793">
        <w:rPr>
          <w:rFonts w:ascii="Times New Roman" w:hAnsi="Times New Roman" w:cs="Times New Roman"/>
          <w:sz w:val="24"/>
          <w:szCs w:val="24"/>
        </w:rPr>
        <w:t>Earth</w:t>
      </w:r>
      <w:proofErr w:type="spellEnd"/>
      <w:r w:rsidR="0056422C" w:rsidRPr="00C21793">
        <w:rPr>
          <w:rFonts w:ascii="Times New Roman" w:hAnsi="Times New Roman" w:cs="Times New Roman"/>
          <w:sz w:val="24"/>
          <w:szCs w:val="24"/>
        </w:rPr>
        <w:t xml:space="preserve"> and </w:t>
      </w:r>
      <w:proofErr w:type="spellStart"/>
      <w:r w:rsidR="0056422C" w:rsidRPr="00C21793">
        <w:rPr>
          <w:rFonts w:ascii="Times New Roman" w:hAnsi="Times New Roman" w:cs="Times New Roman"/>
          <w:sz w:val="24"/>
          <w:szCs w:val="24"/>
        </w:rPr>
        <w:t>Space</w:t>
      </w:r>
      <w:proofErr w:type="spellEnd"/>
      <w:r w:rsidR="0056422C" w:rsidRPr="00C21793">
        <w:rPr>
          <w:rFonts w:ascii="Times New Roman" w:hAnsi="Times New Roman" w:cs="Times New Roman"/>
          <w:sz w:val="24"/>
          <w:szCs w:val="24"/>
        </w:rPr>
        <w:t xml:space="preserve"> Sciences, </w:t>
      </w:r>
      <w:proofErr w:type="spellStart"/>
      <w:r w:rsidR="0056422C" w:rsidRPr="00C21793">
        <w:rPr>
          <w:rFonts w:ascii="Times New Roman" w:hAnsi="Times New Roman" w:cs="Times New Roman"/>
          <w:sz w:val="24"/>
          <w:szCs w:val="24"/>
        </w:rPr>
        <w:t>University</w:t>
      </w:r>
      <w:proofErr w:type="spellEnd"/>
      <w:r w:rsidR="0056422C" w:rsidRPr="00C21793">
        <w:rPr>
          <w:rFonts w:ascii="Times New Roman" w:hAnsi="Times New Roman" w:cs="Times New Roman"/>
          <w:sz w:val="24"/>
          <w:szCs w:val="24"/>
        </w:rPr>
        <w:t xml:space="preserve"> of </w:t>
      </w:r>
      <w:proofErr w:type="spellStart"/>
      <w:r w:rsidR="0056422C" w:rsidRPr="00C21793">
        <w:rPr>
          <w:rFonts w:ascii="Times New Roman" w:hAnsi="Times New Roman" w:cs="Times New Roman"/>
          <w:sz w:val="24"/>
          <w:szCs w:val="24"/>
        </w:rPr>
        <w:t>Science</w:t>
      </w:r>
      <w:proofErr w:type="spellEnd"/>
      <w:r w:rsidR="0056422C" w:rsidRPr="00C21793">
        <w:rPr>
          <w:rFonts w:ascii="Times New Roman" w:hAnsi="Times New Roman" w:cs="Times New Roman"/>
          <w:sz w:val="24"/>
          <w:szCs w:val="24"/>
        </w:rPr>
        <w:t xml:space="preserve"> and </w:t>
      </w:r>
      <w:proofErr w:type="spellStart"/>
      <w:r w:rsidR="0056422C" w:rsidRPr="00C21793">
        <w:rPr>
          <w:rFonts w:ascii="Times New Roman" w:hAnsi="Times New Roman" w:cs="Times New Roman"/>
          <w:sz w:val="24"/>
          <w:szCs w:val="24"/>
        </w:rPr>
        <w:t>Technology</w:t>
      </w:r>
      <w:proofErr w:type="spellEnd"/>
      <w:r w:rsidR="0056422C" w:rsidRPr="00C21793">
        <w:rPr>
          <w:rFonts w:ascii="Times New Roman" w:hAnsi="Times New Roman" w:cs="Times New Roman"/>
          <w:sz w:val="24"/>
          <w:szCs w:val="24"/>
        </w:rPr>
        <w:t xml:space="preserve"> of China, Hefei, 230026, PR China</w:t>
      </w:r>
    </w:p>
    <w:p w:rsidR="00306945" w:rsidRPr="00C21793" w:rsidRDefault="00CF0888" w:rsidP="00306945">
      <w:pPr>
        <w:pStyle w:val="NoSpacing"/>
        <w:spacing w:line="360" w:lineRule="auto"/>
        <w:jc w:val="both"/>
        <w:rPr>
          <w:rFonts w:ascii="Times New Roman" w:hAnsi="Times New Roman" w:cs="Times New Roman"/>
          <w:sz w:val="24"/>
          <w:szCs w:val="24"/>
          <w:shd w:val="clear" w:color="auto" w:fill="FFFFFF"/>
        </w:rPr>
      </w:pPr>
      <w:r w:rsidRPr="00C21793">
        <w:rPr>
          <w:rFonts w:ascii="Times New Roman" w:hAnsi="Times New Roman" w:cs="Times New Roman"/>
          <w:sz w:val="24"/>
          <w:szCs w:val="24"/>
          <w:shd w:val="clear" w:color="auto" w:fill="FFFFFF"/>
          <w:vertAlign w:val="superscript"/>
        </w:rPr>
        <w:t>7</w:t>
      </w:r>
      <w:r w:rsidR="00306945" w:rsidRPr="00C21793">
        <w:rPr>
          <w:rFonts w:ascii="Times New Roman" w:hAnsi="Times New Roman" w:cs="Times New Roman"/>
          <w:sz w:val="24"/>
          <w:szCs w:val="24"/>
          <w:shd w:val="clear" w:color="auto" w:fill="FFFFFF"/>
        </w:rPr>
        <w:t xml:space="preserve"> School of </w:t>
      </w:r>
      <w:proofErr w:type="spellStart"/>
      <w:r w:rsidR="00306945" w:rsidRPr="00C21793">
        <w:rPr>
          <w:rFonts w:ascii="Times New Roman" w:hAnsi="Times New Roman" w:cs="Times New Roman"/>
          <w:sz w:val="24"/>
          <w:szCs w:val="24"/>
          <w:shd w:val="clear" w:color="auto" w:fill="FFFFFF"/>
        </w:rPr>
        <w:t>Biological</w:t>
      </w:r>
      <w:proofErr w:type="spellEnd"/>
      <w:r w:rsidR="00306945" w:rsidRPr="00C21793">
        <w:rPr>
          <w:rFonts w:ascii="Times New Roman" w:hAnsi="Times New Roman" w:cs="Times New Roman"/>
          <w:sz w:val="24"/>
          <w:szCs w:val="24"/>
          <w:shd w:val="clear" w:color="auto" w:fill="FFFFFF"/>
        </w:rPr>
        <w:t xml:space="preserve"> Sciences, Faculty of Environmental and </w:t>
      </w:r>
      <w:proofErr w:type="spellStart"/>
      <w:r w:rsidR="00306945" w:rsidRPr="00C21793">
        <w:rPr>
          <w:rFonts w:ascii="Times New Roman" w:hAnsi="Times New Roman" w:cs="Times New Roman"/>
          <w:sz w:val="24"/>
          <w:szCs w:val="24"/>
          <w:shd w:val="clear" w:color="auto" w:fill="FFFFFF"/>
        </w:rPr>
        <w:t>Life</w:t>
      </w:r>
      <w:proofErr w:type="spellEnd"/>
      <w:r w:rsidR="00306945" w:rsidRPr="00C21793">
        <w:rPr>
          <w:rFonts w:ascii="Times New Roman" w:hAnsi="Times New Roman" w:cs="Times New Roman"/>
          <w:sz w:val="24"/>
          <w:szCs w:val="24"/>
          <w:shd w:val="clear" w:color="auto" w:fill="FFFFFF"/>
        </w:rPr>
        <w:t xml:space="preserve"> Sciences, </w:t>
      </w:r>
      <w:proofErr w:type="spellStart"/>
      <w:r w:rsidR="00306945" w:rsidRPr="00C21793">
        <w:rPr>
          <w:rFonts w:ascii="Times New Roman" w:hAnsi="Times New Roman" w:cs="Times New Roman"/>
          <w:sz w:val="24"/>
          <w:szCs w:val="24"/>
          <w:shd w:val="clear" w:color="auto" w:fill="FFFFFF"/>
        </w:rPr>
        <w:t>University</w:t>
      </w:r>
      <w:proofErr w:type="spellEnd"/>
      <w:r w:rsidR="00306945" w:rsidRPr="00C21793">
        <w:rPr>
          <w:rFonts w:ascii="Times New Roman" w:hAnsi="Times New Roman" w:cs="Times New Roman"/>
          <w:sz w:val="24"/>
          <w:szCs w:val="24"/>
          <w:shd w:val="clear" w:color="auto" w:fill="FFFFFF"/>
        </w:rPr>
        <w:t xml:space="preserve"> </w:t>
      </w:r>
      <w:proofErr w:type="gramStart"/>
      <w:r w:rsidR="00306945" w:rsidRPr="00C21793">
        <w:rPr>
          <w:rFonts w:ascii="Times New Roman" w:hAnsi="Times New Roman" w:cs="Times New Roman"/>
          <w:sz w:val="24"/>
          <w:szCs w:val="24"/>
          <w:shd w:val="clear" w:color="auto" w:fill="FFFFFF"/>
        </w:rPr>
        <w:t>of  29</w:t>
      </w:r>
      <w:proofErr w:type="gramEnd"/>
      <w:r w:rsidR="00306945" w:rsidRPr="00C21793">
        <w:rPr>
          <w:rFonts w:ascii="Times New Roman" w:hAnsi="Times New Roman" w:cs="Times New Roman"/>
          <w:sz w:val="24"/>
          <w:szCs w:val="24"/>
          <w:shd w:val="clear" w:color="auto" w:fill="FFFFFF"/>
        </w:rPr>
        <w:t xml:space="preserve"> Southampton, Southampton, UK</w:t>
      </w:r>
    </w:p>
    <w:p w:rsidR="00306945" w:rsidRPr="00C21793" w:rsidRDefault="00306945" w:rsidP="00306945">
      <w:pPr>
        <w:pStyle w:val="NoSpacing"/>
        <w:spacing w:line="360" w:lineRule="auto"/>
        <w:jc w:val="both"/>
        <w:rPr>
          <w:rFonts w:ascii="Times New Roman" w:hAnsi="Times New Roman" w:cs="Times New Roman"/>
          <w:sz w:val="24"/>
          <w:szCs w:val="24"/>
          <w:shd w:val="clear" w:color="auto" w:fill="FFFFFF"/>
        </w:rPr>
      </w:pPr>
    </w:p>
    <w:p w:rsidR="00306945" w:rsidRPr="00C21793" w:rsidRDefault="00306945" w:rsidP="00306945">
      <w:pPr>
        <w:pStyle w:val="NoSpacing"/>
        <w:spacing w:line="360" w:lineRule="auto"/>
        <w:jc w:val="both"/>
        <w:rPr>
          <w:rFonts w:ascii="Times New Roman" w:hAnsi="Times New Roman" w:cs="Times New Roman"/>
          <w:b/>
          <w:sz w:val="24"/>
          <w:szCs w:val="24"/>
          <w:u w:val="single"/>
          <w:shd w:val="clear" w:color="auto" w:fill="FFFFFF"/>
        </w:rPr>
      </w:pPr>
      <w:proofErr w:type="spellStart"/>
      <w:r w:rsidRPr="00C21793">
        <w:rPr>
          <w:rFonts w:ascii="Times New Roman" w:hAnsi="Times New Roman" w:cs="Times New Roman"/>
          <w:b/>
          <w:sz w:val="24"/>
          <w:szCs w:val="24"/>
          <w:u w:val="single"/>
          <w:shd w:val="clear" w:color="auto" w:fill="FFFFFF"/>
        </w:rPr>
        <w:t>Corresponding</w:t>
      </w:r>
      <w:proofErr w:type="spellEnd"/>
      <w:r w:rsidRPr="00C21793">
        <w:rPr>
          <w:rFonts w:ascii="Times New Roman" w:hAnsi="Times New Roman" w:cs="Times New Roman"/>
          <w:b/>
          <w:sz w:val="24"/>
          <w:szCs w:val="24"/>
          <w:u w:val="single"/>
          <w:shd w:val="clear" w:color="auto" w:fill="FFFFFF"/>
        </w:rPr>
        <w:t xml:space="preserve"> </w:t>
      </w:r>
      <w:proofErr w:type="spellStart"/>
      <w:r w:rsidRPr="00C21793">
        <w:rPr>
          <w:rFonts w:ascii="Times New Roman" w:hAnsi="Times New Roman" w:cs="Times New Roman"/>
          <w:b/>
          <w:sz w:val="24"/>
          <w:szCs w:val="24"/>
          <w:u w:val="single"/>
          <w:shd w:val="clear" w:color="auto" w:fill="FFFFFF"/>
        </w:rPr>
        <w:t>Author</w:t>
      </w:r>
      <w:r w:rsidR="00EB456D" w:rsidRPr="00C21793">
        <w:rPr>
          <w:rFonts w:ascii="Times New Roman" w:hAnsi="Times New Roman" w:cs="Times New Roman"/>
          <w:b/>
          <w:sz w:val="24"/>
          <w:szCs w:val="24"/>
          <w:u w:val="single"/>
          <w:shd w:val="clear" w:color="auto" w:fill="FFFFFF"/>
        </w:rPr>
        <w:t>s</w:t>
      </w:r>
      <w:proofErr w:type="spellEnd"/>
      <w:r w:rsidRPr="00C21793">
        <w:rPr>
          <w:rFonts w:ascii="Times New Roman" w:hAnsi="Times New Roman" w:cs="Times New Roman"/>
          <w:b/>
          <w:sz w:val="24"/>
          <w:szCs w:val="24"/>
          <w:u w:val="single"/>
          <w:shd w:val="clear" w:color="auto" w:fill="FFFFFF"/>
        </w:rPr>
        <w:t>:</w:t>
      </w:r>
    </w:p>
    <w:p w:rsidR="00306945" w:rsidRPr="00C21793" w:rsidRDefault="002B7E45" w:rsidP="00212C1E">
      <w:pPr>
        <w:pStyle w:val="NoSpacing"/>
        <w:spacing w:line="360" w:lineRule="auto"/>
        <w:jc w:val="both"/>
        <w:rPr>
          <w:rStyle w:val="Hyperlink"/>
          <w:rFonts w:ascii="Times New Roman" w:hAnsi="Times New Roman" w:cs="Times New Roman"/>
          <w:sz w:val="24"/>
          <w:szCs w:val="24"/>
          <w:shd w:val="clear" w:color="auto" w:fill="FFFFFF"/>
        </w:rPr>
      </w:pPr>
      <w:proofErr w:type="spellStart"/>
      <w:r w:rsidRPr="00C21793">
        <w:rPr>
          <w:rFonts w:ascii="Times New Roman" w:hAnsi="Times New Roman" w:cs="Times New Roman"/>
          <w:sz w:val="24"/>
          <w:szCs w:val="24"/>
          <w:shd w:val="clear" w:color="auto" w:fill="FFFFFF"/>
        </w:rPr>
        <w:t>Taimoor</w:t>
      </w:r>
      <w:proofErr w:type="spellEnd"/>
      <w:r w:rsidRPr="00C21793">
        <w:rPr>
          <w:rFonts w:ascii="Times New Roman" w:hAnsi="Times New Roman" w:cs="Times New Roman"/>
          <w:sz w:val="24"/>
          <w:szCs w:val="24"/>
          <w:shd w:val="clear" w:color="auto" w:fill="FFFFFF"/>
        </w:rPr>
        <w:t xml:space="preserve"> Hassan </w:t>
      </w:r>
      <w:proofErr w:type="spellStart"/>
      <w:r w:rsidRPr="00C21793">
        <w:rPr>
          <w:rFonts w:ascii="Times New Roman" w:hAnsi="Times New Roman" w:cs="Times New Roman"/>
          <w:sz w:val="24"/>
          <w:szCs w:val="24"/>
          <w:shd w:val="clear" w:color="auto" w:fill="FFFFFF"/>
        </w:rPr>
        <w:t>Farooq</w:t>
      </w:r>
      <w:proofErr w:type="spellEnd"/>
      <w:r w:rsidRPr="00C21793">
        <w:rPr>
          <w:rFonts w:ascii="Times New Roman" w:hAnsi="Times New Roman" w:cs="Times New Roman"/>
          <w:sz w:val="24"/>
          <w:szCs w:val="24"/>
          <w:shd w:val="clear" w:color="auto" w:fill="FFFFFF"/>
        </w:rPr>
        <w:t xml:space="preserve"> </w:t>
      </w:r>
      <w:r w:rsidRPr="00C21793">
        <w:rPr>
          <w:rFonts w:ascii="Times New Roman" w:hAnsi="Times New Roman" w:cs="Times New Roman"/>
          <w:sz w:val="24"/>
          <w:szCs w:val="24"/>
          <w:shd w:val="clear" w:color="auto" w:fill="FFFFFF"/>
        </w:rPr>
        <w:tab/>
      </w:r>
      <w:r w:rsidRPr="00C21793">
        <w:rPr>
          <w:rFonts w:ascii="Times New Roman" w:hAnsi="Times New Roman" w:cs="Times New Roman"/>
          <w:sz w:val="24"/>
          <w:szCs w:val="24"/>
          <w:shd w:val="clear" w:color="auto" w:fill="FFFFFF"/>
        </w:rPr>
        <w:tab/>
      </w:r>
      <w:r w:rsidR="00306945" w:rsidRPr="00C21793">
        <w:rPr>
          <w:rFonts w:ascii="Times New Roman" w:hAnsi="Times New Roman" w:cs="Times New Roman"/>
          <w:sz w:val="24"/>
          <w:szCs w:val="24"/>
          <w:shd w:val="clear" w:color="auto" w:fill="FFFFFF"/>
        </w:rPr>
        <w:t xml:space="preserve">Email: </w:t>
      </w:r>
      <w:hyperlink r:id="rId7" w:history="1">
        <w:r w:rsidR="00306945" w:rsidRPr="00C21793">
          <w:rPr>
            <w:rStyle w:val="Hyperlink"/>
            <w:rFonts w:ascii="Times New Roman" w:hAnsi="Times New Roman" w:cs="Times New Roman"/>
            <w:sz w:val="24"/>
            <w:szCs w:val="24"/>
            <w:shd w:val="clear" w:color="auto" w:fill="FFFFFF"/>
          </w:rPr>
          <w:t>taimoorhassan2055@gmail.com</w:t>
        </w:r>
      </w:hyperlink>
    </w:p>
    <w:p w:rsidR="006637A0" w:rsidRPr="00C21793" w:rsidRDefault="002B7E45" w:rsidP="00212C1E">
      <w:pPr>
        <w:pStyle w:val="NoSpacing"/>
        <w:spacing w:line="360" w:lineRule="auto"/>
        <w:jc w:val="both"/>
        <w:rPr>
          <w:rFonts w:ascii="Times New Roman" w:hAnsi="Times New Roman" w:cs="Times New Roman"/>
          <w:sz w:val="24"/>
          <w:szCs w:val="24"/>
          <w:shd w:val="clear" w:color="auto" w:fill="FFFFFF"/>
        </w:rPr>
      </w:pPr>
      <w:proofErr w:type="spellStart"/>
      <w:r w:rsidRPr="00C21793">
        <w:rPr>
          <w:rFonts w:ascii="Times New Roman" w:hAnsi="Times New Roman" w:cs="Times New Roman"/>
          <w:sz w:val="24"/>
          <w:szCs w:val="24"/>
          <w:shd w:val="clear" w:color="auto" w:fill="FFFFFF"/>
        </w:rPr>
        <w:t>Wende</w:t>
      </w:r>
      <w:proofErr w:type="spellEnd"/>
      <w:r w:rsidRPr="00C21793">
        <w:rPr>
          <w:rFonts w:ascii="Times New Roman" w:hAnsi="Times New Roman" w:cs="Times New Roman"/>
          <w:sz w:val="24"/>
          <w:szCs w:val="24"/>
          <w:shd w:val="clear" w:color="auto" w:fill="FFFFFF"/>
        </w:rPr>
        <w:t xml:space="preserve"> Yan </w:t>
      </w:r>
      <w:r w:rsidRPr="00C21793">
        <w:rPr>
          <w:rFonts w:ascii="Times New Roman" w:hAnsi="Times New Roman" w:cs="Times New Roman"/>
          <w:sz w:val="24"/>
          <w:szCs w:val="24"/>
          <w:shd w:val="clear" w:color="auto" w:fill="FFFFFF"/>
        </w:rPr>
        <w:tab/>
      </w:r>
      <w:r w:rsidRPr="00C21793">
        <w:rPr>
          <w:rFonts w:ascii="Times New Roman" w:hAnsi="Times New Roman" w:cs="Times New Roman"/>
          <w:sz w:val="24"/>
          <w:szCs w:val="24"/>
          <w:shd w:val="clear" w:color="auto" w:fill="FFFFFF"/>
        </w:rPr>
        <w:tab/>
      </w:r>
      <w:r w:rsidRPr="00C21793">
        <w:rPr>
          <w:rFonts w:ascii="Times New Roman" w:hAnsi="Times New Roman" w:cs="Times New Roman"/>
          <w:sz w:val="24"/>
          <w:szCs w:val="24"/>
          <w:shd w:val="clear" w:color="auto" w:fill="FFFFFF"/>
        </w:rPr>
        <w:tab/>
      </w:r>
      <w:r w:rsidRPr="00C21793">
        <w:rPr>
          <w:rFonts w:ascii="Times New Roman" w:hAnsi="Times New Roman" w:cs="Times New Roman"/>
          <w:sz w:val="24"/>
          <w:szCs w:val="24"/>
          <w:shd w:val="clear" w:color="auto" w:fill="FFFFFF"/>
        </w:rPr>
        <w:tab/>
      </w:r>
      <w:r w:rsidR="006637A0" w:rsidRPr="00C21793">
        <w:rPr>
          <w:rFonts w:ascii="Times New Roman" w:hAnsi="Times New Roman" w:cs="Times New Roman"/>
          <w:sz w:val="24"/>
          <w:szCs w:val="24"/>
          <w:shd w:val="clear" w:color="auto" w:fill="FFFFFF"/>
        </w:rPr>
        <w:t>Email:</w:t>
      </w:r>
      <w:r w:rsidR="006637A0" w:rsidRPr="00C21793">
        <w:t xml:space="preserve"> </w:t>
      </w:r>
      <w:hyperlink r:id="rId8" w:history="1">
        <w:r w:rsidR="009A5752" w:rsidRPr="00C21793">
          <w:rPr>
            <w:rStyle w:val="Hyperlink"/>
            <w:rFonts w:ascii="Times New Roman" w:hAnsi="Times New Roman" w:cs="Times New Roman"/>
            <w:sz w:val="24"/>
            <w:shd w:val="clear" w:color="auto" w:fill="FFFFFF" w:themeFill="background1"/>
          </w:rPr>
          <w:t>csfuywd@hotmail.com</w:t>
        </w:r>
      </w:hyperlink>
    </w:p>
    <w:p w:rsidR="009A5752" w:rsidRPr="00C21793" w:rsidRDefault="009A5752" w:rsidP="00306945">
      <w:pPr>
        <w:spacing w:line="360" w:lineRule="auto"/>
        <w:rPr>
          <w:b/>
          <w:sz w:val="28"/>
        </w:rPr>
      </w:pPr>
    </w:p>
    <w:p w:rsidR="00306945" w:rsidRPr="00C21793" w:rsidRDefault="00306945" w:rsidP="00306945">
      <w:pPr>
        <w:spacing w:line="360" w:lineRule="auto"/>
        <w:rPr>
          <w:rFonts w:eastAsia="PMingLiU"/>
          <w:b/>
          <w:sz w:val="28"/>
          <w:lang w:eastAsia="zh-TW"/>
        </w:rPr>
      </w:pPr>
      <w:r w:rsidRPr="00C21793">
        <w:rPr>
          <w:b/>
          <w:sz w:val="28"/>
        </w:rPr>
        <w:lastRenderedPageBreak/>
        <w:t xml:space="preserve">Abstract </w:t>
      </w:r>
    </w:p>
    <w:p w:rsidR="00306945" w:rsidRPr="00C21793" w:rsidRDefault="00306945" w:rsidP="00306945">
      <w:pPr>
        <w:spacing w:line="360" w:lineRule="auto"/>
        <w:jc w:val="both"/>
      </w:pPr>
      <w:r w:rsidRPr="00C21793">
        <w:t xml:space="preserve">The World Health Organization declared the outbreak of the novel coronavirus </w:t>
      </w:r>
      <w:r w:rsidR="0006095B" w:rsidRPr="00C21793">
        <w:t>(</w:t>
      </w:r>
      <w:r w:rsidRPr="00C21793">
        <w:t>COVID-19</w:t>
      </w:r>
      <w:r w:rsidR="0006095B" w:rsidRPr="00C21793">
        <w:t>)</w:t>
      </w:r>
      <w:r w:rsidR="00454522" w:rsidRPr="00C21793">
        <w:t xml:space="preserve"> as a </w:t>
      </w:r>
      <w:r w:rsidRPr="00C21793">
        <w:t>pandemic on March 11, 2020 due to global threat and many countries impose immediate lockdown. The impact of lockdown on the environmental pollutants and climate indicators gained considerable attention in the literature. This study aims to describe the variations in the environmental pollutants (CO, NO</w:t>
      </w:r>
      <w:r w:rsidRPr="00C21793">
        <w:rPr>
          <w:vertAlign w:val="subscript"/>
        </w:rPr>
        <w:t>2</w:t>
      </w:r>
      <w:r w:rsidRPr="00C21793">
        <w:t>, SO</w:t>
      </w:r>
      <w:r w:rsidRPr="00C21793">
        <w:rPr>
          <w:vertAlign w:val="subscript"/>
        </w:rPr>
        <w:t xml:space="preserve">2, </w:t>
      </w:r>
      <w:r w:rsidRPr="00C21793">
        <w:t>PM</w:t>
      </w:r>
      <w:r w:rsidRPr="00C21793">
        <w:rPr>
          <w:vertAlign w:val="subscript"/>
        </w:rPr>
        <w:t xml:space="preserve">2.5 </w:t>
      </w:r>
      <w:r w:rsidRPr="00C21793">
        <w:t>and PM</w:t>
      </w:r>
      <w:r w:rsidRPr="00C21793">
        <w:rPr>
          <w:vertAlign w:val="subscript"/>
        </w:rPr>
        <w:t>10</w:t>
      </w:r>
      <w:r w:rsidRPr="00C21793">
        <w:t xml:space="preserve">) with and without the lockdown period in the majorly hit states and provinces of </w:t>
      </w:r>
      <w:r w:rsidR="0052112D" w:rsidRPr="00C21793">
        <w:t xml:space="preserve">the </w:t>
      </w:r>
      <w:r w:rsidRPr="00C21793">
        <w:t>USA and China, respectively. Data during the first quarter year of 2019 and 2020 (lockdown period) was used</w:t>
      </w:r>
      <w:r w:rsidR="00454522" w:rsidRPr="00C21793">
        <w:t xml:space="preserve"> in this study</w:t>
      </w:r>
      <w:r w:rsidRPr="00C21793">
        <w:t xml:space="preserve">. Moreover, </w:t>
      </w:r>
      <w:r w:rsidR="0052112D" w:rsidRPr="00C21793">
        <w:t xml:space="preserve">the </w:t>
      </w:r>
      <w:r w:rsidRPr="00C21793">
        <w:t xml:space="preserve">effect of these pollutants on </w:t>
      </w:r>
      <w:r w:rsidR="0052112D" w:rsidRPr="00C21793">
        <w:t xml:space="preserve">the </w:t>
      </w:r>
      <w:r w:rsidRPr="00C21793">
        <w:t>pandemic spread was also studied. The results illustrated that, the overall concentrations of CO, NO</w:t>
      </w:r>
      <w:r w:rsidRPr="00C21793">
        <w:rPr>
          <w:vertAlign w:val="subscript"/>
        </w:rPr>
        <w:t>2</w:t>
      </w:r>
      <w:r w:rsidRPr="00C21793">
        <w:t>, and PM</w:t>
      </w:r>
      <w:r w:rsidRPr="00C21793">
        <w:rPr>
          <w:vertAlign w:val="subscript"/>
        </w:rPr>
        <w:t xml:space="preserve">2.5 </w:t>
      </w:r>
      <w:r w:rsidRPr="00C21793">
        <w:t>were decreased by 19.28%, 36.7%, and 1.10%, respectively, while PM</w:t>
      </w:r>
      <w:r w:rsidRPr="00C21793">
        <w:rPr>
          <w:vertAlign w:val="subscript"/>
        </w:rPr>
        <w:t xml:space="preserve">10 </w:t>
      </w:r>
      <w:r w:rsidRPr="00C21793">
        <w:t>and SO</w:t>
      </w:r>
      <w:r w:rsidRPr="00C21793">
        <w:rPr>
          <w:vertAlign w:val="subscript"/>
        </w:rPr>
        <w:t>2</w:t>
      </w:r>
      <w:r w:rsidRPr="00C21793">
        <w:t xml:space="preserve"> were increased by 27.81% and 3.81% respectively in five selected states of the USA during the lockdown period. However, in the case of </w:t>
      </w:r>
      <w:r w:rsidR="008627A1" w:rsidRPr="00C21793">
        <w:t>chosen</w:t>
      </w:r>
      <w:r w:rsidRPr="00C21793">
        <w:t xml:space="preserve"> provinces of China, overall, the concentrations of all selected pollutants, i.e., CO, NO</w:t>
      </w:r>
      <w:r w:rsidRPr="00C21793">
        <w:rPr>
          <w:vertAlign w:val="subscript"/>
        </w:rPr>
        <w:t>2</w:t>
      </w:r>
      <w:r w:rsidRPr="00C21793">
        <w:t>, SO</w:t>
      </w:r>
      <w:r w:rsidRPr="00C21793">
        <w:rPr>
          <w:vertAlign w:val="subscript"/>
        </w:rPr>
        <w:t>2</w:t>
      </w:r>
      <w:r w:rsidRPr="00C21793">
        <w:t>, PM</w:t>
      </w:r>
      <w:r w:rsidRPr="00C21793">
        <w:rPr>
          <w:vertAlign w:val="subscript"/>
        </w:rPr>
        <w:t>2.5</w:t>
      </w:r>
      <w:r w:rsidR="00042B3B" w:rsidRPr="00C21793">
        <w:t>, and PM</w:t>
      </w:r>
      <w:r w:rsidR="00042B3B" w:rsidRPr="00C21793">
        <w:rPr>
          <w:vertAlign w:val="subscript"/>
        </w:rPr>
        <w:t>1</w:t>
      </w:r>
      <w:r w:rsidRPr="00C21793">
        <w:rPr>
          <w:vertAlign w:val="subscript"/>
        </w:rPr>
        <w:t>0</w:t>
      </w:r>
      <w:r w:rsidRPr="00C21793">
        <w:t xml:space="preserve"> were reduced by 26.53%, 38.98%, 18.36%, 17.78%, and 37.85%, respectively. The COVID-19 reported cases and deaths were significantly correlated with NO</w:t>
      </w:r>
      <w:r w:rsidRPr="00C21793">
        <w:rPr>
          <w:vertAlign w:val="subscript"/>
        </w:rPr>
        <w:t>2</w:t>
      </w:r>
      <w:r w:rsidR="00531696" w:rsidRPr="00C21793">
        <w:t>, PM</w:t>
      </w:r>
      <w:r w:rsidR="00531696" w:rsidRPr="00C21793">
        <w:rPr>
          <w:vertAlign w:val="subscript"/>
        </w:rPr>
        <w:t>2.5</w:t>
      </w:r>
      <w:r w:rsidR="00531696" w:rsidRPr="00C21793">
        <w:t>, and PM</w:t>
      </w:r>
      <w:r w:rsidR="00531696" w:rsidRPr="00C21793">
        <w:rPr>
          <w:vertAlign w:val="subscript"/>
        </w:rPr>
        <w:t>1</w:t>
      </w:r>
      <w:r w:rsidRPr="00C21793">
        <w:rPr>
          <w:vertAlign w:val="subscript"/>
        </w:rPr>
        <w:t>0</w:t>
      </w:r>
      <w:r w:rsidRPr="00C21793">
        <w:t xml:space="preserve"> in both China and the USA. The findings of this study concluded that the limited anthropogenic activities in the lockdown situation due to this novel pandemic disease </w:t>
      </w:r>
      <w:r w:rsidR="007D25BD" w:rsidRPr="00C21793">
        <w:t>results in a significant improvement of air quality by reducing the concentrations of environmental pollutants.</w:t>
      </w:r>
      <w:r w:rsidRPr="00C21793">
        <w:t xml:space="preserve">  As the trend goes on the reduction of most pollutant concentrations </w:t>
      </w:r>
      <w:r w:rsidR="0052112D" w:rsidRPr="00C21793">
        <w:t>is</w:t>
      </w:r>
      <w:r w:rsidRPr="00C21793">
        <w:t xml:space="preserve"> expected as long as partial or complete lockdown goes on. </w:t>
      </w:r>
    </w:p>
    <w:p w:rsidR="00326F37" w:rsidRPr="00C21793" w:rsidRDefault="00306945" w:rsidP="00306945">
      <w:pPr>
        <w:spacing w:line="360" w:lineRule="auto"/>
        <w:jc w:val="both"/>
      </w:pPr>
      <w:r w:rsidRPr="00C21793">
        <w:rPr>
          <w:b/>
        </w:rPr>
        <w:t>Keywords:</w:t>
      </w:r>
      <w:r w:rsidRPr="00C21793">
        <w:t xml:space="preserve"> Coronavirus; environmental gradients</w:t>
      </w:r>
      <w:r w:rsidR="00B545AA" w:rsidRPr="00C21793">
        <w:t>; USA; China; PM</w:t>
      </w:r>
      <w:r w:rsidR="00B545AA" w:rsidRPr="00C21793">
        <w:rPr>
          <w:vertAlign w:val="subscript"/>
        </w:rPr>
        <w:t>2.5</w:t>
      </w:r>
      <w:r w:rsidR="00B545AA" w:rsidRPr="00C21793">
        <w:t>; PM</w:t>
      </w:r>
      <w:r w:rsidRPr="00C21793">
        <w:rPr>
          <w:vertAlign w:val="subscript"/>
        </w:rPr>
        <w:t>10</w:t>
      </w:r>
    </w:p>
    <w:p w:rsidR="00326F37" w:rsidRPr="00C21793" w:rsidRDefault="00326F37" w:rsidP="00306945">
      <w:pPr>
        <w:spacing w:line="360" w:lineRule="auto"/>
        <w:jc w:val="both"/>
        <w:rPr>
          <w:b/>
          <w:sz w:val="28"/>
          <w:szCs w:val="28"/>
        </w:rPr>
      </w:pPr>
    </w:p>
    <w:p w:rsidR="00306945" w:rsidRPr="00C21793" w:rsidRDefault="00306945" w:rsidP="00306945">
      <w:pPr>
        <w:spacing w:line="360" w:lineRule="auto"/>
        <w:jc w:val="both"/>
      </w:pPr>
      <w:r w:rsidRPr="00C21793">
        <w:rPr>
          <w:b/>
          <w:sz w:val="28"/>
          <w:szCs w:val="28"/>
        </w:rPr>
        <w:t>I</w:t>
      </w:r>
      <w:r w:rsidRPr="00C21793">
        <w:rPr>
          <w:rFonts w:eastAsia="PMingLiU"/>
          <w:b/>
          <w:sz w:val="28"/>
          <w:szCs w:val="28"/>
          <w:lang w:eastAsia="zh-TW"/>
        </w:rPr>
        <w:t>ntroduction</w:t>
      </w:r>
    </w:p>
    <w:p w:rsidR="00306945" w:rsidRPr="00C21793" w:rsidRDefault="00306945" w:rsidP="00306945">
      <w:pPr>
        <w:pStyle w:val="NoSpacing"/>
        <w:spacing w:line="360" w:lineRule="auto"/>
        <w:ind w:firstLine="360"/>
        <w:jc w:val="both"/>
        <w:rPr>
          <w:rFonts w:ascii="Times New Roman" w:hAnsi="Times New Roman" w:cs="Times New Roman"/>
          <w:sz w:val="24"/>
          <w:szCs w:val="24"/>
          <w:lang w:val="en-US"/>
        </w:rPr>
      </w:pPr>
      <w:r w:rsidRPr="00C21793">
        <w:rPr>
          <w:rFonts w:ascii="Times New Roman" w:hAnsi="Times New Roman" w:cs="Times New Roman"/>
          <w:sz w:val="24"/>
          <w:szCs w:val="24"/>
          <w:lang w:val="en-US"/>
        </w:rPr>
        <w:t xml:space="preserve">COVID-19 infected cases were first reported in the last December in Wuhan, China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{"citationItems":[{"id":"ITEM-1","itemData":{"DOI":"10.1016/j.scitotenv.2020.138762","ISSN":"18791026","abstract":"The spread of COVID-19 in the whole world has put the humanity at risk. The resources of some of the largest economies are stressed out due to the large infectivity and transmissibility of this disease. Due to the growing magnitude of number of cases and its subsequent stress on the administration and health professionals, some prediction methods would be required to predict the number of cases in future. In this paper, we have used data-driven estimation methods like long short-term memory (LSTM) and curve fitting for prediction of the number of COVID-19 cases in India 30 days ahead and effect of preventive measures like social isolation and lockdown on the spread of COVID-19. The prediction of various parameters (number of positive cases, number of recovered cases, etc.) obtained by the proposed method is accurate within a certain range and will be a beneficial tool for administrators and health officials.","author":[{"dropping-particle":"","family":"Tomar","given":"Anuradha","non-dropping-particle":"","parse-names":false,"suffix":""},{"dropping-particle":"","family":"Gupta","given":"Neeraj","non-dropping-particle":"","parse-names":false,"suffix":""}],"container-title":"Science of the Total Environment","id":"ITEM-1","issued":{"date-parts":[["2020"]]},"page":"138762","publisher":"Elsevier B.V.","title":"Prediction for the spread of COVID-19 in India and effectiveness of preventive measures","type":"article-journal","volume":"728"},"uris":["http://www.mendeley.com/documents/?uuid=9b6b311c-bee7-4d08-99e6-06e37b7a3425"]},{"id":"ITEM-2","itemData":{"DOI":"10.1016/S0140-6736(20)30183-5","ISSN":"1474547X","PMID":"31986264","abstract":"Background: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Huang","given":"Chaolin","non-dropping-particle":"","parse-names":false,"suffix":""},{"dropping-particle":"","family":"Wang","given":"Yeming","non-dropping-particle":"","parse-names":false,"suffix":""},{"dropping-particle":"","family":"Li","given":"Xingwang","non-dropping-particle":"","parse-names":false,"suffix":""},{"dropping-particle":"","family":"Ren","given":"Lili","non-dropping-particle":"","parse-names":false,"suffix":""},{"dropping-particle":"","family":"Zhao","given":"Jianping","non-dropping-particle":"","parse-names":false,"suffix":""},{"dropping-particle":"","family":"Hu","given":"Yi","non-dropping-particle":"","parse-names":false,"suffix":""},{"dropping-particle":"","family":"Zhang","given":"Li","non-dropping-particle":"","parse-names":false,"suffix":""},{"dropping-particle":"","family":"Fan","given":"Guohui","non-dropping-particle":"","parse-names":false,"suffix":""},{"dropping-particle":"","family":"Xu","given":"Jiuyang","non-dropping-particle":"","parse-names":false,"suffix":""},{"dropping-particle":"","family":"Gu","given":"Xiaoying","non-dropping-particle":"","parse-names":false,"suffix":""},{"dropping-particle":"","family":"Cheng","given":"Zhenshun","non-dropping-particle":"","parse-names":false,"suffix":""},{"dropping-particle":"","family":"Yu","given":"Ting","non-dropping-particle":"","parse-names":false,"suffix":""},{"dropping-particle":"","family":"Xia","given":"Jiaan","non-dropping-particle":"","parse-names":false,"suffix":""},{"dropping-particle":"","family":"Wei","given":"Yuan","non-dropping-particle":"","parse-names":false,"suffix":""},{"dropping-particle":"","family":"Wu","given":"Wenjuan","non-dropping-particle":"","parse-names":false,"suffix":""},{"dropping-particle":"","family":"Xie","given":"Xuelei","non-dropping-particle":"","parse-names":false,"suffix":""},{"dropping-particle":"","family":"Yin","given":"Wen","non-dropping-particle":"","parse-names":false,"suffix":""},{"dropping-particle":"","family":"Li","given":"Hui","non-dropping-particle":"","parse-names":false,"suffix":""},{"dropping-particle":"","family":"Liu","given":"Min","non-dropping-particle":"","parse-names":false,"suffix":""},{"dropping-particle":"","family":"Xiao","given":"Yan","non-dropping-particle":"","parse-names":false,"suffix":""},{"dropping-particle":"","family":"Gao","given":"Hong","non-dropping-particle":"","parse-names":false,"suffix":""},{"dropping-particle":"","family":"Guo","given":"Li","non-dropping-particle":"","parse-names":false,"suffix":""},{"dropping-particle":"","family":"Xie","given":"Jungang","non-dropping-particle":"","parse-names":false,"suffix":""},{"dropping-particle":"","family":"Wang","given":"Guangfa","non-dropping-particle":"","parse-names":false,"suffix":""},{"dropping-particle":"","family":"Jiang","given":"Rongmeng","non-dropping-particle":"","parse-names":false,"suffix":""},{"dropping-particle":"","family":"Gao","given":"Zhancheng","non-dropping-particle":"","parse-names":false,"suffix":""},{"dropping-particle":"","family":"Jin","given":"Qi","non-dropping-particle":"","parse-names":false,"suffix":""},{"dropping-particle":"","family":"Wang","given":"Jianwei","non-dropping-particle":"","parse-names":false,"suffix":""},{"dropping-particle":"","family":"Cao","given":"Bin","non-dropping-particle":"","parse-names":false,"suffix":""}],"container-title":"The Lancet","id":"ITEM-2","issue":"10223","issued":{"date-parts":[["2020"]]},"page":"497-506","title":"Clinical features of patients infected with 2019 novel coronavirus in Wuhan, China","type":"article-journal","volume":"395"},"uris":["http://www.mendeley.com/documents/?uuid=78316d31-e5bf-4250-aa72-94915982315c"]}],"mendeley":{"formattedCitation":"(Huang et al., 2020; Tomar and Gupta, 2020)","plainTextFormattedCitation":"(Huang et al., 2020; Tomar and Gupta, 2020)","previouslyFormattedCitation":"(Huang et al., 2020; Tomar and Gupta, 2020)"},"properties":{"noteIndex":0},"schema":"https://github.com/citation-style-language/schema/raw/master/csl-citation.json"}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Pr="00C21793">
        <w:rPr>
          <w:rFonts w:ascii="Times New Roman" w:hAnsi="Times New Roman" w:cs="Times New Roman"/>
          <w:noProof/>
          <w:sz w:val="24"/>
          <w:szCs w:val="24"/>
          <w:lang w:val="en-US"/>
        </w:rPr>
        <w:t>(</w:t>
      </w:r>
      <w:r w:rsidR="004777F1" w:rsidRPr="00C21793">
        <w:rPr>
          <w:rFonts w:ascii="Times New Roman" w:hAnsi="Times New Roman" w:cs="Times New Roman"/>
          <w:noProof/>
          <w:sz w:val="24"/>
          <w:szCs w:val="24"/>
          <w:lang w:val="en-US"/>
        </w:rPr>
        <w:t xml:space="preserve">Gautam </w:t>
      </w:r>
      <w:r w:rsidR="00600866" w:rsidRPr="00C21793">
        <w:rPr>
          <w:rFonts w:ascii="Times New Roman" w:hAnsi="Times New Roman" w:cs="Times New Roman"/>
          <w:noProof/>
          <w:sz w:val="24"/>
          <w:szCs w:val="24"/>
          <w:lang w:val="en-US"/>
        </w:rPr>
        <w:t>2020</w:t>
      </w:r>
      <w:r w:rsidR="004777F1" w:rsidRPr="00C21793">
        <w:rPr>
          <w:rFonts w:ascii="Times New Roman" w:hAnsi="Times New Roman" w:cs="Times New Roman"/>
          <w:noProof/>
          <w:sz w:val="24"/>
          <w:szCs w:val="24"/>
          <w:lang w:val="en-US"/>
        </w:rPr>
        <w:t xml:space="preserve">; </w:t>
      </w:r>
      <w:r w:rsidR="006D34CC" w:rsidRPr="00C21793">
        <w:rPr>
          <w:rFonts w:ascii="Times New Roman" w:hAnsi="Times New Roman" w:cs="Times New Roman"/>
          <w:noProof/>
          <w:sz w:val="24"/>
          <w:szCs w:val="24"/>
          <w:lang w:val="en-US"/>
        </w:rPr>
        <w:t>Huang et al.</w:t>
      </w:r>
      <w:r w:rsidRPr="00C21793">
        <w:rPr>
          <w:rFonts w:ascii="Times New Roman" w:hAnsi="Times New Roman" w:cs="Times New Roman"/>
          <w:noProof/>
          <w:sz w:val="24"/>
          <w:szCs w:val="24"/>
          <w:lang w:val="en-US"/>
        </w:rPr>
        <w:t xml:space="preserve"> 2020; </w:t>
      </w:r>
      <w:r w:rsidR="006D34CC" w:rsidRPr="00C21793">
        <w:rPr>
          <w:rFonts w:ascii="Times New Roman" w:hAnsi="Times New Roman" w:cs="Times New Roman"/>
          <w:noProof/>
          <w:sz w:val="24"/>
          <w:szCs w:val="24"/>
          <w:lang w:val="en-US"/>
        </w:rPr>
        <w:t>Tomar and Gupta</w:t>
      </w:r>
      <w:r w:rsidRPr="00C21793">
        <w:rPr>
          <w:rFonts w:ascii="Times New Roman" w:hAnsi="Times New Roman" w:cs="Times New Roman"/>
          <w:noProof/>
          <w:sz w:val="24"/>
          <w:szCs w:val="24"/>
          <w:lang w:val="en-US"/>
        </w:rPr>
        <w:t xml:space="preserve"> 2020)</w:t>
      </w:r>
      <w:r w:rsidRPr="00C21793">
        <w:rPr>
          <w:rFonts w:ascii="Times New Roman" w:hAnsi="Times New Roman" w:cs="Times New Roman"/>
          <w:sz w:val="24"/>
          <w:szCs w:val="24"/>
          <w:lang w:val="en-US"/>
        </w:rPr>
        <w:fldChar w:fldCharType="end"/>
      </w:r>
      <w:r w:rsidR="006D34CC" w:rsidRPr="00C21793">
        <w:rPr>
          <w:rFonts w:ascii="Times New Roman" w:hAnsi="Times New Roman" w:cs="Times New Roman"/>
          <w:sz w:val="24"/>
          <w:szCs w:val="24"/>
          <w:lang w:val="en-US"/>
        </w:rPr>
        <w:t xml:space="preserve">. </w:t>
      </w:r>
      <w:r w:rsidRPr="00C21793">
        <w:rPr>
          <w:rFonts w:ascii="Times New Roman" w:hAnsi="Times New Roman" w:cs="Times New Roman"/>
          <w:sz w:val="24"/>
          <w:szCs w:val="24"/>
          <w:lang w:val="en-US"/>
        </w:rPr>
        <w:t xml:space="preserve">It was a third outbreak of </w:t>
      </w:r>
      <w:r w:rsidRPr="00C21793">
        <w:rPr>
          <w:rFonts w:ascii="Times New Roman" w:hAnsi="Times New Roman" w:cs="Times New Roman"/>
          <w:sz w:val="24"/>
          <w:szCs w:val="24"/>
          <w:lang w:val="en-US"/>
        </w:rPr>
        <w:lastRenderedPageBreak/>
        <w:t>coronavirus after the Severe Acute Respiratory Syndrome (SARS) and the Middle East Respiratory Syndrome coronavirus (MERS). A public health emergency was declared by the World</w:t>
      </w:r>
      <w:r w:rsidR="00294026" w:rsidRPr="00C21793">
        <w:rPr>
          <w:rFonts w:ascii="Times New Roman" w:hAnsi="Times New Roman" w:cs="Times New Roman"/>
          <w:sz w:val="24"/>
          <w:szCs w:val="24"/>
          <w:lang w:val="en-US"/>
        </w:rPr>
        <w:t xml:space="preserve"> Health Organization (WHO) on i</w:t>
      </w:r>
      <w:r w:rsidRPr="00C21793">
        <w:rPr>
          <w:rFonts w:ascii="Times New Roman" w:hAnsi="Times New Roman" w:cs="Times New Roman"/>
          <w:sz w:val="24"/>
          <w:szCs w:val="24"/>
          <w:lang w:val="en-US"/>
        </w:rPr>
        <w:t>nternatio</w:t>
      </w:r>
      <w:r w:rsidR="00294026" w:rsidRPr="00C21793">
        <w:rPr>
          <w:rFonts w:ascii="Times New Roman" w:hAnsi="Times New Roman" w:cs="Times New Roman"/>
          <w:sz w:val="24"/>
          <w:szCs w:val="24"/>
          <w:lang w:val="en-US"/>
        </w:rPr>
        <w:t>nal c</w:t>
      </w:r>
      <w:r w:rsidRPr="00C21793">
        <w:rPr>
          <w:rFonts w:ascii="Times New Roman" w:hAnsi="Times New Roman" w:cs="Times New Roman"/>
          <w:sz w:val="24"/>
          <w:szCs w:val="24"/>
          <w:lang w:val="en-US"/>
        </w:rPr>
        <w:t xml:space="preserve">oncern on January 30, 2020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{"citationItems":[{"id":"ITEM-1","itemData":{"DOI":"10.1016/j.envres.2020.109652","ISSN":"00139351","PMID":"32405084","abstract":"In December 2019, the novel coronavirus COVID-19 outbreak was first detected in Wuhan Hubei province, China. In California on April 24, 2020, the Centers for Disease Control and Preventions (CDC) has confirmed more than 39,000 cases, including &gt;1800 deaths. California's Governor Gavin Newsom ordered mandatory stay at home after World Health Organization (WHO) declared COVID-19 as a global pandemic in early March. We have evaluated the correlation between environmental pollution determinants and the COVID-19 outbreak in California by using the secondary published data from the Centers for Disease Control and the Environmental Pollution Agency (EPA). We employed Spearman and Kendall correlation tests to analyze the association of PM 2.5, PM 10, SO2, NO2, Pb, VOC, and CO with COVID-19 cases in California. Our findings indicate that environmental pollutants such as PM10, PM2.5, SO2, NO2, and CO have a significant correlation with the COVID-19 epidemic in California. Overall, our study is a useful supplement to encourage regulatory bodies to promote changes in environmental policies as pollution source control can reduce the harmful effects of environmental pollutants.","author":[{"dropping-particle":"","family":"Bashir","given":"Muhammad Farhan","non-dropping-particle":"","parse-names":false,"suffix":""},{"dropping-particle":"","family":"Bilal","given":"BenJiang MA.","non-dropping-particle":"","parse-names":false,"suffix":""},{"dropping-particle":"","family":"Komal","given":"Bushra","non-dropping-particle":"","parse-names":false,"suffix":""}],"container-title":"Environmental Research","id":"ITEM-1","issue":"April","issued":{"date-parts":[["2020"]]},"page":"109652","publisher":"Elsevier Inc.","title":"Correlation between environmental pollution indicators and COVID-19 pandemic: A brief study in Californian context","type":"article-journal","volume":"187"},"uris":["http://www.mendeley.com/documents/?uuid=a7497422-ff50-403c-b909-48739ea63f09"]}],"mendeley":{"formattedCitation":"(Bashir et al., 2020a)","plainTextFormattedCitation":"(Bashir et al., 2020a)","previouslyFormattedCitation":"(Bashir et al., 2020a)"},"properties":{"noteIndex":0},"schema":"https://github.com/citation-style-language/schema/raw/master/csl-citation.json"}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7C37F0" w:rsidRPr="00C21793">
        <w:rPr>
          <w:rFonts w:ascii="Times New Roman" w:hAnsi="Times New Roman" w:cs="Times New Roman"/>
          <w:noProof/>
          <w:sz w:val="24"/>
          <w:szCs w:val="24"/>
          <w:lang w:val="en-US"/>
        </w:rPr>
        <w:t>(Bashir et al.</w:t>
      </w:r>
      <w:r w:rsidRPr="00C21793">
        <w:rPr>
          <w:rFonts w:ascii="Times New Roman" w:hAnsi="Times New Roman" w:cs="Times New Roman"/>
          <w:noProof/>
          <w:sz w:val="24"/>
          <w:szCs w:val="24"/>
          <w:lang w:val="en-US"/>
        </w:rPr>
        <w:t xml:space="preserve"> 2020a</w:t>
      </w:r>
      <w:r w:rsidR="00255655" w:rsidRPr="00C21793">
        <w:rPr>
          <w:rFonts w:ascii="Times New Roman" w:hAnsi="Times New Roman" w:cs="Times New Roman"/>
          <w:noProof/>
          <w:sz w:val="24"/>
          <w:szCs w:val="24"/>
          <w:lang w:val="en-US"/>
        </w:rPr>
        <w:t>; WHO 2020</w:t>
      </w:r>
      <w:r w:rsidRPr="00C21793">
        <w:rPr>
          <w:rFonts w:ascii="Times New Roman" w:hAnsi="Times New Roman" w:cs="Times New Roman"/>
          <w:noProof/>
          <w:sz w:val="24"/>
          <w:szCs w:val="24"/>
          <w:lang w:val="en-US"/>
        </w:rPr>
        <w:t>)</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w:t>
      </w:r>
      <w:r w:rsidRPr="00C21793">
        <w:rPr>
          <w:rFonts w:ascii="Times New Roman" w:hAnsi="Times New Roman" w:cs="Times New Roman"/>
          <w:noProof/>
          <w:sz w:val="24"/>
          <w:szCs w:val="24"/>
          <w:lang w:val="en-US"/>
        </w:rPr>
        <w:t xml:space="preserve">Initially, different case studies reported that COVID-19 had </w:t>
      </w:r>
      <w:r w:rsidR="008627A1" w:rsidRPr="00C21793">
        <w:rPr>
          <w:rFonts w:ascii="Times New Roman" w:hAnsi="Times New Roman" w:cs="Times New Roman"/>
          <w:noProof/>
          <w:sz w:val="24"/>
          <w:szCs w:val="24"/>
          <w:lang w:val="en-US"/>
        </w:rPr>
        <w:t>shal</w:t>
      </w:r>
      <w:r w:rsidRPr="00C21793">
        <w:rPr>
          <w:rFonts w:ascii="Times New Roman" w:hAnsi="Times New Roman" w:cs="Times New Roman"/>
          <w:noProof/>
          <w:sz w:val="24"/>
          <w:szCs w:val="24"/>
          <w:lang w:val="en-US"/>
        </w:rPr>
        <w:t xml:space="preserve">low fatality rate (2.3%) </w:t>
      </w:r>
      <w:r w:rsidRPr="00C21793">
        <w:rPr>
          <w:rFonts w:ascii="Times New Roman" w:hAnsi="Times New Roman" w:cs="Times New Roman"/>
          <w:noProof/>
          <w:sz w:val="24"/>
          <w:szCs w:val="24"/>
          <w:lang w:val="en-US"/>
        </w:rPr>
        <w:fldChar w:fldCharType="begin" w:fldLock="1"/>
      </w:r>
      <w:r w:rsidRPr="00C21793">
        <w:rPr>
          <w:rFonts w:ascii="Times New Roman" w:hAnsi="Times New Roman" w:cs="Times New Roman"/>
          <w:noProof/>
          <w:sz w:val="24"/>
          <w:szCs w:val="24"/>
          <w:lang w:val="en-US"/>
        </w:rPr>
        <w:instrText>ADDIN CSL_CITATION {"citationItems":[{"id":"ITEM-1","itemData":{"DOI":"10.1186/s40169-020-00271-z","ISSN":"2001-1326","PMID":"32078069","abstract":"An ongoing outbreak of 2019-nCoV pneumonia was first identified in Wuhan, Hubei province, China at the end of 2019. With the spread of the new coronavirus accelerating, person-to-person transmission in family homes or hospitals, and intercity spread of 2019-nCoV occurred. At least 40,261 cases confirmed, 23,589 cases suspected, 909 cases death and 3444 cases cured in China and worldwide 24 countries confirmed 383 cases being diagnosed, 1 case death in February 10th, 2020. At present, the mortality of 2019-nCoV in China is 2.3%, compared with 9.6% of SARS and 34.4% of MERS reported by WHO. It seems the new virus is not as fatal as many people thought. Chinese authorities improved surveillance network, made the laboratory be able to recognize the outbreak within a few weeks and announced the virus genome that provide efficient epidemiological control. More comprehensive information is required to understand 2019-nCoV feature, the epidemiology of origin and spreading, and the clinical phenomina. According to the current status, blocking transmission, isolation, protection, and alternative medication are the urgent management strategies against 2019-nCoV.","author":[{"dropping-particle":"","family":"She","given":"Jun","non-dropping-particle":"","parse-names":false,"suffix":""},{"dropping-particle":"","family":"Jiang","given":"Jinjun","non-dropping-particle":"","parse-names":false,"suffix":""},{"dropping-particle":"","family":"Ye","given":"Ling","non-dropping-particle":"","parse-names":false,"suffix":""},{"dropping-particle":"","family":"Hu","given":"Lijuan","non-dropping-particle":"","parse-names":false,"suffix":""},{"dropping-particle":"","family":"Bai","given":"Chunxue","non-dropping-particle":"","parse-names":false,"suffix":""},{"dropping-particle":"","family":"Song","given":"Yuanlin","non-dropping-particle":"","parse-names":false,"suffix":""}],"container-title":"Clinical and Translational Medicine","id":"ITEM-1","issue":"1","issued":{"date-parts":[["2020"]]},"publisher":"Springer Berlin Heidelberg","title":"2019 novel coronavirus of pneumonia in Wuhan, China: emerging attack and management strategies","type":"article-journal","volume":"9"},"uris":["http://www.mendeley.com/documents/?uuid=81cb757c-1a30-40bd-a51c-15bfd81a478c"]},{"id":"ITEM-2","itemData":{"DOI":"10.1016/j.scitotenv.2020.138890","ISSN":"18791026","PMID":"32339844","abstract":"A COVID-19 outbreak emerged in Wuhan, China at the end of 2019 and developed into a global pandemic during March 2020. The effects of temperature on the dynamics of the COVID-19 epidemic in China are unknown. Data on COVID-19 daily confirmed cases and daily mean temperatures were collected from 31 provincial-level regions in mainland China between Jan. 20 and Feb. 29, 2020. Locally weighted regression and smoothing scatterplot (LOESS), distributed lag nonlinear models (DLNMs), and random-effects meta-analysis were used to examine the relationship between daily confirmed cases rate of COVID-19 and temperature conditions. The daily number of new cases peaked on Feb. 12, and then decreased. The daily confirmed cases rate of COVID-19 had a biphasic relationship with temperature (with a peak at 10 °C), and the daily incidence of COVID-19 decreased at values below and above these values. The overall epidemic intensity of COVID-19 reduced slightly following days with higher temperatures with a relative risk (RR) was 0.96 (95% CI: 0.93, 0.99). A random-effect meta-analysis including 28 provinces in mainland China, we confirmed the statistically significant association between temperature and RR during the study period (Coefficient = −0.0100, 95% CI: −0.0125, −0.0074). The DLNMs in Hubei Province (outside of Wuhan) and Wuhan showed similar patterns of temperature. Additionally, a modified susceptible-exposed-infectious-recovered (M-SEIR) model, with adjustment for climatic factors, was used to provide a complete characterization of the impact of climate on the dynamics of the COVID-19 epidemic.","author":[{"dropping-particle":"","family":"Shi","given":"Peng","non-dropping-particle":"","parse-names":false,"suffix":""},{"dropping-particle":"","family":"Dong","given":"Yinqiao","non-dropping-particle":"","parse-names":false,"suffix":""},{"dropping-particle":"","family":"Yan","given":"Huanchang","non-dropping-particle":"","parse-names":false,"suffix":""},{"dropping-particle":"","family":"Zhao","given":"Chenkai","non-dropping-particle":"","parse-names":false,"suffix":""},{"dropping-particle":"","family":"Li","given":"Xiaoyang","non-dropping-particle":"","parse-names":false,"suffix":""},{"dropping-particle":"","family":"Liu","given":"Wei","non-dropping-particle":"","parse-names":false,"suffix":""},{"dropping-particle":"","family":"He","given":"Miao","non-dropping-particle":"","parse-names":false,"suffix":""},{"dropping-particle":"","family":"Tang","given":"Shixing","non-dropping-particle":"","parse-names":false,"suffix":""},{"dropping-particle":"","family":"Xi","given":"Shuhua","non-dropping-particle":"","parse-names":false,"suffix":""}],"container-title":"Science of the Total Environment","id":"ITEM-2","issued":{"date-parts":[["2020"]]},"page":"138890","publisher":"Elsevier B.V","title":"Impact of temperature on the dynamics of the COVID-19 outbreak in China","type":"article-journal","volume":"728"},"uris":["http://www.mendeley.com/documents/?uuid=83395a7a-092d-41b4-afae-b59bde53f165"]}],"mendeley":{"formattedCitation":"(She et al., 2020; Shi et al., 2020)","manualFormatting":"(Shi et al., 2020; She et al., 2020)","plainTextFormattedCitation":"(She et al., 2020; Shi et al., 2020)","previouslyFormattedCitation":"(She et al., 2020; Shi et al., 2020)"},"properties":{"noteIndex":0},"schema":"https://github.com/citation-style-language/schema/raw/master/csl-citation.json"}</w:instrText>
      </w:r>
      <w:r w:rsidRPr="00C21793">
        <w:rPr>
          <w:rFonts w:ascii="Times New Roman" w:hAnsi="Times New Roman" w:cs="Times New Roman"/>
          <w:noProof/>
          <w:sz w:val="24"/>
          <w:szCs w:val="24"/>
          <w:lang w:val="en-US"/>
        </w:rPr>
        <w:fldChar w:fldCharType="separate"/>
      </w:r>
      <w:r w:rsidR="007C37F0" w:rsidRPr="00C21793">
        <w:rPr>
          <w:rFonts w:ascii="Times New Roman" w:hAnsi="Times New Roman" w:cs="Times New Roman"/>
          <w:noProof/>
          <w:sz w:val="24"/>
          <w:szCs w:val="24"/>
          <w:lang w:val="en-US"/>
        </w:rPr>
        <w:t>(Shi et al. 2020; She et al.</w:t>
      </w:r>
      <w:r w:rsidRPr="00C21793">
        <w:rPr>
          <w:rFonts w:ascii="Times New Roman" w:hAnsi="Times New Roman" w:cs="Times New Roman"/>
          <w:noProof/>
          <w:sz w:val="24"/>
          <w:szCs w:val="24"/>
          <w:lang w:val="en-US"/>
        </w:rPr>
        <w:t xml:space="preserve"> 2020)</w:t>
      </w:r>
      <w:r w:rsidRPr="00C21793">
        <w:rPr>
          <w:rFonts w:ascii="Times New Roman" w:hAnsi="Times New Roman" w:cs="Times New Roman"/>
          <w:noProof/>
          <w:sz w:val="24"/>
          <w:szCs w:val="24"/>
          <w:lang w:val="en-US"/>
        </w:rPr>
        <w:fldChar w:fldCharType="end"/>
      </w:r>
      <w:r w:rsidRPr="00C21793">
        <w:rPr>
          <w:rFonts w:ascii="Times New Roman" w:hAnsi="Times New Roman" w:cs="Times New Roman"/>
          <w:noProof/>
          <w:sz w:val="24"/>
          <w:szCs w:val="24"/>
          <w:lang w:val="en-US"/>
        </w:rPr>
        <w:t xml:space="preserve"> as compared to </w:t>
      </w:r>
      <w:r w:rsidRPr="00C21793">
        <w:rPr>
          <w:rFonts w:ascii="Times New Roman" w:hAnsi="Times New Roman" w:cs="Times New Roman"/>
          <w:sz w:val="24"/>
          <w:szCs w:val="24"/>
          <w:lang w:val="en-US"/>
        </w:rPr>
        <w:t xml:space="preserve">MERS (34.4%) </w:t>
      </w:r>
      <w:r w:rsidRPr="00C21793">
        <w:rPr>
          <w:rFonts w:ascii="Times New Roman" w:hAnsi="Times New Roman" w:cs="Times New Roman"/>
          <w:noProof/>
          <w:sz w:val="24"/>
          <w:szCs w:val="24"/>
          <w:lang w:val="en-US"/>
        </w:rPr>
        <w:t xml:space="preserve">and </w:t>
      </w:r>
      <w:r w:rsidRPr="00C21793">
        <w:rPr>
          <w:rFonts w:ascii="Times New Roman" w:hAnsi="Times New Roman" w:cs="Times New Roman"/>
          <w:sz w:val="24"/>
          <w:szCs w:val="24"/>
          <w:lang w:val="en-US"/>
        </w:rPr>
        <w:t xml:space="preserve">SARS (9.2%)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10.1001/jama.2020.2648","ISSN":"15383598","PMID":"32091533","author":[{"dropping-particle":"","family":"Wu","given":"Zunyou","non-dropping-particle":"","parse-names":false,"suffix":""},{"dropping-particle":"","family":"McGoogan","given":"Jennifer M.","non-dropping-particle":"","parse-names":false,"suffix":""}],"container-title":"JAMA - Journal of the American Medical Association","id":"ITEM-1","issue":"13","issued":{"date-parts":[["2020"]]},"page":"1239-1242","title":"Characteristics of and Important Lessons from the Coronavirus Disease 2019 (COVID-19) Outbreak in China: Summary of a Report of 72314 Cases from the Chinese Center for Disease Control and Prevention","type":"article-journal","volume":"323"},"uris":["http://www.mendeley.com/documents/?uuid=f11747f1-7071-42cd-a5a0-21dd2937e1e2"]},{"id":"ITEM-2","itemData":{"DOI":"10.26355/eurrev","author":[{"dropping-particle":"","family":"Ceccarelli, M., Berretta, M., Venanzi","given":"R.E.","non-dropping-particle":"","parse-names":false,"suffix":""}],"container-title":"European Review for Medical and Pharmacological Sciences","id":"ITEM-2","issue":"2","issued":{"date-parts":[["2020"]]},"page":"2781-2783","title":"Differences and similarities between Severe Acute Respiratory Syndrome (SARS)-CoronaVirus (CoV) and SARS-CoV-2. Would a rose by another name smell as sweet?","type":"article-journal","volume":"24"},"uris":["http://www.mendeley.com/documents/?uuid=88ea79a3-0ffa-4b40-b901-d35a417d13fe"]}],"mendeley":{"formattedCitation":"(Ceccarelli, M., Berretta, M., Venanzi, 2020; Wu and McGoogan, 2020)","manualFormatting":"(Wu et al., 2020; Ceccarelli et al., 2020)","plainTextFormattedCitation":"(Ceccarelli, M., Berretta, M., Venanzi, 2020; Wu and McGoogan, 2020)","previouslyFormattedCitation":"(Ceccarelli, M., Berretta, M., Venanzi, 2020; Wu and McGoogan, 2020)"},"properties":{"noteIndex":0},"schema":"https://github.com/citation-style-language/schema/raw/master/csl-citation.json"}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7C37F0" w:rsidRPr="00C21793">
        <w:rPr>
          <w:rFonts w:ascii="Times New Roman" w:hAnsi="Times New Roman" w:cs="Times New Roman"/>
          <w:noProof/>
          <w:sz w:val="24"/>
          <w:szCs w:val="24"/>
          <w:lang w:val="en-US"/>
        </w:rPr>
        <w:t>(Wu et al. 2020; Ceccarelli et al.</w:t>
      </w:r>
      <w:r w:rsidRPr="00C21793">
        <w:rPr>
          <w:rFonts w:ascii="Times New Roman" w:hAnsi="Times New Roman" w:cs="Times New Roman"/>
          <w:noProof/>
          <w:sz w:val="24"/>
          <w:szCs w:val="24"/>
          <w:lang w:val="en-US"/>
        </w:rPr>
        <w:t xml:space="preserve"> 2020)</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w:t>
      </w:r>
      <w:r w:rsidRPr="00C21793">
        <w:rPr>
          <w:rFonts w:ascii="Times New Roman" w:hAnsi="Times New Roman" w:cs="Times New Roman"/>
          <w:noProof/>
          <w:sz w:val="24"/>
          <w:szCs w:val="24"/>
          <w:lang w:val="en-US"/>
        </w:rPr>
        <w:t xml:space="preserve"> </w:t>
      </w:r>
      <w:r w:rsidRPr="00C21793">
        <w:rPr>
          <w:rFonts w:ascii="Times New Roman" w:hAnsi="Times New Roman" w:cs="Times New Roman"/>
          <w:sz w:val="24"/>
          <w:szCs w:val="24"/>
          <w:lang w:val="en-US"/>
        </w:rPr>
        <w:t xml:space="preserve">Nevertheless, a research study found that the number of COVID-19 </w:t>
      </w:r>
      <w:r w:rsidRPr="00C21793">
        <w:rPr>
          <w:rFonts w:ascii="Times New Roman" w:hAnsi="Times New Roman" w:cs="Times New Roman"/>
          <w:noProof/>
          <w:sz w:val="24"/>
          <w:szCs w:val="24"/>
          <w:lang w:val="en-US"/>
        </w:rPr>
        <w:t>patients</w:t>
      </w:r>
      <w:r w:rsidRPr="00C21793">
        <w:rPr>
          <w:rFonts w:ascii="Times New Roman" w:hAnsi="Times New Roman" w:cs="Times New Roman"/>
          <w:sz w:val="24"/>
          <w:szCs w:val="24"/>
          <w:lang w:val="en-US"/>
        </w:rPr>
        <w:t xml:space="preserve"> doubled every 6.4 days, identifying that COVID-19 was much more dangerous and infectious disease than expected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{"citationItems":[{"id":"ITEM-1","itemData":{"DOI":"10.1016/S0140-6736(20)30260-9","ISSN":"1474547X","PMID":"32014114","abstract":"Background: Since Dec 31, 2019, the Chinese city of Wuhan has reported an outbreak of atypical pneumonia caused by the 2019 novel coronavirus (2019-nCoV). Cases have been exported to other Chinese cities, as well as internationally, threatening to trigger a global outbreak. Here, we provide an estimate of the size of the epidemic in Wuhan on the basis of the number of cases exported from Wuhan to cities outside mainland China and forecast the extent of the domestic and global public health risks of epidemics, accounting for social and non-pharmaceutical prevention interventions. Methods: We used data from Dec 31, 2019, to Jan 28, 2020, on the number of cases exported from Wuhan internationally (known days of symptom onset from Dec 25, 2019, to Jan 19, 2020) to infer the number of infections in Wuhan from Dec 1, 2019, to Jan 25, 2020. Cases exported domestically were then estimated. We forecasted the national and global spread of 2019-nCoV, accounting for the effect of the metropolitan-wide quarantine of Wuhan and surrounding cities, which began Jan 23–24, 2020. We used data on monthly flight bookings from the Official Aviation Guide and data on human mobility across more than 300 prefecture-level cities in mainland China from the Tencent database. Data on confirmed cases were obtained from the reports published by the Chinese Center for Disease Control and Prevention. Serial interval estimates were based on previous studies of severe acute respiratory syndrome coronavirus (SARS-CoV). A susceptible-exposed-infectious-recovered metapopulation model was used to simulate the epidemics across all major cities in China. The basic reproductive number was estimated using Markov Chain Monte Carlo methods and presented using the resulting posterior mean and 95% credibile interval (CrI). Findings: In our baseline scenario, we estimated that the basic reproductive number for 2019-nCoV was 2·68 (95% CrI 2·47–2·86) and that 75 815 individuals (95% CrI 37 304–130 330) have been infected in Wuhan as of Jan 25, 2020. The epidemic doubling time was 6·4 days (95% CrI 5·8–7·1). We estimated that in the baseline scenario, Chongqing, Beijing, Shanghai, Guangzhou, and Shenzhen had imported 461 (95% CrI 227–805), 113 (57–193), 98 (49–168), 111 (56–191), and 80 (40–139) infections from Wuhan, respectively. If the transmissibility of 2019-nCoV were similar everywhere domestically and over time, we inferred that epidemics are already growing exponentially in multiple major cities…","author":[{"dropping-particle":"","family":"Wu","given":"Joseph T.","non-dropping-particle":"","parse-names":false,"suffix":""},{"dropping-particle":"","family":"Leung","given":"Kathy","non-dropping-particle":"","parse-names":false,"suffix":""},{"dropping-particle":"","family":"Leung","given":"Gabriel M.","non-dropping-particle":"","parse-names":false,"suffix":""}],"container-title":"The Lancet","id":"ITEM-1","issue":"10225","issued":{"date-parts":[["2020"]]},"page":"689-697","publisher":"Elsevier Ltd","title":"Nowcasting and forecasting the potential domestic and international spread of the 2019-nCoV outbreak originating in Wuhan, China: a modelling study","type":"article-journal","volume":"395"},"uris":["http://www.mendeley.com/documents/?uuid=fa0a5cf5-09d4-429d-9ffa-fcc510224599"]}],"mendeley":{"formattedCitation":"(Wu et al., 2020)","plainTextFormattedCitation":"(Wu et al., 2020)","previouslyFormattedCitation":"(Wu et al., 2020)"},"properties":{"noteIndex":0},"schema":"https://github.com/citation-style-language/schema/raw/master/csl-citation.json"}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Pr="00C21793">
        <w:rPr>
          <w:rFonts w:ascii="Times New Roman" w:hAnsi="Times New Roman" w:cs="Times New Roman"/>
          <w:noProof/>
          <w:sz w:val="24"/>
          <w:szCs w:val="24"/>
          <w:lang w:val="en-US"/>
        </w:rPr>
        <w:t>(Wu et al. 2020</w:t>
      </w:r>
      <w:r w:rsidR="00CD0960" w:rsidRPr="00C21793">
        <w:rPr>
          <w:rFonts w:ascii="Times New Roman" w:hAnsi="Times New Roman" w:cs="Times New Roman"/>
          <w:noProof/>
          <w:sz w:val="24"/>
          <w:szCs w:val="24"/>
          <w:lang w:val="en-US"/>
        </w:rPr>
        <w:t>b</w:t>
      </w:r>
      <w:r w:rsidRPr="00C21793">
        <w:rPr>
          <w:rFonts w:ascii="Times New Roman" w:hAnsi="Times New Roman" w:cs="Times New Roman"/>
          <w:noProof/>
          <w:sz w:val="24"/>
          <w:szCs w:val="24"/>
          <w:lang w:val="en-US"/>
        </w:rPr>
        <w:t>)</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w:t>
      </w:r>
    </w:p>
    <w:p w:rsidR="00306945" w:rsidRPr="00C21793" w:rsidRDefault="00306945" w:rsidP="00306945">
      <w:pPr>
        <w:pStyle w:val="NoSpacing"/>
        <w:spacing w:line="360" w:lineRule="auto"/>
        <w:ind w:firstLine="360"/>
        <w:jc w:val="both"/>
        <w:rPr>
          <w:rFonts w:ascii="Times New Roman" w:hAnsi="Times New Roman" w:cs="Times New Roman"/>
          <w:sz w:val="24"/>
          <w:szCs w:val="24"/>
          <w:lang w:val="en-US"/>
        </w:rPr>
      </w:pPr>
      <w:r w:rsidRPr="00C21793">
        <w:rPr>
          <w:rFonts w:ascii="Times New Roman" w:hAnsi="Times New Roman" w:cs="Times New Roman"/>
          <w:sz w:val="24"/>
          <w:szCs w:val="24"/>
          <w:lang w:val="en-US"/>
        </w:rPr>
        <w:t xml:space="preserve">The COVID-19 was reported to have reached the </w:t>
      </w:r>
      <w:hyperlink r:id="rId9" w:tooltip="United States" w:history="1">
        <w:r w:rsidRPr="00C21793">
          <w:rPr>
            <w:rFonts w:ascii="Times New Roman" w:hAnsi="Times New Roman" w:cs="Times New Roman"/>
            <w:sz w:val="24"/>
            <w:szCs w:val="24"/>
            <w:lang w:val="en-US"/>
          </w:rPr>
          <w:t>United States</w:t>
        </w:r>
      </w:hyperlink>
      <w:r w:rsidRPr="00C21793">
        <w:rPr>
          <w:rFonts w:ascii="Times New Roman" w:hAnsi="Times New Roman" w:cs="Times New Roman"/>
          <w:sz w:val="24"/>
          <w:szCs w:val="24"/>
          <w:lang w:val="en-US"/>
        </w:rPr>
        <w:t xml:space="preserve"> in early January 2020. In the USA, the first confirmed COVID-19 case of </w:t>
      </w:r>
      <w:hyperlink r:id="rId10" w:tooltip="Local transmission" w:history="1">
        <w:r w:rsidRPr="00C21793">
          <w:rPr>
            <w:rFonts w:ascii="Times New Roman" w:hAnsi="Times New Roman" w:cs="Times New Roman"/>
            <w:sz w:val="24"/>
            <w:szCs w:val="24"/>
            <w:lang w:val="en-US"/>
          </w:rPr>
          <w:t>local transmission</w:t>
        </w:r>
      </w:hyperlink>
      <w:r w:rsidRPr="00C21793">
        <w:rPr>
          <w:rFonts w:ascii="Times New Roman" w:hAnsi="Times New Roman" w:cs="Times New Roman"/>
          <w:sz w:val="24"/>
          <w:szCs w:val="24"/>
          <w:lang w:val="en-US"/>
        </w:rPr>
        <w:t xml:space="preserve"> was found on January 15, 2020, in Washington state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{"citationItems":[{"id":"ITEM-1","itemData":{"DOI":"10.1016/S0140-6736(20)30607-3","ISSN":"1474547X","PMID":"32178768","abstract":"Background: Coronavirus disease 2019 (COVID-19) is a disease caused by severe acute respiratory syndrome coronavirus 2 (SARS-CoV-2), first detected in China in December, 2019. In January, 2020, state, local, and federal public health agencies investigated the first case of COVID-19 in Illinois, USA. Methods: Patients with confirmed COVID-19 were defined as those with a positive SARS-CoV-2 test. Contacts were people with exposure to a patient with COVID-19 on or after the patient's symptom onset date. Contacts underwent active symptom monitoring for 14 days following their last exposure. Contacts who developed fever, cough, or shortness of breath became persons under investigation and were tested for SARS-CoV-2. A convenience sample of 32 asymptomatic health-care personnel contacts were also tested. Findings: Patient 1—a woman in her 60s—returned from China in mid-January, 2020. One week later, she was hospitalised with pneumonia and tested positive for SARS-CoV-2. Her husband (Patient 2) did not travel but had frequent close contact with his wife. He was admitted 8 days later and tested positive for SARS-CoV-2. Overall, 372 contacts of both cases were identified; 347 underwent active symptom monitoring, including 152 community contacts and 195 health-care personnel. Of monitored contacts, 43 became persons under investigation, in addition to Patient 2. These 43 persons under investigation and all 32 asymptomatic health-care personnel tested negative for SARS-CoV-2. Interpretation: Person-to-person transmission of SARS-CoV-2 occurred between two people with prolonged, unprotected exposure while Patient 1 was symptomatic. Despite active symptom monitoring and testing of symptomatic and some asymptomatic contacts, no further transmission was detected. Funding: None.","author":[{"dropping-particle":"","family":"Ghinai","given":"Isaac","non-dropping-particle":"","parse-names":false,"suffix":""},{"dropping-particle":"","family":"McPherson","given":"Tristan D.","non-dropping-particle":"","parse-names":false,"suffix":""},{"dropping-particle":"","family":"Hunter","given":"Jennifer C.","non-dropping-particle":"","parse-names":false,"suffix":""},{"dropping-particle":"","family":"Kirking","given":"Hannah L.","non-dropping-particle":"","parse-names":false,"suffix":""},{"dropping-particle":"","family":"Christiansen","given":"Demian","non-dropping-particle":"","parse-names":false,"suffix":""},{"dropping-particle":"","family":"Joshi","given":"Kiran","non-dropping-particle":"","parse-names":false,"suffix":""},{"dropping-particle":"","family":"Rubin","given":"Rachel","non-dropping-particle":"","parse-names":false,"suffix":""},{"dropping-particle":"","family":"Morales-Estrada","given":"Shirley","non-dropping-particle":"","parse-names":false,"suffix":""},{"dropping-particle":"","family":"Black","given":"Stephanie R.","non-dropping-particle":"","parse-names":false,"suffix":""},{"dropping-particle":"","family":"Pacilli","given":"Massimo","non-dropping-particle":"","parse-names":false,"suffix":""},{"dropping-particle":"","family":"Fricchione","given":"Marielle J.","non-dropping-particle":"","parse-names":false,"suffix":""},{"dropping-particle":"","family":"Chugh","given":"Rashmi K.","non-dropping-particle":"","parse-names":false,"suffix":""},{"dropping-particle":"","family":"Walblay","given":"Kelly A.","non-dropping-particle":"","parse-names":false,"suffix":""},{"dropping-particle":"","family":"Ahmed","given":"N. Seema","non-dropping-particle":"","parse-names":false,"suffix":""},{"dropping-particle":"","family":"Stoecker","given":"William C.","non-dropping-particle":"","parse-names":false,"suffix":""},{"dropping-particle":"","family":"Hasan","given":"Nausheen F.","non-dropping-particle":"","parse-names":false,"suffix":""},{"dropping-particle":"","family":"Burdsall","given":"Deborah P.","non-dropping-particle":"","parse-names":false,"suffix":""},{"dropping-particle":"","family":"Reese","given":"Heather E.","non-dropping-particle":"","parse-names":false,"suffix":""},{"dropping-particle":"","family":"Wallace","given":"Megan","non-dropping-particle":"","parse-names":false,"suffix":""},{"dropping-particle":"","family":"Wang","given":"Chen","non-dropping-particle":"","parse-names":false,"suffix":""},{"dropping-particle":"","family":"Moeller","given":"Darcie","non-dropping-particle":"","parse-names":false,"suffix":""},{"dropping-particle":"","family":"Korpics","given":"Jacqueline","non-dropping-particle":"","parse-names":false,"suffix":""},{"dropping-particle":"","family":"Novosad","given":"Shannon A.","non-dropping-particle":"","parse-names":false,"suffix":""},{"dropping-particle":"","family":"Benowitz","given":"Isaac","non-dropping-particle":"","parse-names":false,"suffix":""},{"dropping-particle":"","family":"Jacobs","given":"Max W.","non-dropping-particle":"","parse-names":false,"suffix":""},{"dropping-particle":"","family":"Dasari","given":"Vishal S.","non-dropping-particle":"","parse-names":false,"suffix":""},{"dropping-particle":"","family":"Patel","given":"Megan T.","non-dropping-particle":"","parse-names":false,"suffix":""},{"dropping-particle":"","family":"Kauerauf","given":"Judy","non-dropping-particle":"","parse-names":false,"suffix":""},{"dropping-particle":"","family":"Charles","given":"E. Matt","non-dropping-particle":"","parse-names":false,"suffix":""},{"dropping-particle":"","family":"Ezike","given":"Ngozi O.","non-dropping-particle":"","parse-names":false,"suffix":""},{"dropping-particle":"","family":"Chu","given":"Victoria","non-dropping-particle":"","parse-names":false,"suffix":""},{"dropping-particle":"","family":"Midgley","given":"Claire M.","non-dropping-particle":"","parse-names":false,"suffix":""},{"dropping-particle":"","family":"Rolfes","given":"Melissa A.","non-dropping-particle":"","parse-names":false,"suffix":""},{"dropping-particle":"","family":"Gerber","given":"Susan I.","non-dropping-particle":"","parse-names":false,"suffix":""},{"dropping-particle":"","family":"Lu","given":"Xiaoyan","non-dropping-particle":"","parse-names":false,"suffix":""},{"dropping-particle":"","family":"Lindstrom","given":"Stephen","non-dropping-particle":"","parse-names":false,"suffix":""},{"dropping-particle":"","family":"Verani","given":"Jennifer R.","non-dropping-particle":"","parse-names":false,"suffix":""},{"dropping-particle":"","family":"Layden","given":"Jennifer E.","non-dropping-particle":"","parse-names":false,"suffix":""}],"container-title":"The Lancet","id":"ITEM-1","issue":"10230","issued":{"date-parts":[["2020"]]},"page":"1137-1144","title":"First known person-to-person transmission of severe acute respiratory syndrome coronavirus 2 (SARS-CoV-2) in the USA","type":"article-journal","volume":"395"},"uris":["http://www.mendeley.com/documents/?uuid=80cf8378-554b-4ce8-a962-02ba43523f32"]},{"id":"ITEM-2","itemData":{"DOI":"10.1016/j.scitotenv.2020.138835","ISSN":"18791026","abstract":"This study analyzed the association between COVID-19 and climate indicators in New York City, USA. We used secondary published data from New York city health services and National weather service, USA. The climate indicators included in the study are average temperature, minimum temperature, maximum temperature, rainfall, average humidity, wind speed, and air quality. Kendall and Spearman rank correlation tests were chosen for data analysis. We find that average temperature, minimum temperature, and air quality were significantly associated with the COVID-19 pandemic. The findings of this study will help World Health Organization and health regulators such as Center for Disease Control (CDC) to combat COVID-19 in New York and the rest of the world.","author":[{"dropping-particle":"","family":"Bashir","given":"Muhammad Farhan","non-dropping-particle":"","parse-names":false,"suffix":""},{"dropping-particle":"","family":"Ma","given":"Benjiang","non-dropping-particle":"","parse-names":false,"suffix":""},{"dropping-particle":"","family":"Bilal","given":"","non-dropping-particle":"","parse-names":false,"suffix":""},{"dropping-particle":"","family":"Komal","given":"Bushra","non-dropping-particle":"","parse-names":false,"suffix":""},{"dropping-particle":"","family":"Bashir","given":"Muhammad Adnan","non-dropping-particle":"","parse-names":false,"suffix":""},{"dropping-particle":"","family":"Tan","given":"Duojiao","non-dropping-particle":"","parse-names":false,"suffix":""},{"dropping-particle":"","family":"Bashir","given":"Madiha","non-dropping-particle":"","parse-names":false,"suffix":""}],"container-title":"Science of the Total Environment","id":"ITEM-2","issued":{"date-parts":[["2020"]]},"page":"138835","publisher":"Elsevier B.V","title":"Correlation between climate indicators and COVID-19 pandemic in New York, USA","type":"article-journal","volume":"728"},"uris":["http://www.mendeley.com/documents/?uuid=473aecb8-17b1-4adb-8698-13d78909aabd"]}],"mendeley":{"formattedCitation":"(Bashir et al., 2020b; Ghinai et al., 2020)","plainTextFormattedCitation":"(Bashir et al., 2020b; Ghinai et al., 2020)","previouslyFormattedCitation":"(Bashir et al., 2020b; Ghinai et al., 2020)"},"properties":{"noteIndex":0},"schema":"https://github.com/citation-style-language/schema/raw/master/csl-citation.json"}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7C37F0" w:rsidRPr="00C21793">
        <w:rPr>
          <w:rFonts w:ascii="Times New Roman" w:hAnsi="Times New Roman" w:cs="Times New Roman"/>
          <w:noProof/>
          <w:sz w:val="24"/>
          <w:szCs w:val="24"/>
          <w:lang w:val="en-US"/>
        </w:rPr>
        <w:t>(Bashir et al. 2020b; Ghinai et al.</w:t>
      </w:r>
      <w:r w:rsidRPr="00C21793">
        <w:rPr>
          <w:rFonts w:ascii="Times New Roman" w:hAnsi="Times New Roman" w:cs="Times New Roman"/>
          <w:noProof/>
          <w:sz w:val="24"/>
          <w:szCs w:val="24"/>
          <w:lang w:val="en-US"/>
        </w:rPr>
        <w:t xml:space="preserve"> 2020)</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and COVID-19 spread quickly throughout the country. California, Florida, Louisiana, North Carolina, and Alabama states were the most infected states with the maximum number of cases and deaths in the USA. As of </w:t>
      </w:r>
      <w:r w:rsidR="009F2953" w:rsidRPr="00C21793">
        <w:rPr>
          <w:rFonts w:ascii="Times New Roman" w:hAnsi="Times New Roman" w:cs="Times New Roman"/>
          <w:sz w:val="24"/>
          <w:szCs w:val="24"/>
          <w:lang w:val="en-US"/>
        </w:rPr>
        <w:t>July 15</w:t>
      </w:r>
      <w:r w:rsidRPr="00C21793">
        <w:rPr>
          <w:rFonts w:ascii="Times New Roman" w:hAnsi="Times New Roman" w:cs="Times New Roman"/>
          <w:sz w:val="24"/>
          <w:szCs w:val="24"/>
          <w:lang w:val="en-US"/>
        </w:rPr>
        <w:t>, 2020, the tota</w:t>
      </w:r>
      <w:r w:rsidR="00655EC6" w:rsidRPr="00C21793">
        <w:rPr>
          <w:rFonts w:ascii="Times New Roman" w:hAnsi="Times New Roman" w:cs="Times New Roman"/>
          <w:sz w:val="24"/>
          <w:szCs w:val="24"/>
          <w:lang w:val="en-US"/>
        </w:rPr>
        <w:t xml:space="preserve">l number of cases </w:t>
      </w:r>
      <w:r w:rsidR="00313B2F" w:rsidRPr="00C21793">
        <w:rPr>
          <w:rFonts w:ascii="Times New Roman" w:hAnsi="Times New Roman" w:cs="Times New Roman"/>
          <w:sz w:val="24"/>
          <w:szCs w:val="24"/>
          <w:lang w:val="en-US"/>
        </w:rPr>
        <w:t xml:space="preserve">and deaths </w:t>
      </w:r>
      <w:r w:rsidR="00655EC6" w:rsidRPr="00C21793">
        <w:rPr>
          <w:rFonts w:ascii="Times New Roman" w:hAnsi="Times New Roman" w:cs="Times New Roman"/>
          <w:sz w:val="24"/>
          <w:szCs w:val="24"/>
          <w:lang w:val="en-US"/>
        </w:rPr>
        <w:t xml:space="preserve">in </w:t>
      </w:r>
      <w:r w:rsidRPr="00C21793">
        <w:rPr>
          <w:rFonts w:ascii="Times New Roman" w:hAnsi="Times New Roman" w:cs="Times New Roman"/>
          <w:sz w:val="24"/>
          <w:szCs w:val="24"/>
          <w:lang w:val="en-US"/>
        </w:rPr>
        <w:t xml:space="preserve">California, Florida, Louisiana, North Carolina, and Alabama states were </w:t>
      </w:r>
      <w:r w:rsidR="003C399B" w:rsidRPr="00C21793">
        <w:rPr>
          <w:rFonts w:ascii="Times New Roman" w:hAnsi="Times New Roman" w:cs="Times New Roman"/>
          <w:sz w:val="24"/>
          <w:szCs w:val="24"/>
          <w:lang w:val="en-US"/>
        </w:rPr>
        <w:t>3</w:t>
      </w:r>
      <w:r w:rsidR="007D4E3D" w:rsidRPr="00C21793">
        <w:rPr>
          <w:rFonts w:ascii="Times New Roman" w:hAnsi="Times New Roman" w:cs="Times New Roman"/>
          <w:sz w:val="24"/>
          <w:szCs w:val="24"/>
          <w:lang w:val="en-US"/>
        </w:rPr>
        <w:t>29</w:t>
      </w:r>
      <w:r w:rsidR="006A7AD9" w:rsidRPr="00C21793">
        <w:rPr>
          <w:rFonts w:ascii="Times New Roman" w:hAnsi="Times New Roman" w:cs="Times New Roman"/>
          <w:sz w:val="24"/>
          <w:szCs w:val="24"/>
          <w:lang w:val="en-US"/>
        </w:rPr>
        <w:t>,</w:t>
      </w:r>
      <w:r w:rsidR="007D4E3D" w:rsidRPr="00C21793">
        <w:rPr>
          <w:rFonts w:ascii="Times New Roman" w:hAnsi="Times New Roman" w:cs="Times New Roman"/>
          <w:sz w:val="24"/>
          <w:szCs w:val="24"/>
          <w:lang w:val="en-US"/>
        </w:rPr>
        <w:t>162</w:t>
      </w:r>
      <w:r w:rsidR="00313B2F" w:rsidRPr="00C21793">
        <w:rPr>
          <w:rFonts w:ascii="Times New Roman" w:hAnsi="Times New Roman" w:cs="Times New Roman"/>
          <w:sz w:val="24"/>
          <w:szCs w:val="24"/>
          <w:lang w:val="en-US"/>
        </w:rPr>
        <w:t xml:space="preserve"> (7,086),</w:t>
      </w:r>
      <w:r w:rsidR="006A7AD9" w:rsidRPr="00C21793">
        <w:rPr>
          <w:rFonts w:ascii="Times New Roman" w:hAnsi="Times New Roman" w:cs="Times New Roman"/>
          <w:sz w:val="24"/>
          <w:szCs w:val="24"/>
          <w:lang w:val="en-US"/>
        </w:rPr>
        <w:t xml:space="preserve"> 282</w:t>
      </w:r>
      <w:r w:rsidRPr="00C21793">
        <w:rPr>
          <w:rFonts w:ascii="Times New Roman" w:hAnsi="Times New Roman" w:cs="Times New Roman"/>
          <w:sz w:val="24"/>
          <w:szCs w:val="24"/>
          <w:lang w:val="en-US"/>
        </w:rPr>
        <w:t>,</w:t>
      </w:r>
      <w:r w:rsidR="006A7AD9" w:rsidRPr="00C21793">
        <w:rPr>
          <w:rFonts w:ascii="Times New Roman" w:hAnsi="Times New Roman" w:cs="Times New Roman"/>
          <w:sz w:val="24"/>
          <w:szCs w:val="24"/>
          <w:lang w:val="en-US"/>
        </w:rPr>
        <w:t>435</w:t>
      </w:r>
      <w:r w:rsidR="00313B2F" w:rsidRPr="00C21793">
        <w:rPr>
          <w:rFonts w:ascii="Times New Roman" w:hAnsi="Times New Roman" w:cs="Times New Roman"/>
          <w:sz w:val="24"/>
          <w:szCs w:val="24"/>
          <w:lang w:val="en-US"/>
        </w:rPr>
        <w:t xml:space="preserve"> (7,277)</w:t>
      </w:r>
      <w:r w:rsidR="006A7AD9" w:rsidRPr="00C21793">
        <w:rPr>
          <w:rFonts w:ascii="Times New Roman" w:hAnsi="Times New Roman" w:cs="Times New Roman"/>
          <w:sz w:val="24"/>
          <w:szCs w:val="24"/>
          <w:lang w:val="en-US"/>
        </w:rPr>
        <w:t>,</w:t>
      </w:r>
      <w:r w:rsidRPr="00C21793">
        <w:rPr>
          <w:rFonts w:ascii="Times New Roman" w:hAnsi="Times New Roman" w:cs="Times New Roman"/>
          <w:sz w:val="24"/>
          <w:szCs w:val="24"/>
          <w:lang w:val="en-US"/>
        </w:rPr>
        <w:t xml:space="preserve"> </w:t>
      </w:r>
      <w:r w:rsidR="00313B2F" w:rsidRPr="00C21793">
        <w:rPr>
          <w:rFonts w:ascii="Times New Roman" w:hAnsi="Times New Roman" w:cs="Times New Roman"/>
          <w:sz w:val="24"/>
          <w:szCs w:val="24"/>
          <w:lang w:val="en-US"/>
        </w:rPr>
        <w:t xml:space="preserve">79,827 (3,315), 87, 528 (1,510) and </w:t>
      </w:r>
      <w:r w:rsidR="00655EC6" w:rsidRPr="00C21793">
        <w:rPr>
          <w:rFonts w:ascii="Times New Roman" w:hAnsi="Times New Roman" w:cs="Times New Roman"/>
          <w:sz w:val="24"/>
          <w:szCs w:val="24"/>
          <w:lang w:val="en-US"/>
        </w:rPr>
        <w:t>5</w:t>
      </w:r>
      <w:r w:rsidR="00313B2F" w:rsidRPr="00C21793">
        <w:rPr>
          <w:rFonts w:ascii="Times New Roman" w:hAnsi="Times New Roman" w:cs="Times New Roman"/>
          <w:sz w:val="24"/>
          <w:szCs w:val="24"/>
          <w:lang w:val="en-US"/>
        </w:rPr>
        <w:t>5</w:t>
      </w:r>
      <w:r w:rsidR="00655EC6" w:rsidRPr="00C21793">
        <w:rPr>
          <w:rFonts w:ascii="Times New Roman" w:hAnsi="Times New Roman" w:cs="Times New Roman"/>
          <w:sz w:val="24"/>
          <w:szCs w:val="24"/>
          <w:lang w:val="en-US"/>
        </w:rPr>
        <w:t>,</w:t>
      </w:r>
      <w:r w:rsidR="00313B2F" w:rsidRPr="00C21793">
        <w:rPr>
          <w:rFonts w:ascii="Times New Roman" w:hAnsi="Times New Roman" w:cs="Times New Roman"/>
          <w:sz w:val="24"/>
          <w:szCs w:val="24"/>
          <w:lang w:val="en-US"/>
        </w:rPr>
        <w:t>545 (1,124),</w:t>
      </w:r>
      <w:r w:rsidRPr="00C21793">
        <w:rPr>
          <w:rFonts w:ascii="Times New Roman" w:hAnsi="Times New Roman" w:cs="Times New Roman"/>
          <w:sz w:val="24"/>
          <w:szCs w:val="24"/>
          <w:lang w:val="en-US"/>
        </w:rPr>
        <w:t xml:space="preserve"> respectively. On the other hand, the current situation in China may be different as the number of new cases, and the death toll dropped significantly due to lockdown measurements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{"citationItems":[{"id":"ITEM-1","itemData":{"DOI":"10.1016/j.scitotenv.2020.139052","ISSN":"18791026","abstract":"Responding to the ongoing novel coronavirus (agent of COVID-19) outbreak, China implemented “the largest quarantine in human history” in Wuhan on 23 January 2020. Similar quarantine measures were imposed on other Chinese cities within days. Human mobility and relevant production and consumption activities have since decreased significantly. As a likely side effect of this decrease, many regions have recorded significant reductions in air pollution. We employed daily air pollution data and Intracity Migration Index (IMI) data form Baidu between 1 January and 21 March 2020 for 44 cities in northern China to examine whether, how, and to what extent travel restrictions affected air quality. On the basis of this quantitative analysis, we reached the following conclusions: (1) The reduction of air pollution was strongly associated with travel restrictions during this pandemic—on average, the air quality index (AQI) decreased by 7.80%, and five air pollutants (i.e., SO2, PM2.5, PM10, NO2, and CO) decreased by 6.76%, 5.93%, 13.66%, 24.67%, and 4.58%, respectively. (2) Mechanism analysis illustrated that the lockdowns of 44 cities reduced human movements by 69.85%, and a reduction in the AQI, PM2.5, and CO was partially mediated by human mobility, and SO2, PM10, and NO2 were completely mediated. (3) Our findings highlight the importance of understanding the role of green production and consumption.","author":[{"dropping-particle":"","family":"Bao","given":"Rui","non-dropping-particle":"","parse-names":false,"suffix":""},{"dropping-particle":"","family":"Zhang","given":"Acheng","non-dropping-particle":"","parse-names":false,"suffix":""}],"container-title":"Science of the Total Environment","id":"ITEM-1","issued":{"date-parts":[["2020"]]},"page":"139052","publisher":"Elsevier B.V","title":"Does lockdown reduce air pollution? Evidence from 44 cities in northern China","type":"article-journal","volume":"731"},"uris":["http://www.mendeley.com/documents/?uuid=e4a6d9b5-6ef7-4534-adcc-35f26f51739d"]}],"mendeley":{"formattedCitation":"(Bao and Zhang, 2020)","plainTextFormattedCitation":"(Bao and Zhang, 2020)","previouslyFormattedCitation":"(Bao and Zhang, 2020)"},"properties":{"noteIndex":0},"schema":"https://github.com/citation-style-language/schema/raw/master/csl-citation.json"}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255655" w:rsidRPr="00C21793">
        <w:rPr>
          <w:rFonts w:ascii="Times New Roman" w:hAnsi="Times New Roman" w:cs="Times New Roman"/>
          <w:noProof/>
          <w:sz w:val="24"/>
          <w:szCs w:val="24"/>
          <w:lang w:val="en-US"/>
        </w:rPr>
        <w:t>(Bao and Zhang</w:t>
      </w:r>
      <w:r w:rsidRPr="00C21793">
        <w:rPr>
          <w:rFonts w:ascii="Times New Roman" w:hAnsi="Times New Roman" w:cs="Times New Roman"/>
          <w:noProof/>
          <w:sz w:val="24"/>
          <w:szCs w:val="24"/>
          <w:lang w:val="en-US"/>
        </w:rPr>
        <w:t xml:space="preserve"> 2020)</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w:t>
      </w:r>
      <w:hyperlink r:id="rId11" w:history="1">
        <w:r w:rsidRPr="00C21793">
          <w:rPr>
            <w:rFonts w:ascii="Times New Roman" w:hAnsi="Times New Roman" w:cs="Times New Roman"/>
            <w:sz w:val="24"/>
            <w:szCs w:val="24"/>
            <w:lang w:val="en-US"/>
          </w:rPr>
          <w:t>China</w:t>
        </w:r>
      </w:hyperlink>
      <w:r w:rsidRPr="00C21793">
        <w:rPr>
          <w:rFonts w:ascii="Times New Roman" w:hAnsi="Times New Roman" w:cs="Times New Roman"/>
          <w:sz w:val="24"/>
          <w:szCs w:val="24"/>
          <w:lang w:val="en-US"/>
        </w:rPr>
        <w:t xml:space="preserve"> has reported zero new cases for the first time since January on April 15, 2020. </w:t>
      </w:r>
    </w:p>
    <w:p w:rsidR="00306945" w:rsidRPr="00C21793" w:rsidRDefault="00306945" w:rsidP="00306945">
      <w:pPr>
        <w:pStyle w:val="NoSpacing"/>
        <w:spacing w:line="360" w:lineRule="auto"/>
        <w:ind w:firstLine="360"/>
        <w:jc w:val="both"/>
        <w:rPr>
          <w:rFonts w:ascii="Times New Roman" w:hAnsi="Times New Roman" w:cs="Times New Roman"/>
          <w:sz w:val="24"/>
          <w:szCs w:val="24"/>
        </w:rPr>
      </w:pPr>
      <w:r w:rsidRPr="00C21793">
        <w:rPr>
          <w:rFonts w:ascii="Times New Roman" w:hAnsi="Times New Roman" w:cs="Times New Roman"/>
          <w:sz w:val="24"/>
          <w:szCs w:val="24"/>
          <w:lang w:val="en-US"/>
        </w:rPr>
        <w:t xml:space="preserve">Human health significantly affected by air pollution. Globally, according to the State of Global Air Report 2019, air pollution approximately killed 5 million people in 2017, and the USA and China ranked among the top 10 countries with the maximum mortality rate (Health Effects Institute (HEI), </w:t>
      </w:r>
      <w:hyperlink r:id="rId12" w:history="1">
        <w:r w:rsidRPr="00C21793">
          <w:rPr>
            <w:rStyle w:val="Hyperlink"/>
            <w:rFonts w:ascii="Times New Roman" w:hAnsi="Times New Roman" w:cs="Times New Roman"/>
            <w:sz w:val="24"/>
            <w:lang w:val="en-US"/>
          </w:rPr>
          <w:t>https://www.healtheffects.org/</w:t>
        </w:r>
      </w:hyperlink>
      <w:r w:rsidR="0078069C" w:rsidRPr="00C21793">
        <w:rPr>
          <w:rFonts w:ascii="Times New Roman" w:hAnsi="Times New Roman" w:cs="Times New Roman"/>
          <w:sz w:val="24"/>
          <w:szCs w:val="24"/>
          <w:lang w:val="en-US"/>
        </w:rPr>
        <w:t>). In addition to h</w:t>
      </w:r>
      <w:r w:rsidRPr="00C21793">
        <w:rPr>
          <w:rFonts w:ascii="Times New Roman" w:hAnsi="Times New Roman" w:cs="Times New Roman"/>
          <w:sz w:val="24"/>
          <w:szCs w:val="24"/>
          <w:lang w:val="en-US"/>
        </w:rPr>
        <w:t xml:space="preserve">uman-to-human transmission, environmental parameters play an important role in term of transmission, </w:t>
      </w:r>
      <w:r w:rsidRPr="00C21793">
        <w:rPr>
          <w:rFonts w:ascii="Times New Roman" w:hAnsi="Times New Roman" w:cs="Times New Roman"/>
          <w:sz w:val="24"/>
          <w:szCs w:val="24"/>
          <w:lang w:val="en-US"/>
        </w:rPr>
        <w:lastRenderedPageBreak/>
        <w:t xml:space="preserve">distribution viability, the timing of infections, and range of viruses spread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{"citationItems":[{"id":"ITEM-1","itemData":{"DOI":"10.2807/1560-7917.ES2013.18.38.20590","ISSN":"15607917","abstract":"The stability of Middle East respiratory syndrome cor-onavirus (MERS-CoV) was determined at 20°C - 40% relative humidity (RH); 30°C - 30% RH and 30°C - 80% RH. MERS-CoV was more stable at low temperature/ low humidity conditions and could still be recovered after 48 hours. During aerosolisation of MERS-CoV, no decrease in stability was observed at 20°C - 40% RH. These data suggest the potential of MERS-CoV to be transmitted via contact or fomite transmission due to prolonged environmental presence.","author":[{"dropping-particle":"","family":"Doremalen","given":"N.","non-dropping-particle":"van","parse-names":false,"suffix":""},{"dropping-particle":"","family":"Bushmaker","given":"T.","non-dropping-particle":"","parse-names":false,"suffix":""},{"dropping-particle":"","family":"Munster","given":"V. J.","non-dropping-particle":"","parse-names":false,"suffix":""}],"container-title":"Eurosurveillance","id":"ITEM-1","issue":"38","issued":{"date-parts":[["2013"]]},"page":"1-4","title":"Stability of middle east respiratory syndrome coronavirus (MERS-CoV) under different environmental conditions","type":"article-journal","volume":"18"},"uris":["http://www.mendeley.com/documents/?uuid=4af63bad-3f14-4d73-b340-801ed74e36ac"]},{"id":"ITEM-2","itemData":{"DOI":"10.1016/j.scitotenv.2020.138810","ISSN":"18791026","abstract":"The coronavirus pandemic, which has numerous global implications, has led people to believe that nothing will be the same as before. The present day is dominated by studies on determining the factors that affect, taking preventive actions, and trying to find an effective treatment on top priority. Meteorological parameters are among the crucial factors affecting infectious diseases. The present study examines the correlation between weather and coronavirus disease 2019 (COVID-19) by considering nine cities in Turkey. In this regard, temperature (°C), dew point (°C), humidity (%), and wind speed (mph) are considered as parameters of weather. Research states that the incubation period of COVID-19 varies from 1 day to 14 days. Therefore, the effects of each parameter within 1, 3, 7, and 14 days are examined. In addition, the population is included as an effective parameter for evaluation. The analyses are conducted based on Spearman's correlation coefficients. The results showed that the highest correlations were observed for population, wind speed 14 days ago, and temperature on the day, respectively. The study results may guide authorities and decision-makers on taking specific measures for the cities.","author":[{"dropping-particle":"","family":"Şahin","given":"Mehmet","non-dropping-particle":"","parse-names":false,"suffix":""}],"container-title":"Science of the Total Environment","id":"ITEM-2","issued":{"date-parts":[["2020"]]},"title":"Impact of weather on COVID-19 pandemic in Turkey","type":"article-journal","volume":"728"},"uris":["http://www.mendeley.com/documents/?uuid=b5ba0e20-4f84-4a85-9006-71ef02a07ba2"]},{"id":"ITEM-3","itemData":{"DOI":"10.1016/j.actatropica.2018.11.013","ISSN":"18736254","abstract":"The correlation between cholera epidemics and climatic drivers, in particular seasonal tropical rainfall, has been studied in a variety of contexts owing to its documented relevance. Several mechanistic models of cholera transmission have included rainfall as a driver by focusing on two possible transmission pathways: either by increasing exposure to contaminated water (e.g. due to worsening sanitary conditions during water excess), or water contamination by freshly excreted bacteria (e.g. due to washout of open-air defecation sites or overflows). Our study assesses the explanatory power of these different modeling structures by formal model comparison using deterministic and stochastic models of the type susceptible-infected-recovered-bacteria (SIRB). The incorporation of rainfall effects is generalized using a nonlinear function that can increase or decrease the relative importance of the large precipitation events. Our modelling framework is tested against the daily epidemiological data collected during the 2015 cholera outbreak within the urban context of Juba, South Sudan. This epidemic is characterized by a particular intra-seasonal double peak on the incidence in apparent relation with particularly strong rainfall events. Our results show that rainfall-based models in both their deterministic and stochastic formulations outperform models that do not account for rainfall. In fact, classical SIRB models are not able to reproduce the second epidemiological peak, thus suggesting that it was rainfall-driven. Moreover we found stronger support across model types for rainfall acting on increased exposure rather than on exacerbated water contamination. Although these results are context-specific, they stress the importance of a systematic and comprehensive appraisal of transmission pathways and their environmental forcings when embarking in the modelling of epidemic cholera.","author":[{"dropping-particle":"","family":"Lemaitre","given":"Joseph","non-dropping-particle":"","parse-names":false,"suffix":""},{"dropping-particle":"","family":"Pasetto","given":"Damiano","non-dropping-particle":"","parse-names":false,"suffix":""},{"dropping-particle":"","family":"Perez-Saez","given":"Javier","non-dropping-particle":"","parse-names":false,"suffix":""},{"dropping-particle":"","family":"Sciarra","given":"Carla","non-dropping-particle":"","parse-names":false,"suffix":""},{"dropping-particle":"","family":"Wamala","given":"Joseph Francis","non-dropping-particle":"","parse-names":false,"suffix":""},{"dropping-particle":"","family":"Rinaldo","given":"Andrea","non-dropping-particle":"","parse-names":false,"suffix":""}],"container-title":"Acta Tropica","id":"ITEM-3","issue":"November 2018","issued":{"date-parts":[["2019"]]},"page":"235-243","publisher":"Elsevier","title":"Rainfall as a driver of epidemic cholera: Comparative model assessments of the effect of intra-seasonal precipitation events","type":"article-journal","volume":"190"},"uris":["http://www.mendeley.com/documents/?uuid=9a166987-e47f-4e2b-acf1-537b044aed95"]},{"id":"ITEM-4","itemData":{"DOI":"10.1016/j.scitotenv.2020.138890","ISSN":"18791026","PMID":"32339844","abstract":"A COVID-19 outbreak emerged in Wuhan, China at the end of 2019 and developed into a global pandemic during March 2020. The effects of temperature on the dynamics of the COVID-19 epidemic in China are unknown. Data on COVID-19 daily confirmed cases and daily mean temperatures were collected from 31 provincial-level regions in mainland China between Jan. 20 and Feb. 29, 2020. Locally weighted regression and smoothing scatterplot (LOESS), distributed lag nonlinear models (DLNMs), and random-effects meta-analysis were used to examine the relationship between daily confirmed cases rate of COVID-19 and temperature conditions. The daily number of new cases peaked on Feb. 12, and then decreased. The daily confirmed cases rate of COVID-19 had a biphasic relationship with temperature (with a peak at 10 °C), and the daily incidence of COVID-19 decreased at values below and above these values. The overall epidemic intensity of COVID-19 reduced slightly following days with higher temperatures with a relative risk (RR) was 0.96 (95% CI: 0.93, 0.99). A random-effect meta-analysis including 28 provinces in mainland China, we confirmed the statistically significant association between temperature and RR during the study period (Coefficient = −0.0100, 95% CI: −0.0125, −0.0074). The DLNMs in Hubei Province (outside of Wuhan) and Wuhan showed similar patterns of temperature. Additionally, a modified susceptible-exposed-infectious-recovered (M-SEIR) model, with adjustment for climatic factors, was used to provide a complete characterization of the impact of climate on the dynamics of the COVID-19 epidemic.","author":[{"dropping-particle":"","family":"Shi","given":"Peng","non-dropping-particle":"","parse-names":false,"suffix":""},{"dropping-particle":"","family":"Dong","given":"Yinqiao","non-dropping-particle":"","parse-names":false,"suffix":""},{"dropping-particle":"","family":"Yan","given":"Huanchang","non-dropping-particle":"","parse-names":false,"suffix":""},{"dropping-particle":"","family":"Zhao","given":"Chenkai","non-dropping-particle":"","parse-names":false,"suffix":""},{"dropping-particle":"","</w:instrText>
      </w:r>
      <w:r w:rsidRPr="00C21793">
        <w:rPr>
          <w:rFonts w:ascii="Times New Roman" w:hAnsi="Times New Roman" w:cs="Times New Roman"/>
          <w:sz w:val="24"/>
          <w:szCs w:val="24"/>
        </w:rPr>
        <w:instrText>family":"Li","given":"Xiaoyang","non-dropping-particle":"","parse-names":false,"suffix":""},{"dropping-particle":"","family":"Liu","given":"Wei","non-dropping-particle":"","parse-names":false,"suffix":""},{"dropping-particle":"","family":"He","given":"Miao","non-dropping-particle":"","parse-names":false,"suffix":""},{"dropping-particle":"","family":"Tang","given":"Shixing","non-dropping-particle":"","parse-names":false,"suffix":""},{"dropping-particle":"","family":"Xi","given":"Shuhua","non-dropping-particle":"","parse-names":false,"suffix":""}],"container-title":"Science of the Total Environment","id":"ITEM-4","issued":{"date-parts":[["2020"]]},"page":"138890","publisher":"Elsevier B.V","title":"Impact of temperature on the dynamics of the COVID-19 outbreak in China","type":"article-journal","volume":"728"},"uris":["http://www.mendeley.com/documents/?uuid=83395a7a-092d-41b4-afae-b59bde53f165"]}],"mendeley":{"formattedCitation":"(Lemaitre et al., 2019; Şahin, 2020; Shi et al., 2020; van Doremalen et al., 2013)","manualFormatting":"(Xie and Zhu, 2020; Lemaitre et al., 2019; Şahin, 2020; Shi et al., 2020; van Doremalen et al., 2013)","plainTextFormattedCitation":"(Lemaitre et al., 2019; Şahin, 2020; Shi et al., 2020; van Doremalen et al., 2013)","previouslyFormattedCitation":"(Lemaitre et al., 2019; Şahin, 2020; Shi et al., 2020; van Doremalen et al., 2013)"},"properties":{"noteIndex":0},"schema":"https://github.com/citation-style-language/schema/raw/master/csl-citation.json"}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Pr="00C21793">
        <w:rPr>
          <w:rFonts w:ascii="Times New Roman" w:hAnsi="Times New Roman" w:cs="Times New Roman"/>
          <w:noProof/>
          <w:sz w:val="24"/>
          <w:szCs w:val="24"/>
        </w:rPr>
        <w:t>(</w:t>
      </w:r>
      <w:r w:rsidR="0073651F" w:rsidRPr="00C21793">
        <w:rPr>
          <w:rFonts w:ascii="Times New Roman" w:hAnsi="Times New Roman" w:cs="Times New Roman"/>
          <w:noProof/>
          <w:sz w:val="24"/>
          <w:szCs w:val="24"/>
        </w:rPr>
        <w:t>Anser et al.</w:t>
      </w:r>
      <w:r w:rsidR="00671D9D" w:rsidRPr="00C21793">
        <w:rPr>
          <w:rFonts w:ascii="Times New Roman" w:hAnsi="Times New Roman" w:cs="Times New Roman"/>
          <w:noProof/>
          <w:sz w:val="24"/>
          <w:szCs w:val="24"/>
        </w:rPr>
        <w:t xml:space="preserve"> 2020; </w:t>
      </w:r>
      <w:r w:rsidR="0073651F" w:rsidRPr="00C21793">
        <w:rPr>
          <w:rFonts w:ascii="Times New Roman" w:hAnsi="Times New Roman" w:cs="Times New Roman"/>
          <w:noProof/>
          <w:sz w:val="24"/>
          <w:szCs w:val="24"/>
        </w:rPr>
        <w:t>Lemaitre et al. 2019; Şahin 2020; Shi et al. 2020; van Doremalen et al.</w:t>
      </w:r>
      <w:r w:rsidRPr="00C21793">
        <w:rPr>
          <w:rFonts w:ascii="Times New Roman" w:hAnsi="Times New Roman" w:cs="Times New Roman"/>
          <w:noProof/>
          <w:sz w:val="24"/>
          <w:szCs w:val="24"/>
        </w:rPr>
        <w:t xml:space="preserve"> 2013</w:t>
      </w:r>
      <w:r w:rsidR="00A50178" w:rsidRPr="00C21793">
        <w:rPr>
          <w:rFonts w:ascii="Times New Roman" w:hAnsi="Times New Roman" w:cs="Times New Roman"/>
          <w:noProof/>
          <w:sz w:val="24"/>
          <w:szCs w:val="24"/>
        </w:rPr>
        <w:t xml:space="preserve">; </w:t>
      </w:r>
      <w:r w:rsidR="00CD0960" w:rsidRPr="00C21793">
        <w:rPr>
          <w:rFonts w:ascii="Times New Roman" w:hAnsi="Times New Roman" w:cs="Times New Roman"/>
          <w:noProof/>
          <w:sz w:val="24"/>
          <w:szCs w:val="24"/>
        </w:rPr>
        <w:t>Zhu</w:t>
      </w:r>
      <w:r w:rsidR="00A50178" w:rsidRPr="00C21793">
        <w:rPr>
          <w:rFonts w:ascii="Times New Roman" w:hAnsi="Times New Roman" w:cs="Times New Roman"/>
          <w:noProof/>
          <w:sz w:val="24"/>
          <w:szCs w:val="24"/>
        </w:rPr>
        <w:t xml:space="preserve"> 2020</w:t>
      </w:r>
      <w:r w:rsidRPr="00C21793">
        <w:rPr>
          <w:rFonts w:ascii="Times New Roman" w:hAnsi="Times New Roman" w:cs="Times New Roman"/>
          <w:noProof/>
          <w:sz w:val="24"/>
          <w:szCs w:val="24"/>
        </w:rPr>
        <w:t>)</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rPr>
        <w:t xml:space="preserve">. </w:t>
      </w:r>
    </w:p>
    <w:p w:rsidR="00306945" w:rsidRPr="00C21793" w:rsidRDefault="0052112D" w:rsidP="00306945">
      <w:pPr>
        <w:pStyle w:val="NoSpacing"/>
        <w:spacing w:line="360" w:lineRule="auto"/>
        <w:ind w:firstLine="540"/>
        <w:jc w:val="both"/>
        <w:rPr>
          <w:rFonts w:ascii="Times New Roman" w:hAnsi="Times New Roman" w:cs="Times New Roman"/>
          <w:sz w:val="24"/>
          <w:szCs w:val="24"/>
          <w:lang w:val="en-US"/>
        </w:rPr>
      </w:pPr>
      <w:r w:rsidRPr="00C21793">
        <w:rPr>
          <w:rFonts w:ascii="Times New Roman" w:hAnsi="Times New Roman" w:cs="Times New Roman"/>
          <w:sz w:val="24"/>
          <w:szCs w:val="24"/>
          <w:lang w:val="en-US"/>
        </w:rPr>
        <w:t>The m</w:t>
      </w:r>
      <w:r w:rsidR="00306945" w:rsidRPr="00C21793">
        <w:rPr>
          <w:rFonts w:ascii="Times New Roman" w:hAnsi="Times New Roman" w:cs="Times New Roman"/>
          <w:sz w:val="24"/>
          <w:szCs w:val="24"/>
          <w:lang w:val="en-US"/>
        </w:rPr>
        <w:t xml:space="preserve">ajority of the world population faced lockdown during these hard times. By this nationwide COVID-19 lockdown, transport, as well as industrial activities significantly reduced. Besides the possible side effects of this unprecedented lockdown, environmental pollution drastically decreased in many countries. In India, as a result of lockdown, the air pollution in 88 cities across the country dramatically reduced down only after four days of commencing lockdown </w:t>
      </w:r>
      <w:r w:rsidR="00306945" w:rsidRPr="00C21793">
        <w:rPr>
          <w:rFonts w:ascii="Times New Roman" w:hAnsi="Times New Roman" w:cs="Times New Roman"/>
          <w:sz w:val="24"/>
          <w:szCs w:val="24"/>
          <w:lang w:val="en-US"/>
        </w:rPr>
        <w:fldChar w:fldCharType="begin" w:fldLock="1"/>
      </w:r>
      <w:r w:rsidR="00306945" w:rsidRPr="00C21793">
        <w:rPr>
          <w:rFonts w:ascii="Times New Roman" w:hAnsi="Times New Roman" w:cs="Times New Roman"/>
          <w:sz w:val="24"/>
          <w:szCs w:val="24"/>
          <w:lang w:val="en-US"/>
        </w:rPr>
        <w:instrText>ADDIN CSL_CITATION {"citationItems":[{"id":"ITEM-1","itemData":{"DOI":"10.1016/j.scitotenv.2020.139086","ISSN":"18791026","PMID":"32375105","abstract":"Amid the COVID-19 pandemic, a nationwide lockdown is imposed in India initially for three weeks from 24th March to 14th April 2020 and extended up to 3rd May 2020. Due to the forced restrictions, pollution level in cities across the country drastically slowed down just within few days which magnetize discussions regarding lockdown to be the effectual alternative measures to be implemented for controlling air pollution. The present article eventually worked on this direction to look upon the air quality scenario amidst the lockdown period scientifically with special reference to the megacity Delhi. With the aid of air quality data of seven pollutant parameters (PM10, PM2.5, SO2, NO2, CO, O3 and NH3) for 34 monitoring stations spread over the megacity we have employed National Air Quality Index (NAQI) to show the spatial pattern of air quality in pre and during-lockdown phases. The results demonstrated that during lockdown air quality is significantly improved. Among the selected pollutants, concentrations of PM10 and PM2.5 have witnessed maximum reduction (&gt;50%) in compare to the pre-lockdown phase. In compare to the last year (i.e. 2019) during the said time period the reduction of PM10 and PM2.5 is as high as about 60% and 39% respectively. Among other pollutants, NO2 (−52.68%) and CO (−30.35%) level have also reduced during-lockdown phase. About 40% to 50% improvement in air quality is identified just after four days of commencing lockdown. About 54%, 49%, 43%, 37% and 31% reduction in NAQI have been observed in Central, Eastern, Southern, Western and Northern parts of the megacity. Overall, the study is thought to be a useful supplement to the regulatory bodies since it showed the pollution source control can attenuate the air quality. Temporary such source control in a suitable time interval may heal the environment.","author":[{"dropping-particle":"","family":"Mahato","given":"Susanta","non-dropping-particle":"","parse-names":false,"suffix":""},{"dropping-particle":"","family":"Pal","given":"Swades","non-dropping-particle":"","parse-names":false,"suffix":""},{"dropping-particle":"","family":"Ghosh","given":"Krishna Gopal","non-dropping-particle":"","parse-names":false,"suffix":""}],"container-title":"Science of the Total Environment","id":"ITEM-1","issued":{"date-parts":[["2020"]]},"page":"139086","publisher":"Elsevier B.V.","title":"Effect of lockdown amid COVID-19 pandemic on air quality of the megacity Delhi, India","type":"article-journal","volume":"730"},"uris":["http://www.mendeley.com/documents/?uuid=30cf3dcf-19c8-48f1-a581-985354872434"]},{"id":"ITEM-2","itemData":{"DOI":"10.1016/j.scitotenv.2020.138878","ISSN":"18791026","abstract":"The effectiveness and cost are always top factors for policy-makers to decide control measures and most measures had no pre-test before implementation. Due to the COVID-19 pandemic, human activities are largely restricted in many regions in India since mid-March of 2020, and it is a progressing experiment to testify effectiveness of restricted emissions. In this study, concentrations of six criteria pollutants, PM10, PM2.5, CO, NO2, ozone and SO2 during March 16th to April 14th from 2017 to 2020 in 22 cities covering different regions of India were analysed. Overall, around 43, 31, 10, and 18% decreases in PM2.5, PM10, CO, and NO2 in India were observed during lockdown period compared to previous years. While, there were 17% increase in O3 and negligible changes in SO2. The air quality index (AQI) reduced by 44, 33, 29, 15 and 32% in north, south, east, central and western India, respectively. Correlation between cities especially in northern and eastern regions improved in 2020 compared to previous years, indicating more significant regional transport than previous years. The mean excessive risks of PM reduced by ~52% nationwide due to restricted activities in lockdown period. To eliminate the effects of possible favourable meteorology, the WRF-AERMOD model system was also applied in Delhi-NCR with actual meteorology during the lockdown period and an un-favourable event in early November of 2019 and results show that predicted PM2.5 could increase by only 33% in unfavourable meteorology. This study gives confidence to the regulatory bodies that even during unfavourable meteorology, a significant improvement in air quality could be expected if strict execution of air quality control plans is implemented.","author":[{"dropping-particle":"","family":"Sharma","given":"Shubham","non-dropping-particle":"","parse-names":false,"suffix":""},{"dropping-particle":"","family":"Zhang","given":"Mengyuan","non-dropping-particle":"","parse-names":false,"suffix":""},{"dropping-particle":"","family":"Anshika","given":"","non-dropping-particle":"","parse-names":false,"suffix":""},{"dropping-particle":"","family":"Gao","given":"Jingsi","non-dropping-particle":"","parse-names":false,"suffix":""},{"dropping-particle":"","family":"Zhang","given":"Hongliang","non-dropping-particle":"","parse-names":false,"suffix":""},{"dropping-particle":"","family":"Kota","given":"Sri Harsha","non-dropping-particle":"","parse-names":false,"suffix":""}],"container-title":"Science of the Total Environment","id":"ITEM-2","issued":{"date-parts":[["2020"]]},"page":"138878","publisher":"Elsevier B.V","title":"Effect of restricted emissions during COVID-19 on air quality in India","type":"article-journal","volume":"728"},"uris":["http://www.mendeley.com/documents/?uuid=192795ac-d94f-4ef9-a1f9-2edc3fc094ec"]}],"mendeley":{"formattedCitation":"(Mahato et al., 2020; Sharma et al., 2020)","plainTextFormattedCitation":"(Mahato et al., 2020; Sharma et al., 2020)","previouslyFormattedCitation":"(Mahato et al., 2020; Sharma et al., 2020)"},"properties":{"noteIndex":0},"schema":"https://github.com/citation-style-language/schema/raw/master/csl-citation.json"}</w:instrText>
      </w:r>
      <w:r w:rsidR="00306945" w:rsidRPr="00C21793">
        <w:rPr>
          <w:rFonts w:ascii="Times New Roman" w:hAnsi="Times New Roman" w:cs="Times New Roman"/>
          <w:sz w:val="24"/>
          <w:szCs w:val="24"/>
          <w:lang w:val="en-US"/>
        </w:rPr>
        <w:fldChar w:fldCharType="separate"/>
      </w:r>
      <w:r w:rsidR="0073651F" w:rsidRPr="00C21793">
        <w:rPr>
          <w:rFonts w:ascii="Times New Roman" w:hAnsi="Times New Roman" w:cs="Times New Roman"/>
          <w:noProof/>
          <w:sz w:val="24"/>
          <w:szCs w:val="24"/>
          <w:lang w:val="en-US"/>
        </w:rPr>
        <w:t>(Mahato et al. 2020; Sharma et al.</w:t>
      </w:r>
      <w:r w:rsidR="00306945" w:rsidRPr="00C21793">
        <w:rPr>
          <w:rFonts w:ascii="Times New Roman" w:hAnsi="Times New Roman" w:cs="Times New Roman"/>
          <w:noProof/>
          <w:sz w:val="24"/>
          <w:szCs w:val="24"/>
          <w:lang w:val="en-US"/>
        </w:rPr>
        <w:t xml:space="preserve"> 2020)</w:t>
      </w:r>
      <w:r w:rsidR="00306945" w:rsidRPr="00C21793">
        <w:rPr>
          <w:rFonts w:ascii="Times New Roman" w:hAnsi="Times New Roman" w:cs="Times New Roman"/>
          <w:sz w:val="24"/>
          <w:szCs w:val="24"/>
          <w:lang w:val="en-US"/>
        </w:rPr>
        <w:fldChar w:fldCharType="end"/>
      </w:r>
      <w:r w:rsidR="00A9103A" w:rsidRPr="00C21793">
        <w:rPr>
          <w:rFonts w:ascii="Times New Roman" w:hAnsi="Times New Roman" w:cs="Times New Roman"/>
          <w:sz w:val="24"/>
          <w:szCs w:val="24"/>
          <w:lang w:val="en-US"/>
        </w:rPr>
        <w:t>. European Space Agency (ES</w:t>
      </w:r>
      <w:r w:rsidR="00306945" w:rsidRPr="00C21793">
        <w:rPr>
          <w:rFonts w:ascii="Times New Roman" w:hAnsi="Times New Roman" w:cs="Times New Roman"/>
          <w:sz w:val="24"/>
          <w:szCs w:val="24"/>
          <w:lang w:val="en-US"/>
        </w:rPr>
        <w:t>A) and National Aeronautics and Space Administration (NASA) pollution monitoring satellites have identified significant reductions in NO</w:t>
      </w:r>
      <w:r w:rsidR="00306945" w:rsidRPr="00C21793">
        <w:rPr>
          <w:rFonts w:ascii="Times New Roman" w:hAnsi="Times New Roman" w:cs="Times New Roman"/>
          <w:sz w:val="24"/>
          <w:szCs w:val="24"/>
          <w:vertAlign w:val="subscript"/>
          <w:lang w:val="en-US"/>
        </w:rPr>
        <w:t>2</w:t>
      </w:r>
      <w:r w:rsidR="00306945" w:rsidRPr="00C21793">
        <w:rPr>
          <w:rFonts w:ascii="Times New Roman" w:hAnsi="Times New Roman" w:cs="Times New Roman"/>
          <w:sz w:val="24"/>
          <w:szCs w:val="24"/>
          <w:lang w:val="en-US"/>
        </w:rPr>
        <w:t xml:space="preserve"> emissions over Italy during the lockdown period </w:t>
      </w:r>
      <w:r w:rsidR="00306945" w:rsidRPr="00C21793">
        <w:rPr>
          <w:rFonts w:ascii="Times New Roman" w:hAnsi="Times New Roman" w:cs="Times New Roman"/>
          <w:sz w:val="24"/>
          <w:szCs w:val="24"/>
          <w:lang w:val="en-US"/>
        </w:rPr>
        <w:fldChar w:fldCharType="begin" w:fldLock="1"/>
      </w:r>
      <w:r w:rsidR="00306945" w:rsidRPr="00C21793">
        <w:rPr>
          <w:rFonts w:ascii="Times New Roman" w:hAnsi="Times New Roman" w:cs="Times New Roman"/>
          <w:sz w:val="24"/>
          <w:szCs w:val="24"/>
          <w:lang w:val="en-US"/>
        </w:rPr>
        <w:instrText>ADDIN CSL_CITATION {"citationItems":[{"id":"ITEM-1","itemData":{"DOI":"10.1016/j.scitotenv.2020.138820","ISSN":"18791026","abstract":"In late 2019, a novel infectious disease with human to human transmission (COVID-19) was identified in Wuhan China, which now has turned into a global pandemic. Countries all over the world have implemented some sort of lockdown to slow down its infection and mitigate it. Lockdown due to COVID-19 has drastic effects on social and economic fronts. However, this lockdown also has some positive effect on natural environment. Recent data released by NASA (National Aeronautics and Space Administration) and ESA (European Space Agency) indicates that pollution in some of the epicenters of COVID-19 such as Wuhan, Italy, Spain and USA etc. has reduced up to 30%. This study compiled the environmental data released by NASA and ESA before and after the coronavirus pandemic and discusses its impact on environmental quality.","author":[{"dropping-particle":"","family":"Muhammad","given":"Sulaman","non-dropping-particle":"","parse-names":false,"suffix":""},{"dropping-particle":"","family":"Long","given":"Xingle","non-dropping-particle":"","parse-names":false,"suffix":""},{"dropping-particle":"","family":"Salman","given":"Muhammad","non-dropping-particle":"","parse-names":false,"suffix":""}],"container-title":"Science of the Total Environment","id":"ITEM-1","issued":{"date-parts":[["2020"]]},"page":"138820","publisher":"Elsevier B.V.","title":"COVID-19 pandemic and environmental pollution: A blessing in disguise?","type":"article-journal","volume":"728"},"uris":["http://www.mendeley.com/documents/?uuid=9484c8a1-6853-4771-af86-1852d5cc2997"]}],"mendeley":{"formattedCitation":"(Muhammad et al., 2020)","manualFormatting":"(Muhammad et al., 2020","plainTextFormattedCitation":"(Muhammad et al., 2020)","previouslyFormattedCitation":"(Muhammad et al., 2020)"},"properties":{"noteIndex":0},"schema":"https://github.com/citation-style-language/schema/raw/master/csl-citation.json"}</w:instrText>
      </w:r>
      <w:r w:rsidR="00306945" w:rsidRPr="00C21793">
        <w:rPr>
          <w:rFonts w:ascii="Times New Roman" w:hAnsi="Times New Roman" w:cs="Times New Roman"/>
          <w:sz w:val="24"/>
          <w:szCs w:val="24"/>
          <w:lang w:val="en-US"/>
        </w:rPr>
        <w:fldChar w:fldCharType="separate"/>
      </w:r>
      <w:r w:rsidR="0073651F" w:rsidRPr="00C21793">
        <w:rPr>
          <w:rFonts w:ascii="Times New Roman" w:hAnsi="Times New Roman" w:cs="Times New Roman"/>
          <w:noProof/>
          <w:sz w:val="24"/>
          <w:szCs w:val="24"/>
          <w:lang w:val="en-US"/>
        </w:rPr>
        <w:t>(</w:t>
      </w:r>
      <w:r w:rsidR="00C65F2E" w:rsidRPr="00C21793">
        <w:rPr>
          <w:rFonts w:ascii="Times New Roman" w:hAnsi="Times New Roman" w:cs="Times New Roman"/>
          <w:sz w:val="24"/>
          <w:szCs w:val="24"/>
          <w:lang w:val="en-US"/>
        </w:rPr>
        <w:t>ESA</w:t>
      </w:r>
      <w:r w:rsidR="00A64CA0" w:rsidRPr="00C21793">
        <w:rPr>
          <w:rFonts w:ascii="Times New Roman" w:hAnsi="Times New Roman" w:cs="Times New Roman"/>
          <w:noProof/>
          <w:sz w:val="24"/>
          <w:szCs w:val="24"/>
          <w:lang w:val="en-US"/>
        </w:rPr>
        <w:t xml:space="preserve"> 2020; </w:t>
      </w:r>
      <w:r w:rsidR="0073651F" w:rsidRPr="00C21793">
        <w:rPr>
          <w:rFonts w:ascii="Times New Roman" w:hAnsi="Times New Roman" w:cs="Times New Roman"/>
          <w:noProof/>
          <w:sz w:val="24"/>
          <w:szCs w:val="24"/>
          <w:lang w:val="en-US"/>
        </w:rPr>
        <w:t>Muhammad et al.</w:t>
      </w:r>
      <w:r w:rsidR="00306945" w:rsidRPr="00C21793">
        <w:rPr>
          <w:rFonts w:ascii="Times New Roman" w:hAnsi="Times New Roman" w:cs="Times New Roman"/>
          <w:noProof/>
          <w:sz w:val="24"/>
          <w:szCs w:val="24"/>
          <w:lang w:val="en-US"/>
        </w:rPr>
        <w:t xml:space="preserve"> 2020</w:t>
      </w:r>
      <w:r w:rsidR="00306945" w:rsidRPr="00C21793">
        <w:rPr>
          <w:rFonts w:ascii="Times New Roman" w:hAnsi="Times New Roman" w:cs="Times New Roman"/>
          <w:sz w:val="24"/>
          <w:szCs w:val="24"/>
          <w:lang w:val="en-US"/>
        </w:rPr>
        <w:fldChar w:fldCharType="end"/>
      </w:r>
      <w:r w:rsidR="00A64CA0" w:rsidRPr="00C21793">
        <w:rPr>
          <w:rFonts w:ascii="Times New Roman" w:hAnsi="Times New Roman" w:cs="Times New Roman"/>
          <w:sz w:val="24"/>
          <w:szCs w:val="24"/>
          <w:lang w:val="en-US"/>
        </w:rPr>
        <w:t xml:space="preserve">; </w:t>
      </w:r>
      <w:r w:rsidR="00C65F2E" w:rsidRPr="00C21793">
        <w:rPr>
          <w:rFonts w:ascii="Times New Roman" w:hAnsi="Times New Roman" w:cs="Times New Roman"/>
          <w:sz w:val="24"/>
          <w:szCs w:val="24"/>
          <w:lang w:val="en-US"/>
        </w:rPr>
        <w:t>NASA 2020</w:t>
      </w:r>
      <w:r w:rsidR="00306945" w:rsidRPr="00C21793">
        <w:rPr>
          <w:rFonts w:ascii="Times New Roman" w:hAnsi="Times New Roman" w:cs="Times New Roman"/>
          <w:sz w:val="24"/>
          <w:szCs w:val="24"/>
          <w:lang w:val="en-US"/>
        </w:rPr>
        <w:t>). Similarly, the IESM (Institute of Environmental Science and Meteorology) reported that the emissions of PM</w:t>
      </w:r>
      <w:r w:rsidR="00306945" w:rsidRPr="00C21793">
        <w:rPr>
          <w:rFonts w:ascii="Times New Roman" w:hAnsi="Times New Roman" w:cs="Times New Roman"/>
          <w:sz w:val="24"/>
          <w:szCs w:val="24"/>
          <w:vertAlign w:val="subscript"/>
          <w:lang w:val="en-US"/>
        </w:rPr>
        <w:t>10</w:t>
      </w:r>
      <w:r w:rsidR="00306945" w:rsidRPr="00C21793">
        <w:rPr>
          <w:rFonts w:ascii="Times New Roman" w:hAnsi="Times New Roman" w:cs="Times New Roman"/>
          <w:sz w:val="24"/>
          <w:szCs w:val="24"/>
          <w:lang w:val="en-US"/>
        </w:rPr>
        <w:t xml:space="preserve"> and PM</w:t>
      </w:r>
      <w:r w:rsidR="00306945" w:rsidRPr="00C21793">
        <w:rPr>
          <w:rFonts w:ascii="Times New Roman" w:hAnsi="Times New Roman" w:cs="Times New Roman"/>
          <w:sz w:val="24"/>
          <w:szCs w:val="24"/>
          <w:vertAlign w:val="subscript"/>
          <w:lang w:val="en-US"/>
        </w:rPr>
        <w:t xml:space="preserve">2.5 </w:t>
      </w:r>
      <w:r w:rsidR="00306945" w:rsidRPr="00C21793">
        <w:rPr>
          <w:rFonts w:ascii="Times New Roman" w:hAnsi="Times New Roman" w:cs="Times New Roman"/>
          <w:sz w:val="24"/>
          <w:szCs w:val="24"/>
          <w:lang w:val="en-US"/>
        </w:rPr>
        <w:t xml:space="preserve">were reduced due to decreased industrial activities as a </w:t>
      </w:r>
      <w:r w:rsidR="0073651F" w:rsidRPr="00C21793">
        <w:rPr>
          <w:rFonts w:ascii="Times New Roman" w:hAnsi="Times New Roman" w:cs="Times New Roman"/>
          <w:sz w:val="24"/>
          <w:szCs w:val="24"/>
          <w:lang w:val="en-US"/>
        </w:rPr>
        <w:t xml:space="preserve">result of lockdown measurements. </w:t>
      </w:r>
      <w:r w:rsidR="00306945" w:rsidRPr="00C21793">
        <w:rPr>
          <w:rFonts w:ascii="Times New Roman" w:hAnsi="Times New Roman" w:cs="Times New Roman"/>
          <w:sz w:val="24"/>
          <w:szCs w:val="24"/>
          <w:lang w:val="en-US"/>
        </w:rPr>
        <w:t xml:space="preserve">Additionally, Finland's </w:t>
      </w:r>
      <w:r w:rsidR="0078069C" w:rsidRPr="00C21793">
        <w:rPr>
          <w:rFonts w:ascii="Times New Roman" w:hAnsi="Times New Roman" w:cs="Times New Roman"/>
          <w:sz w:val="24"/>
          <w:szCs w:val="24"/>
          <w:lang w:val="en-US"/>
        </w:rPr>
        <w:t>center</w:t>
      </w:r>
      <w:r w:rsidR="00306945" w:rsidRPr="00C21793">
        <w:rPr>
          <w:rFonts w:ascii="Times New Roman" w:hAnsi="Times New Roman" w:cs="Times New Roman"/>
          <w:sz w:val="24"/>
          <w:szCs w:val="24"/>
          <w:lang w:val="en-US"/>
        </w:rPr>
        <w:t xml:space="preserve"> for research on energy and clean air studied and accounted that almost 25% of CO</w:t>
      </w:r>
      <w:r w:rsidR="00306945" w:rsidRPr="00C21793">
        <w:rPr>
          <w:rFonts w:ascii="Times New Roman" w:hAnsi="Times New Roman" w:cs="Times New Roman"/>
          <w:sz w:val="24"/>
          <w:szCs w:val="24"/>
          <w:vertAlign w:val="subscript"/>
          <w:lang w:val="en-US"/>
        </w:rPr>
        <w:t>2</w:t>
      </w:r>
      <w:r w:rsidR="00306945" w:rsidRPr="00C21793">
        <w:rPr>
          <w:rFonts w:ascii="Times New Roman" w:hAnsi="Times New Roman" w:cs="Times New Roman"/>
          <w:sz w:val="24"/>
          <w:szCs w:val="24"/>
          <w:lang w:val="en-US"/>
        </w:rPr>
        <w:t xml:space="preserve"> emissions reduced due to factory closures and travel restrictions in China (Carbon Brief 2020</w:t>
      </w:r>
      <w:r w:rsidR="00A8695F" w:rsidRPr="00C21793">
        <w:rPr>
          <w:rFonts w:ascii="Times New Roman" w:hAnsi="Times New Roman" w:cs="Times New Roman"/>
          <w:sz w:val="24"/>
          <w:szCs w:val="24"/>
          <w:lang w:val="en-US"/>
        </w:rPr>
        <w:t>).</w:t>
      </w:r>
      <w:r w:rsidR="00306945" w:rsidRPr="00C21793">
        <w:rPr>
          <w:rFonts w:ascii="Times New Roman" w:hAnsi="Times New Roman" w:cs="Times New Roman"/>
          <w:sz w:val="24"/>
          <w:szCs w:val="24"/>
          <w:lang w:val="en-US"/>
        </w:rPr>
        <w:t xml:space="preserve"> </w:t>
      </w:r>
    </w:p>
    <w:p w:rsidR="00306945" w:rsidRPr="00C21793" w:rsidRDefault="00306945" w:rsidP="00306945">
      <w:pPr>
        <w:pStyle w:val="NoSpacing"/>
        <w:spacing w:line="360" w:lineRule="auto"/>
        <w:ind w:firstLine="360"/>
        <w:jc w:val="both"/>
        <w:rPr>
          <w:rFonts w:ascii="Times New Roman" w:hAnsi="Times New Roman" w:cs="Times New Roman"/>
          <w:noProof/>
          <w:sz w:val="24"/>
          <w:szCs w:val="24"/>
          <w:lang w:val="en-US"/>
        </w:rPr>
      </w:pPr>
      <w:r w:rsidRPr="00C21793">
        <w:rPr>
          <w:rFonts w:ascii="Times New Roman" w:hAnsi="Times New Roman" w:cs="Times New Roman"/>
          <w:noProof/>
          <w:sz w:val="24"/>
          <w:szCs w:val="24"/>
          <w:lang w:val="en-US"/>
        </w:rPr>
        <w:t xml:space="preserve">Since COVID-19 is an acute respiratory disease and could remain feasible in aerosols for hours </w:t>
      </w:r>
      <w:r w:rsidRPr="00C21793">
        <w:rPr>
          <w:rFonts w:ascii="Times New Roman" w:hAnsi="Times New Roman" w:cs="Times New Roman"/>
          <w:noProof/>
          <w:sz w:val="24"/>
          <w:szCs w:val="24"/>
          <w:lang w:val="en-US"/>
        </w:rPr>
        <w:fldChar w:fldCharType="begin" w:fldLock="1"/>
      </w:r>
      <w:r w:rsidRPr="00C21793">
        <w:rPr>
          <w:rFonts w:ascii="Times New Roman" w:hAnsi="Times New Roman" w:cs="Times New Roman"/>
          <w:noProof/>
          <w:sz w:val="24"/>
          <w:szCs w:val="24"/>
          <w:lang w:val="en-US"/>
        </w:rPr>
        <w:instrText>ADDIN CSL_CITATION {"citationItems":[{"id":"ITEM-1","itemData":{"author":[{"dropping-particle":"","family":"Doremalen, N., Bushmaker, T., Morris, D.H., Holbrook, M.G., Gamble, A., Williamson","given":"B.N.","non-dropping-particle":"van","parse-names":false,"suffix":""},{"dropping-particle":"","family":"Tamin, A., Harcourt, J.L., Thornburg, N.J., Gerber","given":"S.I.","non-dropping-particle":"","parse-names":false,"suffix":""}],"container-title":"The New England Journal of Medicine","id":"ITEM-1","issued":{"date-parts":[["2020"]]},"page":"0-3","title":"Aerosol and Surface Stability of SARS-CoV-2 as Compared with SARS-CoV-1","type":"article-journal"},"uris":["http://www.mendeley.com/documents/?uuid=d72ffdf5-6928-44c1-afb3-652101e0dc97"]}],"mendeley":{"formattedCitation":"(van Doremalen, N., Bushmaker, T., Morris, D.H., Holbrook, M.G., Gamble, A., Williamson and Tamin, A., Harcourt, J.L., Thornburg, N.J., Gerber, 2020)","manualFormatting":"(van Doremalen et al., 2020)","plainTextFormattedCitation":"(van Doremalen, N., Bushmaker, T., Morris, D.H., Holbrook, M.G., Gamble, A., Williamson and Tamin, A., Harcourt, J.L., Thornburg, N.J., Gerber, 2020)","previouslyFormattedCitation":"(van Doremalen, N., Bushmaker, T., Morris, D.H., Holbrook, M.G., Gamble, A., Williamson and Tamin, A., Harcourt, J.L., Thornburg, N.J., Gerber, 2020)"},"properties":{"noteIndex":0},"schema":"https://github.com/citation-style-language/schema/raw/master/csl-citation.json"}</w:instrText>
      </w:r>
      <w:r w:rsidRPr="00C21793">
        <w:rPr>
          <w:rFonts w:ascii="Times New Roman" w:hAnsi="Times New Roman" w:cs="Times New Roman"/>
          <w:noProof/>
          <w:sz w:val="24"/>
          <w:szCs w:val="24"/>
          <w:lang w:val="en-US"/>
        </w:rPr>
        <w:fldChar w:fldCharType="separate"/>
      </w:r>
      <w:r w:rsidR="00031BD8" w:rsidRPr="00C21793">
        <w:rPr>
          <w:rFonts w:ascii="Times New Roman" w:hAnsi="Times New Roman" w:cs="Times New Roman"/>
          <w:noProof/>
          <w:sz w:val="24"/>
          <w:szCs w:val="24"/>
          <w:lang w:val="en-US"/>
        </w:rPr>
        <w:t>(van Doremalen et al.</w:t>
      </w:r>
      <w:r w:rsidRPr="00C21793">
        <w:rPr>
          <w:rFonts w:ascii="Times New Roman" w:hAnsi="Times New Roman" w:cs="Times New Roman"/>
          <w:noProof/>
          <w:sz w:val="24"/>
          <w:szCs w:val="24"/>
          <w:lang w:val="en-US"/>
        </w:rPr>
        <w:t xml:space="preserve"> 2020)</w:t>
      </w:r>
      <w:r w:rsidRPr="00C21793">
        <w:rPr>
          <w:rFonts w:ascii="Times New Roman" w:hAnsi="Times New Roman" w:cs="Times New Roman"/>
          <w:noProof/>
          <w:sz w:val="24"/>
          <w:szCs w:val="24"/>
          <w:lang w:val="en-US"/>
        </w:rPr>
        <w:fldChar w:fldCharType="end"/>
      </w:r>
      <w:r w:rsidR="00B148D0" w:rsidRPr="00C21793">
        <w:rPr>
          <w:rFonts w:ascii="Times New Roman" w:hAnsi="Times New Roman" w:cs="Times New Roman"/>
          <w:noProof/>
          <w:sz w:val="24"/>
          <w:szCs w:val="24"/>
          <w:lang w:val="en-US"/>
        </w:rPr>
        <w:t>, t</w:t>
      </w:r>
      <w:r w:rsidRPr="00C21793">
        <w:rPr>
          <w:rFonts w:ascii="Times New Roman" w:hAnsi="Times New Roman" w:cs="Times New Roman"/>
          <w:noProof/>
          <w:sz w:val="24"/>
          <w:szCs w:val="24"/>
          <w:lang w:val="en-US"/>
        </w:rPr>
        <w:t xml:space="preserve">he main objectives of this study are to investigate the effect of reduced human activities and lockdown on environmental indicators </w:t>
      </w:r>
      <w:r w:rsidR="0078069C" w:rsidRPr="00C21793">
        <w:rPr>
          <w:rFonts w:ascii="Times New Roman" w:hAnsi="Times New Roman" w:cs="Times New Roman"/>
          <w:noProof/>
          <w:sz w:val="24"/>
          <w:szCs w:val="24"/>
          <w:lang w:val="en-US"/>
        </w:rPr>
        <w:t>and chang</w:t>
      </w:r>
      <w:r w:rsidRPr="00C21793">
        <w:rPr>
          <w:rFonts w:ascii="Times New Roman" w:hAnsi="Times New Roman" w:cs="Times New Roman"/>
          <w:noProof/>
          <w:sz w:val="24"/>
          <w:szCs w:val="24"/>
          <w:lang w:val="en-US"/>
        </w:rPr>
        <w:t>es in air quality in the US and China, and to examine the correlation between COVID-19 spread and the environmental pollutants in those respective states</w:t>
      </w:r>
      <w:r w:rsidR="00CA04E9" w:rsidRPr="00C21793">
        <w:rPr>
          <w:rFonts w:ascii="Times New Roman" w:hAnsi="Times New Roman" w:cs="Times New Roman"/>
          <w:noProof/>
          <w:sz w:val="24"/>
          <w:szCs w:val="24"/>
          <w:lang w:val="en-US"/>
        </w:rPr>
        <w:t xml:space="preserve"> and provinces</w:t>
      </w:r>
      <w:r w:rsidRPr="00C21793">
        <w:rPr>
          <w:rFonts w:ascii="Times New Roman" w:hAnsi="Times New Roman" w:cs="Times New Roman"/>
          <w:noProof/>
          <w:sz w:val="24"/>
          <w:szCs w:val="24"/>
          <w:lang w:val="en-US"/>
        </w:rPr>
        <w:t>.</w:t>
      </w:r>
      <w:r w:rsidR="00D90A33" w:rsidRPr="00C21793">
        <w:rPr>
          <w:rFonts w:ascii="Times New Roman" w:hAnsi="Times New Roman" w:cs="Times New Roman"/>
          <w:noProof/>
          <w:sz w:val="24"/>
          <w:szCs w:val="24"/>
          <w:lang w:val="en-US"/>
        </w:rPr>
        <w:t xml:space="preserve"> Data about the various air pollutants such as CO, NO</w:t>
      </w:r>
      <w:r w:rsidR="00D90A33" w:rsidRPr="00C21793">
        <w:rPr>
          <w:rFonts w:ascii="Times New Roman" w:hAnsi="Times New Roman" w:cs="Times New Roman"/>
          <w:noProof/>
          <w:sz w:val="24"/>
          <w:szCs w:val="24"/>
          <w:vertAlign w:val="subscript"/>
          <w:lang w:val="en-US"/>
        </w:rPr>
        <w:t>2</w:t>
      </w:r>
      <w:r w:rsidR="00D90A33" w:rsidRPr="00C21793">
        <w:rPr>
          <w:rFonts w:ascii="Times New Roman" w:hAnsi="Times New Roman" w:cs="Times New Roman"/>
          <w:noProof/>
          <w:sz w:val="24"/>
          <w:szCs w:val="24"/>
          <w:lang w:val="en-US"/>
        </w:rPr>
        <w:t>, SO</w:t>
      </w:r>
      <w:r w:rsidR="00D90A33" w:rsidRPr="00C21793">
        <w:rPr>
          <w:rFonts w:ascii="Times New Roman" w:hAnsi="Times New Roman" w:cs="Times New Roman"/>
          <w:noProof/>
          <w:sz w:val="24"/>
          <w:szCs w:val="24"/>
          <w:vertAlign w:val="subscript"/>
          <w:lang w:val="en-US"/>
        </w:rPr>
        <w:t>2</w:t>
      </w:r>
      <w:r w:rsidR="00D90A33" w:rsidRPr="00C21793">
        <w:rPr>
          <w:rFonts w:ascii="Times New Roman" w:hAnsi="Times New Roman" w:cs="Times New Roman"/>
          <w:noProof/>
          <w:sz w:val="24"/>
          <w:szCs w:val="24"/>
          <w:lang w:val="en-US"/>
        </w:rPr>
        <w:t>, PM</w:t>
      </w:r>
      <w:r w:rsidR="00D90A33" w:rsidRPr="00C21793">
        <w:rPr>
          <w:rFonts w:ascii="Times New Roman" w:hAnsi="Times New Roman" w:cs="Times New Roman"/>
          <w:noProof/>
          <w:sz w:val="24"/>
          <w:szCs w:val="24"/>
          <w:vertAlign w:val="subscript"/>
          <w:lang w:val="en-US"/>
        </w:rPr>
        <w:t>2.5</w:t>
      </w:r>
      <w:r w:rsidR="00D90A33" w:rsidRPr="00C21793">
        <w:rPr>
          <w:rFonts w:ascii="Times New Roman" w:hAnsi="Times New Roman" w:cs="Times New Roman"/>
          <w:noProof/>
          <w:sz w:val="24"/>
          <w:szCs w:val="24"/>
          <w:lang w:val="en-US"/>
        </w:rPr>
        <w:t xml:space="preserve"> and PM</w:t>
      </w:r>
      <w:r w:rsidR="00D90A33" w:rsidRPr="00C21793">
        <w:rPr>
          <w:rFonts w:ascii="Times New Roman" w:hAnsi="Times New Roman" w:cs="Times New Roman"/>
          <w:noProof/>
          <w:sz w:val="24"/>
          <w:szCs w:val="24"/>
          <w:vertAlign w:val="subscript"/>
          <w:lang w:val="en-US"/>
        </w:rPr>
        <w:t>10</w:t>
      </w:r>
      <w:r w:rsidR="00D90A33" w:rsidRPr="00C21793">
        <w:rPr>
          <w:rFonts w:ascii="Times New Roman" w:hAnsi="Times New Roman" w:cs="Times New Roman"/>
          <w:noProof/>
          <w:sz w:val="24"/>
          <w:szCs w:val="24"/>
          <w:lang w:val="en-US"/>
        </w:rPr>
        <w:t xml:space="preserve"> w</w:t>
      </w:r>
      <w:r w:rsidR="0052112D" w:rsidRPr="00C21793">
        <w:rPr>
          <w:rFonts w:ascii="Times New Roman" w:hAnsi="Times New Roman" w:cs="Times New Roman"/>
          <w:noProof/>
          <w:sz w:val="24"/>
          <w:szCs w:val="24"/>
          <w:lang w:val="en-US"/>
        </w:rPr>
        <w:t>ere</w:t>
      </w:r>
      <w:r w:rsidR="00D90A33" w:rsidRPr="00C21793">
        <w:rPr>
          <w:rFonts w:ascii="Times New Roman" w:hAnsi="Times New Roman" w:cs="Times New Roman"/>
          <w:noProof/>
          <w:sz w:val="24"/>
          <w:szCs w:val="24"/>
          <w:lang w:val="en-US"/>
        </w:rPr>
        <w:t xml:space="preserve"> used (</w:t>
      </w:r>
      <w:r w:rsidR="007F0C96" w:rsidRPr="00C21793">
        <w:rPr>
          <w:rFonts w:ascii="Times New Roman" w:hAnsi="Times New Roman" w:cs="Times New Roman"/>
          <w:noProof/>
          <w:sz w:val="24"/>
          <w:szCs w:val="24"/>
          <w:lang w:val="en-US"/>
        </w:rPr>
        <w:t>Abdul-Wahab et al., 2020).</w:t>
      </w:r>
    </w:p>
    <w:p w:rsidR="00306945" w:rsidRPr="00C21793" w:rsidRDefault="00306945" w:rsidP="00306945">
      <w:pPr>
        <w:adjustRightInd w:val="0"/>
        <w:spacing w:line="360" w:lineRule="auto"/>
        <w:outlineLvl w:val="1"/>
        <w:rPr>
          <w:rFonts w:eastAsia="PMingLiU"/>
          <w:b/>
          <w:caps/>
          <w:sz w:val="28"/>
          <w:szCs w:val="28"/>
          <w:lang w:eastAsia="zh-TW"/>
        </w:rPr>
      </w:pPr>
      <w:r w:rsidRPr="00C21793">
        <w:rPr>
          <w:rFonts w:eastAsia="PMingLiU"/>
          <w:b/>
          <w:sz w:val="28"/>
          <w:szCs w:val="28"/>
          <w:lang w:eastAsia="zh-TW"/>
        </w:rPr>
        <w:t>Methods</w:t>
      </w:r>
    </w:p>
    <w:p w:rsidR="00306945" w:rsidRPr="00C21793" w:rsidRDefault="00306945" w:rsidP="00306945">
      <w:pPr>
        <w:pStyle w:val="NoSpacing"/>
        <w:spacing w:line="360" w:lineRule="auto"/>
        <w:ind w:firstLine="360"/>
        <w:jc w:val="both"/>
        <w:rPr>
          <w:rFonts w:ascii="Times New Roman" w:hAnsi="Times New Roman" w:cs="Times New Roman"/>
          <w:sz w:val="24"/>
          <w:szCs w:val="24"/>
          <w:lang w:val="en-US"/>
        </w:rPr>
      </w:pPr>
      <w:r w:rsidRPr="00C21793">
        <w:rPr>
          <w:rFonts w:ascii="Times New Roman" w:hAnsi="Times New Roman" w:cs="Times New Roman"/>
          <w:sz w:val="24"/>
          <w:szCs w:val="24"/>
          <w:lang w:val="en-US"/>
        </w:rPr>
        <w:t xml:space="preserve">According to our objectives, California, Florida, Louisiana, North Carolina, and Alabama were selected from </w:t>
      </w:r>
      <w:r w:rsidR="0052112D" w:rsidRPr="00C21793">
        <w:rPr>
          <w:rFonts w:ascii="Times New Roman" w:hAnsi="Times New Roman" w:cs="Times New Roman"/>
          <w:sz w:val="24"/>
          <w:szCs w:val="24"/>
          <w:lang w:val="en-US"/>
        </w:rPr>
        <w:t xml:space="preserve">the </w:t>
      </w:r>
      <w:r w:rsidRPr="00C21793">
        <w:rPr>
          <w:rFonts w:ascii="Times New Roman" w:hAnsi="Times New Roman" w:cs="Times New Roman"/>
          <w:sz w:val="24"/>
          <w:szCs w:val="24"/>
          <w:lang w:val="en-US"/>
        </w:rPr>
        <w:t>US</w:t>
      </w:r>
      <w:r w:rsidR="00C3591C" w:rsidRPr="00C21793">
        <w:rPr>
          <w:rFonts w:ascii="Times New Roman" w:hAnsi="Times New Roman" w:cs="Times New Roman"/>
          <w:sz w:val="24"/>
          <w:szCs w:val="24"/>
          <w:lang w:val="en-US"/>
        </w:rPr>
        <w:t>A</w:t>
      </w:r>
      <w:r w:rsidRPr="00C21793">
        <w:rPr>
          <w:rFonts w:ascii="Times New Roman" w:hAnsi="Times New Roman" w:cs="Times New Roman"/>
          <w:sz w:val="24"/>
          <w:szCs w:val="24"/>
          <w:lang w:val="en-US"/>
        </w:rPr>
        <w:t xml:space="preserve">. </w:t>
      </w:r>
      <w:r w:rsidR="00B96FCC" w:rsidRPr="00C21793">
        <w:rPr>
          <w:rFonts w:ascii="Times New Roman" w:hAnsi="Times New Roman" w:cs="Times New Roman"/>
          <w:sz w:val="24"/>
          <w:szCs w:val="24"/>
          <w:lang w:val="en-US"/>
        </w:rPr>
        <w:t xml:space="preserve">While </w:t>
      </w:r>
      <w:r w:rsidRPr="00C21793">
        <w:rPr>
          <w:rFonts w:ascii="Times New Roman" w:hAnsi="Times New Roman" w:cs="Times New Roman"/>
          <w:sz w:val="24"/>
          <w:szCs w:val="24"/>
          <w:lang w:val="en-US"/>
        </w:rPr>
        <w:t xml:space="preserve">Hubei, Beijing, Shanghai, Guangdong, and Zhejiang were </w:t>
      </w:r>
      <w:r w:rsidR="008627A1" w:rsidRPr="00C21793">
        <w:rPr>
          <w:rFonts w:ascii="Times New Roman" w:hAnsi="Times New Roman" w:cs="Times New Roman"/>
          <w:sz w:val="24"/>
          <w:szCs w:val="24"/>
          <w:lang w:val="en-US"/>
        </w:rPr>
        <w:lastRenderedPageBreak/>
        <w:t>chosen</w:t>
      </w:r>
      <w:r w:rsidRPr="00C21793">
        <w:rPr>
          <w:rFonts w:ascii="Times New Roman" w:hAnsi="Times New Roman" w:cs="Times New Roman"/>
          <w:sz w:val="24"/>
          <w:szCs w:val="24"/>
          <w:lang w:val="en-US"/>
        </w:rPr>
        <w:t xml:space="preserve"> </w:t>
      </w:r>
      <w:r w:rsidR="00B148D0" w:rsidRPr="00C21793">
        <w:rPr>
          <w:rFonts w:ascii="Times New Roman" w:hAnsi="Times New Roman" w:cs="Times New Roman"/>
          <w:sz w:val="24"/>
          <w:szCs w:val="24"/>
          <w:lang w:val="en-US"/>
        </w:rPr>
        <w:t xml:space="preserve">from China, these provinces </w:t>
      </w:r>
      <w:r w:rsidRPr="00C21793">
        <w:rPr>
          <w:rFonts w:ascii="Times New Roman" w:hAnsi="Times New Roman" w:cs="Times New Roman"/>
          <w:sz w:val="24"/>
          <w:szCs w:val="24"/>
          <w:lang w:val="en-US"/>
        </w:rPr>
        <w:t>considered</w:t>
      </w:r>
      <w:r w:rsidR="00B148D0" w:rsidRPr="00C21793">
        <w:rPr>
          <w:rFonts w:ascii="Times New Roman" w:hAnsi="Times New Roman" w:cs="Times New Roman"/>
          <w:sz w:val="24"/>
          <w:szCs w:val="24"/>
          <w:lang w:val="en-US"/>
        </w:rPr>
        <w:t xml:space="preserve"> </w:t>
      </w:r>
      <w:r w:rsidRPr="00C21793">
        <w:rPr>
          <w:rFonts w:ascii="Times New Roman" w:hAnsi="Times New Roman" w:cs="Times New Roman"/>
          <w:sz w:val="24"/>
          <w:szCs w:val="24"/>
          <w:lang w:val="en-US"/>
        </w:rPr>
        <w:t xml:space="preserve">the industrial hub in China and they were also the worst hit by COVID-19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{"citationItems":[{"id":"ITEM-1","itemData":{"DOI":"10.1016/S0140-6736(20)30746-7","ISSN":"1474547X","abstract":"Background: As of March 18, 2020, 13 415 confirmed cases and 120 deaths related to coronavirus disease 2019 (COVID-19) in mainland China, outside Hubei province—the epicentre of the outbreak—had been reported. Since late January, massive public health interventions have been implemented nationwide to contain the outbreak. We provide an impact assessment of the transmissibility and severity of COVID-19 during the first wave in mainland Chinese locations outside Hubei. Methods: We estimated the instantaneous reproduction number (Rt) of COVID-19 in Beijing, Shanghai, Shenzhen, Wenzhou, and the ten Chinese provinces that had the highest number of confirmed COVID-19 cases; and the confirmed case-fatality risk (cCFR) in Beijing, Shanghai, Shenzhen, and Wenzhou, and all 31 Chinese provinces. We used a susceptible–infectious–recovered model to show the potential effects of relaxing containment measures after the first wave of infection, in anticipation of a possible second wave. Findings: In all selected cities and provinces, the Rt decreased substantially since Jan 23, when control measures were implemented, and have since remained below 1. The cCFR outside Hubei was 0·98% (95% CI 0·82–1·16), which was almost five times lower than that in Hubei (5·91%, 5·73–6·09). Relaxing the interventions (resulting in Rt &gt;1) when the epidemic size was still small would increase the cumulative case count exponentially as a function of relaxation duration, even if aggressive interventions could subsequently push disease prevalence back to the baseline level. Interpretation: The first wave of COVID-19 outside of Hubei has abated because of aggressive non-pharmaceutical interventions. However, given the substantial risk of viral reintroduction, particularly from overseas importation, close monitoring of Rt and cCFR is needed to inform strategies against a potential second wave to achieve an optimal balance between health and economic protection. Funding: Health and Medical Research Fund, Hong Kong, China.","author":[{"dropping-particle":"","family":"Leung","given":"Kathy","non-dropping-particle":"","parse-names":false,"suffix":""},{"dropping-particle":"","family":"Wu","given":"Joseph T.","non-dropping-particle":"","parse-names":false,"suffix":""},{"dropping-particle":"","family":"Liu","given":"Di","non-dropping-particle":"","parse-names":false,"suffix":""},{"dropping-particle":"","family":"Leung","given":"Gabriel M.","non-dropping-particle":"","parse-names":false,"suffix":""}],"container-title":"The Lancet","id":"ITEM-1","issue":"10233","issued":{"date-parts":[["2020"]]},"page":"1382-1393","publisher":"Elsevier Ltd","title":"First-wave COVID-19 transmissibility and severity in China outside Hubei after control measures, and second-wave scenario planning: a modelling impact assessment","type":"article-journal","volume":"395"},"uris":["http://www.mendeley.com/documents/?uuid=678daf33-e63f-480a-8906-753658df9e6b"]},{"id":"ITEM-2","itemData":{"DOI":"10.1016/S1473-3099(20)30144-4","ISSN":"14744457","PMID":"32171059","abstract":"Background: An outbreak of severe acute respiratory syndrome coronavirus 2 (SARS-CoV-2) has led to 95 333 confirmed cases as of March 5, 2020. Understanding the early transmission dynamics of the infection and evaluating the effectiveness of control measures is crucial for assessing the potential for sustained transmission to occur in new areas. Combining a mathematical model of severe SARS-CoV-2 transmission with four datasets from within and outside Wuhan, we estimated how transmission in Wuhan varied between December, 2019, and February, 2020. We used these estimates to assess the potential for sustained human-to-human transmission to occur in locations outside Wuhan if cases were introduced. Methods: We combined a stochastic transmission model with data on cases of coronavirus disease 2019 (COVID-19) in Wuhan and international cases that originated in Wuhan to estimate how transmission had varied over time during January, 2020, and February, 2020. Based on these estimates, we then calculated the probability that newly introduced cases might generate outbreaks in other areas. To estimate the early dynamics of transmission in Wuhan, we fitted a stochastic transmission dynamic model to multiple publicly available datasets on cases in Wuhan and internationally exported cases from Wuhan. The four datasets we fitted to were: daily number of new internationally exported cases (or lack thereof), by date of onset, as of Jan 26, 2020; daily number of new cases in Wuhan with no market exposure, by date of onset, between Dec 1, 2019, and Jan 1, 2020; daily number of new cases in China, by date of onset, between Dec 29, 2019, and Jan 23, 2020; and proportion of infected passengers on evacuation flights between Jan 29, 2020, and Feb 4, 2020. We used an additional two datasets for comparison with model outputs: daily number of new exported cases from Wuhan (or lack thereof) in countries with high connectivity to Wuhan (ie, top 20 most at-risk countries), by date of confirmation, as of Feb 10, 2020; and data on new confirmed cases reported in Wuhan between Jan 16, 2020, and Feb 11, 2020. Findings: We estimated that the median daily reproduction number (Rt) in Wuhan declined from 2·35 (95% CI 1·15–4·77) 1 week before travel restrictions were introduced on Jan 23, 2020, to 1·05 (0·41–2·39) 1 week after. Based on our estimates of Rt, assuming SARS-like variation, we calculated that in locations with similar transmission potential to Wuhan in early January, once there …","author":[{"dropping-particle":"","family":"Kucharski","given":"Adam J.","non-dropping-particle":"","parse-names":false,"suffix":""},{"dropping-particle":"","family":"Russell","given":"Timothy W.","non-dropping-particle":"","parse-names":false,"suffix":""},{"dropping-particle":"","family":"Diamond","given":"Charlie","non-dropping-particle":"","parse-names":false,"suffix":""},{"dropping-particle":"","family":"Liu","given":"Yang","non-dropping-particle":"","parse-names":false,"suffix":""},{"dropping-particle":"","family":"Edmunds","given":"John","non-dropping-particle":"","parse-names":false,"suffix":""},{"dropping-particle":"","family":"Funk","given":"Sebastian","non-dropping-particle":"","parse-names":false,"suffix":""},{"dropping-particle":"","family":"Eggo","given":"Rosalind M.","non-dropping-particle":"","parse-names":false,"suffix":""},{"dropping-particle":"","family":"Sun","given":"Fiona","non-dropping-particle":"","parse-names":false,"suffix":""},{"dropping-particle":"","family":"Jit","given":"Mark","non-dropping-particle":"","parse-names":false,"suffix":""},{"dropping-particle":"","family":"Munday","given":"James D.","non-dropping-particle":"","parse-names":false,"suffix":""},{"dropping-particle":"","family":"Davies","given":"Nicholas","non-dropping-particle":"","parse-names":false,"suffix":""},{"dropping-particle":"","family":"Gimma","given":"Amy","non-dropping-particle":"","parse-names":false,"suffix":""},{"dropping-particle":"","family":"Zandvoort","given":"Kevin","non-dropping-particle":"van","parse-names":false,"suffix":""},{"dropping-particle":"","family":"Gibbs","given":"Hamish","non-dropping-particle":"","parse-names":false,"suffix":""},{"dropping-particle":"","family":"Hellewell","given":"Joel","non-dropping-particle":"","parse-names":false,"suffix":""},{"dropping-particle":"","family":"Jarvis","given":"Christopher I.","non-dropping-particle":"","parse-names":false,"suffix":""},{"dropping-particle":"","family":"Clifford","given":"Sam","non-dropping-particle":"","parse-names":false,"suffix":""},{"dropping-particle":"","family":"Quilty","given":"Billy J.","non-dropping-particle":"","parse-names":false,"suffix":""},{"dropping-particle":"","family":"Bosse","given":"Nikos I.","non-dropping-particle":"","parse-names":false,"suffix":""},{"dropping-particle":"","family":"Abbott","given":"Sam","non-dropping-particle":"","parse-names":false,"suffix":""},{"dropping-particle":"","family":"Klepac","given":"Petra","non-dropping-particle":"","parse-names":false,"suffix":""},{"dropping-particle":"","family":"Flasche","given":"Stefan","non-dropping-particle":"","parse-names":false,"suffix":""}],"container-title":"The Lancet Infectious Diseases","id":"ITEM-2","issue":"5","issued":{"date-parts":[["2020"]]},"page":"553-558","title":"Early dynamics of transmission and control of COVID-19: a mathematical modelling study","type":"article-journal","volume":"20"},"uris":["http://www.mendeley.com/documents/?uuid=f3828c9d-40a3-4061-8fa5-8304c9aa24dc"]}],"mendeley":{"formattedCitation":"(Kucharski et al., 2020; Leung et al., 2020)","plainTextFormattedCitation":"(Kucharski et al., 2020; Leung et al., 2020)","previouslyFormattedCitation":"(Kucharski et al., 2020; Leung et al., 2020)"},"properties":{"noteIndex":0},"schema":"https://github.com/citation-style-language/schema/raw/master/csl-citation.json"}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031BD8" w:rsidRPr="00C21793">
        <w:rPr>
          <w:rFonts w:ascii="Times New Roman" w:hAnsi="Times New Roman" w:cs="Times New Roman"/>
          <w:noProof/>
          <w:sz w:val="24"/>
          <w:szCs w:val="24"/>
          <w:lang w:val="en-US"/>
        </w:rPr>
        <w:t>(Kucharski et al. 2020; Leung et al.</w:t>
      </w:r>
      <w:r w:rsidRPr="00C21793">
        <w:rPr>
          <w:rFonts w:ascii="Times New Roman" w:hAnsi="Times New Roman" w:cs="Times New Roman"/>
          <w:noProof/>
          <w:sz w:val="24"/>
          <w:szCs w:val="24"/>
          <w:lang w:val="en-US"/>
        </w:rPr>
        <w:t xml:space="preserve"> 2020)</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w:t>
      </w:r>
    </w:p>
    <w:p w:rsidR="00306945" w:rsidRPr="00C21793" w:rsidRDefault="00306945" w:rsidP="00306945">
      <w:pPr>
        <w:pStyle w:val="NoSpacing"/>
        <w:spacing w:line="360" w:lineRule="auto"/>
        <w:ind w:firstLine="360"/>
        <w:jc w:val="both"/>
        <w:rPr>
          <w:rFonts w:ascii="Times New Roman" w:hAnsi="Times New Roman" w:cs="Times New Roman"/>
          <w:sz w:val="24"/>
          <w:szCs w:val="24"/>
          <w:lang w:val="en-US"/>
        </w:rPr>
      </w:pPr>
      <w:r w:rsidRPr="00C21793">
        <w:rPr>
          <w:rFonts w:ascii="Times New Roman" w:hAnsi="Times New Roman" w:cs="Times New Roman"/>
          <w:sz w:val="24"/>
          <w:szCs w:val="24"/>
          <w:lang w:val="en-US"/>
        </w:rPr>
        <w:t xml:space="preserve">To perform the comparison study between pollutants </w:t>
      </w:r>
      <w:r w:rsidRPr="00C21793">
        <w:rPr>
          <w:rFonts w:ascii="Times New Roman" w:hAnsi="Times New Roman" w:cs="Times New Roman"/>
          <w:noProof/>
          <w:sz w:val="24"/>
          <w:szCs w:val="24"/>
          <w:lang w:val="en-US"/>
        </w:rPr>
        <w:t>in the first quarter of 2019 and 2020</w:t>
      </w:r>
      <w:r w:rsidRPr="00C21793">
        <w:rPr>
          <w:rFonts w:ascii="Times New Roman" w:hAnsi="Times New Roman" w:cs="Times New Roman"/>
          <w:sz w:val="24"/>
          <w:szCs w:val="24"/>
          <w:lang w:val="en-US"/>
        </w:rPr>
        <w:t>, data were co</w:t>
      </w:r>
      <w:r w:rsidR="00B96FCC" w:rsidRPr="00C21793">
        <w:rPr>
          <w:rFonts w:ascii="Times New Roman" w:hAnsi="Times New Roman" w:cs="Times New Roman"/>
          <w:sz w:val="24"/>
          <w:szCs w:val="24"/>
          <w:lang w:val="en-US"/>
        </w:rPr>
        <w:t>llected between January 1 to April 30</w:t>
      </w:r>
      <w:r w:rsidR="002735FF" w:rsidRPr="00C21793">
        <w:rPr>
          <w:rFonts w:ascii="Times New Roman" w:hAnsi="Times New Roman" w:cs="Times New Roman"/>
          <w:sz w:val="24"/>
          <w:szCs w:val="24"/>
          <w:lang w:val="en-US"/>
        </w:rPr>
        <w:t xml:space="preserve"> of 2019 and 202</w:t>
      </w:r>
      <w:r w:rsidR="00B96FCC" w:rsidRPr="00C21793">
        <w:rPr>
          <w:rFonts w:ascii="Times New Roman" w:hAnsi="Times New Roman" w:cs="Times New Roman"/>
          <w:sz w:val="24"/>
          <w:szCs w:val="24"/>
          <w:lang w:val="en-US"/>
        </w:rPr>
        <w:t>0</w:t>
      </w:r>
      <w:r w:rsidRPr="00C21793">
        <w:rPr>
          <w:rFonts w:ascii="Times New Roman" w:hAnsi="Times New Roman" w:cs="Times New Roman"/>
          <w:sz w:val="24"/>
          <w:szCs w:val="24"/>
          <w:lang w:val="en-US"/>
        </w:rPr>
        <w:t xml:space="preserve"> from an online platform of the Environmental Protection Agency (EPA) (</w:t>
      </w:r>
      <w:hyperlink r:id="rId13" w:history="1">
        <w:r w:rsidRPr="00C21793">
          <w:rPr>
            <w:rStyle w:val="Hyperlink"/>
            <w:rFonts w:ascii="Times New Roman" w:hAnsi="Times New Roman" w:cs="Times New Roman"/>
            <w:sz w:val="24"/>
            <w:lang w:val="en-US"/>
          </w:rPr>
          <w:t>https://www.epa.gov/</w:t>
        </w:r>
      </w:hyperlink>
      <w:r w:rsidRPr="00C21793">
        <w:rPr>
          <w:rFonts w:ascii="Times New Roman" w:hAnsi="Times New Roman" w:cs="Times New Roman"/>
          <w:sz w:val="24"/>
          <w:szCs w:val="24"/>
          <w:lang w:val="en-US"/>
        </w:rPr>
        <w:t>) and the MEE (</w:t>
      </w:r>
      <w:hyperlink r:id="rId14" w:history="1">
        <w:r w:rsidRPr="00C21793">
          <w:rPr>
            <w:rStyle w:val="Hyperlink"/>
            <w:rFonts w:ascii="Times New Roman" w:hAnsi="Times New Roman" w:cs="Times New Roman"/>
            <w:sz w:val="24"/>
            <w:lang w:val="en-US"/>
          </w:rPr>
          <w:t>http://datacenter.mee.gov.cn/</w:t>
        </w:r>
      </w:hyperlink>
      <w:r w:rsidRPr="00C21793">
        <w:rPr>
          <w:rFonts w:ascii="Times New Roman" w:hAnsi="Times New Roman" w:cs="Times New Roman"/>
          <w:sz w:val="24"/>
          <w:szCs w:val="24"/>
          <w:lang w:val="en-US"/>
        </w:rPr>
        <w:t>) websites for the USA and China, respectively. In this study, daily 24-h</w:t>
      </w:r>
      <w:r w:rsidR="00B96FCC" w:rsidRPr="00C21793">
        <w:rPr>
          <w:rFonts w:ascii="Times New Roman" w:hAnsi="Times New Roman" w:cs="Times New Roman"/>
          <w:sz w:val="24"/>
          <w:szCs w:val="24"/>
          <w:lang w:val="en-US"/>
        </w:rPr>
        <w:t>our</w:t>
      </w:r>
      <w:r w:rsidRPr="00C21793">
        <w:rPr>
          <w:rFonts w:ascii="Times New Roman" w:hAnsi="Times New Roman" w:cs="Times New Roman"/>
          <w:sz w:val="24"/>
          <w:szCs w:val="24"/>
          <w:lang w:val="en-US"/>
        </w:rPr>
        <w:t xml:space="preserve"> concentrations of pollutants such as carbon monoxide (CO), nitrogen dioxide (NO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xml:space="preserve">), </w:t>
      </w:r>
      <w:r w:rsidR="00B96FCC" w:rsidRPr="00C21793">
        <w:rPr>
          <w:rFonts w:ascii="Times New Roman" w:hAnsi="Times New Roman" w:cs="Times New Roman"/>
          <w:sz w:val="24"/>
          <w:szCs w:val="24"/>
          <w:lang w:val="en-US"/>
        </w:rPr>
        <w:t>sulfur dioxide (SO</w:t>
      </w:r>
      <w:r w:rsidR="00B96FCC" w:rsidRPr="00C21793">
        <w:rPr>
          <w:rFonts w:ascii="Times New Roman" w:hAnsi="Times New Roman" w:cs="Times New Roman"/>
          <w:sz w:val="24"/>
          <w:szCs w:val="24"/>
          <w:vertAlign w:val="subscript"/>
          <w:lang w:val="en-US"/>
        </w:rPr>
        <w:t>2</w:t>
      </w:r>
      <w:r w:rsidR="00B96FCC" w:rsidRPr="00C21793">
        <w:rPr>
          <w:rFonts w:ascii="Times New Roman" w:hAnsi="Times New Roman" w:cs="Times New Roman"/>
          <w:sz w:val="24"/>
          <w:szCs w:val="24"/>
          <w:lang w:val="en-US"/>
        </w:rPr>
        <w:t xml:space="preserve">), </w:t>
      </w:r>
      <w:r w:rsidRPr="00C21793">
        <w:rPr>
          <w:rFonts w:ascii="Times New Roman" w:hAnsi="Times New Roman" w:cs="Times New Roman"/>
          <w:sz w:val="24"/>
          <w:szCs w:val="24"/>
          <w:lang w:val="en-US"/>
        </w:rPr>
        <w:t>PM</w:t>
      </w:r>
      <w:r w:rsidRPr="00C21793">
        <w:rPr>
          <w:rFonts w:ascii="Times New Roman" w:hAnsi="Times New Roman" w:cs="Times New Roman"/>
          <w:sz w:val="24"/>
          <w:szCs w:val="24"/>
          <w:vertAlign w:val="subscript"/>
          <w:lang w:val="en-US"/>
        </w:rPr>
        <w:t>2.5</w:t>
      </w:r>
      <w:r w:rsidR="00B96FCC" w:rsidRPr="00C21793">
        <w:rPr>
          <w:rFonts w:ascii="Times New Roman" w:hAnsi="Times New Roman" w:cs="Times New Roman"/>
          <w:sz w:val="24"/>
          <w:szCs w:val="24"/>
          <w:lang w:val="en-US"/>
        </w:rPr>
        <w:t xml:space="preserve"> and PM</w:t>
      </w:r>
      <w:r w:rsidRPr="00C21793">
        <w:rPr>
          <w:rFonts w:ascii="Times New Roman" w:hAnsi="Times New Roman" w:cs="Times New Roman"/>
          <w:sz w:val="24"/>
          <w:szCs w:val="24"/>
          <w:vertAlign w:val="subscript"/>
          <w:lang w:val="en-US"/>
        </w:rPr>
        <w:t>10</w:t>
      </w:r>
      <w:r w:rsidR="00B96FCC" w:rsidRPr="00C21793">
        <w:rPr>
          <w:rFonts w:ascii="Times New Roman" w:hAnsi="Times New Roman" w:cs="Times New Roman"/>
          <w:sz w:val="24"/>
          <w:szCs w:val="24"/>
          <w:lang w:val="en-US"/>
        </w:rPr>
        <w:t xml:space="preserve"> </w:t>
      </w:r>
      <w:r w:rsidRPr="00C21793">
        <w:rPr>
          <w:rFonts w:ascii="Times New Roman" w:hAnsi="Times New Roman" w:cs="Times New Roman"/>
          <w:sz w:val="24"/>
          <w:szCs w:val="24"/>
          <w:lang w:val="en-US"/>
        </w:rPr>
        <w:t xml:space="preserve">were measured. </w:t>
      </w:r>
      <w:r w:rsidR="00326F37" w:rsidRPr="00C21793">
        <w:rPr>
          <w:rFonts w:ascii="Times New Roman" w:hAnsi="Times New Roman" w:cs="Times New Roman"/>
          <w:sz w:val="24"/>
          <w:szCs w:val="24"/>
          <w:lang w:val="en-US"/>
        </w:rPr>
        <w:t xml:space="preserve">For </w:t>
      </w:r>
      <w:r w:rsidR="0052112D" w:rsidRPr="00C21793">
        <w:rPr>
          <w:rFonts w:ascii="Times New Roman" w:hAnsi="Times New Roman" w:cs="Times New Roman"/>
          <w:sz w:val="24"/>
          <w:szCs w:val="24"/>
          <w:lang w:val="en-US"/>
        </w:rPr>
        <w:t xml:space="preserve">the </w:t>
      </w:r>
      <w:r w:rsidR="00326F37" w:rsidRPr="00C21793">
        <w:rPr>
          <w:rFonts w:ascii="Times New Roman" w:hAnsi="Times New Roman" w:cs="Times New Roman"/>
          <w:sz w:val="24"/>
          <w:szCs w:val="24"/>
          <w:lang w:val="en-US"/>
        </w:rPr>
        <w:t xml:space="preserve">USA, concentrations were taken between March 19, 2019 to April 30, 2019 and March 19, 2020 to April 30, 2020 (this was the lockdown time in </w:t>
      </w:r>
      <w:r w:rsidR="0052112D" w:rsidRPr="00C21793">
        <w:rPr>
          <w:rFonts w:ascii="Times New Roman" w:hAnsi="Times New Roman" w:cs="Times New Roman"/>
          <w:sz w:val="24"/>
          <w:szCs w:val="24"/>
          <w:lang w:val="en-US"/>
        </w:rPr>
        <w:t xml:space="preserve">the </w:t>
      </w:r>
      <w:r w:rsidR="00326F37" w:rsidRPr="00C21793">
        <w:rPr>
          <w:rFonts w:ascii="Times New Roman" w:hAnsi="Times New Roman" w:cs="Times New Roman"/>
          <w:sz w:val="24"/>
          <w:szCs w:val="24"/>
          <w:lang w:val="en-US"/>
        </w:rPr>
        <w:t>USA).</w:t>
      </w:r>
      <w:r w:rsidR="008A681B" w:rsidRPr="00C21793">
        <w:rPr>
          <w:rFonts w:ascii="Times New Roman" w:hAnsi="Times New Roman" w:cs="Times New Roman"/>
          <w:sz w:val="24"/>
          <w:szCs w:val="24"/>
          <w:lang w:val="en-US"/>
        </w:rPr>
        <w:t xml:space="preserve"> While for China, environmental indicators concentrations were taken between Jan 23, 2019 to March 29, 2019 and Jan 23, 2020 to March 29, 2020 (this was the lockdown time in China)</w:t>
      </w:r>
      <w:r w:rsidR="008A681B" w:rsidRPr="00C21793">
        <w:rPr>
          <w:rFonts w:ascii="Times New Roman" w:eastAsia="PMingLiU" w:hAnsi="Times New Roman" w:cs="Times New Roman"/>
          <w:lang w:eastAsia="zh-TW"/>
        </w:rPr>
        <w:t xml:space="preserve">                               </w:t>
      </w:r>
    </w:p>
    <w:p w:rsidR="0083049A" w:rsidRPr="00C21793" w:rsidRDefault="00306945" w:rsidP="00381FF4">
      <w:pPr>
        <w:pStyle w:val="NoSpacing"/>
        <w:spacing w:line="360" w:lineRule="auto"/>
        <w:ind w:firstLine="360"/>
        <w:jc w:val="both"/>
        <w:rPr>
          <w:rFonts w:ascii="Times New Roman" w:hAnsi="Times New Roman" w:cs="Times New Roman"/>
          <w:b/>
          <w:sz w:val="28"/>
          <w:szCs w:val="28"/>
        </w:rPr>
      </w:pPr>
      <w:r w:rsidRPr="00C21793">
        <w:rPr>
          <w:rFonts w:ascii="Times New Roman" w:hAnsi="Times New Roman" w:cs="Times New Roman"/>
          <w:sz w:val="24"/>
          <w:szCs w:val="24"/>
          <w:lang w:val="en-US"/>
        </w:rPr>
        <w:t xml:space="preserve">The data of confirmed </w:t>
      </w:r>
      <w:r w:rsidR="00722CF1" w:rsidRPr="00C21793">
        <w:rPr>
          <w:rFonts w:ascii="Times New Roman" w:hAnsi="Times New Roman" w:cs="Times New Roman"/>
          <w:sz w:val="24"/>
          <w:szCs w:val="24"/>
          <w:lang w:val="en-US"/>
        </w:rPr>
        <w:t xml:space="preserve">COVID-19 cases and deaths </w:t>
      </w:r>
      <w:r w:rsidRPr="00C21793">
        <w:rPr>
          <w:rFonts w:ascii="Times New Roman" w:hAnsi="Times New Roman" w:cs="Times New Roman"/>
          <w:sz w:val="24"/>
          <w:szCs w:val="24"/>
          <w:lang w:val="en-US"/>
        </w:rPr>
        <w:t xml:space="preserve">of </w:t>
      </w:r>
      <w:r w:rsidR="0052112D" w:rsidRPr="00C21793">
        <w:rPr>
          <w:rFonts w:ascii="Times New Roman" w:hAnsi="Times New Roman" w:cs="Times New Roman"/>
          <w:sz w:val="24"/>
          <w:szCs w:val="24"/>
          <w:lang w:val="en-US"/>
        </w:rPr>
        <w:t xml:space="preserve">the </w:t>
      </w:r>
      <w:r w:rsidRPr="00C21793">
        <w:rPr>
          <w:rFonts w:ascii="Times New Roman" w:hAnsi="Times New Roman" w:cs="Times New Roman"/>
          <w:sz w:val="24"/>
          <w:szCs w:val="24"/>
          <w:lang w:val="en-US"/>
        </w:rPr>
        <w:t>USA were retrieved from the official website of the Centers for Disease Control (CDC) (</w:t>
      </w:r>
      <w:hyperlink r:id="rId15" w:history="1">
        <w:r w:rsidRPr="00C21793">
          <w:rPr>
            <w:rStyle w:val="Hyperlink"/>
            <w:rFonts w:ascii="Times New Roman" w:hAnsi="Times New Roman" w:cs="Times New Roman"/>
            <w:sz w:val="24"/>
            <w:lang w:val="en-US"/>
          </w:rPr>
          <w:t>https://www.cdc.gov/</w:t>
        </w:r>
      </w:hyperlink>
      <w:r w:rsidRPr="00C21793">
        <w:rPr>
          <w:rFonts w:ascii="Times New Roman" w:hAnsi="Times New Roman" w:cs="Times New Roman"/>
          <w:sz w:val="24"/>
          <w:szCs w:val="24"/>
          <w:lang w:val="en-US"/>
        </w:rPr>
        <w:t>). While for China, data on COVID-19, including the numbe</w:t>
      </w:r>
      <w:r w:rsidR="00722CF1" w:rsidRPr="00C21793">
        <w:rPr>
          <w:rFonts w:ascii="Times New Roman" w:hAnsi="Times New Roman" w:cs="Times New Roman"/>
          <w:sz w:val="24"/>
          <w:szCs w:val="24"/>
          <w:lang w:val="en-US"/>
        </w:rPr>
        <w:t>r of confirmed cases and deaths</w:t>
      </w:r>
      <w:r w:rsidRPr="00C21793">
        <w:rPr>
          <w:rFonts w:ascii="Times New Roman" w:hAnsi="Times New Roman" w:cs="Times New Roman"/>
          <w:sz w:val="24"/>
          <w:szCs w:val="24"/>
          <w:lang w:val="en-US"/>
        </w:rPr>
        <w:t xml:space="preserve"> were extracted from the China National Health Commission website (CNHC, </w:t>
      </w:r>
      <w:hyperlink r:id="rId16" w:history="1">
        <w:r w:rsidRPr="00C21793">
          <w:rPr>
            <w:rStyle w:val="Hyperlink"/>
            <w:rFonts w:ascii="Times New Roman" w:hAnsi="Times New Roman" w:cs="Times New Roman"/>
            <w:sz w:val="24"/>
            <w:lang w:val="en-US"/>
          </w:rPr>
          <w:t>http://www.nhc.gov.cn/</w:t>
        </w:r>
      </w:hyperlink>
      <w:r w:rsidRPr="00C21793">
        <w:rPr>
          <w:rFonts w:ascii="Times New Roman" w:hAnsi="Times New Roman" w:cs="Times New Roman"/>
          <w:sz w:val="24"/>
          <w:szCs w:val="24"/>
          <w:lang w:val="en-US"/>
        </w:rPr>
        <w:t xml:space="preserve">). To find the association between COVID-19 and environmental pollutants, COVID-19 data between January 18, 2020 to March 25, 2020 </w:t>
      </w:r>
      <w:r w:rsidR="00722CF1" w:rsidRPr="00C21793">
        <w:rPr>
          <w:rFonts w:ascii="Times New Roman" w:hAnsi="Times New Roman" w:cs="Times New Roman"/>
          <w:sz w:val="24"/>
          <w:szCs w:val="24"/>
          <w:lang w:val="en-US"/>
        </w:rPr>
        <w:t xml:space="preserve">for China </w:t>
      </w:r>
      <w:r w:rsidRPr="00C21793">
        <w:rPr>
          <w:rFonts w:ascii="Times New Roman" w:hAnsi="Times New Roman" w:cs="Times New Roman"/>
          <w:sz w:val="24"/>
          <w:szCs w:val="24"/>
          <w:lang w:val="en-US"/>
        </w:rPr>
        <w:t>and Marc</w:t>
      </w:r>
      <w:r w:rsidR="00722CF1" w:rsidRPr="00C21793">
        <w:rPr>
          <w:rFonts w:ascii="Times New Roman" w:hAnsi="Times New Roman" w:cs="Times New Roman"/>
          <w:sz w:val="24"/>
          <w:szCs w:val="24"/>
          <w:lang w:val="en-US"/>
        </w:rPr>
        <w:t xml:space="preserve">h 1, to April 30, 2020 for </w:t>
      </w:r>
      <w:r w:rsidR="0052112D" w:rsidRPr="00C21793">
        <w:rPr>
          <w:rFonts w:ascii="Times New Roman" w:hAnsi="Times New Roman" w:cs="Times New Roman"/>
          <w:sz w:val="24"/>
          <w:szCs w:val="24"/>
          <w:lang w:val="en-US"/>
        </w:rPr>
        <w:t xml:space="preserve">the </w:t>
      </w:r>
      <w:r w:rsidRPr="00C21793">
        <w:rPr>
          <w:rFonts w:ascii="Times New Roman" w:hAnsi="Times New Roman" w:cs="Times New Roman"/>
          <w:sz w:val="24"/>
          <w:szCs w:val="24"/>
          <w:lang w:val="en-US"/>
        </w:rPr>
        <w:t>USA</w:t>
      </w:r>
      <w:r w:rsidR="00722CF1" w:rsidRPr="00C21793">
        <w:rPr>
          <w:rFonts w:ascii="Times New Roman" w:hAnsi="Times New Roman" w:cs="Times New Roman"/>
          <w:sz w:val="24"/>
          <w:szCs w:val="24"/>
          <w:lang w:val="en-US"/>
        </w:rPr>
        <w:t xml:space="preserve"> was used</w:t>
      </w:r>
      <w:r w:rsidRPr="00C21793">
        <w:rPr>
          <w:rFonts w:ascii="Times New Roman" w:hAnsi="Times New Roman" w:cs="Times New Roman"/>
          <w:sz w:val="24"/>
          <w:szCs w:val="24"/>
          <w:lang w:val="en-US"/>
        </w:rPr>
        <w:t>. As the data was not normally distributed</w:t>
      </w:r>
      <w:r w:rsidR="0052112D" w:rsidRPr="00C21793">
        <w:rPr>
          <w:rFonts w:ascii="Times New Roman" w:hAnsi="Times New Roman" w:cs="Times New Roman"/>
          <w:sz w:val="24"/>
          <w:szCs w:val="24"/>
          <w:lang w:val="en-US"/>
        </w:rPr>
        <w:t>;</w:t>
      </w:r>
      <w:r w:rsidRPr="00C21793">
        <w:rPr>
          <w:rFonts w:ascii="Times New Roman" w:hAnsi="Times New Roman" w:cs="Times New Roman"/>
          <w:sz w:val="24"/>
          <w:szCs w:val="24"/>
          <w:lang w:val="en-US"/>
        </w:rPr>
        <w:t xml:space="preserve"> therefore</w:t>
      </w:r>
      <w:r w:rsidR="0052112D" w:rsidRPr="00C21793">
        <w:rPr>
          <w:rFonts w:ascii="Times New Roman" w:hAnsi="Times New Roman" w:cs="Times New Roman"/>
          <w:sz w:val="24"/>
          <w:szCs w:val="24"/>
          <w:lang w:val="en-US"/>
        </w:rPr>
        <w:t>,</w:t>
      </w:r>
      <w:r w:rsidRPr="00C21793">
        <w:rPr>
          <w:rFonts w:ascii="Times New Roman" w:hAnsi="Times New Roman" w:cs="Times New Roman"/>
          <w:sz w:val="24"/>
          <w:szCs w:val="24"/>
          <w:lang w:val="en-US"/>
        </w:rPr>
        <w:t xml:space="preserve"> Spearman and Kendall rank correlation tests were adopted to determine the correlation between variables.</w:t>
      </w:r>
    </w:p>
    <w:p w:rsidR="00306945" w:rsidRPr="00C21793" w:rsidRDefault="00306945" w:rsidP="00306945">
      <w:pPr>
        <w:spacing w:line="360" w:lineRule="auto"/>
        <w:rPr>
          <w:rFonts w:eastAsia="PMingLiU"/>
          <w:b/>
          <w:sz w:val="28"/>
          <w:szCs w:val="28"/>
          <w:lang w:eastAsia="zh-TW"/>
        </w:rPr>
      </w:pPr>
      <w:r w:rsidRPr="00C21793">
        <w:rPr>
          <w:b/>
          <w:sz w:val="28"/>
          <w:szCs w:val="28"/>
        </w:rPr>
        <w:t>R</w:t>
      </w:r>
      <w:r w:rsidRPr="00C21793">
        <w:rPr>
          <w:rFonts w:eastAsia="PMingLiU"/>
          <w:b/>
          <w:sz w:val="28"/>
          <w:szCs w:val="28"/>
          <w:lang w:eastAsia="zh-TW"/>
        </w:rPr>
        <w:t>esults and Discussion</w:t>
      </w:r>
    </w:p>
    <w:p w:rsidR="00306945" w:rsidRPr="00C21793" w:rsidRDefault="00306945" w:rsidP="00306945">
      <w:pPr>
        <w:spacing w:line="360" w:lineRule="auto"/>
        <w:rPr>
          <w:b/>
          <w:sz w:val="20"/>
          <w:szCs w:val="20"/>
          <w:lang w:eastAsia="zh-TW"/>
        </w:rPr>
      </w:pPr>
      <w:r w:rsidRPr="00C21793">
        <w:rPr>
          <w:b/>
        </w:rPr>
        <w:t xml:space="preserve">Changes in air quality and environmental pollutants </w:t>
      </w:r>
    </w:p>
    <w:p w:rsidR="00306945" w:rsidRPr="00C21793" w:rsidRDefault="00B1235F" w:rsidP="00306945">
      <w:pPr>
        <w:pStyle w:val="NoSpacing"/>
        <w:spacing w:line="360" w:lineRule="auto"/>
        <w:ind w:firstLine="360"/>
        <w:jc w:val="both"/>
        <w:rPr>
          <w:rFonts w:ascii="Times New Roman" w:hAnsi="Times New Roman" w:cs="Times New Roman"/>
          <w:sz w:val="24"/>
          <w:szCs w:val="24"/>
          <w:lang w:val="en-US"/>
        </w:rPr>
      </w:pPr>
      <w:r w:rsidRPr="00C21793">
        <w:rPr>
          <w:rFonts w:ascii="Times New Roman" w:hAnsi="Times New Roman" w:cs="Times New Roman"/>
          <w:sz w:val="24"/>
          <w:szCs w:val="24"/>
          <w:lang w:val="en-US"/>
        </w:rPr>
        <w:t>Data in the table 1</w:t>
      </w:r>
      <w:r w:rsidR="00306945" w:rsidRPr="00C21793">
        <w:rPr>
          <w:rFonts w:ascii="Times New Roman" w:hAnsi="Times New Roman" w:cs="Times New Roman"/>
          <w:sz w:val="24"/>
          <w:szCs w:val="24"/>
          <w:lang w:val="en-US"/>
        </w:rPr>
        <w:t xml:space="preserve"> shows the </w:t>
      </w:r>
      <w:r w:rsidRPr="00C21793">
        <w:rPr>
          <w:rFonts w:ascii="Times New Roman" w:hAnsi="Times New Roman" w:cs="Times New Roman"/>
          <w:sz w:val="24"/>
          <w:szCs w:val="24"/>
          <w:lang w:val="en-US"/>
        </w:rPr>
        <w:t xml:space="preserve">reduction percentage </w:t>
      </w:r>
      <w:r w:rsidR="00306945" w:rsidRPr="00C21793">
        <w:rPr>
          <w:rFonts w:ascii="Times New Roman" w:hAnsi="Times New Roman" w:cs="Times New Roman"/>
          <w:sz w:val="24"/>
          <w:szCs w:val="24"/>
          <w:lang w:val="en-US"/>
        </w:rPr>
        <w:t xml:space="preserve">of daily concentration of environmental pollutants in the first quarter of 2019 and 2020 in the five states/provinces of the USA and China. </w:t>
      </w:r>
    </w:p>
    <w:p w:rsidR="00306945" w:rsidRPr="00C21793" w:rsidRDefault="00306945" w:rsidP="00306945">
      <w:pPr>
        <w:pStyle w:val="NoSpacing"/>
        <w:jc w:val="both"/>
        <w:rPr>
          <w:rFonts w:ascii="Times New Roman" w:hAnsi="Times New Roman" w:cs="Times New Roman"/>
          <w:sz w:val="24"/>
          <w:szCs w:val="24"/>
          <w:lang w:val="en-US"/>
        </w:rPr>
      </w:pPr>
      <w:r w:rsidRPr="00C21793">
        <w:rPr>
          <w:rFonts w:ascii="Times New Roman" w:hAnsi="Times New Roman" w:cs="Times New Roman"/>
          <w:b/>
          <w:sz w:val="24"/>
          <w:szCs w:val="24"/>
          <w:lang w:val="en-US"/>
        </w:rPr>
        <w:lastRenderedPageBreak/>
        <w:t>Table 1.</w:t>
      </w:r>
      <w:r w:rsidRPr="00C21793">
        <w:rPr>
          <w:rFonts w:ascii="Times New Roman" w:hAnsi="Times New Roman" w:cs="Times New Roman"/>
          <w:sz w:val="24"/>
          <w:szCs w:val="24"/>
          <w:lang w:val="en-US"/>
        </w:rPr>
        <w:t xml:space="preserve"> Percentage of reduction of the environmental pollutants (average concentration) in the first quarter of 2019 and 2020 among the </w:t>
      </w:r>
      <w:r w:rsidR="008627A1" w:rsidRPr="00C21793">
        <w:rPr>
          <w:rFonts w:ascii="Times New Roman" w:hAnsi="Times New Roman" w:cs="Times New Roman"/>
          <w:sz w:val="24"/>
          <w:szCs w:val="24"/>
          <w:lang w:val="en-US"/>
        </w:rPr>
        <w:t>significant</w:t>
      </w:r>
      <w:r w:rsidRPr="00C21793">
        <w:rPr>
          <w:rFonts w:ascii="Times New Roman" w:hAnsi="Times New Roman" w:cs="Times New Roman"/>
          <w:sz w:val="24"/>
          <w:szCs w:val="24"/>
          <w:lang w:val="en-US"/>
        </w:rPr>
        <w:t xml:space="preserve"> hit states of </w:t>
      </w:r>
      <w:r w:rsidR="0052112D" w:rsidRPr="00C21793">
        <w:rPr>
          <w:rFonts w:ascii="Times New Roman" w:hAnsi="Times New Roman" w:cs="Times New Roman"/>
          <w:sz w:val="24"/>
          <w:szCs w:val="24"/>
          <w:lang w:val="en-US"/>
        </w:rPr>
        <w:t xml:space="preserve">the </w:t>
      </w:r>
      <w:r w:rsidRPr="00C21793">
        <w:rPr>
          <w:rFonts w:ascii="Times New Roman" w:hAnsi="Times New Roman" w:cs="Times New Roman"/>
          <w:sz w:val="24"/>
          <w:szCs w:val="24"/>
          <w:lang w:val="en-US"/>
        </w:rPr>
        <w:t>USA and China.</w:t>
      </w:r>
      <w:r w:rsidR="00343E80" w:rsidRPr="00C21793">
        <w:rPr>
          <w:rFonts w:ascii="Times New Roman" w:hAnsi="Times New Roman" w:cs="Times New Roman"/>
          <w:sz w:val="24"/>
          <w:szCs w:val="24"/>
          <w:lang w:val="en-US"/>
        </w:rPr>
        <w:t xml:space="preserve"> (NA= not available)</w:t>
      </w:r>
    </w:p>
    <w:tbl>
      <w:tblPr>
        <w:tblW w:w="6120" w:type="dxa"/>
        <w:jc w:val="center"/>
        <w:tblLayout w:type="fixed"/>
        <w:tblLook w:val="04A0" w:firstRow="1" w:lastRow="0" w:firstColumn="1" w:lastColumn="0" w:noHBand="0" w:noVBand="1"/>
      </w:tblPr>
      <w:tblGrid>
        <w:gridCol w:w="1888"/>
        <w:gridCol w:w="2067"/>
        <w:gridCol w:w="2165"/>
      </w:tblGrid>
      <w:tr w:rsidR="00306945" w:rsidRPr="00C21793" w:rsidTr="00381FF4">
        <w:trPr>
          <w:trHeight w:val="322"/>
          <w:jc w:val="center"/>
        </w:trPr>
        <w:tc>
          <w:tcPr>
            <w:tcW w:w="1888" w:type="dxa"/>
            <w:tcBorders>
              <w:top w:val="single" w:sz="8" w:space="0" w:color="auto"/>
              <w:bottom w:val="single" w:sz="12" w:space="0" w:color="auto"/>
            </w:tcBorders>
            <w:shd w:val="clear" w:color="auto" w:fill="auto"/>
          </w:tcPr>
          <w:p w:rsidR="00306945" w:rsidRPr="00C21793" w:rsidRDefault="00306945" w:rsidP="003E1626">
            <w:pPr>
              <w:jc w:val="center"/>
              <w:rPr>
                <w:rFonts w:eastAsia="Calibri"/>
                <w:b/>
                <w:szCs w:val="20"/>
              </w:rPr>
            </w:pPr>
            <w:r w:rsidRPr="00C21793">
              <w:rPr>
                <w:rFonts w:eastAsia="Calibri"/>
                <w:b/>
                <w:szCs w:val="20"/>
              </w:rPr>
              <w:t>Pollutant</w:t>
            </w:r>
          </w:p>
        </w:tc>
        <w:tc>
          <w:tcPr>
            <w:tcW w:w="2067" w:type="dxa"/>
            <w:tcBorders>
              <w:top w:val="single" w:sz="8" w:space="0" w:color="auto"/>
              <w:bottom w:val="single" w:sz="12" w:space="0" w:color="auto"/>
            </w:tcBorders>
            <w:shd w:val="clear" w:color="auto" w:fill="auto"/>
          </w:tcPr>
          <w:p w:rsidR="00306945" w:rsidRPr="00C21793" w:rsidRDefault="00306945" w:rsidP="003E1626">
            <w:pPr>
              <w:jc w:val="center"/>
              <w:rPr>
                <w:rFonts w:eastAsia="Calibri"/>
                <w:b/>
                <w:szCs w:val="20"/>
              </w:rPr>
            </w:pPr>
            <w:r w:rsidRPr="00C21793">
              <w:rPr>
                <w:rFonts w:eastAsia="Calibri"/>
                <w:b/>
                <w:szCs w:val="20"/>
              </w:rPr>
              <w:t>Reduction %</w:t>
            </w:r>
          </w:p>
        </w:tc>
        <w:tc>
          <w:tcPr>
            <w:tcW w:w="2165" w:type="dxa"/>
            <w:tcBorders>
              <w:top w:val="single" w:sz="8" w:space="0" w:color="auto"/>
              <w:bottom w:val="single" w:sz="12" w:space="0" w:color="auto"/>
            </w:tcBorders>
            <w:shd w:val="clear" w:color="auto" w:fill="auto"/>
          </w:tcPr>
          <w:p w:rsidR="00306945" w:rsidRPr="00C21793" w:rsidRDefault="00306945" w:rsidP="003E1626">
            <w:pPr>
              <w:jc w:val="center"/>
              <w:rPr>
                <w:rFonts w:eastAsia="Calibri"/>
                <w:b/>
                <w:szCs w:val="20"/>
              </w:rPr>
            </w:pPr>
            <w:r w:rsidRPr="00C21793">
              <w:rPr>
                <w:rFonts w:eastAsia="Calibri"/>
                <w:b/>
                <w:szCs w:val="20"/>
              </w:rPr>
              <w:t>Reduction%</w:t>
            </w:r>
          </w:p>
        </w:tc>
      </w:tr>
      <w:tr w:rsidR="00306945" w:rsidRPr="00C21793" w:rsidTr="00381FF4">
        <w:trPr>
          <w:trHeight w:val="247"/>
          <w:jc w:val="center"/>
        </w:trPr>
        <w:tc>
          <w:tcPr>
            <w:tcW w:w="1888" w:type="dxa"/>
            <w:tcBorders>
              <w:top w:val="single" w:sz="12" w:space="0" w:color="auto"/>
            </w:tcBorders>
            <w:shd w:val="clear" w:color="auto" w:fill="auto"/>
          </w:tcPr>
          <w:p w:rsidR="00306945" w:rsidRPr="00C21793" w:rsidRDefault="00306945" w:rsidP="003E1626">
            <w:pPr>
              <w:rPr>
                <w:rFonts w:eastAsia="Calibri"/>
                <w:sz w:val="20"/>
                <w:szCs w:val="20"/>
              </w:rPr>
            </w:pPr>
          </w:p>
        </w:tc>
        <w:tc>
          <w:tcPr>
            <w:tcW w:w="2067" w:type="dxa"/>
            <w:tcBorders>
              <w:top w:val="single" w:sz="12" w:space="0" w:color="auto"/>
            </w:tcBorders>
            <w:shd w:val="clear" w:color="auto" w:fill="auto"/>
          </w:tcPr>
          <w:p w:rsidR="00306945" w:rsidRPr="00C21793" w:rsidRDefault="00306945" w:rsidP="003E1626">
            <w:pPr>
              <w:jc w:val="center"/>
              <w:rPr>
                <w:rFonts w:eastAsia="Calibri"/>
                <w:b/>
                <w:color w:val="000000"/>
                <w:szCs w:val="20"/>
              </w:rPr>
            </w:pPr>
            <w:r w:rsidRPr="00C21793">
              <w:rPr>
                <w:rFonts w:eastAsia="Calibri"/>
                <w:b/>
                <w:color w:val="000000"/>
                <w:szCs w:val="20"/>
              </w:rPr>
              <w:t>California</w:t>
            </w:r>
          </w:p>
        </w:tc>
        <w:tc>
          <w:tcPr>
            <w:tcW w:w="2165" w:type="dxa"/>
            <w:tcBorders>
              <w:top w:val="single" w:sz="12" w:space="0" w:color="auto"/>
            </w:tcBorders>
            <w:shd w:val="clear" w:color="auto" w:fill="auto"/>
          </w:tcPr>
          <w:p w:rsidR="00306945" w:rsidRPr="00C21793" w:rsidRDefault="00306945" w:rsidP="003E1626">
            <w:pPr>
              <w:jc w:val="center"/>
              <w:rPr>
                <w:rFonts w:eastAsia="Calibri"/>
                <w:b/>
                <w:color w:val="000000"/>
                <w:szCs w:val="20"/>
              </w:rPr>
            </w:pPr>
            <w:r w:rsidRPr="00C21793">
              <w:rPr>
                <w:rFonts w:eastAsia="Calibri"/>
                <w:b/>
                <w:color w:val="000000"/>
                <w:szCs w:val="20"/>
              </w:rPr>
              <w:t>Hubei</w:t>
            </w:r>
          </w:p>
        </w:tc>
      </w:tr>
      <w:tr w:rsidR="00306945" w:rsidRPr="00C21793" w:rsidTr="00381FF4">
        <w:trPr>
          <w:trHeight w:val="247"/>
          <w:jc w:val="center"/>
        </w:trPr>
        <w:tc>
          <w:tcPr>
            <w:tcW w:w="1888" w:type="dxa"/>
            <w:shd w:val="clear" w:color="auto" w:fill="auto"/>
          </w:tcPr>
          <w:p w:rsidR="00306945" w:rsidRPr="00C21793" w:rsidRDefault="00306945" w:rsidP="003E1626">
            <w:pPr>
              <w:rPr>
                <w:rFonts w:eastAsia="Calibri"/>
                <w:sz w:val="20"/>
                <w:szCs w:val="20"/>
              </w:rPr>
            </w:pPr>
            <w:r w:rsidRPr="00C21793">
              <w:rPr>
                <w:rFonts w:eastAsia="Calibri"/>
                <w:sz w:val="20"/>
                <w:szCs w:val="20"/>
              </w:rPr>
              <w:t>CO (ppm)</w:t>
            </w:r>
          </w:p>
        </w:tc>
        <w:tc>
          <w:tcPr>
            <w:tcW w:w="2067" w:type="dxa"/>
            <w:shd w:val="clear" w:color="auto" w:fill="auto"/>
          </w:tcPr>
          <w:p w:rsidR="00306945" w:rsidRPr="00C21793" w:rsidRDefault="006279CF" w:rsidP="003E1626">
            <w:pPr>
              <w:spacing w:after="160"/>
              <w:jc w:val="center"/>
              <w:rPr>
                <w:rFonts w:eastAsia="Calibri"/>
                <w:color w:val="000000"/>
                <w:sz w:val="20"/>
                <w:szCs w:val="20"/>
              </w:rPr>
            </w:pPr>
            <w:r w:rsidRPr="00C21793">
              <w:rPr>
                <w:rFonts w:eastAsia="Calibri"/>
                <w:color w:val="000000"/>
                <w:sz w:val="20"/>
                <w:szCs w:val="20"/>
              </w:rPr>
              <w:t>NA</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11.02</w:t>
            </w:r>
          </w:p>
        </w:tc>
      </w:tr>
      <w:tr w:rsidR="00306945" w:rsidRPr="00C21793" w:rsidTr="00381FF4">
        <w:trPr>
          <w:trHeight w:val="368"/>
          <w:jc w:val="center"/>
        </w:trPr>
        <w:tc>
          <w:tcPr>
            <w:tcW w:w="1888" w:type="dxa"/>
            <w:shd w:val="clear" w:color="auto" w:fill="auto"/>
          </w:tcPr>
          <w:p w:rsidR="00306945" w:rsidRPr="00C21793" w:rsidRDefault="00306945" w:rsidP="003E1626">
            <w:pPr>
              <w:rPr>
                <w:rFonts w:eastAsia="Calibri"/>
                <w:sz w:val="20"/>
                <w:szCs w:val="20"/>
              </w:rPr>
            </w:pPr>
            <w:r w:rsidRPr="00C21793">
              <w:rPr>
                <w:rFonts w:eastAsia="Calibri"/>
                <w:sz w:val="20"/>
                <w:szCs w:val="20"/>
              </w:rPr>
              <w:t>NO</w:t>
            </w:r>
            <w:r w:rsidRPr="00C21793">
              <w:rPr>
                <w:rFonts w:eastAsia="Calibri"/>
                <w:sz w:val="20"/>
                <w:szCs w:val="20"/>
                <w:vertAlign w:val="subscript"/>
              </w:rPr>
              <w:t>2</w:t>
            </w:r>
            <w:r w:rsidRPr="00C21793">
              <w:rPr>
                <w:rFonts w:eastAsia="Calibri"/>
                <w:sz w:val="20"/>
                <w:szCs w:val="20"/>
              </w:rPr>
              <w:t xml:space="preserve"> (ppb)</w:t>
            </w:r>
          </w:p>
        </w:tc>
        <w:tc>
          <w:tcPr>
            <w:tcW w:w="2067"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44.22</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49.21</w:t>
            </w:r>
          </w:p>
        </w:tc>
      </w:tr>
      <w:tr w:rsidR="00306945" w:rsidRPr="00C21793" w:rsidTr="00381FF4">
        <w:trPr>
          <w:trHeight w:val="368"/>
          <w:jc w:val="center"/>
        </w:trPr>
        <w:tc>
          <w:tcPr>
            <w:tcW w:w="1888" w:type="dxa"/>
            <w:shd w:val="clear" w:color="auto" w:fill="auto"/>
          </w:tcPr>
          <w:p w:rsidR="00306945" w:rsidRPr="00C21793" w:rsidRDefault="00306945" w:rsidP="003E1626">
            <w:pPr>
              <w:rPr>
                <w:rFonts w:eastAsia="Calibri"/>
                <w:sz w:val="20"/>
                <w:szCs w:val="20"/>
              </w:rPr>
            </w:pPr>
            <w:r w:rsidRPr="00C21793">
              <w:rPr>
                <w:rFonts w:eastAsia="Calibri"/>
                <w:sz w:val="20"/>
                <w:szCs w:val="20"/>
              </w:rPr>
              <w:t>SO</w:t>
            </w:r>
            <w:r w:rsidRPr="00C21793">
              <w:rPr>
                <w:rFonts w:eastAsia="Calibri"/>
                <w:sz w:val="20"/>
                <w:szCs w:val="20"/>
                <w:vertAlign w:val="subscript"/>
              </w:rPr>
              <w:t>2</w:t>
            </w:r>
            <w:r w:rsidRPr="00C21793">
              <w:rPr>
                <w:rFonts w:eastAsia="Calibri"/>
                <w:sz w:val="20"/>
                <w:szCs w:val="20"/>
              </w:rPr>
              <w:t xml:space="preserve"> (ppb)</w:t>
            </w:r>
          </w:p>
        </w:tc>
        <w:tc>
          <w:tcPr>
            <w:tcW w:w="2067"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88.7</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9.33</w:t>
            </w:r>
          </w:p>
        </w:tc>
      </w:tr>
      <w:tr w:rsidR="00306945" w:rsidRPr="00C21793" w:rsidTr="00381FF4">
        <w:trPr>
          <w:trHeight w:val="458"/>
          <w:jc w:val="center"/>
        </w:trPr>
        <w:tc>
          <w:tcPr>
            <w:tcW w:w="1888" w:type="dxa"/>
            <w:shd w:val="clear" w:color="auto" w:fill="auto"/>
          </w:tcPr>
          <w:p w:rsidR="00306945" w:rsidRPr="00C21793" w:rsidRDefault="00BA0123" w:rsidP="003E1626">
            <w:pPr>
              <w:rPr>
                <w:rFonts w:eastAsia="Calibri"/>
                <w:sz w:val="20"/>
                <w:szCs w:val="20"/>
              </w:rPr>
            </w:pPr>
            <w:r w:rsidRPr="00C21793">
              <w:rPr>
                <w:rFonts w:eastAsia="Calibri"/>
                <w:sz w:val="20"/>
                <w:szCs w:val="20"/>
              </w:rPr>
              <w:t>PM</w:t>
            </w:r>
            <w:r w:rsidR="00306945" w:rsidRPr="00C21793">
              <w:rPr>
                <w:rFonts w:eastAsia="Calibri"/>
                <w:sz w:val="20"/>
                <w:szCs w:val="20"/>
                <w:vertAlign w:val="subscript"/>
              </w:rPr>
              <w:t>2.5</w:t>
            </w:r>
            <w:r w:rsidR="00306945" w:rsidRPr="00C21793">
              <w:rPr>
                <w:rFonts w:eastAsia="Calibri"/>
                <w:sz w:val="20"/>
                <w:szCs w:val="20"/>
              </w:rPr>
              <w:t xml:space="preserve"> (ug/m</w:t>
            </w:r>
            <w:r w:rsidR="00306945" w:rsidRPr="00C21793">
              <w:rPr>
                <w:rFonts w:eastAsia="Calibri"/>
                <w:sz w:val="20"/>
                <w:szCs w:val="20"/>
                <w:vertAlign w:val="superscript"/>
              </w:rPr>
              <w:t>3</w:t>
            </w:r>
            <w:r w:rsidR="00306945" w:rsidRPr="00C21793">
              <w:rPr>
                <w:rFonts w:eastAsia="Calibri"/>
                <w:sz w:val="20"/>
                <w:szCs w:val="20"/>
              </w:rPr>
              <w:t>)</w:t>
            </w:r>
          </w:p>
        </w:tc>
        <w:tc>
          <w:tcPr>
            <w:tcW w:w="2067" w:type="dxa"/>
            <w:shd w:val="clear" w:color="auto" w:fill="auto"/>
          </w:tcPr>
          <w:p w:rsidR="00306945" w:rsidRPr="00C21793" w:rsidRDefault="00306945" w:rsidP="003E1626">
            <w:pPr>
              <w:jc w:val="center"/>
              <w:rPr>
                <w:rFonts w:eastAsia="Calibri"/>
                <w:color w:val="000000"/>
                <w:sz w:val="20"/>
                <w:szCs w:val="20"/>
              </w:rPr>
            </w:pPr>
            <w:r w:rsidRPr="00C21793">
              <w:rPr>
                <w:rFonts w:eastAsia="Calibri"/>
                <w:color w:val="000000"/>
                <w:sz w:val="20"/>
                <w:szCs w:val="20"/>
              </w:rPr>
              <w:t>27.67</w:t>
            </w:r>
          </w:p>
        </w:tc>
        <w:tc>
          <w:tcPr>
            <w:tcW w:w="2165" w:type="dxa"/>
            <w:shd w:val="clear" w:color="auto" w:fill="auto"/>
          </w:tcPr>
          <w:p w:rsidR="00306945" w:rsidRPr="00C21793" w:rsidRDefault="00306945" w:rsidP="003E1626">
            <w:pPr>
              <w:jc w:val="center"/>
              <w:rPr>
                <w:rFonts w:eastAsia="Calibri"/>
                <w:color w:val="000000"/>
                <w:sz w:val="20"/>
                <w:szCs w:val="20"/>
              </w:rPr>
            </w:pPr>
            <w:r w:rsidRPr="00C21793">
              <w:rPr>
                <w:rFonts w:eastAsia="Calibri"/>
                <w:color w:val="000000"/>
                <w:sz w:val="20"/>
                <w:szCs w:val="20"/>
              </w:rPr>
              <w:t>16.20</w:t>
            </w:r>
          </w:p>
        </w:tc>
      </w:tr>
      <w:tr w:rsidR="00306945" w:rsidRPr="00C21793" w:rsidTr="00381FF4">
        <w:trPr>
          <w:trHeight w:val="225"/>
          <w:jc w:val="center"/>
        </w:trPr>
        <w:tc>
          <w:tcPr>
            <w:tcW w:w="1888" w:type="dxa"/>
            <w:shd w:val="clear" w:color="auto" w:fill="auto"/>
          </w:tcPr>
          <w:p w:rsidR="00306945" w:rsidRPr="00C21793" w:rsidRDefault="00BA0123" w:rsidP="003E1626">
            <w:pPr>
              <w:rPr>
                <w:rFonts w:eastAsia="Calibri"/>
                <w:sz w:val="20"/>
                <w:szCs w:val="20"/>
              </w:rPr>
            </w:pPr>
            <w:r w:rsidRPr="00C21793">
              <w:rPr>
                <w:rFonts w:eastAsia="Calibri"/>
                <w:sz w:val="20"/>
                <w:szCs w:val="20"/>
              </w:rPr>
              <w:t>PM</w:t>
            </w:r>
            <w:r w:rsidR="00306945" w:rsidRPr="00C21793">
              <w:rPr>
                <w:rFonts w:eastAsia="Calibri"/>
                <w:sz w:val="20"/>
                <w:szCs w:val="20"/>
                <w:vertAlign w:val="subscript"/>
              </w:rPr>
              <w:t>10</w:t>
            </w:r>
            <w:r w:rsidR="00306945" w:rsidRPr="00C21793">
              <w:rPr>
                <w:rFonts w:eastAsia="Calibri"/>
                <w:sz w:val="20"/>
                <w:szCs w:val="20"/>
              </w:rPr>
              <w:t xml:space="preserve"> (ug/m</w:t>
            </w:r>
            <w:r w:rsidR="00306945" w:rsidRPr="00C21793">
              <w:rPr>
                <w:rFonts w:eastAsia="Calibri"/>
                <w:sz w:val="20"/>
                <w:szCs w:val="20"/>
                <w:vertAlign w:val="superscript"/>
              </w:rPr>
              <w:t>3</w:t>
            </w:r>
            <w:r w:rsidR="00306945" w:rsidRPr="00C21793">
              <w:rPr>
                <w:rFonts w:eastAsia="Calibri"/>
                <w:sz w:val="20"/>
                <w:szCs w:val="20"/>
              </w:rPr>
              <w:t>)</w:t>
            </w:r>
          </w:p>
        </w:tc>
        <w:tc>
          <w:tcPr>
            <w:tcW w:w="2067"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19.86</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31.0</w:t>
            </w:r>
          </w:p>
        </w:tc>
      </w:tr>
      <w:tr w:rsidR="00306945" w:rsidRPr="00C21793" w:rsidTr="00381FF4">
        <w:trPr>
          <w:trHeight w:val="449"/>
          <w:jc w:val="center"/>
        </w:trPr>
        <w:tc>
          <w:tcPr>
            <w:tcW w:w="1888" w:type="dxa"/>
            <w:shd w:val="clear" w:color="auto" w:fill="auto"/>
          </w:tcPr>
          <w:p w:rsidR="00306945" w:rsidRPr="00C21793" w:rsidRDefault="00306945" w:rsidP="003E1626">
            <w:pPr>
              <w:rPr>
                <w:rFonts w:eastAsia="Calibri"/>
                <w:sz w:val="20"/>
                <w:szCs w:val="20"/>
              </w:rPr>
            </w:pPr>
          </w:p>
        </w:tc>
        <w:tc>
          <w:tcPr>
            <w:tcW w:w="2067" w:type="dxa"/>
            <w:shd w:val="clear" w:color="auto" w:fill="auto"/>
          </w:tcPr>
          <w:p w:rsidR="00306945" w:rsidRPr="00C21793" w:rsidRDefault="00306945" w:rsidP="003E1626">
            <w:pPr>
              <w:jc w:val="center"/>
              <w:rPr>
                <w:rFonts w:eastAsia="Calibri"/>
                <w:color w:val="000000"/>
              </w:rPr>
            </w:pPr>
            <w:r w:rsidRPr="00C21793">
              <w:rPr>
                <w:rFonts w:eastAsia="Calibri"/>
                <w:b/>
                <w:color w:val="000000"/>
              </w:rPr>
              <w:t>Florida</w:t>
            </w:r>
          </w:p>
        </w:tc>
        <w:tc>
          <w:tcPr>
            <w:tcW w:w="2165" w:type="dxa"/>
            <w:shd w:val="clear" w:color="auto" w:fill="auto"/>
          </w:tcPr>
          <w:p w:rsidR="00306945" w:rsidRPr="00C21793" w:rsidRDefault="00306945" w:rsidP="003E1626">
            <w:pPr>
              <w:jc w:val="center"/>
              <w:rPr>
                <w:rFonts w:eastAsia="Calibri"/>
                <w:b/>
                <w:color w:val="000000"/>
              </w:rPr>
            </w:pPr>
            <w:r w:rsidRPr="00C21793">
              <w:rPr>
                <w:rFonts w:eastAsia="Calibri"/>
                <w:b/>
                <w:color w:val="000000"/>
              </w:rPr>
              <w:t>Beijing</w:t>
            </w:r>
          </w:p>
        </w:tc>
      </w:tr>
      <w:tr w:rsidR="00306945" w:rsidRPr="00C21793" w:rsidTr="00381FF4">
        <w:trPr>
          <w:trHeight w:val="413"/>
          <w:jc w:val="center"/>
        </w:trPr>
        <w:tc>
          <w:tcPr>
            <w:tcW w:w="1888" w:type="dxa"/>
            <w:shd w:val="clear" w:color="auto" w:fill="auto"/>
          </w:tcPr>
          <w:p w:rsidR="00306945" w:rsidRPr="00C21793" w:rsidRDefault="00306945" w:rsidP="003E1626">
            <w:pPr>
              <w:rPr>
                <w:rFonts w:eastAsia="Calibri"/>
                <w:sz w:val="20"/>
                <w:szCs w:val="20"/>
              </w:rPr>
            </w:pPr>
            <w:r w:rsidRPr="00C21793">
              <w:rPr>
                <w:rFonts w:eastAsia="Calibri"/>
                <w:sz w:val="20"/>
                <w:szCs w:val="20"/>
              </w:rPr>
              <w:t>CO (ppm)</w:t>
            </w:r>
          </w:p>
        </w:tc>
        <w:tc>
          <w:tcPr>
            <w:tcW w:w="2067"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4.70</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11.02</w:t>
            </w:r>
          </w:p>
        </w:tc>
      </w:tr>
      <w:tr w:rsidR="00306945" w:rsidRPr="00C21793" w:rsidTr="00381FF4">
        <w:trPr>
          <w:trHeight w:val="449"/>
          <w:jc w:val="center"/>
        </w:trPr>
        <w:tc>
          <w:tcPr>
            <w:tcW w:w="1888" w:type="dxa"/>
            <w:shd w:val="clear" w:color="auto" w:fill="auto"/>
          </w:tcPr>
          <w:p w:rsidR="00306945" w:rsidRPr="00C21793" w:rsidRDefault="00306945" w:rsidP="003E1626">
            <w:pPr>
              <w:rPr>
                <w:rFonts w:eastAsia="Calibri"/>
                <w:sz w:val="20"/>
                <w:szCs w:val="20"/>
              </w:rPr>
            </w:pPr>
            <w:r w:rsidRPr="00C21793">
              <w:rPr>
                <w:rFonts w:eastAsia="Calibri"/>
                <w:sz w:val="20"/>
                <w:szCs w:val="20"/>
              </w:rPr>
              <w:t>NO</w:t>
            </w:r>
            <w:r w:rsidRPr="00C21793">
              <w:rPr>
                <w:rFonts w:eastAsia="Calibri"/>
                <w:sz w:val="20"/>
                <w:szCs w:val="20"/>
                <w:vertAlign w:val="subscript"/>
              </w:rPr>
              <w:t>2</w:t>
            </w:r>
            <w:r w:rsidRPr="00C21793">
              <w:rPr>
                <w:rFonts w:eastAsia="Calibri"/>
                <w:sz w:val="20"/>
                <w:szCs w:val="20"/>
              </w:rPr>
              <w:t xml:space="preserve"> (ppb)</w:t>
            </w:r>
          </w:p>
        </w:tc>
        <w:tc>
          <w:tcPr>
            <w:tcW w:w="2067"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35.41</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25.64</w:t>
            </w:r>
          </w:p>
        </w:tc>
      </w:tr>
      <w:tr w:rsidR="00306945" w:rsidRPr="00C21793" w:rsidTr="00381FF4">
        <w:trPr>
          <w:trHeight w:val="449"/>
          <w:jc w:val="center"/>
        </w:trPr>
        <w:tc>
          <w:tcPr>
            <w:tcW w:w="1888" w:type="dxa"/>
            <w:shd w:val="clear" w:color="auto" w:fill="auto"/>
          </w:tcPr>
          <w:p w:rsidR="00306945" w:rsidRPr="00C21793" w:rsidRDefault="00306945" w:rsidP="003E1626">
            <w:pPr>
              <w:rPr>
                <w:rFonts w:eastAsia="Calibri"/>
                <w:sz w:val="20"/>
                <w:szCs w:val="20"/>
              </w:rPr>
            </w:pPr>
            <w:r w:rsidRPr="00C21793">
              <w:rPr>
                <w:rFonts w:eastAsia="Calibri"/>
                <w:sz w:val="20"/>
                <w:szCs w:val="20"/>
              </w:rPr>
              <w:t>SO</w:t>
            </w:r>
            <w:r w:rsidRPr="00C21793">
              <w:rPr>
                <w:rFonts w:eastAsia="Calibri"/>
                <w:sz w:val="20"/>
                <w:szCs w:val="20"/>
                <w:vertAlign w:val="subscript"/>
              </w:rPr>
              <w:t>2</w:t>
            </w:r>
            <w:r w:rsidRPr="00C21793">
              <w:rPr>
                <w:rFonts w:eastAsia="Calibri"/>
                <w:sz w:val="20"/>
                <w:szCs w:val="20"/>
              </w:rPr>
              <w:t xml:space="preserve"> (ppb)</w:t>
            </w:r>
          </w:p>
        </w:tc>
        <w:tc>
          <w:tcPr>
            <w:tcW w:w="2067"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73.33</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42.64</w:t>
            </w:r>
          </w:p>
        </w:tc>
      </w:tr>
      <w:tr w:rsidR="00306945" w:rsidRPr="00C21793" w:rsidTr="00381FF4">
        <w:trPr>
          <w:trHeight w:val="449"/>
          <w:jc w:val="center"/>
        </w:trPr>
        <w:tc>
          <w:tcPr>
            <w:tcW w:w="1888" w:type="dxa"/>
            <w:shd w:val="clear" w:color="auto" w:fill="auto"/>
          </w:tcPr>
          <w:p w:rsidR="00306945" w:rsidRPr="00C21793" w:rsidRDefault="00BA0123" w:rsidP="003E1626">
            <w:pPr>
              <w:rPr>
                <w:rFonts w:eastAsia="Calibri"/>
                <w:sz w:val="20"/>
                <w:szCs w:val="20"/>
              </w:rPr>
            </w:pPr>
            <w:r w:rsidRPr="00C21793">
              <w:rPr>
                <w:rFonts w:eastAsia="Calibri"/>
                <w:sz w:val="20"/>
                <w:szCs w:val="20"/>
              </w:rPr>
              <w:t>PM</w:t>
            </w:r>
            <w:r w:rsidR="00306945" w:rsidRPr="00C21793">
              <w:rPr>
                <w:rFonts w:eastAsia="Calibri"/>
                <w:sz w:val="20"/>
                <w:szCs w:val="20"/>
                <w:vertAlign w:val="subscript"/>
              </w:rPr>
              <w:t>2.5</w:t>
            </w:r>
            <w:r w:rsidR="00306945" w:rsidRPr="00C21793">
              <w:rPr>
                <w:rFonts w:eastAsia="Calibri"/>
                <w:sz w:val="20"/>
                <w:szCs w:val="20"/>
              </w:rPr>
              <w:t xml:space="preserve"> (ug/m</w:t>
            </w:r>
            <w:r w:rsidR="00306945" w:rsidRPr="00C21793">
              <w:rPr>
                <w:rFonts w:eastAsia="Calibri"/>
                <w:sz w:val="20"/>
                <w:szCs w:val="20"/>
                <w:vertAlign w:val="superscript"/>
              </w:rPr>
              <w:t>3</w:t>
            </w:r>
            <w:r w:rsidR="00306945" w:rsidRPr="00C21793">
              <w:rPr>
                <w:rFonts w:eastAsia="Calibri"/>
                <w:sz w:val="20"/>
                <w:szCs w:val="20"/>
              </w:rPr>
              <w:t>)</w:t>
            </w:r>
          </w:p>
        </w:tc>
        <w:tc>
          <w:tcPr>
            <w:tcW w:w="2067" w:type="dxa"/>
            <w:shd w:val="clear" w:color="auto" w:fill="auto"/>
          </w:tcPr>
          <w:p w:rsidR="00306945" w:rsidRPr="00C21793" w:rsidRDefault="00306945" w:rsidP="003E1626">
            <w:pPr>
              <w:jc w:val="center"/>
              <w:rPr>
                <w:rFonts w:eastAsia="Calibri"/>
                <w:sz w:val="20"/>
                <w:szCs w:val="20"/>
              </w:rPr>
            </w:pPr>
            <w:r w:rsidRPr="00C21793">
              <w:rPr>
                <w:rFonts w:eastAsia="Calibri"/>
                <w:sz w:val="20"/>
                <w:szCs w:val="20"/>
              </w:rPr>
              <w:t>33.72</w:t>
            </w:r>
          </w:p>
        </w:tc>
        <w:tc>
          <w:tcPr>
            <w:tcW w:w="2165" w:type="dxa"/>
            <w:shd w:val="clear" w:color="auto" w:fill="auto"/>
          </w:tcPr>
          <w:p w:rsidR="00306945" w:rsidRPr="00C21793" w:rsidRDefault="00306945" w:rsidP="003E1626">
            <w:pPr>
              <w:jc w:val="center"/>
              <w:rPr>
                <w:rFonts w:eastAsia="Calibri"/>
                <w:sz w:val="20"/>
                <w:szCs w:val="20"/>
              </w:rPr>
            </w:pPr>
            <w:r w:rsidRPr="00C21793">
              <w:rPr>
                <w:rFonts w:eastAsia="Calibri"/>
                <w:sz w:val="20"/>
                <w:szCs w:val="20"/>
              </w:rPr>
              <w:t>6.48</w:t>
            </w:r>
          </w:p>
        </w:tc>
      </w:tr>
      <w:tr w:rsidR="00306945" w:rsidRPr="00C21793" w:rsidTr="00381FF4">
        <w:trPr>
          <w:trHeight w:val="333"/>
          <w:jc w:val="center"/>
        </w:trPr>
        <w:tc>
          <w:tcPr>
            <w:tcW w:w="1888" w:type="dxa"/>
            <w:shd w:val="clear" w:color="auto" w:fill="auto"/>
          </w:tcPr>
          <w:p w:rsidR="00306945" w:rsidRPr="00C21793" w:rsidRDefault="00BA0123" w:rsidP="003E1626">
            <w:pPr>
              <w:rPr>
                <w:rFonts w:eastAsia="Calibri"/>
                <w:sz w:val="20"/>
                <w:szCs w:val="20"/>
              </w:rPr>
            </w:pPr>
            <w:r w:rsidRPr="00C21793">
              <w:rPr>
                <w:rFonts w:eastAsia="Calibri"/>
                <w:sz w:val="20"/>
                <w:szCs w:val="20"/>
              </w:rPr>
              <w:t>PM</w:t>
            </w:r>
            <w:r w:rsidR="00306945" w:rsidRPr="00C21793">
              <w:rPr>
                <w:rFonts w:eastAsia="Calibri"/>
                <w:sz w:val="20"/>
                <w:szCs w:val="20"/>
                <w:vertAlign w:val="subscript"/>
              </w:rPr>
              <w:t>10</w:t>
            </w:r>
            <w:r w:rsidR="00306945" w:rsidRPr="00C21793">
              <w:rPr>
                <w:rFonts w:eastAsia="Calibri"/>
                <w:sz w:val="20"/>
                <w:szCs w:val="20"/>
              </w:rPr>
              <w:t xml:space="preserve"> (ug/m</w:t>
            </w:r>
            <w:r w:rsidR="00306945" w:rsidRPr="00C21793">
              <w:rPr>
                <w:rFonts w:eastAsia="Calibri"/>
                <w:sz w:val="20"/>
                <w:szCs w:val="20"/>
                <w:vertAlign w:val="superscript"/>
              </w:rPr>
              <w:t>3</w:t>
            </w:r>
            <w:r w:rsidR="00306945" w:rsidRPr="00C21793">
              <w:rPr>
                <w:rFonts w:eastAsia="Calibri"/>
                <w:sz w:val="20"/>
                <w:szCs w:val="20"/>
              </w:rPr>
              <w:t>)</w:t>
            </w:r>
          </w:p>
        </w:tc>
        <w:tc>
          <w:tcPr>
            <w:tcW w:w="2067" w:type="dxa"/>
            <w:shd w:val="clear" w:color="auto" w:fill="auto"/>
          </w:tcPr>
          <w:p w:rsidR="00306945" w:rsidRPr="00C21793" w:rsidRDefault="00306945" w:rsidP="003E1626">
            <w:pPr>
              <w:jc w:val="center"/>
              <w:rPr>
                <w:rFonts w:eastAsia="Calibri"/>
                <w:color w:val="000000"/>
                <w:sz w:val="20"/>
                <w:szCs w:val="20"/>
              </w:rPr>
            </w:pPr>
            <w:r w:rsidRPr="00C21793">
              <w:rPr>
                <w:rFonts w:eastAsia="Calibri"/>
                <w:color w:val="000000"/>
                <w:sz w:val="20"/>
                <w:szCs w:val="20"/>
              </w:rPr>
              <w:t>32.29</w:t>
            </w:r>
          </w:p>
        </w:tc>
        <w:tc>
          <w:tcPr>
            <w:tcW w:w="2165" w:type="dxa"/>
            <w:shd w:val="clear" w:color="auto" w:fill="auto"/>
          </w:tcPr>
          <w:p w:rsidR="00306945" w:rsidRPr="00C21793" w:rsidRDefault="00306945" w:rsidP="003E1626">
            <w:pPr>
              <w:jc w:val="center"/>
              <w:rPr>
                <w:rFonts w:eastAsia="Calibri"/>
                <w:color w:val="000000"/>
                <w:sz w:val="20"/>
                <w:szCs w:val="20"/>
              </w:rPr>
            </w:pPr>
            <w:r w:rsidRPr="00C21793">
              <w:rPr>
                <w:rFonts w:eastAsia="Calibri"/>
                <w:color w:val="000000"/>
                <w:sz w:val="20"/>
                <w:szCs w:val="20"/>
              </w:rPr>
              <w:t>79.07</w:t>
            </w:r>
          </w:p>
        </w:tc>
      </w:tr>
      <w:tr w:rsidR="00306945" w:rsidRPr="00C21793" w:rsidTr="00381FF4">
        <w:trPr>
          <w:trHeight w:val="431"/>
          <w:jc w:val="center"/>
        </w:trPr>
        <w:tc>
          <w:tcPr>
            <w:tcW w:w="1888" w:type="dxa"/>
            <w:shd w:val="clear" w:color="auto" w:fill="auto"/>
          </w:tcPr>
          <w:p w:rsidR="00306945" w:rsidRPr="00C21793" w:rsidRDefault="00306945" w:rsidP="003E1626">
            <w:pPr>
              <w:rPr>
                <w:rFonts w:eastAsia="Calibri"/>
                <w:sz w:val="20"/>
                <w:szCs w:val="20"/>
              </w:rPr>
            </w:pPr>
          </w:p>
        </w:tc>
        <w:tc>
          <w:tcPr>
            <w:tcW w:w="2067" w:type="dxa"/>
            <w:shd w:val="clear" w:color="auto" w:fill="auto"/>
          </w:tcPr>
          <w:p w:rsidR="00306945" w:rsidRPr="00C21793" w:rsidRDefault="00306945" w:rsidP="003E1626">
            <w:pPr>
              <w:jc w:val="center"/>
              <w:rPr>
                <w:rFonts w:eastAsia="Calibri"/>
                <w:b/>
                <w:color w:val="000000"/>
              </w:rPr>
            </w:pPr>
            <w:r w:rsidRPr="00C21793">
              <w:rPr>
                <w:rFonts w:eastAsia="Calibri"/>
                <w:b/>
              </w:rPr>
              <w:t>Louisiana</w:t>
            </w:r>
          </w:p>
        </w:tc>
        <w:tc>
          <w:tcPr>
            <w:tcW w:w="2165" w:type="dxa"/>
            <w:shd w:val="clear" w:color="auto" w:fill="auto"/>
          </w:tcPr>
          <w:p w:rsidR="00306945" w:rsidRPr="00C21793" w:rsidRDefault="00306945" w:rsidP="003E1626">
            <w:pPr>
              <w:jc w:val="center"/>
              <w:rPr>
                <w:rFonts w:eastAsia="Calibri"/>
                <w:b/>
                <w:color w:val="000000"/>
              </w:rPr>
            </w:pPr>
            <w:r w:rsidRPr="00C21793">
              <w:rPr>
                <w:rFonts w:eastAsia="Calibri"/>
                <w:b/>
                <w:color w:val="000000"/>
              </w:rPr>
              <w:t>Shanghai</w:t>
            </w:r>
          </w:p>
        </w:tc>
      </w:tr>
      <w:tr w:rsidR="00306945" w:rsidRPr="00C21793" w:rsidTr="00381FF4">
        <w:trPr>
          <w:trHeight w:val="247"/>
          <w:jc w:val="center"/>
        </w:trPr>
        <w:tc>
          <w:tcPr>
            <w:tcW w:w="1888" w:type="dxa"/>
            <w:shd w:val="clear" w:color="auto" w:fill="auto"/>
          </w:tcPr>
          <w:p w:rsidR="00306945" w:rsidRPr="00C21793" w:rsidRDefault="00306945" w:rsidP="003E1626">
            <w:pPr>
              <w:rPr>
                <w:rFonts w:eastAsia="Calibri"/>
                <w:sz w:val="20"/>
                <w:szCs w:val="20"/>
              </w:rPr>
            </w:pPr>
            <w:r w:rsidRPr="00C21793">
              <w:rPr>
                <w:rFonts w:eastAsia="Calibri"/>
                <w:sz w:val="20"/>
                <w:szCs w:val="20"/>
              </w:rPr>
              <w:t>CO (ppm)</w:t>
            </w:r>
          </w:p>
        </w:tc>
        <w:tc>
          <w:tcPr>
            <w:tcW w:w="2067"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33.33</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18.21</w:t>
            </w:r>
          </w:p>
        </w:tc>
      </w:tr>
      <w:tr w:rsidR="00306945" w:rsidRPr="00C21793" w:rsidTr="00381FF4">
        <w:trPr>
          <w:trHeight w:val="247"/>
          <w:jc w:val="center"/>
        </w:trPr>
        <w:tc>
          <w:tcPr>
            <w:tcW w:w="1888" w:type="dxa"/>
            <w:shd w:val="clear" w:color="auto" w:fill="auto"/>
          </w:tcPr>
          <w:p w:rsidR="00306945" w:rsidRPr="00C21793" w:rsidRDefault="00306945" w:rsidP="003E1626">
            <w:pPr>
              <w:rPr>
                <w:rFonts w:eastAsia="Calibri"/>
                <w:sz w:val="20"/>
                <w:szCs w:val="20"/>
              </w:rPr>
            </w:pPr>
            <w:r w:rsidRPr="00C21793">
              <w:rPr>
                <w:rFonts w:eastAsia="Calibri"/>
                <w:sz w:val="20"/>
                <w:szCs w:val="20"/>
              </w:rPr>
              <w:t>NO</w:t>
            </w:r>
            <w:r w:rsidRPr="00C21793">
              <w:rPr>
                <w:rFonts w:eastAsia="Calibri"/>
                <w:sz w:val="20"/>
                <w:szCs w:val="20"/>
                <w:vertAlign w:val="subscript"/>
              </w:rPr>
              <w:t>2</w:t>
            </w:r>
            <w:r w:rsidRPr="00C21793">
              <w:rPr>
                <w:rFonts w:eastAsia="Calibri"/>
                <w:sz w:val="20"/>
                <w:szCs w:val="20"/>
              </w:rPr>
              <w:t xml:space="preserve"> (ppb)</w:t>
            </w:r>
          </w:p>
        </w:tc>
        <w:tc>
          <w:tcPr>
            <w:tcW w:w="2067"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61.16</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43.78</w:t>
            </w:r>
          </w:p>
        </w:tc>
      </w:tr>
      <w:tr w:rsidR="00306945" w:rsidRPr="00C21793" w:rsidTr="00381FF4">
        <w:trPr>
          <w:trHeight w:val="247"/>
          <w:jc w:val="center"/>
        </w:trPr>
        <w:tc>
          <w:tcPr>
            <w:tcW w:w="1888" w:type="dxa"/>
            <w:shd w:val="clear" w:color="auto" w:fill="auto"/>
          </w:tcPr>
          <w:p w:rsidR="00306945" w:rsidRPr="00C21793" w:rsidRDefault="00306945" w:rsidP="003E1626">
            <w:pPr>
              <w:rPr>
                <w:rFonts w:eastAsia="Calibri"/>
                <w:sz w:val="20"/>
                <w:szCs w:val="20"/>
              </w:rPr>
            </w:pPr>
            <w:r w:rsidRPr="00C21793">
              <w:rPr>
                <w:rFonts w:eastAsia="Calibri"/>
                <w:sz w:val="20"/>
                <w:szCs w:val="20"/>
              </w:rPr>
              <w:t>SO</w:t>
            </w:r>
            <w:r w:rsidRPr="00C21793">
              <w:rPr>
                <w:rFonts w:eastAsia="Calibri"/>
                <w:sz w:val="20"/>
                <w:szCs w:val="20"/>
                <w:vertAlign w:val="subscript"/>
              </w:rPr>
              <w:t>2</w:t>
            </w:r>
            <w:r w:rsidRPr="00C21793">
              <w:rPr>
                <w:rFonts w:eastAsia="Calibri"/>
                <w:sz w:val="20"/>
                <w:szCs w:val="20"/>
              </w:rPr>
              <w:t xml:space="preserve"> (ppb)</w:t>
            </w:r>
          </w:p>
        </w:tc>
        <w:tc>
          <w:tcPr>
            <w:tcW w:w="2067"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82.26</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31.19</w:t>
            </w:r>
          </w:p>
        </w:tc>
      </w:tr>
      <w:tr w:rsidR="00306945" w:rsidRPr="00C21793" w:rsidTr="006279CF">
        <w:trPr>
          <w:trHeight w:val="342"/>
          <w:jc w:val="center"/>
        </w:trPr>
        <w:tc>
          <w:tcPr>
            <w:tcW w:w="1888" w:type="dxa"/>
            <w:shd w:val="clear" w:color="auto" w:fill="auto"/>
          </w:tcPr>
          <w:p w:rsidR="00306945" w:rsidRPr="00C21793" w:rsidRDefault="00BA0123" w:rsidP="003E1626">
            <w:pPr>
              <w:rPr>
                <w:rFonts w:eastAsia="Calibri"/>
                <w:sz w:val="20"/>
                <w:szCs w:val="20"/>
              </w:rPr>
            </w:pPr>
            <w:r w:rsidRPr="00C21793">
              <w:rPr>
                <w:rFonts w:eastAsia="Calibri"/>
                <w:sz w:val="20"/>
                <w:szCs w:val="20"/>
              </w:rPr>
              <w:t>PM</w:t>
            </w:r>
            <w:r w:rsidR="00306945" w:rsidRPr="00C21793">
              <w:rPr>
                <w:rFonts w:eastAsia="Calibri"/>
                <w:sz w:val="20"/>
                <w:szCs w:val="20"/>
                <w:vertAlign w:val="subscript"/>
              </w:rPr>
              <w:t>2.5</w:t>
            </w:r>
            <w:r w:rsidR="00306945" w:rsidRPr="00C21793">
              <w:rPr>
                <w:rFonts w:eastAsia="Calibri"/>
                <w:sz w:val="20"/>
                <w:szCs w:val="20"/>
              </w:rPr>
              <w:t xml:space="preserve"> (ug/m</w:t>
            </w:r>
            <w:r w:rsidR="00306945" w:rsidRPr="00C21793">
              <w:rPr>
                <w:rFonts w:eastAsia="Calibri"/>
                <w:sz w:val="20"/>
                <w:szCs w:val="20"/>
                <w:vertAlign w:val="superscript"/>
              </w:rPr>
              <w:t>3</w:t>
            </w:r>
            <w:r w:rsidR="00306945" w:rsidRPr="00C21793">
              <w:rPr>
                <w:rFonts w:eastAsia="Calibri"/>
                <w:sz w:val="20"/>
                <w:szCs w:val="20"/>
              </w:rPr>
              <w:t>)</w:t>
            </w:r>
          </w:p>
        </w:tc>
        <w:tc>
          <w:tcPr>
            <w:tcW w:w="2067" w:type="dxa"/>
            <w:shd w:val="clear" w:color="auto" w:fill="auto"/>
          </w:tcPr>
          <w:p w:rsidR="00306945" w:rsidRPr="00C21793" w:rsidRDefault="00306945" w:rsidP="003E1626">
            <w:pPr>
              <w:jc w:val="center"/>
              <w:rPr>
                <w:rFonts w:eastAsia="Calibri"/>
                <w:color w:val="000000"/>
                <w:sz w:val="20"/>
                <w:szCs w:val="20"/>
              </w:rPr>
            </w:pPr>
            <w:r w:rsidRPr="00C21793">
              <w:rPr>
                <w:rFonts w:eastAsia="Calibri"/>
                <w:color w:val="000000"/>
                <w:sz w:val="20"/>
                <w:szCs w:val="20"/>
              </w:rPr>
              <w:t>10.83</w:t>
            </w:r>
          </w:p>
        </w:tc>
        <w:tc>
          <w:tcPr>
            <w:tcW w:w="2165" w:type="dxa"/>
            <w:shd w:val="clear" w:color="auto" w:fill="auto"/>
          </w:tcPr>
          <w:p w:rsidR="00306945" w:rsidRPr="00C21793" w:rsidRDefault="00306945" w:rsidP="003E1626">
            <w:pPr>
              <w:jc w:val="center"/>
              <w:rPr>
                <w:rFonts w:eastAsia="Calibri"/>
                <w:color w:val="000000"/>
                <w:sz w:val="20"/>
                <w:szCs w:val="20"/>
              </w:rPr>
            </w:pPr>
            <w:r w:rsidRPr="00C21793">
              <w:rPr>
                <w:rFonts w:eastAsia="Calibri"/>
                <w:color w:val="000000"/>
                <w:sz w:val="20"/>
                <w:szCs w:val="20"/>
              </w:rPr>
              <w:t>26.60</w:t>
            </w:r>
          </w:p>
        </w:tc>
      </w:tr>
      <w:tr w:rsidR="00306945" w:rsidRPr="00C21793" w:rsidTr="00381FF4">
        <w:trPr>
          <w:trHeight w:val="247"/>
          <w:jc w:val="center"/>
        </w:trPr>
        <w:tc>
          <w:tcPr>
            <w:tcW w:w="1888" w:type="dxa"/>
            <w:shd w:val="clear" w:color="auto" w:fill="auto"/>
          </w:tcPr>
          <w:p w:rsidR="00306945" w:rsidRPr="00C21793" w:rsidRDefault="00BA0123" w:rsidP="003E1626">
            <w:pPr>
              <w:rPr>
                <w:rFonts w:eastAsia="Calibri"/>
                <w:sz w:val="20"/>
                <w:szCs w:val="20"/>
              </w:rPr>
            </w:pPr>
            <w:r w:rsidRPr="00C21793">
              <w:rPr>
                <w:rFonts w:eastAsia="Calibri"/>
                <w:sz w:val="20"/>
                <w:szCs w:val="20"/>
              </w:rPr>
              <w:t>PM</w:t>
            </w:r>
            <w:r w:rsidR="00306945" w:rsidRPr="00C21793">
              <w:rPr>
                <w:rFonts w:eastAsia="Calibri"/>
                <w:sz w:val="20"/>
                <w:szCs w:val="20"/>
                <w:vertAlign w:val="subscript"/>
              </w:rPr>
              <w:t>10</w:t>
            </w:r>
            <w:r w:rsidR="00306945" w:rsidRPr="00C21793">
              <w:rPr>
                <w:rFonts w:eastAsia="Calibri"/>
                <w:sz w:val="20"/>
                <w:szCs w:val="20"/>
              </w:rPr>
              <w:t xml:space="preserve"> (ug/m</w:t>
            </w:r>
            <w:r w:rsidR="00306945" w:rsidRPr="00C21793">
              <w:rPr>
                <w:rFonts w:eastAsia="Calibri"/>
                <w:sz w:val="20"/>
                <w:szCs w:val="20"/>
                <w:vertAlign w:val="superscript"/>
              </w:rPr>
              <w:t>3</w:t>
            </w:r>
            <w:r w:rsidR="00306945" w:rsidRPr="00C21793">
              <w:rPr>
                <w:rFonts w:eastAsia="Calibri"/>
                <w:sz w:val="20"/>
                <w:szCs w:val="20"/>
              </w:rPr>
              <w:t>)</w:t>
            </w:r>
          </w:p>
        </w:tc>
        <w:tc>
          <w:tcPr>
            <w:tcW w:w="2067"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-61.64</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29.14</w:t>
            </w:r>
          </w:p>
        </w:tc>
      </w:tr>
      <w:tr w:rsidR="00306945" w:rsidRPr="00C21793" w:rsidTr="00381FF4">
        <w:trPr>
          <w:trHeight w:val="247"/>
          <w:jc w:val="center"/>
        </w:trPr>
        <w:tc>
          <w:tcPr>
            <w:tcW w:w="1888" w:type="dxa"/>
            <w:shd w:val="clear" w:color="auto" w:fill="auto"/>
          </w:tcPr>
          <w:p w:rsidR="00306945" w:rsidRPr="00C21793" w:rsidRDefault="00306945" w:rsidP="003E1626">
            <w:pPr>
              <w:rPr>
                <w:rFonts w:eastAsia="Calibri"/>
                <w:sz w:val="20"/>
                <w:szCs w:val="20"/>
              </w:rPr>
            </w:pPr>
          </w:p>
        </w:tc>
        <w:tc>
          <w:tcPr>
            <w:tcW w:w="2067" w:type="dxa"/>
            <w:shd w:val="clear" w:color="auto" w:fill="auto"/>
          </w:tcPr>
          <w:p w:rsidR="00306945" w:rsidRPr="00C21793" w:rsidRDefault="00306945" w:rsidP="003E1626">
            <w:pPr>
              <w:jc w:val="center"/>
              <w:rPr>
                <w:rFonts w:eastAsia="Calibri"/>
                <w:b/>
                <w:color w:val="000000"/>
                <w:szCs w:val="20"/>
              </w:rPr>
            </w:pPr>
            <w:r w:rsidRPr="00C21793">
              <w:rPr>
                <w:rFonts w:eastAsia="Calibri"/>
                <w:b/>
                <w:color w:val="000000"/>
                <w:szCs w:val="20"/>
              </w:rPr>
              <w:t>North Carolina</w:t>
            </w:r>
          </w:p>
        </w:tc>
        <w:tc>
          <w:tcPr>
            <w:tcW w:w="2165" w:type="dxa"/>
            <w:shd w:val="clear" w:color="auto" w:fill="auto"/>
          </w:tcPr>
          <w:p w:rsidR="00306945" w:rsidRPr="00C21793" w:rsidRDefault="00306945" w:rsidP="003E1626">
            <w:pPr>
              <w:jc w:val="center"/>
              <w:rPr>
                <w:rFonts w:eastAsia="Calibri"/>
                <w:b/>
                <w:color w:val="000000"/>
                <w:szCs w:val="20"/>
              </w:rPr>
            </w:pPr>
            <w:r w:rsidRPr="00C21793">
              <w:rPr>
                <w:rFonts w:eastAsia="Calibri"/>
                <w:b/>
                <w:color w:val="000000"/>
                <w:szCs w:val="20"/>
              </w:rPr>
              <w:t>Guangdong</w:t>
            </w:r>
          </w:p>
        </w:tc>
      </w:tr>
      <w:tr w:rsidR="00306945" w:rsidRPr="00C21793" w:rsidTr="00381FF4">
        <w:trPr>
          <w:trHeight w:val="247"/>
          <w:jc w:val="center"/>
        </w:trPr>
        <w:tc>
          <w:tcPr>
            <w:tcW w:w="1888" w:type="dxa"/>
            <w:shd w:val="clear" w:color="auto" w:fill="auto"/>
          </w:tcPr>
          <w:p w:rsidR="00306945" w:rsidRPr="00C21793" w:rsidRDefault="00306945" w:rsidP="003E1626">
            <w:pPr>
              <w:rPr>
                <w:rFonts w:eastAsia="Calibri"/>
                <w:sz w:val="20"/>
                <w:szCs w:val="20"/>
              </w:rPr>
            </w:pPr>
            <w:r w:rsidRPr="00C21793">
              <w:rPr>
                <w:rFonts w:eastAsia="Calibri"/>
                <w:sz w:val="20"/>
                <w:szCs w:val="20"/>
              </w:rPr>
              <w:t>CO (ppm)</w:t>
            </w:r>
          </w:p>
        </w:tc>
        <w:tc>
          <w:tcPr>
            <w:tcW w:w="2067"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12.59</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25.69</w:t>
            </w:r>
          </w:p>
        </w:tc>
      </w:tr>
      <w:tr w:rsidR="00306945" w:rsidRPr="00C21793" w:rsidTr="00381FF4">
        <w:trPr>
          <w:trHeight w:val="247"/>
          <w:jc w:val="center"/>
        </w:trPr>
        <w:tc>
          <w:tcPr>
            <w:tcW w:w="1888" w:type="dxa"/>
            <w:shd w:val="clear" w:color="auto" w:fill="auto"/>
          </w:tcPr>
          <w:p w:rsidR="00306945" w:rsidRPr="00C21793" w:rsidRDefault="00306945" w:rsidP="003E1626">
            <w:pPr>
              <w:rPr>
                <w:rFonts w:eastAsia="Calibri"/>
                <w:sz w:val="20"/>
                <w:szCs w:val="20"/>
              </w:rPr>
            </w:pPr>
            <w:r w:rsidRPr="00C21793">
              <w:rPr>
                <w:rFonts w:eastAsia="Calibri"/>
                <w:sz w:val="20"/>
                <w:szCs w:val="20"/>
              </w:rPr>
              <w:t>NO</w:t>
            </w:r>
            <w:r w:rsidRPr="00C21793">
              <w:rPr>
                <w:rFonts w:eastAsia="Calibri"/>
                <w:sz w:val="20"/>
                <w:szCs w:val="20"/>
                <w:vertAlign w:val="subscript"/>
              </w:rPr>
              <w:t>2</w:t>
            </w:r>
            <w:r w:rsidRPr="00C21793">
              <w:rPr>
                <w:rFonts w:eastAsia="Calibri"/>
                <w:sz w:val="20"/>
                <w:szCs w:val="20"/>
              </w:rPr>
              <w:t xml:space="preserve"> (ppb)</w:t>
            </w:r>
          </w:p>
        </w:tc>
        <w:tc>
          <w:tcPr>
            <w:tcW w:w="2067"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29.24</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32.38</w:t>
            </w:r>
          </w:p>
        </w:tc>
      </w:tr>
      <w:tr w:rsidR="00306945" w:rsidRPr="00C21793" w:rsidTr="00381FF4">
        <w:trPr>
          <w:trHeight w:val="247"/>
          <w:jc w:val="center"/>
        </w:trPr>
        <w:tc>
          <w:tcPr>
            <w:tcW w:w="1888" w:type="dxa"/>
            <w:shd w:val="clear" w:color="auto" w:fill="auto"/>
          </w:tcPr>
          <w:p w:rsidR="00306945" w:rsidRPr="00C21793" w:rsidRDefault="00306945" w:rsidP="003E1626">
            <w:pPr>
              <w:rPr>
                <w:rFonts w:eastAsia="Calibri"/>
                <w:sz w:val="20"/>
                <w:szCs w:val="20"/>
              </w:rPr>
            </w:pPr>
            <w:r w:rsidRPr="00C21793">
              <w:rPr>
                <w:rFonts w:eastAsia="Calibri"/>
                <w:sz w:val="20"/>
                <w:szCs w:val="20"/>
              </w:rPr>
              <w:t>SO</w:t>
            </w:r>
            <w:r w:rsidRPr="00C21793">
              <w:rPr>
                <w:rFonts w:eastAsia="Calibri"/>
                <w:sz w:val="20"/>
                <w:szCs w:val="20"/>
                <w:vertAlign w:val="subscript"/>
              </w:rPr>
              <w:t>2</w:t>
            </w:r>
            <w:r w:rsidRPr="00C21793">
              <w:rPr>
                <w:rFonts w:eastAsia="Calibri"/>
                <w:sz w:val="20"/>
                <w:szCs w:val="20"/>
              </w:rPr>
              <w:t xml:space="preserve"> (ppb)</w:t>
            </w:r>
          </w:p>
        </w:tc>
        <w:tc>
          <w:tcPr>
            <w:tcW w:w="2067"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-39.89</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-10.32</w:t>
            </w:r>
          </w:p>
        </w:tc>
      </w:tr>
      <w:tr w:rsidR="00306945" w:rsidRPr="00C21793" w:rsidTr="00381FF4">
        <w:trPr>
          <w:trHeight w:val="247"/>
          <w:jc w:val="center"/>
        </w:trPr>
        <w:tc>
          <w:tcPr>
            <w:tcW w:w="1888" w:type="dxa"/>
            <w:shd w:val="clear" w:color="auto" w:fill="auto"/>
          </w:tcPr>
          <w:p w:rsidR="00306945" w:rsidRPr="00C21793" w:rsidRDefault="00BA0123" w:rsidP="003E1626">
            <w:pPr>
              <w:rPr>
                <w:rFonts w:eastAsia="Calibri"/>
                <w:sz w:val="20"/>
                <w:szCs w:val="20"/>
              </w:rPr>
            </w:pPr>
            <w:r w:rsidRPr="00C21793">
              <w:rPr>
                <w:rFonts w:eastAsia="Calibri"/>
                <w:sz w:val="20"/>
                <w:szCs w:val="20"/>
              </w:rPr>
              <w:t>PM</w:t>
            </w:r>
            <w:r w:rsidR="00306945" w:rsidRPr="00C21793">
              <w:rPr>
                <w:rFonts w:eastAsia="Calibri"/>
                <w:sz w:val="20"/>
                <w:szCs w:val="20"/>
                <w:vertAlign w:val="subscript"/>
              </w:rPr>
              <w:t>2.5</w:t>
            </w:r>
            <w:r w:rsidR="00306945" w:rsidRPr="00C21793">
              <w:rPr>
                <w:rFonts w:eastAsia="Calibri"/>
                <w:sz w:val="20"/>
                <w:szCs w:val="20"/>
              </w:rPr>
              <w:t xml:space="preserve"> (ug/m</w:t>
            </w:r>
            <w:r w:rsidR="00306945" w:rsidRPr="00C21793">
              <w:rPr>
                <w:rFonts w:eastAsia="Calibri"/>
                <w:sz w:val="20"/>
                <w:szCs w:val="20"/>
                <w:vertAlign w:val="superscript"/>
              </w:rPr>
              <w:t>3</w:t>
            </w:r>
            <w:r w:rsidR="00306945" w:rsidRPr="00C21793">
              <w:rPr>
                <w:rFonts w:eastAsia="Calibri"/>
                <w:sz w:val="20"/>
                <w:szCs w:val="20"/>
              </w:rPr>
              <w:t>)</w:t>
            </w:r>
          </w:p>
        </w:tc>
        <w:tc>
          <w:tcPr>
            <w:tcW w:w="2067"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29.21</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19.82</w:t>
            </w:r>
          </w:p>
        </w:tc>
      </w:tr>
      <w:tr w:rsidR="00306945" w:rsidRPr="00C21793" w:rsidTr="00381FF4">
        <w:trPr>
          <w:trHeight w:val="247"/>
          <w:jc w:val="center"/>
        </w:trPr>
        <w:tc>
          <w:tcPr>
            <w:tcW w:w="1888" w:type="dxa"/>
            <w:shd w:val="clear" w:color="auto" w:fill="auto"/>
          </w:tcPr>
          <w:p w:rsidR="00306945" w:rsidRPr="00C21793" w:rsidRDefault="00BA0123" w:rsidP="003E1626">
            <w:pPr>
              <w:rPr>
                <w:rFonts w:eastAsia="Calibri"/>
                <w:sz w:val="20"/>
                <w:szCs w:val="20"/>
              </w:rPr>
            </w:pPr>
            <w:r w:rsidRPr="00C21793">
              <w:rPr>
                <w:rFonts w:eastAsia="Calibri"/>
                <w:sz w:val="20"/>
                <w:szCs w:val="20"/>
              </w:rPr>
              <w:t>PM</w:t>
            </w:r>
            <w:r w:rsidR="00306945" w:rsidRPr="00C21793">
              <w:rPr>
                <w:rFonts w:eastAsia="Calibri"/>
                <w:sz w:val="20"/>
                <w:szCs w:val="20"/>
                <w:vertAlign w:val="subscript"/>
              </w:rPr>
              <w:t>10</w:t>
            </w:r>
            <w:r w:rsidR="00306945" w:rsidRPr="00C21793">
              <w:rPr>
                <w:rFonts w:eastAsia="Calibri"/>
                <w:sz w:val="20"/>
                <w:szCs w:val="20"/>
              </w:rPr>
              <w:t xml:space="preserve"> (ug/m</w:t>
            </w:r>
            <w:r w:rsidR="00306945" w:rsidRPr="00C21793">
              <w:rPr>
                <w:rFonts w:eastAsia="Calibri"/>
                <w:sz w:val="20"/>
                <w:szCs w:val="20"/>
                <w:vertAlign w:val="superscript"/>
              </w:rPr>
              <w:t>3</w:t>
            </w:r>
            <w:r w:rsidR="00306945" w:rsidRPr="00C21793">
              <w:rPr>
                <w:rFonts w:eastAsia="Calibri"/>
                <w:sz w:val="20"/>
                <w:szCs w:val="20"/>
              </w:rPr>
              <w:t>)</w:t>
            </w:r>
          </w:p>
        </w:tc>
        <w:tc>
          <w:tcPr>
            <w:tcW w:w="2067"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35.17</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26.41</w:t>
            </w:r>
          </w:p>
        </w:tc>
      </w:tr>
      <w:tr w:rsidR="00306945" w:rsidRPr="00C21793" w:rsidTr="00381FF4">
        <w:trPr>
          <w:trHeight w:val="247"/>
          <w:jc w:val="center"/>
        </w:trPr>
        <w:tc>
          <w:tcPr>
            <w:tcW w:w="1888" w:type="dxa"/>
            <w:shd w:val="clear" w:color="auto" w:fill="auto"/>
          </w:tcPr>
          <w:p w:rsidR="00306945" w:rsidRPr="00C21793" w:rsidRDefault="00306945" w:rsidP="003E1626">
            <w:pPr>
              <w:rPr>
                <w:rFonts w:eastAsia="Calibri"/>
                <w:sz w:val="20"/>
                <w:szCs w:val="20"/>
              </w:rPr>
            </w:pPr>
          </w:p>
        </w:tc>
        <w:tc>
          <w:tcPr>
            <w:tcW w:w="2067" w:type="dxa"/>
            <w:shd w:val="clear" w:color="auto" w:fill="auto"/>
          </w:tcPr>
          <w:p w:rsidR="00306945" w:rsidRPr="00C21793" w:rsidRDefault="00306945" w:rsidP="003E1626">
            <w:pPr>
              <w:jc w:val="center"/>
              <w:rPr>
                <w:rFonts w:eastAsia="Calibri"/>
                <w:b/>
                <w:color w:val="000000"/>
                <w:szCs w:val="20"/>
              </w:rPr>
            </w:pPr>
            <w:r w:rsidRPr="00C21793">
              <w:rPr>
                <w:rFonts w:eastAsia="Calibri"/>
                <w:b/>
                <w:color w:val="000000"/>
                <w:szCs w:val="20"/>
              </w:rPr>
              <w:t>Alabama</w:t>
            </w:r>
          </w:p>
        </w:tc>
        <w:tc>
          <w:tcPr>
            <w:tcW w:w="2165" w:type="dxa"/>
            <w:shd w:val="clear" w:color="auto" w:fill="auto"/>
          </w:tcPr>
          <w:p w:rsidR="00306945" w:rsidRPr="00C21793" w:rsidRDefault="00306945" w:rsidP="003E1626">
            <w:pPr>
              <w:jc w:val="center"/>
              <w:rPr>
                <w:rFonts w:eastAsia="Calibri"/>
                <w:b/>
                <w:color w:val="000000"/>
                <w:szCs w:val="20"/>
              </w:rPr>
            </w:pPr>
            <w:r w:rsidRPr="00C21793">
              <w:rPr>
                <w:rFonts w:eastAsia="Calibri"/>
                <w:b/>
                <w:color w:val="000000"/>
                <w:szCs w:val="20"/>
              </w:rPr>
              <w:t>Zhejiang</w:t>
            </w:r>
          </w:p>
        </w:tc>
      </w:tr>
      <w:tr w:rsidR="00306945" w:rsidRPr="00C21793" w:rsidTr="00381FF4">
        <w:trPr>
          <w:trHeight w:val="347"/>
          <w:jc w:val="center"/>
        </w:trPr>
        <w:tc>
          <w:tcPr>
            <w:tcW w:w="1888" w:type="dxa"/>
            <w:shd w:val="clear" w:color="auto" w:fill="auto"/>
          </w:tcPr>
          <w:p w:rsidR="00306945" w:rsidRPr="00C21793" w:rsidRDefault="00306945" w:rsidP="003E1626">
            <w:pPr>
              <w:rPr>
                <w:rFonts w:eastAsia="Calibri"/>
                <w:sz w:val="20"/>
                <w:szCs w:val="20"/>
              </w:rPr>
            </w:pPr>
            <w:r w:rsidRPr="00C21793">
              <w:rPr>
                <w:rFonts w:eastAsia="Calibri"/>
                <w:sz w:val="20"/>
                <w:szCs w:val="20"/>
              </w:rPr>
              <w:t>CO (ppm)</w:t>
            </w:r>
          </w:p>
        </w:tc>
        <w:tc>
          <w:tcPr>
            <w:tcW w:w="2067" w:type="dxa"/>
            <w:shd w:val="clear" w:color="auto" w:fill="auto"/>
          </w:tcPr>
          <w:p w:rsidR="00306945" w:rsidRPr="00C21793" w:rsidRDefault="006279CF" w:rsidP="003E1626">
            <w:pPr>
              <w:spacing w:after="160"/>
              <w:jc w:val="center"/>
              <w:rPr>
                <w:rFonts w:eastAsia="Calibri"/>
                <w:color w:val="000000"/>
                <w:sz w:val="20"/>
                <w:szCs w:val="20"/>
              </w:rPr>
            </w:pPr>
            <w:r w:rsidRPr="00C21793">
              <w:rPr>
                <w:rFonts w:eastAsia="Calibri"/>
                <w:color w:val="000000"/>
                <w:sz w:val="20"/>
                <w:szCs w:val="20"/>
              </w:rPr>
              <w:t>NA</w:t>
            </w:r>
          </w:p>
        </w:tc>
        <w:tc>
          <w:tcPr>
            <w:tcW w:w="2165" w:type="dxa"/>
            <w:shd w:val="clear" w:color="auto" w:fill="auto"/>
          </w:tcPr>
          <w:p w:rsidR="00306945" w:rsidRPr="00C21793" w:rsidRDefault="00306945" w:rsidP="003E1626">
            <w:pPr>
              <w:spacing w:after="160"/>
              <w:jc w:val="center"/>
              <w:rPr>
                <w:rFonts w:eastAsia="Calibri"/>
                <w:sz w:val="20"/>
                <w:szCs w:val="20"/>
              </w:rPr>
            </w:pPr>
            <w:r w:rsidRPr="00C21793">
              <w:rPr>
                <w:rFonts w:eastAsia="Calibri"/>
                <w:sz w:val="20"/>
                <w:szCs w:val="20"/>
              </w:rPr>
              <w:t>66.83</w:t>
            </w:r>
          </w:p>
        </w:tc>
      </w:tr>
      <w:tr w:rsidR="00306945" w:rsidRPr="00C21793" w:rsidTr="00381FF4">
        <w:trPr>
          <w:trHeight w:val="247"/>
          <w:jc w:val="center"/>
        </w:trPr>
        <w:tc>
          <w:tcPr>
            <w:tcW w:w="1888" w:type="dxa"/>
            <w:shd w:val="clear" w:color="auto" w:fill="auto"/>
          </w:tcPr>
          <w:p w:rsidR="00306945" w:rsidRPr="00C21793" w:rsidRDefault="00306945" w:rsidP="003E1626">
            <w:pPr>
              <w:rPr>
                <w:rFonts w:eastAsia="Calibri"/>
                <w:sz w:val="20"/>
                <w:szCs w:val="20"/>
              </w:rPr>
            </w:pPr>
            <w:r w:rsidRPr="00C21793">
              <w:rPr>
                <w:rFonts w:eastAsia="Calibri"/>
                <w:sz w:val="20"/>
                <w:szCs w:val="20"/>
              </w:rPr>
              <w:t>NO</w:t>
            </w:r>
            <w:r w:rsidRPr="00C21793">
              <w:rPr>
                <w:rFonts w:eastAsia="Calibri"/>
                <w:sz w:val="20"/>
                <w:szCs w:val="20"/>
                <w:vertAlign w:val="subscript"/>
              </w:rPr>
              <w:t>2</w:t>
            </w:r>
            <w:r w:rsidRPr="00C21793">
              <w:rPr>
                <w:rFonts w:eastAsia="Calibri"/>
                <w:sz w:val="20"/>
                <w:szCs w:val="20"/>
              </w:rPr>
              <w:t xml:space="preserve"> (ppb)</w:t>
            </w:r>
          </w:p>
        </w:tc>
        <w:tc>
          <w:tcPr>
            <w:tcW w:w="2067" w:type="dxa"/>
            <w:shd w:val="clear" w:color="auto" w:fill="auto"/>
          </w:tcPr>
          <w:p w:rsidR="00306945" w:rsidRPr="00C21793" w:rsidRDefault="006279CF" w:rsidP="003E1626">
            <w:pPr>
              <w:spacing w:after="160"/>
              <w:jc w:val="center"/>
              <w:rPr>
                <w:rFonts w:eastAsia="Calibri"/>
                <w:color w:val="000000"/>
                <w:sz w:val="20"/>
                <w:szCs w:val="20"/>
              </w:rPr>
            </w:pPr>
            <w:r w:rsidRPr="00C21793">
              <w:rPr>
                <w:rFonts w:eastAsia="Calibri"/>
                <w:color w:val="000000"/>
                <w:sz w:val="20"/>
                <w:szCs w:val="20"/>
              </w:rPr>
              <w:t>NA</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43.89</w:t>
            </w:r>
          </w:p>
        </w:tc>
      </w:tr>
      <w:tr w:rsidR="00306945" w:rsidRPr="00C21793" w:rsidTr="00381FF4">
        <w:trPr>
          <w:trHeight w:val="247"/>
          <w:jc w:val="center"/>
        </w:trPr>
        <w:tc>
          <w:tcPr>
            <w:tcW w:w="1888" w:type="dxa"/>
            <w:shd w:val="clear" w:color="auto" w:fill="auto"/>
          </w:tcPr>
          <w:p w:rsidR="00306945" w:rsidRPr="00C21793" w:rsidRDefault="00306945" w:rsidP="003E1626">
            <w:pPr>
              <w:rPr>
                <w:rFonts w:eastAsia="Calibri"/>
                <w:sz w:val="20"/>
                <w:szCs w:val="20"/>
              </w:rPr>
            </w:pPr>
            <w:r w:rsidRPr="00C21793">
              <w:rPr>
                <w:rFonts w:eastAsia="Calibri"/>
                <w:sz w:val="20"/>
                <w:szCs w:val="20"/>
              </w:rPr>
              <w:t>SO</w:t>
            </w:r>
            <w:r w:rsidRPr="00C21793">
              <w:rPr>
                <w:rFonts w:eastAsia="Calibri"/>
                <w:sz w:val="20"/>
                <w:szCs w:val="20"/>
                <w:vertAlign w:val="subscript"/>
              </w:rPr>
              <w:t>2</w:t>
            </w:r>
            <w:r w:rsidRPr="00C21793">
              <w:rPr>
                <w:rFonts w:eastAsia="Calibri"/>
                <w:sz w:val="20"/>
                <w:szCs w:val="20"/>
              </w:rPr>
              <w:t xml:space="preserve"> (ppb)</w:t>
            </w:r>
          </w:p>
        </w:tc>
        <w:tc>
          <w:tcPr>
            <w:tcW w:w="2067"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88.70</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18.96</w:t>
            </w:r>
          </w:p>
        </w:tc>
      </w:tr>
      <w:tr w:rsidR="00306945" w:rsidRPr="00C21793" w:rsidTr="00381FF4">
        <w:trPr>
          <w:trHeight w:val="247"/>
          <w:jc w:val="center"/>
        </w:trPr>
        <w:tc>
          <w:tcPr>
            <w:tcW w:w="1888" w:type="dxa"/>
            <w:shd w:val="clear" w:color="auto" w:fill="auto"/>
          </w:tcPr>
          <w:p w:rsidR="00306945" w:rsidRPr="00C21793" w:rsidRDefault="00BA0123" w:rsidP="003E1626">
            <w:pPr>
              <w:rPr>
                <w:rFonts w:eastAsia="Calibri"/>
                <w:sz w:val="20"/>
                <w:szCs w:val="20"/>
              </w:rPr>
            </w:pPr>
            <w:r w:rsidRPr="00C21793">
              <w:rPr>
                <w:rFonts w:eastAsia="Calibri"/>
                <w:sz w:val="20"/>
                <w:szCs w:val="20"/>
              </w:rPr>
              <w:t>PM</w:t>
            </w:r>
            <w:r w:rsidR="00306945" w:rsidRPr="00C21793">
              <w:rPr>
                <w:rFonts w:eastAsia="Calibri"/>
                <w:sz w:val="20"/>
                <w:szCs w:val="20"/>
                <w:vertAlign w:val="subscript"/>
              </w:rPr>
              <w:t>2.5</w:t>
            </w:r>
            <w:r w:rsidR="00306945" w:rsidRPr="00C21793">
              <w:rPr>
                <w:rFonts w:eastAsia="Calibri"/>
                <w:sz w:val="20"/>
                <w:szCs w:val="20"/>
              </w:rPr>
              <w:t xml:space="preserve"> (ug/m</w:t>
            </w:r>
            <w:r w:rsidR="00306945" w:rsidRPr="00C21793">
              <w:rPr>
                <w:rFonts w:eastAsia="Calibri"/>
                <w:sz w:val="20"/>
                <w:szCs w:val="20"/>
                <w:vertAlign w:val="superscript"/>
              </w:rPr>
              <w:t>3</w:t>
            </w:r>
            <w:r w:rsidR="00306945" w:rsidRPr="00C21793">
              <w:rPr>
                <w:rFonts w:eastAsia="Calibri"/>
                <w:sz w:val="20"/>
                <w:szCs w:val="20"/>
              </w:rPr>
              <w:t>)</w:t>
            </w:r>
          </w:p>
        </w:tc>
        <w:tc>
          <w:tcPr>
            <w:tcW w:w="2067"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30.71</w:t>
            </w:r>
          </w:p>
        </w:tc>
        <w:tc>
          <w:tcPr>
            <w:tcW w:w="2165" w:type="dxa"/>
            <w:shd w:val="clear" w:color="auto" w:fill="auto"/>
          </w:tcPr>
          <w:p w:rsidR="00306945" w:rsidRPr="00C21793" w:rsidRDefault="00306945" w:rsidP="003E1626">
            <w:pPr>
              <w:spacing w:after="160"/>
              <w:jc w:val="center"/>
              <w:rPr>
                <w:rFonts w:eastAsia="Calibri"/>
                <w:color w:val="000000"/>
                <w:sz w:val="20"/>
                <w:szCs w:val="20"/>
              </w:rPr>
            </w:pPr>
            <w:r w:rsidRPr="00C21793">
              <w:rPr>
                <w:rFonts w:eastAsia="Calibri"/>
                <w:color w:val="000000"/>
                <w:sz w:val="20"/>
                <w:szCs w:val="20"/>
              </w:rPr>
              <w:t>19.78</w:t>
            </w:r>
          </w:p>
        </w:tc>
      </w:tr>
      <w:tr w:rsidR="00306945" w:rsidRPr="00C21793" w:rsidTr="00381FF4">
        <w:trPr>
          <w:trHeight w:val="247"/>
          <w:jc w:val="center"/>
        </w:trPr>
        <w:tc>
          <w:tcPr>
            <w:tcW w:w="1888" w:type="dxa"/>
            <w:tcBorders>
              <w:bottom w:val="single" w:sz="8" w:space="0" w:color="auto"/>
            </w:tcBorders>
            <w:shd w:val="clear" w:color="auto" w:fill="auto"/>
          </w:tcPr>
          <w:p w:rsidR="00306945" w:rsidRPr="00C21793" w:rsidRDefault="00BA0123" w:rsidP="003E1626">
            <w:pPr>
              <w:rPr>
                <w:rFonts w:eastAsia="Calibri"/>
                <w:sz w:val="20"/>
                <w:szCs w:val="20"/>
              </w:rPr>
            </w:pPr>
            <w:r w:rsidRPr="00C21793">
              <w:rPr>
                <w:rFonts w:eastAsia="Calibri"/>
                <w:sz w:val="20"/>
                <w:szCs w:val="20"/>
              </w:rPr>
              <w:t>PM</w:t>
            </w:r>
            <w:r w:rsidR="00306945" w:rsidRPr="00C21793">
              <w:rPr>
                <w:rFonts w:eastAsia="Calibri"/>
                <w:sz w:val="20"/>
                <w:szCs w:val="20"/>
                <w:vertAlign w:val="subscript"/>
              </w:rPr>
              <w:t>10</w:t>
            </w:r>
            <w:r w:rsidR="00306945" w:rsidRPr="00C21793">
              <w:rPr>
                <w:rFonts w:eastAsia="Calibri"/>
                <w:sz w:val="20"/>
                <w:szCs w:val="20"/>
              </w:rPr>
              <w:t xml:space="preserve"> (ug/m</w:t>
            </w:r>
            <w:r w:rsidR="00306945" w:rsidRPr="00C21793">
              <w:rPr>
                <w:rFonts w:eastAsia="Calibri"/>
                <w:sz w:val="20"/>
                <w:szCs w:val="20"/>
                <w:vertAlign w:val="superscript"/>
              </w:rPr>
              <w:t>3</w:t>
            </w:r>
            <w:r w:rsidR="00306945" w:rsidRPr="00C21793">
              <w:rPr>
                <w:rFonts w:eastAsia="Calibri"/>
                <w:sz w:val="20"/>
                <w:szCs w:val="20"/>
              </w:rPr>
              <w:t>)</w:t>
            </w:r>
          </w:p>
        </w:tc>
        <w:tc>
          <w:tcPr>
            <w:tcW w:w="2067" w:type="dxa"/>
            <w:tcBorders>
              <w:bottom w:val="single" w:sz="8" w:space="0" w:color="auto"/>
            </w:tcBorders>
            <w:shd w:val="clear" w:color="auto" w:fill="auto"/>
          </w:tcPr>
          <w:p w:rsidR="00306945" w:rsidRPr="00C21793" w:rsidRDefault="006279CF" w:rsidP="003E1626">
            <w:pPr>
              <w:jc w:val="center"/>
              <w:rPr>
                <w:rFonts w:eastAsia="Calibri"/>
                <w:color w:val="000000"/>
                <w:sz w:val="20"/>
                <w:szCs w:val="20"/>
              </w:rPr>
            </w:pPr>
            <w:r w:rsidRPr="00C21793">
              <w:rPr>
                <w:rFonts w:eastAsia="Calibri"/>
                <w:color w:val="000000"/>
                <w:sz w:val="20"/>
                <w:szCs w:val="20"/>
              </w:rPr>
              <w:t>NA</w:t>
            </w:r>
          </w:p>
        </w:tc>
        <w:tc>
          <w:tcPr>
            <w:tcW w:w="2165" w:type="dxa"/>
            <w:tcBorders>
              <w:bottom w:val="single" w:sz="8" w:space="0" w:color="auto"/>
            </w:tcBorders>
            <w:shd w:val="clear" w:color="auto" w:fill="auto"/>
          </w:tcPr>
          <w:p w:rsidR="00306945" w:rsidRPr="00C21793" w:rsidRDefault="00306945" w:rsidP="003E1626">
            <w:pPr>
              <w:jc w:val="center"/>
              <w:rPr>
                <w:rFonts w:eastAsia="Calibri"/>
                <w:color w:val="000000"/>
                <w:sz w:val="20"/>
                <w:szCs w:val="20"/>
              </w:rPr>
            </w:pPr>
            <w:r w:rsidRPr="00C21793">
              <w:rPr>
                <w:rFonts w:eastAsia="Calibri"/>
                <w:color w:val="000000"/>
                <w:sz w:val="20"/>
                <w:szCs w:val="20"/>
              </w:rPr>
              <w:t>23.62</w:t>
            </w:r>
          </w:p>
        </w:tc>
      </w:tr>
    </w:tbl>
    <w:p w:rsidR="00306945" w:rsidRPr="00C21793" w:rsidRDefault="00674455" w:rsidP="00AE6DF9">
      <w:pPr>
        <w:pStyle w:val="NoSpacing"/>
        <w:jc w:val="center"/>
        <w:rPr>
          <w:rFonts w:ascii="Times New Roman" w:hAnsi="Times New Roman" w:cs="Times New Roman"/>
        </w:rPr>
      </w:pPr>
      <w:r w:rsidRPr="00C21793">
        <w:rPr>
          <w:rFonts w:ascii="Times New Roman" w:hAnsi="Times New Roman" w:cs="Times New Roman"/>
        </w:rPr>
        <w:object w:dxaOrig="5114" w:dyaOrig="3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438pt" o:ole="">
            <v:imagedata r:id="rId17" o:title="" croptop="4806f" cropbottom="8520f" cropleft="6000f" cropright="24768f"/>
          </v:shape>
          <o:OLEObject Type="Embed" ProgID="Origin50.Graph" ShapeID="_x0000_i1025" DrawAspect="Content" ObjectID="_1661242446" r:id="rId18"/>
        </w:object>
      </w:r>
    </w:p>
    <w:p w:rsidR="00306945" w:rsidRPr="00C21793" w:rsidRDefault="00306945" w:rsidP="00034F47">
      <w:pPr>
        <w:pStyle w:val="NoSpacing"/>
        <w:spacing w:line="360" w:lineRule="auto"/>
        <w:jc w:val="both"/>
        <w:rPr>
          <w:rFonts w:ascii="Times New Roman" w:hAnsi="Times New Roman" w:cs="Times New Roman"/>
          <w:sz w:val="24"/>
          <w:szCs w:val="24"/>
        </w:rPr>
      </w:pPr>
      <w:r w:rsidRPr="00C21793">
        <w:rPr>
          <w:rFonts w:ascii="Times New Roman" w:hAnsi="Times New Roman" w:cs="Times New Roman"/>
          <w:b/>
          <w:sz w:val="24"/>
          <w:szCs w:val="24"/>
        </w:rPr>
        <w:t>Figure 1.</w:t>
      </w:r>
      <w:r w:rsidR="00386C3A" w:rsidRPr="00C21793">
        <w:rPr>
          <w:rFonts w:ascii="Times New Roman" w:hAnsi="Times New Roman" w:cs="Times New Roman"/>
          <w:sz w:val="24"/>
          <w:szCs w:val="24"/>
        </w:rPr>
        <w:t xml:space="preserve"> </w:t>
      </w:r>
      <w:proofErr w:type="spellStart"/>
      <w:r w:rsidR="00386C3A" w:rsidRPr="00C21793">
        <w:rPr>
          <w:rFonts w:ascii="Times New Roman" w:hAnsi="Times New Roman" w:cs="Times New Roman"/>
          <w:sz w:val="24"/>
          <w:szCs w:val="24"/>
        </w:rPr>
        <w:t>Changes</w:t>
      </w:r>
      <w:proofErr w:type="spellEnd"/>
      <w:r w:rsidR="00386C3A" w:rsidRPr="00C21793">
        <w:rPr>
          <w:rFonts w:ascii="Times New Roman" w:hAnsi="Times New Roman" w:cs="Times New Roman"/>
          <w:sz w:val="24"/>
          <w:szCs w:val="24"/>
        </w:rPr>
        <w:t xml:space="preserve"> in </w:t>
      </w:r>
      <w:proofErr w:type="spellStart"/>
      <w:r w:rsidR="00386C3A" w:rsidRPr="00C21793">
        <w:rPr>
          <w:rFonts w:ascii="Times New Roman" w:hAnsi="Times New Roman" w:cs="Times New Roman"/>
          <w:sz w:val="24"/>
          <w:szCs w:val="24"/>
        </w:rPr>
        <w:t>the</w:t>
      </w:r>
      <w:proofErr w:type="spellEnd"/>
      <w:r w:rsidR="00386C3A" w:rsidRPr="00C21793">
        <w:rPr>
          <w:rFonts w:ascii="Times New Roman" w:hAnsi="Times New Roman" w:cs="Times New Roman"/>
          <w:sz w:val="24"/>
          <w:szCs w:val="24"/>
        </w:rPr>
        <w:t xml:space="preserve"> </w:t>
      </w:r>
      <w:proofErr w:type="spellStart"/>
      <w:r w:rsidR="00386C3A" w:rsidRPr="00C21793">
        <w:rPr>
          <w:rFonts w:ascii="Times New Roman" w:hAnsi="Times New Roman" w:cs="Times New Roman"/>
          <w:sz w:val="24"/>
          <w:szCs w:val="24"/>
        </w:rPr>
        <w:t>concentrations</w:t>
      </w:r>
      <w:proofErr w:type="spellEnd"/>
      <w:r w:rsidRPr="00C21793">
        <w:rPr>
          <w:rFonts w:ascii="Times New Roman" w:hAnsi="Times New Roman" w:cs="Times New Roman"/>
          <w:sz w:val="24"/>
          <w:szCs w:val="24"/>
        </w:rPr>
        <w:t xml:space="preserve"> of </w:t>
      </w:r>
      <w:proofErr w:type="spellStart"/>
      <w:r w:rsidRPr="00C21793">
        <w:rPr>
          <w:rFonts w:ascii="Times New Roman" w:hAnsi="Times New Roman" w:cs="Times New Roman"/>
          <w:sz w:val="24"/>
          <w:szCs w:val="24"/>
        </w:rPr>
        <w:t>environmental</w:t>
      </w:r>
      <w:proofErr w:type="spellEnd"/>
      <w:r w:rsidRPr="00C21793">
        <w:rPr>
          <w:rFonts w:ascii="Times New Roman" w:hAnsi="Times New Roman" w:cs="Times New Roman"/>
          <w:sz w:val="24"/>
          <w:szCs w:val="24"/>
        </w:rPr>
        <w:t xml:space="preserve"> </w:t>
      </w:r>
      <w:proofErr w:type="spellStart"/>
      <w:r w:rsidRPr="00C21793">
        <w:rPr>
          <w:rFonts w:ascii="Times New Roman" w:hAnsi="Times New Roman" w:cs="Times New Roman"/>
          <w:sz w:val="24"/>
          <w:szCs w:val="24"/>
        </w:rPr>
        <w:t>pollutants</w:t>
      </w:r>
      <w:proofErr w:type="spellEnd"/>
      <w:r w:rsidRPr="00C21793">
        <w:rPr>
          <w:rFonts w:ascii="Times New Roman" w:hAnsi="Times New Roman" w:cs="Times New Roman"/>
          <w:sz w:val="24"/>
          <w:szCs w:val="24"/>
        </w:rPr>
        <w:t xml:space="preserve"> </w:t>
      </w:r>
      <w:proofErr w:type="spellStart"/>
      <w:r w:rsidRPr="00C21793">
        <w:rPr>
          <w:rFonts w:ascii="Times New Roman" w:hAnsi="Times New Roman" w:cs="Times New Roman"/>
          <w:sz w:val="24"/>
          <w:szCs w:val="24"/>
        </w:rPr>
        <w:t>with</w:t>
      </w:r>
      <w:proofErr w:type="spellEnd"/>
      <w:r w:rsidRPr="00C21793">
        <w:rPr>
          <w:rFonts w:ascii="Times New Roman" w:hAnsi="Times New Roman" w:cs="Times New Roman"/>
          <w:sz w:val="24"/>
          <w:szCs w:val="24"/>
        </w:rPr>
        <w:t xml:space="preserve"> and </w:t>
      </w:r>
      <w:proofErr w:type="spellStart"/>
      <w:r w:rsidRPr="00C21793">
        <w:rPr>
          <w:rFonts w:ascii="Times New Roman" w:hAnsi="Times New Roman" w:cs="Times New Roman"/>
          <w:sz w:val="24"/>
          <w:szCs w:val="24"/>
        </w:rPr>
        <w:t>without</w:t>
      </w:r>
      <w:proofErr w:type="spellEnd"/>
      <w:r w:rsidRPr="00C21793">
        <w:rPr>
          <w:rFonts w:ascii="Times New Roman" w:hAnsi="Times New Roman" w:cs="Times New Roman"/>
          <w:sz w:val="24"/>
          <w:szCs w:val="24"/>
        </w:rPr>
        <w:t xml:space="preserve"> </w:t>
      </w:r>
      <w:proofErr w:type="spellStart"/>
      <w:r w:rsidRPr="00C21793">
        <w:rPr>
          <w:rFonts w:ascii="Times New Roman" w:hAnsi="Times New Roman" w:cs="Times New Roman"/>
          <w:sz w:val="24"/>
          <w:szCs w:val="24"/>
        </w:rPr>
        <w:t>lockdown</w:t>
      </w:r>
      <w:proofErr w:type="spellEnd"/>
      <w:r w:rsidRPr="00C21793">
        <w:rPr>
          <w:rFonts w:ascii="Times New Roman" w:hAnsi="Times New Roman" w:cs="Times New Roman"/>
          <w:sz w:val="24"/>
          <w:szCs w:val="24"/>
        </w:rPr>
        <w:t xml:space="preserve"> </w:t>
      </w:r>
      <w:proofErr w:type="spellStart"/>
      <w:r w:rsidRPr="00C21793">
        <w:rPr>
          <w:rFonts w:ascii="Times New Roman" w:hAnsi="Times New Roman" w:cs="Times New Roman"/>
          <w:sz w:val="24"/>
          <w:szCs w:val="24"/>
        </w:rPr>
        <w:t>condition</w:t>
      </w:r>
      <w:proofErr w:type="spellEnd"/>
      <w:r w:rsidRPr="00C21793">
        <w:rPr>
          <w:rFonts w:ascii="Times New Roman" w:hAnsi="Times New Roman" w:cs="Times New Roman"/>
          <w:sz w:val="24"/>
          <w:szCs w:val="24"/>
        </w:rPr>
        <w:t xml:space="preserve"> in </w:t>
      </w:r>
      <w:proofErr w:type="spellStart"/>
      <w:r w:rsidRPr="00C21793">
        <w:rPr>
          <w:rFonts w:ascii="Times New Roman" w:hAnsi="Times New Roman" w:cs="Times New Roman"/>
          <w:sz w:val="24"/>
          <w:szCs w:val="24"/>
        </w:rPr>
        <w:t>the</w:t>
      </w:r>
      <w:proofErr w:type="spellEnd"/>
      <w:r w:rsidRPr="00C21793">
        <w:rPr>
          <w:rFonts w:ascii="Times New Roman" w:hAnsi="Times New Roman" w:cs="Times New Roman"/>
          <w:sz w:val="24"/>
          <w:szCs w:val="24"/>
        </w:rPr>
        <w:t xml:space="preserve"> </w:t>
      </w:r>
      <w:proofErr w:type="spellStart"/>
      <w:r w:rsidRPr="00C21793">
        <w:rPr>
          <w:rFonts w:ascii="Times New Roman" w:hAnsi="Times New Roman" w:cs="Times New Roman"/>
          <w:sz w:val="24"/>
          <w:szCs w:val="24"/>
        </w:rPr>
        <w:t>five</w:t>
      </w:r>
      <w:proofErr w:type="spellEnd"/>
      <w:r w:rsidRPr="00C21793">
        <w:rPr>
          <w:rFonts w:ascii="Times New Roman" w:hAnsi="Times New Roman" w:cs="Times New Roman"/>
          <w:sz w:val="24"/>
          <w:szCs w:val="24"/>
        </w:rPr>
        <w:t xml:space="preserve"> </w:t>
      </w:r>
      <w:proofErr w:type="spellStart"/>
      <w:r w:rsidRPr="00C21793">
        <w:rPr>
          <w:rFonts w:ascii="Times New Roman" w:hAnsi="Times New Roman" w:cs="Times New Roman"/>
          <w:sz w:val="24"/>
          <w:szCs w:val="24"/>
        </w:rPr>
        <w:t>states</w:t>
      </w:r>
      <w:proofErr w:type="spellEnd"/>
      <w:r w:rsidRPr="00C21793">
        <w:rPr>
          <w:rFonts w:ascii="Times New Roman" w:hAnsi="Times New Roman" w:cs="Times New Roman"/>
          <w:sz w:val="24"/>
          <w:szCs w:val="24"/>
        </w:rPr>
        <w:t xml:space="preserve"> of </w:t>
      </w:r>
      <w:proofErr w:type="spellStart"/>
      <w:r w:rsidR="0052112D" w:rsidRPr="00C21793">
        <w:rPr>
          <w:rFonts w:ascii="Times New Roman" w:hAnsi="Times New Roman" w:cs="Times New Roman"/>
          <w:sz w:val="24"/>
          <w:szCs w:val="24"/>
        </w:rPr>
        <w:t>the</w:t>
      </w:r>
      <w:proofErr w:type="spellEnd"/>
      <w:r w:rsidR="0052112D" w:rsidRPr="00C21793">
        <w:rPr>
          <w:rFonts w:ascii="Times New Roman" w:hAnsi="Times New Roman" w:cs="Times New Roman"/>
          <w:sz w:val="24"/>
          <w:szCs w:val="24"/>
        </w:rPr>
        <w:t xml:space="preserve"> </w:t>
      </w:r>
      <w:r w:rsidRPr="00C21793">
        <w:rPr>
          <w:rFonts w:ascii="Times New Roman" w:hAnsi="Times New Roman" w:cs="Times New Roman"/>
          <w:sz w:val="24"/>
          <w:szCs w:val="24"/>
        </w:rPr>
        <w:t>US</w:t>
      </w:r>
      <w:r w:rsidR="00386C3A" w:rsidRPr="00C21793">
        <w:rPr>
          <w:rFonts w:ascii="Times New Roman" w:hAnsi="Times New Roman" w:cs="Times New Roman"/>
          <w:sz w:val="24"/>
          <w:szCs w:val="24"/>
        </w:rPr>
        <w:t>A</w:t>
      </w:r>
      <w:r w:rsidRPr="00C21793">
        <w:rPr>
          <w:rFonts w:ascii="Times New Roman" w:hAnsi="Times New Roman" w:cs="Times New Roman"/>
          <w:sz w:val="24"/>
          <w:szCs w:val="24"/>
        </w:rPr>
        <w:t>.</w:t>
      </w:r>
      <w:r w:rsidR="00A12329" w:rsidRPr="00C21793">
        <w:rPr>
          <w:rFonts w:ascii="Times New Roman" w:hAnsi="Times New Roman" w:cs="Times New Roman"/>
          <w:sz w:val="24"/>
          <w:szCs w:val="24"/>
        </w:rPr>
        <w:t xml:space="preserve"> In </w:t>
      </w:r>
      <w:proofErr w:type="spellStart"/>
      <w:r w:rsidR="00A12329" w:rsidRPr="00C21793">
        <w:rPr>
          <w:rFonts w:ascii="Times New Roman" w:hAnsi="Times New Roman" w:cs="Times New Roman"/>
          <w:sz w:val="24"/>
          <w:szCs w:val="24"/>
        </w:rPr>
        <w:t>some</w:t>
      </w:r>
      <w:proofErr w:type="spellEnd"/>
      <w:r w:rsidR="00A12329" w:rsidRPr="00C21793">
        <w:rPr>
          <w:rFonts w:ascii="Times New Roman" w:hAnsi="Times New Roman" w:cs="Times New Roman"/>
          <w:sz w:val="24"/>
          <w:szCs w:val="24"/>
        </w:rPr>
        <w:t xml:space="preserve"> </w:t>
      </w:r>
      <w:proofErr w:type="spellStart"/>
      <w:r w:rsidR="00A12329" w:rsidRPr="00C21793">
        <w:rPr>
          <w:rFonts w:ascii="Times New Roman" w:hAnsi="Times New Roman" w:cs="Times New Roman"/>
          <w:sz w:val="24"/>
          <w:szCs w:val="24"/>
        </w:rPr>
        <w:t>sub-figures</w:t>
      </w:r>
      <w:proofErr w:type="spellEnd"/>
      <w:r w:rsidR="00A12329" w:rsidRPr="00C21793">
        <w:rPr>
          <w:rFonts w:ascii="Times New Roman" w:hAnsi="Times New Roman" w:cs="Times New Roman"/>
          <w:sz w:val="24"/>
          <w:szCs w:val="24"/>
        </w:rPr>
        <w:t xml:space="preserve"> </w:t>
      </w:r>
      <w:r w:rsidR="00DC0EF8" w:rsidRPr="00C21793">
        <w:rPr>
          <w:rFonts w:ascii="Times New Roman" w:hAnsi="Times New Roman" w:cs="Times New Roman"/>
          <w:sz w:val="24"/>
          <w:szCs w:val="24"/>
        </w:rPr>
        <w:t xml:space="preserve">data </w:t>
      </w:r>
      <w:proofErr w:type="spellStart"/>
      <w:r w:rsidR="00DC0EF8" w:rsidRPr="00C21793">
        <w:rPr>
          <w:rFonts w:ascii="Times New Roman" w:hAnsi="Times New Roman" w:cs="Times New Roman"/>
          <w:sz w:val="24"/>
          <w:szCs w:val="24"/>
        </w:rPr>
        <w:t>about</w:t>
      </w:r>
      <w:proofErr w:type="spellEnd"/>
      <w:r w:rsidR="00DC0EF8" w:rsidRPr="00C21793">
        <w:rPr>
          <w:rFonts w:ascii="Times New Roman" w:hAnsi="Times New Roman" w:cs="Times New Roman"/>
          <w:sz w:val="24"/>
          <w:szCs w:val="24"/>
        </w:rPr>
        <w:t xml:space="preserve"> </w:t>
      </w:r>
      <w:r w:rsidR="0052112D" w:rsidRPr="00C21793">
        <w:rPr>
          <w:rFonts w:ascii="Times New Roman" w:hAnsi="Times New Roman" w:cs="Times New Roman"/>
          <w:sz w:val="24"/>
          <w:szCs w:val="24"/>
        </w:rPr>
        <w:t xml:space="preserve">a </w:t>
      </w:r>
      <w:proofErr w:type="spellStart"/>
      <w:r w:rsidR="00A12329" w:rsidRPr="00C21793">
        <w:rPr>
          <w:rFonts w:ascii="Times New Roman" w:hAnsi="Times New Roman" w:cs="Times New Roman"/>
          <w:sz w:val="24"/>
          <w:szCs w:val="24"/>
        </w:rPr>
        <w:t>few</w:t>
      </w:r>
      <w:proofErr w:type="spellEnd"/>
      <w:r w:rsidRPr="00C21793">
        <w:rPr>
          <w:rFonts w:ascii="Times New Roman" w:hAnsi="Times New Roman" w:cs="Times New Roman"/>
          <w:sz w:val="24"/>
          <w:szCs w:val="24"/>
        </w:rPr>
        <w:t xml:space="preserve"> </w:t>
      </w:r>
      <w:proofErr w:type="spellStart"/>
      <w:r w:rsidRPr="00C21793">
        <w:rPr>
          <w:rFonts w:ascii="Times New Roman" w:hAnsi="Times New Roman" w:cs="Times New Roman"/>
          <w:sz w:val="24"/>
          <w:szCs w:val="24"/>
        </w:rPr>
        <w:t>states</w:t>
      </w:r>
      <w:proofErr w:type="spellEnd"/>
      <w:r w:rsidR="00DC0EF8" w:rsidRPr="00C21793">
        <w:rPr>
          <w:rFonts w:ascii="Times New Roman" w:hAnsi="Times New Roman" w:cs="Times New Roman"/>
          <w:sz w:val="24"/>
          <w:szCs w:val="24"/>
        </w:rPr>
        <w:t xml:space="preserve"> </w:t>
      </w:r>
      <w:proofErr w:type="spellStart"/>
      <w:r w:rsidR="00DC0EF8" w:rsidRPr="00C21793">
        <w:rPr>
          <w:rFonts w:ascii="Times New Roman" w:hAnsi="Times New Roman" w:cs="Times New Roman"/>
          <w:sz w:val="24"/>
          <w:szCs w:val="24"/>
        </w:rPr>
        <w:t>is</w:t>
      </w:r>
      <w:proofErr w:type="spellEnd"/>
      <w:r w:rsidR="00E00B2B" w:rsidRPr="00C21793">
        <w:rPr>
          <w:rFonts w:ascii="Times New Roman" w:hAnsi="Times New Roman" w:cs="Times New Roman"/>
          <w:sz w:val="24"/>
          <w:szCs w:val="24"/>
        </w:rPr>
        <w:t xml:space="preserve"> </w:t>
      </w:r>
      <w:proofErr w:type="spellStart"/>
      <w:r w:rsidR="00E00B2B" w:rsidRPr="00C21793">
        <w:rPr>
          <w:rFonts w:ascii="Times New Roman" w:hAnsi="Times New Roman" w:cs="Times New Roman"/>
          <w:sz w:val="24"/>
          <w:szCs w:val="24"/>
        </w:rPr>
        <w:t>missing</w:t>
      </w:r>
      <w:proofErr w:type="spellEnd"/>
      <w:r w:rsidR="00E00B2B" w:rsidRPr="00C21793">
        <w:rPr>
          <w:rFonts w:ascii="Times New Roman" w:hAnsi="Times New Roman" w:cs="Times New Roman"/>
          <w:sz w:val="24"/>
          <w:szCs w:val="24"/>
        </w:rPr>
        <w:t xml:space="preserve">, </w:t>
      </w:r>
      <w:proofErr w:type="spellStart"/>
      <w:r w:rsidR="00DC0EF8" w:rsidRPr="00C21793">
        <w:rPr>
          <w:rFonts w:ascii="Times New Roman" w:hAnsi="Times New Roman" w:cs="Times New Roman"/>
          <w:sz w:val="24"/>
          <w:szCs w:val="24"/>
        </w:rPr>
        <w:t>we</w:t>
      </w:r>
      <w:proofErr w:type="spellEnd"/>
      <w:r w:rsidR="00E00B2B" w:rsidRPr="00C21793">
        <w:rPr>
          <w:rFonts w:ascii="Times New Roman" w:hAnsi="Times New Roman" w:cs="Times New Roman"/>
          <w:sz w:val="24"/>
          <w:szCs w:val="24"/>
        </w:rPr>
        <w:t xml:space="preserve"> </w:t>
      </w:r>
      <w:proofErr w:type="spellStart"/>
      <w:r w:rsidR="00E00B2B" w:rsidRPr="00C21793">
        <w:rPr>
          <w:rFonts w:ascii="Times New Roman" w:hAnsi="Times New Roman" w:cs="Times New Roman"/>
          <w:sz w:val="24"/>
          <w:szCs w:val="24"/>
        </w:rPr>
        <w:t>were</w:t>
      </w:r>
      <w:proofErr w:type="spellEnd"/>
      <w:r w:rsidR="00E00B2B" w:rsidRPr="00C21793">
        <w:rPr>
          <w:rFonts w:ascii="Times New Roman" w:hAnsi="Times New Roman" w:cs="Times New Roman"/>
          <w:sz w:val="24"/>
          <w:szCs w:val="24"/>
        </w:rPr>
        <w:t xml:space="preserve"> </w:t>
      </w:r>
      <w:proofErr w:type="spellStart"/>
      <w:r w:rsidR="00E00B2B" w:rsidRPr="00C21793">
        <w:rPr>
          <w:rFonts w:ascii="Times New Roman" w:hAnsi="Times New Roman" w:cs="Times New Roman"/>
          <w:sz w:val="24"/>
          <w:szCs w:val="24"/>
        </w:rPr>
        <w:t>not</w:t>
      </w:r>
      <w:proofErr w:type="spellEnd"/>
      <w:r w:rsidR="00E00B2B" w:rsidRPr="00C21793">
        <w:rPr>
          <w:rFonts w:ascii="Times New Roman" w:hAnsi="Times New Roman" w:cs="Times New Roman"/>
          <w:sz w:val="24"/>
          <w:szCs w:val="24"/>
        </w:rPr>
        <w:t xml:space="preserve"> </w:t>
      </w:r>
      <w:proofErr w:type="spellStart"/>
      <w:r w:rsidR="00E00B2B" w:rsidRPr="00C21793">
        <w:rPr>
          <w:rFonts w:ascii="Times New Roman" w:hAnsi="Times New Roman" w:cs="Times New Roman"/>
          <w:sz w:val="24"/>
          <w:szCs w:val="24"/>
        </w:rPr>
        <w:t>able</w:t>
      </w:r>
      <w:proofErr w:type="spellEnd"/>
      <w:r w:rsidRPr="00C21793">
        <w:rPr>
          <w:rFonts w:ascii="Times New Roman" w:hAnsi="Times New Roman" w:cs="Times New Roman"/>
          <w:sz w:val="24"/>
          <w:szCs w:val="24"/>
        </w:rPr>
        <w:t xml:space="preserve"> </w:t>
      </w:r>
      <w:proofErr w:type="spellStart"/>
      <w:r w:rsidR="0052112D" w:rsidRPr="00C21793">
        <w:rPr>
          <w:rFonts w:ascii="Times New Roman" w:hAnsi="Times New Roman" w:cs="Times New Roman"/>
          <w:sz w:val="24"/>
          <w:szCs w:val="24"/>
        </w:rPr>
        <w:t>to</w:t>
      </w:r>
      <w:proofErr w:type="spellEnd"/>
      <w:r w:rsidR="0052112D" w:rsidRPr="00C21793">
        <w:rPr>
          <w:rFonts w:ascii="Times New Roman" w:hAnsi="Times New Roman" w:cs="Times New Roman"/>
          <w:sz w:val="24"/>
          <w:szCs w:val="24"/>
        </w:rPr>
        <w:t xml:space="preserve"> </w:t>
      </w:r>
      <w:proofErr w:type="spellStart"/>
      <w:r w:rsidRPr="00C21793">
        <w:rPr>
          <w:rFonts w:ascii="Times New Roman" w:hAnsi="Times New Roman" w:cs="Times New Roman"/>
          <w:sz w:val="24"/>
          <w:szCs w:val="24"/>
        </w:rPr>
        <w:t>find</w:t>
      </w:r>
      <w:proofErr w:type="spellEnd"/>
      <w:r w:rsidRPr="00C21793">
        <w:rPr>
          <w:rFonts w:ascii="Times New Roman" w:hAnsi="Times New Roman" w:cs="Times New Roman"/>
          <w:sz w:val="24"/>
          <w:szCs w:val="24"/>
        </w:rPr>
        <w:t xml:space="preserve"> </w:t>
      </w:r>
      <w:proofErr w:type="spellStart"/>
      <w:r w:rsidRPr="00C21793">
        <w:rPr>
          <w:rFonts w:ascii="Times New Roman" w:hAnsi="Times New Roman" w:cs="Times New Roman"/>
          <w:sz w:val="24"/>
          <w:szCs w:val="24"/>
        </w:rPr>
        <w:t>the</w:t>
      </w:r>
      <w:proofErr w:type="spellEnd"/>
      <w:r w:rsidRPr="00C21793">
        <w:rPr>
          <w:rFonts w:ascii="Times New Roman" w:hAnsi="Times New Roman" w:cs="Times New Roman"/>
          <w:sz w:val="24"/>
          <w:szCs w:val="24"/>
        </w:rPr>
        <w:t xml:space="preserve"> data of </w:t>
      </w:r>
      <w:r w:rsidR="008627A1" w:rsidRPr="00C21793">
        <w:rPr>
          <w:rFonts w:ascii="Times New Roman" w:hAnsi="Times New Roman" w:cs="Times New Roman"/>
          <w:sz w:val="24"/>
          <w:szCs w:val="24"/>
        </w:rPr>
        <w:t>particular</w:t>
      </w:r>
      <w:r w:rsidRPr="00C21793">
        <w:rPr>
          <w:rFonts w:ascii="Times New Roman" w:hAnsi="Times New Roman" w:cs="Times New Roman"/>
          <w:sz w:val="24"/>
          <w:szCs w:val="24"/>
        </w:rPr>
        <w:t xml:space="preserve"> </w:t>
      </w:r>
      <w:proofErr w:type="spellStart"/>
      <w:r w:rsidRPr="00C21793">
        <w:rPr>
          <w:rFonts w:ascii="Times New Roman" w:hAnsi="Times New Roman" w:cs="Times New Roman"/>
          <w:sz w:val="24"/>
          <w:szCs w:val="24"/>
        </w:rPr>
        <w:t>pollutants</w:t>
      </w:r>
      <w:proofErr w:type="spellEnd"/>
      <w:r w:rsidR="00A12329" w:rsidRPr="00C21793">
        <w:rPr>
          <w:rFonts w:ascii="Times New Roman" w:hAnsi="Times New Roman" w:cs="Times New Roman"/>
          <w:sz w:val="24"/>
          <w:szCs w:val="24"/>
        </w:rPr>
        <w:t xml:space="preserve"> in </w:t>
      </w:r>
      <w:proofErr w:type="spellStart"/>
      <w:r w:rsidR="00A12329" w:rsidRPr="00C21793">
        <w:rPr>
          <w:rFonts w:ascii="Times New Roman" w:hAnsi="Times New Roman" w:cs="Times New Roman"/>
          <w:sz w:val="24"/>
          <w:szCs w:val="24"/>
        </w:rPr>
        <w:t>those</w:t>
      </w:r>
      <w:proofErr w:type="spellEnd"/>
      <w:r w:rsidR="00A12329" w:rsidRPr="00C21793">
        <w:rPr>
          <w:rFonts w:ascii="Times New Roman" w:hAnsi="Times New Roman" w:cs="Times New Roman"/>
          <w:sz w:val="24"/>
          <w:szCs w:val="24"/>
        </w:rPr>
        <w:t xml:space="preserve"> </w:t>
      </w:r>
      <w:proofErr w:type="spellStart"/>
      <w:r w:rsidR="00A12329" w:rsidRPr="00C21793">
        <w:rPr>
          <w:rFonts w:ascii="Times New Roman" w:hAnsi="Times New Roman" w:cs="Times New Roman"/>
          <w:sz w:val="24"/>
          <w:szCs w:val="24"/>
        </w:rPr>
        <w:t>states</w:t>
      </w:r>
      <w:proofErr w:type="spellEnd"/>
      <w:r w:rsidR="00A12329" w:rsidRPr="00C21793">
        <w:rPr>
          <w:rFonts w:ascii="Times New Roman" w:hAnsi="Times New Roman" w:cs="Times New Roman"/>
          <w:sz w:val="24"/>
          <w:szCs w:val="24"/>
        </w:rPr>
        <w:t>.</w:t>
      </w:r>
      <w:r w:rsidRPr="00C21793">
        <w:rPr>
          <w:rFonts w:ascii="Times New Roman" w:hAnsi="Times New Roman" w:cs="Times New Roman"/>
          <w:sz w:val="24"/>
          <w:szCs w:val="24"/>
        </w:rPr>
        <w:t xml:space="preserve"> </w:t>
      </w:r>
      <w:r w:rsidR="00034F47" w:rsidRPr="00C21793">
        <w:rPr>
          <w:rFonts w:ascii="Times New Roman" w:hAnsi="Times New Roman" w:cs="Times New Roman"/>
          <w:sz w:val="24"/>
          <w:szCs w:val="24"/>
        </w:rPr>
        <w:t xml:space="preserve"> (</w:t>
      </w:r>
      <w:proofErr w:type="spellStart"/>
      <w:r w:rsidR="00034F47" w:rsidRPr="00C21793">
        <w:rPr>
          <w:rFonts w:ascii="Times New Roman" w:hAnsi="Times New Roman" w:cs="Times New Roman"/>
          <w:sz w:val="24"/>
          <w:szCs w:val="24"/>
        </w:rPr>
        <w:t>Lous</w:t>
      </w:r>
      <w:proofErr w:type="spellEnd"/>
      <w:r w:rsidR="00034F47" w:rsidRPr="00C21793">
        <w:rPr>
          <w:rFonts w:ascii="Times New Roman" w:hAnsi="Times New Roman" w:cs="Times New Roman"/>
          <w:sz w:val="24"/>
          <w:szCs w:val="24"/>
        </w:rPr>
        <w:t xml:space="preserve">= </w:t>
      </w:r>
      <w:r w:rsidR="00034F47" w:rsidRPr="00C21793">
        <w:rPr>
          <w:rFonts w:ascii="Times New Roman" w:hAnsi="Times New Roman" w:cs="Times New Roman"/>
          <w:sz w:val="24"/>
          <w:szCs w:val="24"/>
          <w:lang w:val="en-US"/>
        </w:rPr>
        <w:t xml:space="preserve">Louisiana, </w:t>
      </w:r>
      <w:proofErr w:type="spellStart"/>
      <w:r w:rsidR="00034F47" w:rsidRPr="00C21793">
        <w:rPr>
          <w:rFonts w:ascii="Times New Roman" w:hAnsi="Times New Roman" w:cs="Times New Roman"/>
          <w:sz w:val="24"/>
          <w:szCs w:val="24"/>
          <w:lang w:val="en-US"/>
        </w:rPr>
        <w:t>NCarolina</w:t>
      </w:r>
      <w:proofErr w:type="spellEnd"/>
      <w:r w:rsidR="00034F47" w:rsidRPr="00C21793">
        <w:rPr>
          <w:rFonts w:ascii="Times New Roman" w:hAnsi="Times New Roman" w:cs="Times New Roman"/>
          <w:sz w:val="24"/>
          <w:szCs w:val="24"/>
          <w:lang w:val="en-US"/>
        </w:rPr>
        <w:t xml:space="preserve">= North Carolina and </w:t>
      </w:r>
      <w:proofErr w:type="spellStart"/>
      <w:r w:rsidR="00034F47" w:rsidRPr="00C21793">
        <w:rPr>
          <w:rFonts w:ascii="Times New Roman" w:hAnsi="Times New Roman" w:cs="Times New Roman"/>
          <w:sz w:val="24"/>
          <w:szCs w:val="24"/>
          <w:lang w:val="en-US"/>
        </w:rPr>
        <w:t>Albm</w:t>
      </w:r>
      <w:proofErr w:type="spellEnd"/>
      <w:r w:rsidR="00034F47" w:rsidRPr="00C21793">
        <w:rPr>
          <w:rFonts w:ascii="Times New Roman" w:hAnsi="Times New Roman" w:cs="Times New Roman"/>
          <w:sz w:val="24"/>
          <w:szCs w:val="24"/>
          <w:lang w:val="en-US"/>
        </w:rPr>
        <w:t>= Alabama)</w:t>
      </w:r>
    </w:p>
    <w:p w:rsidR="00306945" w:rsidRPr="00C21793" w:rsidRDefault="00306945" w:rsidP="00306945">
      <w:pPr>
        <w:pStyle w:val="NoSpacing"/>
        <w:spacing w:line="360" w:lineRule="auto"/>
        <w:jc w:val="both"/>
        <w:rPr>
          <w:rFonts w:ascii="Times New Roman" w:hAnsi="Times New Roman" w:cs="Times New Roman"/>
          <w:sz w:val="24"/>
          <w:szCs w:val="24"/>
          <w:lang w:val="en-US"/>
        </w:rPr>
      </w:pPr>
    </w:p>
    <w:p w:rsidR="00306945" w:rsidRPr="00C21793" w:rsidRDefault="00306945" w:rsidP="00306945">
      <w:pPr>
        <w:pStyle w:val="NoSpacing"/>
        <w:spacing w:line="360" w:lineRule="auto"/>
        <w:ind w:firstLine="360"/>
        <w:jc w:val="both"/>
        <w:rPr>
          <w:rFonts w:ascii="Times New Roman" w:hAnsi="Times New Roman" w:cs="Times New Roman"/>
          <w:sz w:val="24"/>
          <w:szCs w:val="24"/>
          <w:lang w:val="en-US"/>
        </w:rPr>
      </w:pPr>
      <w:r w:rsidRPr="00C21793">
        <w:rPr>
          <w:rFonts w:ascii="Times New Roman" w:hAnsi="Times New Roman" w:cs="Times New Roman"/>
          <w:sz w:val="24"/>
          <w:szCs w:val="24"/>
          <w:lang w:val="en-US"/>
        </w:rPr>
        <w:t xml:space="preserve">Figure 1 shows the concentrations with and without lockdown in the studied states of </w:t>
      </w:r>
      <w:r w:rsidR="0052112D" w:rsidRPr="00C21793">
        <w:rPr>
          <w:rFonts w:ascii="Times New Roman" w:hAnsi="Times New Roman" w:cs="Times New Roman"/>
          <w:sz w:val="24"/>
          <w:szCs w:val="24"/>
          <w:lang w:val="en-US"/>
        </w:rPr>
        <w:t xml:space="preserve">the </w:t>
      </w:r>
      <w:r w:rsidRPr="00C21793">
        <w:rPr>
          <w:rFonts w:ascii="Times New Roman" w:hAnsi="Times New Roman" w:cs="Times New Roman"/>
          <w:sz w:val="24"/>
          <w:szCs w:val="24"/>
          <w:lang w:val="en-US"/>
        </w:rPr>
        <w:t xml:space="preserve">USA. In California, the concentrations of all five pollutants significantly decreased during the lockdown period than the previous year. The maximum reduction (23.1%) in the concentration </w:t>
      </w:r>
      <w:r w:rsidRPr="00C21793">
        <w:rPr>
          <w:rFonts w:ascii="Times New Roman" w:hAnsi="Times New Roman" w:cs="Times New Roman"/>
          <w:sz w:val="24"/>
          <w:szCs w:val="24"/>
          <w:lang w:val="en-US"/>
        </w:rPr>
        <w:lastRenderedPageBreak/>
        <w:t>was observed in NO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Moreover, 19.6% and 17.7% reduction were detected in PM</w:t>
      </w:r>
      <w:r w:rsidRPr="00C21793">
        <w:rPr>
          <w:rFonts w:ascii="Times New Roman" w:hAnsi="Times New Roman" w:cs="Times New Roman"/>
          <w:sz w:val="24"/>
          <w:szCs w:val="24"/>
          <w:vertAlign w:val="subscript"/>
          <w:lang w:val="en-US"/>
        </w:rPr>
        <w:t>10</w:t>
      </w:r>
      <w:r w:rsidRPr="00C21793">
        <w:rPr>
          <w:rFonts w:ascii="Times New Roman" w:hAnsi="Times New Roman" w:cs="Times New Roman"/>
          <w:sz w:val="24"/>
          <w:szCs w:val="24"/>
          <w:lang w:val="en-US"/>
        </w:rPr>
        <w:t xml:space="preserve"> and PM</w:t>
      </w:r>
      <w:r w:rsidRPr="00C21793">
        <w:rPr>
          <w:rFonts w:ascii="Times New Roman" w:hAnsi="Times New Roman" w:cs="Times New Roman"/>
          <w:sz w:val="24"/>
          <w:szCs w:val="24"/>
          <w:vertAlign w:val="subscript"/>
          <w:lang w:val="en-US"/>
        </w:rPr>
        <w:t>2.5</w:t>
      </w:r>
      <w:r w:rsidRPr="00C21793">
        <w:rPr>
          <w:rFonts w:ascii="Times New Roman" w:hAnsi="Times New Roman" w:cs="Times New Roman"/>
          <w:sz w:val="24"/>
          <w:szCs w:val="24"/>
          <w:lang w:val="en-US"/>
        </w:rPr>
        <w:t xml:space="preserve">, respectively. In Florida, </w:t>
      </w:r>
      <w:r w:rsidR="0052112D" w:rsidRPr="00C21793">
        <w:rPr>
          <w:rFonts w:ascii="Times New Roman" w:hAnsi="Times New Roman" w:cs="Times New Roman"/>
          <w:sz w:val="24"/>
          <w:szCs w:val="24"/>
          <w:lang w:val="en-US"/>
        </w:rPr>
        <w:t>a</w:t>
      </w:r>
      <w:r w:rsidRPr="00C21793">
        <w:rPr>
          <w:rFonts w:ascii="Times New Roman" w:hAnsi="Times New Roman" w:cs="Times New Roman"/>
          <w:sz w:val="24"/>
          <w:szCs w:val="24"/>
          <w:lang w:val="en-US"/>
        </w:rPr>
        <w:t xml:space="preserve"> higher </w:t>
      </w:r>
      <w:r w:rsidR="0004488B" w:rsidRPr="00C21793">
        <w:rPr>
          <w:rFonts w:ascii="Times New Roman" w:hAnsi="Times New Roman" w:cs="Times New Roman"/>
          <w:sz w:val="24"/>
          <w:szCs w:val="24"/>
          <w:lang w:val="en-US"/>
        </w:rPr>
        <w:t>reduction</w:t>
      </w:r>
      <w:r w:rsidRPr="00C21793">
        <w:rPr>
          <w:rFonts w:ascii="Times New Roman" w:hAnsi="Times New Roman" w:cs="Times New Roman"/>
          <w:sz w:val="24"/>
          <w:szCs w:val="24"/>
          <w:lang w:val="en-US"/>
        </w:rPr>
        <w:t xml:space="preserve"> was observed in NO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xml:space="preserve"> concentration (21.1%), and</w:t>
      </w:r>
      <w:r w:rsidR="0004488B" w:rsidRPr="00C21793">
        <w:rPr>
          <w:rFonts w:ascii="Times New Roman" w:hAnsi="Times New Roman" w:cs="Times New Roman"/>
          <w:sz w:val="24"/>
          <w:szCs w:val="24"/>
          <w:lang w:val="en-US"/>
        </w:rPr>
        <w:t xml:space="preserve"> almost similar reductions </w:t>
      </w:r>
      <w:r w:rsidRPr="00C21793">
        <w:rPr>
          <w:rFonts w:ascii="Times New Roman" w:hAnsi="Times New Roman" w:cs="Times New Roman"/>
          <w:sz w:val="24"/>
          <w:szCs w:val="24"/>
          <w:lang w:val="en-US"/>
        </w:rPr>
        <w:t>were reported in both CO and SO</w:t>
      </w:r>
      <w:r w:rsidRPr="00C21793">
        <w:rPr>
          <w:rFonts w:ascii="Times New Roman" w:hAnsi="Times New Roman" w:cs="Times New Roman"/>
          <w:sz w:val="24"/>
          <w:szCs w:val="24"/>
          <w:vertAlign w:val="subscript"/>
          <w:lang w:val="en-US"/>
        </w:rPr>
        <w:t>2</w:t>
      </w:r>
      <w:r w:rsidR="0004488B" w:rsidRPr="00C21793">
        <w:rPr>
          <w:rFonts w:ascii="Times New Roman" w:hAnsi="Times New Roman" w:cs="Times New Roman"/>
          <w:sz w:val="24"/>
          <w:szCs w:val="24"/>
          <w:lang w:val="en-US"/>
        </w:rPr>
        <w:t xml:space="preserve"> concentrations. Reduction in the PM</w:t>
      </w:r>
      <w:r w:rsidRPr="00C21793">
        <w:rPr>
          <w:rFonts w:ascii="Times New Roman" w:hAnsi="Times New Roman" w:cs="Times New Roman"/>
          <w:sz w:val="24"/>
          <w:szCs w:val="24"/>
          <w:vertAlign w:val="subscript"/>
          <w:lang w:val="en-US"/>
        </w:rPr>
        <w:t>2.5</w:t>
      </w:r>
      <w:r w:rsidR="0004488B" w:rsidRPr="00C21793">
        <w:rPr>
          <w:rFonts w:ascii="Times New Roman" w:hAnsi="Times New Roman" w:cs="Times New Roman"/>
          <w:sz w:val="24"/>
          <w:szCs w:val="24"/>
          <w:lang w:val="en-US"/>
        </w:rPr>
        <w:t xml:space="preserve"> (32.29%) and PM</w:t>
      </w:r>
      <w:r w:rsidRPr="00C21793">
        <w:rPr>
          <w:rFonts w:ascii="Times New Roman" w:hAnsi="Times New Roman" w:cs="Times New Roman"/>
          <w:sz w:val="24"/>
          <w:szCs w:val="24"/>
          <w:vertAlign w:val="subscript"/>
          <w:lang w:val="en-US"/>
        </w:rPr>
        <w:t>10</w:t>
      </w:r>
      <w:r w:rsidR="0004488B" w:rsidRPr="00C21793">
        <w:rPr>
          <w:rFonts w:ascii="Times New Roman" w:hAnsi="Times New Roman" w:cs="Times New Roman"/>
          <w:sz w:val="24"/>
          <w:szCs w:val="24"/>
          <w:lang w:val="en-US"/>
        </w:rPr>
        <w:t xml:space="preserve"> (33.72</w:t>
      </w:r>
      <w:r w:rsidR="00040D55" w:rsidRPr="00C21793">
        <w:rPr>
          <w:rFonts w:ascii="Times New Roman" w:hAnsi="Times New Roman" w:cs="Times New Roman"/>
          <w:sz w:val="24"/>
          <w:szCs w:val="24"/>
          <w:lang w:val="en-US"/>
        </w:rPr>
        <w:t xml:space="preserve">%) concentration was </w:t>
      </w:r>
      <w:r w:rsidRPr="00C21793">
        <w:rPr>
          <w:rFonts w:ascii="Times New Roman" w:hAnsi="Times New Roman" w:cs="Times New Roman"/>
          <w:sz w:val="24"/>
          <w:szCs w:val="24"/>
          <w:lang w:val="en-US"/>
        </w:rPr>
        <w:t>observed in Florida state during the lockdown period in 2020 than 2019. In Louisiana, the concentrations of CO, NO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xml:space="preserve">, </w:t>
      </w:r>
      <w:r w:rsidR="00E77935" w:rsidRPr="00C21793">
        <w:rPr>
          <w:rFonts w:ascii="Times New Roman" w:hAnsi="Times New Roman" w:cs="Times New Roman"/>
          <w:sz w:val="24"/>
          <w:szCs w:val="24"/>
          <w:lang w:val="en-US"/>
        </w:rPr>
        <w:t>SO</w:t>
      </w:r>
      <w:r w:rsidR="00E77935" w:rsidRPr="00C21793">
        <w:rPr>
          <w:rFonts w:ascii="Times New Roman" w:hAnsi="Times New Roman" w:cs="Times New Roman"/>
          <w:sz w:val="24"/>
          <w:szCs w:val="24"/>
          <w:vertAlign w:val="subscript"/>
          <w:lang w:val="en-US"/>
        </w:rPr>
        <w:t xml:space="preserve">2 </w:t>
      </w:r>
      <w:r w:rsidR="00E77935" w:rsidRPr="00C21793">
        <w:rPr>
          <w:rFonts w:ascii="Times New Roman" w:hAnsi="Times New Roman" w:cs="Times New Roman"/>
          <w:sz w:val="24"/>
          <w:szCs w:val="24"/>
          <w:lang w:val="en-US"/>
        </w:rPr>
        <w:t xml:space="preserve">and </w:t>
      </w:r>
      <w:r w:rsidRPr="00C21793">
        <w:rPr>
          <w:rFonts w:ascii="Times New Roman" w:hAnsi="Times New Roman" w:cs="Times New Roman"/>
          <w:sz w:val="24"/>
          <w:szCs w:val="24"/>
          <w:lang w:val="en-US"/>
        </w:rPr>
        <w:t>PM</w:t>
      </w:r>
      <w:r w:rsidRPr="00C21793">
        <w:rPr>
          <w:rFonts w:ascii="Times New Roman" w:hAnsi="Times New Roman" w:cs="Times New Roman"/>
          <w:sz w:val="24"/>
          <w:szCs w:val="24"/>
          <w:vertAlign w:val="subscript"/>
          <w:lang w:val="en-US"/>
        </w:rPr>
        <w:t>2.5</w:t>
      </w:r>
      <w:r w:rsidR="00E77935" w:rsidRPr="00C21793">
        <w:rPr>
          <w:rFonts w:ascii="Times New Roman" w:hAnsi="Times New Roman" w:cs="Times New Roman"/>
          <w:sz w:val="24"/>
          <w:szCs w:val="24"/>
          <w:lang w:val="en-US"/>
        </w:rPr>
        <w:t xml:space="preserve"> </w:t>
      </w:r>
      <w:r w:rsidRPr="00C21793">
        <w:rPr>
          <w:rFonts w:ascii="Times New Roman" w:hAnsi="Times New Roman" w:cs="Times New Roman"/>
          <w:sz w:val="24"/>
          <w:szCs w:val="24"/>
          <w:lang w:val="en-US"/>
        </w:rPr>
        <w:t xml:space="preserve">were decreased with 36.3%. 59.8%, </w:t>
      </w:r>
      <w:r w:rsidR="00E77935" w:rsidRPr="00C21793">
        <w:rPr>
          <w:rFonts w:ascii="Times New Roman" w:hAnsi="Times New Roman" w:cs="Times New Roman"/>
          <w:sz w:val="24"/>
          <w:szCs w:val="24"/>
          <w:lang w:val="en-US"/>
        </w:rPr>
        <w:t xml:space="preserve">8.28% and 22.2%, </w:t>
      </w:r>
      <w:r w:rsidRPr="00C21793">
        <w:rPr>
          <w:rFonts w:ascii="Times New Roman" w:hAnsi="Times New Roman" w:cs="Times New Roman"/>
          <w:sz w:val="24"/>
          <w:szCs w:val="24"/>
          <w:lang w:val="en-US"/>
        </w:rPr>
        <w:t>respectively. While PM</w:t>
      </w:r>
      <w:r w:rsidRPr="00C21793">
        <w:rPr>
          <w:rFonts w:ascii="Times New Roman" w:hAnsi="Times New Roman" w:cs="Times New Roman"/>
          <w:sz w:val="24"/>
          <w:szCs w:val="24"/>
          <w:vertAlign w:val="subscript"/>
          <w:lang w:val="en-US"/>
        </w:rPr>
        <w:t>10</w:t>
      </w:r>
      <w:r w:rsidRPr="00C21793">
        <w:rPr>
          <w:rFonts w:ascii="Times New Roman" w:hAnsi="Times New Roman" w:cs="Times New Roman"/>
          <w:sz w:val="24"/>
          <w:szCs w:val="24"/>
          <w:lang w:val="en-US"/>
        </w:rPr>
        <w:t xml:space="preserve"> had a 24.5% increase as compared to the previous year. </w:t>
      </w:r>
      <w:r w:rsidR="00040D55" w:rsidRPr="00C21793">
        <w:rPr>
          <w:rFonts w:ascii="Times New Roman" w:hAnsi="Times New Roman" w:cs="Times New Roman"/>
          <w:sz w:val="24"/>
          <w:szCs w:val="24"/>
          <w:lang w:val="en-US"/>
        </w:rPr>
        <w:t>The increase in the concentration of PM</w:t>
      </w:r>
      <w:r w:rsidR="00040D55" w:rsidRPr="00C21793">
        <w:rPr>
          <w:rFonts w:ascii="Times New Roman" w:hAnsi="Times New Roman" w:cs="Times New Roman"/>
          <w:sz w:val="24"/>
          <w:szCs w:val="24"/>
          <w:vertAlign w:val="subscript"/>
          <w:lang w:val="en-US"/>
        </w:rPr>
        <w:t>10</w:t>
      </w:r>
      <w:r w:rsidR="00040D55" w:rsidRPr="00C21793">
        <w:rPr>
          <w:rFonts w:ascii="Times New Roman" w:hAnsi="Times New Roman" w:cs="Times New Roman"/>
          <w:sz w:val="24"/>
          <w:szCs w:val="24"/>
          <w:lang w:val="en-US"/>
        </w:rPr>
        <w:t xml:space="preserve"> might be due to anthropogenic sources </w:t>
      </w:r>
      <w:r w:rsidR="00040D55" w:rsidRPr="00C21793">
        <w:rPr>
          <w:rFonts w:ascii="Times New Roman" w:hAnsi="Times New Roman" w:cs="Times New Roman"/>
          <w:sz w:val="24"/>
          <w:szCs w:val="24"/>
          <w:lang w:val="en-US"/>
        </w:rPr>
        <w:fldChar w:fldCharType="begin" w:fldLock="1"/>
      </w:r>
      <w:r w:rsidR="00040D55" w:rsidRPr="00C21793">
        <w:rPr>
          <w:rFonts w:ascii="Times New Roman" w:hAnsi="Times New Roman" w:cs="Times New Roman"/>
          <w:sz w:val="24"/>
          <w:szCs w:val="24"/>
          <w:lang w:val="en-US"/>
        </w:rPr>
        <w:instrText>ADDIN CSL_CITATION {"citationItems":[{"id":"ITEM-1","itemData":{"DOI":"10.5194/acp-17-8681-2017","ISSN":"16807324","abstract":"This paper presents a comprehensive assessment of historical (1990-2010) global anthropogenic particulate matter (PM) emissions including the consistent and harmonized calculation of mass-based size distribution (PM1, PM2. 5, PM10), as well as primary carbonaceous aerosols including black carbon (BC) and organic carbon (OC). The estimates were developed with the integrated assessment model GAINS, where source-and region-specific technology characteristics are explicitly included. This assessment includes a number of previously unaccounted or often misallocated emission sources, i.e. kerosene lamps, gas flaring, diesel generators, refuse burning; some of them were reported in the past for selected regions or in the context of a particular pollutant or sector but not included as part of a total estimate. Spatially, emissions were calculated for 172 source regions (as well as international shipping), presented for 25 global regions, and allocated to 0.5°ĝ€ × ĝ€0.5° longitude-latitude grids. No independent estimates of emissions from forest fires and savannah burning are provided and neither windblown dust nor unpaved roads emissions are included. &lt;br&gt;&lt;br&gt; We estimate that global emissions of PM have not changed significantly between 1990 and 2010, showing a strong decoupling from the global increase in energy consumption and, consequently, CO2 emissions, but there are significantly different regional trends, with a particularly strong increase in East Asia and Africa and a strong decline in Europe, North America, and the Pacific region. This in turn resulted in important changes in the spatial pattern of PM burden, e.g. European, North American, and Pacific contributions to global emissions dropped from nearly 30ĝ€% in 1990 to well below 15ĝ€% in 2010, while Asia's contribution grew from just over 50ĝ€% to nearly two-Thirds of the global total in 2010. For all PM species considered, Asian sources represented over 60ĝ€% of the global anthropogenic total, and residential combustion was the most important sector, contributing about 60ĝ€% for BC and OC, 45ĝ€% for PM2. 5, and less than 40ĝ€% for PM10, where large combustion sources and industrial processes are equally important. Global anthropogenic emissions of BC were estimated at about 6.6 and 7.2ĝ€Tg in 2000 and 2010, respectively, and represent about 15ĝ€% of PM2. 5 but for some sources reach nearly 50ĝ€%, i.e. for the transport sector. Our global BC numbers are higher than previously published owing prima…","author":[{"dropping-particle":"","family":"Klimont","given":"Zbigniew","non-dropping-particle":"","parse-names":false,"suffix":""},{"dropping-particle":"","family":"Kupiainen","given":"Kaarle","non-dropping-particle":"","parse-names":false,"suffix":""},{"dropping-particle":"","family":"Heyes","given":"Chris","non-dropping-particle":"","parse-names":false,"suffix":""},{"dropping-particle":"","family":"Purohit","given":"Pallav","non-dropping-particle":"","parse-names":false,"suffix":""},{"dropping-particle":"","family":"Cofala","given":"Janusz","non-dropping-particle":"","parse-names":false,"suffix":""},{"dropping-particle":"","family":"Rafaj","given":"Peter","non-dropping-particle":"","parse-names":false,"suffix":""},{"dropping-particle":"","family":"Borken-Kleefeld","given":"Jens","non-dropping-particle":"","parse-names":false,"suffix":""},{"dropping-particle":"","family":"Schöpp","given":"Wolfgang","non-dropping-particle":"","parse-names":false,"suffix":""}],"container-title":"Atmospheric Chemistry and Physics","id":"ITEM-1","issue":"14","issued":{"date-parts":[["2017"]]},"page":"8681-8723","title":"Global anthropogenic emissions of particulate matter including black carbon","type":"article-journal","volume":"17"},"uris":["http://www.mendeley.com/documents/?uuid=be17a702-7c75-4556-a773-96cc6ebb3a91"]}],"mendeley":{"formattedCitation":"(Klimont et al., 2017)","plainTextFormattedCitation":"(Klimont et al., 2017)","previouslyFormattedCitation":"(Klimont et al., 2017)"},"properties":{"noteIndex":0},"schema":"https://github.com/citation-style-language/schema/raw/master/csl-citation.json"}</w:instrText>
      </w:r>
      <w:r w:rsidR="00040D55" w:rsidRPr="00C21793">
        <w:rPr>
          <w:rFonts w:ascii="Times New Roman" w:hAnsi="Times New Roman" w:cs="Times New Roman"/>
          <w:sz w:val="24"/>
          <w:szCs w:val="24"/>
          <w:lang w:val="en-US"/>
        </w:rPr>
        <w:fldChar w:fldCharType="separate"/>
      </w:r>
      <w:r w:rsidR="00107947" w:rsidRPr="00C21793">
        <w:rPr>
          <w:rFonts w:ascii="Times New Roman" w:hAnsi="Times New Roman" w:cs="Times New Roman"/>
          <w:noProof/>
          <w:sz w:val="24"/>
          <w:szCs w:val="24"/>
          <w:lang w:val="en-US"/>
        </w:rPr>
        <w:t>(Klimont et al.</w:t>
      </w:r>
      <w:r w:rsidR="00040D55" w:rsidRPr="00C21793">
        <w:rPr>
          <w:rFonts w:ascii="Times New Roman" w:hAnsi="Times New Roman" w:cs="Times New Roman"/>
          <w:noProof/>
          <w:sz w:val="24"/>
          <w:szCs w:val="24"/>
          <w:lang w:val="en-US"/>
        </w:rPr>
        <w:t xml:space="preserve"> 2017)</w:t>
      </w:r>
      <w:r w:rsidR="00040D55" w:rsidRPr="00C21793">
        <w:rPr>
          <w:rFonts w:ascii="Times New Roman" w:hAnsi="Times New Roman" w:cs="Times New Roman"/>
          <w:sz w:val="24"/>
          <w:szCs w:val="24"/>
          <w:lang w:val="en-US"/>
        </w:rPr>
        <w:fldChar w:fldCharType="end"/>
      </w:r>
      <w:r w:rsidR="00040D55" w:rsidRPr="00C21793">
        <w:rPr>
          <w:rFonts w:ascii="Times New Roman" w:hAnsi="Times New Roman" w:cs="Times New Roman"/>
          <w:sz w:val="24"/>
          <w:szCs w:val="24"/>
          <w:lang w:val="en-US"/>
        </w:rPr>
        <w:t xml:space="preserve">. </w:t>
      </w:r>
      <w:r w:rsidRPr="00C21793">
        <w:rPr>
          <w:rFonts w:ascii="Times New Roman" w:hAnsi="Times New Roman" w:cs="Times New Roman"/>
          <w:sz w:val="24"/>
          <w:szCs w:val="24"/>
          <w:lang w:val="en-US"/>
        </w:rPr>
        <w:t>In North Carolina, significant reductions were seen in all environmental pollutants except for SO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The maxim</w:t>
      </w:r>
      <w:r w:rsidR="00260D7F" w:rsidRPr="00C21793">
        <w:rPr>
          <w:rFonts w:ascii="Times New Roman" w:hAnsi="Times New Roman" w:cs="Times New Roman"/>
          <w:sz w:val="24"/>
          <w:szCs w:val="24"/>
          <w:lang w:val="en-US"/>
        </w:rPr>
        <w:t>um reduction was observed in PM</w:t>
      </w:r>
      <w:r w:rsidRPr="00C21793">
        <w:rPr>
          <w:rFonts w:ascii="Times New Roman" w:hAnsi="Times New Roman" w:cs="Times New Roman"/>
          <w:sz w:val="24"/>
          <w:szCs w:val="24"/>
          <w:vertAlign w:val="subscript"/>
          <w:lang w:val="en-US"/>
        </w:rPr>
        <w:t>2.5</w:t>
      </w:r>
      <w:r w:rsidRPr="00C21793">
        <w:rPr>
          <w:rFonts w:ascii="Times New Roman" w:hAnsi="Times New Roman" w:cs="Times New Roman"/>
          <w:sz w:val="24"/>
          <w:szCs w:val="24"/>
          <w:lang w:val="en-US"/>
        </w:rPr>
        <w:t xml:space="preserve"> (30.8%) than other pollutants. On the other </w:t>
      </w:r>
      <w:r w:rsidR="00260D7F" w:rsidRPr="00C21793">
        <w:rPr>
          <w:rFonts w:ascii="Times New Roman" w:hAnsi="Times New Roman" w:cs="Times New Roman"/>
          <w:sz w:val="24"/>
          <w:szCs w:val="24"/>
          <w:lang w:val="en-US"/>
        </w:rPr>
        <w:t>hand, PM</w:t>
      </w:r>
      <w:r w:rsidRPr="00C21793">
        <w:rPr>
          <w:rFonts w:ascii="Times New Roman" w:hAnsi="Times New Roman" w:cs="Times New Roman"/>
          <w:sz w:val="24"/>
          <w:szCs w:val="24"/>
          <w:vertAlign w:val="subscript"/>
          <w:lang w:val="en-US"/>
        </w:rPr>
        <w:t>2.5</w:t>
      </w:r>
      <w:r w:rsidRPr="00C21793">
        <w:rPr>
          <w:rFonts w:ascii="Times New Roman" w:hAnsi="Times New Roman" w:cs="Times New Roman"/>
          <w:sz w:val="24"/>
          <w:szCs w:val="24"/>
          <w:lang w:val="en-US"/>
        </w:rPr>
        <w:t xml:space="preserve"> significantly increased up to 23.8% in Alabama state. </w:t>
      </w:r>
    </w:p>
    <w:p w:rsidR="00306945" w:rsidRPr="00C21793" w:rsidRDefault="00306945" w:rsidP="00AF2485">
      <w:pPr>
        <w:pStyle w:val="NoSpacing"/>
        <w:spacing w:line="360" w:lineRule="auto"/>
        <w:ind w:firstLine="360"/>
        <w:jc w:val="both"/>
        <w:rPr>
          <w:rFonts w:ascii="Times New Roman" w:hAnsi="Times New Roman" w:cs="Times New Roman"/>
          <w:sz w:val="24"/>
          <w:szCs w:val="24"/>
          <w:lang w:val="en-US"/>
        </w:rPr>
      </w:pPr>
      <w:r w:rsidRPr="00C21793">
        <w:rPr>
          <w:rFonts w:ascii="Times New Roman" w:hAnsi="Times New Roman" w:cs="Times New Roman"/>
          <w:sz w:val="24"/>
          <w:szCs w:val="24"/>
          <w:lang w:val="en-US"/>
        </w:rPr>
        <w:t xml:space="preserve">As we all know, China was the first country that reported COVID-19 patients in the Wuhan seafood market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{"citationItems":[{"id":"ITEM-1","itemData":{"DOI":"10.3390/jcm9020330","ISSN":"2077-0383","abstract":"A cluster of pneumonia cases linked to a novel coronavirus (2019-nCoV) was reported by China in late December 2019. Reported case incidence has now reached the hundreds, but this is likely an underestimate. As of 24 January 2020, with reports of thirteen exportation events, we estimate the cumulative incidence in China at 5502 cases (95% confidence interval: 3027, 9057). The most plausible number of infections is in the order of thousands, rather than hundreds, and there is a strong indication that untraced exposures other than the one in the epidemiologically linked seafood market in Wuhan have occurred.","author":[{"dropping-particle":"","family":"Nishiura","given":"Hiroshi","non-dropping-particle":"","parse-names":false,"suffix":""},{"dropping-particle":"","family":"Jung","given":"Sung-mok","non-dropping-particle":"","parse-names":false,"suffix":""},{"dropping-particle":"","family":"Linton","given":"Natalie M.","non-dropping-particle":"","parse-names":false,"suffix":""},{"dropping-particle":"","family":"Kinoshita","given":"Ryo","non-dropping-particle":"","parse-names":false,"suffix":""},{"dropping-particle":"","family":"Yang","given":"Yichi","non-dropping-particle":"","parse-names":false,"suffix":""},{"dropping-particle":"","family":"Hayashi","given":"Katsuma","non-dropping-particle":"","parse-names":false,"suffix":""},{"dropping-particle":"","family":"Kobayashi","given":"Tetsuro","non-dropping-particle":"","parse-names":false,"suffix":""},{"dropping-particle":"","family":"Yuan","given":"Baoyin","non-dropping-particle":"","parse-names":false,"suffix":""},{"dropping-particle":"","family":"Akhmetzhanov","given":"Andrei R.","non-dropping-particle":"","parse-names":false,"suffix":""}],"container-title":"Journal of Clinical Medicine","id":"ITEM-1","issue":"2","issued":{"date-parts":[["2020"]]},"page":"330","title":"The Extent of Transmission of Novel Coronavirus in Wuhan, China, 2020","type":"article-journal","volume":"9"},"uris":["http://www.mendeley.com/documents/?uuid=22cc0e22-dec5-4ed7-8d9e-2baa380d0b6b"]}],"mendeley":{"formattedCitation":"(Nishiura et al., 2020)","plainTextFormattedCitation":"(Nishiura et al., 2020)","previouslyFormattedCitation":"(Nishiura et al., 2020)"},"properties":{"noteIndex":0},"schema":"https://github.com/citation-style-language/schema/raw/master/csl-citation.json"}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107947" w:rsidRPr="00C21793">
        <w:rPr>
          <w:rFonts w:ascii="Times New Roman" w:hAnsi="Times New Roman" w:cs="Times New Roman"/>
          <w:noProof/>
          <w:sz w:val="24"/>
          <w:szCs w:val="24"/>
          <w:lang w:val="en-US"/>
        </w:rPr>
        <w:t>(Nishiura et al.</w:t>
      </w:r>
      <w:r w:rsidRPr="00C21793">
        <w:rPr>
          <w:rFonts w:ascii="Times New Roman" w:hAnsi="Times New Roman" w:cs="Times New Roman"/>
          <w:noProof/>
          <w:sz w:val="24"/>
          <w:szCs w:val="24"/>
          <w:lang w:val="en-US"/>
        </w:rPr>
        <w:t xml:space="preserve"> 2020)</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As of January 19, 2020, The Chinese authorities declared a public health emergency, and then Wuhan underwent a complete lockdown. Environmental pollutants significantly affected by lockdown measurements. Overall, an apparent reduction can be seen in the first quarter of 2020 as compared to 2019. </w:t>
      </w:r>
      <w:r w:rsidR="00AF2485" w:rsidRPr="00C21793">
        <w:rPr>
          <w:rFonts w:ascii="Times New Roman" w:hAnsi="Times New Roman" w:cs="Times New Roman"/>
          <w:sz w:val="24"/>
          <w:szCs w:val="24"/>
          <w:lang w:val="en-US"/>
        </w:rPr>
        <w:t>Figure 2 represents the comparisons of the average concentrations of environmental pollutants in the first quarter of 2019 and 2020 among the different provinces of China.</w:t>
      </w:r>
    </w:p>
    <w:p w:rsidR="00306945" w:rsidRPr="00C21793" w:rsidRDefault="00306945" w:rsidP="00306945">
      <w:pPr>
        <w:pStyle w:val="NoSpacing"/>
        <w:spacing w:line="360" w:lineRule="auto"/>
        <w:ind w:firstLine="360"/>
        <w:jc w:val="both"/>
        <w:rPr>
          <w:rFonts w:ascii="Times New Roman" w:hAnsi="Times New Roman" w:cs="Times New Roman"/>
          <w:sz w:val="24"/>
          <w:szCs w:val="24"/>
          <w:lang w:val="en-US"/>
        </w:rPr>
      </w:pPr>
      <w:r w:rsidRPr="00C21793">
        <w:rPr>
          <w:rFonts w:ascii="Times New Roman" w:hAnsi="Times New Roman" w:cs="Times New Roman"/>
          <w:sz w:val="24"/>
          <w:szCs w:val="24"/>
          <w:lang w:val="en-US"/>
        </w:rPr>
        <w:t>In China, in all five provinces, the environmental pollutants significantly decreased during the lockdown period as compared to a similar period of 2020. In Hubei, the reduction concentrations were 11.02%, 49.21%, 9.33%, 16.20% and 31% for CO, NO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SO</w:t>
      </w:r>
      <w:r w:rsidRPr="00C21793">
        <w:rPr>
          <w:rFonts w:ascii="Times New Roman" w:hAnsi="Times New Roman" w:cs="Times New Roman"/>
          <w:sz w:val="24"/>
          <w:szCs w:val="24"/>
          <w:vertAlign w:val="subscript"/>
          <w:lang w:val="en-US"/>
        </w:rPr>
        <w:t>2</w:t>
      </w:r>
      <w:r w:rsidR="00CA1CC3" w:rsidRPr="00C21793">
        <w:rPr>
          <w:rFonts w:ascii="Times New Roman" w:hAnsi="Times New Roman" w:cs="Times New Roman"/>
          <w:sz w:val="24"/>
          <w:szCs w:val="24"/>
          <w:lang w:val="en-US"/>
        </w:rPr>
        <w:t>, PM</w:t>
      </w:r>
      <w:r w:rsidRPr="00C21793">
        <w:rPr>
          <w:rFonts w:ascii="Times New Roman" w:hAnsi="Times New Roman" w:cs="Times New Roman"/>
          <w:sz w:val="24"/>
          <w:szCs w:val="24"/>
          <w:vertAlign w:val="subscript"/>
          <w:lang w:val="en-US"/>
        </w:rPr>
        <w:t>2.5</w:t>
      </w:r>
      <w:r w:rsidR="00CA1CC3" w:rsidRPr="00C21793">
        <w:rPr>
          <w:rFonts w:ascii="Times New Roman" w:hAnsi="Times New Roman" w:cs="Times New Roman"/>
          <w:sz w:val="24"/>
          <w:szCs w:val="24"/>
          <w:lang w:val="en-US"/>
        </w:rPr>
        <w:t xml:space="preserve"> and PM</w:t>
      </w:r>
      <w:r w:rsidRPr="00C21793">
        <w:rPr>
          <w:rFonts w:ascii="Times New Roman" w:hAnsi="Times New Roman" w:cs="Times New Roman"/>
          <w:sz w:val="24"/>
          <w:szCs w:val="24"/>
          <w:vertAlign w:val="subscript"/>
          <w:lang w:val="en-US"/>
        </w:rPr>
        <w:t>10</w:t>
      </w:r>
      <w:r w:rsidRPr="00C21793">
        <w:rPr>
          <w:rFonts w:ascii="Times New Roman" w:hAnsi="Times New Roman" w:cs="Times New Roman"/>
          <w:sz w:val="24"/>
          <w:szCs w:val="24"/>
          <w:lang w:val="en-US"/>
        </w:rPr>
        <w:t xml:space="preserve"> respectively (Figure 2). Beijing is the capital of China, with 21.54 million populations and air pollution significantly affected the community in this city. During this pandemic period, air pollution significantly decreased as compared to the previous year. The concentrations of PM</w:t>
      </w:r>
      <w:r w:rsidRPr="00C21793">
        <w:rPr>
          <w:rFonts w:ascii="Times New Roman" w:hAnsi="Times New Roman" w:cs="Times New Roman"/>
          <w:sz w:val="24"/>
          <w:szCs w:val="24"/>
          <w:vertAlign w:val="subscript"/>
          <w:lang w:val="en-US"/>
        </w:rPr>
        <w:t>2.5</w:t>
      </w:r>
      <w:r w:rsidRPr="00C21793">
        <w:rPr>
          <w:rFonts w:ascii="Times New Roman" w:hAnsi="Times New Roman" w:cs="Times New Roman"/>
          <w:sz w:val="24"/>
          <w:szCs w:val="24"/>
          <w:lang w:val="en-US"/>
        </w:rPr>
        <w:t xml:space="preserve"> in Beijing, Shanghai, Guangdong, and Zhejiang decreas</w:t>
      </w:r>
      <w:r w:rsidR="00CA1CC3" w:rsidRPr="00C21793">
        <w:rPr>
          <w:rFonts w:ascii="Times New Roman" w:hAnsi="Times New Roman" w:cs="Times New Roman"/>
          <w:sz w:val="24"/>
          <w:szCs w:val="24"/>
          <w:lang w:val="en-US"/>
        </w:rPr>
        <w:t xml:space="preserve">ed by 6.48%, 26.6%, 19.82%, </w:t>
      </w:r>
      <w:r w:rsidRPr="00C21793">
        <w:rPr>
          <w:rFonts w:ascii="Times New Roman" w:hAnsi="Times New Roman" w:cs="Times New Roman"/>
          <w:sz w:val="24"/>
          <w:szCs w:val="24"/>
          <w:lang w:val="en-US"/>
        </w:rPr>
        <w:lastRenderedPageBreak/>
        <w:t xml:space="preserve">19.78, </w:t>
      </w:r>
      <w:r w:rsidR="00CA1CC3" w:rsidRPr="00C21793">
        <w:rPr>
          <w:rFonts w:ascii="Times New Roman" w:hAnsi="Times New Roman" w:cs="Times New Roman"/>
          <w:sz w:val="24"/>
          <w:szCs w:val="24"/>
          <w:lang w:val="en-US"/>
        </w:rPr>
        <w:t>respectively</w:t>
      </w:r>
      <w:r w:rsidR="0052112D" w:rsidRPr="00C21793">
        <w:rPr>
          <w:rFonts w:ascii="Times New Roman" w:hAnsi="Times New Roman" w:cs="Times New Roman"/>
          <w:sz w:val="24"/>
          <w:szCs w:val="24"/>
          <w:lang w:val="en-US"/>
        </w:rPr>
        <w:t>,</w:t>
      </w:r>
      <w:r w:rsidR="00CA1CC3" w:rsidRPr="00C21793">
        <w:rPr>
          <w:rFonts w:ascii="Times New Roman" w:hAnsi="Times New Roman" w:cs="Times New Roman"/>
          <w:sz w:val="24"/>
          <w:szCs w:val="24"/>
          <w:lang w:val="en-US"/>
        </w:rPr>
        <w:t xml:space="preserve"> while and PM</w:t>
      </w:r>
      <w:r w:rsidR="00CA1CC3" w:rsidRPr="00C21793">
        <w:rPr>
          <w:rFonts w:ascii="Times New Roman" w:hAnsi="Times New Roman" w:cs="Times New Roman"/>
          <w:sz w:val="24"/>
          <w:szCs w:val="24"/>
          <w:vertAlign w:val="subscript"/>
          <w:lang w:val="en-US"/>
        </w:rPr>
        <w:t>10</w:t>
      </w:r>
      <w:r w:rsidR="00CA1CC3" w:rsidRPr="00C21793">
        <w:rPr>
          <w:rFonts w:ascii="Times New Roman" w:hAnsi="Times New Roman" w:cs="Times New Roman"/>
          <w:sz w:val="24"/>
          <w:szCs w:val="24"/>
          <w:lang w:val="en-US"/>
        </w:rPr>
        <w:t xml:space="preserve"> decreased by</w:t>
      </w:r>
      <w:r w:rsidRPr="00C21793">
        <w:rPr>
          <w:rFonts w:ascii="Times New Roman" w:hAnsi="Times New Roman" w:cs="Times New Roman"/>
          <w:sz w:val="24"/>
          <w:szCs w:val="24"/>
          <w:lang w:val="en-US"/>
        </w:rPr>
        <w:t xml:space="preserve"> 79.07%, 29.14%, 26.41%, and 23.62%, respectively. In Shanghai, the reductions in the concentrations of CO, NO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and SO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xml:space="preserve"> were 18.21%, 43.73%, and 31.19%, respectively. Similar conclusions can be derived fro</w:t>
      </w:r>
      <w:r w:rsidR="00CA1CC3" w:rsidRPr="00C21793">
        <w:rPr>
          <w:rFonts w:ascii="Times New Roman" w:hAnsi="Times New Roman" w:cs="Times New Roman"/>
          <w:sz w:val="24"/>
          <w:szCs w:val="24"/>
          <w:lang w:val="en-US"/>
        </w:rPr>
        <w:t>m Guangdong and Zhejiang provinces</w:t>
      </w:r>
      <w:r w:rsidRPr="00C21793">
        <w:rPr>
          <w:rFonts w:ascii="Times New Roman" w:hAnsi="Times New Roman" w:cs="Times New Roman"/>
          <w:sz w:val="24"/>
          <w:szCs w:val="24"/>
          <w:lang w:val="en-US"/>
        </w:rPr>
        <w:t>.</w:t>
      </w:r>
    </w:p>
    <w:p w:rsidR="00306945" w:rsidRPr="00C21793" w:rsidRDefault="00306945" w:rsidP="00AE6DF9">
      <w:pPr>
        <w:pStyle w:val="NoSpacing"/>
        <w:spacing w:line="360" w:lineRule="auto"/>
        <w:jc w:val="center"/>
        <w:rPr>
          <w:rFonts w:ascii="Times New Roman" w:hAnsi="Times New Roman" w:cs="Times New Roman"/>
          <w:sz w:val="24"/>
          <w:szCs w:val="24"/>
          <w:lang w:val="en-US"/>
        </w:rPr>
      </w:pPr>
    </w:p>
    <w:p w:rsidR="00674455" w:rsidRPr="00C21793" w:rsidRDefault="00674455" w:rsidP="00306945">
      <w:pPr>
        <w:pStyle w:val="NoSpacing"/>
        <w:spacing w:line="360" w:lineRule="auto"/>
        <w:jc w:val="both"/>
        <w:rPr>
          <w:rFonts w:ascii="Times New Roman" w:hAnsi="Times New Roman" w:cs="Times New Roman"/>
          <w:b/>
          <w:sz w:val="24"/>
          <w:szCs w:val="24"/>
        </w:rPr>
      </w:pPr>
      <w:r w:rsidRPr="00C21793">
        <w:rPr>
          <w:rFonts w:ascii="Times New Roman" w:hAnsi="Times New Roman" w:cs="Times New Roman"/>
        </w:rPr>
        <w:object w:dxaOrig="5114" w:dyaOrig="3595">
          <v:shape id="_x0000_i1026" type="#_x0000_t75" style="width:414pt;height:444.75pt" o:ole="">
            <v:imagedata r:id="rId19" o:title="" croptop="4806f" cropbottom="8520f" cropleft="6461f" cropright="24922f"/>
          </v:shape>
          <o:OLEObject Type="Embed" ProgID="Origin50.Graph" ShapeID="_x0000_i1026" DrawAspect="Content" ObjectID="_1661242447" r:id="rId20"/>
        </w:object>
      </w:r>
    </w:p>
    <w:p w:rsidR="00306945" w:rsidRPr="00C21793" w:rsidRDefault="00306945" w:rsidP="00306945">
      <w:pPr>
        <w:pStyle w:val="NoSpacing"/>
        <w:spacing w:line="360" w:lineRule="auto"/>
        <w:jc w:val="both"/>
        <w:rPr>
          <w:rFonts w:ascii="Times New Roman" w:hAnsi="Times New Roman" w:cs="Times New Roman"/>
          <w:sz w:val="24"/>
          <w:szCs w:val="24"/>
          <w:lang w:val="en-US"/>
        </w:rPr>
      </w:pPr>
      <w:r w:rsidRPr="00C21793">
        <w:rPr>
          <w:rFonts w:ascii="Times New Roman" w:hAnsi="Times New Roman" w:cs="Times New Roman"/>
          <w:b/>
          <w:sz w:val="24"/>
          <w:szCs w:val="24"/>
        </w:rPr>
        <w:t>Figure 2.</w:t>
      </w:r>
      <w:r w:rsidRPr="00C21793">
        <w:rPr>
          <w:rFonts w:ascii="Times New Roman" w:hAnsi="Times New Roman" w:cs="Times New Roman"/>
          <w:sz w:val="24"/>
          <w:szCs w:val="24"/>
        </w:rPr>
        <w:t xml:space="preserve"> </w:t>
      </w:r>
      <w:proofErr w:type="spellStart"/>
      <w:r w:rsidRPr="00C21793">
        <w:rPr>
          <w:rFonts w:ascii="Times New Roman" w:hAnsi="Times New Roman" w:cs="Times New Roman"/>
          <w:sz w:val="24"/>
          <w:szCs w:val="24"/>
        </w:rPr>
        <w:t>Changes</w:t>
      </w:r>
      <w:proofErr w:type="spellEnd"/>
      <w:r w:rsidRPr="00C21793">
        <w:rPr>
          <w:rFonts w:ascii="Times New Roman" w:hAnsi="Times New Roman" w:cs="Times New Roman"/>
          <w:sz w:val="24"/>
          <w:szCs w:val="24"/>
        </w:rPr>
        <w:t xml:space="preserve"> in </w:t>
      </w:r>
      <w:proofErr w:type="spellStart"/>
      <w:r w:rsidRPr="00C21793">
        <w:rPr>
          <w:rFonts w:ascii="Times New Roman" w:hAnsi="Times New Roman" w:cs="Times New Roman"/>
          <w:sz w:val="24"/>
          <w:szCs w:val="24"/>
        </w:rPr>
        <w:t>the</w:t>
      </w:r>
      <w:proofErr w:type="spellEnd"/>
      <w:r w:rsidRPr="00C21793">
        <w:rPr>
          <w:rFonts w:ascii="Times New Roman" w:hAnsi="Times New Roman" w:cs="Times New Roman"/>
          <w:sz w:val="24"/>
          <w:szCs w:val="24"/>
        </w:rPr>
        <w:t xml:space="preserve"> </w:t>
      </w:r>
      <w:proofErr w:type="spellStart"/>
      <w:r w:rsidR="0052112D" w:rsidRPr="00C21793">
        <w:rPr>
          <w:rFonts w:ascii="Times New Roman" w:hAnsi="Times New Roman" w:cs="Times New Roman"/>
          <w:sz w:val="24"/>
          <w:szCs w:val="24"/>
        </w:rPr>
        <w:t>concentrations</w:t>
      </w:r>
      <w:proofErr w:type="spellEnd"/>
      <w:r w:rsidR="0052112D" w:rsidRPr="00C21793">
        <w:rPr>
          <w:rFonts w:ascii="Times New Roman" w:hAnsi="Times New Roman" w:cs="Times New Roman"/>
          <w:sz w:val="24"/>
          <w:szCs w:val="24"/>
        </w:rPr>
        <w:t xml:space="preserve"> </w:t>
      </w:r>
      <w:r w:rsidRPr="00C21793">
        <w:rPr>
          <w:rFonts w:ascii="Times New Roman" w:hAnsi="Times New Roman" w:cs="Times New Roman"/>
          <w:sz w:val="24"/>
          <w:szCs w:val="24"/>
        </w:rPr>
        <w:t xml:space="preserve">of </w:t>
      </w:r>
      <w:proofErr w:type="spellStart"/>
      <w:r w:rsidRPr="00C21793">
        <w:rPr>
          <w:rFonts w:ascii="Times New Roman" w:hAnsi="Times New Roman" w:cs="Times New Roman"/>
          <w:sz w:val="24"/>
          <w:szCs w:val="24"/>
        </w:rPr>
        <w:t>environmental</w:t>
      </w:r>
      <w:proofErr w:type="spellEnd"/>
      <w:r w:rsidRPr="00C21793">
        <w:rPr>
          <w:rFonts w:ascii="Times New Roman" w:hAnsi="Times New Roman" w:cs="Times New Roman"/>
          <w:sz w:val="24"/>
          <w:szCs w:val="24"/>
        </w:rPr>
        <w:t xml:space="preserve"> </w:t>
      </w:r>
      <w:proofErr w:type="spellStart"/>
      <w:r w:rsidRPr="00C21793">
        <w:rPr>
          <w:rFonts w:ascii="Times New Roman" w:hAnsi="Times New Roman" w:cs="Times New Roman"/>
          <w:sz w:val="24"/>
          <w:szCs w:val="24"/>
        </w:rPr>
        <w:t>pollutants</w:t>
      </w:r>
      <w:proofErr w:type="spellEnd"/>
      <w:r w:rsidRPr="00C21793">
        <w:rPr>
          <w:rFonts w:ascii="Times New Roman" w:hAnsi="Times New Roman" w:cs="Times New Roman"/>
          <w:sz w:val="24"/>
          <w:szCs w:val="24"/>
        </w:rPr>
        <w:t xml:space="preserve"> </w:t>
      </w:r>
      <w:proofErr w:type="spellStart"/>
      <w:r w:rsidRPr="00C21793">
        <w:rPr>
          <w:rFonts w:ascii="Times New Roman" w:hAnsi="Times New Roman" w:cs="Times New Roman"/>
          <w:sz w:val="24"/>
          <w:szCs w:val="24"/>
        </w:rPr>
        <w:t>with</w:t>
      </w:r>
      <w:proofErr w:type="spellEnd"/>
      <w:r w:rsidRPr="00C21793">
        <w:rPr>
          <w:rFonts w:ascii="Times New Roman" w:hAnsi="Times New Roman" w:cs="Times New Roman"/>
          <w:sz w:val="24"/>
          <w:szCs w:val="24"/>
        </w:rPr>
        <w:t xml:space="preserve"> and </w:t>
      </w:r>
      <w:proofErr w:type="spellStart"/>
      <w:r w:rsidRPr="00C21793">
        <w:rPr>
          <w:rFonts w:ascii="Times New Roman" w:hAnsi="Times New Roman" w:cs="Times New Roman"/>
          <w:sz w:val="24"/>
          <w:szCs w:val="24"/>
        </w:rPr>
        <w:t>without</w:t>
      </w:r>
      <w:proofErr w:type="spellEnd"/>
      <w:r w:rsidRPr="00C21793">
        <w:rPr>
          <w:rFonts w:ascii="Times New Roman" w:hAnsi="Times New Roman" w:cs="Times New Roman"/>
          <w:sz w:val="24"/>
          <w:szCs w:val="24"/>
        </w:rPr>
        <w:t xml:space="preserve"> </w:t>
      </w:r>
      <w:proofErr w:type="spellStart"/>
      <w:r w:rsidRPr="00C21793">
        <w:rPr>
          <w:rFonts w:ascii="Times New Roman" w:hAnsi="Times New Roman" w:cs="Times New Roman"/>
          <w:sz w:val="24"/>
          <w:szCs w:val="24"/>
        </w:rPr>
        <w:t>lockdown</w:t>
      </w:r>
      <w:proofErr w:type="spellEnd"/>
      <w:r w:rsidRPr="00C21793">
        <w:rPr>
          <w:rFonts w:ascii="Times New Roman" w:hAnsi="Times New Roman" w:cs="Times New Roman"/>
          <w:sz w:val="24"/>
          <w:szCs w:val="24"/>
        </w:rPr>
        <w:t xml:space="preserve"> </w:t>
      </w:r>
      <w:proofErr w:type="spellStart"/>
      <w:r w:rsidRPr="00C21793">
        <w:rPr>
          <w:rFonts w:ascii="Times New Roman" w:hAnsi="Times New Roman" w:cs="Times New Roman"/>
          <w:sz w:val="24"/>
          <w:szCs w:val="24"/>
        </w:rPr>
        <w:t>condition</w:t>
      </w:r>
      <w:proofErr w:type="spellEnd"/>
      <w:r w:rsidRPr="00C21793">
        <w:rPr>
          <w:rFonts w:ascii="Times New Roman" w:hAnsi="Times New Roman" w:cs="Times New Roman"/>
          <w:sz w:val="24"/>
          <w:szCs w:val="24"/>
        </w:rPr>
        <w:t xml:space="preserve"> in </w:t>
      </w:r>
      <w:proofErr w:type="spellStart"/>
      <w:r w:rsidRPr="00C21793">
        <w:rPr>
          <w:rFonts w:ascii="Times New Roman" w:hAnsi="Times New Roman" w:cs="Times New Roman"/>
          <w:sz w:val="24"/>
          <w:szCs w:val="24"/>
        </w:rPr>
        <w:t>the</w:t>
      </w:r>
      <w:proofErr w:type="spellEnd"/>
      <w:r w:rsidRPr="00C21793">
        <w:rPr>
          <w:rFonts w:ascii="Times New Roman" w:hAnsi="Times New Roman" w:cs="Times New Roman"/>
          <w:sz w:val="24"/>
          <w:szCs w:val="24"/>
        </w:rPr>
        <w:t xml:space="preserve"> </w:t>
      </w:r>
      <w:proofErr w:type="spellStart"/>
      <w:r w:rsidRPr="00C21793">
        <w:rPr>
          <w:rFonts w:ascii="Times New Roman" w:hAnsi="Times New Roman" w:cs="Times New Roman"/>
          <w:sz w:val="24"/>
          <w:szCs w:val="24"/>
        </w:rPr>
        <w:t>five</w:t>
      </w:r>
      <w:proofErr w:type="spellEnd"/>
      <w:r w:rsidRPr="00C21793">
        <w:rPr>
          <w:rFonts w:ascii="Times New Roman" w:hAnsi="Times New Roman" w:cs="Times New Roman"/>
          <w:sz w:val="24"/>
          <w:szCs w:val="24"/>
        </w:rPr>
        <w:t xml:space="preserve"> </w:t>
      </w:r>
      <w:proofErr w:type="spellStart"/>
      <w:r w:rsidRPr="00C21793">
        <w:rPr>
          <w:rFonts w:ascii="Times New Roman" w:hAnsi="Times New Roman" w:cs="Times New Roman"/>
          <w:sz w:val="24"/>
          <w:szCs w:val="24"/>
        </w:rPr>
        <w:t>provinces</w:t>
      </w:r>
      <w:proofErr w:type="spellEnd"/>
      <w:r w:rsidRPr="00C21793">
        <w:rPr>
          <w:rFonts w:ascii="Times New Roman" w:hAnsi="Times New Roman" w:cs="Times New Roman"/>
          <w:sz w:val="24"/>
          <w:szCs w:val="24"/>
        </w:rPr>
        <w:t xml:space="preserve"> of China</w:t>
      </w:r>
      <w:r w:rsidR="00A46E58" w:rsidRPr="00C21793">
        <w:rPr>
          <w:rFonts w:ascii="Times New Roman" w:hAnsi="Times New Roman" w:cs="Times New Roman"/>
          <w:sz w:val="24"/>
          <w:szCs w:val="24"/>
        </w:rPr>
        <w:t xml:space="preserve"> (</w:t>
      </w:r>
      <w:proofErr w:type="spellStart"/>
      <w:r w:rsidR="00A46E58" w:rsidRPr="00C21793">
        <w:rPr>
          <w:rFonts w:ascii="Times New Roman" w:hAnsi="Times New Roman" w:cs="Times New Roman"/>
          <w:sz w:val="24"/>
          <w:szCs w:val="24"/>
        </w:rPr>
        <w:t>Gdong</w:t>
      </w:r>
      <w:proofErr w:type="spellEnd"/>
      <w:r w:rsidR="00A46E58" w:rsidRPr="00C21793">
        <w:rPr>
          <w:rFonts w:ascii="Times New Roman" w:hAnsi="Times New Roman" w:cs="Times New Roman"/>
          <w:sz w:val="24"/>
          <w:szCs w:val="24"/>
        </w:rPr>
        <w:t xml:space="preserve">= </w:t>
      </w:r>
      <w:proofErr w:type="spellStart"/>
      <w:r w:rsidRPr="00C21793">
        <w:rPr>
          <w:rFonts w:ascii="Times New Roman" w:hAnsi="Times New Roman" w:cs="Times New Roman"/>
          <w:sz w:val="24"/>
          <w:szCs w:val="24"/>
        </w:rPr>
        <w:t>Guangdong</w:t>
      </w:r>
      <w:proofErr w:type="spellEnd"/>
      <w:r w:rsidRPr="00C21793">
        <w:rPr>
          <w:rFonts w:ascii="Times New Roman" w:hAnsi="Times New Roman" w:cs="Times New Roman"/>
          <w:sz w:val="24"/>
          <w:szCs w:val="24"/>
        </w:rPr>
        <w:t>).</w:t>
      </w:r>
    </w:p>
    <w:p w:rsidR="00306945" w:rsidRPr="00C21793" w:rsidRDefault="00306945" w:rsidP="00306945">
      <w:pPr>
        <w:pStyle w:val="NoSpacing"/>
        <w:spacing w:line="360" w:lineRule="auto"/>
        <w:ind w:firstLine="540"/>
        <w:jc w:val="center"/>
        <w:rPr>
          <w:rFonts w:ascii="Times New Roman" w:hAnsi="Times New Roman" w:cs="Times New Roman"/>
          <w:sz w:val="24"/>
          <w:szCs w:val="24"/>
          <w:lang w:val="en-US"/>
        </w:rPr>
      </w:pPr>
    </w:p>
    <w:p w:rsidR="00306945" w:rsidRPr="00C21793" w:rsidRDefault="00306945" w:rsidP="00306945">
      <w:pPr>
        <w:pStyle w:val="NoSpacing"/>
        <w:spacing w:line="360" w:lineRule="auto"/>
        <w:ind w:firstLine="360"/>
        <w:jc w:val="both"/>
        <w:rPr>
          <w:rFonts w:ascii="Times New Roman" w:hAnsi="Times New Roman" w:cs="Times New Roman"/>
          <w:sz w:val="24"/>
          <w:szCs w:val="24"/>
          <w:lang w:val="en-US"/>
        </w:rPr>
      </w:pPr>
      <w:r w:rsidRPr="00C21793">
        <w:rPr>
          <w:rFonts w:ascii="Times New Roman" w:hAnsi="Times New Roman" w:cs="Times New Roman"/>
          <w:sz w:val="24"/>
          <w:szCs w:val="24"/>
          <w:lang w:val="en-US"/>
        </w:rPr>
        <w:lastRenderedPageBreak/>
        <w:t xml:space="preserve">Globally, air pollution dramatically decreased due to unprecedented lockdown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{"citationItems":[{"id":"ITEM-1","itemData":{"DOI":"10.1016/j.scitotenv.2020.139052","ISSN":"18791026","abstract":"Responding to the ongoing novel coronavirus (agent of COVID-19) outbreak, China implemented “the largest quarantine in human history” in Wuhan on 23 January 2020. Similar quarantine measures were imposed on other Chinese cities within days. Human mobility and relevant production and consumption activities have since decreased significantly. As a likely side effect of this decrease, many regions have recorded significant reductions in air pollution. We employed daily air pollution data and Intracity Migration Index (IMI) data form Baidu between 1 January and 21 March 2020 for 44 cities in northern China to examine whether, how, and to what extent travel restrictions affected air quality. On the basis of this quantitative analysis, we reached the following conclusions: (1) The reduction of air pollution was strongly associated with travel restrictions during this pandemic—on average, the air quality index (AQI) decreased by 7.80%, and five air pollutants (i.e., SO2, PM2.5, PM10, NO2, and CO) decreased by 6.76%, 5.93%, 13.66%, 24.67%, and 4.58%, respectively. (2) Mechanism analysis illustrated that the lockdowns of 44 cities reduced human movements by 69.85%, and a reduction in the AQI, PM2.5, and CO was partially mediated by human mobility, and SO2, PM10, and NO2 were completely mediated. (3) Our findings highlight the importance of understanding the role of green production and consumption.","author":[{"dropping-particle":"","family":"Bao","given":"Rui","non-dropping-particle":"","parse-names":false,"suffix":""},{"dropping-particle":"","family":"Zhang","given":"Acheng","non-dropping-particle":"","parse-names":false,"suffix":""}],"container-title":"Science of the Total Environment","id":"ITEM-1","issued":{"date-parts":[["2020"]]},"page":"139052","publisher":"Elsevier B.V","title":"Does lockdown reduce air pollution? Evidence from 44 cities in northern China","type":"article-journal","volume":"731"},"uris":["http://www.mendeley.com/documents/?uuid=e4a6d9b5-6ef7-4534-adcc-35f26f51739d"]}],"mendeley":{"formattedCitation":"(Bao and Zhang, 2020)","plainTextFormattedCitation":"(Bao and Zhang, 2020)","previouslyFormattedCitation":"(Bao and Zhang, 2020)"},"properties":{"noteIndex":0},"schema":"https://github.com/citation-style-language/schema/raw/master/csl-citation.json"}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107947" w:rsidRPr="00C21793">
        <w:rPr>
          <w:rFonts w:ascii="Times New Roman" w:hAnsi="Times New Roman" w:cs="Times New Roman"/>
          <w:noProof/>
          <w:sz w:val="24"/>
          <w:szCs w:val="24"/>
          <w:lang w:val="en-US"/>
        </w:rPr>
        <w:t>(Bao and Zhang</w:t>
      </w:r>
      <w:r w:rsidRPr="00C21793">
        <w:rPr>
          <w:rFonts w:ascii="Times New Roman" w:hAnsi="Times New Roman" w:cs="Times New Roman"/>
          <w:noProof/>
          <w:sz w:val="24"/>
          <w:szCs w:val="24"/>
          <w:lang w:val="en-US"/>
        </w:rPr>
        <w:t xml:space="preserve"> 2020)</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According to our results, significant concentrations of pollutants were reduced in the first quarter year of 2020</w:t>
      </w:r>
      <w:r w:rsidR="00317CF9" w:rsidRPr="00C21793">
        <w:rPr>
          <w:rFonts w:ascii="Times New Roman" w:hAnsi="Times New Roman" w:cs="Times New Roman"/>
          <w:sz w:val="24"/>
          <w:szCs w:val="24"/>
          <w:lang w:val="en-US"/>
        </w:rPr>
        <w:t xml:space="preserve"> as compared to 2019 (Figure 1, </w:t>
      </w:r>
      <w:r w:rsidRPr="00C21793">
        <w:rPr>
          <w:rFonts w:ascii="Times New Roman" w:hAnsi="Times New Roman" w:cs="Times New Roman"/>
          <w:sz w:val="24"/>
          <w:szCs w:val="24"/>
          <w:lang w:val="en-US"/>
        </w:rPr>
        <w:t xml:space="preserve">2). Our results were similar to recent research studies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{"citationItems":[{"id":"ITEM-1","itemData":{"DOI":"10.1016/j.scitotenv.2020.138878","ISSN":"18791026","abstract":"The effectiveness and cost are always top factors for policy-makers to decide control measures and most measures had no pre-test before implementation. Due to the COVID-19 pandemic, human activities are largely restricted in many regions in India since mid-March of 2020, and it is a progressing experiment to testify effectiveness of restricted emissions. In this study, concentrations of six criteria pollutants, PM10, PM2.5, CO, NO2, ozone and SO2 during March 16th to April 14th from 2017 to 2020 in 22 cities covering different regions of India were analysed. Overall, around 43, 31, 10, and 18% decreases in PM2.5, PM10, CO, and NO2 in India were observed during lockdown period compared to previous years. While, there were 17% increase in O3 and negligible changes in SO2. The air quality index (AQI) reduced by 44, 33, 29, 15 and 32% in north, south, east, central and western India, respectively. Correlation between cities especially in northern and eastern regions improved in 2020 compared to previous years, indicating more significant regional transport than previous years. The mean excessive risks of PM reduced by ~52% nationwide due to restricted activities in lockdown period. To eliminate the effects of possible favourable meteorology, the WRF-AERMOD model system was also applied in Delhi-NCR with actual meteorology during the lockdown period and an un-favourable event in early November of 2019 and results show that predicted PM2.5 could increase by only 33% in unfavourable meteorology. This study gives confidence to the regulatory bodies that even during unfavourable meteorology, a significant improvement in air quality could be expected if strict execution of air quality control plans is implemented.","author":[{"dropping-particle":"","family":"Sharma","given":"Shubham","non-dropping-particle":"","parse-names":false,"suffix":""},{"dropping-particle":"","family":"Zhang","given":"Mengyuan","non-dropping-particle":"","parse-names":false,"suffix":""},{"dropping-particle":"","family":"Anshika","given":"","non-dropping-particle":"","parse-names":false,"suffix":""},{"dropping-particle":"","family":"Gao","given":"Jingsi","non-dropping-particle":"","parse-names":false,"suffix":""},{"dropping-particle":"","family":"Zhang","given":"Hongliang","non-dropping-particle":"","parse-names":false,"suffix":""},{"dropping-particle":"","family":"Kota","given":"Sri Harsha","non-dropping-particle":"","parse-names":false,"suffix":""}],"container-title":"Science of the Total Environment","id":"ITEM-1","issued":{"date-parts":[["2020"]]},"page":"138878","publisher":"Elsevier B.V","title":"Effect of restricted emissions during COVID-19 on air quality in India","type":"article-journal","volume":"728"},"uris":["http://www.mendeley.com/documents/?uuid=192795ac-d94f-4ef9-a1f9-2edc3fc094ec"]},{"id":"ITEM-2","itemData":{"DOI":"10.1016/j.scitotenv.2020.139052","ISSN":"18791026","abstract":"Responding to the ongoing novel coronavirus (agent of COVID-19) outbreak, China implemented “the largest quarantine in human history” in Wuhan on 23 January 2020. Similar quarantine measures were imposed on other Chinese cities within days. Human mobility and relevant production and consumption activities have since decreased significantly. As a likely side effect of this decrease, many regions have recorded significant reductions in air pollution. We employed daily air pollution data and Intracity Migration Index (IMI) data form Baidu between 1 January and 21 March 2020 for 44 cities in northern China to examine whether, how, and to what extent travel restrictions affected air quality. On the basis of this quantitative analysis, we reached the following conclusions: (1) The reduction of air pollution was strongly associated with travel restrictions during this pandemic—on average, the air quality index (AQI) decreased by 7.80%, and five air pollutants (i.e., SO2, PM2.5, PM10, NO2, and CO) decreased by 6.76%, 5.93%, 13.66%, 24.67%, and 4.58%, respectively. (2) Mechanism analysis illustrated that the lockdowns of 44 cities reduced human movements by 69.85%, and a reduction in the AQI, PM2.5, and CO was partially mediated by human mobility, and SO2, PM10, and NO2 were completely mediated. (3) Our findings highlight the importance of understanding the role of green production and consumption.","author":[{"dropping-particle":"","family":"Bao","given":"Rui","non-dropping-particle":"","parse-names":false,"suffix":""},{"dropping-particle":"","family":"Zhang","given":"Acheng","non-dropping-particle":"","parse-names":false,"suffix":""}],"container-title":"Science of the Total Environment","id":"ITEM-2","issued":{"date-parts":[["2020"]]},"page":"139052","publisher":"Elsevier B.V","title":"Does lockdown reduce air pollution? Evidence from 44 cities in northern China","type":"article-journal","volume":"731"},"uris":["http://www.mendeley.com/documents/?uuid=e4a6d9b5-6ef7-4534-adcc-35f26f51739d"]}],"mendeley":{"formattedCitation":"(Bao and Zhang, 2020; Sharma et al., 2020)","plainTextFormattedCitation":"(Bao and Zhang, 2020; Sharma et al., 2020)","previouslyFormattedCitation":"(Bao and Zhang, 2020; Sharma et al., 2020)"},"properties":{"noteIndex":0},"schema":"https://github.com/citation-style-language/schema/raw/master/csl-citation.json"}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107947" w:rsidRPr="00C21793">
        <w:rPr>
          <w:rFonts w:ascii="Times New Roman" w:hAnsi="Times New Roman" w:cs="Times New Roman"/>
          <w:noProof/>
          <w:sz w:val="24"/>
          <w:szCs w:val="24"/>
          <w:lang w:val="en-US"/>
        </w:rPr>
        <w:t>(Bao and Zhang 2020; Sharma et al.</w:t>
      </w:r>
      <w:r w:rsidRPr="00C21793">
        <w:rPr>
          <w:rFonts w:ascii="Times New Roman" w:hAnsi="Times New Roman" w:cs="Times New Roman"/>
          <w:noProof/>
          <w:sz w:val="24"/>
          <w:szCs w:val="24"/>
          <w:lang w:val="en-US"/>
        </w:rPr>
        <w:t xml:space="preserve"> 2020)</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In Italy, NO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softHyphen/>
        <w:t xml:space="preserve"> concentrations were decre</w:t>
      </w:r>
      <w:r w:rsidR="00461FEE" w:rsidRPr="00C21793">
        <w:rPr>
          <w:rFonts w:ascii="Times New Roman" w:hAnsi="Times New Roman" w:cs="Times New Roman"/>
          <w:sz w:val="24"/>
          <w:szCs w:val="24"/>
          <w:lang w:val="en-US"/>
        </w:rPr>
        <w:t>ased during the lockdown period</w:t>
      </w:r>
      <w:r w:rsidR="00742ABA" w:rsidRPr="00C21793">
        <w:rPr>
          <w:rFonts w:ascii="Times New Roman" w:hAnsi="Times New Roman" w:cs="Times New Roman"/>
          <w:sz w:val="24"/>
          <w:szCs w:val="24"/>
          <w:lang w:val="en-US"/>
        </w:rPr>
        <w:t xml:space="preserve"> (Reuters 2020)</w:t>
      </w:r>
      <w:r w:rsidRPr="00C21793">
        <w:rPr>
          <w:rFonts w:ascii="Times New Roman" w:hAnsi="Times New Roman" w:cs="Times New Roman"/>
          <w:sz w:val="24"/>
          <w:szCs w:val="24"/>
          <w:lang w:val="en-US"/>
        </w:rPr>
        <w:t xml:space="preserve">. According to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{"citationItems":[{"id":"ITEM-1","itemData":{"DOI":"10.1016/j.scitotenv.2020.138878","ISSN":"18791026","abstract":"The effectiveness and cost are always top factors for policy-makers to decide control measures and most measures had no pre-test before implementation. Due to the COVID-19 pandemic, human activities are largely restricted in many regions in India since mid-March of 2020, and it is a progressing experiment to testify effectiveness of restricted emissions. In this study, concentrations of six criteria pollutants, PM10, PM2.5, CO, NO2, ozone and SO2 during March 16th to April 14th from 2017 to 2020 in 22 cities covering different regions of India were analysed. Overall, around 43, 31, 10, and 18% decreases in PM2.5, PM10, CO, and NO2 in India were observed during lockdown period compared to previous years. While, there were 17% increase in O3 and negligible changes in SO2. The air quality index (AQI) reduced by 44, 33, 29, 15 and 32% in north, south, east, central and western India, respectively. Correlation between cities especially in northern and eastern regions improved in 2020 compared to previous years, indicating more significant regional transport than previous years. The mean excessive risks of PM reduced by ~52% nationwide due to restricted activities in lockdown period. To eliminate the effects of possible favourable meteorology, the WRF-AERMOD model system was also applied in Delhi-NCR with actual meteorology during the lockdown period and an un-favourable event in early November of 2019 and results show that predicted PM2.5 could increase by only 33% in unfavourable meteorology. This study gives confidence to the regulatory bodies that even during unfavourable meteorology, a significant improvement in air quality could be expected if strict execution of air quality control plans is implemented.","author":[{"dropping-particle":"","family":"Sharma","given":"Shubham","non-dropping-particle":"","parse-names":false,"suffix":""},{"dropping-particle":"","family":"Zhang","given":"Mengyuan","non-dropping-particle":"","parse-names":false,"suffix":""},{"dropping-particle":"","family":"Anshika","given":"","non-dropping-particle":"","parse-names":false,"suffix":""},{"dropping-particle":"","family":"Gao","given":"Jingsi","non-dropping-particle":"","parse-names":false,"suffix":""},{"dropping-particle":"","family":"Zhang","given":"Hongliang","non-dropping-particle":"","parse-names":false,"suffix":""},{"dropping-particle":"","family":"Kota","given":"Sri Harsha","non-dropping-particle":"","parse-names":false,"suffix":""}],"container-title":"Science of the Total Environment","id":"ITEM-1","issued":{"date-parts":[["2020"]]},"page":"138878","publisher":"Elsevier B.V","title":"Effect of restricted emissions during COVID-19 on air quality in India","type":"article-journal","volume":"728"},"uris":["http://www.mendeley.com/documents/?uuid=192795ac-d94f-4ef9-a1f9-2edc3fc094ec"]}],"mendeley":{"formattedCitation":"(Sharma et al., 2020)","manualFormatting":"Sharma et al., (2020)","plainTextFormattedCitation":"(Sharma et al., 2020)","previouslyFormattedCitation":"(Sharma et al., 2020)"},"properties":{"noteIndex":0},"schema":"https://github.com/citation-style-language/schema/raw/master/csl-citation.json"}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107947" w:rsidRPr="00C21793">
        <w:rPr>
          <w:rFonts w:ascii="Times New Roman" w:hAnsi="Times New Roman" w:cs="Times New Roman"/>
          <w:noProof/>
          <w:sz w:val="24"/>
          <w:szCs w:val="24"/>
          <w:lang w:val="en-US"/>
        </w:rPr>
        <w:t>Sharma et al.</w:t>
      </w:r>
      <w:r w:rsidRPr="00C21793">
        <w:rPr>
          <w:rFonts w:ascii="Times New Roman" w:hAnsi="Times New Roman" w:cs="Times New Roman"/>
          <w:noProof/>
          <w:sz w:val="24"/>
          <w:szCs w:val="24"/>
          <w:lang w:val="en-US"/>
        </w:rPr>
        <w:t xml:space="preserve"> (2020)</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study, concentrations of PM</w:t>
      </w:r>
      <w:r w:rsidRPr="00C21793">
        <w:rPr>
          <w:rFonts w:ascii="Times New Roman" w:hAnsi="Times New Roman" w:cs="Times New Roman"/>
          <w:sz w:val="24"/>
          <w:szCs w:val="24"/>
          <w:vertAlign w:val="subscript"/>
          <w:lang w:val="en-US"/>
        </w:rPr>
        <w:t>10</w:t>
      </w:r>
      <w:r w:rsidRPr="00C21793">
        <w:rPr>
          <w:rFonts w:ascii="Times New Roman" w:hAnsi="Times New Roman" w:cs="Times New Roman"/>
          <w:sz w:val="24"/>
          <w:szCs w:val="24"/>
          <w:lang w:val="en-US"/>
        </w:rPr>
        <w:t>, PM</w:t>
      </w:r>
      <w:r w:rsidRPr="00C21793">
        <w:rPr>
          <w:rFonts w:ascii="Times New Roman" w:hAnsi="Times New Roman" w:cs="Times New Roman"/>
          <w:sz w:val="24"/>
          <w:szCs w:val="24"/>
          <w:vertAlign w:val="subscript"/>
          <w:lang w:val="en-US"/>
        </w:rPr>
        <w:t>2.5</w:t>
      </w:r>
      <w:r w:rsidRPr="00C21793">
        <w:rPr>
          <w:rFonts w:ascii="Times New Roman" w:hAnsi="Times New Roman" w:cs="Times New Roman"/>
          <w:sz w:val="24"/>
          <w:szCs w:val="24"/>
          <w:lang w:val="en-US"/>
        </w:rPr>
        <w:t xml:space="preserve"> and NO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xml:space="preserve"> were reduced in north India, clearly showing the positive effect of lockdown </w:t>
      </w:r>
      <w:r w:rsidR="00623ED6" w:rsidRPr="00C21793">
        <w:rPr>
          <w:rFonts w:ascii="Times New Roman" w:hAnsi="Times New Roman" w:cs="Times New Roman"/>
          <w:sz w:val="24"/>
          <w:szCs w:val="24"/>
          <w:lang w:val="en-US"/>
        </w:rPr>
        <w:t xml:space="preserve">on air quality </w:t>
      </w:r>
      <w:r w:rsidRPr="00C21793">
        <w:rPr>
          <w:rFonts w:ascii="Times New Roman" w:hAnsi="Times New Roman" w:cs="Times New Roman"/>
          <w:sz w:val="24"/>
          <w:szCs w:val="24"/>
          <w:lang w:val="en-US"/>
        </w:rPr>
        <w:t xml:space="preserve">measurements. During the COVID-19 pandemic, almost every country closed its industrial as well as commercial activities to stop the spread of the COVID-19. This might be the main reason for the reduction of environmental pollutants.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{"citationItems":[{"id":"ITEM-1","itemData":{"DOI":"10.1016/j.resconrec.2020.104814","ISSN":"18790658","abstract":"Due to the pandemic of coronavirus disease 2019 in China, almost all avoidable activities in China are prohibited since Wuhan announced lockdown on January 23, 2020. With reduced activities, severe air pollution events still occurred in the North China Plain, causing discussions regarding why severe air pollution was not avoided. The Community Multi-scale Air Quality model was applied during January 01 to February 12, 2020 to study PM2.5 changes under emission reduction scenarios. The estimated emission reduction case (Case 3) better reproduced PM2.5. Compared with the case without emission change (Case 1), Case 3 predicted that PM2.5 concentrations decreased by up to 20% with absolute decreases of 5.35, 6.37, 9.23, 10.25, 10.30, 12.14, 12.75, 14.41, 18.00 and 30.79 μg/m3 in Guangzhou, Shanghai, Beijing, Shijiazhuang, Tianjin, Jinan, Taiyuan, Xi'an, Zhengzhou, Wuhan, respectively. In high-pollution days with PM2.5 greater than 75 μg/m3, the reductions of PM2.5 in Case 3 were 7.78, 9.51, 11.38, 13.42, 13.64, 14.15, 14.42, 16.95 and 22.08 μg/m3 in Shanghai, Jinan, Shijiazhuang, Beijing, Taiyuan, Xi'an, Tianjin, Zhengzhou and Wuhan, respectively. The reductions in emissions of PM2.5 precursors were ~2 times of that in concentrations, indicating that meteorology was unfavorable during simulation episode. A further analysis shows that benefits of emission reductions were overwhelmed by adverse meteorology and severe air pollution events were not avoided. This study highlights that large emissions reduction in transportation and slight reduction in industrial would not help avoid severe air pollution in China, especially when meteorology is unfavorable. More efforts should be made to completely avoid severe air pollution.","author":[{"dropping-particle":"","family":"Wang","given":"Pengfei","non-dropping-particle":"","parse-names":false,"suffix":""},{"dropping-particle":"","family":"Chen","given":"Kaiyu","non-dropping-particle":"","parse-names":false,"suffix":""},{"dropping-particle":"","family":"Zhu","given":"Shengqiang","non-dropping-particle":"","parse-names":false,"suffix":""},{"dropping-particle":"","family":"Wang","given":"Peng","non-dropping-particle":"","parse-names":false,"suffix":""},{"dropping-particle":"","family":"Zhang","given":"Hongliang","non-dropping-particle":"","parse-names":false,"suffix":""}],"container-title":"Resources, Conservation and Recycling","id":"ITEM-1","issue":"March","issued":{"date-parts":[["2020"]]},"page":"104814","publisher":"Elsevier","title":"Severe air pollution events not avoided by reduced anthropogenic activities during COVID-19 outbreak","type":"article-journal","volume":"158"},"uris":["http://www.mendeley.com/documents/?uuid=f39e4494-832c-4ce2-b833-ba2f8b1cf81e"]}],"mendeley":{"formattedCitation":"(Wang et al., 2020)","manualFormatting":"Wang et al., (2020)","plainTextFormattedCitation":"(Wang et al., 2020)","previouslyFormattedCitation":"(Wang et al., 2020)"},"properties":{"noteIndex":0},"schema":"https://github.com/citation-style-language/schema/raw/master/csl-citation.json"}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3637C2" w:rsidRPr="00C21793">
        <w:rPr>
          <w:rFonts w:ascii="Times New Roman" w:hAnsi="Times New Roman" w:cs="Times New Roman"/>
          <w:noProof/>
          <w:sz w:val="24"/>
          <w:szCs w:val="24"/>
          <w:lang w:val="en-US"/>
        </w:rPr>
        <w:t>Wang et al.</w:t>
      </w:r>
      <w:r w:rsidRPr="00C21793">
        <w:rPr>
          <w:rFonts w:ascii="Times New Roman" w:hAnsi="Times New Roman" w:cs="Times New Roman"/>
          <w:noProof/>
          <w:sz w:val="24"/>
          <w:szCs w:val="24"/>
          <w:lang w:val="en-US"/>
        </w:rPr>
        <w:t xml:space="preserve"> (2020)</w:t>
      </w:r>
      <w:r w:rsidRPr="00C21793">
        <w:rPr>
          <w:rFonts w:ascii="Times New Roman" w:hAnsi="Times New Roman" w:cs="Times New Roman"/>
          <w:sz w:val="24"/>
          <w:szCs w:val="24"/>
          <w:lang w:val="en-US"/>
        </w:rPr>
        <w:fldChar w:fldCharType="end"/>
      </w:r>
      <w:r w:rsidR="003637C2" w:rsidRPr="00C21793">
        <w:rPr>
          <w:rFonts w:ascii="Times New Roman" w:hAnsi="Times New Roman" w:cs="Times New Roman"/>
          <w:sz w:val="24"/>
          <w:szCs w:val="24"/>
          <w:lang w:val="en-US"/>
        </w:rPr>
        <w:t xml:space="preserve"> </w:t>
      </w:r>
      <w:r w:rsidRPr="00C21793">
        <w:rPr>
          <w:rFonts w:ascii="Times New Roman" w:hAnsi="Times New Roman" w:cs="Times New Roman"/>
          <w:sz w:val="24"/>
          <w:szCs w:val="24"/>
          <w:lang w:val="en-US"/>
        </w:rPr>
        <w:t xml:space="preserve">found that </w:t>
      </w:r>
      <w:r w:rsidR="0052112D" w:rsidRPr="00C21793">
        <w:rPr>
          <w:rFonts w:ascii="Times New Roman" w:hAnsi="Times New Roman" w:cs="Times New Roman"/>
          <w:sz w:val="24"/>
          <w:szCs w:val="24"/>
          <w:lang w:val="en-US"/>
        </w:rPr>
        <w:t xml:space="preserve">the </w:t>
      </w:r>
      <w:r w:rsidRPr="00C21793">
        <w:rPr>
          <w:rFonts w:ascii="Times New Roman" w:hAnsi="Times New Roman" w:cs="Times New Roman"/>
          <w:sz w:val="24"/>
          <w:szCs w:val="24"/>
          <w:lang w:val="en-US"/>
        </w:rPr>
        <w:t>concentration of environmental pollutants especially PM</w:t>
      </w:r>
      <w:r w:rsidRPr="00C21793">
        <w:rPr>
          <w:rFonts w:ascii="Times New Roman" w:hAnsi="Times New Roman" w:cs="Times New Roman"/>
          <w:sz w:val="24"/>
          <w:szCs w:val="24"/>
          <w:vertAlign w:val="subscript"/>
          <w:lang w:val="en-US"/>
        </w:rPr>
        <w:t>2.5</w:t>
      </w:r>
      <w:r w:rsidRPr="00C21793">
        <w:rPr>
          <w:rFonts w:ascii="Times New Roman" w:hAnsi="Times New Roman" w:cs="Times New Roman"/>
          <w:sz w:val="24"/>
          <w:szCs w:val="24"/>
          <w:lang w:val="en-US"/>
        </w:rPr>
        <w:t xml:space="preserve">, significantly decreased due to the suspension of industry and transportation in China. </w:t>
      </w:r>
    </w:p>
    <w:p w:rsidR="00306945" w:rsidRPr="00C21793" w:rsidRDefault="00306945" w:rsidP="00306945">
      <w:pPr>
        <w:pStyle w:val="NoSpacing"/>
        <w:spacing w:line="360" w:lineRule="auto"/>
        <w:ind w:firstLine="360"/>
        <w:jc w:val="both"/>
        <w:rPr>
          <w:rFonts w:ascii="Times New Roman" w:hAnsi="Times New Roman" w:cs="Times New Roman"/>
          <w:sz w:val="24"/>
          <w:szCs w:val="24"/>
          <w:lang w:val="en-US"/>
        </w:rPr>
      </w:pPr>
      <w:r w:rsidRPr="00C21793">
        <w:rPr>
          <w:rFonts w:ascii="Times New Roman" w:hAnsi="Times New Roman" w:cs="Times New Roman"/>
          <w:sz w:val="24"/>
          <w:szCs w:val="24"/>
          <w:lang w:val="en-US"/>
        </w:rPr>
        <w:t>Correlation coefficient analysis was used to reveal the interaction between pollutants (first quarter of 2020) of states and provinces of the USA and China, respectively (Figure 3). In the USA, all five environmental pollutants showed strong associations with sates except SO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xml:space="preserve"> (Figure 3a). However, in China</w:t>
      </w:r>
      <w:r w:rsidR="0052112D" w:rsidRPr="00C21793">
        <w:rPr>
          <w:rFonts w:ascii="Times New Roman" w:hAnsi="Times New Roman" w:cs="Times New Roman"/>
          <w:sz w:val="24"/>
          <w:szCs w:val="24"/>
          <w:lang w:val="en-US"/>
        </w:rPr>
        <w:t>,</w:t>
      </w:r>
      <w:r w:rsidRPr="00C21793">
        <w:rPr>
          <w:rFonts w:ascii="Times New Roman" w:hAnsi="Times New Roman" w:cs="Times New Roman"/>
          <w:sz w:val="24"/>
          <w:szCs w:val="24"/>
          <w:lang w:val="en-US"/>
        </w:rPr>
        <w:t xml:space="preserve"> CO, SO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PM</w:t>
      </w:r>
      <w:r w:rsidRPr="00C21793">
        <w:rPr>
          <w:rFonts w:ascii="Times New Roman" w:hAnsi="Times New Roman" w:cs="Times New Roman"/>
          <w:sz w:val="24"/>
          <w:szCs w:val="24"/>
          <w:vertAlign w:val="subscript"/>
          <w:lang w:val="en-US"/>
        </w:rPr>
        <w:t>2.5</w:t>
      </w:r>
      <w:r w:rsidRPr="00C21793">
        <w:rPr>
          <w:rFonts w:ascii="Times New Roman" w:hAnsi="Times New Roman" w:cs="Times New Roman"/>
          <w:sz w:val="24"/>
          <w:szCs w:val="24"/>
          <w:lang w:val="en-US"/>
        </w:rPr>
        <w:t xml:space="preserve"> and PM10 had shown a positive correlation with each other, but a negative correlation was observed in NO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xml:space="preserve"> (Figure 3b).</w:t>
      </w:r>
    </w:p>
    <w:p w:rsidR="00306945" w:rsidRPr="00C21793" w:rsidRDefault="00306945" w:rsidP="00306945">
      <w:pPr>
        <w:pStyle w:val="NoSpacing"/>
        <w:spacing w:line="360" w:lineRule="auto"/>
        <w:jc w:val="center"/>
        <w:rPr>
          <w:rFonts w:ascii="Times New Roman" w:hAnsi="Times New Roman" w:cs="Times New Roman"/>
          <w:sz w:val="24"/>
          <w:szCs w:val="24"/>
          <w:lang w:val="en-US"/>
        </w:rPr>
      </w:pPr>
      <w:r w:rsidRPr="00C21793">
        <w:rPr>
          <w:rFonts w:ascii="Times New Roman" w:hAnsi="Times New Roman" w:cs="Times New Roman"/>
          <w:noProof/>
          <w:sz w:val="24"/>
          <w:szCs w:val="24"/>
          <w:lang w:val="en-US"/>
        </w:rPr>
        <w:drawing>
          <wp:inline distT="0" distB="0" distL="0" distR="0">
            <wp:extent cx="5547360" cy="1882140"/>
            <wp:effectExtent l="0" t="0" r="0" b="3810"/>
            <wp:docPr id="1" name="Picture 1"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5"/>
                    <pic:cNvPicPr>
                      <a:picLocks noChangeAspect="1" noChangeArrowheads="1"/>
                    </pic:cNvPicPr>
                  </pic:nvPicPr>
                  <pic:blipFill>
                    <a:blip r:embed="rId21" cstate="print">
                      <a:extLst>
                        <a:ext uri="{28A0092B-C50C-407E-A947-70E740481C1C}">
                          <a14:useLocalDpi xmlns:a14="http://schemas.microsoft.com/office/drawing/2010/main" val="0"/>
                        </a:ext>
                      </a:extLst>
                    </a:blip>
                    <a:srcRect l="2823" r="5504"/>
                    <a:stretch>
                      <a:fillRect/>
                    </a:stretch>
                  </pic:blipFill>
                  <pic:spPr bwMode="auto">
                    <a:xfrm>
                      <a:off x="0" y="0"/>
                      <a:ext cx="5547360" cy="1882140"/>
                    </a:xfrm>
                    <a:prstGeom prst="rect">
                      <a:avLst/>
                    </a:prstGeom>
                    <a:noFill/>
                    <a:ln>
                      <a:noFill/>
                    </a:ln>
                  </pic:spPr>
                </pic:pic>
              </a:graphicData>
            </a:graphic>
          </wp:inline>
        </w:drawing>
      </w:r>
    </w:p>
    <w:p w:rsidR="00306945" w:rsidRPr="00C21793" w:rsidRDefault="00306945" w:rsidP="00306945">
      <w:pPr>
        <w:spacing w:line="360" w:lineRule="auto"/>
        <w:ind w:right="460"/>
        <w:jc w:val="both"/>
        <w:rPr>
          <w:rFonts w:eastAsia="PMingLiU"/>
          <w:lang w:eastAsia="zh-TW"/>
        </w:rPr>
      </w:pPr>
      <w:r w:rsidRPr="00C21793">
        <w:rPr>
          <w:b/>
        </w:rPr>
        <w:t>Figure 3.</w:t>
      </w:r>
      <w:r w:rsidRPr="00C21793">
        <w:t xml:space="preserve"> Correlation between environmental pollutants in a) the USA and b) China in the first quarter of 2020.</w:t>
      </w:r>
    </w:p>
    <w:p w:rsidR="00306945" w:rsidRPr="00C21793" w:rsidRDefault="00306945" w:rsidP="00306945">
      <w:pPr>
        <w:pStyle w:val="NoSpacing"/>
        <w:spacing w:line="360" w:lineRule="auto"/>
        <w:rPr>
          <w:rFonts w:ascii="Times New Roman" w:hAnsi="Times New Roman" w:cs="Times New Roman"/>
          <w:b/>
          <w:sz w:val="24"/>
          <w:szCs w:val="24"/>
          <w:lang w:val="en-US"/>
        </w:rPr>
      </w:pPr>
      <w:r w:rsidRPr="00C21793">
        <w:rPr>
          <w:rFonts w:ascii="Times New Roman" w:hAnsi="Times New Roman" w:cs="Times New Roman"/>
          <w:b/>
          <w:bCs/>
          <w:sz w:val="24"/>
          <w:szCs w:val="24"/>
          <w:lang w:val="en-US"/>
        </w:rPr>
        <w:t>Association between COVID-19 and environmental pollutants</w:t>
      </w:r>
    </w:p>
    <w:p w:rsidR="00306945" w:rsidRPr="00C21793" w:rsidRDefault="00306945" w:rsidP="00306945">
      <w:pPr>
        <w:pStyle w:val="NoSpacing"/>
        <w:spacing w:line="360" w:lineRule="auto"/>
        <w:ind w:firstLine="360"/>
        <w:jc w:val="both"/>
        <w:rPr>
          <w:rFonts w:ascii="Times New Roman" w:hAnsi="Times New Roman" w:cs="Times New Roman"/>
          <w:bCs/>
          <w:sz w:val="24"/>
          <w:szCs w:val="24"/>
          <w:lang w:val="en-US"/>
        </w:rPr>
      </w:pPr>
      <w:r w:rsidRPr="00C21793">
        <w:rPr>
          <w:rFonts w:ascii="Times New Roman" w:hAnsi="Times New Roman" w:cs="Times New Roman"/>
          <w:sz w:val="24"/>
          <w:szCs w:val="24"/>
          <w:lang w:val="en-US"/>
        </w:rPr>
        <w:lastRenderedPageBreak/>
        <w:t xml:space="preserve">In the USA, the number of confirmed COVID-19 cases and deaths increase rapidly than China. As of </w:t>
      </w:r>
      <w:r w:rsidR="00897AC6" w:rsidRPr="00C21793">
        <w:rPr>
          <w:rFonts w:ascii="Times New Roman" w:hAnsi="Times New Roman" w:cs="Times New Roman"/>
          <w:sz w:val="24"/>
          <w:szCs w:val="24"/>
          <w:lang w:val="en-US"/>
        </w:rPr>
        <w:t>June 15</w:t>
      </w:r>
      <w:r w:rsidRPr="00C21793">
        <w:rPr>
          <w:rFonts w:ascii="Times New Roman" w:hAnsi="Times New Roman" w:cs="Times New Roman"/>
          <w:sz w:val="24"/>
          <w:szCs w:val="24"/>
          <w:lang w:val="en-US"/>
        </w:rPr>
        <w:t xml:space="preserve">, 2020, a total of </w:t>
      </w:r>
      <w:r w:rsidR="0070428D" w:rsidRPr="00C21793">
        <w:rPr>
          <w:rFonts w:ascii="Times New Roman" w:hAnsi="Times New Roman" w:cs="Times New Roman"/>
          <w:sz w:val="24"/>
          <w:szCs w:val="24"/>
          <w:lang w:val="en-US"/>
        </w:rPr>
        <w:t xml:space="preserve">3,296,599 </w:t>
      </w:r>
      <w:r w:rsidRPr="00C21793">
        <w:rPr>
          <w:rFonts w:ascii="Times New Roman" w:hAnsi="Times New Roman" w:cs="Times New Roman"/>
          <w:sz w:val="24"/>
          <w:szCs w:val="24"/>
          <w:lang w:val="en-US"/>
        </w:rPr>
        <w:t xml:space="preserve">confirmed cases with </w:t>
      </w:r>
      <w:r w:rsidR="0070428D" w:rsidRPr="00C21793">
        <w:rPr>
          <w:rFonts w:ascii="Times New Roman" w:hAnsi="Times New Roman" w:cs="Times New Roman"/>
          <w:sz w:val="24"/>
          <w:szCs w:val="24"/>
          <w:lang w:val="en-US"/>
        </w:rPr>
        <w:t xml:space="preserve">134,884 </w:t>
      </w:r>
      <w:r w:rsidRPr="00C21793">
        <w:rPr>
          <w:rFonts w:ascii="Times New Roman" w:hAnsi="Times New Roman" w:cs="Times New Roman"/>
          <w:sz w:val="24"/>
          <w:szCs w:val="24"/>
          <w:lang w:val="en-US"/>
        </w:rPr>
        <w:t>deaths had been reported by the Centers for Disease Control (CDC) (</w:t>
      </w:r>
      <w:hyperlink r:id="rId22" w:history="1">
        <w:r w:rsidRPr="00C21793">
          <w:rPr>
            <w:rStyle w:val="Hyperlink"/>
            <w:rFonts w:ascii="Times New Roman" w:hAnsi="Times New Roman" w:cs="Times New Roman"/>
            <w:sz w:val="24"/>
            <w:lang w:val="en-US"/>
          </w:rPr>
          <w:t>https://www.cdc.gov/</w:t>
        </w:r>
      </w:hyperlink>
      <w:r w:rsidRPr="00C21793">
        <w:rPr>
          <w:rFonts w:ascii="Times New Roman" w:hAnsi="Times New Roman" w:cs="Times New Roman"/>
          <w:sz w:val="24"/>
          <w:szCs w:val="24"/>
          <w:lang w:val="en-US"/>
        </w:rPr>
        <w:t>) in the USA. It might be possible that environmental pollutants play an important role in the transmission of COVID-19 disease. Table 2 shows the empirical results of the association</w:t>
      </w:r>
      <w:r w:rsidRPr="00C21793">
        <w:rPr>
          <w:rFonts w:ascii="Times New Roman" w:hAnsi="Times New Roman" w:cs="Times New Roman"/>
          <w:bCs/>
          <w:sz w:val="24"/>
          <w:szCs w:val="24"/>
          <w:lang w:val="en-US"/>
        </w:rPr>
        <w:t xml:space="preserve"> between COVID-19 (cases and deaths) and environmental pollutants across all the study states and </w:t>
      </w:r>
      <w:r w:rsidRPr="00C21793">
        <w:rPr>
          <w:rFonts w:ascii="Times New Roman" w:hAnsi="Times New Roman" w:cs="Times New Roman"/>
          <w:sz w:val="24"/>
          <w:szCs w:val="24"/>
          <w:lang w:val="en-US"/>
        </w:rPr>
        <w:t>provinces</w:t>
      </w:r>
      <w:r w:rsidRPr="00C21793">
        <w:rPr>
          <w:rFonts w:ascii="Times New Roman" w:hAnsi="Times New Roman" w:cs="Times New Roman"/>
          <w:bCs/>
          <w:sz w:val="24"/>
          <w:szCs w:val="24"/>
          <w:lang w:val="en-US"/>
        </w:rPr>
        <w:t xml:space="preserve"> of the USA and China, respectively. </w:t>
      </w:r>
    </w:p>
    <w:p w:rsidR="00306945" w:rsidRPr="00C21793" w:rsidRDefault="00306945" w:rsidP="00306945">
      <w:pPr>
        <w:pStyle w:val="NoSpacing"/>
        <w:spacing w:line="360" w:lineRule="auto"/>
        <w:ind w:firstLine="360"/>
        <w:jc w:val="both"/>
        <w:rPr>
          <w:rFonts w:ascii="Times New Roman" w:hAnsi="Times New Roman" w:cs="Times New Roman"/>
          <w:bCs/>
          <w:sz w:val="24"/>
          <w:szCs w:val="24"/>
          <w:lang w:val="en-US"/>
        </w:rPr>
      </w:pPr>
    </w:p>
    <w:p w:rsidR="00306945" w:rsidRPr="00C21793" w:rsidRDefault="00306945" w:rsidP="00306945">
      <w:pPr>
        <w:rPr>
          <w:rFonts w:eastAsia="Calibri"/>
          <w:b/>
        </w:rPr>
      </w:pPr>
      <w:r w:rsidRPr="00C21793">
        <w:rPr>
          <w:rFonts w:eastAsia="Calibri"/>
          <w:b/>
        </w:rPr>
        <w:t xml:space="preserve">Table 2. </w:t>
      </w:r>
      <w:r w:rsidR="0052112D" w:rsidRPr="00C21793">
        <w:rPr>
          <w:rFonts w:eastAsia="Calibri"/>
        </w:rPr>
        <w:t>The c</w:t>
      </w:r>
      <w:r w:rsidRPr="00C21793">
        <w:rPr>
          <w:rFonts w:eastAsia="Calibri"/>
        </w:rPr>
        <w:t xml:space="preserve">orrelation coefficient between COVID-19, confirmed cases and deaths across all the study states and provinces of </w:t>
      </w:r>
      <w:r w:rsidR="0052112D" w:rsidRPr="00C21793">
        <w:rPr>
          <w:rFonts w:eastAsia="Calibri"/>
        </w:rPr>
        <w:t xml:space="preserve">the </w:t>
      </w:r>
      <w:r w:rsidRPr="00C21793">
        <w:rPr>
          <w:rFonts w:eastAsia="Calibri"/>
        </w:rPr>
        <w:t xml:space="preserve">USA and China, respectively. </w:t>
      </w:r>
    </w:p>
    <w:tbl>
      <w:tblPr>
        <w:tblW w:w="9467" w:type="dxa"/>
        <w:tblInd w:w="-5" w:type="dxa"/>
        <w:tblLook w:val="04A0" w:firstRow="1" w:lastRow="0" w:firstColumn="1" w:lastColumn="0" w:noHBand="0" w:noVBand="1"/>
      </w:tblPr>
      <w:tblGrid>
        <w:gridCol w:w="2099"/>
        <w:gridCol w:w="1961"/>
        <w:gridCol w:w="2177"/>
        <w:gridCol w:w="1428"/>
        <w:gridCol w:w="1802"/>
      </w:tblGrid>
      <w:tr w:rsidR="00306945" w:rsidRPr="00C21793" w:rsidTr="003E1626">
        <w:trPr>
          <w:trHeight w:val="260"/>
        </w:trPr>
        <w:tc>
          <w:tcPr>
            <w:tcW w:w="2099" w:type="dxa"/>
            <w:tcBorders>
              <w:top w:val="single" w:sz="4" w:space="0" w:color="auto"/>
              <w:left w:val="nil"/>
              <w:bottom w:val="nil"/>
              <w:right w:val="nil"/>
            </w:tcBorders>
            <w:shd w:val="clear" w:color="auto" w:fill="auto"/>
          </w:tcPr>
          <w:p w:rsidR="00306945" w:rsidRPr="00C21793" w:rsidRDefault="00306945" w:rsidP="003E1626">
            <w:pPr>
              <w:jc w:val="center"/>
              <w:rPr>
                <w:rFonts w:eastAsia="Calibri"/>
              </w:rPr>
            </w:pPr>
          </w:p>
        </w:tc>
        <w:tc>
          <w:tcPr>
            <w:tcW w:w="4138" w:type="dxa"/>
            <w:gridSpan w:val="2"/>
            <w:tcBorders>
              <w:top w:val="single" w:sz="4" w:space="0" w:color="auto"/>
              <w:left w:val="nil"/>
              <w:bottom w:val="nil"/>
              <w:right w:val="nil"/>
            </w:tcBorders>
            <w:shd w:val="clear" w:color="auto" w:fill="auto"/>
            <w:hideMark/>
          </w:tcPr>
          <w:p w:rsidR="00306945" w:rsidRPr="00C21793" w:rsidRDefault="00306945" w:rsidP="003E1626">
            <w:pPr>
              <w:jc w:val="center"/>
              <w:rPr>
                <w:rFonts w:eastAsia="Calibri"/>
                <w:b/>
              </w:rPr>
            </w:pPr>
            <w:r w:rsidRPr="00C21793">
              <w:rPr>
                <w:rFonts w:eastAsia="Calibri"/>
                <w:b/>
              </w:rPr>
              <w:t>USA</w:t>
            </w:r>
          </w:p>
        </w:tc>
        <w:tc>
          <w:tcPr>
            <w:tcW w:w="3230" w:type="dxa"/>
            <w:gridSpan w:val="2"/>
            <w:tcBorders>
              <w:top w:val="single" w:sz="4" w:space="0" w:color="auto"/>
              <w:left w:val="nil"/>
              <w:bottom w:val="nil"/>
              <w:right w:val="nil"/>
            </w:tcBorders>
            <w:shd w:val="clear" w:color="auto" w:fill="auto"/>
            <w:hideMark/>
          </w:tcPr>
          <w:p w:rsidR="00306945" w:rsidRPr="00C21793" w:rsidRDefault="00306945" w:rsidP="003E1626">
            <w:pPr>
              <w:jc w:val="center"/>
              <w:rPr>
                <w:rFonts w:eastAsia="Calibri"/>
                <w:b/>
              </w:rPr>
            </w:pPr>
            <w:r w:rsidRPr="00C21793">
              <w:rPr>
                <w:rFonts w:eastAsia="Calibri"/>
                <w:b/>
              </w:rPr>
              <w:t>China</w:t>
            </w:r>
          </w:p>
        </w:tc>
      </w:tr>
      <w:tr w:rsidR="00306945" w:rsidRPr="00C21793" w:rsidTr="003E1626">
        <w:trPr>
          <w:trHeight w:val="68"/>
        </w:trPr>
        <w:tc>
          <w:tcPr>
            <w:tcW w:w="2099" w:type="dxa"/>
            <w:tcBorders>
              <w:top w:val="nil"/>
              <w:left w:val="nil"/>
              <w:bottom w:val="single" w:sz="12" w:space="0" w:color="auto"/>
              <w:right w:val="nil"/>
            </w:tcBorders>
            <w:shd w:val="clear" w:color="auto" w:fill="auto"/>
            <w:hideMark/>
          </w:tcPr>
          <w:p w:rsidR="00306945" w:rsidRPr="00C21793" w:rsidRDefault="00306945" w:rsidP="003E1626">
            <w:pPr>
              <w:jc w:val="center"/>
              <w:rPr>
                <w:rFonts w:eastAsia="Calibri"/>
              </w:rPr>
            </w:pPr>
            <w:r w:rsidRPr="00C21793">
              <w:rPr>
                <w:rFonts w:eastAsia="Calibri"/>
              </w:rPr>
              <w:t>Pollutants</w:t>
            </w:r>
          </w:p>
        </w:tc>
        <w:tc>
          <w:tcPr>
            <w:tcW w:w="1961" w:type="dxa"/>
            <w:tcBorders>
              <w:top w:val="nil"/>
              <w:left w:val="nil"/>
              <w:bottom w:val="single" w:sz="12" w:space="0" w:color="auto"/>
              <w:right w:val="nil"/>
            </w:tcBorders>
            <w:shd w:val="clear" w:color="auto" w:fill="auto"/>
            <w:hideMark/>
          </w:tcPr>
          <w:p w:rsidR="00306945" w:rsidRPr="00C21793" w:rsidRDefault="00306945" w:rsidP="003E1626">
            <w:pPr>
              <w:jc w:val="center"/>
              <w:rPr>
                <w:rFonts w:eastAsia="Calibri"/>
              </w:rPr>
            </w:pPr>
            <w:r w:rsidRPr="00C21793">
              <w:rPr>
                <w:rFonts w:eastAsia="Calibri"/>
              </w:rPr>
              <w:t>Cases</w:t>
            </w:r>
          </w:p>
        </w:tc>
        <w:tc>
          <w:tcPr>
            <w:tcW w:w="2177" w:type="dxa"/>
            <w:tcBorders>
              <w:top w:val="nil"/>
              <w:left w:val="nil"/>
              <w:bottom w:val="single" w:sz="12" w:space="0" w:color="auto"/>
              <w:right w:val="nil"/>
            </w:tcBorders>
            <w:shd w:val="clear" w:color="auto" w:fill="auto"/>
            <w:hideMark/>
          </w:tcPr>
          <w:p w:rsidR="00306945" w:rsidRPr="00C21793" w:rsidRDefault="00306945" w:rsidP="003E1626">
            <w:pPr>
              <w:jc w:val="center"/>
              <w:rPr>
                <w:rFonts w:eastAsia="Calibri"/>
              </w:rPr>
            </w:pPr>
            <w:r w:rsidRPr="00C21793">
              <w:rPr>
                <w:rFonts w:eastAsia="Calibri"/>
              </w:rPr>
              <w:t>Mortality</w:t>
            </w:r>
          </w:p>
        </w:tc>
        <w:tc>
          <w:tcPr>
            <w:tcW w:w="1428" w:type="dxa"/>
            <w:tcBorders>
              <w:top w:val="nil"/>
              <w:left w:val="nil"/>
              <w:bottom w:val="single" w:sz="12" w:space="0" w:color="auto"/>
              <w:right w:val="nil"/>
            </w:tcBorders>
            <w:shd w:val="clear" w:color="auto" w:fill="auto"/>
            <w:hideMark/>
          </w:tcPr>
          <w:p w:rsidR="00306945" w:rsidRPr="00C21793" w:rsidRDefault="00306945" w:rsidP="003E1626">
            <w:pPr>
              <w:jc w:val="center"/>
              <w:rPr>
                <w:rFonts w:eastAsia="Calibri"/>
              </w:rPr>
            </w:pPr>
            <w:r w:rsidRPr="00C21793">
              <w:rPr>
                <w:rFonts w:eastAsia="Calibri"/>
              </w:rPr>
              <w:t>Cases</w:t>
            </w:r>
          </w:p>
        </w:tc>
        <w:tc>
          <w:tcPr>
            <w:tcW w:w="1802" w:type="dxa"/>
            <w:tcBorders>
              <w:top w:val="nil"/>
              <w:left w:val="nil"/>
              <w:bottom w:val="single" w:sz="4" w:space="0" w:color="auto"/>
              <w:right w:val="nil"/>
            </w:tcBorders>
            <w:shd w:val="clear" w:color="auto" w:fill="auto"/>
            <w:hideMark/>
          </w:tcPr>
          <w:p w:rsidR="00306945" w:rsidRPr="00C21793" w:rsidRDefault="00306945" w:rsidP="003E1626">
            <w:pPr>
              <w:jc w:val="center"/>
              <w:rPr>
                <w:rFonts w:eastAsia="Calibri"/>
              </w:rPr>
            </w:pPr>
            <w:r w:rsidRPr="00C21793">
              <w:rPr>
                <w:rFonts w:eastAsia="Calibri"/>
              </w:rPr>
              <w:t>Mortality</w:t>
            </w:r>
          </w:p>
        </w:tc>
      </w:tr>
      <w:tr w:rsidR="00306945" w:rsidRPr="00C21793" w:rsidTr="003E1626">
        <w:trPr>
          <w:trHeight w:val="321"/>
        </w:trPr>
        <w:tc>
          <w:tcPr>
            <w:tcW w:w="9467" w:type="dxa"/>
            <w:gridSpan w:val="5"/>
            <w:tcBorders>
              <w:top w:val="single" w:sz="12" w:space="0" w:color="auto"/>
              <w:left w:val="nil"/>
              <w:bottom w:val="single" w:sz="4" w:space="0" w:color="auto"/>
              <w:right w:val="nil"/>
            </w:tcBorders>
            <w:shd w:val="clear" w:color="auto" w:fill="auto"/>
            <w:hideMark/>
          </w:tcPr>
          <w:p w:rsidR="00306945" w:rsidRPr="00C21793" w:rsidRDefault="00306945" w:rsidP="003E1626">
            <w:pPr>
              <w:jc w:val="center"/>
              <w:rPr>
                <w:rFonts w:eastAsia="Calibri"/>
              </w:rPr>
            </w:pPr>
            <w:r w:rsidRPr="00C21793">
              <w:rPr>
                <w:rFonts w:eastAsia="Calibri"/>
              </w:rPr>
              <w:t>Spearman Correlation Coefficient</w:t>
            </w:r>
          </w:p>
        </w:tc>
      </w:tr>
      <w:tr w:rsidR="00306945" w:rsidRPr="00C21793" w:rsidTr="003E1626">
        <w:trPr>
          <w:trHeight w:val="259"/>
        </w:trPr>
        <w:tc>
          <w:tcPr>
            <w:tcW w:w="2099" w:type="dxa"/>
            <w:tcBorders>
              <w:top w:val="single" w:sz="4" w:space="0" w:color="auto"/>
              <w:left w:val="nil"/>
              <w:bottom w:val="nil"/>
              <w:right w:val="nil"/>
            </w:tcBorders>
            <w:shd w:val="clear" w:color="auto" w:fill="auto"/>
            <w:hideMark/>
          </w:tcPr>
          <w:p w:rsidR="00306945" w:rsidRPr="00C21793" w:rsidRDefault="00306945" w:rsidP="003E1626">
            <w:pPr>
              <w:jc w:val="center"/>
              <w:rPr>
                <w:rFonts w:eastAsia="Calibri"/>
              </w:rPr>
            </w:pPr>
            <w:r w:rsidRPr="00C21793">
              <w:rPr>
                <w:rFonts w:eastAsia="Calibri"/>
              </w:rPr>
              <w:t>CO</w:t>
            </w:r>
          </w:p>
        </w:tc>
        <w:tc>
          <w:tcPr>
            <w:tcW w:w="1961" w:type="dxa"/>
            <w:tcBorders>
              <w:top w:val="single" w:sz="4" w:space="0" w:color="auto"/>
              <w:left w:val="nil"/>
              <w:bottom w:val="nil"/>
              <w:right w:val="nil"/>
            </w:tcBorders>
            <w:shd w:val="clear" w:color="auto" w:fill="auto"/>
            <w:hideMark/>
          </w:tcPr>
          <w:p w:rsidR="00306945" w:rsidRPr="00C21793" w:rsidRDefault="00306945" w:rsidP="003E1626">
            <w:pPr>
              <w:jc w:val="center"/>
              <w:rPr>
                <w:rFonts w:eastAsia="Calibri"/>
              </w:rPr>
            </w:pPr>
            <w:r w:rsidRPr="00C21793">
              <w:rPr>
                <w:rFonts w:eastAsia="Calibri"/>
              </w:rPr>
              <w:t>-0.024</w:t>
            </w:r>
          </w:p>
        </w:tc>
        <w:tc>
          <w:tcPr>
            <w:tcW w:w="2177" w:type="dxa"/>
            <w:tcBorders>
              <w:top w:val="single" w:sz="4" w:space="0" w:color="auto"/>
              <w:left w:val="nil"/>
              <w:bottom w:val="nil"/>
              <w:right w:val="nil"/>
            </w:tcBorders>
            <w:shd w:val="clear" w:color="auto" w:fill="auto"/>
            <w:hideMark/>
          </w:tcPr>
          <w:p w:rsidR="00306945" w:rsidRPr="00C21793" w:rsidRDefault="00306945" w:rsidP="003E1626">
            <w:pPr>
              <w:jc w:val="center"/>
              <w:rPr>
                <w:rFonts w:eastAsia="Calibri"/>
              </w:rPr>
            </w:pPr>
            <w:r w:rsidRPr="00C21793">
              <w:rPr>
                <w:rFonts w:eastAsia="Calibri"/>
              </w:rPr>
              <w:t>-0.044</w:t>
            </w:r>
          </w:p>
        </w:tc>
        <w:tc>
          <w:tcPr>
            <w:tcW w:w="1428" w:type="dxa"/>
            <w:tcBorders>
              <w:top w:val="single" w:sz="4" w:space="0" w:color="auto"/>
              <w:left w:val="nil"/>
              <w:bottom w:val="nil"/>
              <w:right w:val="nil"/>
            </w:tcBorders>
            <w:shd w:val="clear" w:color="auto" w:fill="auto"/>
            <w:hideMark/>
          </w:tcPr>
          <w:p w:rsidR="00306945" w:rsidRPr="00C21793" w:rsidRDefault="00306945" w:rsidP="003E1626">
            <w:pPr>
              <w:jc w:val="center"/>
              <w:rPr>
                <w:rFonts w:eastAsia="Calibri"/>
              </w:rPr>
            </w:pPr>
            <w:r w:rsidRPr="00C21793">
              <w:rPr>
                <w:rFonts w:eastAsia="Calibri"/>
              </w:rPr>
              <w:t>0.186</w:t>
            </w:r>
          </w:p>
        </w:tc>
        <w:tc>
          <w:tcPr>
            <w:tcW w:w="1802" w:type="dxa"/>
            <w:tcBorders>
              <w:top w:val="single" w:sz="4" w:space="0" w:color="auto"/>
              <w:left w:val="nil"/>
              <w:bottom w:val="nil"/>
              <w:right w:val="nil"/>
            </w:tcBorders>
            <w:shd w:val="clear" w:color="auto" w:fill="auto"/>
            <w:hideMark/>
          </w:tcPr>
          <w:p w:rsidR="00306945" w:rsidRPr="00C21793" w:rsidRDefault="00306945" w:rsidP="003E1626">
            <w:pPr>
              <w:jc w:val="center"/>
              <w:rPr>
                <w:rFonts w:eastAsia="Calibri"/>
              </w:rPr>
            </w:pPr>
            <w:r w:rsidRPr="00C21793">
              <w:rPr>
                <w:rFonts w:eastAsia="Calibri"/>
              </w:rPr>
              <w:t>-0.053</w:t>
            </w:r>
          </w:p>
        </w:tc>
      </w:tr>
      <w:tr w:rsidR="00306945" w:rsidRPr="00C21793" w:rsidTr="003E1626">
        <w:trPr>
          <w:trHeight w:val="259"/>
        </w:trPr>
        <w:tc>
          <w:tcPr>
            <w:tcW w:w="2099" w:type="dxa"/>
            <w:shd w:val="clear" w:color="auto" w:fill="auto"/>
            <w:hideMark/>
          </w:tcPr>
          <w:p w:rsidR="00306945" w:rsidRPr="00C21793" w:rsidRDefault="00306945" w:rsidP="003E1626">
            <w:pPr>
              <w:jc w:val="center"/>
              <w:rPr>
                <w:rFonts w:eastAsia="Calibri"/>
              </w:rPr>
            </w:pPr>
            <w:r w:rsidRPr="00C21793">
              <w:rPr>
                <w:rFonts w:eastAsia="Calibri"/>
              </w:rPr>
              <w:t>NO</w:t>
            </w:r>
            <w:r w:rsidRPr="00C21793">
              <w:rPr>
                <w:rFonts w:eastAsia="Calibri"/>
                <w:vertAlign w:val="subscript"/>
              </w:rPr>
              <w:t>2</w:t>
            </w:r>
          </w:p>
        </w:tc>
        <w:tc>
          <w:tcPr>
            <w:tcW w:w="1961" w:type="dxa"/>
            <w:shd w:val="clear" w:color="auto" w:fill="auto"/>
            <w:hideMark/>
          </w:tcPr>
          <w:p w:rsidR="00306945" w:rsidRPr="00C21793" w:rsidRDefault="00306945" w:rsidP="003E1626">
            <w:pPr>
              <w:jc w:val="center"/>
              <w:rPr>
                <w:rFonts w:eastAsia="Calibri"/>
              </w:rPr>
            </w:pPr>
            <w:r w:rsidRPr="00C21793">
              <w:rPr>
                <w:rFonts w:eastAsia="Calibri"/>
              </w:rPr>
              <w:t>-0.067*</w:t>
            </w:r>
          </w:p>
        </w:tc>
        <w:tc>
          <w:tcPr>
            <w:tcW w:w="2177" w:type="dxa"/>
            <w:shd w:val="clear" w:color="auto" w:fill="auto"/>
            <w:hideMark/>
          </w:tcPr>
          <w:p w:rsidR="00306945" w:rsidRPr="00C21793" w:rsidRDefault="00306945" w:rsidP="003E1626">
            <w:pPr>
              <w:jc w:val="center"/>
              <w:rPr>
                <w:rFonts w:eastAsia="Calibri"/>
              </w:rPr>
            </w:pPr>
            <w:r w:rsidRPr="00C21793">
              <w:rPr>
                <w:rFonts w:eastAsia="Calibri"/>
              </w:rPr>
              <w:t>-0.139**</w:t>
            </w:r>
          </w:p>
        </w:tc>
        <w:tc>
          <w:tcPr>
            <w:tcW w:w="1428" w:type="dxa"/>
            <w:shd w:val="clear" w:color="auto" w:fill="auto"/>
            <w:hideMark/>
          </w:tcPr>
          <w:p w:rsidR="00306945" w:rsidRPr="00C21793" w:rsidRDefault="00306945" w:rsidP="003E1626">
            <w:pPr>
              <w:jc w:val="center"/>
              <w:rPr>
                <w:rFonts w:eastAsia="Calibri"/>
              </w:rPr>
            </w:pPr>
            <w:r w:rsidRPr="00C21793">
              <w:rPr>
                <w:rFonts w:eastAsia="Calibri"/>
              </w:rPr>
              <w:t>-0.516***</w:t>
            </w:r>
          </w:p>
        </w:tc>
        <w:tc>
          <w:tcPr>
            <w:tcW w:w="1802" w:type="dxa"/>
            <w:shd w:val="clear" w:color="auto" w:fill="auto"/>
            <w:hideMark/>
          </w:tcPr>
          <w:p w:rsidR="00306945" w:rsidRPr="00C21793" w:rsidRDefault="00306945" w:rsidP="003E1626">
            <w:pPr>
              <w:jc w:val="center"/>
              <w:rPr>
                <w:rFonts w:eastAsia="Calibri"/>
              </w:rPr>
            </w:pPr>
            <w:r w:rsidRPr="00C21793">
              <w:rPr>
                <w:rFonts w:eastAsia="Calibri"/>
              </w:rPr>
              <w:t>-0.397***</w:t>
            </w:r>
          </w:p>
        </w:tc>
      </w:tr>
      <w:tr w:rsidR="0048050A" w:rsidRPr="00C21793" w:rsidTr="003E1626">
        <w:trPr>
          <w:trHeight w:val="259"/>
        </w:trPr>
        <w:tc>
          <w:tcPr>
            <w:tcW w:w="2099" w:type="dxa"/>
            <w:shd w:val="clear" w:color="auto" w:fill="auto"/>
          </w:tcPr>
          <w:p w:rsidR="0048050A" w:rsidRPr="00C21793" w:rsidRDefault="0048050A" w:rsidP="0048050A">
            <w:pPr>
              <w:jc w:val="center"/>
              <w:rPr>
                <w:rFonts w:eastAsia="Calibri"/>
              </w:rPr>
            </w:pPr>
            <w:r w:rsidRPr="00C21793">
              <w:rPr>
                <w:rFonts w:eastAsia="Calibri"/>
              </w:rPr>
              <w:t>SO</w:t>
            </w:r>
            <w:r w:rsidRPr="00C21793">
              <w:rPr>
                <w:rFonts w:eastAsia="Calibri"/>
                <w:vertAlign w:val="subscript"/>
              </w:rPr>
              <w:t>2</w:t>
            </w:r>
          </w:p>
        </w:tc>
        <w:tc>
          <w:tcPr>
            <w:tcW w:w="1961" w:type="dxa"/>
            <w:shd w:val="clear" w:color="auto" w:fill="auto"/>
          </w:tcPr>
          <w:p w:rsidR="0048050A" w:rsidRPr="00C21793" w:rsidRDefault="0048050A" w:rsidP="0048050A">
            <w:pPr>
              <w:jc w:val="center"/>
              <w:rPr>
                <w:rFonts w:eastAsia="Calibri"/>
              </w:rPr>
            </w:pPr>
            <w:r w:rsidRPr="00C21793">
              <w:rPr>
                <w:rFonts w:eastAsia="Calibri"/>
              </w:rPr>
              <w:t>0.018</w:t>
            </w:r>
          </w:p>
        </w:tc>
        <w:tc>
          <w:tcPr>
            <w:tcW w:w="2177" w:type="dxa"/>
            <w:shd w:val="clear" w:color="auto" w:fill="auto"/>
          </w:tcPr>
          <w:p w:rsidR="0048050A" w:rsidRPr="00C21793" w:rsidRDefault="0048050A" w:rsidP="0048050A">
            <w:pPr>
              <w:jc w:val="center"/>
              <w:rPr>
                <w:rFonts w:eastAsia="Calibri"/>
              </w:rPr>
            </w:pPr>
            <w:r w:rsidRPr="00C21793">
              <w:rPr>
                <w:rFonts w:eastAsia="Calibri"/>
              </w:rPr>
              <w:t>0.115</w:t>
            </w:r>
          </w:p>
        </w:tc>
        <w:tc>
          <w:tcPr>
            <w:tcW w:w="1428" w:type="dxa"/>
            <w:shd w:val="clear" w:color="auto" w:fill="auto"/>
          </w:tcPr>
          <w:p w:rsidR="0048050A" w:rsidRPr="00C21793" w:rsidRDefault="0048050A" w:rsidP="0048050A">
            <w:pPr>
              <w:jc w:val="center"/>
              <w:rPr>
                <w:rFonts w:eastAsia="Calibri"/>
              </w:rPr>
            </w:pPr>
            <w:r w:rsidRPr="00C21793">
              <w:rPr>
                <w:rFonts w:eastAsia="Calibri"/>
              </w:rPr>
              <w:t>-0.161</w:t>
            </w:r>
          </w:p>
        </w:tc>
        <w:tc>
          <w:tcPr>
            <w:tcW w:w="1802" w:type="dxa"/>
            <w:shd w:val="clear" w:color="auto" w:fill="auto"/>
          </w:tcPr>
          <w:p w:rsidR="0048050A" w:rsidRPr="00C21793" w:rsidRDefault="0048050A" w:rsidP="0048050A">
            <w:pPr>
              <w:jc w:val="center"/>
              <w:rPr>
                <w:rFonts w:eastAsia="Calibri"/>
              </w:rPr>
            </w:pPr>
            <w:r w:rsidRPr="00C21793">
              <w:rPr>
                <w:rFonts w:eastAsia="Calibri"/>
              </w:rPr>
              <w:t>-0.088</w:t>
            </w:r>
          </w:p>
        </w:tc>
      </w:tr>
      <w:tr w:rsidR="0048050A" w:rsidRPr="00C21793" w:rsidTr="003E1626">
        <w:trPr>
          <w:trHeight w:val="259"/>
        </w:trPr>
        <w:tc>
          <w:tcPr>
            <w:tcW w:w="2099" w:type="dxa"/>
            <w:shd w:val="clear" w:color="auto" w:fill="auto"/>
            <w:hideMark/>
          </w:tcPr>
          <w:p w:rsidR="0048050A" w:rsidRPr="00C21793" w:rsidRDefault="0048050A" w:rsidP="0048050A">
            <w:pPr>
              <w:jc w:val="center"/>
              <w:rPr>
                <w:rFonts w:eastAsia="Calibri"/>
              </w:rPr>
            </w:pPr>
            <w:r w:rsidRPr="00C21793">
              <w:rPr>
                <w:rFonts w:eastAsia="Calibri"/>
              </w:rPr>
              <w:t>PM</w:t>
            </w:r>
            <w:r w:rsidRPr="00C21793">
              <w:rPr>
                <w:rFonts w:eastAsia="Calibri"/>
                <w:vertAlign w:val="subscript"/>
              </w:rPr>
              <w:t>2.5</w:t>
            </w:r>
          </w:p>
        </w:tc>
        <w:tc>
          <w:tcPr>
            <w:tcW w:w="1961" w:type="dxa"/>
            <w:shd w:val="clear" w:color="auto" w:fill="auto"/>
            <w:hideMark/>
          </w:tcPr>
          <w:p w:rsidR="0048050A" w:rsidRPr="00C21793" w:rsidRDefault="0048050A" w:rsidP="0048050A">
            <w:pPr>
              <w:jc w:val="center"/>
              <w:rPr>
                <w:rFonts w:eastAsia="Calibri"/>
              </w:rPr>
            </w:pPr>
            <w:r w:rsidRPr="00C21793">
              <w:rPr>
                <w:rFonts w:eastAsia="Calibri"/>
              </w:rPr>
              <w:t>-0.392*</w:t>
            </w:r>
          </w:p>
        </w:tc>
        <w:tc>
          <w:tcPr>
            <w:tcW w:w="2177" w:type="dxa"/>
            <w:shd w:val="clear" w:color="auto" w:fill="auto"/>
            <w:hideMark/>
          </w:tcPr>
          <w:p w:rsidR="0048050A" w:rsidRPr="00C21793" w:rsidRDefault="0048050A" w:rsidP="0048050A">
            <w:pPr>
              <w:jc w:val="center"/>
              <w:rPr>
                <w:rFonts w:eastAsia="Calibri"/>
              </w:rPr>
            </w:pPr>
            <w:r w:rsidRPr="00C21793">
              <w:rPr>
                <w:rFonts w:eastAsia="Calibri"/>
              </w:rPr>
              <w:t>-0.263*</w:t>
            </w:r>
          </w:p>
        </w:tc>
        <w:tc>
          <w:tcPr>
            <w:tcW w:w="1428" w:type="dxa"/>
            <w:shd w:val="clear" w:color="auto" w:fill="auto"/>
            <w:hideMark/>
          </w:tcPr>
          <w:p w:rsidR="0048050A" w:rsidRPr="00C21793" w:rsidRDefault="0048050A" w:rsidP="0048050A">
            <w:pPr>
              <w:jc w:val="center"/>
              <w:rPr>
                <w:rFonts w:eastAsia="Calibri"/>
              </w:rPr>
            </w:pPr>
            <w:r w:rsidRPr="00C21793">
              <w:rPr>
                <w:rFonts w:eastAsia="Calibri"/>
              </w:rPr>
              <w:t>-0.081**</w:t>
            </w:r>
          </w:p>
        </w:tc>
        <w:tc>
          <w:tcPr>
            <w:tcW w:w="1802" w:type="dxa"/>
            <w:shd w:val="clear" w:color="auto" w:fill="auto"/>
            <w:hideMark/>
          </w:tcPr>
          <w:p w:rsidR="0048050A" w:rsidRPr="00C21793" w:rsidRDefault="0048050A" w:rsidP="0048050A">
            <w:pPr>
              <w:jc w:val="center"/>
              <w:rPr>
                <w:rFonts w:eastAsia="Calibri"/>
              </w:rPr>
            </w:pPr>
            <w:r w:rsidRPr="00C21793">
              <w:rPr>
                <w:rFonts w:eastAsia="Calibri"/>
              </w:rPr>
              <w:t>-0.166*</w:t>
            </w:r>
          </w:p>
        </w:tc>
      </w:tr>
      <w:tr w:rsidR="0048050A" w:rsidRPr="00C21793" w:rsidTr="0048050A">
        <w:trPr>
          <w:trHeight w:val="351"/>
        </w:trPr>
        <w:tc>
          <w:tcPr>
            <w:tcW w:w="2099" w:type="dxa"/>
            <w:shd w:val="clear" w:color="auto" w:fill="auto"/>
            <w:hideMark/>
          </w:tcPr>
          <w:p w:rsidR="0048050A" w:rsidRPr="00C21793" w:rsidRDefault="0048050A" w:rsidP="0048050A">
            <w:pPr>
              <w:jc w:val="center"/>
              <w:rPr>
                <w:rFonts w:eastAsia="Calibri"/>
              </w:rPr>
            </w:pPr>
            <w:r w:rsidRPr="00C21793">
              <w:rPr>
                <w:rFonts w:eastAsia="Calibri"/>
              </w:rPr>
              <w:t>PM</w:t>
            </w:r>
            <w:r w:rsidRPr="00C21793">
              <w:rPr>
                <w:rFonts w:eastAsia="Calibri"/>
                <w:vertAlign w:val="subscript"/>
              </w:rPr>
              <w:t>10</w:t>
            </w:r>
          </w:p>
        </w:tc>
        <w:tc>
          <w:tcPr>
            <w:tcW w:w="1961" w:type="dxa"/>
            <w:shd w:val="clear" w:color="auto" w:fill="auto"/>
            <w:hideMark/>
          </w:tcPr>
          <w:p w:rsidR="0048050A" w:rsidRPr="00C21793" w:rsidRDefault="0048050A" w:rsidP="0048050A">
            <w:pPr>
              <w:jc w:val="center"/>
              <w:rPr>
                <w:rFonts w:eastAsia="Calibri"/>
              </w:rPr>
            </w:pPr>
            <w:r w:rsidRPr="00C21793">
              <w:rPr>
                <w:rFonts w:eastAsia="Calibri"/>
              </w:rPr>
              <w:t>0.086*</w:t>
            </w:r>
          </w:p>
        </w:tc>
        <w:tc>
          <w:tcPr>
            <w:tcW w:w="2177" w:type="dxa"/>
            <w:shd w:val="clear" w:color="auto" w:fill="auto"/>
            <w:hideMark/>
          </w:tcPr>
          <w:p w:rsidR="0048050A" w:rsidRPr="00C21793" w:rsidRDefault="0048050A" w:rsidP="0048050A">
            <w:pPr>
              <w:jc w:val="center"/>
              <w:rPr>
                <w:rFonts w:eastAsia="Calibri"/>
              </w:rPr>
            </w:pPr>
            <w:r w:rsidRPr="00C21793">
              <w:rPr>
                <w:rFonts w:eastAsia="Calibri"/>
              </w:rPr>
              <w:t>0.356***</w:t>
            </w:r>
          </w:p>
        </w:tc>
        <w:tc>
          <w:tcPr>
            <w:tcW w:w="1428" w:type="dxa"/>
            <w:shd w:val="clear" w:color="auto" w:fill="auto"/>
            <w:hideMark/>
          </w:tcPr>
          <w:p w:rsidR="0048050A" w:rsidRPr="00C21793" w:rsidRDefault="0048050A" w:rsidP="0048050A">
            <w:pPr>
              <w:jc w:val="center"/>
              <w:rPr>
                <w:rFonts w:eastAsia="Calibri"/>
              </w:rPr>
            </w:pPr>
            <w:r w:rsidRPr="00C21793">
              <w:rPr>
                <w:rFonts w:eastAsia="Calibri"/>
              </w:rPr>
              <w:t>-0.529***</w:t>
            </w:r>
          </w:p>
        </w:tc>
        <w:tc>
          <w:tcPr>
            <w:tcW w:w="1802" w:type="dxa"/>
            <w:shd w:val="clear" w:color="auto" w:fill="auto"/>
            <w:hideMark/>
          </w:tcPr>
          <w:p w:rsidR="0048050A" w:rsidRPr="00C21793" w:rsidRDefault="0048050A" w:rsidP="0048050A">
            <w:pPr>
              <w:jc w:val="center"/>
              <w:rPr>
                <w:rFonts w:eastAsia="Calibri"/>
              </w:rPr>
            </w:pPr>
            <w:r w:rsidRPr="00C21793">
              <w:rPr>
                <w:rFonts w:eastAsia="Calibri"/>
              </w:rPr>
              <w:t>-0.507***</w:t>
            </w:r>
          </w:p>
        </w:tc>
      </w:tr>
      <w:tr w:rsidR="0048050A" w:rsidRPr="00C21793" w:rsidTr="003E1626">
        <w:trPr>
          <w:trHeight w:val="296"/>
        </w:trPr>
        <w:tc>
          <w:tcPr>
            <w:tcW w:w="9467" w:type="dxa"/>
            <w:gridSpan w:val="5"/>
            <w:tcBorders>
              <w:top w:val="single" w:sz="4" w:space="0" w:color="auto"/>
              <w:left w:val="nil"/>
              <w:bottom w:val="single" w:sz="4" w:space="0" w:color="auto"/>
              <w:right w:val="nil"/>
            </w:tcBorders>
            <w:shd w:val="clear" w:color="auto" w:fill="auto"/>
            <w:hideMark/>
          </w:tcPr>
          <w:p w:rsidR="0048050A" w:rsidRPr="00C21793" w:rsidRDefault="0048050A" w:rsidP="0048050A">
            <w:pPr>
              <w:jc w:val="center"/>
              <w:rPr>
                <w:rFonts w:eastAsia="Calibri"/>
              </w:rPr>
            </w:pPr>
            <w:r w:rsidRPr="00C21793">
              <w:rPr>
                <w:rFonts w:eastAsia="Calibri"/>
              </w:rPr>
              <w:t>Kendall Correlation Coefficient</w:t>
            </w:r>
          </w:p>
        </w:tc>
      </w:tr>
      <w:tr w:rsidR="0048050A" w:rsidRPr="00C21793" w:rsidTr="003E1626">
        <w:trPr>
          <w:trHeight w:val="259"/>
        </w:trPr>
        <w:tc>
          <w:tcPr>
            <w:tcW w:w="2099" w:type="dxa"/>
            <w:tcBorders>
              <w:top w:val="single" w:sz="4" w:space="0" w:color="auto"/>
              <w:left w:val="nil"/>
              <w:bottom w:val="nil"/>
              <w:right w:val="nil"/>
            </w:tcBorders>
            <w:shd w:val="clear" w:color="auto" w:fill="auto"/>
            <w:hideMark/>
          </w:tcPr>
          <w:p w:rsidR="0048050A" w:rsidRPr="00C21793" w:rsidRDefault="0048050A" w:rsidP="0048050A">
            <w:pPr>
              <w:jc w:val="center"/>
              <w:rPr>
                <w:rFonts w:eastAsia="Calibri"/>
              </w:rPr>
            </w:pPr>
            <w:r w:rsidRPr="00C21793">
              <w:rPr>
                <w:rFonts w:eastAsia="Calibri"/>
              </w:rPr>
              <w:t>CO</w:t>
            </w:r>
          </w:p>
        </w:tc>
        <w:tc>
          <w:tcPr>
            <w:tcW w:w="1961" w:type="dxa"/>
            <w:tcBorders>
              <w:top w:val="single" w:sz="4" w:space="0" w:color="auto"/>
              <w:left w:val="nil"/>
              <w:bottom w:val="nil"/>
              <w:right w:val="nil"/>
            </w:tcBorders>
            <w:shd w:val="clear" w:color="auto" w:fill="auto"/>
            <w:hideMark/>
          </w:tcPr>
          <w:p w:rsidR="0048050A" w:rsidRPr="00C21793" w:rsidRDefault="0048050A" w:rsidP="0048050A">
            <w:pPr>
              <w:jc w:val="center"/>
              <w:rPr>
                <w:rFonts w:eastAsia="Calibri"/>
              </w:rPr>
            </w:pPr>
            <w:r w:rsidRPr="00C21793">
              <w:rPr>
                <w:rFonts w:eastAsia="Calibri"/>
              </w:rPr>
              <w:t>-0.015</w:t>
            </w:r>
          </w:p>
        </w:tc>
        <w:tc>
          <w:tcPr>
            <w:tcW w:w="2177" w:type="dxa"/>
            <w:tcBorders>
              <w:top w:val="single" w:sz="4" w:space="0" w:color="auto"/>
              <w:left w:val="nil"/>
              <w:bottom w:val="nil"/>
              <w:right w:val="nil"/>
            </w:tcBorders>
            <w:shd w:val="clear" w:color="auto" w:fill="auto"/>
            <w:hideMark/>
          </w:tcPr>
          <w:p w:rsidR="0048050A" w:rsidRPr="00C21793" w:rsidRDefault="0048050A" w:rsidP="0048050A">
            <w:pPr>
              <w:jc w:val="center"/>
              <w:rPr>
                <w:rFonts w:eastAsia="Calibri"/>
              </w:rPr>
            </w:pPr>
            <w:r w:rsidRPr="00C21793">
              <w:rPr>
                <w:rFonts w:eastAsia="Calibri"/>
              </w:rPr>
              <w:t>-0.024</w:t>
            </w:r>
          </w:p>
        </w:tc>
        <w:tc>
          <w:tcPr>
            <w:tcW w:w="1428" w:type="dxa"/>
            <w:tcBorders>
              <w:top w:val="single" w:sz="4" w:space="0" w:color="auto"/>
              <w:left w:val="nil"/>
              <w:bottom w:val="nil"/>
              <w:right w:val="nil"/>
            </w:tcBorders>
            <w:shd w:val="clear" w:color="auto" w:fill="auto"/>
            <w:hideMark/>
          </w:tcPr>
          <w:p w:rsidR="0048050A" w:rsidRPr="00C21793" w:rsidRDefault="0048050A" w:rsidP="0048050A">
            <w:pPr>
              <w:jc w:val="center"/>
              <w:rPr>
                <w:rFonts w:eastAsia="Calibri"/>
              </w:rPr>
            </w:pPr>
            <w:r w:rsidRPr="00C21793">
              <w:rPr>
                <w:rFonts w:eastAsia="Calibri"/>
              </w:rPr>
              <w:t>0.153</w:t>
            </w:r>
          </w:p>
        </w:tc>
        <w:tc>
          <w:tcPr>
            <w:tcW w:w="1802" w:type="dxa"/>
            <w:tcBorders>
              <w:top w:val="single" w:sz="4" w:space="0" w:color="auto"/>
              <w:left w:val="nil"/>
              <w:bottom w:val="nil"/>
              <w:right w:val="nil"/>
            </w:tcBorders>
            <w:shd w:val="clear" w:color="auto" w:fill="auto"/>
            <w:hideMark/>
          </w:tcPr>
          <w:p w:rsidR="0048050A" w:rsidRPr="00C21793" w:rsidRDefault="0048050A" w:rsidP="0048050A">
            <w:pPr>
              <w:jc w:val="center"/>
              <w:rPr>
                <w:rFonts w:eastAsia="Calibri"/>
              </w:rPr>
            </w:pPr>
            <w:r w:rsidRPr="00C21793">
              <w:rPr>
                <w:rFonts w:eastAsia="Calibri"/>
              </w:rPr>
              <w:t>-0.034</w:t>
            </w:r>
          </w:p>
        </w:tc>
      </w:tr>
      <w:tr w:rsidR="0048050A" w:rsidRPr="00C21793" w:rsidTr="003E1626">
        <w:trPr>
          <w:trHeight w:val="259"/>
        </w:trPr>
        <w:tc>
          <w:tcPr>
            <w:tcW w:w="2099" w:type="dxa"/>
            <w:shd w:val="clear" w:color="auto" w:fill="auto"/>
            <w:hideMark/>
          </w:tcPr>
          <w:p w:rsidR="0048050A" w:rsidRPr="00C21793" w:rsidRDefault="0048050A" w:rsidP="0048050A">
            <w:pPr>
              <w:jc w:val="center"/>
              <w:rPr>
                <w:rFonts w:eastAsia="Calibri"/>
              </w:rPr>
            </w:pPr>
            <w:r w:rsidRPr="00C21793">
              <w:rPr>
                <w:rFonts w:eastAsia="Calibri"/>
              </w:rPr>
              <w:t>NO</w:t>
            </w:r>
            <w:r w:rsidRPr="00C21793">
              <w:rPr>
                <w:rFonts w:eastAsia="Calibri"/>
                <w:vertAlign w:val="subscript"/>
              </w:rPr>
              <w:t>2</w:t>
            </w:r>
          </w:p>
        </w:tc>
        <w:tc>
          <w:tcPr>
            <w:tcW w:w="1961" w:type="dxa"/>
            <w:shd w:val="clear" w:color="auto" w:fill="auto"/>
            <w:hideMark/>
          </w:tcPr>
          <w:p w:rsidR="0048050A" w:rsidRPr="00C21793" w:rsidRDefault="0048050A" w:rsidP="0048050A">
            <w:pPr>
              <w:jc w:val="center"/>
              <w:rPr>
                <w:rFonts w:eastAsia="Calibri"/>
              </w:rPr>
            </w:pPr>
            <w:r w:rsidRPr="00C21793">
              <w:rPr>
                <w:rFonts w:eastAsia="Calibri"/>
              </w:rPr>
              <w:t>-0.042</w:t>
            </w:r>
          </w:p>
        </w:tc>
        <w:tc>
          <w:tcPr>
            <w:tcW w:w="2177" w:type="dxa"/>
            <w:shd w:val="clear" w:color="auto" w:fill="auto"/>
            <w:hideMark/>
          </w:tcPr>
          <w:p w:rsidR="0048050A" w:rsidRPr="00C21793" w:rsidRDefault="0048050A" w:rsidP="0048050A">
            <w:pPr>
              <w:jc w:val="center"/>
              <w:rPr>
                <w:rFonts w:eastAsia="Calibri"/>
              </w:rPr>
            </w:pPr>
            <w:r w:rsidRPr="00C21793">
              <w:rPr>
                <w:rFonts w:eastAsia="Calibri"/>
              </w:rPr>
              <w:t>-0.095</w:t>
            </w:r>
          </w:p>
        </w:tc>
        <w:tc>
          <w:tcPr>
            <w:tcW w:w="1428" w:type="dxa"/>
            <w:shd w:val="clear" w:color="auto" w:fill="auto"/>
            <w:hideMark/>
          </w:tcPr>
          <w:p w:rsidR="0048050A" w:rsidRPr="00C21793" w:rsidRDefault="0048050A" w:rsidP="0048050A">
            <w:pPr>
              <w:jc w:val="center"/>
              <w:rPr>
                <w:rFonts w:eastAsia="Calibri"/>
              </w:rPr>
            </w:pPr>
            <w:r w:rsidRPr="00C21793">
              <w:rPr>
                <w:rFonts w:eastAsia="Calibri"/>
              </w:rPr>
              <w:t>-0.353***</w:t>
            </w:r>
          </w:p>
        </w:tc>
        <w:tc>
          <w:tcPr>
            <w:tcW w:w="1802" w:type="dxa"/>
            <w:shd w:val="clear" w:color="auto" w:fill="auto"/>
            <w:hideMark/>
          </w:tcPr>
          <w:p w:rsidR="0048050A" w:rsidRPr="00C21793" w:rsidRDefault="0048050A" w:rsidP="0048050A">
            <w:pPr>
              <w:jc w:val="center"/>
              <w:rPr>
                <w:rFonts w:eastAsia="Calibri"/>
              </w:rPr>
            </w:pPr>
            <w:r w:rsidRPr="00C21793">
              <w:rPr>
                <w:rFonts w:eastAsia="Calibri"/>
              </w:rPr>
              <w:t>-0.273***</w:t>
            </w:r>
          </w:p>
        </w:tc>
      </w:tr>
      <w:tr w:rsidR="0048050A" w:rsidRPr="00C21793" w:rsidTr="003E1626">
        <w:trPr>
          <w:trHeight w:val="259"/>
        </w:trPr>
        <w:tc>
          <w:tcPr>
            <w:tcW w:w="2099" w:type="dxa"/>
            <w:shd w:val="clear" w:color="auto" w:fill="auto"/>
          </w:tcPr>
          <w:p w:rsidR="0048050A" w:rsidRPr="00C21793" w:rsidRDefault="0048050A" w:rsidP="0048050A">
            <w:pPr>
              <w:jc w:val="center"/>
              <w:rPr>
                <w:rFonts w:eastAsia="Calibri"/>
              </w:rPr>
            </w:pPr>
            <w:r w:rsidRPr="00C21793">
              <w:rPr>
                <w:rFonts w:eastAsia="Calibri"/>
              </w:rPr>
              <w:t>SO</w:t>
            </w:r>
            <w:r w:rsidRPr="00C21793">
              <w:rPr>
                <w:rFonts w:eastAsia="Calibri"/>
                <w:vertAlign w:val="subscript"/>
              </w:rPr>
              <w:t>2</w:t>
            </w:r>
          </w:p>
        </w:tc>
        <w:tc>
          <w:tcPr>
            <w:tcW w:w="1961" w:type="dxa"/>
            <w:shd w:val="clear" w:color="auto" w:fill="auto"/>
          </w:tcPr>
          <w:p w:rsidR="0048050A" w:rsidRPr="00C21793" w:rsidRDefault="0048050A" w:rsidP="0048050A">
            <w:pPr>
              <w:jc w:val="center"/>
              <w:rPr>
                <w:rFonts w:eastAsia="Calibri"/>
              </w:rPr>
            </w:pPr>
            <w:r w:rsidRPr="00C21793">
              <w:rPr>
                <w:rFonts w:eastAsia="Calibri"/>
              </w:rPr>
              <w:t>0.013</w:t>
            </w:r>
          </w:p>
        </w:tc>
        <w:tc>
          <w:tcPr>
            <w:tcW w:w="2177" w:type="dxa"/>
            <w:shd w:val="clear" w:color="auto" w:fill="auto"/>
          </w:tcPr>
          <w:p w:rsidR="0048050A" w:rsidRPr="00C21793" w:rsidRDefault="0048050A" w:rsidP="0048050A">
            <w:pPr>
              <w:jc w:val="center"/>
              <w:rPr>
                <w:rFonts w:eastAsia="Calibri"/>
              </w:rPr>
            </w:pPr>
            <w:r w:rsidRPr="00C21793">
              <w:rPr>
                <w:rFonts w:eastAsia="Calibri"/>
              </w:rPr>
              <w:t>0.077</w:t>
            </w:r>
          </w:p>
        </w:tc>
        <w:tc>
          <w:tcPr>
            <w:tcW w:w="1428" w:type="dxa"/>
            <w:shd w:val="clear" w:color="auto" w:fill="auto"/>
          </w:tcPr>
          <w:p w:rsidR="0048050A" w:rsidRPr="00C21793" w:rsidRDefault="0048050A" w:rsidP="0048050A">
            <w:pPr>
              <w:jc w:val="center"/>
              <w:rPr>
                <w:rFonts w:eastAsia="Calibri"/>
              </w:rPr>
            </w:pPr>
            <w:r w:rsidRPr="00C21793">
              <w:rPr>
                <w:rFonts w:eastAsia="Calibri"/>
              </w:rPr>
              <w:t>-0.112</w:t>
            </w:r>
          </w:p>
        </w:tc>
        <w:tc>
          <w:tcPr>
            <w:tcW w:w="1802" w:type="dxa"/>
            <w:shd w:val="clear" w:color="auto" w:fill="auto"/>
          </w:tcPr>
          <w:p w:rsidR="0048050A" w:rsidRPr="00C21793" w:rsidRDefault="0048050A" w:rsidP="0048050A">
            <w:pPr>
              <w:jc w:val="center"/>
              <w:rPr>
                <w:rFonts w:eastAsia="Calibri"/>
              </w:rPr>
            </w:pPr>
            <w:r w:rsidRPr="00C21793">
              <w:rPr>
                <w:rFonts w:eastAsia="Calibri"/>
              </w:rPr>
              <w:t>-0.533</w:t>
            </w:r>
          </w:p>
        </w:tc>
      </w:tr>
      <w:tr w:rsidR="0048050A" w:rsidRPr="00C21793" w:rsidTr="003E1626">
        <w:trPr>
          <w:trHeight w:val="259"/>
        </w:trPr>
        <w:tc>
          <w:tcPr>
            <w:tcW w:w="2099" w:type="dxa"/>
            <w:shd w:val="clear" w:color="auto" w:fill="auto"/>
            <w:hideMark/>
          </w:tcPr>
          <w:p w:rsidR="0048050A" w:rsidRPr="00C21793" w:rsidRDefault="0048050A" w:rsidP="0048050A">
            <w:pPr>
              <w:jc w:val="center"/>
              <w:rPr>
                <w:rFonts w:eastAsia="Calibri"/>
              </w:rPr>
            </w:pPr>
            <w:r w:rsidRPr="00C21793">
              <w:rPr>
                <w:rFonts w:eastAsia="Calibri"/>
              </w:rPr>
              <w:t>PM</w:t>
            </w:r>
            <w:r w:rsidRPr="00C21793">
              <w:rPr>
                <w:rFonts w:eastAsia="Calibri"/>
                <w:vertAlign w:val="subscript"/>
              </w:rPr>
              <w:t>2.5</w:t>
            </w:r>
          </w:p>
        </w:tc>
        <w:tc>
          <w:tcPr>
            <w:tcW w:w="1961" w:type="dxa"/>
            <w:shd w:val="clear" w:color="auto" w:fill="auto"/>
            <w:hideMark/>
          </w:tcPr>
          <w:p w:rsidR="0048050A" w:rsidRPr="00C21793" w:rsidRDefault="0048050A" w:rsidP="0048050A">
            <w:pPr>
              <w:jc w:val="center"/>
              <w:rPr>
                <w:rFonts w:eastAsia="Calibri"/>
              </w:rPr>
            </w:pPr>
            <w:r w:rsidRPr="00C21793">
              <w:rPr>
                <w:rFonts w:eastAsia="Calibri"/>
              </w:rPr>
              <w:t>-0.279*</w:t>
            </w:r>
          </w:p>
        </w:tc>
        <w:tc>
          <w:tcPr>
            <w:tcW w:w="2177" w:type="dxa"/>
            <w:shd w:val="clear" w:color="auto" w:fill="auto"/>
            <w:hideMark/>
          </w:tcPr>
          <w:p w:rsidR="0048050A" w:rsidRPr="00C21793" w:rsidRDefault="0048050A" w:rsidP="0048050A">
            <w:pPr>
              <w:jc w:val="center"/>
              <w:rPr>
                <w:rFonts w:eastAsia="Calibri"/>
              </w:rPr>
            </w:pPr>
            <w:r w:rsidRPr="00C21793">
              <w:rPr>
                <w:rFonts w:eastAsia="Calibri"/>
              </w:rPr>
              <w:t>-0.184*</w:t>
            </w:r>
          </w:p>
        </w:tc>
        <w:tc>
          <w:tcPr>
            <w:tcW w:w="1428" w:type="dxa"/>
            <w:shd w:val="clear" w:color="auto" w:fill="auto"/>
            <w:hideMark/>
          </w:tcPr>
          <w:p w:rsidR="0048050A" w:rsidRPr="00C21793" w:rsidRDefault="0048050A" w:rsidP="0048050A">
            <w:pPr>
              <w:jc w:val="center"/>
              <w:rPr>
                <w:rFonts w:eastAsia="Calibri"/>
              </w:rPr>
            </w:pPr>
            <w:r w:rsidRPr="00C21793">
              <w:rPr>
                <w:rFonts w:eastAsia="Calibri"/>
              </w:rPr>
              <w:t>-0.049**</w:t>
            </w:r>
          </w:p>
        </w:tc>
        <w:tc>
          <w:tcPr>
            <w:tcW w:w="1802" w:type="dxa"/>
            <w:shd w:val="clear" w:color="auto" w:fill="auto"/>
            <w:hideMark/>
          </w:tcPr>
          <w:p w:rsidR="0048050A" w:rsidRPr="00C21793" w:rsidRDefault="0048050A" w:rsidP="0048050A">
            <w:pPr>
              <w:jc w:val="center"/>
              <w:rPr>
                <w:rFonts w:eastAsia="Calibri"/>
              </w:rPr>
            </w:pPr>
            <w:r w:rsidRPr="00C21793">
              <w:rPr>
                <w:rFonts w:eastAsia="Calibri"/>
              </w:rPr>
              <w:t>-0.112*</w:t>
            </w:r>
          </w:p>
        </w:tc>
      </w:tr>
      <w:tr w:rsidR="0048050A" w:rsidRPr="00C21793" w:rsidTr="00B5578D">
        <w:trPr>
          <w:trHeight w:val="259"/>
        </w:trPr>
        <w:tc>
          <w:tcPr>
            <w:tcW w:w="2099" w:type="dxa"/>
            <w:tcBorders>
              <w:bottom w:val="single" w:sz="8" w:space="0" w:color="auto"/>
            </w:tcBorders>
            <w:shd w:val="clear" w:color="auto" w:fill="auto"/>
            <w:hideMark/>
          </w:tcPr>
          <w:p w:rsidR="0048050A" w:rsidRPr="00C21793" w:rsidRDefault="0048050A" w:rsidP="0048050A">
            <w:pPr>
              <w:jc w:val="center"/>
              <w:rPr>
                <w:rFonts w:eastAsia="Calibri"/>
              </w:rPr>
            </w:pPr>
            <w:r w:rsidRPr="00C21793">
              <w:rPr>
                <w:rFonts w:eastAsia="Calibri"/>
              </w:rPr>
              <w:t>PM</w:t>
            </w:r>
            <w:r w:rsidRPr="00C21793">
              <w:rPr>
                <w:rFonts w:eastAsia="Calibri"/>
                <w:vertAlign w:val="subscript"/>
              </w:rPr>
              <w:t>10</w:t>
            </w:r>
          </w:p>
        </w:tc>
        <w:tc>
          <w:tcPr>
            <w:tcW w:w="1961" w:type="dxa"/>
            <w:tcBorders>
              <w:bottom w:val="single" w:sz="8" w:space="0" w:color="auto"/>
            </w:tcBorders>
            <w:shd w:val="clear" w:color="auto" w:fill="auto"/>
            <w:hideMark/>
          </w:tcPr>
          <w:p w:rsidR="0048050A" w:rsidRPr="00C21793" w:rsidRDefault="0048050A" w:rsidP="0048050A">
            <w:pPr>
              <w:jc w:val="center"/>
              <w:rPr>
                <w:rFonts w:eastAsia="Calibri"/>
              </w:rPr>
            </w:pPr>
            <w:r w:rsidRPr="00C21793">
              <w:rPr>
                <w:rFonts w:eastAsia="Calibri"/>
              </w:rPr>
              <w:t>0.053*</w:t>
            </w:r>
          </w:p>
        </w:tc>
        <w:tc>
          <w:tcPr>
            <w:tcW w:w="2177" w:type="dxa"/>
            <w:tcBorders>
              <w:bottom w:val="single" w:sz="8" w:space="0" w:color="auto"/>
            </w:tcBorders>
            <w:shd w:val="clear" w:color="auto" w:fill="auto"/>
            <w:hideMark/>
          </w:tcPr>
          <w:p w:rsidR="0048050A" w:rsidRPr="00C21793" w:rsidRDefault="0048050A" w:rsidP="0048050A">
            <w:pPr>
              <w:jc w:val="center"/>
              <w:rPr>
                <w:rFonts w:eastAsia="Calibri"/>
              </w:rPr>
            </w:pPr>
            <w:r w:rsidRPr="00C21793">
              <w:rPr>
                <w:rFonts w:eastAsia="Calibri"/>
              </w:rPr>
              <w:t>0.233***</w:t>
            </w:r>
          </w:p>
        </w:tc>
        <w:tc>
          <w:tcPr>
            <w:tcW w:w="1428" w:type="dxa"/>
            <w:tcBorders>
              <w:bottom w:val="single" w:sz="8" w:space="0" w:color="auto"/>
            </w:tcBorders>
            <w:shd w:val="clear" w:color="auto" w:fill="auto"/>
            <w:hideMark/>
          </w:tcPr>
          <w:p w:rsidR="0048050A" w:rsidRPr="00C21793" w:rsidRDefault="0048050A" w:rsidP="0048050A">
            <w:pPr>
              <w:jc w:val="center"/>
              <w:rPr>
                <w:rFonts w:eastAsia="Calibri"/>
              </w:rPr>
            </w:pPr>
            <w:r w:rsidRPr="00C21793">
              <w:rPr>
                <w:rFonts w:eastAsia="Calibri"/>
              </w:rPr>
              <w:t>-0.362***</w:t>
            </w:r>
          </w:p>
        </w:tc>
        <w:tc>
          <w:tcPr>
            <w:tcW w:w="1802" w:type="dxa"/>
            <w:tcBorders>
              <w:bottom w:val="single" w:sz="8" w:space="0" w:color="auto"/>
            </w:tcBorders>
            <w:shd w:val="clear" w:color="auto" w:fill="auto"/>
            <w:hideMark/>
          </w:tcPr>
          <w:p w:rsidR="0048050A" w:rsidRPr="00C21793" w:rsidRDefault="0048050A" w:rsidP="0048050A">
            <w:pPr>
              <w:jc w:val="center"/>
              <w:rPr>
                <w:rFonts w:eastAsia="Calibri"/>
              </w:rPr>
            </w:pPr>
            <w:r w:rsidRPr="00C21793">
              <w:rPr>
                <w:rFonts w:eastAsia="Calibri"/>
              </w:rPr>
              <w:t>-0.360***</w:t>
            </w:r>
          </w:p>
        </w:tc>
      </w:tr>
    </w:tbl>
    <w:p w:rsidR="00306945" w:rsidRPr="00C21793" w:rsidRDefault="00306945" w:rsidP="00306945">
      <w:r w:rsidRPr="00C21793">
        <w:t>Statistical significance at the *P &lt; 0.05; **P &lt; 0.01; ***P &lt; 0.001.</w:t>
      </w:r>
    </w:p>
    <w:p w:rsidR="00306945" w:rsidRPr="00C21793" w:rsidRDefault="00306945" w:rsidP="00306945">
      <w:pPr>
        <w:pStyle w:val="NoSpacing"/>
        <w:spacing w:line="360" w:lineRule="auto"/>
        <w:ind w:firstLine="360"/>
        <w:jc w:val="both"/>
        <w:rPr>
          <w:rFonts w:ascii="Times New Roman" w:hAnsi="Times New Roman" w:cs="Times New Roman"/>
          <w:bCs/>
          <w:sz w:val="24"/>
          <w:szCs w:val="24"/>
          <w:lang w:val="en-US"/>
        </w:rPr>
      </w:pPr>
    </w:p>
    <w:p w:rsidR="00306945" w:rsidRPr="00C21793" w:rsidRDefault="00306945" w:rsidP="00306945">
      <w:pPr>
        <w:pStyle w:val="NoSpacing"/>
        <w:spacing w:line="360" w:lineRule="auto"/>
        <w:ind w:firstLine="360"/>
        <w:jc w:val="both"/>
        <w:rPr>
          <w:rFonts w:ascii="Times New Roman" w:hAnsi="Times New Roman" w:cs="Times New Roman"/>
          <w:bCs/>
          <w:sz w:val="24"/>
          <w:szCs w:val="24"/>
          <w:lang w:val="en-US"/>
        </w:rPr>
      </w:pPr>
      <w:r w:rsidRPr="00C21793">
        <w:rPr>
          <w:rFonts w:ascii="Times New Roman" w:hAnsi="Times New Roman" w:cs="Times New Roman"/>
          <w:sz w:val="24"/>
          <w:szCs w:val="24"/>
          <w:lang w:val="en-US"/>
        </w:rPr>
        <w:t xml:space="preserve">Our findings show that COVID-19 cases and deaths are significantly correlated with environmental pollutants in both </w:t>
      </w:r>
      <w:r w:rsidR="0052112D" w:rsidRPr="00C21793">
        <w:rPr>
          <w:rFonts w:ascii="Times New Roman" w:hAnsi="Times New Roman" w:cs="Times New Roman"/>
          <w:sz w:val="24"/>
          <w:szCs w:val="24"/>
          <w:lang w:val="en-US"/>
        </w:rPr>
        <w:t xml:space="preserve">the </w:t>
      </w:r>
      <w:r w:rsidRPr="00C21793">
        <w:rPr>
          <w:rFonts w:ascii="Times New Roman" w:hAnsi="Times New Roman" w:cs="Times New Roman"/>
          <w:sz w:val="24"/>
          <w:szCs w:val="24"/>
          <w:lang w:val="en-US"/>
        </w:rPr>
        <w:t>USA and China. In the USA, we observed significant positive associations of NO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PM</w:t>
      </w:r>
      <w:r w:rsidR="002648B5" w:rsidRPr="00C21793">
        <w:rPr>
          <w:rFonts w:ascii="Times New Roman" w:hAnsi="Times New Roman" w:cs="Times New Roman"/>
          <w:sz w:val="24"/>
          <w:szCs w:val="24"/>
          <w:vertAlign w:val="subscript"/>
          <w:lang w:val="en-US"/>
        </w:rPr>
        <w:t>2.5</w:t>
      </w:r>
      <w:r w:rsidRPr="00C21793">
        <w:rPr>
          <w:rFonts w:ascii="Times New Roman" w:hAnsi="Times New Roman" w:cs="Times New Roman"/>
          <w:sz w:val="24"/>
          <w:szCs w:val="24"/>
          <w:lang w:val="en-US"/>
        </w:rPr>
        <w:t xml:space="preserve"> and PM</w:t>
      </w:r>
      <w:r w:rsidRPr="00C21793">
        <w:rPr>
          <w:rFonts w:ascii="Times New Roman" w:hAnsi="Times New Roman" w:cs="Times New Roman"/>
          <w:sz w:val="24"/>
          <w:szCs w:val="24"/>
          <w:vertAlign w:val="subscript"/>
          <w:lang w:val="en-US"/>
        </w:rPr>
        <w:t>10</w:t>
      </w:r>
      <w:r w:rsidRPr="00C21793">
        <w:rPr>
          <w:rFonts w:ascii="Times New Roman" w:hAnsi="Times New Roman" w:cs="Times New Roman"/>
          <w:sz w:val="24"/>
          <w:szCs w:val="24"/>
          <w:lang w:val="en-US"/>
        </w:rPr>
        <w:t xml:space="preserve"> with COVID-19 confirmed cases and deaths in Spearman correlation. While in the Kendall correlatio</w:t>
      </w:r>
      <w:r w:rsidR="00535FBD" w:rsidRPr="00C21793">
        <w:rPr>
          <w:rFonts w:ascii="Times New Roman" w:hAnsi="Times New Roman" w:cs="Times New Roman"/>
          <w:sz w:val="24"/>
          <w:szCs w:val="24"/>
          <w:lang w:val="en-US"/>
        </w:rPr>
        <w:t>n coefficient, we found that PM</w:t>
      </w:r>
      <w:r w:rsidRPr="00C21793">
        <w:rPr>
          <w:rFonts w:ascii="Times New Roman" w:hAnsi="Times New Roman" w:cs="Times New Roman"/>
          <w:sz w:val="24"/>
          <w:szCs w:val="24"/>
          <w:vertAlign w:val="subscript"/>
          <w:lang w:val="en-US"/>
        </w:rPr>
        <w:t>2.5</w:t>
      </w:r>
      <w:r w:rsidR="00535FBD" w:rsidRPr="00C21793">
        <w:rPr>
          <w:rFonts w:ascii="Times New Roman" w:hAnsi="Times New Roman" w:cs="Times New Roman"/>
          <w:sz w:val="24"/>
          <w:szCs w:val="24"/>
          <w:lang w:val="en-US"/>
        </w:rPr>
        <w:t xml:space="preserve"> and PM</w:t>
      </w:r>
      <w:r w:rsidR="00535FBD" w:rsidRPr="00C21793">
        <w:rPr>
          <w:rFonts w:ascii="Times New Roman" w:hAnsi="Times New Roman" w:cs="Times New Roman"/>
          <w:sz w:val="24"/>
          <w:szCs w:val="24"/>
          <w:vertAlign w:val="subscript"/>
          <w:lang w:val="en-US"/>
        </w:rPr>
        <w:t>1</w:t>
      </w:r>
      <w:r w:rsidRPr="00C21793">
        <w:rPr>
          <w:rFonts w:ascii="Times New Roman" w:hAnsi="Times New Roman" w:cs="Times New Roman"/>
          <w:sz w:val="24"/>
          <w:szCs w:val="24"/>
          <w:vertAlign w:val="subscript"/>
          <w:lang w:val="en-US"/>
        </w:rPr>
        <w:t xml:space="preserve">0 </w:t>
      </w:r>
      <w:r w:rsidRPr="00C21793">
        <w:rPr>
          <w:rFonts w:ascii="Times New Roman" w:hAnsi="Times New Roman" w:cs="Times New Roman"/>
          <w:sz w:val="24"/>
          <w:szCs w:val="24"/>
          <w:lang w:val="en-US"/>
        </w:rPr>
        <w:t>h</w:t>
      </w:r>
      <w:r w:rsidR="00535FBD" w:rsidRPr="00C21793">
        <w:rPr>
          <w:rFonts w:ascii="Times New Roman" w:hAnsi="Times New Roman" w:cs="Times New Roman"/>
          <w:sz w:val="24"/>
          <w:szCs w:val="24"/>
          <w:lang w:val="en-US"/>
        </w:rPr>
        <w:t>ad a significant correlation with</w:t>
      </w:r>
      <w:r w:rsidRPr="00C21793">
        <w:rPr>
          <w:rFonts w:ascii="Times New Roman" w:hAnsi="Times New Roman" w:cs="Times New Roman"/>
          <w:sz w:val="24"/>
          <w:szCs w:val="24"/>
          <w:lang w:val="en-US"/>
        </w:rPr>
        <w:t xml:space="preserve"> COVID-19 cases and mortality. Moreover</w:t>
      </w:r>
      <w:r w:rsidR="00535FBD" w:rsidRPr="00C21793">
        <w:rPr>
          <w:rFonts w:ascii="Times New Roman" w:hAnsi="Times New Roman" w:cs="Times New Roman"/>
          <w:sz w:val="24"/>
          <w:szCs w:val="24"/>
          <w:lang w:val="en-US"/>
        </w:rPr>
        <w:t>, PM</w:t>
      </w:r>
      <w:r w:rsidRPr="00C21793">
        <w:rPr>
          <w:rFonts w:ascii="Times New Roman" w:hAnsi="Times New Roman" w:cs="Times New Roman"/>
          <w:sz w:val="24"/>
          <w:szCs w:val="24"/>
          <w:vertAlign w:val="subscript"/>
          <w:lang w:val="en-US"/>
        </w:rPr>
        <w:t>10</w:t>
      </w:r>
      <w:r w:rsidRPr="00C21793">
        <w:rPr>
          <w:rFonts w:ascii="Times New Roman" w:hAnsi="Times New Roman" w:cs="Times New Roman"/>
          <w:sz w:val="24"/>
          <w:szCs w:val="24"/>
          <w:lang w:val="en-US"/>
        </w:rPr>
        <w:t xml:space="preserve"> showed a strong association with mortality rates in both Spearman and Kendall correlation.</w:t>
      </w:r>
      <w:r w:rsidRPr="00C21793">
        <w:rPr>
          <w:rFonts w:ascii="Times New Roman" w:hAnsi="Times New Roman" w:cs="Times New Roman"/>
          <w:bCs/>
          <w:sz w:val="24"/>
          <w:szCs w:val="24"/>
          <w:lang w:val="en-US"/>
        </w:rPr>
        <w:t xml:space="preserve"> </w:t>
      </w:r>
      <w:r w:rsidRPr="00C21793">
        <w:rPr>
          <w:rFonts w:ascii="Times New Roman" w:hAnsi="Times New Roman" w:cs="Times New Roman"/>
          <w:sz w:val="24"/>
          <w:szCs w:val="24"/>
          <w:lang w:val="en-US"/>
        </w:rPr>
        <w:t xml:space="preserve">In </w:t>
      </w:r>
      <w:r w:rsidRPr="00C21793">
        <w:rPr>
          <w:rFonts w:ascii="Times New Roman" w:hAnsi="Times New Roman" w:cs="Times New Roman"/>
          <w:sz w:val="24"/>
          <w:szCs w:val="24"/>
          <w:lang w:val="en-US"/>
        </w:rPr>
        <w:lastRenderedPageBreak/>
        <w:t xml:space="preserve">China, </w:t>
      </w:r>
      <w:r w:rsidR="00535FBD" w:rsidRPr="00C21793">
        <w:rPr>
          <w:rFonts w:ascii="Times New Roman" w:hAnsi="Times New Roman" w:cs="Times New Roman"/>
          <w:sz w:val="24"/>
          <w:szCs w:val="24"/>
          <w:lang w:val="en-US"/>
        </w:rPr>
        <w:t xml:space="preserve">statistical analysis showed </w:t>
      </w:r>
      <w:r w:rsidRPr="00C21793">
        <w:rPr>
          <w:rFonts w:ascii="Times New Roman" w:hAnsi="Times New Roman" w:cs="Times New Roman"/>
          <w:sz w:val="24"/>
          <w:szCs w:val="24"/>
          <w:lang w:val="en-US"/>
        </w:rPr>
        <w:t>that NO</w:t>
      </w:r>
      <w:r w:rsidRPr="00C21793">
        <w:rPr>
          <w:rFonts w:ascii="Times New Roman" w:hAnsi="Times New Roman" w:cs="Times New Roman"/>
          <w:sz w:val="24"/>
          <w:szCs w:val="24"/>
          <w:vertAlign w:val="subscript"/>
          <w:lang w:val="en-US"/>
        </w:rPr>
        <w:t>2</w:t>
      </w:r>
      <w:r w:rsidR="00535FBD" w:rsidRPr="00C21793">
        <w:rPr>
          <w:rFonts w:ascii="Times New Roman" w:hAnsi="Times New Roman" w:cs="Times New Roman"/>
          <w:sz w:val="24"/>
          <w:szCs w:val="24"/>
          <w:lang w:val="en-US"/>
        </w:rPr>
        <w:t>, PM</w:t>
      </w:r>
      <w:r w:rsidRPr="00C21793">
        <w:rPr>
          <w:rFonts w:ascii="Times New Roman" w:hAnsi="Times New Roman" w:cs="Times New Roman"/>
          <w:sz w:val="24"/>
          <w:szCs w:val="24"/>
          <w:vertAlign w:val="subscript"/>
          <w:lang w:val="en-US"/>
        </w:rPr>
        <w:t>2.5</w:t>
      </w:r>
      <w:r w:rsidR="00535FBD" w:rsidRPr="00C21793">
        <w:rPr>
          <w:rFonts w:ascii="Times New Roman" w:hAnsi="Times New Roman" w:cs="Times New Roman"/>
          <w:sz w:val="24"/>
          <w:szCs w:val="24"/>
          <w:lang w:val="en-US"/>
        </w:rPr>
        <w:t>, and PM</w:t>
      </w:r>
      <w:r w:rsidRPr="00C21793">
        <w:rPr>
          <w:rFonts w:ascii="Times New Roman" w:hAnsi="Times New Roman" w:cs="Times New Roman"/>
          <w:sz w:val="24"/>
          <w:szCs w:val="24"/>
          <w:vertAlign w:val="subscript"/>
          <w:lang w:val="en-US"/>
        </w:rPr>
        <w:t>10</w:t>
      </w:r>
      <w:r w:rsidRPr="00C21793">
        <w:rPr>
          <w:rFonts w:ascii="Times New Roman" w:hAnsi="Times New Roman" w:cs="Times New Roman"/>
          <w:sz w:val="24"/>
          <w:szCs w:val="24"/>
          <w:lang w:val="en-US"/>
        </w:rPr>
        <w:t xml:space="preserve"> had a significantly positive correlation with COVID-19 cases and deaths in both Spearman and Kendall correlation (Table 2). </w:t>
      </w:r>
    </w:p>
    <w:p w:rsidR="00306945" w:rsidRPr="00C21793" w:rsidRDefault="00306945" w:rsidP="00306945">
      <w:pPr>
        <w:pStyle w:val="NoSpacing"/>
        <w:spacing w:line="360" w:lineRule="auto"/>
        <w:ind w:firstLine="360"/>
        <w:jc w:val="both"/>
        <w:rPr>
          <w:rFonts w:ascii="Times New Roman" w:hAnsi="Times New Roman" w:cs="Times New Roman"/>
          <w:sz w:val="24"/>
          <w:szCs w:val="24"/>
          <w:lang w:val="en-US"/>
        </w:rPr>
      </w:pPr>
      <w:r w:rsidRPr="00C21793">
        <w:rPr>
          <w:rFonts w:ascii="Times New Roman" w:hAnsi="Times New Roman" w:cs="Times New Roman"/>
          <w:sz w:val="24"/>
          <w:szCs w:val="24"/>
          <w:lang w:val="en-US"/>
        </w:rPr>
        <w:t xml:space="preserve">After continuous scientific research, clear shreds of evidence are showed that human health significantly affected by air pollution, particularly in urban areas.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{"citationItems":[{"id":"ITEM-1","itemData":{"DOI":"10.1016/j.envres.2020.109652","ISSN":"00139351","PMID":"32405084","abstract":"In December 2019, the novel coronavirus COVID-19 outbreak was first detected in Wuhan Hubei province, China. In California on April 24, 2020, the Centers for Disease Control and Preventions (CDC) has confirmed more than 39,000 cases, including &gt;1800 deaths. California's Governor Gavin Newsom ordered mandatory stay at home after World Health Organization (WHO) declared COVID-19 as a global pandemic in early March. We have evaluated the correlation between environmental pollution determinants and the COVID-19 outbreak in California by using the secondary published data from the Centers for Disease Control and the Environmental Pollution Agency (EPA). We employed Spearman and Kendall correlation tests to analyze the association of PM 2.5, PM 10, SO2, NO2, Pb, VOC, and CO with COVID-19 cases in California. Our findings indicate that environmental pollutants such as PM10, PM2.5, SO2, NO2, and CO have a significant correlation with the COVID-19 epidemic in California. Overall, our study is a useful supplement to encourage regulatory bodies to promote changes in environmental policies as pollution source control can reduce the harmful effects of environmental pollutants.","author":[{"dropping-particle":"","family":"Bashir","given":"Muhammad Farhan","non-dropping-particle":"","parse-names":false,"suffix":""},{"dropping-particle":"","family":"Bilal","given":"BenJiang MA.","non-dropping-particle":"","parse-names":false,"suffix":""},{"dropping-particle":"","family":"Komal","given":"Bushra","non-dropping-particle":"","parse-names":false,"suffix":""}],"container-title":"Environmental Research","id":"ITEM-1","issue":"April","issued":{"date-parts":[["2020"]]},"page":"109652","publisher":"Elsevier Inc.","title":"Correlation between environmental pollution indicators and COVID-19 pandemic: A brief study in Californian context","type":"article-journal","volume":"187"},"uris":["http://www.mendeley.com/documents/?uuid=a7497422-ff50-403c-b909-48739ea63f09"]}],"mendeley":{"formattedCitation":"(Bashir et al., 2020a)","manualFormatting":"Bashir et al., (2020a)","plainTextFormattedCitation":"(Bashir et al., 2020a)","previouslyFormattedCitation":"(Bashir et al., 2020a)"},"properties":{"noteIndex":0},"schema":"https://github.com/citation-style-language/schema/raw/master/csl-citation.json"}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461FEE" w:rsidRPr="00C21793">
        <w:rPr>
          <w:rFonts w:ascii="Times New Roman" w:hAnsi="Times New Roman" w:cs="Times New Roman"/>
          <w:noProof/>
          <w:sz w:val="24"/>
          <w:szCs w:val="24"/>
          <w:lang w:val="en-US"/>
        </w:rPr>
        <w:t>Bashir et al.</w:t>
      </w:r>
      <w:r w:rsidRPr="00C21793">
        <w:rPr>
          <w:rFonts w:ascii="Times New Roman" w:hAnsi="Times New Roman" w:cs="Times New Roman"/>
          <w:noProof/>
          <w:sz w:val="24"/>
          <w:szCs w:val="24"/>
          <w:lang w:val="en-US"/>
        </w:rPr>
        <w:t xml:space="preserve"> (2020a)</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studied and analyzed that CO, PM</w:t>
      </w:r>
      <w:r w:rsidRPr="00C21793">
        <w:rPr>
          <w:rFonts w:ascii="Times New Roman" w:hAnsi="Times New Roman" w:cs="Times New Roman"/>
          <w:sz w:val="24"/>
          <w:szCs w:val="24"/>
          <w:vertAlign w:val="subscript"/>
          <w:lang w:val="en-US"/>
        </w:rPr>
        <w:t>2.5</w:t>
      </w:r>
      <w:r w:rsidRPr="00C21793">
        <w:rPr>
          <w:rFonts w:ascii="Times New Roman" w:hAnsi="Times New Roman" w:cs="Times New Roman"/>
          <w:sz w:val="24"/>
          <w:szCs w:val="24"/>
          <w:lang w:val="en-US"/>
        </w:rPr>
        <w:t>, PM</w:t>
      </w:r>
      <w:r w:rsidRPr="00C21793">
        <w:rPr>
          <w:rFonts w:ascii="Times New Roman" w:hAnsi="Times New Roman" w:cs="Times New Roman"/>
          <w:sz w:val="24"/>
          <w:szCs w:val="24"/>
          <w:vertAlign w:val="subscript"/>
          <w:lang w:val="en-US"/>
        </w:rPr>
        <w:t>10</w:t>
      </w:r>
      <w:r w:rsidRPr="00C21793">
        <w:rPr>
          <w:rFonts w:ascii="Times New Roman" w:hAnsi="Times New Roman" w:cs="Times New Roman"/>
          <w:sz w:val="24"/>
          <w:szCs w:val="24"/>
          <w:lang w:val="en-US"/>
        </w:rPr>
        <w:t>, and SO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xml:space="preserve"> positively associated with COVID-19 cases and deaths in the California state.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approach.","author":[{"dropping-particle":"","family":"Xiao Wu, Rachel C Nethery, M Benjamin Sabath, Danielle Braun","given":"Francesca Dominici","non-dropping-particle":"","parse-names":false,"suffix":""},{"dropping-particle":"","family":"Xiao","given":"","non-dropping-particle":"","parse-names":false,"suffix":""}],"container-title":"medRxiv","id":"ITEM-1","issue":"9","issued":{"date-parts":[["2020"]]},"number-of-pages":"1689-1699","title":"Exposure to air pollution and COVID-19 mortality in the United States: A nationwide cross-sectional study","type":"book","volume":"53"},"uris":["http://www.mendeley.com/documents/?uuid=960e61b5-f4fa-41a1-9a29-da190396c324"]}],"mendeley":{"formattedCitation":"(Xiao Wu, Rachel C Nethery, M Benjamin Sabath, Danielle Braun and Xiao, 2020)","manualFormatting":"Xiao et al., (2020) ","plainTextFormattedCitation":"(Xiao Wu, Rachel C Nethery, M Benjamin Sabath, Danielle Braun and Xiao, 2020)","previouslyFormattedCitation":"(Xiao Wu, Rachel C Nethery, M Benjamin Sabath, Danielle Braun and Xiao, 2020)"},"properties":{"noteIndex":0},"schema":"https://github.com/citation-style-language/schema/raw/master/csl-citation.json"}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461FEE" w:rsidRPr="00C21793">
        <w:rPr>
          <w:rFonts w:ascii="Times New Roman" w:hAnsi="Times New Roman" w:cs="Times New Roman"/>
          <w:noProof/>
          <w:sz w:val="24"/>
          <w:szCs w:val="24"/>
          <w:lang w:val="en-US"/>
        </w:rPr>
        <w:t>Xiao et al.</w:t>
      </w:r>
      <w:r w:rsidRPr="00C21793">
        <w:rPr>
          <w:rFonts w:ascii="Times New Roman" w:hAnsi="Times New Roman" w:cs="Times New Roman"/>
          <w:noProof/>
          <w:sz w:val="24"/>
          <w:szCs w:val="24"/>
          <w:lang w:val="en-US"/>
        </w:rPr>
        <w:t xml:space="preserve"> (2020) </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also found a strong correlation between environmental pollutants and COVID-19. He also proposed that only 1 </w:t>
      </w:r>
      <w:proofErr w:type="spellStart"/>
      <w:r w:rsidRPr="00C21793">
        <w:rPr>
          <w:rFonts w:ascii="Times New Roman" w:hAnsi="Times New Roman" w:cs="Times New Roman"/>
          <w:sz w:val="24"/>
          <w:szCs w:val="24"/>
          <w:lang w:val="en-US"/>
        </w:rPr>
        <w:t>μg</w:t>
      </w:r>
      <w:proofErr w:type="spellEnd"/>
      <w:r w:rsidRPr="00C21793">
        <w:rPr>
          <w:rFonts w:ascii="Times New Roman" w:hAnsi="Times New Roman" w:cs="Times New Roman"/>
          <w:sz w:val="24"/>
          <w:szCs w:val="24"/>
          <w:lang w:val="en-US"/>
        </w:rPr>
        <w:t xml:space="preserve"> m</w:t>
      </w:r>
      <w:r w:rsidRPr="00C21793">
        <w:rPr>
          <w:rFonts w:ascii="Times New Roman" w:hAnsi="Times New Roman" w:cs="Times New Roman"/>
          <w:sz w:val="24"/>
          <w:szCs w:val="24"/>
          <w:vertAlign w:val="superscript"/>
          <w:lang w:val="en-US"/>
        </w:rPr>
        <w:t>-3</w:t>
      </w:r>
      <w:r w:rsidRPr="00C21793">
        <w:rPr>
          <w:rFonts w:ascii="Times New Roman" w:hAnsi="Times New Roman" w:cs="Times New Roman"/>
          <w:sz w:val="24"/>
          <w:szCs w:val="24"/>
          <w:lang w:val="en-US"/>
        </w:rPr>
        <w:t xml:space="preserve"> increase in the concentration of PM</w:t>
      </w:r>
      <w:r w:rsidRPr="00C21793">
        <w:rPr>
          <w:rFonts w:ascii="Times New Roman" w:hAnsi="Times New Roman" w:cs="Times New Roman"/>
          <w:sz w:val="24"/>
          <w:szCs w:val="24"/>
          <w:vertAlign w:val="subscript"/>
          <w:lang w:val="en-US"/>
        </w:rPr>
        <w:t xml:space="preserve">2.5 </w:t>
      </w:r>
      <w:r w:rsidRPr="00C21793">
        <w:rPr>
          <w:rFonts w:ascii="Times New Roman" w:hAnsi="Times New Roman" w:cs="Times New Roman"/>
          <w:sz w:val="24"/>
          <w:szCs w:val="24"/>
          <w:lang w:val="en-US"/>
        </w:rPr>
        <w:t>can increases up to 15% in the fatality rate. A study from Thailand showed that CO, PM</w:t>
      </w:r>
      <w:r w:rsidRPr="00C21793">
        <w:rPr>
          <w:rFonts w:ascii="Times New Roman" w:hAnsi="Times New Roman" w:cs="Times New Roman"/>
          <w:sz w:val="24"/>
          <w:szCs w:val="24"/>
          <w:vertAlign w:val="subscript"/>
          <w:lang w:val="en-US"/>
        </w:rPr>
        <w:t>10</w:t>
      </w:r>
      <w:r w:rsidRPr="00C21793">
        <w:rPr>
          <w:rFonts w:ascii="Times New Roman" w:hAnsi="Times New Roman" w:cs="Times New Roman"/>
          <w:sz w:val="24"/>
          <w:szCs w:val="24"/>
          <w:lang w:val="en-US"/>
        </w:rPr>
        <w:t>, NO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O</w:t>
      </w:r>
      <w:r w:rsidRPr="00C21793">
        <w:rPr>
          <w:rFonts w:ascii="Times New Roman" w:hAnsi="Times New Roman" w:cs="Times New Roman"/>
          <w:sz w:val="24"/>
          <w:szCs w:val="24"/>
          <w:vertAlign w:val="subscript"/>
          <w:lang w:val="en-US"/>
        </w:rPr>
        <w:t>3</w:t>
      </w:r>
      <w:r w:rsidRPr="00C21793">
        <w:rPr>
          <w:rFonts w:ascii="Times New Roman" w:hAnsi="Times New Roman" w:cs="Times New Roman"/>
          <w:sz w:val="24"/>
          <w:szCs w:val="24"/>
          <w:lang w:val="en-US"/>
        </w:rPr>
        <w:t>, and SO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xml:space="preserve"> were significantly increased the risk of respiratory diseases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{"citationItems":[{"id":"ITEM-1","itemData":{"DOI":"10.1016/j.scitotenv.2018.09.183","ISSN":"18791026","abstract":"Background: Although health effects of air pollutants are well documented in many countries especially in North America and Western Europe, few studies have been conducted in Thailand where pollution mix, weather conditions, and demographic characteristics are different. The present study aimed to investigate the effects of ambient air pollution on hospital admissions for cardiovascular and respiratory diseases in Bangkok, Thailand. Methods: We obtained daily air pollution concentration (O3, NO2, SO2, PM10, and CO) and weather variable monitored in Bangkok from January 2006 to December 2014. Daily hospital admissions for cardiovascular and respiratory diseases were obtained from the National Health Security Office during the study period. A time-series analysis with generalized linear model was used to examine the effects of air pollution on hospital admissions by controlling for long-term trend and other potential confounders. The effect modification by age (0–14 years, 15–64 years, ≥65 years) and gender was also examined. Results: An increase of 10 μg/m3 in O3, NO2, SO2, PM10, and 1 mg/m3 in CO at lag 0–1 day was associated with a 0.14% (95% CI: −0.34 to 0.63), 1.28% (0.87 to 1.69), 8.42% (6.16 to 10.74), 1.04% (0.68 to 1.41) and 6.69% (4.33 to 9.11) increase in cardiovascular admission, respectively; and 0.69% (95% CI: 0.18 to 1.21), 1.42% (0.98 to 1.85), 4.49% (2.22 to 6.80), 1.18% (0.79 to 1.57) and 7.69% (5.20 to 10.23) increase in respiratory admission, respectively. The elderly (≥65 years) seemed to be the most susceptible group to the effect of air pollution, whereas the effect estimate for male and female was not significantly different. Conclusions: Results from this study contributed the evidence to support the effects of air pollution (O3, NO2, SO2, PM10, and CO) on hospital admissions for cardiovascular and respiratory diseases, which might be useful for public health intervention in Thailand.","author":[{"dropping-particle":"","family":"Phosri","given":"Arthit","non-dropping-particle":"","parse-names":false,"suffix":""},{"dropping-particle":"","family":"Ueda","given":"Kayo","non-dropping-particle":"","parse-names":false,"suffix":""},{"dropping-particle":"","family":"Phung","given":"Vera Ling Hui","non-dropping-particle":"","parse-names":false,"suffix":""},{"dropping-particle":"","family":"Tawatsupa","given":"Benjawan","non-dropping-particle":"","parse-names":false,"suffix":""},{"dropping-particle":"","family":"Honda","given":"Akiko","non-dropping-particle":"","parse-names":false,"suffix":""},{"dropping-particle":"","family":"Takano","given":"Hirohisa","non-dropping-particle":"","parse-names":false,"suffix":""}],"container-title":"Science of the Total Environment","id":"ITEM-1","issue":"2","issued":{"date-parts":[["2019"]]},"page":"1144-1153","publisher":"Elsevier B.V.","title":"Effects of ambient air pollution on daily hospital admissions for respiratory and cardiovascular diseases in Bangkok, Thailand","type":"article-journal","volume":"651"},"uris":["http://www.mendeley.com/documents/?uuid=670fddae-0f8c-4e41-8259-7f6fbe213357"]}],"mendeley":{"formattedCitation":"(Phosri et al., 2019)","plainTextFormattedCitation":"(Phosri et al., 2019)","previouslyFormattedCitation":"(Phosri et al., 2019)"},"properties":{"noteIndex":0},"schema":"https://github.com/citation-style-language/schema/raw/master/csl-citation.json"}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461FEE" w:rsidRPr="00C21793">
        <w:rPr>
          <w:rFonts w:ascii="Times New Roman" w:hAnsi="Times New Roman" w:cs="Times New Roman"/>
          <w:noProof/>
          <w:sz w:val="24"/>
          <w:szCs w:val="24"/>
          <w:lang w:val="en-US"/>
        </w:rPr>
        <w:t>(Phosri et al.</w:t>
      </w:r>
      <w:r w:rsidRPr="00C21793">
        <w:rPr>
          <w:rFonts w:ascii="Times New Roman" w:hAnsi="Times New Roman" w:cs="Times New Roman"/>
          <w:noProof/>
          <w:sz w:val="24"/>
          <w:szCs w:val="24"/>
          <w:lang w:val="en-US"/>
        </w:rPr>
        <w:t xml:space="preserve"> 2019)</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{"citationItems":[{"id":"ITEM-1","itemData":{"author":[{"dropping-particle":"","family":"Yao, Y., Pan, J., Wang, W., Liu, Z., Kan, H., Meng, X., Wang","given":"W.","non-dropping-particle":"","parse-names":false,"suffix":""}],"container-title":"medRxiv","id":"ITEM-1","issued":{"date-parts":[["2020"]]},"title":"Spatial Correlation of Particulate Matter Pollution and Death Rate of COVID-19 /China/ PM2.5, PM10/multiple linear regression","type":"article-journal"},"uris":["http://www.mendeley.com/documents/?uuid=4c0b1e79-f9fb-4c80-b868-907cb77c108a"]}],"mendeley":{"formattedCitation":"(Yao, Y., Pan, J., Wang, W., Liu, Z., Kan, H., Meng, X., Wang, 2020)","manualFormatting":"Yao et al., (2020)","plainTextFormattedCitation":"(Yao, Y., Pan, J., Wang, W., Liu, Z., Kan, H., Meng, X., Wang, 2020)","previouslyFormattedCitation":"(Yao, Y., Pan, J., Wang, W., Liu, Z., Kan, H., Meng, X., Wang, 2020)"},"properties":{"noteIndex":0},"schema":"https://github.com/citation-style-language/schema/raw/master/csl-citation.json"}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CA6BDA" w:rsidRPr="00C21793">
        <w:rPr>
          <w:rFonts w:ascii="Times New Roman" w:hAnsi="Times New Roman" w:cs="Times New Roman"/>
          <w:noProof/>
          <w:sz w:val="24"/>
          <w:szCs w:val="24"/>
          <w:lang w:val="en-US"/>
        </w:rPr>
        <w:t>Yao et al.</w:t>
      </w:r>
      <w:r w:rsidRPr="00C21793">
        <w:rPr>
          <w:rFonts w:ascii="Times New Roman" w:hAnsi="Times New Roman" w:cs="Times New Roman"/>
          <w:noProof/>
          <w:sz w:val="24"/>
          <w:szCs w:val="24"/>
          <w:lang w:val="en-US"/>
        </w:rPr>
        <w:t xml:space="preserve"> (2020)</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also analyzed the spati</w:t>
      </w:r>
      <w:r w:rsidR="00CA6BDA" w:rsidRPr="00C21793">
        <w:rPr>
          <w:rFonts w:ascii="Times New Roman" w:hAnsi="Times New Roman" w:cs="Times New Roman"/>
          <w:sz w:val="24"/>
          <w:szCs w:val="24"/>
          <w:lang w:val="en-US"/>
        </w:rPr>
        <w:t>al correlation of PM</w:t>
      </w:r>
      <w:r w:rsidR="00CA6BDA" w:rsidRPr="00C21793">
        <w:rPr>
          <w:rFonts w:ascii="Times New Roman" w:hAnsi="Times New Roman" w:cs="Times New Roman"/>
          <w:sz w:val="24"/>
          <w:szCs w:val="24"/>
          <w:vertAlign w:val="subscript"/>
          <w:lang w:val="en-US"/>
        </w:rPr>
        <w:t>2.5</w:t>
      </w:r>
      <w:r w:rsidR="00CA6BDA" w:rsidRPr="00C21793">
        <w:rPr>
          <w:rFonts w:ascii="Times New Roman" w:hAnsi="Times New Roman" w:cs="Times New Roman"/>
          <w:sz w:val="24"/>
          <w:szCs w:val="24"/>
          <w:lang w:val="en-US"/>
        </w:rPr>
        <w:t xml:space="preserve"> and PM</w:t>
      </w:r>
      <w:r w:rsidRPr="00C21793">
        <w:rPr>
          <w:rFonts w:ascii="Times New Roman" w:hAnsi="Times New Roman" w:cs="Times New Roman"/>
          <w:sz w:val="24"/>
          <w:szCs w:val="24"/>
          <w:vertAlign w:val="subscript"/>
          <w:lang w:val="en-US"/>
        </w:rPr>
        <w:t>10</w:t>
      </w:r>
      <w:r w:rsidRPr="00C21793">
        <w:rPr>
          <w:rFonts w:ascii="Times New Roman" w:hAnsi="Times New Roman" w:cs="Times New Roman"/>
          <w:sz w:val="24"/>
          <w:szCs w:val="24"/>
          <w:lang w:val="en-US"/>
        </w:rPr>
        <w:t xml:space="preserve"> and the COVID-19 casualty rate by using multiple regression methods in China</w:t>
      </w:r>
      <w:r w:rsidR="00CA6BDA" w:rsidRPr="00C21793">
        <w:rPr>
          <w:rFonts w:ascii="Times New Roman" w:hAnsi="Times New Roman" w:cs="Times New Roman"/>
          <w:sz w:val="24"/>
          <w:szCs w:val="24"/>
          <w:lang w:val="en-US"/>
        </w:rPr>
        <w:t xml:space="preserve"> and found that PM</w:t>
      </w:r>
      <w:r w:rsidRPr="00C21793">
        <w:rPr>
          <w:rFonts w:ascii="Times New Roman" w:hAnsi="Times New Roman" w:cs="Times New Roman"/>
          <w:sz w:val="24"/>
          <w:szCs w:val="24"/>
          <w:vertAlign w:val="subscript"/>
          <w:lang w:val="en-US"/>
        </w:rPr>
        <w:t>2.5</w:t>
      </w:r>
      <w:r w:rsidR="00CA6BDA" w:rsidRPr="00C21793">
        <w:rPr>
          <w:rFonts w:ascii="Times New Roman" w:hAnsi="Times New Roman" w:cs="Times New Roman"/>
          <w:sz w:val="24"/>
          <w:szCs w:val="24"/>
          <w:lang w:val="en-US"/>
        </w:rPr>
        <w:t xml:space="preserve"> and PM</w:t>
      </w:r>
      <w:r w:rsidRPr="00C21793">
        <w:rPr>
          <w:rFonts w:ascii="Times New Roman" w:hAnsi="Times New Roman" w:cs="Times New Roman"/>
          <w:sz w:val="24"/>
          <w:szCs w:val="24"/>
          <w:vertAlign w:val="subscript"/>
          <w:lang w:val="en-US"/>
        </w:rPr>
        <w:t>10</w:t>
      </w:r>
      <w:r w:rsidRPr="00C21793">
        <w:rPr>
          <w:rFonts w:ascii="Times New Roman" w:hAnsi="Times New Roman" w:cs="Times New Roman"/>
          <w:sz w:val="24"/>
          <w:szCs w:val="24"/>
          <w:lang w:val="en-US"/>
        </w:rPr>
        <w:t xml:space="preserve"> with higher concentration had a positive association with COVID-19 deaths.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{"citationItems":[{"id":"ITEM-1","itemData":{"DOI":"10.1038/s41598-019-47788-z","ISSN":"20452322","abstract":"The unprecedented 2015 outbreaks of highly pathogenic avian influenza (HPAI) H5N2 in the U.S. devastated its poultry industry and resulted in over $3 billion economic impacts. Today HPAI continues eroding poultry operations and disrupting animal protein supply chains around the world. Anecdotal evidence in 2015 suggested that in some cases the AI virus was aerially introduced into poultry houses, as abnormal bird mortality started near air inlets of the infected houses. This study modeled air movement trajectories and virus concentrations that were used to assess the probability or risk of airborne transmission for the 77 HPAI cases in Iowa. The results show that majority of the positive cases in Iowa might have received airborne virus, carried by fine particulate matter, from infected farms within the state (i.e., intrastate) and infected farms from the neighboring states (i.e., interstate). The modeled airborne virus concentrations at the Iowa recipient sites never exceeded the minimal infective doses for poultry; however, the continuous exposure might have increased airborne infection risks. In the worst-case scenario (i.e., maximum virus shedding rate, highest emission rate, and longest half-life), 33 Iowa cases had &gt; 10% (three cases &gt; 50%) infection probability, indicating a medium to high risk of airborne transmission for these cases. Probability of airborne HPAI infection could be affected by farm type, flock size, and distance to previously infected farms; and more importantly, it can be markedly reduced by swift depopulation and inlet air filtration. The research results provide insights into the risk of airborne transmission of HPAI virus via fine dust particles and the importance of preventative and containment strategies such as air filtration and quick depopulation of infected flocks.","author":[{"dropping-particle":"","family":"Zhao","given":"Yang","non-dropping-particle":"","parse-names":false,"suffix":""},{"dropping-particle":"","family":"Richardson","given":"Brad","non-dropping-particle":"","parse-names":false,"suffix":""},{"dropping-particle":"","family":"Takle","given":"Eugene","non-dropping-particle":"","parse-names":false,"suffix":""},{"dropping-particle":"","family":"Chai","given":"Lilong","non-dropping-particle":"","parse-names":false,"suffix":""},{"dropping-particle":"","family":"Schmitt","given":"David","non-dropping-particle":"","parse-names":false,"suffix":""},{"dropping-particle":"","family":"Xin","given":"Hongwei","non-dropping-particle":"","parse-names":false,"suffix":""}],"container-title":"Scientific Reports","id":"ITEM-1","issue":"1","issued":{"date-parts":[["2019"]]},"page":"1-10","title":"Airborne transmission may have played a role in the spread of 2015 highly pathogenic avian influenza outbreaks in the United States","type":"article-journal","volume":"9"},"uris":["http://www.mendeley.com/documents/?uuid=11679e5c-1bff-43a7-88e4-3edce5cefd59"]}],"mendeley":{"formattedCitation":"(Zhao et al., 2019)","manualFormatting":"Zhao et al., (2019)","plainTextFormattedCitation":"(Zhao et al., 2019)","previouslyFormattedCitation":"(Zhao et al., 2019)"},"properties":{"noteIndex":0},"schema":"https://github.com/citation-style-language/schema/raw/master/csl-citation.json"}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CA6BDA" w:rsidRPr="00C21793">
        <w:rPr>
          <w:rFonts w:ascii="Times New Roman" w:hAnsi="Times New Roman" w:cs="Times New Roman"/>
          <w:noProof/>
          <w:sz w:val="24"/>
          <w:szCs w:val="24"/>
          <w:lang w:val="en-US"/>
        </w:rPr>
        <w:t>Zhao et al.</w:t>
      </w:r>
      <w:r w:rsidRPr="00C21793">
        <w:rPr>
          <w:rFonts w:ascii="Times New Roman" w:hAnsi="Times New Roman" w:cs="Times New Roman"/>
          <w:noProof/>
          <w:sz w:val="24"/>
          <w:szCs w:val="24"/>
          <w:lang w:val="en-US"/>
        </w:rPr>
        <w:t xml:space="preserve"> (2019)</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studied and showed that highly pathogenic avian influenza (HPAI) virus was carried</w:t>
      </w:r>
      <w:r w:rsidR="00CA6BDA" w:rsidRPr="00C21793">
        <w:rPr>
          <w:rFonts w:ascii="Times New Roman" w:hAnsi="Times New Roman" w:cs="Times New Roman"/>
          <w:sz w:val="24"/>
          <w:szCs w:val="24"/>
          <w:lang w:val="en-US"/>
        </w:rPr>
        <w:t xml:space="preserve"> by fine particulate matter (PM</w:t>
      </w:r>
      <w:r w:rsidRPr="00C21793">
        <w:rPr>
          <w:rFonts w:ascii="Times New Roman" w:hAnsi="Times New Roman" w:cs="Times New Roman"/>
          <w:sz w:val="24"/>
          <w:szCs w:val="24"/>
          <w:vertAlign w:val="subscript"/>
          <w:lang w:val="en-US"/>
        </w:rPr>
        <w:t>2.5</w:t>
      </w:r>
      <w:r w:rsidRPr="00C21793">
        <w:rPr>
          <w:rFonts w:ascii="Times New Roman" w:hAnsi="Times New Roman" w:cs="Times New Roman"/>
          <w:sz w:val="24"/>
          <w:szCs w:val="24"/>
          <w:lang w:val="en-US"/>
        </w:rPr>
        <w:t xml:space="preserve">) in Iowa state, from infected places both within a </w:t>
      </w:r>
      <w:r w:rsidR="00CA6BDA" w:rsidRPr="00C21793">
        <w:rPr>
          <w:rFonts w:ascii="Times New Roman" w:hAnsi="Times New Roman" w:cs="Times New Roman"/>
          <w:sz w:val="24"/>
          <w:szCs w:val="24"/>
          <w:lang w:val="en-US"/>
        </w:rPr>
        <w:t>state and neighboring s</w:t>
      </w:r>
      <w:r w:rsidRPr="00C21793">
        <w:rPr>
          <w:rFonts w:ascii="Times New Roman" w:hAnsi="Times New Roman" w:cs="Times New Roman"/>
          <w:sz w:val="24"/>
          <w:szCs w:val="24"/>
          <w:lang w:val="en-US"/>
        </w:rPr>
        <w:t xml:space="preserve">tates. On March 16, 2020,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author":[{"dropping-particle":"","family":"Setti","given":"Leonardo","non-dropping-particle":"","parse-names":false,"suffix":""},{"dropping-particle":"","family":"Passarini","given":"Fabrizio","non-dropping-particle":"","parse-names":false,"suffix":""},{"dropping-particle":"","family":"Gennaro","given":"Gianluigi","non-dropping-particle":"de","parse-names":false,"suffix":""},{"dropping-particle":"","family":"Gilio","given":"Alessia","non-dropping-particle":"Di","parse-names":false,"suffix":""},{"dropping-particle":"","family":"Palmisani","given":"Jolanda","non-dropping-particle":"","parse-names":false,"suffix":""},{"dropping-particle":"","family":"Buono","given":"Paolo","non-dropping-particle":"","parse-names":false,"suffix":""},{"dropping-particle":"","family":"Fornari","given":"Fianna","non-dropping-particle":"","parse-names":false,"suffix":""},{"dropping-particle":"","family":"Grazia Perrone","given":"Maria","non-dropping-particle":"","parse-names":false,"suffix":""},{"dropping-particle":"","family":"Piazzalunga","given":"Andrea","non-dropping-particle":"","parse-names":false,"suffix":""},{"dropping-particle":"","family":"Pierluigi","given":"Barbieri","non-dropping-particle":"","parse-names":false,"suffix":""},{"dropping-particle":"","family":"Rizzo","given":"Emanuele","non-dropping-particle":"","parse-names":false,"suffix":""},{"dropping-particle":"","family":"Miani","given":"Alessandro","non-dropping-particle":"","parse-names":false,"suffix":""}],"container-title":"SIMA Position Paper","id":"ITEM-1","issued":{"date-parts":[["2020"]]},"title":"Evaluation of the potential relationship between Particulate Matter (PM) pollution and COVID-19 infection spread in Italy","type":"article-journal"},"uris":["http://www.mendeley.com/documents/?uuid=58d8f87f-2d3f-4bd5-894f-aa3f190f1370"]}],"mendeley":{"formattedCitation":"(Setti et al., 2020a)","manualFormatting":"Setti et al., (2020)","plainTextFormattedCitation":"(Setti et al., 2020a)","previouslyFormattedCitation":"(Setti et al., 2020a)"},"properties":{"noteIndex":0},"schema":"https://github.com/citation-style-language/schema/raw/master/csl-citation.json"}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CA6BDA" w:rsidRPr="00C21793">
        <w:rPr>
          <w:rFonts w:ascii="Times New Roman" w:hAnsi="Times New Roman" w:cs="Times New Roman"/>
          <w:noProof/>
          <w:sz w:val="24"/>
          <w:szCs w:val="24"/>
          <w:lang w:val="en-US"/>
        </w:rPr>
        <w:t>Setti et al.</w:t>
      </w:r>
      <w:r w:rsidRPr="00C21793">
        <w:rPr>
          <w:rFonts w:ascii="Times New Roman" w:hAnsi="Times New Roman" w:cs="Times New Roman"/>
          <w:noProof/>
          <w:sz w:val="24"/>
          <w:szCs w:val="24"/>
          <w:lang w:val="en-US"/>
        </w:rPr>
        <w:t xml:space="preserve"> (2020</w:t>
      </w:r>
      <w:r w:rsidR="00461FEE" w:rsidRPr="00C21793">
        <w:rPr>
          <w:rFonts w:ascii="Times New Roman" w:hAnsi="Times New Roman" w:cs="Times New Roman"/>
          <w:noProof/>
          <w:sz w:val="24"/>
          <w:szCs w:val="24"/>
          <w:lang w:val="en-US"/>
        </w:rPr>
        <w:t>a</w:t>
      </w:r>
      <w:r w:rsidRPr="00C21793">
        <w:rPr>
          <w:rFonts w:ascii="Times New Roman" w:hAnsi="Times New Roman" w:cs="Times New Roman"/>
          <w:noProof/>
          <w:sz w:val="24"/>
          <w:szCs w:val="24"/>
          <w:lang w:val="en-US"/>
        </w:rPr>
        <w:t>)</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published a study and found that airborne route as a possible additional factor for interpreting the anomalous COVID-19 outbreaks notified in the Northern Italy, known to be one of the European areas characterized by highest PM concentration. Another research study showed that a higher concentration of PM</w:t>
      </w:r>
      <w:r w:rsidRPr="00C21793">
        <w:rPr>
          <w:rFonts w:ascii="Times New Roman" w:hAnsi="Times New Roman" w:cs="Times New Roman"/>
          <w:sz w:val="24"/>
          <w:szCs w:val="24"/>
          <w:vertAlign w:val="subscript"/>
          <w:lang w:val="en-US"/>
        </w:rPr>
        <w:t>10</w:t>
      </w:r>
      <w:r w:rsidRPr="00C21793">
        <w:rPr>
          <w:rFonts w:ascii="Times New Roman" w:hAnsi="Times New Roman" w:cs="Times New Roman"/>
          <w:sz w:val="24"/>
          <w:szCs w:val="24"/>
          <w:lang w:val="en-US"/>
        </w:rPr>
        <w:t xml:space="preserve"> (&gt; 50 </w:t>
      </w:r>
      <w:proofErr w:type="spellStart"/>
      <w:r w:rsidRPr="00C21793">
        <w:rPr>
          <w:rFonts w:ascii="Times New Roman" w:hAnsi="Times New Roman" w:cs="Times New Roman"/>
          <w:sz w:val="24"/>
          <w:szCs w:val="24"/>
          <w:lang w:val="en-US"/>
        </w:rPr>
        <w:t>μg</w:t>
      </w:r>
      <w:proofErr w:type="spellEnd"/>
      <w:r w:rsidRPr="00C21793">
        <w:rPr>
          <w:rFonts w:ascii="Times New Roman" w:hAnsi="Times New Roman" w:cs="Times New Roman"/>
          <w:sz w:val="24"/>
          <w:szCs w:val="24"/>
          <w:lang w:val="en-US"/>
        </w:rPr>
        <w:t xml:space="preserve"> m</w:t>
      </w:r>
      <w:r w:rsidRPr="00C21793">
        <w:rPr>
          <w:rFonts w:ascii="Times New Roman" w:hAnsi="Times New Roman" w:cs="Times New Roman"/>
          <w:sz w:val="24"/>
          <w:szCs w:val="24"/>
          <w:vertAlign w:val="superscript"/>
          <w:lang w:val="en-US"/>
        </w:rPr>
        <w:t>-3</w:t>
      </w:r>
      <w:r w:rsidRPr="00C21793">
        <w:rPr>
          <w:rFonts w:ascii="Times New Roman" w:hAnsi="Times New Roman" w:cs="Times New Roman"/>
          <w:sz w:val="24"/>
          <w:szCs w:val="24"/>
          <w:lang w:val="en-US"/>
        </w:rPr>
        <w:t xml:space="preserve">) result in a spread acceleration of COVID-19, suggesting a “boost effect” for the viral infection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{"citationItems":[{"id":"ITEM-1","itemData":{"DOI":"10.1101/2020.04.11.20061713","abstract":"Background: An epidemic model based only on respiratory droplets and close contact could not fully explain the regional differences in the spread of the recent severe acute respiratory syndrome COVID-19 in Italy, which was fast and dramatic only in Lombardy and Po Valley. On March 16th 2020, we presented a Position Paper proposing a research hypothesis concerning the association between higher mortality rates due to COVID-19 observed in Northern Italy and the peaks of particulate matter concentrations, frequently exceeding the legal limit of 50 micrograms/m3 as PM10 daily average Methods: To assess environmental factors related to the spread of the COVID-19 in Italy from February 24th to March 13th (the date when the lockdown has been imposed over Italy), official daily data relevant to ambient PM10 levels were collected from all Italian Provinces between February 9th and February 29th , taking into account the average time (estimated in 17 days) elapsed between the initial infection and the recorded COVID positivity. In addition to the number of exceedances of PM10 daily limit value, we considered also population data and daily travelling information per each Province. Results. PM10 daily limit value exceedances appear to be a significant predictor (p &lt;0.001) of infection in univariate analyses. Less polluted Provinces had a median of 0.03 infection cases over 1000 residents, while most polluted Provinces had a median of 0.26 cases over 1000 residents. Thirty-nine out of 41 Northern Italian Provinces resulted in the category with highest PM10 levels, while 62 out of 66 Southern Provinces presented low PM10 concentrations (p&lt;0.001). In Milan, the average growth rate before the lockdown was significantly higher than Rome (0.34 vs. 0.27 per day, with a doubling time of 2.0 days vs. 2.6), suggesting a basic reproductive number R0&gt;6.0, comparable with the highest values estimated for China.\n\n### Competing Interest Statement\n\nThe authors have declared no competing interest.\n\n### Funding Statement\n\nNo external funding\n\n### Author Declarations\n\nAll relevant ethical guidelines have been followed; any necessary IRB and/or ethics committee approvals have been obtained and details of the IRB/oversight body are included in the manuscript.\n\nYes\n\nAll necessary patient/participant consent has been obtained and the appropriate institutional forms have been archived.\n\nYes\n\nI understand that all clinical trials and any other prospective interventional studies must be reg…","author":[{"dropping-particle":"","family":"Setti","given":"Leonardo","non-dropping-particle":"","parse-names":false,"suffix":""},{"dropping-particle":"","family":"Passarini","given":"Fabrizio","non-dropping-particle":"","parse-names":false,"suffix":""},{"dropping-particle":"De","family":"Gennaro","given":"Gianluigi","non-dropping-particle":"","parse-names":false,"suffix":""},{"dropping-particle":"","family":"Barbieri","given":"Pierluigi","non-dropping-particle":"","parse-names":false,"suffix":""},{"dropping-particle":"","family":"Perrone","given":"Maria Grazia","non-dropping-particle":"","parse-names":false,"suffix":""},{"dropping-particle":"","family":"Piazzalunga","given":"Andrea","non-dropping-particle":"","parse-names":false,"suffix":""},{"dropping-particle":"","family":"Borelli","given":"Massimo","non-dropping-particle":"","parse-names":false,"suffix":""},{"dropping-particle":"","family":"Palmisani","given":"Jolanda","non-dropping-particle":"","parse-names":false,"suffix":""},{"dropping-particle":"Di","family":"Gilio","given":"Alessia","non-dropping-particle":"","parse-names":false,"suffix":""},{"dropping-particle":"","family":"PISCITELLI","given":"PRISCO","non-dropping-particle":"","parse-names":false,"suffix":""},{"dropping-particle":"","family":"Miani","given":"Alessandro","non-dropping-particle":"","parse-names":false,"suffix":""}],"container-title":"medRxiv","id":"ITEM-1","issued":{"date-parts":[["2020"]]},"page":"2020.04.11.20061713","title":"The Potential role of Particulate Matter in the Spreading of COVID-19 in Northern Italy: First Evidence-based Research Hypotheses","type":"article-journal"},"uris":["http://www.mendeley.com/documents/?uuid=75e8e424-78e5-4fbc-b9b4-08ba77518379"]}],"mendeley":{"formattedCitation":"(Setti et al., 2020b)","plainTextFormattedCitation":"(Setti et al., 2020b)","previouslyFormattedCitation":"(Setti et al., 2020b)"},"properties":{"noteIndex":0},"schema":"https://github.com/citation-style-language/schema/raw/master/csl-citation.json"}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461FEE" w:rsidRPr="00C21793">
        <w:rPr>
          <w:rFonts w:ascii="Times New Roman" w:hAnsi="Times New Roman" w:cs="Times New Roman"/>
          <w:noProof/>
          <w:sz w:val="24"/>
          <w:szCs w:val="24"/>
          <w:lang w:val="en-US"/>
        </w:rPr>
        <w:t>(Setti et al.</w:t>
      </w:r>
      <w:r w:rsidRPr="00C21793">
        <w:rPr>
          <w:rFonts w:ascii="Times New Roman" w:hAnsi="Times New Roman" w:cs="Times New Roman"/>
          <w:noProof/>
          <w:sz w:val="24"/>
          <w:szCs w:val="24"/>
          <w:lang w:val="en-US"/>
        </w:rPr>
        <w:t xml:space="preserve"> 20</w:t>
      </w:r>
      <w:r w:rsidR="00605279" w:rsidRPr="00C21793">
        <w:rPr>
          <w:rFonts w:ascii="Times New Roman" w:hAnsi="Times New Roman" w:cs="Times New Roman"/>
          <w:noProof/>
          <w:sz w:val="24"/>
          <w:szCs w:val="24"/>
          <w:lang w:val="en-US"/>
        </w:rPr>
        <w:t>20</w:t>
      </w:r>
      <w:r w:rsidR="00461FEE" w:rsidRPr="00C21793">
        <w:rPr>
          <w:rFonts w:ascii="Times New Roman" w:hAnsi="Times New Roman" w:cs="Times New Roman"/>
          <w:noProof/>
          <w:sz w:val="24"/>
          <w:szCs w:val="24"/>
          <w:lang w:val="en-US"/>
        </w:rPr>
        <w:t>b</w:t>
      </w:r>
      <w:r w:rsidRPr="00C21793">
        <w:rPr>
          <w:rFonts w:ascii="Times New Roman" w:hAnsi="Times New Roman" w:cs="Times New Roman"/>
          <w:noProof/>
          <w:sz w:val="24"/>
          <w:szCs w:val="24"/>
          <w:lang w:val="en-US"/>
        </w:rPr>
        <w:t>)</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Additionally, the other researchers showed that pollution caused by PM10 affects the prognosis of COVID-19 patients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{"citationItems":[{"id":"ITEM-1","itemData":{"DOI":"10.1016/j.envres.2020.109652","ISSN":"00139351","PMID":"32405084","abstract":"In December 2019, the novel coronavirus COVID-19 outbreak was first detected in Wuhan Hubei province, China. In California on April 24, 2020, the Centers for Disease Control and Preventions (CDC) has confirmed more than 39,000 cases, including &gt;1800 deaths. California's Governor Gavin Newsom ordered mandatory stay at home after World Health Organization (WHO) declared COVID-19 as a global pandemic in early March. We have evaluated the correlation between environmental pollution determinants and the COVID-19 outbreak in California by using the secondary published data from the Centers for Disease Control and the Environmental Pollution Agency (EPA). We employed Spearman and Kendall correlation tests to analyze the association of PM 2.5, PM 10, SO2, NO2, Pb, VOC, and CO with COVID-19 cases in California. Our findings indicate that environmental pollutants such as PM10, PM2.5, SO2, NO2, and CO have a significant correlation with the COVID-19 epidemic in California. Overall, our study is a useful supplement to encourage regulatory bodies to promote changes in environmental policies as pollution source control can reduce the harmful effects of environmental pollutants.","author":[{"dropping-particle":"","family":"Bashir","given":"Muhammad Farhan","non-dropping-particle":"","parse-names":false,"suffix":""},{"dropping-particle":"","family":"Bilal","given":"BenJiang MA.","non-dropping-particle":"","parse-names":false,"suffix":""},{"dropping-particle":"","family":"Komal","given":"Bushra","non-dropping-particle":"","parse-names":false,"suffix":""}],"container-title":"Environmental Research","id":"ITEM-1","issue":"April","issued":{"date-parts":[["2020"]]},"page":"109652","publisher":"Elsevier Inc.","title":"Correlation between environmental pollution indicators and COVID-19 pandemic: A brief study in Californian context","type":"article-journal","volume":"187"},"uris":["http://www.mendeley.com/documents/?uuid=a7497422-ff50-403c-b909-48739ea63f09"]}],"mendeley":{"formattedCitation":"(Bashir et al., 2020a)","plainTextFormattedCitation":"(Bashir et al., 2020a)","previouslyFormattedCitation":"(Bashir et al., 2020a)"},"properties":{"noteIndex":0},"schema":"https://github.com/citation-style-language/schema/raw/master/csl-citation.json"}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461FEE" w:rsidRPr="00C21793">
        <w:rPr>
          <w:rFonts w:ascii="Times New Roman" w:hAnsi="Times New Roman" w:cs="Times New Roman"/>
          <w:noProof/>
          <w:sz w:val="24"/>
          <w:szCs w:val="24"/>
          <w:lang w:val="en-US"/>
        </w:rPr>
        <w:t>(Bashir et al.</w:t>
      </w:r>
      <w:r w:rsidRPr="00C21793">
        <w:rPr>
          <w:rFonts w:ascii="Times New Roman" w:hAnsi="Times New Roman" w:cs="Times New Roman"/>
          <w:noProof/>
          <w:sz w:val="24"/>
          <w:szCs w:val="24"/>
          <w:lang w:val="en-US"/>
        </w:rPr>
        <w:t xml:space="preserve"> 2020a)</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On the other hand,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{"citationItems":[{"id":"ITEM-1","itemData":{"DOI":"10.1017/S2045796019000623","ISBN":"2045796019","ISSN":"20457979","PMID":"31690359","abstract":"AIMS: Aim of the current study is to investigate the associations between daily levels of air pollutants (particulate matter, ozone, carbon monoxide, nitrogen dioxide) and daily admissions for mental disorders to the emergency department of two general hospitals in Umbria region (Italy). METHODS: We collected data about daily admissions to psychiatric emergency services of two general hospitals, air pollutants' levels and meteorological data for the time period 1 January 2015 until 31 December 2016. We assessed the impact of an increase in air pollutants on the number of daily admissions using a time-series econometric framework. RESULTS: A total of 1860 emergency department admissions for mental disorders were identified. We observed a statistically significant impact of ozone levels on daily admissions. The estimated coefficient of O3 is statistically significant at the 1% level. All other pollutants were not significantly associated with the number of daily admissions. CONCLUSIONS: Short-term exposure to ozone may be associated with increased psychiatric emergency services admissions. Findings add to previous literature on existing evidence for air pollution to have an impact on mental health. Ozone may be considered a potential environmental risk factor for impaired mental health.","author":[{"dropping-particle":"","family":"Bernardini","given":"F.","non-dropping-particle":"","parse-names":false,"suffix":""},{"dropping-particle":"","family":"Attademo","given":"L.","non-dropping-particle":"","parse-names":false,"suffix":""},{"dropping-particle":"","family":"Trezzi","given":"R.","non-dropping-particle":"","parse-names":false,"suffix":""},{"dropping-particle":"","family":"Gobbicchi","given":"C.","non-dropping-particle":"","parse-names":false,"suffix":""},{"dropping-particle":"","family":"Balducci","given":"P. M.","non-dropping-particle":"","parse-names":false,"suffix":""},{"dropping-particle":"","family":"Bello","given":"V.","non-dropping-particle":"Del","parse-names":false,"suffix":""},{"dropping-particle":"","family":"Menculini","given":"G.","non-dropping-particle":"","parse-names":false,"suffix":""},{"dropping-particle":"","family":"Pauselli","given":"L.","non-dropping-particle":"","parse-names":false,"suffix":""},{"dropping-particle":"","family":"Piselli","given":"M.","non-dropping-particle":"","parse-names":false,"suffix":""},{"dropping-particle":"","family":"Sciarma","given":"T.","non-dropping-particle":"","parse-names":false,"suffix":""},{"dropping-particle":"","family":"Moretti","given":"P.","non-dropping-particle":"","parse-names":false,"suffix":""},{"dropping-particle":"","family":"Tamantini","given":"A.","non-dropping-particle":"","parse-names":false,"suffix":""},{"dropping-particle":"","family":"Quartesan","given":"R.","non-dropping-particle":"","parse-names":false,"suffix":""},{"dropping-particle":"","family":"Compton","given":"M. T.","non-dropping-particle":"","parse-names":false,"suffix":""},{"dropping-particle":"","family":"Tortorella","given":"A.","non-dropping-particle":"","parse-names":false,"suffix":""}],"container-title":"Epidemiology and psychiatric sciences","id":"ITEM-1","issued":{"date-parts":[["2020"]]},"page":"e66","title":"Air pollutants and daily number of admissions to psychiatric emergency services: evidence for detrimental mental health effects of ozone","type":"article-journal","volume":"29"},"uris":["http://www.mendeley.com/documents/?uuid=f52de26a-a3a6-473f-a70c-90924f5aee8f"]}],"mendeley":{"formattedCitation":"(Bernardini et al., 2020)","manualFormatting":"Bernardini et al., (2020)","plainTextFormattedCitation":"(Bernardini et al., 2020)","previouslyFormattedCitation":"(Bernardini et al., 2020)"},"properties":{"noteIndex":0},"schema":"https://github.com/citation-style-language/schema/raw/master/csl-citation.json"}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19615A" w:rsidRPr="00C21793">
        <w:rPr>
          <w:rFonts w:ascii="Times New Roman" w:hAnsi="Times New Roman" w:cs="Times New Roman"/>
          <w:noProof/>
          <w:sz w:val="24"/>
          <w:szCs w:val="24"/>
          <w:lang w:val="en-US"/>
        </w:rPr>
        <w:t>Bernardini et al.</w:t>
      </w:r>
      <w:r w:rsidRPr="00C21793">
        <w:rPr>
          <w:rFonts w:ascii="Times New Roman" w:hAnsi="Times New Roman" w:cs="Times New Roman"/>
          <w:noProof/>
          <w:sz w:val="24"/>
          <w:szCs w:val="24"/>
          <w:lang w:val="en-US"/>
        </w:rPr>
        <w:t xml:space="preserve"> (2020)</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studied the association between environmental pollutants (CO, NO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O</w:t>
      </w:r>
      <w:r w:rsidRPr="00C21793">
        <w:rPr>
          <w:rFonts w:ascii="Times New Roman" w:hAnsi="Times New Roman" w:cs="Times New Roman"/>
          <w:sz w:val="24"/>
          <w:szCs w:val="24"/>
          <w:vertAlign w:val="subscript"/>
          <w:lang w:val="en-US"/>
        </w:rPr>
        <w:t>3</w:t>
      </w:r>
      <w:r w:rsidRPr="00C21793">
        <w:rPr>
          <w:rFonts w:ascii="Times New Roman" w:hAnsi="Times New Roman" w:cs="Times New Roman"/>
          <w:sz w:val="24"/>
          <w:szCs w:val="24"/>
          <w:lang w:val="en-US"/>
        </w:rPr>
        <w:t xml:space="preserve">, and PM) and COVID-19 in Italy and found a significant positive correlation between them. Likewise, other researchers such as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{"citationItems":[{"id":"ITEM-1","itemData":{"DOI":"10.1016/j.cbi.2020.108973","ISSN":"18727786","abstract":"Carbon monoxide (CO) is an inorganic chemical compound that can bind with hemoglobin with highly toxic effects. In living organisms, it is produced endogenously during the degradation of heme by oxygenase, which occurs in three isoforms: HO-1, HO-2 and HO-3. CO can play an important role in the regulation of many physiological functions. Carbon Oxide Releasing Molecules (CORMs) are a novel group of chemical compounds capable of controlled CO release directly in tissues or organs. This release depends on concentration, pH, solvent type and temperature. The biological role and the therapeutic potential of different CORMs is not always well demonstrated. However, this mini review summarizes the various function of these compounds.","author":[{"dropping-particle":"","family":"Adach","given":"Weronika","non-dropping-particle":"","parse-names":false,"suffix":""},{"dropping-particle":"","family":"Błaszczyk","given":"Mateusz","non-dropping-particle":"","parse-names":false,"suffix":""},{"dropping-particle":"","family":"Olas","given":"Beata","non-dropping-particle":"","parse-names":false,"suffix":""}],"container-title":"Chemico-Biological Interactions","id":"ITEM-1","issued":{"date-parts":[["2020"]]},"page":"108973","publisher":"Elsevier B.V.","title":"Carbon monoxide and its donors - Chemical and biological properties","type":"article-journal","volume":"318"},"uris":["http://www.mendeley.com/documents/?uuid=100e3fe2-5497-49fe-a862-21df0e0f2984"]}],"mendeley":{"formattedCitation":"(Adach et al., 2020)","manualFormatting":"Adach et al., (2020)","plainTextFormattedCitation":"(Adach et al., 2020)","previouslyFormattedCitation":"(Adach et al., 2020)"},"properties":{"noteIndex":0},"schema":"https://github.com/citation-style-language/schema/raw/master/csl-citation.json"}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Pr="00C21793">
        <w:rPr>
          <w:rFonts w:ascii="Times New Roman" w:hAnsi="Times New Roman" w:cs="Times New Roman"/>
          <w:noProof/>
          <w:sz w:val="24"/>
          <w:szCs w:val="24"/>
          <w:lang w:val="en-US"/>
        </w:rPr>
        <w:t xml:space="preserve">Adach et </w:t>
      </w:r>
      <w:r w:rsidR="00461FEE" w:rsidRPr="00C21793">
        <w:rPr>
          <w:rFonts w:ascii="Times New Roman" w:hAnsi="Times New Roman" w:cs="Times New Roman"/>
          <w:noProof/>
          <w:sz w:val="24"/>
          <w:szCs w:val="24"/>
          <w:lang w:val="en-US"/>
        </w:rPr>
        <w:t>al.</w:t>
      </w:r>
      <w:r w:rsidRPr="00C21793">
        <w:rPr>
          <w:rFonts w:ascii="Times New Roman" w:hAnsi="Times New Roman" w:cs="Times New Roman"/>
          <w:noProof/>
          <w:sz w:val="24"/>
          <w:szCs w:val="24"/>
          <w:lang w:val="en-US"/>
        </w:rPr>
        <w:t xml:space="preserve"> </w:t>
      </w:r>
      <w:r w:rsidRPr="00C21793">
        <w:rPr>
          <w:rFonts w:ascii="Times New Roman" w:hAnsi="Times New Roman" w:cs="Times New Roman"/>
          <w:noProof/>
          <w:sz w:val="24"/>
          <w:szCs w:val="24"/>
          <w:lang w:val="en-US"/>
        </w:rPr>
        <w:lastRenderedPageBreak/>
        <w:t>(2020)</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{"citationItems":[{"id":"ITEM-1","itemData":{"DOI":"10.1007/978-981-15-0520-1_10","ISBN":"978-981-15-0520-1","abstract":"Air pollutants like carbon monoxide (CO), ozone (O3), nitrogen oxides (NO, NO2, NOx), lead (Pb), mercury (Hg), sulfur dioxide (SO2), polycyclic aromatic hydrocarbons (PAHs), and particulate matter (PM2.5 and PM10) have known to exhibit harmful effects on different organs and systems in human body. Increasing exposure to air pollution in children is a global public health concern as children are extremely vulnerable to air pollution due to their dynamic growth. Under age five mortalities due to air pollution are increasing worldwide thus making it necessary to take prompt action on protecting children’s environmental health. Air pollutants like PM10, PM2.5, SO2, O3, NO2, CO are known to be strongly associated with adverse birth outcomes like low birth weight, preterm birth, and small for gestational age. Air pollution is found to be linked with neurocognitive development in children. NO2 was found to be associated with psychomotor development in children, while PM2.5 and PM10 were found to be associated with autism spectrum disorder (ASD) and attention-deficit/hyperactivity disorder (ADHD). Studies have reported an association between air pollution especially PM and NO2 and childhood obesity/insulin resistance. Thus, more advanced research is needed to implement effective strategies safeguarding children’s health.","author":[{"dropping-particle":"","family":"Ha","given":"Eunhee","non-dropping-particle":"","parse-names":false,"suffix":""}],"editor":[{"dropping-particle":"","family":"Kishi","given":"Reiko","non-dropping-particle":"","parse-names":false,"suffix":""},{"dropping-particle":"","family":"Grandjean","given":"Philippe","non-dropping-particle":"","parse-names":false,"suffix":""}],"id":"ITEM-1","issued":{"date-parts":[["2020"]]},"page":"223-245","publisher":"Springer Singapore","publisher-place":"Singapore","title":"Impact of Air Pollution Hazards on Human Development BT  - Health Impacts of Developmental Exposure to Environmental Chemicals","type":"chapter"},"uris":["http://www.mendeley.com/documents/?uuid=58c9d66e-0725-4302-9dc3-77826eb4547b"]}],"mendeley":{"formattedCitation":"(Ha, 2020)","manualFormatting":"Ha, (2020)","plainTextFormattedCitation":"(Ha, 2020)","previouslyFormattedCitation":"(Ha, 2020)"},"properties":{"noteIndex":0},"schema":"https://github.com/citation-style-language/schema/raw/master/csl-citation.json"}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0019615A" w:rsidRPr="00C21793">
        <w:rPr>
          <w:rFonts w:ascii="Times New Roman" w:hAnsi="Times New Roman" w:cs="Times New Roman"/>
          <w:noProof/>
          <w:sz w:val="24"/>
          <w:szCs w:val="24"/>
          <w:lang w:val="en-US"/>
        </w:rPr>
        <w:t>Ha</w:t>
      </w:r>
      <w:r w:rsidRPr="00C21793">
        <w:rPr>
          <w:rFonts w:ascii="Times New Roman" w:hAnsi="Times New Roman" w:cs="Times New Roman"/>
          <w:noProof/>
          <w:sz w:val="24"/>
          <w:szCs w:val="24"/>
          <w:lang w:val="en-US"/>
        </w:rPr>
        <w:t xml:space="preserve"> (2020)</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and </w:t>
      </w:r>
      <w:r w:rsidRPr="00C21793">
        <w:rPr>
          <w:rFonts w:ascii="Times New Roman" w:hAnsi="Times New Roman" w:cs="Times New Roman"/>
          <w:sz w:val="24"/>
          <w:szCs w:val="24"/>
          <w:lang w:val="en-US"/>
        </w:rPr>
        <w:fldChar w:fldCharType="begin" w:fldLock="1"/>
      </w:r>
      <w:r w:rsidRPr="00C21793">
        <w:rPr>
          <w:rFonts w:ascii="Times New Roman" w:hAnsi="Times New Roman" w:cs="Times New Roman"/>
          <w:sz w:val="24"/>
          <w:szCs w:val="24"/>
          <w:lang w:val="en-US"/>
        </w:rPr>
        <w:instrText>ADDIN CSL_CITATION {"citationItems":[{"id":"ITEM-1","itemData":{"DOI":"10.1016/j.scitotenv.2020.138704","ISSN":"18791026","PMID":"32315904","abstract":"The novel coronavirus pneumonia, namely COVID-19, has become a global public health problem. Previous studies have found that air pollution is a risk factor for respiratory infection by carrying microorganisms and affecting body's immunity. This study aimed to explore the relationship between ambient air pollutants and the infection caused by the novel coronavirus. Daily confirmed cases, air pollution concentration and meteorological variables in 120 cities were obtained from January 23, 2020 to February 29, 2020 in China. We applied a generalized additive model to investigate the associations of six air pollutants (PM2.5, PM10, SO2, CO, NO2 and O3) with COVID-19 confirmed cases. We observed significantly positive associations of PM2.5, PM10, NO2 and O3 in the last two weeks with newly COVID-19 confirmed cases. A 10-μg/m3 increase (lag0–14) in PM2.5, PM10, NO2, and O3 was associated with a 2.24% (95% CI: 1.02 to 3.46), 1.76% (95% CI: 0.89 to 2.63), 6.94% (95% CI: 2.38 to 11.51), and 4.76% (95% CI: 1.99 to 7.52) increase in the daily counts of confirmed cases, respectively. However, a 10-μg/m3 increase (lag0–14) in SO2 was associated with a 7.79% decrease (95% CI: −14.57 to −1.01) in COVID-19 confirmed cases. Our results indicate that there is a significant relationship between air pollution and COVID-19 infection, which could partially explain the effect of national lockdown and provide implications for the control and prevention of this novel disease.","author":[{"dropping-particle":"","family":"Zhu","given":"Yongjian","non-dropping-particle":"","parse-names":false,"suffix":""},{"dropping-particle":"","family":"Xie","given":"Jingui","non-dropping-particle":"","parse-names":false,"suffix":""},{"dropping-particle":"","family":"Huang","given":"Fengming","non-dropping-particle":"","parse-names":false,"suffix":""},{"dropping-particle":"","family":"Cao","given":"Liqing","non-dropping-particle":"","parse-names":false,"suffix":""}],"container-title":"Science of the Total Environment","id":"ITEM-1","issued":{"date-parts":[["2020"]]},"page":"138704","publisher":"Elsevier B.V","title":"Association between short-term exposure to air pollution and COVID-19 infection: Evidence from China","type":"article-journal","volume":"727"},"uris":["http://www.mendeley.com/documents/?uuid=6f7f7cc2-f178-458f-ac50-d04a8d6e043f"]}],"mendeley":{"formattedCitation":"(Zhu et al., 2020)","manualFormatting":"Zhu et al., (2020)","plainTextFormattedCitation":"(Zhu et al., 2020)","previouslyFormattedCitation":"(Zhu et al., 2020)"},"properties":{"noteIndex":0},"schema":"https://github.com/citation-style-language/schema/raw/master/csl-citation.json"}</w:instrText>
      </w:r>
      <w:r w:rsidRPr="00C21793">
        <w:rPr>
          <w:rFonts w:ascii="Times New Roman" w:hAnsi="Times New Roman" w:cs="Times New Roman"/>
          <w:sz w:val="24"/>
          <w:szCs w:val="24"/>
          <w:lang w:val="en-US"/>
        </w:rPr>
        <w:fldChar w:fldCharType="separate"/>
      </w:r>
      <w:r w:rsidRPr="00C21793">
        <w:rPr>
          <w:rFonts w:ascii="Times New Roman" w:hAnsi="Times New Roman" w:cs="Times New Roman"/>
          <w:noProof/>
          <w:sz w:val="24"/>
          <w:szCs w:val="24"/>
          <w:lang w:val="en-US"/>
        </w:rPr>
        <w:t>Zhu et al. (2020)</w:t>
      </w:r>
      <w:r w:rsidRPr="00C21793">
        <w:rPr>
          <w:rFonts w:ascii="Times New Roman" w:hAnsi="Times New Roman" w:cs="Times New Roman"/>
          <w:sz w:val="24"/>
          <w:szCs w:val="24"/>
          <w:lang w:val="en-US"/>
        </w:rPr>
        <w:fldChar w:fldCharType="end"/>
      </w:r>
      <w:r w:rsidRPr="00C21793">
        <w:rPr>
          <w:rFonts w:ascii="Times New Roman" w:hAnsi="Times New Roman" w:cs="Times New Roman"/>
          <w:sz w:val="24"/>
          <w:szCs w:val="24"/>
          <w:lang w:val="en-US"/>
        </w:rPr>
        <w:t xml:space="preserve"> also observed similar findings. These all evidence supports our study and suggests that COVID-19 might spread through environmental pollutants. </w:t>
      </w:r>
    </w:p>
    <w:p w:rsidR="00306945" w:rsidRPr="00C21793" w:rsidRDefault="00306945" w:rsidP="00306945">
      <w:pPr>
        <w:pStyle w:val="NoSpacing"/>
        <w:spacing w:line="360" w:lineRule="auto"/>
        <w:ind w:firstLine="360"/>
        <w:jc w:val="both"/>
        <w:rPr>
          <w:rFonts w:ascii="Times New Roman" w:hAnsi="Times New Roman" w:cs="Times New Roman"/>
          <w:sz w:val="24"/>
          <w:szCs w:val="24"/>
          <w:lang w:val="en-US"/>
        </w:rPr>
      </w:pPr>
      <w:r w:rsidRPr="00C21793">
        <w:rPr>
          <w:rFonts w:ascii="Times New Roman" w:hAnsi="Times New Roman" w:cs="Times New Roman"/>
          <w:sz w:val="24"/>
          <w:szCs w:val="24"/>
          <w:lang w:val="en-US"/>
        </w:rPr>
        <w:t>This study may have some limitations. First</w:t>
      </w:r>
      <w:r w:rsidR="0019615A" w:rsidRPr="00C21793">
        <w:rPr>
          <w:rFonts w:ascii="Times New Roman" w:hAnsi="Times New Roman" w:cs="Times New Roman"/>
          <w:sz w:val="24"/>
          <w:szCs w:val="24"/>
          <w:lang w:val="en-US"/>
        </w:rPr>
        <w:t>ly</w:t>
      </w:r>
      <w:r w:rsidRPr="00C21793">
        <w:rPr>
          <w:rFonts w:ascii="Times New Roman" w:hAnsi="Times New Roman" w:cs="Times New Roman"/>
          <w:sz w:val="24"/>
          <w:szCs w:val="24"/>
          <w:lang w:val="en-US"/>
        </w:rPr>
        <w:t xml:space="preserve">, we studied the association between COVID-19 infection and environmental pollutants, but our findings were not globally representative as we only included five </w:t>
      </w:r>
      <w:r w:rsidR="0019615A" w:rsidRPr="00C21793">
        <w:rPr>
          <w:rFonts w:ascii="Times New Roman" w:hAnsi="Times New Roman" w:cs="Times New Roman"/>
          <w:sz w:val="24"/>
          <w:szCs w:val="24"/>
          <w:lang w:val="en-US"/>
        </w:rPr>
        <w:t>states and five provinces</w:t>
      </w:r>
      <w:r w:rsidRPr="00C21793">
        <w:rPr>
          <w:rFonts w:ascii="Times New Roman" w:hAnsi="Times New Roman" w:cs="Times New Roman"/>
          <w:sz w:val="24"/>
          <w:szCs w:val="24"/>
          <w:lang w:val="en-US"/>
        </w:rPr>
        <w:t xml:space="preserve"> of the USA and China, respectively. Second</w:t>
      </w:r>
      <w:r w:rsidR="0019615A" w:rsidRPr="00C21793">
        <w:rPr>
          <w:rFonts w:ascii="Times New Roman" w:hAnsi="Times New Roman" w:cs="Times New Roman"/>
          <w:sz w:val="24"/>
          <w:szCs w:val="24"/>
          <w:lang w:val="en-US"/>
        </w:rPr>
        <w:t>ly</w:t>
      </w:r>
      <w:r w:rsidRPr="00C21793">
        <w:rPr>
          <w:rFonts w:ascii="Times New Roman" w:hAnsi="Times New Roman" w:cs="Times New Roman"/>
          <w:sz w:val="24"/>
          <w:szCs w:val="24"/>
          <w:lang w:val="en-US"/>
        </w:rPr>
        <w:t xml:space="preserve">, </w:t>
      </w:r>
      <w:r w:rsidR="0019615A" w:rsidRPr="00C21793">
        <w:rPr>
          <w:rFonts w:ascii="Times New Roman" w:hAnsi="Times New Roman" w:cs="Times New Roman"/>
          <w:sz w:val="24"/>
          <w:szCs w:val="24"/>
          <w:lang w:val="en-US"/>
        </w:rPr>
        <w:t>in</w:t>
      </w:r>
      <w:r w:rsidRPr="00C21793">
        <w:rPr>
          <w:rFonts w:ascii="Times New Roman" w:hAnsi="Times New Roman" w:cs="Times New Roman"/>
          <w:sz w:val="24"/>
          <w:szCs w:val="24"/>
          <w:lang w:val="en-US"/>
        </w:rPr>
        <w:t xml:space="preserve"> this study, we could not examine the impact of all elements of lockdown measurements (smart lockdown or complete lockdown) due to the lack of data availability. Third</w:t>
      </w:r>
      <w:r w:rsidR="0019615A" w:rsidRPr="00C21793">
        <w:rPr>
          <w:rFonts w:ascii="Times New Roman" w:hAnsi="Times New Roman" w:cs="Times New Roman"/>
          <w:sz w:val="24"/>
          <w:szCs w:val="24"/>
          <w:lang w:val="en-US"/>
        </w:rPr>
        <w:t>ly</w:t>
      </w:r>
      <w:r w:rsidRPr="00C21793">
        <w:rPr>
          <w:rFonts w:ascii="Times New Roman" w:hAnsi="Times New Roman" w:cs="Times New Roman"/>
          <w:sz w:val="24"/>
          <w:szCs w:val="24"/>
          <w:lang w:val="en-US"/>
        </w:rPr>
        <w:t>, this study did also not include age or gender-specific COVID-19 confirmed cases and deaths; therefore, we could not perform subgroup analyses. Future studies should need to be addressed these limitations.</w:t>
      </w:r>
    </w:p>
    <w:p w:rsidR="00306945" w:rsidRPr="00C21793" w:rsidRDefault="00306945" w:rsidP="00306945">
      <w:pPr>
        <w:spacing w:line="360" w:lineRule="auto"/>
        <w:rPr>
          <w:b/>
          <w:color w:val="000000"/>
          <w:sz w:val="28"/>
          <w:szCs w:val="28"/>
          <w:lang w:val="en-GB"/>
        </w:rPr>
      </w:pPr>
      <w:r w:rsidRPr="00C21793">
        <w:rPr>
          <w:b/>
          <w:color w:val="000000"/>
          <w:sz w:val="28"/>
          <w:szCs w:val="28"/>
          <w:lang w:val="en-GB"/>
        </w:rPr>
        <w:t>C</w:t>
      </w:r>
      <w:r w:rsidRPr="00C21793">
        <w:rPr>
          <w:rFonts w:eastAsia="PMingLiU"/>
          <w:b/>
          <w:color w:val="000000"/>
          <w:sz w:val="28"/>
          <w:szCs w:val="28"/>
          <w:lang w:val="en-GB" w:eastAsia="zh-TW"/>
        </w:rPr>
        <w:t>onclusions</w:t>
      </w:r>
    </w:p>
    <w:p w:rsidR="00306945" w:rsidRPr="00C21793" w:rsidRDefault="00306945" w:rsidP="00306945">
      <w:pPr>
        <w:pStyle w:val="NoSpacing"/>
        <w:spacing w:line="360" w:lineRule="auto"/>
        <w:ind w:firstLine="360"/>
        <w:jc w:val="both"/>
        <w:rPr>
          <w:rFonts w:ascii="Times New Roman" w:hAnsi="Times New Roman" w:cs="Times New Roman"/>
          <w:sz w:val="24"/>
          <w:szCs w:val="24"/>
          <w:lang w:val="en-US"/>
        </w:rPr>
      </w:pPr>
      <w:r w:rsidRPr="00C21793">
        <w:rPr>
          <w:rFonts w:ascii="Times New Roman" w:hAnsi="Times New Roman" w:cs="Times New Roman"/>
          <w:sz w:val="24"/>
          <w:szCs w:val="24"/>
          <w:lang w:val="en-US"/>
        </w:rPr>
        <w:t>The study includes the comparison release of environmental pollutants (CO, NO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SO</w:t>
      </w:r>
      <w:r w:rsidRPr="00C21793">
        <w:rPr>
          <w:rFonts w:ascii="Times New Roman" w:hAnsi="Times New Roman" w:cs="Times New Roman"/>
          <w:sz w:val="24"/>
          <w:szCs w:val="24"/>
          <w:vertAlign w:val="subscript"/>
          <w:lang w:val="en-US"/>
        </w:rPr>
        <w:t>2</w:t>
      </w:r>
      <w:r w:rsidR="003B0D0A" w:rsidRPr="00C21793">
        <w:rPr>
          <w:rFonts w:ascii="Times New Roman" w:hAnsi="Times New Roman" w:cs="Times New Roman"/>
          <w:sz w:val="24"/>
          <w:szCs w:val="24"/>
          <w:lang w:val="en-US"/>
        </w:rPr>
        <w:t>, PM</w:t>
      </w:r>
      <w:r w:rsidR="003B0D0A" w:rsidRPr="00C21793">
        <w:rPr>
          <w:rFonts w:ascii="Times New Roman" w:hAnsi="Times New Roman" w:cs="Times New Roman"/>
          <w:sz w:val="24"/>
          <w:szCs w:val="24"/>
          <w:vertAlign w:val="subscript"/>
          <w:lang w:val="en-US"/>
        </w:rPr>
        <w:t>2.5</w:t>
      </w:r>
      <w:r w:rsidRPr="00C21793">
        <w:rPr>
          <w:rFonts w:ascii="Times New Roman" w:hAnsi="Times New Roman" w:cs="Times New Roman"/>
          <w:sz w:val="24"/>
          <w:szCs w:val="24"/>
          <w:lang w:val="en-US"/>
        </w:rPr>
        <w:t xml:space="preserve"> and PM</w:t>
      </w:r>
      <w:r w:rsidRPr="00C21793">
        <w:rPr>
          <w:rFonts w:ascii="Times New Roman" w:hAnsi="Times New Roman" w:cs="Times New Roman"/>
          <w:sz w:val="24"/>
          <w:szCs w:val="24"/>
          <w:vertAlign w:val="subscript"/>
          <w:lang w:val="en-US"/>
        </w:rPr>
        <w:t>10</w:t>
      </w:r>
      <w:r w:rsidRPr="00C21793">
        <w:rPr>
          <w:rFonts w:ascii="Times New Roman" w:hAnsi="Times New Roman" w:cs="Times New Roman"/>
          <w:sz w:val="24"/>
          <w:szCs w:val="24"/>
          <w:lang w:val="en-US"/>
        </w:rPr>
        <w:t>) in the first quarter of 2019 and 2020 with a lockdown period of five states of the USA and five provinces of China. The results suggest that restricted human activities during the lockdown period have significantly reduced the concentrations of environmental pollutan</w:t>
      </w:r>
      <w:r w:rsidR="003B0D0A" w:rsidRPr="00C21793">
        <w:rPr>
          <w:rFonts w:ascii="Times New Roman" w:hAnsi="Times New Roman" w:cs="Times New Roman"/>
          <w:sz w:val="24"/>
          <w:szCs w:val="24"/>
          <w:lang w:val="en-US"/>
        </w:rPr>
        <w:t xml:space="preserve">ts in both countries. Among </w:t>
      </w:r>
      <w:r w:rsidRPr="00C21793">
        <w:rPr>
          <w:rFonts w:ascii="Times New Roman" w:hAnsi="Times New Roman" w:cs="Times New Roman"/>
          <w:sz w:val="24"/>
          <w:szCs w:val="24"/>
          <w:lang w:val="en-US"/>
        </w:rPr>
        <w:t>selected pollutants, NO</w:t>
      </w:r>
      <w:r w:rsidRPr="00C21793">
        <w:rPr>
          <w:rFonts w:ascii="Times New Roman" w:hAnsi="Times New Roman" w:cs="Times New Roman"/>
          <w:sz w:val="24"/>
          <w:szCs w:val="24"/>
          <w:vertAlign w:val="subscript"/>
          <w:lang w:val="en-US"/>
        </w:rPr>
        <w:t>2</w:t>
      </w:r>
      <w:r w:rsidRPr="00C21793">
        <w:rPr>
          <w:rFonts w:ascii="Times New Roman" w:hAnsi="Times New Roman" w:cs="Times New Roman"/>
          <w:sz w:val="24"/>
          <w:szCs w:val="24"/>
          <w:lang w:val="en-US"/>
        </w:rPr>
        <w:t>, PM</w:t>
      </w:r>
      <w:r w:rsidRPr="00C21793">
        <w:rPr>
          <w:rFonts w:ascii="Times New Roman" w:hAnsi="Times New Roman" w:cs="Times New Roman"/>
          <w:sz w:val="24"/>
          <w:szCs w:val="24"/>
          <w:vertAlign w:val="subscript"/>
          <w:lang w:val="en-US"/>
        </w:rPr>
        <w:t>2.5</w:t>
      </w:r>
      <w:r w:rsidRPr="00C21793">
        <w:rPr>
          <w:rFonts w:ascii="Times New Roman" w:hAnsi="Times New Roman" w:cs="Times New Roman"/>
          <w:sz w:val="24"/>
          <w:szCs w:val="24"/>
          <w:lang w:val="en-US"/>
        </w:rPr>
        <w:t>, and PM</w:t>
      </w:r>
      <w:r w:rsidRPr="00C21793">
        <w:rPr>
          <w:rFonts w:ascii="Times New Roman" w:hAnsi="Times New Roman" w:cs="Times New Roman"/>
          <w:sz w:val="24"/>
          <w:szCs w:val="24"/>
          <w:vertAlign w:val="subscript"/>
          <w:lang w:val="en-US"/>
        </w:rPr>
        <w:t>10</w:t>
      </w:r>
      <w:r w:rsidRPr="00C21793">
        <w:rPr>
          <w:rFonts w:ascii="Times New Roman" w:hAnsi="Times New Roman" w:cs="Times New Roman"/>
          <w:sz w:val="24"/>
          <w:szCs w:val="24"/>
          <w:lang w:val="en-US"/>
        </w:rPr>
        <w:t xml:space="preserve"> were observed significantly correlated with COVID-19 disease. The study helps to understand the implication of restricted anthropogenic activities in the reduction of environmental pollutants and to speculate the execution of some meticulous measures to improve the air quality.</w:t>
      </w:r>
    </w:p>
    <w:p w:rsidR="00306945" w:rsidRPr="00C21793" w:rsidRDefault="00306945" w:rsidP="00306945">
      <w:pPr>
        <w:adjustRightInd w:val="0"/>
        <w:spacing w:line="360" w:lineRule="auto"/>
        <w:ind w:left="357" w:hanging="357"/>
        <w:jc w:val="both"/>
        <w:outlineLvl w:val="1"/>
        <w:rPr>
          <w:rFonts w:eastAsia="PMingLiU"/>
          <w:b/>
          <w:sz w:val="28"/>
          <w:szCs w:val="28"/>
          <w:lang w:eastAsia="zh-TW"/>
        </w:rPr>
      </w:pPr>
      <w:r w:rsidRPr="00C21793">
        <w:rPr>
          <w:rFonts w:eastAsia="PMingLiU"/>
          <w:b/>
          <w:sz w:val="28"/>
          <w:szCs w:val="28"/>
          <w:lang w:eastAsia="zh-TW"/>
        </w:rPr>
        <w:t>Acknowledgments</w:t>
      </w:r>
    </w:p>
    <w:p w:rsidR="00306945" w:rsidRPr="00C21793" w:rsidRDefault="00306945" w:rsidP="00306945">
      <w:pPr>
        <w:spacing w:line="360" w:lineRule="auto"/>
        <w:ind w:firstLine="708"/>
        <w:jc w:val="both"/>
      </w:pPr>
      <w:r w:rsidRPr="00C21793">
        <w:t xml:space="preserve">The authors confirm that no funding was received for his work. The authors </w:t>
      </w:r>
      <w:r w:rsidR="008C1773" w:rsidRPr="00C21793">
        <w:t xml:space="preserve">also </w:t>
      </w:r>
      <w:r w:rsidRPr="00C21793">
        <w:t xml:space="preserve">declare that </w:t>
      </w:r>
      <w:r w:rsidR="008C1773" w:rsidRPr="00C21793">
        <w:t>no conflict of interest exists.</w:t>
      </w:r>
      <w:r w:rsidRPr="00C21793">
        <w:t xml:space="preserve"> </w:t>
      </w:r>
    </w:p>
    <w:p w:rsidR="00EB130E" w:rsidRPr="00C21793" w:rsidRDefault="00EB130E" w:rsidP="00306945">
      <w:pPr>
        <w:adjustRightInd w:val="0"/>
        <w:spacing w:line="360" w:lineRule="auto"/>
        <w:ind w:left="357" w:hanging="357"/>
        <w:jc w:val="both"/>
        <w:outlineLvl w:val="1"/>
        <w:rPr>
          <w:b/>
          <w:color w:val="000000"/>
          <w:sz w:val="28"/>
          <w:szCs w:val="28"/>
          <w:lang w:val="en-GB"/>
        </w:rPr>
      </w:pPr>
    </w:p>
    <w:p w:rsidR="00EB130E" w:rsidRPr="00C21793" w:rsidRDefault="00EB130E" w:rsidP="00306945">
      <w:pPr>
        <w:adjustRightInd w:val="0"/>
        <w:spacing w:line="360" w:lineRule="auto"/>
        <w:ind w:left="357" w:hanging="357"/>
        <w:jc w:val="both"/>
        <w:outlineLvl w:val="1"/>
        <w:rPr>
          <w:b/>
          <w:color w:val="000000"/>
          <w:sz w:val="28"/>
          <w:szCs w:val="28"/>
          <w:lang w:val="en-GB"/>
        </w:rPr>
      </w:pPr>
    </w:p>
    <w:p w:rsidR="00306945" w:rsidRPr="00C21793" w:rsidRDefault="00306945" w:rsidP="00306945">
      <w:pPr>
        <w:adjustRightInd w:val="0"/>
        <w:spacing w:line="360" w:lineRule="auto"/>
        <w:ind w:left="357" w:hanging="357"/>
        <w:jc w:val="both"/>
        <w:outlineLvl w:val="1"/>
        <w:rPr>
          <w:b/>
          <w:color w:val="000000"/>
          <w:sz w:val="28"/>
          <w:szCs w:val="28"/>
          <w:lang w:val="en-GB"/>
        </w:rPr>
      </w:pPr>
      <w:r w:rsidRPr="00C21793">
        <w:rPr>
          <w:b/>
          <w:color w:val="000000"/>
          <w:sz w:val="28"/>
          <w:szCs w:val="28"/>
          <w:lang w:val="en-GB"/>
        </w:rPr>
        <w:lastRenderedPageBreak/>
        <w:t>R</w:t>
      </w:r>
      <w:r w:rsidRPr="00C21793">
        <w:rPr>
          <w:rFonts w:eastAsia="PMingLiU"/>
          <w:b/>
          <w:color w:val="000000"/>
          <w:sz w:val="28"/>
          <w:szCs w:val="28"/>
          <w:lang w:val="en-GB" w:eastAsia="zh-TW"/>
        </w:rPr>
        <w:t>eferences</w:t>
      </w:r>
    </w:p>
    <w:p w:rsidR="00AF722C" w:rsidRPr="00C21793" w:rsidRDefault="00AF722C" w:rsidP="00AF722C">
      <w:pPr>
        <w:spacing w:line="360" w:lineRule="auto"/>
        <w:ind w:left="360" w:hanging="360"/>
        <w:rPr>
          <w:shd w:val="clear" w:color="auto" w:fill="FFFFFF"/>
        </w:rPr>
      </w:pPr>
      <w:r w:rsidRPr="00C21793">
        <w:rPr>
          <w:shd w:val="clear" w:color="auto" w:fill="FFFFFF"/>
        </w:rPr>
        <w:t xml:space="preserve">Abdul-Wahab SA, </w:t>
      </w:r>
      <w:proofErr w:type="spellStart"/>
      <w:r w:rsidRPr="00C21793">
        <w:rPr>
          <w:shd w:val="clear" w:color="auto" w:fill="FFFFFF"/>
        </w:rPr>
        <w:t>Fadlallah</w:t>
      </w:r>
      <w:proofErr w:type="spellEnd"/>
      <w:r w:rsidRPr="00C21793">
        <w:rPr>
          <w:shd w:val="clear" w:color="auto" w:fill="FFFFFF"/>
        </w:rPr>
        <w:t xml:space="preserve"> SO, Al-</w:t>
      </w:r>
      <w:proofErr w:type="spellStart"/>
      <w:r w:rsidRPr="00C21793">
        <w:rPr>
          <w:shd w:val="clear" w:color="auto" w:fill="FFFFFF"/>
        </w:rPr>
        <w:t>Riyami</w:t>
      </w:r>
      <w:proofErr w:type="spellEnd"/>
      <w:r w:rsidRPr="00C21793">
        <w:rPr>
          <w:shd w:val="clear" w:color="auto" w:fill="FFFFFF"/>
        </w:rPr>
        <w:t xml:space="preserve"> M et al (2020) A study of the effects of CO, NO2, and PM10 emissions from the Oman Liquefied Natural Gas (LNG) plant on ambient air quality. Air Qual Atmos Health  </w:t>
      </w:r>
      <w:hyperlink r:id="rId23" w:history="1">
        <w:r w:rsidRPr="00C21793">
          <w:rPr>
            <w:rStyle w:val="Hyperlink"/>
            <w:shd w:val="clear" w:color="auto" w:fill="FFFFFF"/>
          </w:rPr>
          <w:t>https://doi.org/10.1007/s11869-020-00876-w</w:t>
        </w:r>
      </w:hyperlink>
    </w:p>
    <w:p w:rsidR="00AF722C" w:rsidRPr="00C21793" w:rsidRDefault="00AF722C" w:rsidP="00AF722C">
      <w:pPr>
        <w:pStyle w:val="bibcit"/>
        <w:widowControl w:val="0"/>
        <w:spacing w:after="0" w:line="360" w:lineRule="auto"/>
        <w:ind w:left="180" w:hangingChars="100" w:hanging="180"/>
        <w:jc w:val="both"/>
        <w:rPr>
          <w:szCs w:val="24"/>
        </w:rPr>
      </w:pPr>
      <w:proofErr w:type="spellStart"/>
      <w:r w:rsidRPr="00C21793">
        <w:rPr>
          <w:szCs w:val="24"/>
        </w:rPr>
        <w:t>Adach</w:t>
      </w:r>
      <w:proofErr w:type="spellEnd"/>
      <w:r w:rsidRPr="00C21793">
        <w:rPr>
          <w:szCs w:val="24"/>
        </w:rPr>
        <w:t xml:space="preserve"> W, </w:t>
      </w:r>
      <w:proofErr w:type="spellStart"/>
      <w:r w:rsidRPr="00C21793">
        <w:rPr>
          <w:szCs w:val="24"/>
        </w:rPr>
        <w:t>Błaszczyk</w:t>
      </w:r>
      <w:proofErr w:type="spellEnd"/>
      <w:r w:rsidRPr="00C21793">
        <w:rPr>
          <w:szCs w:val="24"/>
        </w:rPr>
        <w:t xml:space="preserve"> M, </w:t>
      </w:r>
      <w:proofErr w:type="spellStart"/>
      <w:r w:rsidRPr="00C21793">
        <w:rPr>
          <w:szCs w:val="24"/>
        </w:rPr>
        <w:t>Olas</w:t>
      </w:r>
      <w:proofErr w:type="spellEnd"/>
      <w:r w:rsidRPr="00C21793">
        <w:rPr>
          <w:szCs w:val="24"/>
        </w:rPr>
        <w:t xml:space="preserve"> B (2020) Carbon monoxide and its donors - Chemical and biological properties. Chem </w:t>
      </w:r>
      <w:proofErr w:type="spellStart"/>
      <w:r w:rsidRPr="00C21793">
        <w:rPr>
          <w:szCs w:val="24"/>
        </w:rPr>
        <w:t>Biol</w:t>
      </w:r>
      <w:proofErr w:type="spellEnd"/>
      <w:r w:rsidRPr="00C21793">
        <w:rPr>
          <w:szCs w:val="24"/>
        </w:rPr>
        <w:t xml:space="preserve"> Interact 318:108973. </w:t>
      </w:r>
      <w:hyperlink r:id="rId24" w:history="1">
        <w:r w:rsidRPr="00C21793">
          <w:rPr>
            <w:rStyle w:val="Hyperlink"/>
            <w:szCs w:val="24"/>
          </w:rPr>
          <w:t>https://doi.org/10.1016/j.cbi.2020.108973</w:t>
        </w:r>
      </w:hyperlink>
    </w:p>
    <w:p w:rsidR="00AF722C" w:rsidRPr="00C21793" w:rsidRDefault="00AF722C" w:rsidP="00AF722C">
      <w:pPr>
        <w:spacing w:line="360" w:lineRule="auto"/>
        <w:ind w:left="360" w:hanging="360"/>
        <w:rPr>
          <w:shd w:val="clear" w:color="auto" w:fill="FFFFFF"/>
        </w:rPr>
      </w:pPr>
      <w:proofErr w:type="spellStart"/>
      <w:r w:rsidRPr="00C21793">
        <w:rPr>
          <w:shd w:val="clear" w:color="auto" w:fill="FFFFFF"/>
        </w:rPr>
        <w:t>Anser</w:t>
      </w:r>
      <w:proofErr w:type="spellEnd"/>
      <w:r w:rsidRPr="00C21793">
        <w:rPr>
          <w:shd w:val="clear" w:color="auto" w:fill="FFFFFF"/>
        </w:rPr>
        <w:t xml:space="preserve"> MK, Yousaf Z, Khan MA et al (2020) The impacts of COVID-19 measures on global environment and fertility rate: double coincidence. Air Qual Atmos Health </w:t>
      </w:r>
      <w:hyperlink r:id="rId25" w:history="1">
        <w:r w:rsidRPr="00C21793">
          <w:rPr>
            <w:rStyle w:val="Hyperlink"/>
            <w:shd w:val="clear" w:color="auto" w:fill="FFFFFF"/>
          </w:rPr>
          <w:t>https://doi.org/10.1007/s11869-020-00865-z</w:t>
        </w:r>
      </w:hyperlink>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Bao R, Zhang A (2020) Does lockdown reduce air pollution? Evidence from 44 cities in northern China. Sci Total Environ 731:139052. https://doi.org/10.1016/j.scitotenv.2020.139052</w:t>
      </w:r>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Bashir MF, Ma BJ, Bilal, </w:t>
      </w:r>
      <w:proofErr w:type="spellStart"/>
      <w:r w:rsidRPr="00C21793">
        <w:rPr>
          <w:szCs w:val="24"/>
        </w:rPr>
        <w:t>Komal</w:t>
      </w:r>
      <w:proofErr w:type="spellEnd"/>
      <w:r w:rsidRPr="00C21793">
        <w:rPr>
          <w:szCs w:val="24"/>
        </w:rPr>
        <w:t xml:space="preserve"> B, Bashir MA, Farooq TH et al (2020a) Correlation between environmental pollution indicators and COVID-19 pandemic: A brief study in Californian context. Environ Res 187: 109652. </w:t>
      </w:r>
      <w:hyperlink r:id="rId26" w:history="1">
        <w:r w:rsidR="00A56154" w:rsidRPr="00C21793">
          <w:rPr>
            <w:rStyle w:val="Hyperlink"/>
            <w:szCs w:val="24"/>
          </w:rPr>
          <w:t>https://doi.org/10.1016/j.envres.2020.109652</w:t>
        </w:r>
      </w:hyperlink>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Bashir MF, Ma B, </w:t>
      </w:r>
      <w:proofErr w:type="spellStart"/>
      <w:r w:rsidRPr="00C21793">
        <w:rPr>
          <w:szCs w:val="24"/>
        </w:rPr>
        <w:t>Komal</w:t>
      </w:r>
      <w:proofErr w:type="spellEnd"/>
      <w:r w:rsidRPr="00C21793">
        <w:rPr>
          <w:szCs w:val="24"/>
        </w:rPr>
        <w:t xml:space="preserve"> B, Bashir MA, Tan D, Bashir M (2020b) Correlation between climate indicators and COVID-19 pandemic in New York, USA. Sci Total Environ 728: 138835. </w:t>
      </w:r>
      <w:hyperlink r:id="rId27" w:history="1">
        <w:r w:rsidR="00A56154" w:rsidRPr="00C21793">
          <w:rPr>
            <w:rStyle w:val="Hyperlink"/>
            <w:szCs w:val="24"/>
          </w:rPr>
          <w:t>https://doi.org/10.1016/j.scitotenv.2020.138835</w:t>
        </w:r>
      </w:hyperlink>
    </w:p>
    <w:p w:rsidR="00AF722C" w:rsidRPr="00C21793" w:rsidRDefault="00AF722C" w:rsidP="00AF722C">
      <w:pPr>
        <w:pStyle w:val="bibcit"/>
        <w:widowControl w:val="0"/>
        <w:spacing w:after="0" w:line="360" w:lineRule="auto"/>
        <w:ind w:left="180" w:hangingChars="100" w:hanging="180"/>
        <w:jc w:val="both"/>
        <w:rPr>
          <w:szCs w:val="24"/>
        </w:rPr>
      </w:pPr>
      <w:proofErr w:type="spellStart"/>
      <w:r w:rsidRPr="00C21793">
        <w:rPr>
          <w:szCs w:val="24"/>
        </w:rPr>
        <w:t>Bernardini</w:t>
      </w:r>
      <w:proofErr w:type="spellEnd"/>
      <w:r w:rsidRPr="00C21793">
        <w:rPr>
          <w:szCs w:val="24"/>
        </w:rPr>
        <w:t xml:space="preserve"> F, </w:t>
      </w:r>
      <w:proofErr w:type="spellStart"/>
      <w:r w:rsidRPr="00C21793">
        <w:rPr>
          <w:szCs w:val="24"/>
        </w:rPr>
        <w:t>Attademo</w:t>
      </w:r>
      <w:proofErr w:type="spellEnd"/>
      <w:r w:rsidRPr="00C21793">
        <w:rPr>
          <w:szCs w:val="24"/>
        </w:rPr>
        <w:t xml:space="preserve"> L, </w:t>
      </w:r>
      <w:proofErr w:type="spellStart"/>
      <w:r w:rsidRPr="00C21793">
        <w:rPr>
          <w:szCs w:val="24"/>
        </w:rPr>
        <w:t>Trezzi</w:t>
      </w:r>
      <w:proofErr w:type="spellEnd"/>
      <w:r w:rsidRPr="00C21793">
        <w:rPr>
          <w:szCs w:val="24"/>
        </w:rPr>
        <w:t xml:space="preserve"> R, </w:t>
      </w:r>
      <w:proofErr w:type="spellStart"/>
      <w:r w:rsidRPr="00C21793">
        <w:rPr>
          <w:szCs w:val="24"/>
        </w:rPr>
        <w:t>Gobbicchi</w:t>
      </w:r>
      <w:proofErr w:type="spellEnd"/>
      <w:r w:rsidRPr="00C21793">
        <w:rPr>
          <w:szCs w:val="24"/>
        </w:rPr>
        <w:t xml:space="preserve"> C, </w:t>
      </w:r>
      <w:proofErr w:type="spellStart"/>
      <w:r w:rsidRPr="00C21793">
        <w:rPr>
          <w:szCs w:val="24"/>
        </w:rPr>
        <w:t>Balducci</w:t>
      </w:r>
      <w:proofErr w:type="spellEnd"/>
      <w:r w:rsidRPr="00C21793">
        <w:rPr>
          <w:szCs w:val="24"/>
        </w:rPr>
        <w:t xml:space="preserve"> PM, Del Bello V et al (2020). Air pollutants and </w:t>
      </w:r>
      <w:r w:rsidR="0052112D" w:rsidRPr="00C21793">
        <w:rPr>
          <w:szCs w:val="24"/>
        </w:rPr>
        <w:t xml:space="preserve">a </w:t>
      </w:r>
      <w:r w:rsidRPr="00C21793">
        <w:rPr>
          <w:szCs w:val="24"/>
        </w:rPr>
        <w:t xml:space="preserve">daily number of admissions to psychiatric emergency services: evidence for detrimental mental health effects of ozone. </w:t>
      </w:r>
      <w:proofErr w:type="spellStart"/>
      <w:r w:rsidRPr="00C21793">
        <w:rPr>
          <w:szCs w:val="24"/>
        </w:rPr>
        <w:t>Epidemiol</w:t>
      </w:r>
      <w:proofErr w:type="spellEnd"/>
      <w:r w:rsidRPr="00C21793">
        <w:rPr>
          <w:szCs w:val="24"/>
        </w:rPr>
        <w:t xml:space="preserve"> </w:t>
      </w:r>
      <w:proofErr w:type="spellStart"/>
      <w:r w:rsidRPr="00C21793">
        <w:rPr>
          <w:szCs w:val="24"/>
        </w:rPr>
        <w:t>Psychiatr</w:t>
      </w:r>
      <w:proofErr w:type="spellEnd"/>
      <w:r w:rsidRPr="00C21793">
        <w:rPr>
          <w:szCs w:val="24"/>
        </w:rPr>
        <w:t xml:space="preserve"> Sci 29:66. </w:t>
      </w:r>
      <w:hyperlink r:id="rId28" w:history="1">
        <w:r w:rsidR="00A8695F" w:rsidRPr="00C21793">
          <w:rPr>
            <w:rStyle w:val="Hyperlink"/>
            <w:szCs w:val="24"/>
          </w:rPr>
          <w:t>https://doi.org/10.1017/S2045796019000623</w:t>
        </w:r>
      </w:hyperlink>
    </w:p>
    <w:p w:rsidR="00A8695F" w:rsidRPr="00C21793" w:rsidRDefault="00A8695F" w:rsidP="00840AAF">
      <w:pPr>
        <w:pStyle w:val="bibcit"/>
        <w:widowControl w:val="0"/>
        <w:spacing w:after="0" w:line="360" w:lineRule="auto"/>
        <w:ind w:left="202" w:hangingChars="112" w:hanging="202"/>
        <w:jc w:val="both"/>
        <w:rPr>
          <w:szCs w:val="24"/>
          <w:lang w:val="en-US"/>
        </w:rPr>
      </w:pPr>
      <w:r w:rsidRPr="00C21793">
        <w:rPr>
          <w:szCs w:val="24"/>
          <w:lang w:val="en-US"/>
        </w:rPr>
        <w:t>Carbon Brief (2020)</w:t>
      </w:r>
      <w:r w:rsidR="00840AAF" w:rsidRPr="00C21793">
        <w:rPr>
          <w:szCs w:val="24"/>
          <w:lang w:val="en-US"/>
        </w:rPr>
        <w:t xml:space="preserve"> Finland's center for research on energy and clean air</w:t>
      </w:r>
      <w:r w:rsidR="00BF6BB9" w:rsidRPr="00C21793">
        <w:rPr>
          <w:szCs w:val="24"/>
          <w:lang w:val="en-US"/>
        </w:rPr>
        <w:t>.</w:t>
      </w:r>
      <w:r w:rsidRPr="00C21793">
        <w:rPr>
          <w:szCs w:val="24"/>
          <w:lang w:val="en-US"/>
        </w:rPr>
        <w:t xml:space="preserve"> </w:t>
      </w:r>
      <w:hyperlink r:id="rId29" w:history="1">
        <w:r w:rsidR="00A56154" w:rsidRPr="00C21793">
          <w:rPr>
            <w:rStyle w:val="Hyperlink"/>
            <w:szCs w:val="24"/>
            <w:lang w:val="en-US"/>
          </w:rPr>
          <w:t>https://www.carbonbrief.org</w:t>
        </w:r>
      </w:hyperlink>
      <w:r w:rsidRPr="00C21793">
        <w:rPr>
          <w:szCs w:val="24"/>
          <w:lang w:val="en-US"/>
        </w:rPr>
        <w:t>.</w:t>
      </w:r>
    </w:p>
    <w:p w:rsidR="00AF722C" w:rsidRPr="00C21793" w:rsidRDefault="00AF722C" w:rsidP="00AF722C">
      <w:pPr>
        <w:pStyle w:val="bibcit"/>
        <w:widowControl w:val="0"/>
        <w:spacing w:after="0" w:line="360" w:lineRule="auto"/>
        <w:ind w:left="180" w:hangingChars="100" w:hanging="180"/>
        <w:jc w:val="both"/>
        <w:rPr>
          <w:szCs w:val="24"/>
        </w:rPr>
      </w:pPr>
      <w:proofErr w:type="spellStart"/>
      <w:r w:rsidRPr="00C21793">
        <w:rPr>
          <w:szCs w:val="24"/>
        </w:rPr>
        <w:lastRenderedPageBreak/>
        <w:t>Ceccarelli</w:t>
      </w:r>
      <w:proofErr w:type="spellEnd"/>
      <w:r w:rsidRPr="00C21793">
        <w:rPr>
          <w:szCs w:val="24"/>
        </w:rPr>
        <w:t xml:space="preserve"> M, Berretta M, </w:t>
      </w:r>
      <w:proofErr w:type="spellStart"/>
      <w:r w:rsidRPr="00C21793">
        <w:rPr>
          <w:szCs w:val="24"/>
        </w:rPr>
        <w:t>Venanzi</w:t>
      </w:r>
      <w:proofErr w:type="spellEnd"/>
      <w:r w:rsidRPr="00C21793">
        <w:rPr>
          <w:szCs w:val="24"/>
        </w:rPr>
        <w:t xml:space="preserve"> RE (2020) Differences and similarities between Severe Acute Respiratory Syndrome (SARS)-</w:t>
      </w:r>
      <w:proofErr w:type="spellStart"/>
      <w:r w:rsidRPr="00C21793">
        <w:rPr>
          <w:szCs w:val="24"/>
        </w:rPr>
        <w:t>CoronaVirus</w:t>
      </w:r>
      <w:proofErr w:type="spellEnd"/>
      <w:r w:rsidRPr="00C21793">
        <w:rPr>
          <w:szCs w:val="24"/>
        </w:rPr>
        <w:t xml:space="preserve"> (</w:t>
      </w:r>
      <w:proofErr w:type="spellStart"/>
      <w:r w:rsidRPr="00C21793">
        <w:rPr>
          <w:szCs w:val="24"/>
        </w:rPr>
        <w:t>CoV</w:t>
      </w:r>
      <w:proofErr w:type="spellEnd"/>
      <w:r w:rsidRPr="00C21793">
        <w:rPr>
          <w:szCs w:val="24"/>
        </w:rPr>
        <w:t xml:space="preserve">) and SARS-CoV-2. Would a rose by another name smell as sweet? Eur Rev Med </w:t>
      </w:r>
      <w:proofErr w:type="spellStart"/>
      <w:r w:rsidRPr="00C21793">
        <w:rPr>
          <w:szCs w:val="24"/>
        </w:rPr>
        <w:t>Pharmacol</w:t>
      </w:r>
      <w:proofErr w:type="spellEnd"/>
      <w:r w:rsidRPr="00C21793">
        <w:rPr>
          <w:szCs w:val="24"/>
        </w:rPr>
        <w:t xml:space="preserve"> Sci 24:2781–2783. </w:t>
      </w:r>
      <w:hyperlink r:id="rId30" w:history="1">
        <w:r w:rsidR="00A56154" w:rsidRPr="00C21793">
          <w:rPr>
            <w:rStyle w:val="Hyperlink"/>
            <w:szCs w:val="24"/>
          </w:rPr>
          <w:t>https://doi.org/10.26355/eurrev</w:t>
        </w:r>
      </w:hyperlink>
    </w:p>
    <w:p w:rsidR="00F47083" w:rsidRPr="00C21793" w:rsidRDefault="003A0E13" w:rsidP="00AF722C">
      <w:pPr>
        <w:spacing w:line="360" w:lineRule="auto"/>
        <w:ind w:left="180" w:hanging="180"/>
        <w:rPr>
          <w:shd w:val="clear" w:color="auto" w:fill="FFFFFF"/>
        </w:rPr>
      </w:pPr>
      <w:r w:rsidRPr="00C21793">
        <w:rPr>
          <w:shd w:val="clear" w:color="auto" w:fill="FFFFFF"/>
        </w:rPr>
        <w:t xml:space="preserve">ESA (2020) </w:t>
      </w:r>
      <w:r w:rsidR="00F47083" w:rsidRPr="00C21793">
        <w:rPr>
          <w:shd w:val="clear" w:color="auto" w:fill="FFFFFF"/>
        </w:rPr>
        <w:t>European Space Agency</w:t>
      </w:r>
      <w:r w:rsidRPr="00C21793">
        <w:rPr>
          <w:shd w:val="clear" w:color="auto" w:fill="FFFFFF"/>
        </w:rPr>
        <w:t>.</w:t>
      </w:r>
      <w:r w:rsidR="00F47083" w:rsidRPr="00C21793">
        <w:rPr>
          <w:shd w:val="clear" w:color="auto" w:fill="FFFFFF"/>
        </w:rPr>
        <w:t xml:space="preserve"> </w:t>
      </w:r>
      <w:hyperlink r:id="rId31" w:history="1">
        <w:r w:rsidR="00F47083" w:rsidRPr="00C21793">
          <w:rPr>
            <w:rStyle w:val="Hyperlink"/>
            <w:shd w:val="clear" w:color="auto" w:fill="FFFFFF"/>
          </w:rPr>
          <w:t>https://www.esa.int/</w:t>
        </w:r>
      </w:hyperlink>
    </w:p>
    <w:p w:rsidR="00AF722C" w:rsidRPr="00C21793" w:rsidRDefault="00AF722C" w:rsidP="00AF722C">
      <w:pPr>
        <w:spacing w:line="360" w:lineRule="auto"/>
        <w:ind w:left="180" w:hanging="180"/>
        <w:rPr>
          <w:shd w:val="clear" w:color="auto" w:fill="FFFFFF"/>
        </w:rPr>
      </w:pPr>
      <w:r w:rsidRPr="00C21793">
        <w:rPr>
          <w:shd w:val="clear" w:color="auto" w:fill="FFFFFF"/>
        </w:rPr>
        <w:t>Gautam S (2020) COVID-19: air pollution remains low as people stay at home. Air Qual Atmos Health p.1.</w:t>
      </w:r>
    </w:p>
    <w:p w:rsidR="00AF722C" w:rsidRPr="00C21793" w:rsidRDefault="00AF722C" w:rsidP="00AF722C">
      <w:pPr>
        <w:pStyle w:val="bibcit"/>
        <w:widowControl w:val="0"/>
        <w:spacing w:after="0" w:line="360" w:lineRule="auto"/>
        <w:ind w:left="180" w:hangingChars="100" w:hanging="180"/>
        <w:jc w:val="both"/>
        <w:rPr>
          <w:szCs w:val="24"/>
        </w:rPr>
      </w:pPr>
      <w:proofErr w:type="spellStart"/>
      <w:r w:rsidRPr="00C21793">
        <w:rPr>
          <w:szCs w:val="24"/>
        </w:rPr>
        <w:t>Ghinai</w:t>
      </w:r>
      <w:proofErr w:type="spellEnd"/>
      <w:r w:rsidRPr="00C21793">
        <w:rPr>
          <w:szCs w:val="24"/>
        </w:rPr>
        <w:t xml:space="preserve"> I, McPherson TD, Hunter JC, </w:t>
      </w:r>
      <w:proofErr w:type="spellStart"/>
      <w:r w:rsidRPr="00C21793">
        <w:rPr>
          <w:szCs w:val="24"/>
        </w:rPr>
        <w:t>Kirking</w:t>
      </w:r>
      <w:proofErr w:type="spellEnd"/>
      <w:r w:rsidRPr="00C21793">
        <w:rPr>
          <w:szCs w:val="24"/>
        </w:rPr>
        <w:t xml:space="preserve"> HL, Christiansen D, Joshi K, Rubin R et al (2020). First known person-to-person transmission of severe acute respiratory syndrome coronavirus 2 (SARS-CoV-2) in the USA. Lancet 395:1137–1144. </w:t>
      </w:r>
      <w:hyperlink r:id="rId32" w:history="1">
        <w:r w:rsidR="00A56154" w:rsidRPr="00C21793">
          <w:rPr>
            <w:rStyle w:val="Hyperlink"/>
            <w:szCs w:val="24"/>
          </w:rPr>
          <w:t>https://doi.org/10.1016/S0140-6736(20)30607-3</w:t>
        </w:r>
      </w:hyperlink>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Ha E (2020) Impact of Air Pollution Hazards on Human Development BT- Health Impacts of Developmental Exposure to Environmental Chemicals 223–245. </w:t>
      </w:r>
      <w:hyperlink r:id="rId33" w:history="1">
        <w:r w:rsidR="00A56154" w:rsidRPr="00C21793">
          <w:rPr>
            <w:rStyle w:val="Hyperlink"/>
            <w:szCs w:val="24"/>
          </w:rPr>
          <w:t>https://doi.org/10.1007/978-981-15-0520-1_10</w:t>
        </w:r>
      </w:hyperlink>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Huang C, Wang Y, Li X, Ren L, Zhao J, Hu Y et al (2020). Clinical features of patients infected with 2019 novel coronavirus in Wuhan, China. Lancet 395, 497–506. </w:t>
      </w:r>
      <w:hyperlink r:id="rId34" w:history="1">
        <w:r w:rsidR="00A56154" w:rsidRPr="00C21793">
          <w:rPr>
            <w:rStyle w:val="Hyperlink"/>
            <w:szCs w:val="24"/>
          </w:rPr>
          <w:t>https://doi.org/10.1016/S0140-6736(20)30183-5</w:t>
        </w:r>
      </w:hyperlink>
    </w:p>
    <w:p w:rsidR="00AF722C" w:rsidRPr="00C21793" w:rsidRDefault="00AF722C" w:rsidP="00AF722C">
      <w:pPr>
        <w:pStyle w:val="bibcit"/>
        <w:widowControl w:val="0"/>
        <w:spacing w:after="0" w:line="360" w:lineRule="auto"/>
        <w:ind w:left="180" w:hangingChars="100" w:hanging="180"/>
        <w:jc w:val="both"/>
        <w:rPr>
          <w:szCs w:val="24"/>
        </w:rPr>
      </w:pPr>
      <w:proofErr w:type="spellStart"/>
      <w:r w:rsidRPr="00C21793">
        <w:rPr>
          <w:szCs w:val="24"/>
        </w:rPr>
        <w:t>Klimont</w:t>
      </w:r>
      <w:proofErr w:type="spellEnd"/>
      <w:r w:rsidRPr="00C21793">
        <w:rPr>
          <w:szCs w:val="24"/>
        </w:rPr>
        <w:t xml:space="preserve"> Z, </w:t>
      </w:r>
      <w:proofErr w:type="spellStart"/>
      <w:r w:rsidRPr="00C21793">
        <w:rPr>
          <w:szCs w:val="24"/>
        </w:rPr>
        <w:t>Kupiainen</w:t>
      </w:r>
      <w:proofErr w:type="spellEnd"/>
      <w:r w:rsidRPr="00C21793">
        <w:rPr>
          <w:szCs w:val="24"/>
        </w:rPr>
        <w:t xml:space="preserve"> K, </w:t>
      </w:r>
      <w:proofErr w:type="spellStart"/>
      <w:r w:rsidRPr="00C21793">
        <w:rPr>
          <w:szCs w:val="24"/>
        </w:rPr>
        <w:t>Heyes</w:t>
      </w:r>
      <w:proofErr w:type="spellEnd"/>
      <w:r w:rsidRPr="00C21793">
        <w:rPr>
          <w:szCs w:val="24"/>
        </w:rPr>
        <w:t xml:space="preserve"> C, Purohit P, </w:t>
      </w:r>
      <w:proofErr w:type="spellStart"/>
      <w:r w:rsidRPr="00C21793">
        <w:rPr>
          <w:szCs w:val="24"/>
        </w:rPr>
        <w:t>Cofala</w:t>
      </w:r>
      <w:proofErr w:type="spellEnd"/>
      <w:r w:rsidRPr="00C21793">
        <w:rPr>
          <w:szCs w:val="24"/>
        </w:rPr>
        <w:t xml:space="preserve"> J, </w:t>
      </w:r>
      <w:proofErr w:type="spellStart"/>
      <w:r w:rsidRPr="00C21793">
        <w:rPr>
          <w:szCs w:val="24"/>
        </w:rPr>
        <w:t>Rafaj</w:t>
      </w:r>
      <w:proofErr w:type="spellEnd"/>
      <w:r w:rsidRPr="00C21793">
        <w:rPr>
          <w:szCs w:val="24"/>
        </w:rPr>
        <w:t xml:space="preserve"> P et al (2017) Global anthropogenic emissions of particulate matter including black carbon. Atmos Chem Phys 17:8681–8723. </w:t>
      </w:r>
      <w:hyperlink r:id="rId35" w:history="1">
        <w:r w:rsidR="00A56154" w:rsidRPr="00C21793">
          <w:rPr>
            <w:rStyle w:val="Hyperlink"/>
            <w:szCs w:val="24"/>
          </w:rPr>
          <w:t>https://doi.org/10.5194/acp-17-8681-2017</w:t>
        </w:r>
      </w:hyperlink>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Kucharski AJ, Russell TW, Diamond C, Liu Y, Edmunds J, Funk S et al (2020). Early dynamics of transmission and control of COVID-19: a mathematical </w:t>
      </w:r>
      <w:proofErr w:type="spellStart"/>
      <w:r w:rsidRPr="00C21793">
        <w:rPr>
          <w:szCs w:val="24"/>
        </w:rPr>
        <w:t>modeling</w:t>
      </w:r>
      <w:proofErr w:type="spellEnd"/>
      <w:r w:rsidRPr="00C21793">
        <w:rPr>
          <w:szCs w:val="24"/>
        </w:rPr>
        <w:t xml:space="preserve"> study. Lancet Infect. Dis. 20:553–558. </w:t>
      </w:r>
      <w:hyperlink r:id="rId36" w:history="1">
        <w:r w:rsidR="00A56154" w:rsidRPr="00C21793">
          <w:rPr>
            <w:rStyle w:val="Hyperlink"/>
            <w:szCs w:val="24"/>
          </w:rPr>
          <w:t>https://doi.org/10.1016/S1473-3099(20)30144-4</w:t>
        </w:r>
      </w:hyperlink>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Lemaitre J, </w:t>
      </w:r>
      <w:proofErr w:type="spellStart"/>
      <w:r w:rsidRPr="00C21793">
        <w:rPr>
          <w:szCs w:val="24"/>
        </w:rPr>
        <w:t>Pasetto</w:t>
      </w:r>
      <w:proofErr w:type="spellEnd"/>
      <w:r w:rsidRPr="00C21793">
        <w:rPr>
          <w:szCs w:val="24"/>
        </w:rPr>
        <w:t xml:space="preserve"> D, Perez-</w:t>
      </w:r>
      <w:proofErr w:type="spellStart"/>
      <w:r w:rsidRPr="00C21793">
        <w:rPr>
          <w:szCs w:val="24"/>
        </w:rPr>
        <w:t>Saez</w:t>
      </w:r>
      <w:proofErr w:type="spellEnd"/>
      <w:r w:rsidRPr="00C21793">
        <w:rPr>
          <w:szCs w:val="24"/>
        </w:rPr>
        <w:t xml:space="preserve"> J, </w:t>
      </w:r>
      <w:proofErr w:type="spellStart"/>
      <w:r w:rsidRPr="00C21793">
        <w:rPr>
          <w:szCs w:val="24"/>
        </w:rPr>
        <w:t>Sciarra</w:t>
      </w:r>
      <w:proofErr w:type="spellEnd"/>
      <w:r w:rsidRPr="00C21793">
        <w:rPr>
          <w:szCs w:val="24"/>
        </w:rPr>
        <w:t xml:space="preserve"> C, </w:t>
      </w:r>
      <w:proofErr w:type="spellStart"/>
      <w:r w:rsidRPr="00C21793">
        <w:rPr>
          <w:szCs w:val="24"/>
        </w:rPr>
        <w:t>Wamala</w:t>
      </w:r>
      <w:proofErr w:type="spellEnd"/>
      <w:r w:rsidRPr="00C21793">
        <w:rPr>
          <w:szCs w:val="24"/>
        </w:rPr>
        <w:t xml:space="preserve"> JF, Rinaldo A (2019). Rainfall as a driver of epidemic cholera: Comparative model assessments of the effect of intra-seasonal </w:t>
      </w:r>
      <w:r w:rsidRPr="00C21793">
        <w:rPr>
          <w:szCs w:val="24"/>
        </w:rPr>
        <w:lastRenderedPageBreak/>
        <w:t xml:space="preserve">precipitation events. Acta Trop 190:235–243. </w:t>
      </w:r>
      <w:hyperlink r:id="rId37" w:history="1">
        <w:r w:rsidR="00A56154" w:rsidRPr="00C21793">
          <w:rPr>
            <w:rStyle w:val="Hyperlink"/>
            <w:szCs w:val="24"/>
          </w:rPr>
          <w:t>https://doi.org/10.1016/j.actatropica.2018.11.013</w:t>
        </w:r>
      </w:hyperlink>
    </w:p>
    <w:p w:rsidR="00AF722C" w:rsidRPr="00C21793" w:rsidRDefault="00A56154" w:rsidP="00AF722C">
      <w:pPr>
        <w:pStyle w:val="bibcit"/>
        <w:widowControl w:val="0"/>
        <w:spacing w:after="0" w:line="360" w:lineRule="auto"/>
        <w:ind w:left="180" w:hangingChars="100" w:hanging="180"/>
        <w:jc w:val="both"/>
        <w:rPr>
          <w:szCs w:val="24"/>
        </w:rPr>
      </w:pPr>
      <w:r w:rsidRPr="00C21793">
        <w:t xml:space="preserve">Leung K, Wu JT, Liu D, Leung GM </w:t>
      </w:r>
      <w:r w:rsidRPr="00C21793">
        <w:rPr>
          <w:szCs w:val="24"/>
        </w:rPr>
        <w:t>(</w:t>
      </w:r>
      <w:r w:rsidR="00AF722C" w:rsidRPr="00C21793">
        <w:rPr>
          <w:szCs w:val="24"/>
        </w:rPr>
        <w:t xml:space="preserve">2020). First-wave COVID-19 transmissibility and severity in China outside Hubei after control measures, and second-wave scenario planning: a </w:t>
      </w:r>
      <w:proofErr w:type="spellStart"/>
      <w:r w:rsidR="00AF722C" w:rsidRPr="00C21793">
        <w:rPr>
          <w:szCs w:val="24"/>
        </w:rPr>
        <w:t>modeling</w:t>
      </w:r>
      <w:proofErr w:type="spellEnd"/>
      <w:r w:rsidR="00AF722C" w:rsidRPr="00C21793">
        <w:rPr>
          <w:szCs w:val="24"/>
        </w:rPr>
        <w:t xml:space="preserve"> impact assessment. Lancet 395:1382–1393. </w:t>
      </w:r>
      <w:hyperlink r:id="rId38" w:history="1">
        <w:r w:rsidRPr="00C21793">
          <w:rPr>
            <w:rStyle w:val="Hyperlink"/>
            <w:szCs w:val="24"/>
          </w:rPr>
          <w:t>https://doi.org/10.1016/S0140-6736(20)30746-7</w:t>
        </w:r>
      </w:hyperlink>
    </w:p>
    <w:p w:rsidR="00AF722C" w:rsidRPr="00C21793" w:rsidRDefault="00AF722C" w:rsidP="00AF722C">
      <w:pPr>
        <w:pStyle w:val="bibcit"/>
        <w:widowControl w:val="0"/>
        <w:spacing w:after="0" w:line="360" w:lineRule="auto"/>
        <w:ind w:left="180" w:hangingChars="100" w:hanging="180"/>
        <w:jc w:val="both"/>
        <w:rPr>
          <w:szCs w:val="24"/>
        </w:rPr>
      </w:pPr>
      <w:proofErr w:type="spellStart"/>
      <w:r w:rsidRPr="00C21793">
        <w:rPr>
          <w:szCs w:val="24"/>
        </w:rPr>
        <w:t>Mahato</w:t>
      </w:r>
      <w:proofErr w:type="spellEnd"/>
      <w:r w:rsidRPr="00C21793">
        <w:rPr>
          <w:szCs w:val="24"/>
        </w:rPr>
        <w:t xml:space="preserve"> S, Pal S, Ghosh KG (2020) Effect of lockdown amid COVID-19 pandemic on air quality of the megacity Delhi, India. Sci Total Environ 730:139086. </w:t>
      </w:r>
      <w:hyperlink r:id="rId39" w:history="1">
        <w:r w:rsidR="00A56154" w:rsidRPr="00C21793">
          <w:rPr>
            <w:rStyle w:val="Hyperlink"/>
            <w:szCs w:val="24"/>
          </w:rPr>
          <w:t>https://doi.org/10.1016/j.scitotenv.2020.139086</w:t>
        </w:r>
      </w:hyperlink>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Muhammad S, Long X, Salman M (2020) COVID-19 pandemic and environmental pollution: A blessing in disguise? Sci Total Environ 728:138820. </w:t>
      </w:r>
      <w:hyperlink r:id="rId40" w:history="1">
        <w:r w:rsidR="00A56154" w:rsidRPr="00C21793">
          <w:rPr>
            <w:rStyle w:val="Hyperlink"/>
            <w:szCs w:val="24"/>
          </w:rPr>
          <w:t>https://doi.org/10.1016/j.scitotenv.2020.138820</w:t>
        </w:r>
      </w:hyperlink>
    </w:p>
    <w:p w:rsidR="00E84B44" w:rsidRPr="00C21793" w:rsidRDefault="00040AC8" w:rsidP="00AF722C">
      <w:pPr>
        <w:pStyle w:val="bibcit"/>
        <w:widowControl w:val="0"/>
        <w:spacing w:after="0" w:line="360" w:lineRule="auto"/>
        <w:ind w:left="180" w:hangingChars="100" w:hanging="180"/>
        <w:jc w:val="both"/>
        <w:rPr>
          <w:szCs w:val="24"/>
          <w:lang w:val="en-US"/>
        </w:rPr>
      </w:pPr>
      <w:r w:rsidRPr="00C21793">
        <w:rPr>
          <w:szCs w:val="24"/>
          <w:lang w:val="en-US"/>
        </w:rPr>
        <w:t xml:space="preserve">NASA (2020) </w:t>
      </w:r>
      <w:r w:rsidR="00E84B44" w:rsidRPr="00C21793">
        <w:rPr>
          <w:szCs w:val="24"/>
          <w:lang w:val="en-US"/>
        </w:rPr>
        <w:t>National Aeronautics and Space Administration</w:t>
      </w:r>
      <w:r w:rsidRPr="00C21793">
        <w:rPr>
          <w:szCs w:val="24"/>
          <w:lang w:val="en-US"/>
        </w:rPr>
        <w:t xml:space="preserve">. </w:t>
      </w:r>
      <w:hyperlink r:id="rId41" w:history="1">
        <w:r w:rsidRPr="00C21793">
          <w:rPr>
            <w:rStyle w:val="Hyperlink"/>
            <w:szCs w:val="24"/>
            <w:lang w:val="en-US"/>
          </w:rPr>
          <w:t>https://www.nasa.gov/</w:t>
        </w:r>
      </w:hyperlink>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Nishiura H, Jung S, Linton NM, Kinoshita R, Yang Y, Hayashi K et al (2020) The Extent of Transmission of Novel Coronavirus in Wuhan, China, 2020. J Clin Med 9:330. </w:t>
      </w:r>
      <w:hyperlink r:id="rId42" w:history="1">
        <w:r w:rsidR="00A56154" w:rsidRPr="00C21793">
          <w:rPr>
            <w:rStyle w:val="Hyperlink"/>
            <w:szCs w:val="24"/>
          </w:rPr>
          <w:t>https://doi.org/10.3390/jcm9020330</w:t>
        </w:r>
      </w:hyperlink>
    </w:p>
    <w:p w:rsidR="00AF722C" w:rsidRPr="00C21793" w:rsidRDefault="00AF722C" w:rsidP="00AF722C">
      <w:pPr>
        <w:pStyle w:val="bibcit"/>
        <w:widowControl w:val="0"/>
        <w:spacing w:after="0" w:line="360" w:lineRule="auto"/>
        <w:ind w:left="180" w:hangingChars="100" w:hanging="180"/>
        <w:jc w:val="both"/>
        <w:rPr>
          <w:szCs w:val="24"/>
        </w:rPr>
      </w:pPr>
      <w:proofErr w:type="spellStart"/>
      <w:r w:rsidRPr="00C21793">
        <w:rPr>
          <w:szCs w:val="24"/>
        </w:rPr>
        <w:t>Phosri</w:t>
      </w:r>
      <w:proofErr w:type="spellEnd"/>
      <w:r w:rsidRPr="00C21793">
        <w:rPr>
          <w:szCs w:val="24"/>
        </w:rPr>
        <w:t xml:space="preserve"> A, Ueda K, Phung VLH, </w:t>
      </w:r>
      <w:proofErr w:type="spellStart"/>
      <w:r w:rsidRPr="00C21793">
        <w:rPr>
          <w:szCs w:val="24"/>
        </w:rPr>
        <w:t>Tawatsupa</w:t>
      </w:r>
      <w:proofErr w:type="spellEnd"/>
      <w:r w:rsidRPr="00C21793">
        <w:rPr>
          <w:szCs w:val="24"/>
        </w:rPr>
        <w:t xml:space="preserve"> B, Honda A, Takano H (2019) Effects of ambient air pollution on daily hospital admissions for respiratory and cardiovascular diseases in Bangkok, Thailand. Sci Total Environ. 651:1144–1153. </w:t>
      </w:r>
      <w:hyperlink r:id="rId43" w:history="1">
        <w:r w:rsidR="00A56154" w:rsidRPr="00C21793">
          <w:rPr>
            <w:rStyle w:val="Hyperlink"/>
            <w:szCs w:val="24"/>
          </w:rPr>
          <w:t>https://doi.org/10.1016/j.scitotenv.2018.09.183</w:t>
        </w:r>
      </w:hyperlink>
    </w:p>
    <w:p w:rsidR="00710A0D" w:rsidRPr="00C21793" w:rsidRDefault="00710A0D" w:rsidP="00AF722C">
      <w:pPr>
        <w:pStyle w:val="bibcit"/>
        <w:widowControl w:val="0"/>
        <w:spacing w:after="0" w:line="360" w:lineRule="auto"/>
        <w:ind w:left="180" w:hangingChars="100" w:hanging="180"/>
        <w:jc w:val="both"/>
        <w:rPr>
          <w:szCs w:val="24"/>
        </w:rPr>
      </w:pPr>
      <w:r w:rsidRPr="00C21793">
        <w:rPr>
          <w:szCs w:val="24"/>
        </w:rPr>
        <w:t>Reuters (2020)</w:t>
      </w:r>
      <w:r w:rsidR="00530150" w:rsidRPr="00C21793">
        <w:rPr>
          <w:szCs w:val="24"/>
        </w:rPr>
        <w:t xml:space="preserve"> Italy headlines. </w:t>
      </w:r>
      <w:hyperlink r:id="rId44" w:history="1">
        <w:r w:rsidRPr="00C21793">
          <w:rPr>
            <w:rStyle w:val="Hyperlink"/>
            <w:szCs w:val="24"/>
          </w:rPr>
          <w:t>https://www.reuters.com/article/us-health-coronavirus-italy-pollution/air-pollution-clears-in-northern-italy-after-coronavirus-lockdown-satellite-shows idUSKBN2102X4</w:t>
        </w:r>
      </w:hyperlink>
    </w:p>
    <w:p w:rsidR="00AF722C" w:rsidRPr="00C21793" w:rsidRDefault="00AF722C" w:rsidP="00AF722C">
      <w:pPr>
        <w:pStyle w:val="bibcit"/>
        <w:widowControl w:val="0"/>
        <w:spacing w:after="0" w:line="360" w:lineRule="auto"/>
        <w:ind w:left="180" w:hangingChars="100" w:hanging="180"/>
        <w:jc w:val="both"/>
        <w:rPr>
          <w:szCs w:val="24"/>
        </w:rPr>
      </w:pPr>
      <w:proofErr w:type="spellStart"/>
      <w:r w:rsidRPr="00C21793">
        <w:rPr>
          <w:szCs w:val="24"/>
        </w:rPr>
        <w:t>Şahin</w:t>
      </w:r>
      <w:proofErr w:type="spellEnd"/>
      <w:r w:rsidRPr="00C21793">
        <w:rPr>
          <w:szCs w:val="24"/>
        </w:rPr>
        <w:t xml:space="preserve"> M (2020) Impact of weather on COVID-19 pandemic in Turkey. Sci Total Environ. 728. </w:t>
      </w:r>
      <w:hyperlink r:id="rId45" w:history="1">
        <w:r w:rsidR="00A56154" w:rsidRPr="00C21793">
          <w:rPr>
            <w:rStyle w:val="Hyperlink"/>
            <w:szCs w:val="24"/>
          </w:rPr>
          <w:t>https://doi.org/10.1016/j.scitotenv.2020.138810</w:t>
        </w:r>
      </w:hyperlink>
    </w:p>
    <w:p w:rsidR="00461FEE" w:rsidRPr="00C21793" w:rsidRDefault="00461FEE" w:rsidP="00461FEE">
      <w:pPr>
        <w:pStyle w:val="bibcit"/>
        <w:widowControl w:val="0"/>
        <w:spacing w:after="0" w:line="360" w:lineRule="auto"/>
        <w:ind w:left="180" w:hangingChars="100" w:hanging="180"/>
        <w:jc w:val="both"/>
        <w:rPr>
          <w:szCs w:val="24"/>
        </w:rPr>
      </w:pPr>
      <w:proofErr w:type="spellStart"/>
      <w:r w:rsidRPr="00C21793">
        <w:rPr>
          <w:szCs w:val="24"/>
        </w:rPr>
        <w:lastRenderedPageBreak/>
        <w:t>Setti</w:t>
      </w:r>
      <w:proofErr w:type="spellEnd"/>
      <w:r w:rsidRPr="00C21793">
        <w:rPr>
          <w:szCs w:val="24"/>
        </w:rPr>
        <w:t xml:space="preserve"> L, </w:t>
      </w:r>
      <w:proofErr w:type="spellStart"/>
      <w:r w:rsidRPr="00C21793">
        <w:rPr>
          <w:szCs w:val="24"/>
        </w:rPr>
        <w:t>Passarini</w:t>
      </w:r>
      <w:proofErr w:type="spellEnd"/>
      <w:r w:rsidRPr="00C21793">
        <w:rPr>
          <w:szCs w:val="24"/>
        </w:rPr>
        <w:t xml:space="preserve"> F, de Gennaro G, Barbieri P, Perrone MG, </w:t>
      </w:r>
      <w:proofErr w:type="spellStart"/>
      <w:r w:rsidRPr="00C21793">
        <w:rPr>
          <w:szCs w:val="24"/>
        </w:rPr>
        <w:t>Piazzalunga</w:t>
      </w:r>
      <w:proofErr w:type="spellEnd"/>
      <w:r w:rsidRPr="00C21793">
        <w:rPr>
          <w:szCs w:val="24"/>
        </w:rPr>
        <w:t xml:space="preserve"> A et al (2020b) The Potential role of Particulate Matter in the Spreading of COVID-19 in Northern Italy: First Evidence-based Research Hypotheses. </w:t>
      </w:r>
      <w:proofErr w:type="spellStart"/>
      <w:r w:rsidRPr="00C21793">
        <w:rPr>
          <w:szCs w:val="24"/>
        </w:rPr>
        <w:t>medRxiv</w:t>
      </w:r>
      <w:proofErr w:type="spellEnd"/>
      <w:r w:rsidRPr="00C21793">
        <w:rPr>
          <w:szCs w:val="24"/>
        </w:rPr>
        <w:t xml:space="preserve"> 2020.04.11.20061713. </w:t>
      </w:r>
      <w:hyperlink r:id="rId46" w:history="1">
        <w:r w:rsidRPr="00C21793">
          <w:rPr>
            <w:rStyle w:val="Hyperlink"/>
            <w:szCs w:val="24"/>
          </w:rPr>
          <w:t>https://doi.org/10.1101/2020.04.11.20061713</w:t>
        </w:r>
      </w:hyperlink>
    </w:p>
    <w:p w:rsidR="00AF722C" w:rsidRPr="00C21793" w:rsidRDefault="00AF722C" w:rsidP="00AF722C">
      <w:pPr>
        <w:pStyle w:val="bibcit"/>
        <w:widowControl w:val="0"/>
        <w:spacing w:after="0" w:line="360" w:lineRule="auto"/>
        <w:ind w:left="180" w:hangingChars="100" w:hanging="180"/>
        <w:jc w:val="both"/>
        <w:rPr>
          <w:szCs w:val="24"/>
        </w:rPr>
      </w:pPr>
      <w:proofErr w:type="spellStart"/>
      <w:r w:rsidRPr="00C21793">
        <w:rPr>
          <w:szCs w:val="24"/>
        </w:rPr>
        <w:t>Setti</w:t>
      </w:r>
      <w:proofErr w:type="spellEnd"/>
      <w:r w:rsidRPr="00C21793">
        <w:rPr>
          <w:szCs w:val="24"/>
        </w:rPr>
        <w:t xml:space="preserve"> L, </w:t>
      </w:r>
      <w:proofErr w:type="spellStart"/>
      <w:r w:rsidRPr="00C21793">
        <w:rPr>
          <w:szCs w:val="24"/>
        </w:rPr>
        <w:t>Passarini</w:t>
      </w:r>
      <w:proofErr w:type="spellEnd"/>
      <w:r w:rsidRPr="00C21793">
        <w:rPr>
          <w:szCs w:val="24"/>
        </w:rPr>
        <w:t xml:space="preserve"> F, de Gennaro G, Di </w:t>
      </w:r>
      <w:proofErr w:type="spellStart"/>
      <w:r w:rsidRPr="00C21793">
        <w:rPr>
          <w:szCs w:val="24"/>
        </w:rPr>
        <w:t>Gilio</w:t>
      </w:r>
      <w:proofErr w:type="spellEnd"/>
      <w:r w:rsidRPr="00C21793">
        <w:rPr>
          <w:szCs w:val="24"/>
        </w:rPr>
        <w:t xml:space="preserve"> A, </w:t>
      </w:r>
      <w:proofErr w:type="spellStart"/>
      <w:r w:rsidRPr="00C21793">
        <w:rPr>
          <w:szCs w:val="24"/>
        </w:rPr>
        <w:t>Palmisani</w:t>
      </w:r>
      <w:proofErr w:type="spellEnd"/>
      <w:r w:rsidRPr="00C21793">
        <w:rPr>
          <w:szCs w:val="24"/>
        </w:rPr>
        <w:t xml:space="preserve"> J, </w:t>
      </w:r>
      <w:proofErr w:type="spellStart"/>
      <w:r w:rsidRPr="00C21793">
        <w:rPr>
          <w:szCs w:val="24"/>
        </w:rPr>
        <w:t>Buono</w:t>
      </w:r>
      <w:proofErr w:type="spellEnd"/>
      <w:r w:rsidRPr="00C21793">
        <w:rPr>
          <w:szCs w:val="24"/>
        </w:rPr>
        <w:t xml:space="preserve"> P et al (2020a) Evaluation of the potential relationship between Particulate Matter (PM) pollution and COVID-19 infection spread in Italy. SIMA Position Pap.</w:t>
      </w:r>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Sharma S, Zhang M, </w:t>
      </w:r>
      <w:proofErr w:type="spellStart"/>
      <w:r w:rsidRPr="00C21793">
        <w:rPr>
          <w:szCs w:val="24"/>
        </w:rPr>
        <w:t>Anshika</w:t>
      </w:r>
      <w:proofErr w:type="spellEnd"/>
      <w:r w:rsidRPr="00C21793">
        <w:rPr>
          <w:szCs w:val="24"/>
        </w:rPr>
        <w:t xml:space="preserve">, Gao J, Zhang H, Kota SH (2020) Effect of restricted emissions during COVID-19 on air quality in India. Sci Total Environ 728:138878. </w:t>
      </w:r>
      <w:hyperlink r:id="rId47" w:history="1">
        <w:r w:rsidR="00A56154" w:rsidRPr="00C21793">
          <w:rPr>
            <w:rStyle w:val="Hyperlink"/>
            <w:szCs w:val="24"/>
          </w:rPr>
          <w:t>https://doi.org/10.1016/j.scitotenv.2020.138878</w:t>
        </w:r>
      </w:hyperlink>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She J, Jiang J, Ye L, Hu L, Bai C, Song Y (2020) 2019 novel coronavirus of pneumonia in Wuhan, China: emerging attack and management strategies. Clin </w:t>
      </w:r>
      <w:proofErr w:type="spellStart"/>
      <w:r w:rsidRPr="00C21793">
        <w:rPr>
          <w:szCs w:val="24"/>
        </w:rPr>
        <w:t>Transl</w:t>
      </w:r>
      <w:proofErr w:type="spellEnd"/>
      <w:r w:rsidRPr="00C21793">
        <w:rPr>
          <w:szCs w:val="24"/>
        </w:rPr>
        <w:t xml:space="preserve"> Med 9. </w:t>
      </w:r>
      <w:hyperlink r:id="rId48" w:history="1">
        <w:r w:rsidR="00A56154" w:rsidRPr="00C21793">
          <w:rPr>
            <w:rStyle w:val="Hyperlink"/>
            <w:szCs w:val="24"/>
          </w:rPr>
          <w:t>https://doi.org/10.1186/s40169-020-00271-z</w:t>
        </w:r>
      </w:hyperlink>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Shi P, Dong Y, Yan H, Zhao C, Li X, Liu W et al (2020) Impact of temperature on the dynamics of the COVID-19 outbreak in China. Sci Total Environ 728:138890. </w:t>
      </w:r>
      <w:hyperlink r:id="rId49" w:history="1">
        <w:r w:rsidR="00A56154" w:rsidRPr="00C21793">
          <w:rPr>
            <w:rStyle w:val="Hyperlink"/>
            <w:szCs w:val="24"/>
          </w:rPr>
          <w:t>https://doi.org/10.1016/j.scitotenv.2020.138890</w:t>
        </w:r>
      </w:hyperlink>
    </w:p>
    <w:p w:rsidR="00AF722C" w:rsidRPr="00C21793" w:rsidRDefault="00AF722C" w:rsidP="00AF722C">
      <w:pPr>
        <w:pStyle w:val="bibcit"/>
        <w:widowControl w:val="0"/>
        <w:spacing w:after="0" w:line="360" w:lineRule="auto"/>
        <w:ind w:left="180" w:hangingChars="100" w:hanging="180"/>
        <w:jc w:val="both"/>
        <w:rPr>
          <w:szCs w:val="24"/>
        </w:rPr>
      </w:pPr>
      <w:proofErr w:type="spellStart"/>
      <w:r w:rsidRPr="00C21793">
        <w:rPr>
          <w:szCs w:val="24"/>
        </w:rPr>
        <w:t>Tomar</w:t>
      </w:r>
      <w:proofErr w:type="spellEnd"/>
      <w:r w:rsidRPr="00C21793">
        <w:rPr>
          <w:szCs w:val="24"/>
        </w:rPr>
        <w:t xml:space="preserve"> A, Gupta N (2020) Prediction for the spread of COVID-19 in India and </w:t>
      </w:r>
      <w:r w:rsidR="0052112D" w:rsidRPr="00C21793">
        <w:rPr>
          <w:szCs w:val="24"/>
        </w:rPr>
        <w:t xml:space="preserve">the </w:t>
      </w:r>
      <w:r w:rsidRPr="00C21793">
        <w:rPr>
          <w:szCs w:val="24"/>
        </w:rPr>
        <w:t xml:space="preserve">effectiveness of preventive measures. Sci Total Environ 728:138762. </w:t>
      </w:r>
      <w:hyperlink r:id="rId50" w:history="1">
        <w:r w:rsidR="00A56154" w:rsidRPr="00C21793">
          <w:rPr>
            <w:rStyle w:val="Hyperlink"/>
            <w:szCs w:val="24"/>
          </w:rPr>
          <w:t>https://doi.org/10.1016/j.scitotenv.2020.138762</w:t>
        </w:r>
      </w:hyperlink>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van </w:t>
      </w:r>
      <w:proofErr w:type="spellStart"/>
      <w:r w:rsidRPr="00C21793">
        <w:rPr>
          <w:szCs w:val="24"/>
        </w:rPr>
        <w:t>Doremalen</w:t>
      </w:r>
      <w:proofErr w:type="spellEnd"/>
      <w:r w:rsidRPr="00C21793">
        <w:rPr>
          <w:szCs w:val="24"/>
        </w:rPr>
        <w:t xml:space="preserve"> N, </w:t>
      </w:r>
      <w:proofErr w:type="spellStart"/>
      <w:r w:rsidRPr="00C21793">
        <w:rPr>
          <w:szCs w:val="24"/>
        </w:rPr>
        <w:t>Bushmaker</w:t>
      </w:r>
      <w:proofErr w:type="spellEnd"/>
      <w:r w:rsidRPr="00C21793">
        <w:rPr>
          <w:szCs w:val="24"/>
        </w:rPr>
        <w:t xml:space="preserve"> T, Morris DH, Holbrook MG, Gamble A, Williamson BN et al (2020) Aerosol and Surface Stability of SARS-CoV-2 as Compared with SARS-CoV-1. N. </w:t>
      </w:r>
      <w:proofErr w:type="spellStart"/>
      <w:r w:rsidRPr="00C21793">
        <w:rPr>
          <w:szCs w:val="24"/>
        </w:rPr>
        <w:t>Engl</w:t>
      </w:r>
      <w:proofErr w:type="spellEnd"/>
      <w:r w:rsidRPr="00C21793">
        <w:rPr>
          <w:szCs w:val="24"/>
        </w:rPr>
        <w:t xml:space="preserve"> J Med 0–3.</w:t>
      </w:r>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van </w:t>
      </w:r>
      <w:proofErr w:type="spellStart"/>
      <w:r w:rsidRPr="00C21793">
        <w:rPr>
          <w:szCs w:val="24"/>
        </w:rPr>
        <w:t>Doremalen</w:t>
      </w:r>
      <w:proofErr w:type="spellEnd"/>
      <w:r w:rsidRPr="00C21793">
        <w:rPr>
          <w:szCs w:val="24"/>
        </w:rPr>
        <w:t xml:space="preserve"> N, </w:t>
      </w:r>
      <w:proofErr w:type="spellStart"/>
      <w:r w:rsidRPr="00C21793">
        <w:rPr>
          <w:szCs w:val="24"/>
        </w:rPr>
        <w:t>Bushmaker</w:t>
      </w:r>
      <w:proofErr w:type="spellEnd"/>
      <w:r w:rsidRPr="00C21793">
        <w:rPr>
          <w:szCs w:val="24"/>
        </w:rPr>
        <w:t xml:space="preserve"> T, Munster VJ (2013) Stability of middle east respiratory syndrome coronavirus (MERS-</w:t>
      </w:r>
      <w:proofErr w:type="spellStart"/>
      <w:r w:rsidRPr="00C21793">
        <w:rPr>
          <w:szCs w:val="24"/>
        </w:rPr>
        <w:t>CoV</w:t>
      </w:r>
      <w:proofErr w:type="spellEnd"/>
      <w:r w:rsidRPr="00C21793">
        <w:rPr>
          <w:szCs w:val="24"/>
        </w:rPr>
        <w:t xml:space="preserve">) under different environmental conditions. </w:t>
      </w:r>
      <w:proofErr w:type="spellStart"/>
      <w:r w:rsidRPr="00C21793">
        <w:rPr>
          <w:szCs w:val="24"/>
        </w:rPr>
        <w:t>Eurosurveillance</w:t>
      </w:r>
      <w:proofErr w:type="spellEnd"/>
      <w:r w:rsidRPr="00C21793">
        <w:rPr>
          <w:szCs w:val="24"/>
        </w:rPr>
        <w:t xml:space="preserve"> 18:1–4. </w:t>
      </w:r>
      <w:hyperlink r:id="rId51" w:history="1">
        <w:r w:rsidR="00A56154" w:rsidRPr="00C21793">
          <w:rPr>
            <w:rStyle w:val="Hyperlink"/>
            <w:szCs w:val="24"/>
          </w:rPr>
          <w:t>https://doi.org/10.2807/1560-7917.ES2013.18.38.20590</w:t>
        </w:r>
      </w:hyperlink>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lastRenderedPageBreak/>
        <w:t xml:space="preserve">Wang P, Chen K, Zhu S, Wang P, Zhang H (2020) Severe air pollution events not avoided by reduced anthropogenic activities during COVID-19 outbreak. </w:t>
      </w:r>
      <w:proofErr w:type="spellStart"/>
      <w:r w:rsidRPr="00C21793">
        <w:rPr>
          <w:szCs w:val="24"/>
        </w:rPr>
        <w:t>Resour</w:t>
      </w:r>
      <w:proofErr w:type="spellEnd"/>
      <w:r w:rsidRPr="00C21793">
        <w:rPr>
          <w:szCs w:val="24"/>
        </w:rPr>
        <w:t xml:space="preserve"> </w:t>
      </w:r>
      <w:proofErr w:type="spellStart"/>
      <w:r w:rsidRPr="00C21793">
        <w:rPr>
          <w:szCs w:val="24"/>
        </w:rPr>
        <w:t>Conserv</w:t>
      </w:r>
      <w:proofErr w:type="spellEnd"/>
      <w:r w:rsidRPr="00C21793">
        <w:rPr>
          <w:szCs w:val="24"/>
        </w:rPr>
        <w:t xml:space="preserve"> </w:t>
      </w:r>
      <w:proofErr w:type="spellStart"/>
      <w:r w:rsidRPr="00C21793">
        <w:rPr>
          <w:szCs w:val="24"/>
        </w:rPr>
        <w:t>Recycl</w:t>
      </w:r>
      <w:proofErr w:type="spellEnd"/>
      <w:r w:rsidRPr="00C21793">
        <w:rPr>
          <w:szCs w:val="24"/>
        </w:rPr>
        <w:t xml:space="preserve"> 158: 104814. </w:t>
      </w:r>
      <w:hyperlink r:id="rId52" w:history="1">
        <w:r w:rsidR="00A56154" w:rsidRPr="00C21793">
          <w:rPr>
            <w:rStyle w:val="Hyperlink"/>
            <w:szCs w:val="24"/>
          </w:rPr>
          <w:t>https://doi.org/10.1016/j.resconrec.2020.104814</w:t>
        </w:r>
      </w:hyperlink>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WHO (2020) World Health Organization-Coronavirus Disease 2019 (COVID-19) Situation Report – 97. </w:t>
      </w:r>
      <w:hyperlink r:id="rId53" w:history="1">
        <w:r w:rsidR="00A56154" w:rsidRPr="00C21793">
          <w:rPr>
            <w:rStyle w:val="Hyperlink"/>
            <w:szCs w:val="24"/>
          </w:rPr>
          <w:t>https://doi.org/10.1213/xaa.0000000000001218</w:t>
        </w:r>
      </w:hyperlink>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Wu Z, McGoogan JM (2020a) Characteristics of and Important Lessons from the Coronavirus Disease 2019 (COVID-19) Outbreak in China: Summary of a Report of 72314 Cases from the Chinese </w:t>
      </w:r>
      <w:proofErr w:type="spellStart"/>
      <w:r w:rsidRPr="00C21793">
        <w:rPr>
          <w:szCs w:val="24"/>
        </w:rPr>
        <w:t>Center</w:t>
      </w:r>
      <w:proofErr w:type="spellEnd"/>
      <w:r w:rsidRPr="00C21793">
        <w:rPr>
          <w:szCs w:val="24"/>
        </w:rPr>
        <w:t xml:space="preserve"> for Disease Control and Prevention. J Med Assoc 323:1239–1242. </w:t>
      </w:r>
      <w:hyperlink r:id="rId54" w:history="1">
        <w:r w:rsidR="00A56154" w:rsidRPr="00C21793">
          <w:rPr>
            <w:rStyle w:val="Hyperlink"/>
            <w:szCs w:val="24"/>
          </w:rPr>
          <w:t>https://doi.org/10.1001/jama.2020.2648</w:t>
        </w:r>
      </w:hyperlink>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Wu JT, Leung K, Leung GM (2020b) Nowcasting and forecasting the potential domestic and international spread of the 2019-nCoV outbreak originating in Wuhan, China: a </w:t>
      </w:r>
      <w:proofErr w:type="spellStart"/>
      <w:r w:rsidRPr="00C21793">
        <w:rPr>
          <w:szCs w:val="24"/>
        </w:rPr>
        <w:t>modeling</w:t>
      </w:r>
      <w:proofErr w:type="spellEnd"/>
      <w:r w:rsidRPr="00C21793">
        <w:rPr>
          <w:szCs w:val="24"/>
        </w:rPr>
        <w:t xml:space="preserve"> study. Lancet 395:689–697. </w:t>
      </w:r>
      <w:hyperlink r:id="rId55" w:history="1">
        <w:r w:rsidR="00A56154" w:rsidRPr="00C21793">
          <w:rPr>
            <w:rStyle w:val="Hyperlink"/>
            <w:szCs w:val="24"/>
          </w:rPr>
          <w:t>https://doi.org/10.1016/S0140-6736(20)30260-9</w:t>
        </w:r>
      </w:hyperlink>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Yao Y, Pan J, Wang W, Liu Z, Kan H, Meng X, Wang W (2020) Spatial Correlation of Particulate Matter Pollution and Death Rate of COVID-19 /China/ PM2.5, PM10/multiple linear regression. </w:t>
      </w:r>
      <w:proofErr w:type="spellStart"/>
      <w:r w:rsidRPr="00C21793">
        <w:rPr>
          <w:szCs w:val="24"/>
        </w:rPr>
        <w:t>medRxiv</w:t>
      </w:r>
      <w:proofErr w:type="spellEnd"/>
      <w:r w:rsidRPr="00C21793">
        <w:rPr>
          <w:szCs w:val="24"/>
        </w:rPr>
        <w:t>.</w:t>
      </w:r>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Xiao Wu, Rachel CN, </w:t>
      </w:r>
      <w:proofErr w:type="spellStart"/>
      <w:r w:rsidRPr="00C21793">
        <w:rPr>
          <w:szCs w:val="24"/>
        </w:rPr>
        <w:t>Sabath</w:t>
      </w:r>
      <w:proofErr w:type="spellEnd"/>
      <w:r w:rsidRPr="00C21793">
        <w:rPr>
          <w:szCs w:val="24"/>
        </w:rPr>
        <w:t xml:space="preserve"> MB, Braun D, Xiao FD (2020). Exposure to air pollution and COVID-19 mortality in the United States: A nationwide cross-sectional study, </w:t>
      </w:r>
      <w:proofErr w:type="spellStart"/>
      <w:r w:rsidRPr="00C21793">
        <w:rPr>
          <w:szCs w:val="24"/>
        </w:rPr>
        <w:t>medRxiv</w:t>
      </w:r>
      <w:proofErr w:type="spellEnd"/>
      <w:r w:rsidRPr="00C21793">
        <w:rPr>
          <w:szCs w:val="24"/>
        </w:rPr>
        <w:t xml:space="preserve">. </w:t>
      </w:r>
      <w:hyperlink r:id="rId56" w:history="1">
        <w:r w:rsidR="00A56154" w:rsidRPr="00C21793">
          <w:rPr>
            <w:rStyle w:val="Hyperlink"/>
            <w:szCs w:val="24"/>
          </w:rPr>
          <w:t>https://doi.org/10.1017/CBO9781107415324.004</w:t>
        </w:r>
      </w:hyperlink>
    </w:p>
    <w:p w:rsidR="00AF722C" w:rsidRPr="00C21793" w:rsidRDefault="00AF722C" w:rsidP="00AF722C">
      <w:pPr>
        <w:pStyle w:val="bibcit"/>
        <w:widowControl w:val="0"/>
        <w:spacing w:after="0" w:line="360" w:lineRule="auto"/>
        <w:ind w:left="180" w:hangingChars="100" w:hanging="180"/>
        <w:jc w:val="both"/>
        <w:rPr>
          <w:szCs w:val="24"/>
        </w:rPr>
      </w:pPr>
      <w:r w:rsidRPr="00C21793">
        <w:rPr>
          <w:szCs w:val="24"/>
        </w:rPr>
        <w:t xml:space="preserve">Zhao Y, Richardson B, </w:t>
      </w:r>
      <w:proofErr w:type="spellStart"/>
      <w:r w:rsidRPr="00C21793">
        <w:rPr>
          <w:szCs w:val="24"/>
        </w:rPr>
        <w:t>Takle</w:t>
      </w:r>
      <w:proofErr w:type="spellEnd"/>
      <w:r w:rsidRPr="00C21793">
        <w:rPr>
          <w:szCs w:val="24"/>
        </w:rPr>
        <w:t xml:space="preserve"> E, Chai L, Schmitt D, Xin H (2019) Airborne transmission may have played a role in the spread of 2015 highly pathogenic avian influenza outbreaks in the United States. Sci Rep 9:1–10. </w:t>
      </w:r>
      <w:hyperlink r:id="rId57" w:history="1">
        <w:r w:rsidR="00A56154" w:rsidRPr="00C21793">
          <w:rPr>
            <w:rStyle w:val="Hyperlink"/>
            <w:szCs w:val="24"/>
          </w:rPr>
          <w:t>https://doi.org/10.1038/s41598-019-47788-z</w:t>
        </w:r>
      </w:hyperlink>
    </w:p>
    <w:p w:rsidR="00306945" w:rsidRPr="00AE15E1" w:rsidRDefault="00AF722C" w:rsidP="00A56154">
      <w:pPr>
        <w:pStyle w:val="bibcit"/>
        <w:widowControl w:val="0"/>
        <w:spacing w:after="0" w:line="360" w:lineRule="auto"/>
        <w:ind w:left="180" w:hangingChars="100" w:hanging="180"/>
        <w:jc w:val="both"/>
        <w:rPr>
          <w:szCs w:val="24"/>
        </w:rPr>
      </w:pPr>
      <w:r w:rsidRPr="00C21793">
        <w:rPr>
          <w:szCs w:val="24"/>
        </w:rPr>
        <w:t xml:space="preserve">Zhu Y, Xie J, Huang F, Cao L (2020) Association between short-term exposure to air pollution and COVID-19 infection: Evidence from China. Sci Total Environ 727:138704. </w:t>
      </w:r>
      <w:hyperlink r:id="rId58" w:history="1">
        <w:r w:rsidR="00A56154" w:rsidRPr="00C21793">
          <w:rPr>
            <w:rStyle w:val="Hyperlink"/>
            <w:szCs w:val="24"/>
          </w:rPr>
          <w:t>https://doi.org/10.1016/j.scitotenv.2020.138704</w:t>
        </w:r>
      </w:hyperlink>
    </w:p>
    <w:p w:rsidR="00306945" w:rsidRPr="00AE15E1" w:rsidRDefault="00306945" w:rsidP="00306945">
      <w:pPr>
        <w:pStyle w:val="NoSpacing"/>
        <w:rPr>
          <w:rFonts w:ascii="Times New Roman" w:hAnsi="Times New Roman" w:cs="Times New Roman"/>
          <w:b/>
          <w:sz w:val="24"/>
          <w:szCs w:val="24"/>
          <w:lang w:val="en-US"/>
        </w:rPr>
      </w:pPr>
    </w:p>
    <w:sectPr w:rsidR="00306945" w:rsidRPr="00AE15E1" w:rsidSect="00F41FB6">
      <w:headerReference w:type="default" r:id="rId59"/>
      <w:footerReference w:type="even" r:id="rId60"/>
      <w:footerReference w:type="default" r:id="rId61"/>
      <w:pgSz w:w="11907" w:h="16840" w:code="9"/>
      <w:pgMar w:top="1440" w:right="1440" w:bottom="1440" w:left="1440" w:header="851" w:footer="992" w:gutter="0"/>
      <w:lnNumType w:countBy="1" w:restart="continuous"/>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876" w:rsidRDefault="00F94876">
      <w:r>
        <w:separator/>
      </w:r>
    </w:p>
  </w:endnote>
  <w:endnote w:type="continuationSeparator" w:id="0">
    <w:p w:rsidR="00F94876" w:rsidRDefault="00F9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華康中楷體">
    <w:altName w:val="Microsoft JhengHei"/>
    <w:panose1 w:val="00000000000000000000"/>
    <w:charset w:val="88"/>
    <w:family w:val="modern"/>
    <w:notTrueType/>
    <w:pitch w:val="fixed"/>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E-BX+ZKLGyH-7">
    <w:altName w:val="宋体"/>
    <w:charset w:val="86"/>
    <w:family w:val="auto"/>
    <w:pitch w:val="default"/>
    <w:sig w:usb0="00000001" w:usb1="080E0000" w:usb2="00000010" w:usb3="00000000" w:csb0="00040000" w:csb1="00000000"/>
  </w:font>
  <w:font w:name="AdobeHeitiStd-Regular">
    <w:altName w:val="宋体"/>
    <w:charset w:val="86"/>
    <w:family w:val="auto"/>
    <w:pitch w:val="default"/>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EDF" w:rsidRDefault="008C17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7EDF" w:rsidRDefault="0044394F">
    <w:pPr>
      <w:pStyle w:val="Footer"/>
    </w:pPr>
  </w:p>
  <w:p w:rsidR="00042414" w:rsidRDefault="000424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1D5" w:rsidRDefault="008C1773">
    <w:pPr>
      <w:pStyle w:val="Footer"/>
      <w:jc w:val="right"/>
    </w:pPr>
    <w:r>
      <w:fldChar w:fldCharType="begin"/>
    </w:r>
    <w:r>
      <w:instrText xml:space="preserve"> PAGE   \* MERGEFORMAT </w:instrText>
    </w:r>
    <w:r>
      <w:fldChar w:fldCharType="separate"/>
    </w:r>
    <w:r w:rsidR="00C21793">
      <w:rPr>
        <w:noProof/>
      </w:rPr>
      <w:t>18</w:t>
    </w:r>
    <w:r>
      <w:rPr>
        <w:noProof/>
      </w:rPr>
      <w:fldChar w:fldCharType="end"/>
    </w:r>
  </w:p>
  <w:p w:rsidR="005A7EDF" w:rsidRDefault="0044394F" w:rsidP="0030709A">
    <w:pPr>
      <w:pStyle w:val="Header"/>
      <w:spacing w:line="360" w:lineRule="auto"/>
      <w:rPr>
        <w:rFonts w:eastAsia="PMingLiU"/>
        <w:lang w:eastAsia="zh-TW"/>
      </w:rPr>
    </w:pPr>
  </w:p>
  <w:p w:rsidR="00042414" w:rsidRDefault="000424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876" w:rsidRDefault="00F94876">
      <w:r>
        <w:separator/>
      </w:r>
    </w:p>
  </w:footnote>
  <w:footnote w:type="continuationSeparator" w:id="0">
    <w:p w:rsidR="00F94876" w:rsidRDefault="00F94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EDF" w:rsidRPr="006A740F" w:rsidRDefault="0044394F">
    <w:pPr>
      <w:pStyle w:val="Header"/>
      <w:ind w:right="360"/>
      <w:jc w:val="center"/>
      <w:rPr>
        <w:rFonts w:eastAsia="PMingLiU"/>
        <w:lang w:eastAsia="zh-TW"/>
      </w:rPr>
    </w:pPr>
  </w:p>
  <w:p w:rsidR="005A7EDF" w:rsidRDefault="0044394F">
    <w:pPr>
      <w:pStyle w:val="Header"/>
    </w:pPr>
  </w:p>
  <w:p w:rsidR="00042414" w:rsidRDefault="000424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90902"/>
    <w:multiLevelType w:val="hybridMultilevel"/>
    <w:tmpl w:val="AABEAAAE"/>
    <w:lvl w:ilvl="0" w:tplc="6040DF50">
      <w:start w:val="2"/>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1B610F18"/>
    <w:multiLevelType w:val="hybridMultilevel"/>
    <w:tmpl w:val="08D8AE3C"/>
    <w:lvl w:ilvl="0" w:tplc="FFFFFFFF">
      <w:start w:val="5"/>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3171067D"/>
    <w:multiLevelType w:val="hybridMultilevel"/>
    <w:tmpl w:val="54DACA76"/>
    <w:lvl w:ilvl="0" w:tplc="5A060CE6">
      <w:start w:val="6"/>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4F55427"/>
    <w:multiLevelType w:val="multilevel"/>
    <w:tmpl w:val="63F2CB3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5987640"/>
    <w:multiLevelType w:val="hybridMultilevel"/>
    <w:tmpl w:val="2884B424"/>
    <w:lvl w:ilvl="0" w:tplc="FFFFFFFF">
      <w:start w:val="3223"/>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0MDUwMzU3NDQwMTZQ0lEKTi0uzszPAymwrAUAag6cCywAAAA="/>
  </w:docVars>
  <w:rsids>
    <w:rsidRoot w:val="0016206E"/>
    <w:rsid w:val="0002638A"/>
    <w:rsid w:val="0003114B"/>
    <w:rsid w:val="00031BD8"/>
    <w:rsid w:val="00034F47"/>
    <w:rsid w:val="00040AC8"/>
    <w:rsid w:val="00040D55"/>
    <w:rsid w:val="00042414"/>
    <w:rsid w:val="00042B3B"/>
    <w:rsid w:val="0004488B"/>
    <w:rsid w:val="0004564A"/>
    <w:rsid w:val="00056EE1"/>
    <w:rsid w:val="0006095B"/>
    <w:rsid w:val="00075092"/>
    <w:rsid w:val="0008698D"/>
    <w:rsid w:val="000A5BBF"/>
    <w:rsid w:val="000B0461"/>
    <w:rsid w:val="000C6555"/>
    <w:rsid w:val="000D0F83"/>
    <w:rsid w:val="000E4D4B"/>
    <w:rsid w:val="000E6275"/>
    <w:rsid w:val="000E7349"/>
    <w:rsid w:val="000F50F6"/>
    <w:rsid w:val="00101839"/>
    <w:rsid w:val="00107947"/>
    <w:rsid w:val="001116B9"/>
    <w:rsid w:val="00113368"/>
    <w:rsid w:val="001204E5"/>
    <w:rsid w:val="00125341"/>
    <w:rsid w:val="00145F5A"/>
    <w:rsid w:val="001524B8"/>
    <w:rsid w:val="0016206E"/>
    <w:rsid w:val="0017786D"/>
    <w:rsid w:val="00187D7B"/>
    <w:rsid w:val="001911D8"/>
    <w:rsid w:val="0019615A"/>
    <w:rsid w:val="001B0A8F"/>
    <w:rsid w:val="001B5880"/>
    <w:rsid w:val="001F2247"/>
    <w:rsid w:val="00204179"/>
    <w:rsid w:val="00205FA3"/>
    <w:rsid w:val="00212C1E"/>
    <w:rsid w:val="00214D88"/>
    <w:rsid w:val="00216FFE"/>
    <w:rsid w:val="0022107D"/>
    <w:rsid w:val="00226E90"/>
    <w:rsid w:val="00247844"/>
    <w:rsid w:val="00251087"/>
    <w:rsid w:val="00255655"/>
    <w:rsid w:val="00256B99"/>
    <w:rsid w:val="00257282"/>
    <w:rsid w:val="00257E25"/>
    <w:rsid w:val="00260507"/>
    <w:rsid w:val="00260D7F"/>
    <w:rsid w:val="002648B5"/>
    <w:rsid w:val="002735FF"/>
    <w:rsid w:val="00284584"/>
    <w:rsid w:val="00294026"/>
    <w:rsid w:val="002B7E45"/>
    <w:rsid w:val="002E41DC"/>
    <w:rsid w:val="002E4804"/>
    <w:rsid w:val="002F7C17"/>
    <w:rsid w:val="00306945"/>
    <w:rsid w:val="00313B2F"/>
    <w:rsid w:val="00317CF9"/>
    <w:rsid w:val="00326F37"/>
    <w:rsid w:val="00327815"/>
    <w:rsid w:val="00342FBA"/>
    <w:rsid w:val="0034347F"/>
    <w:rsid w:val="00343E80"/>
    <w:rsid w:val="003637C2"/>
    <w:rsid w:val="003666E6"/>
    <w:rsid w:val="00370F50"/>
    <w:rsid w:val="00381FF4"/>
    <w:rsid w:val="00386C3A"/>
    <w:rsid w:val="0039147A"/>
    <w:rsid w:val="003A0E13"/>
    <w:rsid w:val="003B0D0A"/>
    <w:rsid w:val="003B221B"/>
    <w:rsid w:val="003B7035"/>
    <w:rsid w:val="003C2DEA"/>
    <w:rsid w:val="003C399B"/>
    <w:rsid w:val="003E3BAE"/>
    <w:rsid w:val="003F072D"/>
    <w:rsid w:val="003F2782"/>
    <w:rsid w:val="004313FC"/>
    <w:rsid w:val="004431A0"/>
    <w:rsid w:val="0044394F"/>
    <w:rsid w:val="00454522"/>
    <w:rsid w:val="00461FEE"/>
    <w:rsid w:val="0046443B"/>
    <w:rsid w:val="004777F1"/>
    <w:rsid w:val="0048050A"/>
    <w:rsid w:val="00493E82"/>
    <w:rsid w:val="0049687C"/>
    <w:rsid w:val="004A5BE0"/>
    <w:rsid w:val="004B177C"/>
    <w:rsid w:val="004C1644"/>
    <w:rsid w:val="004D7583"/>
    <w:rsid w:val="004E30A6"/>
    <w:rsid w:val="00511CBC"/>
    <w:rsid w:val="005167B8"/>
    <w:rsid w:val="0052112D"/>
    <w:rsid w:val="00530150"/>
    <w:rsid w:val="00531696"/>
    <w:rsid w:val="00535FBD"/>
    <w:rsid w:val="00540B8B"/>
    <w:rsid w:val="00545780"/>
    <w:rsid w:val="0055731D"/>
    <w:rsid w:val="00562914"/>
    <w:rsid w:val="0056422C"/>
    <w:rsid w:val="005E22A9"/>
    <w:rsid w:val="005F7CBE"/>
    <w:rsid w:val="00600866"/>
    <w:rsid w:val="00600DC2"/>
    <w:rsid w:val="00605279"/>
    <w:rsid w:val="006066D7"/>
    <w:rsid w:val="0062150C"/>
    <w:rsid w:val="00623ED6"/>
    <w:rsid w:val="006279CF"/>
    <w:rsid w:val="0065406A"/>
    <w:rsid w:val="00655B4C"/>
    <w:rsid w:val="00655EC6"/>
    <w:rsid w:val="006621CC"/>
    <w:rsid w:val="006637A0"/>
    <w:rsid w:val="00670908"/>
    <w:rsid w:val="00671D9D"/>
    <w:rsid w:val="00674455"/>
    <w:rsid w:val="0068782A"/>
    <w:rsid w:val="006A7AD9"/>
    <w:rsid w:val="006C53DD"/>
    <w:rsid w:val="006D27F0"/>
    <w:rsid w:val="006D34CC"/>
    <w:rsid w:val="006D50AF"/>
    <w:rsid w:val="006E61E3"/>
    <w:rsid w:val="006F2680"/>
    <w:rsid w:val="006F6460"/>
    <w:rsid w:val="00700BC6"/>
    <w:rsid w:val="0070428D"/>
    <w:rsid w:val="00704AA5"/>
    <w:rsid w:val="00705FEB"/>
    <w:rsid w:val="00710A0D"/>
    <w:rsid w:val="00721DB9"/>
    <w:rsid w:val="00722CF1"/>
    <w:rsid w:val="00723D23"/>
    <w:rsid w:val="0073651F"/>
    <w:rsid w:val="00742ABA"/>
    <w:rsid w:val="00746B25"/>
    <w:rsid w:val="0078069C"/>
    <w:rsid w:val="007C37F0"/>
    <w:rsid w:val="007D25BD"/>
    <w:rsid w:val="007D4E3D"/>
    <w:rsid w:val="007E6314"/>
    <w:rsid w:val="007F0C96"/>
    <w:rsid w:val="007F7A5D"/>
    <w:rsid w:val="008016CB"/>
    <w:rsid w:val="008106FD"/>
    <w:rsid w:val="008119D6"/>
    <w:rsid w:val="008252B9"/>
    <w:rsid w:val="00827275"/>
    <w:rsid w:val="0083049A"/>
    <w:rsid w:val="00835254"/>
    <w:rsid w:val="00840AAF"/>
    <w:rsid w:val="008627A1"/>
    <w:rsid w:val="00866B07"/>
    <w:rsid w:val="00891C85"/>
    <w:rsid w:val="00897AC6"/>
    <w:rsid w:val="008A681B"/>
    <w:rsid w:val="008B522F"/>
    <w:rsid w:val="008C1773"/>
    <w:rsid w:val="008C6DAB"/>
    <w:rsid w:val="008E780A"/>
    <w:rsid w:val="00907002"/>
    <w:rsid w:val="00924D4A"/>
    <w:rsid w:val="009308BF"/>
    <w:rsid w:val="00937B58"/>
    <w:rsid w:val="00943A3B"/>
    <w:rsid w:val="00950E6B"/>
    <w:rsid w:val="009610E6"/>
    <w:rsid w:val="00966219"/>
    <w:rsid w:val="00970CC9"/>
    <w:rsid w:val="00976B23"/>
    <w:rsid w:val="009A0505"/>
    <w:rsid w:val="009A5752"/>
    <w:rsid w:val="009C497E"/>
    <w:rsid w:val="009D34B3"/>
    <w:rsid w:val="009D683C"/>
    <w:rsid w:val="009E42D7"/>
    <w:rsid w:val="009F2953"/>
    <w:rsid w:val="00A12329"/>
    <w:rsid w:val="00A26677"/>
    <w:rsid w:val="00A31D0C"/>
    <w:rsid w:val="00A33304"/>
    <w:rsid w:val="00A42EC3"/>
    <w:rsid w:val="00A46E58"/>
    <w:rsid w:val="00A50178"/>
    <w:rsid w:val="00A56154"/>
    <w:rsid w:val="00A64CA0"/>
    <w:rsid w:val="00A664F8"/>
    <w:rsid w:val="00A80232"/>
    <w:rsid w:val="00A83C87"/>
    <w:rsid w:val="00A8695F"/>
    <w:rsid w:val="00A9103A"/>
    <w:rsid w:val="00AA4DF2"/>
    <w:rsid w:val="00AD2032"/>
    <w:rsid w:val="00AD3497"/>
    <w:rsid w:val="00AE15E1"/>
    <w:rsid w:val="00AE6A96"/>
    <w:rsid w:val="00AE6DF9"/>
    <w:rsid w:val="00AF2485"/>
    <w:rsid w:val="00AF722C"/>
    <w:rsid w:val="00B1235F"/>
    <w:rsid w:val="00B148D0"/>
    <w:rsid w:val="00B22582"/>
    <w:rsid w:val="00B340C7"/>
    <w:rsid w:val="00B545AA"/>
    <w:rsid w:val="00B5467D"/>
    <w:rsid w:val="00B5578D"/>
    <w:rsid w:val="00B57F2E"/>
    <w:rsid w:val="00B6210E"/>
    <w:rsid w:val="00B71745"/>
    <w:rsid w:val="00B71A05"/>
    <w:rsid w:val="00B72219"/>
    <w:rsid w:val="00B96FCC"/>
    <w:rsid w:val="00BA0123"/>
    <w:rsid w:val="00BA05E0"/>
    <w:rsid w:val="00BC0C82"/>
    <w:rsid w:val="00BE1ACD"/>
    <w:rsid w:val="00BE2579"/>
    <w:rsid w:val="00BE4F7E"/>
    <w:rsid w:val="00BF6BB9"/>
    <w:rsid w:val="00C13308"/>
    <w:rsid w:val="00C21793"/>
    <w:rsid w:val="00C3591C"/>
    <w:rsid w:val="00C44BB9"/>
    <w:rsid w:val="00C46F3D"/>
    <w:rsid w:val="00C65F2E"/>
    <w:rsid w:val="00C66342"/>
    <w:rsid w:val="00C71607"/>
    <w:rsid w:val="00C92F13"/>
    <w:rsid w:val="00CA04E9"/>
    <w:rsid w:val="00CA1CC3"/>
    <w:rsid w:val="00CA6BDA"/>
    <w:rsid w:val="00CB06E9"/>
    <w:rsid w:val="00CB0BA0"/>
    <w:rsid w:val="00CD0960"/>
    <w:rsid w:val="00CD138F"/>
    <w:rsid w:val="00CE551F"/>
    <w:rsid w:val="00CF0888"/>
    <w:rsid w:val="00CF236F"/>
    <w:rsid w:val="00D00223"/>
    <w:rsid w:val="00D101E5"/>
    <w:rsid w:val="00D1136E"/>
    <w:rsid w:val="00D26C89"/>
    <w:rsid w:val="00D42FB5"/>
    <w:rsid w:val="00D4474D"/>
    <w:rsid w:val="00D63781"/>
    <w:rsid w:val="00D711C1"/>
    <w:rsid w:val="00D81254"/>
    <w:rsid w:val="00D90A33"/>
    <w:rsid w:val="00DA30D9"/>
    <w:rsid w:val="00DC0EF8"/>
    <w:rsid w:val="00DD57E6"/>
    <w:rsid w:val="00DF6D53"/>
    <w:rsid w:val="00E00B2B"/>
    <w:rsid w:val="00E27109"/>
    <w:rsid w:val="00E40003"/>
    <w:rsid w:val="00E61474"/>
    <w:rsid w:val="00E73CF8"/>
    <w:rsid w:val="00E77935"/>
    <w:rsid w:val="00E84B44"/>
    <w:rsid w:val="00EB130E"/>
    <w:rsid w:val="00EB456D"/>
    <w:rsid w:val="00EB6E00"/>
    <w:rsid w:val="00EC2621"/>
    <w:rsid w:val="00EC6FCD"/>
    <w:rsid w:val="00EE4068"/>
    <w:rsid w:val="00F22AB1"/>
    <w:rsid w:val="00F40858"/>
    <w:rsid w:val="00F41FB6"/>
    <w:rsid w:val="00F42439"/>
    <w:rsid w:val="00F47083"/>
    <w:rsid w:val="00F47A5D"/>
    <w:rsid w:val="00F76FA3"/>
    <w:rsid w:val="00F923F3"/>
    <w:rsid w:val="00F94876"/>
    <w:rsid w:val="00F95499"/>
    <w:rsid w:val="00FD1550"/>
    <w:rsid w:val="00FE2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45F4440-37B5-4B01-85E2-DF0AFE2C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945"/>
    <w:pPr>
      <w:spacing w:after="0" w:line="240" w:lineRule="auto"/>
    </w:pPr>
    <w:rPr>
      <w:rFonts w:ascii="Times New Roman" w:eastAsia="Batang" w:hAnsi="Times New Roman" w:cs="Times New Roman"/>
      <w:sz w:val="24"/>
      <w:szCs w:val="24"/>
    </w:rPr>
  </w:style>
  <w:style w:type="paragraph" w:styleId="Heading1">
    <w:name w:val="heading 1"/>
    <w:basedOn w:val="Normal"/>
    <w:next w:val="Normal"/>
    <w:link w:val="Heading1Char"/>
    <w:qFormat/>
    <w:rsid w:val="00306945"/>
    <w:pPr>
      <w:keepNext/>
      <w:spacing w:line="480" w:lineRule="auto"/>
      <w:outlineLvl w:val="0"/>
    </w:pPr>
    <w:rPr>
      <w:b/>
      <w:bCs/>
    </w:rPr>
  </w:style>
  <w:style w:type="paragraph" w:styleId="Heading2">
    <w:name w:val="heading 2"/>
    <w:basedOn w:val="Normal"/>
    <w:next w:val="Normal"/>
    <w:link w:val="Heading2Char"/>
    <w:qFormat/>
    <w:rsid w:val="00306945"/>
    <w:pPr>
      <w:keepNext/>
      <w:spacing w:line="480" w:lineRule="auto"/>
      <w:outlineLvl w:val="1"/>
    </w:pPr>
    <w:rPr>
      <w:rFonts w:ascii="Arial" w:hAnsi="Arial" w:cs="Arial"/>
      <w:b/>
      <w:bCs/>
      <w:sz w:val="28"/>
      <w:lang w:eastAsia="ko-KR"/>
    </w:rPr>
  </w:style>
  <w:style w:type="paragraph" w:styleId="Heading3">
    <w:name w:val="heading 3"/>
    <w:basedOn w:val="Normal"/>
    <w:next w:val="Normal"/>
    <w:link w:val="Heading3Char"/>
    <w:qFormat/>
    <w:rsid w:val="00306945"/>
    <w:pPr>
      <w:keepNext/>
      <w:spacing w:line="480" w:lineRule="auto"/>
      <w:outlineLvl w:val="2"/>
    </w:pPr>
    <w:rPr>
      <w:sz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6945"/>
    <w:rPr>
      <w:rFonts w:ascii="Times New Roman" w:eastAsia="Batang" w:hAnsi="Times New Roman" w:cs="Times New Roman"/>
      <w:b/>
      <w:bCs/>
      <w:sz w:val="24"/>
      <w:szCs w:val="24"/>
    </w:rPr>
  </w:style>
  <w:style w:type="character" w:customStyle="1" w:styleId="Heading2Char">
    <w:name w:val="Heading 2 Char"/>
    <w:basedOn w:val="DefaultParagraphFont"/>
    <w:link w:val="Heading2"/>
    <w:rsid w:val="00306945"/>
    <w:rPr>
      <w:rFonts w:ascii="Arial" w:eastAsia="Batang" w:hAnsi="Arial" w:cs="Arial"/>
      <w:b/>
      <w:bCs/>
      <w:sz w:val="28"/>
      <w:szCs w:val="24"/>
      <w:lang w:eastAsia="ko-KR"/>
    </w:rPr>
  </w:style>
  <w:style w:type="character" w:customStyle="1" w:styleId="Heading3Char">
    <w:name w:val="Heading 3 Char"/>
    <w:basedOn w:val="DefaultParagraphFont"/>
    <w:link w:val="Heading3"/>
    <w:rsid w:val="00306945"/>
    <w:rPr>
      <w:rFonts w:ascii="Times New Roman" w:eastAsia="Batang" w:hAnsi="Times New Roman" w:cs="Times New Roman"/>
      <w:sz w:val="28"/>
      <w:szCs w:val="24"/>
      <w:lang w:eastAsia="ko-KR"/>
    </w:rPr>
  </w:style>
  <w:style w:type="paragraph" w:styleId="BodyText">
    <w:name w:val="Body Text"/>
    <w:basedOn w:val="Normal"/>
    <w:link w:val="BodyTextChar"/>
    <w:rsid w:val="00306945"/>
    <w:pPr>
      <w:jc w:val="center"/>
    </w:pPr>
    <w:rPr>
      <w:caps/>
      <w:sz w:val="28"/>
    </w:rPr>
  </w:style>
  <w:style w:type="character" w:customStyle="1" w:styleId="BodyTextChar">
    <w:name w:val="Body Text Char"/>
    <w:basedOn w:val="DefaultParagraphFont"/>
    <w:link w:val="BodyText"/>
    <w:rsid w:val="00306945"/>
    <w:rPr>
      <w:rFonts w:ascii="Times New Roman" w:eastAsia="Batang" w:hAnsi="Times New Roman" w:cs="Times New Roman"/>
      <w:caps/>
      <w:sz w:val="28"/>
      <w:szCs w:val="24"/>
    </w:rPr>
  </w:style>
  <w:style w:type="paragraph" w:styleId="BodyTextIndent">
    <w:name w:val="Body Text Indent"/>
    <w:basedOn w:val="Normal"/>
    <w:link w:val="BodyTextIndentChar"/>
    <w:rsid w:val="00306945"/>
    <w:pPr>
      <w:ind w:left="432" w:hanging="432"/>
    </w:pPr>
  </w:style>
  <w:style w:type="character" w:customStyle="1" w:styleId="BodyTextIndentChar">
    <w:name w:val="Body Text Indent Char"/>
    <w:basedOn w:val="DefaultParagraphFont"/>
    <w:link w:val="BodyTextIndent"/>
    <w:rsid w:val="00306945"/>
    <w:rPr>
      <w:rFonts w:ascii="Times New Roman" w:eastAsia="Batang" w:hAnsi="Times New Roman" w:cs="Times New Roman"/>
      <w:sz w:val="24"/>
      <w:szCs w:val="24"/>
    </w:rPr>
  </w:style>
  <w:style w:type="character" w:styleId="Hyperlink">
    <w:name w:val="Hyperlink"/>
    <w:uiPriority w:val="99"/>
    <w:rsid w:val="00306945"/>
    <w:rPr>
      <w:color w:val="0000FF"/>
      <w:u w:val="single"/>
    </w:rPr>
  </w:style>
  <w:style w:type="paragraph" w:styleId="BodyTextIndent2">
    <w:name w:val="Body Text Indent 2"/>
    <w:basedOn w:val="Normal"/>
    <w:link w:val="BodyTextIndent2Char"/>
    <w:rsid w:val="00306945"/>
    <w:pPr>
      <w:spacing w:after="120" w:line="480" w:lineRule="auto"/>
      <w:ind w:left="360"/>
    </w:pPr>
  </w:style>
  <w:style w:type="character" w:customStyle="1" w:styleId="BodyTextIndent2Char">
    <w:name w:val="Body Text Indent 2 Char"/>
    <w:basedOn w:val="DefaultParagraphFont"/>
    <w:link w:val="BodyTextIndent2"/>
    <w:rsid w:val="00306945"/>
    <w:rPr>
      <w:rFonts w:ascii="Times New Roman" w:eastAsia="Batang" w:hAnsi="Times New Roman" w:cs="Times New Roman"/>
      <w:sz w:val="24"/>
      <w:szCs w:val="24"/>
    </w:rPr>
  </w:style>
  <w:style w:type="paragraph" w:styleId="BodyTextIndent3">
    <w:name w:val="Body Text Indent 3"/>
    <w:basedOn w:val="Normal"/>
    <w:link w:val="BodyTextIndent3Char"/>
    <w:rsid w:val="00306945"/>
    <w:pPr>
      <w:spacing w:after="120"/>
      <w:ind w:left="360"/>
    </w:pPr>
    <w:rPr>
      <w:sz w:val="16"/>
      <w:szCs w:val="16"/>
    </w:rPr>
  </w:style>
  <w:style w:type="character" w:customStyle="1" w:styleId="BodyTextIndent3Char">
    <w:name w:val="Body Text Indent 3 Char"/>
    <w:basedOn w:val="DefaultParagraphFont"/>
    <w:link w:val="BodyTextIndent3"/>
    <w:rsid w:val="00306945"/>
    <w:rPr>
      <w:rFonts w:ascii="Times New Roman" w:eastAsia="Batang" w:hAnsi="Times New Roman" w:cs="Times New Roman"/>
      <w:sz w:val="16"/>
      <w:szCs w:val="16"/>
    </w:rPr>
  </w:style>
  <w:style w:type="paragraph" w:styleId="Footer">
    <w:name w:val="footer"/>
    <w:basedOn w:val="Normal"/>
    <w:link w:val="FooterChar"/>
    <w:uiPriority w:val="99"/>
    <w:rsid w:val="00306945"/>
    <w:pPr>
      <w:tabs>
        <w:tab w:val="center" w:pos="4320"/>
        <w:tab w:val="right" w:pos="8640"/>
      </w:tabs>
    </w:pPr>
    <w:rPr>
      <w:sz w:val="20"/>
      <w:szCs w:val="20"/>
    </w:rPr>
  </w:style>
  <w:style w:type="character" w:customStyle="1" w:styleId="FooterChar">
    <w:name w:val="Footer Char"/>
    <w:basedOn w:val="DefaultParagraphFont"/>
    <w:link w:val="Footer"/>
    <w:uiPriority w:val="99"/>
    <w:rsid w:val="00306945"/>
    <w:rPr>
      <w:rFonts w:ascii="Times New Roman" w:eastAsia="Batang" w:hAnsi="Times New Roman" w:cs="Times New Roman"/>
      <w:sz w:val="20"/>
      <w:szCs w:val="20"/>
    </w:rPr>
  </w:style>
  <w:style w:type="paragraph" w:customStyle="1" w:styleId="p1">
    <w:name w:val="p1"/>
    <w:basedOn w:val="Normal"/>
    <w:rsid w:val="00306945"/>
    <w:pPr>
      <w:widowControl w:val="0"/>
      <w:tabs>
        <w:tab w:val="left" w:pos="720"/>
      </w:tabs>
      <w:spacing w:line="420" w:lineRule="atLeast"/>
    </w:pPr>
    <w:rPr>
      <w:snapToGrid w:val="0"/>
      <w:szCs w:val="20"/>
    </w:rPr>
  </w:style>
  <w:style w:type="paragraph" w:customStyle="1" w:styleId="arttitle">
    <w:name w:val="arttitle"/>
    <w:basedOn w:val="Normal"/>
    <w:rsid w:val="00306945"/>
    <w:pPr>
      <w:spacing w:after="240" w:line="480" w:lineRule="atLeast"/>
    </w:pPr>
    <w:rPr>
      <w:rFonts w:ascii="Arial" w:hAnsi="Arial"/>
      <w:b/>
      <w:sz w:val="32"/>
      <w:szCs w:val="20"/>
      <w:lang w:val="en-GB"/>
    </w:rPr>
  </w:style>
  <w:style w:type="paragraph" w:styleId="FootnoteText">
    <w:name w:val="footnote text"/>
    <w:basedOn w:val="Normal"/>
    <w:link w:val="FootnoteTextChar"/>
    <w:semiHidden/>
    <w:rsid w:val="00306945"/>
    <w:pPr>
      <w:spacing w:line="480" w:lineRule="auto"/>
    </w:pPr>
    <w:rPr>
      <w:sz w:val="20"/>
      <w:szCs w:val="20"/>
      <w:lang w:val="en-GB"/>
    </w:rPr>
  </w:style>
  <w:style w:type="character" w:customStyle="1" w:styleId="FootnoteTextChar">
    <w:name w:val="Footnote Text Char"/>
    <w:basedOn w:val="DefaultParagraphFont"/>
    <w:link w:val="FootnoteText"/>
    <w:semiHidden/>
    <w:rsid w:val="00306945"/>
    <w:rPr>
      <w:rFonts w:ascii="Times New Roman" w:eastAsia="Batang" w:hAnsi="Times New Roman" w:cs="Times New Roman"/>
      <w:sz w:val="20"/>
      <w:szCs w:val="20"/>
      <w:lang w:val="en-GB"/>
    </w:rPr>
  </w:style>
  <w:style w:type="character" w:styleId="FootnoteReference">
    <w:name w:val="footnote reference"/>
    <w:semiHidden/>
    <w:rsid w:val="00306945"/>
    <w:rPr>
      <w:vertAlign w:val="superscript"/>
    </w:rPr>
  </w:style>
  <w:style w:type="paragraph" w:customStyle="1" w:styleId="BalloonText1">
    <w:name w:val="Balloon Text1"/>
    <w:basedOn w:val="Normal"/>
    <w:semiHidden/>
    <w:rsid w:val="00306945"/>
    <w:rPr>
      <w:rFonts w:ascii="Tahoma" w:hAnsi="Tahoma" w:cs="Tahoma"/>
      <w:sz w:val="16"/>
      <w:szCs w:val="16"/>
    </w:rPr>
  </w:style>
  <w:style w:type="paragraph" w:customStyle="1" w:styleId="bibcit">
    <w:name w:val="bibcit"/>
    <w:basedOn w:val="Normal"/>
    <w:rsid w:val="00306945"/>
    <w:pPr>
      <w:spacing w:after="120" w:line="480" w:lineRule="atLeast"/>
    </w:pPr>
    <w:rPr>
      <w:szCs w:val="20"/>
      <w:lang w:val="en-GB"/>
    </w:rPr>
  </w:style>
  <w:style w:type="character" w:styleId="PageNumber">
    <w:name w:val="page number"/>
    <w:basedOn w:val="DefaultParagraphFont"/>
    <w:rsid w:val="00306945"/>
  </w:style>
  <w:style w:type="character" w:styleId="CommentReference">
    <w:name w:val="annotation reference"/>
    <w:semiHidden/>
    <w:rsid w:val="00306945"/>
    <w:rPr>
      <w:sz w:val="18"/>
      <w:szCs w:val="18"/>
    </w:rPr>
  </w:style>
  <w:style w:type="paragraph" w:styleId="CommentText">
    <w:name w:val="annotation text"/>
    <w:basedOn w:val="Normal"/>
    <w:link w:val="CommentTextChar"/>
    <w:semiHidden/>
    <w:rsid w:val="00306945"/>
  </w:style>
  <w:style w:type="character" w:customStyle="1" w:styleId="CommentTextChar">
    <w:name w:val="Comment Text Char"/>
    <w:basedOn w:val="DefaultParagraphFont"/>
    <w:link w:val="CommentText"/>
    <w:semiHidden/>
    <w:rsid w:val="00306945"/>
    <w:rPr>
      <w:rFonts w:ascii="Times New Roman" w:eastAsia="Batang" w:hAnsi="Times New Roman" w:cs="Times New Roman"/>
      <w:sz w:val="24"/>
      <w:szCs w:val="24"/>
    </w:rPr>
  </w:style>
  <w:style w:type="paragraph" w:styleId="CommentSubject">
    <w:name w:val="annotation subject"/>
    <w:basedOn w:val="CommentText"/>
    <w:next w:val="CommentText"/>
    <w:link w:val="CommentSubjectChar"/>
    <w:semiHidden/>
    <w:rsid w:val="00306945"/>
    <w:rPr>
      <w:b/>
      <w:bCs/>
    </w:rPr>
  </w:style>
  <w:style w:type="character" w:customStyle="1" w:styleId="CommentSubjectChar">
    <w:name w:val="Comment Subject Char"/>
    <w:basedOn w:val="CommentTextChar"/>
    <w:link w:val="CommentSubject"/>
    <w:semiHidden/>
    <w:rsid w:val="00306945"/>
    <w:rPr>
      <w:rFonts w:ascii="Times New Roman" w:eastAsia="Batang" w:hAnsi="Times New Roman" w:cs="Times New Roman"/>
      <w:b/>
      <w:bCs/>
      <w:sz w:val="24"/>
      <w:szCs w:val="24"/>
    </w:rPr>
  </w:style>
  <w:style w:type="paragraph" w:styleId="BalloonText">
    <w:name w:val="Balloon Text"/>
    <w:basedOn w:val="Normal"/>
    <w:link w:val="BalloonTextChar"/>
    <w:semiHidden/>
    <w:rsid w:val="00306945"/>
    <w:rPr>
      <w:rFonts w:ascii="Arial" w:eastAsia="PMingLiU" w:hAnsi="Arial"/>
      <w:sz w:val="18"/>
      <w:szCs w:val="18"/>
    </w:rPr>
  </w:style>
  <w:style w:type="character" w:customStyle="1" w:styleId="BalloonTextChar">
    <w:name w:val="Balloon Text Char"/>
    <w:basedOn w:val="DefaultParagraphFont"/>
    <w:link w:val="BalloonText"/>
    <w:semiHidden/>
    <w:rsid w:val="00306945"/>
    <w:rPr>
      <w:rFonts w:ascii="Arial" w:eastAsia="PMingLiU" w:hAnsi="Arial" w:cs="Times New Roman"/>
      <w:sz w:val="18"/>
      <w:szCs w:val="18"/>
    </w:rPr>
  </w:style>
  <w:style w:type="paragraph" w:styleId="Header">
    <w:name w:val="header"/>
    <w:basedOn w:val="Normal"/>
    <w:link w:val="HeaderChar"/>
    <w:rsid w:val="00306945"/>
    <w:pPr>
      <w:tabs>
        <w:tab w:val="center" w:pos="4153"/>
        <w:tab w:val="right" w:pos="8306"/>
      </w:tabs>
      <w:snapToGrid w:val="0"/>
    </w:pPr>
    <w:rPr>
      <w:sz w:val="20"/>
      <w:szCs w:val="20"/>
    </w:rPr>
  </w:style>
  <w:style w:type="character" w:customStyle="1" w:styleId="HeaderChar">
    <w:name w:val="Header Char"/>
    <w:basedOn w:val="DefaultParagraphFont"/>
    <w:link w:val="Header"/>
    <w:rsid w:val="00306945"/>
    <w:rPr>
      <w:rFonts w:ascii="Times New Roman" w:eastAsia="Batang" w:hAnsi="Times New Roman" w:cs="Times New Roman"/>
      <w:sz w:val="20"/>
      <w:szCs w:val="20"/>
    </w:rPr>
  </w:style>
  <w:style w:type="character" w:styleId="LineNumber">
    <w:name w:val="line number"/>
    <w:basedOn w:val="DefaultParagraphFont"/>
    <w:rsid w:val="00306945"/>
  </w:style>
  <w:style w:type="paragraph" w:styleId="BodyText2">
    <w:name w:val="Body Text 2"/>
    <w:basedOn w:val="Normal"/>
    <w:link w:val="BodyText2Char"/>
    <w:rsid w:val="00306945"/>
    <w:pPr>
      <w:spacing w:after="120" w:line="480" w:lineRule="auto"/>
    </w:pPr>
  </w:style>
  <w:style w:type="character" w:customStyle="1" w:styleId="BodyText2Char">
    <w:name w:val="Body Text 2 Char"/>
    <w:basedOn w:val="DefaultParagraphFont"/>
    <w:link w:val="BodyText2"/>
    <w:rsid w:val="00306945"/>
    <w:rPr>
      <w:rFonts w:ascii="Times New Roman" w:eastAsia="Batang" w:hAnsi="Times New Roman" w:cs="Times New Roman"/>
      <w:sz w:val="24"/>
      <w:szCs w:val="24"/>
    </w:rPr>
  </w:style>
  <w:style w:type="paragraph" w:customStyle="1" w:styleId="AAbodytext">
    <w:name w:val="AA body text"/>
    <w:basedOn w:val="Normal"/>
    <w:rsid w:val="00306945"/>
    <w:pPr>
      <w:ind w:firstLineChars="100" w:firstLine="230"/>
      <w:jc w:val="both"/>
    </w:pPr>
    <w:rPr>
      <w:sz w:val="23"/>
      <w:szCs w:val="23"/>
      <w:lang w:val="en-GB"/>
    </w:rPr>
  </w:style>
  <w:style w:type="paragraph" w:styleId="BlockText">
    <w:name w:val="Block Text"/>
    <w:basedOn w:val="Normal"/>
    <w:rsid w:val="00306945"/>
    <w:pPr>
      <w:spacing w:before="120" w:line="360" w:lineRule="exact"/>
      <w:ind w:left="240" w:right="26"/>
      <w:jc w:val="both"/>
      <w:textAlignment w:val="bottom"/>
    </w:pPr>
    <w:rPr>
      <w:rFonts w:eastAsia="華康中楷體"/>
      <w:szCs w:val="20"/>
      <w:lang w:eastAsia="zh-TW"/>
    </w:rPr>
  </w:style>
  <w:style w:type="character" w:styleId="FollowedHyperlink">
    <w:name w:val="FollowedHyperlink"/>
    <w:rsid w:val="00306945"/>
    <w:rPr>
      <w:color w:val="800080"/>
      <w:u w:val="single"/>
    </w:rPr>
  </w:style>
  <w:style w:type="paragraph" w:styleId="NoSpacing">
    <w:name w:val="No Spacing"/>
    <w:uiPriority w:val="1"/>
    <w:qFormat/>
    <w:rsid w:val="00306945"/>
    <w:pPr>
      <w:spacing w:after="0" w:line="240" w:lineRule="auto"/>
    </w:pPr>
    <w:rPr>
      <w:rFonts w:ascii="Calibri" w:eastAsia="Calibri" w:hAnsi="Calibri" w:cs="Arial"/>
      <w:lang w:val="es-ES"/>
    </w:rPr>
  </w:style>
  <w:style w:type="table" w:styleId="TableGrid">
    <w:name w:val="Table Grid"/>
    <w:basedOn w:val="TableNormal"/>
    <w:uiPriority w:val="39"/>
    <w:rsid w:val="00306945"/>
    <w:pPr>
      <w:spacing w:after="0" w:line="240" w:lineRule="auto"/>
    </w:pPr>
    <w:rPr>
      <w:rFonts w:ascii="Calibri" w:eastAsia="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
    <w:name w:val="go"/>
    <w:rsid w:val="00306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 TargetMode="External"/><Relationship Id="rId18" Type="http://schemas.openxmlformats.org/officeDocument/2006/relationships/oleObject" Target="embeddings/oleObject1.bin"/><Relationship Id="rId26" Type="http://schemas.openxmlformats.org/officeDocument/2006/relationships/hyperlink" Target="https://doi.org/10.1016/j.envres.2020.109652" TargetMode="External"/><Relationship Id="rId39" Type="http://schemas.openxmlformats.org/officeDocument/2006/relationships/hyperlink" Target="https://doi.org/10.1016/j.scitotenv.2020.139086" TargetMode="External"/><Relationship Id="rId21" Type="http://schemas.openxmlformats.org/officeDocument/2006/relationships/image" Target="media/image3.jpeg"/><Relationship Id="rId34" Type="http://schemas.openxmlformats.org/officeDocument/2006/relationships/hyperlink" Target="https://doi.org/10.1016/S0140-6736(20)30183-5" TargetMode="External"/><Relationship Id="rId42" Type="http://schemas.openxmlformats.org/officeDocument/2006/relationships/hyperlink" Target="https://doi.org/10.3390/jcm9020330" TargetMode="External"/><Relationship Id="rId47" Type="http://schemas.openxmlformats.org/officeDocument/2006/relationships/hyperlink" Target="https://doi.org/10.1016/j.scitotenv.2020.138878" TargetMode="External"/><Relationship Id="rId50" Type="http://schemas.openxmlformats.org/officeDocument/2006/relationships/hyperlink" Target="https://doi.org/10.1016/j.scitotenv.2020.138762" TargetMode="External"/><Relationship Id="rId55" Type="http://schemas.openxmlformats.org/officeDocument/2006/relationships/hyperlink" Target="https://doi.org/10.1016/S0140-6736(20)30260-9" TargetMode="External"/><Relationship Id="rId63" Type="http://schemas.openxmlformats.org/officeDocument/2006/relationships/theme" Target="theme/theme1.xml"/><Relationship Id="rId7" Type="http://schemas.openxmlformats.org/officeDocument/2006/relationships/hyperlink" Target="mailto:taimoorhassan2055@gmail.com" TargetMode="External"/><Relationship Id="rId2" Type="http://schemas.openxmlformats.org/officeDocument/2006/relationships/styles" Target="styles.xml"/><Relationship Id="rId16" Type="http://schemas.openxmlformats.org/officeDocument/2006/relationships/hyperlink" Target="http://www.nhc.gov.cn/" TargetMode="External"/><Relationship Id="rId29" Type="http://schemas.openxmlformats.org/officeDocument/2006/relationships/hyperlink" Target="https://www.carbonbrief.org" TargetMode="External"/><Relationship Id="rId11" Type="http://schemas.openxmlformats.org/officeDocument/2006/relationships/hyperlink" Target="https://www.theguardian.com/world/china" TargetMode="External"/><Relationship Id="rId24" Type="http://schemas.openxmlformats.org/officeDocument/2006/relationships/hyperlink" Target="https://doi.org/10.1016/j.cbi.2020.108973" TargetMode="External"/><Relationship Id="rId32" Type="http://schemas.openxmlformats.org/officeDocument/2006/relationships/hyperlink" Target="https://doi.org/10.1016/S0140-6736(20)30607-3" TargetMode="External"/><Relationship Id="rId37" Type="http://schemas.openxmlformats.org/officeDocument/2006/relationships/hyperlink" Target="https://doi.org/10.1016/j.actatropica.2018.11.013" TargetMode="External"/><Relationship Id="rId40" Type="http://schemas.openxmlformats.org/officeDocument/2006/relationships/hyperlink" Target="https://doi.org/10.1016/j.scitotenv.2020.138820" TargetMode="External"/><Relationship Id="rId45" Type="http://schemas.openxmlformats.org/officeDocument/2006/relationships/hyperlink" Target="https://doi.org/10.1016/j.scitotenv.2020.138810" TargetMode="External"/><Relationship Id="rId53" Type="http://schemas.openxmlformats.org/officeDocument/2006/relationships/hyperlink" Target="https://doi.org/10.1213/xaa.0000000000001218" TargetMode="External"/><Relationship Id="rId58" Type="http://schemas.openxmlformats.org/officeDocument/2006/relationships/hyperlink" Target="https://doi.org/10.1016/j.scitotenv.2020.138704" TargetMode="Externa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image" Target="media/image2.emf"/><Relationship Id="rId14" Type="http://schemas.openxmlformats.org/officeDocument/2006/relationships/hyperlink" Target="http://datacenter.mee.gov.cn/" TargetMode="External"/><Relationship Id="rId22" Type="http://schemas.openxmlformats.org/officeDocument/2006/relationships/hyperlink" Target="https://www.cdc.gov/" TargetMode="External"/><Relationship Id="rId27" Type="http://schemas.openxmlformats.org/officeDocument/2006/relationships/hyperlink" Target="https://doi.org/10.1016/j.scitotenv.2020.138835" TargetMode="External"/><Relationship Id="rId30" Type="http://schemas.openxmlformats.org/officeDocument/2006/relationships/hyperlink" Target="https://doi.org/10.26355/eurrev" TargetMode="External"/><Relationship Id="rId35" Type="http://schemas.openxmlformats.org/officeDocument/2006/relationships/hyperlink" Target="https://doi.org/10.5194/acp-17-8681-2017" TargetMode="External"/><Relationship Id="rId43" Type="http://schemas.openxmlformats.org/officeDocument/2006/relationships/hyperlink" Target="https://doi.org/10.1016/j.scitotenv.2018.09.183" TargetMode="External"/><Relationship Id="rId48" Type="http://schemas.openxmlformats.org/officeDocument/2006/relationships/hyperlink" Target="https://doi.org/10.1186/s40169-020-00271-z" TargetMode="External"/><Relationship Id="rId56" Type="http://schemas.openxmlformats.org/officeDocument/2006/relationships/hyperlink" Target="https://doi.org/10.1017/CBO9781107415324.004" TargetMode="External"/><Relationship Id="rId8" Type="http://schemas.openxmlformats.org/officeDocument/2006/relationships/hyperlink" Target="mailto:csfuywd@hotmail.com" TargetMode="External"/><Relationship Id="rId51" Type="http://schemas.openxmlformats.org/officeDocument/2006/relationships/hyperlink" Target="https://doi.org/10.2807/1560-7917.ES2013.18.38.20590" TargetMode="External"/><Relationship Id="rId3" Type="http://schemas.openxmlformats.org/officeDocument/2006/relationships/settings" Target="settings.xml"/><Relationship Id="rId12" Type="http://schemas.openxmlformats.org/officeDocument/2006/relationships/hyperlink" Target="https://www.healtheffects.org/" TargetMode="External"/><Relationship Id="rId17" Type="http://schemas.openxmlformats.org/officeDocument/2006/relationships/image" Target="media/image1.emf"/><Relationship Id="rId25" Type="http://schemas.openxmlformats.org/officeDocument/2006/relationships/hyperlink" Target="https://doi.org/10.1007/s11869-020-00865-z" TargetMode="External"/><Relationship Id="rId33" Type="http://schemas.openxmlformats.org/officeDocument/2006/relationships/hyperlink" Target="https://doi.org/10.1007/978-981-15-0520-1_10" TargetMode="External"/><Relationship Id="rId38" Type="http://schemas.openxmlformats.org/officeDocument/2006/relationships/hyperlink" Target="https://doi.org/10.1016/S0140-6736(20)30746-7" TargetMode="External"/><Relationship Id="rId46" Type="http://schemas.openxmlformats.org/officeDocument/2006/relationships/hyperlink" Target="https://doi.org/10.1101/2020.04.11.20061713" TargetMode="External"/><Relationship Id="rId59" Type="http://schemas.openxmlformats.org/officeDocument/2006/relationships/header" Target="header1.xml"/><Relationship Id="rId20" Type="http://schemas.openxmlformats.org/officeDocument/2006/relationships/oleObject" Target="embeddings/oleObject2.bin"/><Relationship Id="rId41" Type="http://schemas.openxmlformats.org/officeDocument/2006/relationships/hyperlink" Target="https://www.nasa.gov/" TargetMode="External"/><Relationship Id="rId54" Type="http://schemas.openxmlformats.org/officeDocument/2006/relationships/hyperlink" Target="https://doi.org/10.1001/jama.2020.2648"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dc.gov/" TargetMode="External"/><Relationship Id="rId23" Type="http://schemas.openxmlformats.org/officeDocument/2006/relationships/hyperlink" Target="https://doi.org/10.1007/s11869-020-00876-w" TargetMode="External"/><Relationship Id="rId28" Type="http://schemas.openxmlformats.org/officeDocument/2006/relationships/hyperlink" Target="https://doi.org/10.1017/S2045796019000623" TargetMode="External"/><Relationship Id="rId36" Type="http://schemas.openxmlformats.org/officeDocument/2006/relationships/hyperlink" Target="https://doi.org/10.1016/S1473-3099(20)30144-4" TargetMode="External"/><Relationship Id="rId49" Type="http://schemas.openxmlformats.org/officeDocument/2006/relationships/hyperlink" Target="https://doi.org/10.1016/j.scitotenv.2020.138890" TargetMode="External"/><Relationship Id="rId57" Type="http://schemas.openxmlformats.org/officeDocument/2006/relationships/hyperlink" Target="https://doi.org/10.1038/s41598-019-47788-z" TargetMode="External"/><Relationship Id="rId10" Type="http://schemas.openxmlformats.org/officeDocument/2006/relationships/hyperlink" Target="https://en.wikipedia.org/wiki/Local_transmission" TargetMode="External"/><Relationship Id="rId31" Type="http://schemas.openxmlformats.org/officeDocument/2006/relationships/hyperlink" Target="https://www.esa.int/" TargetMode="External"/><Relationship Id="rId44" Type="http://schemas.openxmlformats.org/officeDocument/2006/relationships/hyperlink" Target="https://www.reuters.com/article/us-health-coronavirus-italy-pollution/air-pollution-clears-in-northern-italy-after-coronavirus-lockdown-satellite-shows%20idUSKBN2102X4" TargetMode="External"/><Relationship Id="rId52" Type="http://schemas.openxmlformats.org/officeDocument/2006/relationships/hyperlink" Target="https://doi.org/10.1016/j.resconrec.2020.104814"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United_State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22386</Words>
  <Characters>127603</Characters>
  <Application>Microsoft Office Word</Application>
  <DocSecurity>4</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xym1</dc:creator>
  <cp:keywords/>
  <dc:description/>
  <cp:lastModifiedBy>Simon De Montfalcon</cp:lastModifiedBy>
  <cp:revision>2</cp:revision>
  <dcterms:created xsi:type="dcterms:W3CDTF">2020-09-10T10:28:00Z</dcterms:created>
  <dcterms:modified xsi:type="dcterms:W3CDTF">2020-09-10T10:28:00Z</dcterms:modified>
</cp:coreProperties>
</file>