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8F0" w:rsidRPr="008F14C6" w:rsidRDefault="00B51F8C" w:rsidP="003F58F0">
      <w:pPr>
        <w:spacing w:line="480" w:lineRule="auto"/>
        <w:jc w:val="both"/>
        <w:rPr>
          <w:b/>
          <w:sz w:val="32"/>
          <w:szCs w:val="32"/>
        </w:rPr>
      </w:pPr>
      <w:r>
        <w:rPr>
          <w:b/>
          <w:sz w:val="32"/>
          <w:szCs w:val="32"/>
        </w:rPr>
        <w:t xml:space="preserve">Clinical impact of molecular point-of-care testing for </w:t>
      </w:r>
      <w:r w:rsidR="00A721EA">
        <w:rPr>
          <w:b/>
          <w:sz w:val="32"/>
          <w:szCs w:val="32"/>
        </w:rPr>
        <w:t xml:space="preserve">suspected </w:t>
      </w:r>
      <w:r w:rsidR="005436A4" w:rsidRPr="008F14C6">
        <w:rPr>
          <w:b/>
          <w:sz w:val="32"/>
          <w:szCs w:val="32"/>
        </w:rPr>
        <w:t>COVID</w:t>
      </w:r>
      <w:r w:rsidR="00642814" w:rsidRPr="008F14C6">
        <w:rPr>
          <w:b/>
          <w:sz w:val="32"/>
          <w:szCs w:val="32"/>
        </w:rPr>
        <w:t xml:space="preserve">-19 </w:t>
      </w:r>
      <w:r>
        <w:rPr>
          <w:b/>
          <w:sz w:val="32"/>
          <w:szCs w:val="32"/>
        </w:rPr>
        <w:t xml:space="preserve">in </w:t>
      </w:r>
      <w:r w:rsidRPr="00B51F8C">
        <w:rPr>
          <w:b/>
          <w:sz w:val="32"/>
          <w:szCs w:val="32"/>
        </w:rPr>
        <w:t>hospital: A prospective, interventional, non-randomised</w:t>
      </w:r>
      <w:r w:rsidR="008B5DD8">
        <w:rPr>
          <w:b/>
          <w:sz w:val="32"/>
          <w:szCs w:val="32"/>
        </w:rPr>
        <w:t>,</w:t>
      </w:r>
      <w:r w:rsidRPr="00B51F8C">
        <w:rPr>
          <w:b/>
          <w:sz w:val="32"/>
          <w:szCs w:val="32"/>
        </w:rPr>
        <w:t xml:space="preserve"> </w:t>
      </w:r>
      <w:r w:rsidR="008B5DD8">
        <w:rPr>
          <w:b/>
          <w:sz w:val="32"/>
          <w:szCs w:val="32"/>
        </w:rPr>
        <w:t xml:space="preserve">controlled </w:t>
      </w:r>
      <w:r w:rsidRPr="00B51F8C">
        <w:rPr>
          <w:b/>
          <w:sz w:val="32"/>
          <w:szCs w:val="32"/>
        </w:rPr>
        <w:t>study</w:t>
      </w:r>
      <w:r w:rsidR="004509B5">
        <w:rPr>
          <w:b/>
          <w:sz w:val="32"/>
          <w:szCs w:val="32"/>
        </w:rPr>
        <w:t xml:space="preserve"> (COV-19POC)</w:t>
      </w:r>
    </w:p>
    <w:p w:rsidR="00242082" w:rsidRPr="00E72C5D" w:rsidRDefault="004064DB" w:rsidP="00FA3899">
      <w:pPr>
        <w:spacing w:line="480" w:lineRule="auto"/>
        <w:jc w:val="both"/>
        <w:rPr>
          <w:sz w:val="24"/>
          <w:szCs w:val="24"/>
        </w:rPr>
      </w:pPr>
      <w:r w:rsidRPr="00E72C5D">
        <w:rPr>
          <w:sz w:val="24"/>
          <w:szCs w:val="24"/>
        </w:rPr>
        <w:t>Nathan J Brendish</w:t>
      </w:r>
      <w:r w:rsidR="00414D67" w:rsidRPr="00E72C5D">
        <w:rPr>
          <w:sz w:val="24"/>
          <w:szCs w:val="24"/>
          <w:vertAlign w:val="superscript"/>
        </w:rPr>
        <w:t>1,</w:t>
      </w:r>
      <w:r w:rsidRPr="00E72C5D">
        <w:rPr>
          <w:sz w:val="24"/>
          <w:szCs w:val="24"/>
          <w:vertAlign w:val="superscript"/>
        </w:rPr>
        <w:t>2</w:t>
      </w:r>
      <w:r w:rsidR="000A7E61" w:rsidRPr="00E72C5D">
        <w:rPr>
          <w:sz w:val="24"/>
          <w:szCs w:val="24"/>
        </w:rPr>
        <w:t>*</w:t>
      </w:r>
      <w:r w:rsidR="0043437F" w:rsidRPr="00E72C5D">
        <w:rPr>
          <w:sz w:val="24"/>
          <w:szCs w:val="24"/>
        </w:rPr>
        <w:t xml:space="preserve">, </w:t>
      </w:r>
      <w:r w:rsidR="003F58F0" w:rsidRPr="00E72C5D">
        <w:rPr>
          <w:sz w:val="24"/>
          <w:szCs w:val="24"/>
        </w:rPr>
        <w:t>Stephen Poole</w:t>
      </w:r>
      <w:r w:rsidR="003F58F0" w:rsidRPr="00E72C5D">
        <w:rPr>
          <w:sz w:val="24"/>
          <w:szCs w:val="24"/>
          <w:vertAlign w:val="superscript"/>
        </w:rPr>
        <w:t>1,2</w:t>
      </w:r>
      <w:r w:rsidR="0080769F" w:rsidRPr="00E72C5D">
        <w:rPr>
          <w:sz w:val="24"/>
          <w:szCs w:val="24"/>
          <w:vertAlign w:val="superscript"/>
        </w:rPr>
        <w:t>,3</w:t>
      </w:r>
      <w:r w:rsidR="000A7E61" w:rsidRPr="00E72C5D">
        <w:rPr>
          <w:sz w:val="24"/>
          <w:szCs w:val="24"/>
        </w:rPr>
        <w:t>*</w:t>
      </w:r>
      <w:r w:rsidR="0043437F" w:rsidRPr="00E72C5D">
        <w:rPr>
          <w:sz w:val="24"/>
          <w:szCs w:val="24"/>
        </w:rPr>
        <w:t xml:space="preserve">, Vasanth </w:t>
      </w:r>
      <w:r w:rsidR="00A65941" w:rsidRPr="00E72C5D">
        <w:rPr>
          <w:sz w:val="24"/>
          <w:szCs w:val="24"/>
        </w:rPr>
        <w:t xml:space="preserve">V </w:t>
      </w:r>
      <w:r w:rsidR="0043437F" w:rsidRPr="00E72C5D">
        <w:rPr>
          <w:sz w:val="24"/>
          <w:szCs w:val="24"/>
        </w:rPr>
        <w:t>Naidu</w:t>
      </w:r>
      <w:r w:rsidR="0043437F" w:rsidRPr="00E72C5D">
        <w:rPr>
          <w:sz w:val="24"/>
          <w:szCs w:val="24"/>
          <w:vertAlign w:val="superscript"/>
        </w:rPr>
        <w:t>2</w:t>
      </w:r>
      <w:r w:rsidR="0043437F" w:rsidRPr="00E72C5D">
        <w:rPr>
          <w:sz w:val="24"/>
          <w:szCs w:val="24"/>
        </w:rPr>
        <w:t xml:space="preserve">, Christopher </w:t>
      </w:r>
      <w:r w:rsidR="00D93E05" w:rsidRPr="00E72C5D">
        <w:rPr>
          <w:sz w:val="24"/>
          <w:szCs w:val="24"/>
        </w:rPr>
        <w:t xml:space="preserve">T </w:t>
      </w:r>
      <w:r w:rsidR="0043437F" w:rsidRPr="00E72C5D">
        <w:rPr>
          <w:sz w:val="24"/>
          <w:szCs w:val="24"/>
        </w:rPr>
        <w:t>Mansbridge</w:t>
      </w:r>
      <w:r w:rsidR="0043437F" w:rsidRPr="00E72C5D">
        <w:rPr>
          <w:sz w:val="24"/>
          <w:szCs w:val="24"/>
          <w:vertAlign w:val="superscript"/>
        </w:rPr>
        <w:t>2</w:t>
      </w:r>
      <w:r w:rsidR="0043437F" w:rsidRPr="00E72C5D">
        <w:rPr>
          <w:sz w:val="24"/>
          <w:szCs w:val="24"/>
        </w:rPr>
        <w:t xml:space="preserve">, Nicholas </w:t>
      </w:r>
      <w:r w:rsidR="000555AB" w:rsidRPr="00E72C5D">
        <w:rPr>
          <w:sz w:val="24"/>
          <w:szCs w:val="24"/>
        </w:rPr>
        <w:t xml:space="preserve">J </w:t>
      </w:r>
      <w:r w:rsidR="0043437F" w:rsidRPr="00E72C5D">
        <w:rPr>
          <w:sz w:val="24"/>
          <w:szCs w:val="24"/>
        </w:rPr>
        <w:t>Norton</w:t>
      </w:r>
      <w:r w:rsidR="0043437F" w:rsidRPr="00E72C5D">
        <w:rPr>
          <w:sz w:val="24"/>
          <w:szCs w:val="24"/>
          <w:vertAlign w:val="superscript"/>
        </w:rPr>
        <w:t>2</w:t>
      </w:r>
      <w:r w:rsidR="0043437F" w:rsidRPr="00E72C5D">
        <w:rPr>
          <w:sz w:val="24"/>
          <w:szCs w:val="24"/>
        </w:rPr>
        <w:t xml:space="preserve">, </w:t>
      </w:r>
      <w:r w:rsidR="00E449EE" w:rsidRPr="00E72C5D">
        <w:rPr>
          <w:sz w:val="24"/>
          <w:szCs w:val="24"/>
        </w:rPr>
        <w:t>Helen Wheeler</w:t>
      </w:r>
      <w:r w:rsidR="00E449EE" w:rsidRPr="00E72C5D">
        <w:rPr>
          <w:sz w:val="24"/>
          <w:szCs w:val="24"/>
          <w:vertAlign w:val="superscript"/>
        </w:rPr>
        <w:t>3</w:t>
      </w:r>
      <w:r w:rsidR="00E449EE" w:rsidRPr="00E72C5D">
        <w:rPr>
          <w:sz w:val="24"/>
          <w:szCs w:val="24"/>
        </w:rPr>
        <w:t xml:space="preserve">, </w:t>
      </w:r>
      <w:r w:rsidR="0043437F" w:rsidRPr="00E72C5D">
        <w:rPr>
          <w:sz w:val="24"/>
          <w:szCs w:val="24"/>
        </w:rPr>
        <w:t>Laura Pre</w:t>
      </w:r>
      <w:r w:rsidR="00597854" w:rsidRPr="00E72C5D">
        <w:rPr>
          <w:sz w:val="24"/>
          <w:szCs w:val="24"/>
        </w:rPr>
        <w:t>s</w:t>
      </w:r>
      <w:r w:rsidR="0043437F" w:rsidRPr="00E72C5D">
        <w:rPr>
          <w:sz w:val="24"/>
          <w:szCs w:val="24"/>
        </w:rPr>
        <w:t>land</w:t>
      </w:r>
      <w:r w:rsidR="0043437F" w:rsidRPr="00E72C5D">
        <w:rPr>
          <w:sz w:val="24"/>
          <w:szCs w:val="24"/>
          <w:vertAlign w:val="superscript"/>
        </w:rPr>
        <w:t>3</w:t>
      </w:r>
      <w:r w:rsidR="008F2254" w:rsidRPr="00E72C5D">
        <w:rPr>
          <w:sz w:val="24"/>
          <w:szCs w:val="24"/>
        </w:rPr>
        <w:t>, Stephen Kidd</w:t>
      </w:r>
      <w:r w:rsidR="0016177E" w:rsidRPr="00E72C5D">
        <w:rPr>
          <w:sz w:val="24"/>
          <w:szCs w:val="24"/>
          <w:vertAlign w:val="superscript"/>
        </w:rPr>
        <w:t>6</w:t>
      </w:r>
      <w:r w:rsidR="008F2254" w:rsidRPr="00E72C5D">
        <w:rPr>
          <w:sz w:val="24"/>
          <w:szCs w:val="24"/>
        </w:rPr>
        <w:t xml:space="preserve">, </w:t>
      </w:r>
      <w:r w:rsidR="000555AB" w:rsidRPr="00E72C5D">
        <w:rPr>
          <w:sz w:val="24"/>
          <w:szCs w:val="24"/>
        </w:rPr>
        <w:t>Nicholas</w:t>
      </w:r>
      <w:r w:rsidR="001C73C7" w:rsidRPr="00E72C5D">
        <w:rPr>
          <w:sz w:val="24"/>
          <w:szCs w:val="24"/>
        </w:rPr>
        <w:t xml:space="preserve"> </w:t>
      </w:r>
      <w:r w:rsidR="000555AB" w:rsidRPr="00E72C5D">
        <w:rPr>
          <w:sz w:val="24"/>
          <w:szCs w:val="24"/>
        </w:rPr>
        <w:t xml:space="preserve">J </w:t>
      </w:r>
      <w:r w:rsidR="001C73C7" w:rsidRPr="00E72C5D">
        <w:rPr>
          <w:sz w:val="24"/>
          <w:szCs w:val="24"/>
        </w:rPr>
        <w:t>Cortes</w:t>
      </w:r>
      <w:r w:rsidR="001C73C7" w:rsidRPr="00E72C5D">
        <w:rPr>
          <w:sz w:val="24"/>
          <w:szCs w:val="24"/>
          <w:vertAlign w:val="superscript"/>
        </w:rPr>
        <w:t>6</w:t>
      </w:r>
      <w:r w:rsidR="001C73C7" w:rsidRPr="00E72C5D">
        <w:rPr>
          <w:sz w:val="24"/>
          <w:szCs w:val="24"/>
        </w:rPr>
        <w:t xml:space="preserve">, </w:t>
      </w:r>
      <w:r w:rsidR="008F2254" w:rsidRPr="00E72C5D">
        <w:rPr>
          <w:sz w:val="24"/>
          <w:szCs w:val="24"/>
        </w:rPr>
        <w:t xml:space="preserve">Florina </w:t>
      </w:r>
      <w:r w:rsidR="006275DD" w:rsidRPr="00E72C5D">
        <w:rPr>
          <w:sz w:val="24"/>
          <w:szCs w:val="24"/>
        </w:rPr>
        <w:t>Borca</w:t>
      </w:r>
      <w:r w:rsidR="0016177E" w:rsidRPr="00E72C5D">
        <w:rPr>
          <w:sz w:val="24"/>
          <w:szCs w:val="24"/>
          <w:vertAlign w:val="superscript"/>
        </w:rPr>
        <w:t>3</w:t>
      </w:r>
      <w:r w:rsidR="006275DD" w:rsidRPr="00E72C5D">
        <w:rPr>
          <w:sz w:val="24"/>
          <w:szCs w:val="24"/>
        </w:rPr>
        <w:t>, Hang Phan</w:t>
      </w:r>
      <w:r w:rsidR="0016177E" w:rsidRPr="00E72C5D">
        <w:rPr>
          <w:sz w:val="24"/>
          <w:szCs w:val="24"/>
          <w:vertAlign w:val="superscript"/>
        </w:rPr>
        <w:t>3</w:t>
      </w:r>
      <w:r w:rsidR="00CA2296" w:rsidRPr="00E72C5D">
        <w:rPr>
          <w:sz w:val="24"/>
          <w:szCs w:val="24"/>
        </w:rPr>
        <w:t>, Gavin Babba</w:t>
      </w:r>
      <w:r w:rsidR="006275DD" w:rsidRPr="00E72C5D">
        <w:rPr>
          <w:sz w:val="24"/>
          <w:szCs w:val="24"/>
        </w:rPr>
        <w:t>ge</w:t>
      </w:r>
      <w:r w:rsidR="0016177E" w:rsidRPr="00E72C5D">
        <w:rPr>
          <w:sz w:val="24"/>
          <w:szCs w:val="24"/>
          <w:vertAlign w:val="superscript"/>
        </w:rPr>
        <w:t>7</w:t>
      </w:r>
      <w:r w:rsidR="006275DD" w:rsidRPr="00E72C5D">
        <w:rPr>
          <w:sz w:val="24"/>
          <w:szCs w:val="24"/>
        </w:rPr>
        <w:t>, Benoit</w:t>
      </w:r>
      <w:r w:rsidR="006275DD" w:rsidRPr="00E72C5D">
        <w:t xml:space="preserve"> </w:t>
      </w:r>
      <w:r w:rsidR="006275DD" w:rsidRPr="00E72C5D">
        <w:rPr>
          <w:sz w:val="24"/>
          <w:szCs w:val="24"/>
        </w:rPr>
        <w:t>Visseaux</w:t>
      </w:r>
      <w:r w:rsidR="0016177E" w:rsidRPr="00E72C5D">
        <w:rPr>
          <w:sz w:val="24"/>
          <w:szCs w:val="24"/>
          <w:vertAlign w:val="superscript"/>
        </w:rPr>
        <w:t>8</w:t>
      </w:r>
      <w:r w:rsidR="000A7E61" w:rsidRPr="00E72C5D">
        <w:rPr>
          <w:sz w:val="24"/>
          <w:szCs w:val="24"/>
        </w:rPr>
        <w:t xml:space="preserve">, </w:t>
      </w:r>
      <w:r w:rsidR="00231723" w:rsidRPr="00E72C5D">
        <w:rPr>
          <w:sz w:val="24"/>
          <w:szCs w:val="24"/>
        </w:rPr>
        <w:t>Sean Ewings</w:t>
      </w:r>
      <w:r w:rsidR="00FA3899" w:rsidRPr="00E72C5D">
        <w:rPr>
          <w:sz w:val="24"/>
          <w:szCs w:val="24"/>
          <w:vertAlign w:val="superscript"/>
        </w:rPr>
        <w:t>5</w:t>
      </w:r>
      <w:r w:rsidR="00231723" w:rsidRPr="00E72C5D">
        <w:rPr>
          <w:sz w:val="24"/>
          <w:szCs w:val="24"/>
        </w:rPr>
        <w:t xml:space="preserve"> </w:t>
      </w:r>
      <w:r w:rsidR="000A7E61" w:rsidRPr="00E72C5D">
        <w:rPr>
          <w:sz w:val="24"/>
          <w:szCs w:val="24"/>
        </w:rPr>
        <w:t>and Tristan W Clark</w:t>
      </w:r>
      <w:r w:rsidR="000A7E61" w:rsidRPr="00E72C5D">
        <w:rPr>
          <w:sz w:val="24"/>
          <w:szCs w:val="24"/>
          <w:vertAlign w:val="superscript"/>
        </w:rPr>
        <w:t>1,2,3,4</w:t>
      </w:r>
      <w:r w:rsidR="000A7E61" w:rsidRPr="00E72C5D">
        <w:rPr>
          <w:sz w:val="24"/>
          <w:szCs w:val="24"/>
        </w:rPr>
        <w:t>**</w:t>
      </w:r>
    </w:p>
    <w:p w:rsidR="0016177E" w:rsidRPr="00E72C5D" w:rsidRDefault="00A44702" w:rsidP="00FA3899">
      <w:pPr>
        <w:spacing w:line="480" w:lineRule="auto"/>
        <w:jc w:val="both"/>
        <w:rPr>
          <w:sz w:val="24"/>
          <w:szCs w:val="24"/>
        </w:rPr>
      </w:pPr>
      <w:r w:rsidRPr="00E72C5D">
        <w:rPr>
          <w:sz w:val="24"/>
          <w:szCs w:val="24"/>
        </w:rPr>
        <w:t xml:space="preserve">*These </w:t>
      </w:r>
      <w:r w:rsidR="000A7E61" w:rsidRPr="00E72C5D">
        <w:rPr>
          <w:sz w:val="24"/>
          <w:szCs w:val="24"/>
        </w:rPr>
        <w:t xml:space="preserve">authors contributed equally to the manuscript </w:t>
      </w:r>
    </w:p>
    <w:p w:rsidR="00BA77D9" w:rsidRPr="00FA713A" w:rsidRDefault="0080769F" w:rsidP="00242082">
      <w:pPr>
        <w:spacing w:line="480" w:lineRule="auto"/>
        <w:rPr>
          <w:sz w:val="24"/>
          <w:szCs w:val="24"/>
        </w:rPr>
      </w:pPr>
      <w:r w:rsidRPr="00FA713A">
        <w:rPr>
          <w:sz w:val="24"/>
          <w:szCs w:val="24"/>
        </w:rPr>
        <w:t>1</w:t>
      </w:r>
      <w:r w:rsidR="00C95138" w:rsidRPr="00FA713A">
        <w:rPr>
          <w:sz w:val="24"/>
          <w:szCs w:val="24"/>
        </w:rPr>
        <w:t xml:space="preserve">. </w:t>
      </w:r>
      <w:r w:rsidRPr="00FA713A">
        <w:rPr>
          <w:sz w:val="24"/>
          <w:szCs w:val="24"/>
        </w:rPr>
        <w:t xml:space="preserve">School of </w:t>
      </w:r>
      <w:r w:rsidR="00C95138" w:rsidRPr="00FA713A">
        <w:rPr>
          <w:sz w:val="24"/>
          <w:szCs w:val="24"/>
        </w:rPr>
        <w:t>Clinical and Experimental Sciences, Faculty of Medicine, University of Southampton, Southampton, UK</w:t>
      </w:r>
    </w:p>
    <w:p w:rsidR="00BA77D9" w:rsidRPr="00FA713A" w:rsidRDefault="0080769F" w:rsidP="00242082">
      <w:pPr>
        <w:spacing w:line="480" w:lineRule="auto"/>
        <w:rPr>
          <w:sz w:val="24"/>
          <w:szCs w:val="24"/>
        </w:rPr>
      </w:pPr>
      <w:r w:rsidRPr="00FA713A">
        <w:rPr>
          <w:sz w:val="24"/>
          <w:szCs w:val="24"/>
        </w:rPr>
        <w:t>2</w:t>
      </w:r>
      <w:r w:rsidR="00C95138" w:rsidRPr="00FA713A">
        <w:rPr>
          <w:sz w:val="24"/>
          <w:szCs w:val="24"/>
        </w:rPr>
        <w:t xml:space="preserve">. Department of Infection, </w:t>
      </w:r>
      <w:r w:rsidR="00BA77D9" w:rsidRPr="00FA713A">
        <w:rPr>
          <w:sz w:val="24"/>
          <w:szCs w:val="24"/>
        </w:rPr>
        <w:t xml:space="preserve">University Hospital Southampton NHS </w:t>
      </w:r>
      <w:r w:rsidR="00D074F0" w:rsidRPr="00FA713A">
        <w:rPr>
          <w:sz w:val="24"/>
          <w:szCs w:val="24"/>
        </w:rPr>
        <w:t xml:space="preserve">Foundation </w:t>
      </w:r>
      <w:r w:rsidR="00BA77D9" w:rsidRPr="00FA713A">
        <w:rPr>
          <w:sz w:val="24"/>
          <w:szCs w:val="24"/>
        </w:rPr>
        <w:t>Trust, Southampton, UK</w:t>
      </w:r>
    </w:p>
    <w:p w:rsidR="00BA77D9" w:rsidRPr="00FA713A" w:rsidRDefault="0080769F" w:rsidP="00242082">
      <w:pPr>
        <w:spacing w:line="480" w:lineRule="auto"/>
        <w:rPr>
          <w:sz w:val="24"/>
          <w:szCs w:val="24"/>
        </w:rPr>
      </w:pPr>
      <w:r w:rsidRPr="00FA713A">
        <w:rPr>
          <w:sz w:val="24"/>
          <w:szCs w:val="24"/>
        </w:rPr>
        <w:t>3</w:t>
      </w:r>
      <w:r w:rsidR="00CA1850" w:rsidRPr="00FA713A">
        <w:rPr>
          <w:sz w:val="24"/>
          <w:szCs w:val="24"/>
        </w:rPr>
        <w:t xml:space="preserve">. NIHR Southampton </w:t>
      </w:r>
      <w:r w:rsidR="00C95138" w:rsidRPr="00FA713A">
        <w:rPr>
          <w:sz w:val="24"/>
          <w:szCs w:val="24"/>
        </w:rPr>
        <w:t>Biomedical</w:t>
      </w:r>
      <w:r w:rsidR="002813F2" w:rsidRPr="00FA713A">
        <w:rPr>
          <w:sz w:val="24"/>
          <w:szCs w:val="24"/>
        </w:rPr>
        <w:t xml:space="preserve"> </w:t>
      </w:r>
      <w:r w:rsidR="00CA1850" w:rsidRPr="00FA713A">
        <w:rPr>
          <w:sz w:val="24"/>
          <w:szCs w:val="24"/>
        </w:rPr>
        <w:t xml:space="preserve">Research </w:t>
      </w:r>
      <w:r w:rsidR="002813F2" w:rsidRPr="00FA713A">
        <w:rPr>
          <w:sz w:val="24"/>
          <w:szCs w:val="24"/>
        </w:rPr>
        <w:t>Centre</w:t>
      </w:r>
      <w:r w:rsidR="00C95138" w:rsidRPr="00FA713A">
        <w:rPr>
          <w:sz w:val="24"/>
          <w:szCs w:val="24"/>
        </w:rPr>
        <w:t>, University Hospital Southampton NHS Foundation Trust, Southampton, UK</w:t>
      </w:r>
    </w:p>
    <w:p w:rsidR="006A7C6B" w:rsidRPr="00FA713A" w:rsidRDefault="00FA3899" w:rsidP="00242082">
      <w:pPr>
        <w:spacing w:line="480" w:lineRule="auto"/>
        <w:rPr>
          <w:sz w:val="24"/>
          <w:szCs w:val="24"/>
        </w:rPr>
      </w:pPr>
      <w:r w:rsidRPr="00FA713A">
        <w:rPr>
          <w:sz w:val="24"/>
          <w:szCs w:val="24"/>
        </w:rPr>
        <w:t>4</w:t>
      </w:r>
      <w:r w:rsidR="006A7C6B" w:rsidRPr="00FA713A">
        <w:rPr>
          <w:sz w:val="24"/>
          <w:szCs w:val="24"/>
        </w:rPr>
        <w:t xml:space="preserve">. NIHR </w:t>
      </w:r>
      <w:r w:rsidR="002813F2" w:rsidRPr="00FA713A">
        <w:rPr>
          <w:sz w:val="24"/>
          <w:szCs w:val="24"/>
        </w:rPr>
        <w:t xml:space="preserve">Post Doctoral </w:t>
      </w:r>
      <w:r w:rsidR="006A7C6B" w:rsidRPr="00FA713A">
        <w:rPr>
          <w:sz w:val="24"/>
          <w:szCs w:val="24"/>
        </w:rPr>
        <w:t>Fellowship Programme, UK</w:t>
      </w:r>
    </w:p>
    <w:p w:rsidR="00FA3899" w:rsidRDefault="00FA3899" w:rsidP="008F2254">
      <w:pPr>
        <w:spacing w:line="480" w:lineRule="auto"/>
        <w:rPr>
          <w:sz w:val="24"/>
          <w:szCs w:val="24"/>
        </w:rPr>
      </w:pPr>
      <w:r w:rsidRPr="00FA713A">
        <w:rPr>
          <w:sz w:val="24"/>
          <w:szCs w:val="24"/>
        </w:rPr>
        <w:t>5. Southampton Clinical Trials Unit, University of Southampton, UK</w:t>
      </w:r>
    </w:p>
    <w:p w:rsidR="0016177E" w:rsidRDefault="00CA2296" w:rsidP="008F2254">
      <w:pPr>
        <w:spacing w:line="480" w:lineRule="auto"/>
        <w:rPr>
          <w:sz w:val="24"/>
          <w:szCs w:val="24"/>
        </w:rPr>
      </w:pPr>
      <w:r>
        <w:rPr>
          <w:sz w:val="24"/>
          <w:szCs w:val="24"/>
        </w:rPr>
        <w:t>6. Department of M</w:t>
      </w:r>
      <w:r w:rsidR="0016177E">
        <w:rPr>
          <w:sz w:val="24"/>
          <w:szCs w:val="24"/>
        </w:rPr>
        <w:t xml:space="preserve">icrobiology, Hampshire Hospital NHS Foundation Trust, </w:t>
      </w:r>
      <w:r w:rsidR="00C13086" w:rsidRPr="00C13086">
        <w:rPr>
          <w:sz w:val="24"/>
          <w:szCs w:val="24"/>
        </w:rPr>
        <w:t xml:space="preserve">Basingstoke and North Hants Hospital, </w:t>
      </w:r>
      <w:r w:rsidR="0016177E">
        <w:rPr>
          <w:sz w:val="24"/>
          <w:szCs w:val="24"/>
        </w:rPr>
        <w:t>Basingstoke, UK</w:t>
      </w:r>
    </w:p>
    <w:p w:rsidR="0016177E" w:rsidRDefault="0016177E" w:rsidP="008F2254">
      <w:pPr>
        <w:spacing w:line="480" w:lineRule="auto"/>
        <w:rPr>
          <w:sz w:val="24"/>
          <w:szCs w:val="24"/>
        </w:rPr>
      </w:pPr>
      <w:r>
        <w:rPr>
          <w:sz w:val="24"/>
          <w:szCs w:val="24"/>
        </w:rPr>
        <w:t xml:space="preserve">7. </w:t>
      </w:r>
      <w:r w:rsidRPr="0016177E">
        <w:rPr>
          <w:sz w:val="24"/>
          <w:szCs w:val="24"/>
        </w:rPr>
        <w:t>NIHR Southampton Clinical Research Facility,</w:t>
      </w:r>
      <w:r w:rsidRPr="0016177E">
        <w:t xml:space="preserve"> </w:t>
      </w:r>
      <w:r w:rsidRPr="0016177E">
        <w:rPr>
          <w:sz w:val="24"/>
          <w:szCs w:val="24"/>
        </w:rPr>
        <w:t>University Hospital Southampton NHS Foundation Trust, Southampton, UK</w:t>
      </w:r>
    </w:p>
    <w:p w:rsidR="0016177E" w:rsidRDefault="0016177E" w:rsidP="008F2254">
      <w:pPr>
        <w:spacing w:line="480" w:lineRule="auto"/>
        <w:rPr>
          <w:sz w:val="24"/>
          <w:szCs w:val="24"/>
        </w:rPr>
      </w:pPr>
      <w:r w:rsidRPr="004509B5">
        <w:rPr>
          <w:sz w:val="24"/>
          <w:szCs w:val="24"/>
        </w:rPr>
        <w:lastRenderedPageBreak/>
        <w:t xml:space="preserve">8. </w:t>
      </w:r>
      <w:r w:rsidR="004509B5" w:rsidRPr="004509B5">
        <w:rPr>
          <w:sz w:val="24"/>
          <w:szCs w:val="24"/>
        </w:rPr>
        <w:t>Universit</w:t>
      </w:r>
      <w:r w:rsidR="00BB40FC">
        <w:rPr>
          <w:rFonts w:cstheme="minorHAnsi"/>
          <w:sz w:val="24"/>
          <w:szCs w:val="24"/>
        </w:rPr>
        <w:t>è</w:t>
      </w:r>
      <w:r w:rsidR="004509B5" w:rsidRPr="004509B5">
        <w:rPr>
          <w:sz w:val="24"/>
          <w:szCs w:val="24"/>
        </w:rPr>
        <w:t xml:space="preserve"> de Paris, Assistance Publique – Hôpitaux de Paris, </w:t>
      </w:r>
      <w:r w:rsidRPr="004509B5">
        <w:rPr>
          <w:sz w:val="24"/>
          <w:szCs w:val="24"/>
        </w:rPr>
        <w:t>Laboratoire de Virologie, Hôpital B</w:t>
      </w:r>
      <w:r w:rsidR="004509B5" w:rsidRPr="004509B5">
        <w:rPr>
          <w:sz w:val="24"/>
          <w:szCs w:val="24"/>
        </w:rPr>
        <w:t xml:space="preserve">ichat, </w:t>
      </w:r>
      <w:r w:rsidRPr="004509B5">
        <w:rPr>
          <w:sz w:val="24"/>
          <w:szCs w:val="24"/>
        </w:rPr>
        <w:t>Paris</w:t>
      </w:r>
      <w:r w:rsidR="004509B5" w:rsidRPr="004509B5">
        <w:rPr>
          <w:sz w:val="24"/>
          <w:szCs w:val="24"/>
        </w:rPr>
        <w:t>, France</w:t>
      </w:r>
    </w:p>
    <w:p w:rsidR="000A7E61" w:rsidRPr="00B3685F" w:rsidRDefault="000A7E61" w:rsidP="008F2254">
      <w:pPr>
        <w:spacing w:line="480" w:lineRule="auto"/>
        <w:rPr>
          <w:sz w:val="24"/>
          <w:szCs w:val="24"/>
        </w:rPr>
      </w:pPr>
    </w:p>
    <w:p w:rsidR="009251AE" w:rsidRPr="00FA713A" w:rsidRDefault="009251AE" w:rsidP="009251AE">
      <w:pPr>
        <w:rPr>
          <w:sz w:val="24"/>
          <w:szCs w:val="24"/>
        </w:rPr>
      </w:pPr>
      <w:r w:rsidRPr="00B3685F">
        <w:rPr>
          <w:sz w:val="24"/>
          <w:szCs w:val="24"/>
        </w:rPr>
        <w:t>*</w:t>
      </w:r>
      <w:r w:rsidR="000A7E61" w:rsidRPr="00B3685F">
        <w:rPr>
          <w:sz w:val="24"/>
          <w:szCs w:val="24"/>
        </w:rPr>
        <w:t>*</w:t>
      </w:r>
      <w:r w:rsidRPr="00B3685F">
        <w:rPr>
          <w:sz w:val="24"/>
          <w:szCs w:val="24"/>
        </w:rPr>
        <w:t xml:space="preserve">Corresponding </w:t>
      </w:r>
      <w:r w:rsidRPr="00FA713A">
        <w:rPr>
          <w:sz w:val="24"/>
          <w:szCs w:val="24"/>
        </w:rPr>
        <w:t>author</w:t>
      </w:r>
    </w:p>
    <w:p w:rsidR="006A7C6B" w:rsidRPr="00FA713A" w:rsidRDefault="009251AE" w:rsidP="006A7C6B">
      <w:pPr>
        <w:rPr>
          <w:sz w:val="24"/>
          <w:szCs w:val="24"/>
        </w:rPr>
      </w:pPr>
      <w:r w:rsidRPr="00FA713A">
        <w:rPr>
          <w:sz w:val="24"/>
          <w:szCs w:val="24"/>
        </w:rPr>
        <w:t>Dr Tristan William Clark, Associate Professor and Co</w:t>
      </w:r>
      <w:r w:rsidR="006A7C6B" w:rsidRPr="00FA713A">
        <w:rPr>
          <w:sz w:val="24"/>
          <w:szCs w:val="24"/>
        </w:rPr>
        <w:t xml:space="preserve">nsultant in Infectious Diseases. </w:t>
      </w:r>
    </w:p>
    <w:p w:rsidR="006A7C6B" w:rsidRPr="00FA713A" w:rsidRDefault="00E449EE" w:rsidP="006A7C6B">
      <w:pPr>
        <w:rPr>
          <w:sz w:val="24"/>
          <w:szCs w:val="24"/>
        </w:rPr>
      </w:pPr>
      <w:r w:rsidRPr="00FA713A">
        <w:rPr>
          <w:sz w:val="24"/>
          <w:szCs w:val="24"/>
        </w:rPr>
        <w:t>NIHR Post D</w:t>
      </w:r>
      <w:r w:rsidR="006A7C6B" w:rsidRPr="00FA713A">
        <w:rPr>
          <w:sz w:val="24"/>
          <w:szCs w:val="24"/>
        </w:rPr>
        <w:t xml:space="preserve">octoral Fellow. </w:t>
      </w:r>
    </w:p>
    <w:p w:rsidR="009251AE" w:rsidRPr="00FA713A" w:rsidRDefault="009251AE" w:rsidP="006A7C6B">
      <w:pPr>
        <w:rPr>
          <w:sz w:val="24"/>
          <w:szCs w:val="24"/>
        </w:rPr>
      </w:pPr>
      <w:r w:rsidRPr="00FA713A">
        <w:rPr>
          <w:sz w:val="24"/>
          <w:szCs w:val="24"/>
        </w:rPr>
        <w:t>Address: LF101, South Academic block, Southampton General Hospital, Southampton, SO16 6YD.</w:t>
      </w:r>
    </w:p>
    <w:p w:rsidR="006A7C6B" w:rsidRDefault="009251AE" w:rsidP="006A7C6B">
      <w:pPr>
        <w:rPr>
          <w:rStyle w:val="Hyperlink"/>
          <w:color w:val="auto"/>
          <w:sz w:val="24"/>
          <w:szCs w:val="24"/>
        </w:rPr>
      </w:pPr>
      <w:r w:rsidRPr="00FA713A">
        <w:rPr>
          <w:sz w:val="24"/>
          <w:szCs w:val="24"/>
        </w:rPr>
        <w:t>Tel: 0044(0)23818410</w:t>
      </w:r>
      <w:r w:rsidRPr="00FA713A">
        <w:rPr>
          <w:sz w:val="24"/>
          <w:szCs w:val="24"/>
        </w:rPr>
        <w:tab/>
        <w:t xml:space="preserve">E-mail address: </w:t>
      </w:r>
      <w:hyperlink r:id="rId7" w:history="1">
        <w:r w:rsidR="006A7C6B" w:rsidRPr="00FA713A">
          <w:rPr>
            <w:rStyle w:val="Hyperlink"/>
            <w:color w:val="auto"/>
            <w:sz w:val="24"/>
            <w:szCs w:val="24"/>
          </w:rPr>
          <w:t>T.W.Clark@soton.ac.uk</w:t>
        </w:r>
      </w:hyperlink>
    </w:p>
    <w:p w:rsidR="00A44702" w:rsidRPr="00E72C5D" w:rsidRDefault="00A44702" w:rsidP="006A7C6B">
      <w:pPr>
        <w:rPr>
          <w:rStyle w:val="Hyperlink"/>
          <w:color w:val="auto"/>
          <w:sz w:val="24"/>
          <w:szCs w:val="24"/>
        </w:rPr>
      </w:pPr>
    </w:p>
    <w:p w:rsidR="006A5101" w:rsidRPr="00E72C5D" w:rsidRDefault="006A5101" w:rsidP="006A7C6B">
      <w:pPr>
        <w:rPr>
          <w:rStyle w:val="Hyperlink"/>
          <w:color w:val="auto"/>
          <w:sz w:val="24"/>
          <w:szCs w:val="24"/>
          <w:u w:val="none"/>
        </w:rPr>
      </w:pPr>
      <w:r w:rsidRPr="00E72C5D">
        <w:rPr>
          <w:rStyle w:val="Hyperlink"/>
          <w:color w:val="auto"/>
          <w:sz w:val="24"/>
          <w:szCs w:val="24"/>
          <w:u w:val="none"/>
        </w:rPr>
        <w:t>Nathan J Brendish, PhD, NIHR Academic Clinical Lecturer in Infectious Diseases</w:t>
      </w:r>
    </w:p>
    <w:p w:rsidR="006A5101" w:rsidRPr="00E72C5D" w:rsidRDefault="006A5101" w:rsidP="006A7C6B">
      <w:pPr>
        <w:rPr>
          <w:rStyle w:val="Hyperlink"/>
          <w:color w:val="auto"/>
          <w:sz w:val="24"/>
          <w:szCs w:val="24"/>
          <w:u w:val="none"/>
        </w:rPr>
      </w:pPr>
      <w:r w:rsidRPr="00E72C5D">
        <w:rPr>
          <w:rStyle w:val="Hyperlink"/>
          <w:color w:val="auto"/>
          <w:sz w:val="24"/>
          <w:szCs w:val="24"/>
          <w:u w:val="none"/>
        </w:rPr>
        <w:t>Stephen Poole, MRCP, NIHR BRC Doctoral Fellow in Infectious Diseases</w:t>
      </w:r>
    </w:p>
    <w:p w:rsidR="006A5101" w:rsidRPr="00E72C5D" w:rsidRDefault="006A5101" w:rsidP="006A7C6B">
      <w:pPr>
        <w:rPr>
          <w:rStyle w:val="Hyperlink"/>
          <w:color w:val="auto"/>
          <w:sz w:val="24"/>
          <w:szCs w:val="24"/>
          <w:u w:val="none"/>
        </w:rPr>
      </w:pPr>
      <w:r w:rsidRPr="00E72C5D">
        <w:rPr>
          <w:rStyle w:val="Hyperlink"/>
          <w:color w:val="auto"/>
          <w:sz w:val="24"/>
          <w:szCs w:val="24"/>
          <w:u w:val="none"/>
        </w:rPr>
        <w:t>Vasanth V Naidu, MBBS, Clinical Research Fellow in Infectious Diseases</w:t>
      </w:r>
    </w:p>
    <w:p w:rsidR="0016177E" w:rsidRPr="00E72C5D" w:rsidRDefault="006A5101" w:rsidP="006A7C6B">
      <w:pPr>
        <w:rPr>
          <w:rStyle w:val="Hyperlink"/>
          <w:color w:val="auto"/>
          <w:sz w:val="24"/>
          <w:szCs w:val="24"/>
          <w:u w:val="none"/>
        </w:rPr>
      </w:pPr>
      <w:r w:rsidRPr="00E72C5D">
        <w:rPr>
          <w:rStyle w:val="Hyperlink"/>
          <w:color w:val="auto"/>
          <w:sz w:val="24"/>
          <w:szCs w:val="24"/>
          <w:u w:val="none"/>
        </w:rPr>
        <w:t>Christopher T Mansbridge, MRCP, Speciality Registrar in Infectious Diseases</w:t>
      </w:r>
    </w:p>
    <w:p w:rsidR="006A5101" w:rsidRPr="00E72C5D" w:rsidRDefault="006A5101" w:rsidP="006A7C6B">
      <w:pPr>
        <w:rPr>
          <w:rStyle w:val="Hyperlink"/>
          <w:color w:val="auto"/>
          <w:sz w:val="24"/>
          <w:szCs w:val="24"/>
          <w:u w:val="none"/>
        </w:rPr>
      </w:pPr>
      <w:r w:rsidRPr="00E72C5D">
        <w:rPr>
          <w:rStyle w:val="Hyperlink"/>
          <w:color w:val="auto"/>
          <w:sz w:val="24"/>
          <w:szCs w:val="24"/>
          <w:u w:val="none"/>
        </w:rPr>
        <w:t>Nicholas J Norton, PhD, Speciality Registrar in Infectious Diseases</w:t>
      </w:r>
    </w:p>
    <w:p w:rsidR="0016177E" w:rsidRPr="00E72C5D" w:rsidRDefault="006A5101" w:rsidP="006A7C6B">
      <w:pPr>
        <w:rPr>
          <w:rStyle w:val="Hyperlink"/>
          <w:color w:val="auto"/>
          <w:sz w:val="24"/>
          <w:szCs w:val="24"/>
          <w:u w:val="none"/>
        </w:rPr>
      </w:pPr>
      <w:r w:rsidRPr="00E72C5D">
        <w:rPr>
          <w:rStyle w:val="Hyperlink"/>
          <w:color w:val="auto"/>
          <w:sz w:val="24"/>
          <w:szCs w:val="24"/>
          <w:u w:val="none"/>
        </w:rPr>
        <w:t>Helen Wheeler, BSc, Senior Research Nurse</w:t>
      </w:r>
    </w:p>
    <w:p w:rsidR="0016177E" w:rsidRPr="00E72C5D" w:rsidRDefault="006A5101" w:rsidP="006A7C6B">
      <w:pPr>
        <w:rPr>
          <w:rStyle w:val="Hyperlink"/>
          <w:color w:val="auto"/>
          <w:sz w:val="24"/>
          <w:szCs w:val="24"/>
          <w:u w:val="none"/>
        </w:rPr>
      </w:pPr>
      <w:r w:rsidRPr="00E72C5D">
        <w:rPr>
          <w:rStyle w:val="Hyperlink"/>
          <w:color w:val="auto"/>
          <w:sz w:val="24"/>
          <w:szCs w:val="24"/>
          <w:u w:val="none"/>
        </w:rPr>
        <w:t xml:space="preserve">Laura Presland, BSc, Research Sister </w:t>
      </w:r>
    </w:p>
    <w:p w:rsidR="0016177E" w:rsidRPr="00E72C5D" w:rsidRDefault="006A5101" w:rsidP="006A7C6B">
      <w:pPr>
        <w:rPr>
          <w:rStyle w:val="Hyperlink"/>
          <w:color w:val="auto"/>
          <w:sz w:val="24"/>
          <w:szCs w:val="24"/>
          <w:u w:val="none"/>
        </w:rPr>
      </w:pPr>
      <w:r w:rsidRPr="00E72C5D">
        <w:rPr>
          <w:rStyle w:val="Hyperlink"/>
          <w:color w:val="auto"/>
          <w:sz w:val="24"/>
          <w:szCs w:val="24"/>
          <w:u w:val="none"/>
        </w:rPr>
        <w:t xml:space="preserve">Stephen Kidd, MSc, Clinical scientist </w:t>
      </w:r>
    </w:p>
    <w:p w:rsidR="0016177E" w:rsidRPr="00E72C5D" w:rsidRDefault="006A5101" w:rsidP="006A7C6B">
      <w:pPr>
        <w:rPr>
          <w:rStyle w:val="Hyperlink"/>
          <w:color w:val="auto"/>
          <w:sz w:val="24"/>
          <w:szCs w:val="24"/>
          <w:u w:val="none"/>
        </w:rPr>
      </w:pPr>
      <w:r w:rsidRPr="00E72C5D">
        <w:rPr>
          <w:rStyle w:val="Hyperlink"/>
          <w:color w:val="auto"/>
          <w:sz w:val="24"/>
          <w:szCs w:val="24"/>
          <w:u w:val="none"/>
        </w:rPr>
        <w:t xml:space="preserve">Nicholas J Cortes, FRCPath, Consultant Microbiologist </w:t>
      </w:r>
    </w:p>
    <w:p w:rsidR="006A5101" w:rsidRPr="00E72C5D" w:rsidRDefault="006A5101" w:rsidP="006A7C6B">
      <w:pPr>
        <w:rPr>
          <w:rStyle w:val="Hyperlink"/>
          <w:color w:val="auto"/>
          <w:sz w:val="24"/>
          <w:szCs w:val="24"/>
          <w:u w:val="none"/>
        </w:rPr>
      </w:pPr>
      <w:r w:rsidRPr="00E72C5D">
        <w:rPr>
          <w:rStyle w:val="Hyperlink"/>
          <w:color w:val="auto"/>
          <w:sz w:val="24"/>
          <w:szCs w:val="24"/>
          <w:u w:val="none"/>
        </w:rPr>
        <w:t xml:space="preserve">Florina Borca, MSc, Data Scientist </w:t>
      </w:r>
    </w:p>
    <w:p w:rsidR="0016177E" w:rsidRPr="00E72C5D" w:rsidRDefault="006A5101" w:rsidP="006A7C6B">
      <w:pPr>
        <w:rPr>
          <w:rStyle w:val="Hyperlink"/>
          <w:color w:val="auto"/>
          <w:sz w:val="24"/>
          <w:szCs w:val="24"/>
          <w:u w:val="none"/>
        </w:rPr>
      </w:pPr>
      <w:r w:rsidRPr="00E72C5D">
        <w:rPr>
          <w:rStyle w:val="Hyperlink"/>
          <w:color w:val="auto"/>
          <w:sz w:val="24"/>
          <w:szCs w:val="24"/>
          <w:u w:val="none"/>
        </w:rPr>
        <w:t xml:space="preserve">Hang Phan, PhD, Data Scientist </w:t>
      </w:r>
    </w:p>
    <w:p w:rsidR="006A5101" w:rsidRPr="00E72C5D" w:rsidRDefault="006A5101" w:rsidP="006A7C6B">
      <w:pPr>
        <w:rPr>
          <w:rStyle w:val="Hyperlink"/>
          <w:color w:val="auto"/>
          <w:sz w:val="24"/>
          <w:szCs w:val="24"/>
          <w:u w:val="none"/>
        </w:rPr>
      </w:pPr>
      <w:r w:rsidRPr="00E72C5D">
        <w:rPr>
          <w:rStyle w:val="Hyperlink"/>
          <w:color w:val="auto"/>
          <w:sz w:val="24"/>
          <w:szCs w:val="24"/>
          <w:u w:val="none"/>
        </w:rPr>
        <w:t xml:space="preserve">Gavin Babbage, MPhil, Laboratory Manager </w:t>
      </w:r>
    </w:p>
    <w:p w:rsidR="006A5101" w:rsidRPr="00E72C5D" w:rsidRDefault="006A5101" w:rsidP="006A7C6B">
      <w:pPr>
        <w:rPr>
          <w:rStyle w:val="Hyperlink"/>
          <w:color w:val="auto"/>
          <w:sz w:val="24"/>
          <w:szCs w:val="24"/>
          <w:u w:val="none"/>
        </w:rPr>
      </w:pPr>
      <w:r w:rsidRPr="00E72C5D">
        <w:rPr>
          <w:rStyle w:val="Hyperlink"/>
          <w:color w:val="auto"/>
          <w:sz w:val="24"/>
          <w:szCs w:val="24"/>
          <w:u w:val="none"/>
        </w:rPr>
        <w:t xml:space="preserve">Benoit Visseaux, PhD, Consultant Virologist </w:t>
      </w:r>
    </w:p>
    <w:p w:rsidR="0016177E" w:rsidRPr="00E72C5D" w:rsidRDefault="006A5101" w:rsidP="006A7C6B">
      <w:pPr>
        <w:rPr>
          <w:rStyle w:val="Hyperlink"/>
          <w:color w:val="auto"/>
          <w:sz w:val="24"/>
          <w:szCs w:val="24"/>
          <w:u w:val="none"/>
        </w:rPr>
      </w:pPr>
      <w:r w:rsidRPr="00E72C5D">
        <w:rPr>
          <w:rStyle w:val="Hyperlink"/>
          <w:color w:val="auto"/>
          <w:sz w:val="24"/>
          <w:szCs w:val="24"/>
          <w:u w:val="none"/>
        </w:rPr>
        <w:t xml:space="preserve">Sean Ewings, PhD, Associate Professor in Medical Statistics </w:t>
      </w:r>
    </w:p>
    <w:p w:rsidR="00A44702" w:rsidRPr="00E72C5D" w:rsidRDefault="00A44702" w:rsidP="00A44702">
      <w:pPr>
        <w:rPr>
          <w:rStyle w:val="Hyperlink"/>
          <w:color w:val="auto"/>
          <w:sz w:val="24"/>
          <w:szCs w:val="24"/>
          <w:u w:val="none"/>
        </w:rPr>
      </w:pPr>
      <w:r w:rsidRPr="00E72C5D">
        <w:rPr>
          <w:rStyle w:val="Hyperlink"/>
          <w:color w:val="auto"/>
          <w:sz w:val="24"/>
          <w:szCs w:val="24"/>
          <w:u w:val="none"/>
        </w:rPr>
        <w:t>Tristan W Clark, MD, Associate Professor and Honorary Consultant in Infectious Diseases</w:t>
      </w:r>
    </w:p>
    <w:p w:rsidR="009251AE" w:rsidRDefault="004509B5" w:rsidP="006A7C6B">
      <w:pPr>
        <w:rPr>
          <w:b/>
          <w:bCs/>
          <w:sz w:val="32"/>
          <w:szCs w:val="32"/>
        </w:rPr>
      </w:pPr>
      <w:r>
        <w:rPr>
          <w:b/>
          <w:bCs/>
          <w:sz w:val="32"/>
          <w:szCs w:val="32"/>
        </w:rPr>
        <w:lastRenderedPageBreak/>
        <w:t>Summary</w:t>
      </w:r>
    </w:p>
    <w:p w:rsidR="00B51F8C" w:rsidRPr="004609C2" w:rsidRDefault="00B51F8C" w:rsidP="006F2115">
      <w:pPr>
        <w:spacing w:line="480" w:lineRule="auto"/>
        <w:jc w:val="both"/>
        <w:rPr>
          <w:b/>
          <w:sz w:val="24"/>
          <w:szCs w:val="24"/>
        </w:rPr>
      </w:pPr>
      <w:r w:rsidRPr="004609C2">
        <w:rPr>
          <w:b/>
          <w:sz w:val="24"/>
          <w:szCs w:val="24"/>
        </w:rPr>
        <w:t>Background</w:t>
      </w:r>
      <w:r w:rsidR="00BB594F" w:rsidRPr="004609C2">
        <w:rPr>
          <w:b/>
          <w:sz w:val="24"/>
          <w:szCs w:val="24"/>
        </w:rPr>
        <w:t xml:space="preserve"> </w:t>
      </w:r>
      <w:r w:rsidRPr="004609C2">
        <w:rPr>
          <w:sz w:val="24"/>
          <w:szCs w:val="24"/>
        </w:rPr>
        <w:t xml:space="preserve">The management of the COVID-19 pandemic is hampered by the long delays associated with centralised laboratory PCR testing. In hospitals this leads to poor patient flow </w:t>
      </w:r>
      <w:r w:rsidRPr="00E72C5D">
        <w:rPr>
          <w:sz w:val="24"/>
          <w:szCs w:val="24"/>
        </w:rPr>
        <w:t xml:space="preserve">and nosocomial </w:t>
      </w:r>
      <w:r w:rsidR="00245C30" w:rsidRPr="00E72C5D">
        <w:rPr>
          <w:sz w:val="24"/>
          <w:szCs w:val="24"/>
        </w:rPr>
        <w:t>transmission.</w:t>
      </w:r>
      <w:r w:rsidR="00163938" w:rsidRPr="00E72C5D">
        <w:rPr>
          <w:sz w:val="24"/>
          <w:szCs w:val="24"/>
        </w:rPr>
        <w:t xml:space="preserve"> Rapid, accurate tests are </w:t>
      </w:r>
      <w:r w:rsidR="00362BCA" w:rsidRPr="00E72C5D">
        <w:rPr>
          <w:sz w:val="24"/>
          <w:szCs w:val="24"/>
        </w:rPr>
        <w:t xml:space="preserve">therefore </w:t>
      </w:r>
      <w:r w:rsidR="00163938" w:rsidRPr="00E72C5D">
        <w:rPr>
          <w:sz w:val="24"/>
          <w:szCs w:val="24"/>
        </w:rPr>
        <w:t>urgently needed</w:t>
      </w:r>
      <w:r w:rsidR="00867978" w:rsidRPr="00E72C5D">
        <w:rPr>
          <w:sz w:val="24"/>
          <w:szCs w:val="24"/>
        </w:rPr>
        <w:t xml:space="preserve"> </w:t>
      </w:r>
      <w:r w:rsidR="00A44702" w:rsidRPr="00E72C5D">
        <w:rPr>
          <w:sz w:val="24"/>
          <w:szCs w:val="24"/>
        </w:rPr>
        <w:t xml:space="preserve">in preparation </w:t>
      </w:r>
      <w:r w:rsidR="00867978" w:rsidRPr="00E72C5D">
        <w:rPr>
          <w:sz w:val="24"/>
          <w:szCs w:val="24"/>
        </w:rPr>
        <w:t>for the next wave</w:t>
      </w:r>
      <w:r w:rsidR="00163938" w:rsidRPr="00E72C5D">
        <w:rPr>
          <w:sz w:val="24"/>
          <w:szCs w:val="24"/>
        </w:rPr>
        <w:t xml:space="preserve">. </w:t>
      </w:r>
      <w:r w:rsidR="00245C30" w:rsidRPr="00E72C5D">
        <w:rPr>
          <w:sz w:val="24"/>
          <w:szCs w:val="24"/>
        </w:rPr>
        <w:t xml:space="preserve"> </w:t>
      </w:r>
      <w:r w:rsidR="00D73D8E" w:rsidRPr="00E72C5D">
        <w:rPr>
          <w:sz w:val="24"/>
          <w:szCs w:val="24"/>
        </w:rPr>
        <w:t xml:space="preserve"> </w:t>
      </w:r>
    </w:p>
    <w:p w:rsidR="00B51F8C" w:rsidRPr="00E72C5D" w:rsidRDefault="00B51F8C" w:rsidP="00BB594F">
      <w:pPr>
        <w:spacing w:line="480" w:lineRule="auto"/>
        <w:jc w:val="both"/>
        <w:rPr>
          <w:b/>
          <w:sz w:val="24"/>
          <w:szCs w:val="24"/>
        </w:rPr>
      </w:pPr>
      <w:r w:rsidRPr="004609C2">
        <w:rPr>
          <w:b/>
          <w:sz w:val="24"/>
          <w:szCs w:val="24"/>
        </w:rPr>
        <w:t xml:space="preserve">Methods </w:t>
      </w:r>
      <w:r w:rsidRPr="004609C2">
        <w:rPr>
          <w:sz w:val="24"/>
          <w:szCs w:val="24"/>
        </w:rPr>
        <w:t xml:space="preserve">We performed a prospective, interventional, non-randomised, </w:t>
      </w:r>
      <w:r w:rsidR="008B5DD8" w:rsidRPr="004609C2">
        <w:rPr>
          <w:sz w:val="24"/>
          <w:szCs w:val="24"/>
        </w:rPr>
        <w:t xml:space="preserve">controlled </w:t>
      </w:r>
      <w:r w:rsidRPr="004609C2">
        <w:rPr>
          <w:sz w:val="24"/>
          <w:szCs w:val="24"/>
        </w:rPr>
        <w:t xml:space="preserve">study of </w:t>
      </w:r>
      <w:r w:rsidR="009F089F" w:rsidRPr="004609C2">
        <w:rPr>
          <w:sz w:val="24"/>
          <w:szCs w:val="24"/>
        </w:rPr>
        <w:t xml:space="preserve">molecular </w:t>
      </w:r>
      <w:r w:rsidR="00600F9D">
        <w:rPr>
          <w:sz w:val="24"/>
          <w:szCs w:val="24"/>
        </w:rPr>
        <w:t>point-of-care testing (</w:t>
      </w:r>
      <w:r w:rsidR="00245C30">
        <w:rPr>
          <w:sz w:val="24"/>
          <w:szCs w:val="24"/>
        </w:rPr>
        <w:t>POCT</w:t>
      </w:r>
      <w:r w:rsidR="00600F9D">
        <w:rPr>
          <w:sz w:val="24"/>
          <w:szCs w:val="24"/>
        </w:rPr>
        <w:t>)</w:t>
      </w:r>
      <w:r w:rsidR="009F089F" w:rsidRPr="004609C2">
        <w:rPr>
          <w:sz w:val="24"/>
          <w:szCs w:val="24"/>
        </w:rPr>
        <w:t xml:space="preserve"> </w:t>
      </w:r>
      <w:r w:rsidR="00867978">
        <w:rPr>
          <w:sz w:val="24"/>
          <w:szCs w:val="24"/>
        </w:rPr>
        <w:t>in adults</w:t>
      </w:r>
      <w:r w:rsidR="00867978" w:rsidRPr="00867978">
        <w:rPr>
          <w:sz w:val="24"/>
          <w:szCs w:val="24"/>
        </w:rPr>
        <w:t xml:space="preserve"> </w:t>
      </w:r>
      <w:r w:rsidR="00867978">
        <w:rPr>
          <w:sz w:val="24"/>
          <w:szCs w:val="24"/>
        </w:rPr>
        <w:t xml:space="preserve">presenting to hospital </w:t>
      </w:r>
      <w:r w:rsidRPr="004609C2">
        <w:rPr>
          <w:sz w:val="24"/>
          <w:szCs w:val="24"/>
        </w:rPr>
        <w:t xml:space="preserve">with suspected </w:t>
      </w:r>
      <w:r w:rsidR="00245C30">
        <w:rPr>
          <w:sz w:val="24"/>
          <w:szCs w:val="24"/>
        </w:rPr>
        <w:t xml:space="preserve">COVID-19. </w:t>
      </w:r>
      <w:r w:rsidR="00C75095">
        <w:rPr>
          <w:sz w:val="24"/>
          <w:szCs w:val="24"/>
        </w:rPr>
        <w:t>I</w:t>
      </w:r>
      <w:r w:rsidR="00600F9D">
        <w:rPr>
          <w:sz w:val="24"/>
          <w:szCs w:val="24"/>
        </w:rPr>
        <w:t>ntervention group p</w:t>
      </w:r>
      <w:r w:rsidR="00245C30">
        <w:rPr>
          <w:sz w:val="24"/>
          <w:szCs w:val="24"/>
        </w:rPr>
        <w:t xml:space="preserve">atients </w:t>
      </w:r>
      <w:r w:rsidR="00600F9D">
        <w:rPr>
          <w:sz w:val="24"/>
          <w:szCs w:val="24"/>
        </w:rPr>
        <w:t xml:space="preserve">were </w:t>
      </w:r>
      <w:r w:rsidRPr="004609C2">
        <w:rPr>
          <w:sz w:val="24"/>
          <w:szCs w:val="24"/>
        </w:rPr>
        <w:t xml:space="preserve">tested using the QIAstat-Dx </w:t>
      </w:r>
      <w:r w:rsidR="00600F9D">
        <w:rPr>
          <w:sz w:val="24"/>
          <w:szCs w:val="24"/>
        </w:rPr>
        <w:t xml:space="preserve">Respiratory </w:t>
      </w:r>
      <w:r w:rsidRPr="004609C2">
        <w:rPr>
          <w:sz w:val="24"/>
          <w:szCs w:val="24"/>
        </w:rPr>
        <w:t>SARS-CoV-2</w:t>
      </w:r>
      <w:r w:rsidR="00003107" w:rsidRPr="004609C2">
        <w:rPr>
          <w:sz w:val="24"/>
          <w:szCs w:val="24"/>
        </w:rPr>
        <w:t xml:space="preserve"> Panel</w:t>
      </w:r>
      <w:r w:rsidR="00600F9D">
        <w:rPr>
          <w:sz w:val="24"/>
          <w:szCs w:val="24"/>
        </w:rPr>
        <w:t xml:space="preserve"> at the point-of-care and c</w:t>
      </w:r>
      <w:r w:rsidR="00D93E05">
        <w:rPr>
          <w:sz w:val="24"/>
          <w:szCs w:val="24"/>
        </w:rPr>
        <w:t>ontrol patients were tested using</w:t>
      </w:r>
      <w:r w:rsidRPr="004609C2">
        <w:rPr>
          <w:sz w:val="24"/>
          <w:szCs w:val="24"/>
        </w:rPr>
        <w:t xml:space="preserve"> l</w:t>
      </w:r>
      <w:r w:rsidR="009F089F" w:rsidRPr="004609C2">
        <w:rPr>
          <w:sz w:val="24"/>
          <w:szCs w:val="24"/>
        </w:rPr>
        <w:t>aboratory PCR. The p</w:t>
      </w:r>
      <w:r w:rsidRPr="004609C2">
        <w:rPr>
          <w:sz w:val="24"/>
          <w:szCs w:val="24"/>
        </w:rPr>
        <w:t xml:space="preserve">rimary </w:t>
      </w:r>
      <w:r w:rsidRPr="00E72C5D">
        <w:rPr>
          <w:sz w:val="24"/>
          <w:szCs w:val="24"/>
        </w:rPr>
        <w:t>outcome was time to result</w:t>
      </w:r>
      <w:r w:rsidR="008F2254" w:rsidRPr="00E72C5D">
        <w:rPr>
          <w:sz w:val="24"/>
          <w:szCs w:val="24"/>
        </w:rPr>
        <w:t>s</w:t>
      </w:r>
      <w:r w:rsidR="00D93E05" w:rsidRPr="00E72C5D">
        <w:rPr>
          <w:sz w:val="24"/>
          <w:szCs w:val="24"/>
        </w:rPr>
        <w:t>. S</w:t>
      </w:r>
      <w:r w:rsidRPr="00E72C5D">
        <w:rPr>
          <w:sz w:val="24"/>
          <w:szCs w:val="24"/>
        </w:rPr>
        <w:t>econdary outcome</w:t>
      </w:r>
      <w:r w:rsidR="00245C30" w:rsidRPr="00E72C5D">
        <w:rPr>
          <w:sz w:val="24"/>
          <w:szCs w:val="24"/>
        </w:rPr>
        <w:t>s</w:t>
      </w:r>
      <w:r w:rsidRPr="00E72C5D">
        <w:rPr>
          <w:sz w:val="24"/>
          <w:szCs w:val="24"/>
        </w:rPr>
        <w:t xml:space="preserve"> included </w:t>
      </w:r>
      <w:r w:rsidR="00D93E05" w:rsidRPr="00E72C5D">
        <w:rPr>
          <w:sz w:val="24"/>
          <w:szCs w:val="24"/>
        </w:rPr>
        <w:t xml:space="preserve">infection control </w:t>
      </w:r>
      <w:r w:rsidR="009F089F" w:rsidRPr="00E72C5D">
        <w:rPr>
          <w:sz w:val="24"/>
          <w:szCs w:val="24"/>
        </w:rPr>
        <w:t xml:space="preserve">and </w:t>
      </w:r>
      <w:r w:rsidRPr="00E72C5D">
        <w:rPr>
          <w:sz w:val="24"/>
          <w:szCs w:val="24"/>
        </w:rPr>
        <w:t>diagnostic accuracy</w:t>
      </w:r>
      <w:r w:rsidR="009F089F" w:rsidRPr="00E72C5D">
        <w:rPr>
          <w:sz w:val="24"/>
          <w:szCs w:val="24"/>
        </w:rPr>
        <w:t xml:space="preserve"> measures</w:t>
      </w:r>
      <w:r w:rsidRPr="00E72C5D">
        <w:rPr>
          <w:sz w:val="24"/>
          <w:szCs w:val="24"/>
        </w:rPr>
        <w:t xml:space="preserve">. </w:t>
      </w:r>
      <w:r w:rsidR="009F089F" w:rsidRPr="00E72C5D">
        <w:rPr>
          <w:sz w:val="24"/>
          <w:szCs w:val="24"/>
        </w:rPr>
        <w:t>This s</w:t>
      </w:r>
      <w:r w:rsidR="00600F9D" w:rsidRPr="00E72C5D">
        <w:rPr>
          <w:sz w:val="24"/>
          <w:szCs w:val="24"/>
        </w:rPr>
        <w:t>tudy is registered ISRCTN:</w:t>
      </w:r>
      <w:r w:rsidR="009F089F" w:rsidRPr="00E72C5D">
        <w:rPr>
          <w:sz w:val="24"/>
          <w:szCs w:val="24"/>
        </w:rPr>
        <w:t>14966673 and has completed.</w:t>
      </w:r>
    </w:p>
    <w:p w:rsidR="00B51F8C" w:rsidRPr="00E72C5D" w:rsidRDefault="00BB594F" w:rsidP="00BB594F">
      <w:pPr>
        <w:spacing w:line="480" w:lineRule="auto"/>
        <w:jc w:val="both"/>
        <w:rPr>
          <w:b/>
          <w:sz w:val="24"/>
          <w:szCs w:val="24"/>
        </w:rPr>
      </w:pPr>
      <w:r w:rsidRPr="00E72C5D">
        <w:rPr>
          <w:b/>
          <w:sz w:val="24"/>
          <w:szCs w:val="24"/>
        </w:rPr>
        <w:t xml:space="preserve">Findings </w:t>
      </w:r>
      <w:r w:rsidR="00372DDF" w:rsidRPr="00E72C5D">
        <w:rPr>
          <w:sz w:val="24"/>
          <w:szCs w:val="24"/>
        </w:rPr>
        <w:t>499</w:t>
      </w:r>
      <w:r w:rsidR="00B51F8C" w:rsidRPr="00E72C5D">
        <w:rPr>
          <w:sz w:val="24"/>
          <w:szCs w:val="24"/>
        </w:rPr>
        <w:t xml:space="preserve"> pati</w:t>
      </w:r>
      <w:r w:rsidR="00003107" w:rsidRPr="00E72C5D">
        <w:rPr>
          <w:sz w:val="24"/>
          <w:szCs w:val="24"/>
        </w:rPr>
        <w:t xml:space="preserve">ents were tested by POCT and 555 control patients </w:t>
      </w:r>
      <w:r w:rsidR="00B51F8C" w:rsidRPr="00E72C5D">
        <w:rPr>
          <w:sz w:val="24"/>
          <w:szCs w:val="24"/>
        </w:rPr>
        <w:t>were tested</w:t>
      </w:r>
      <w:r w:rsidR="00D93E05" w:rsidRPr="00E72C5D">
        <w:rPr>
          <w:sz w:val="24"/>
          <w:szCs w:val="24"/>
        </w:rPr>
        <w:t xml:space="preserve"> using</w:t>
      </w:r>
      <w:r w:rsidR="00B51F8C" w:rsidRPr="00E72C5D">
        <w:rPr>
          <w:sz w:val="24"/>
          <w:szCs w:val="24"/>
        </w:rPr>
        <w:t xml:space="preserve"> laboratory PCR. </w:t>
      </w:r>
      <w:r w:rsidR="000A6DDD" w:rsidRPr="00E72C5D">
        <w:rPr>
          <w:sz w:val="24"/>
          <w:szCs w:val="24"/>
        </w:rPr>
        <w:t xml:space="preserve">Median </w:t>
      </w:r>
      <w:r w:rsidR="00003107" w:rsidRPr="00E72C5D">
        <w:rPr>
          <w:sz w:val="24"/>
          <w:szCs w:val="24"/>
        </w:rPr>
        <w:t xml:space="preserve">(IQR) </w:t>
      </w:r>
      <w:r w:rsidR="000A6DDD" w:rsidRPr="00E72C5D">
        <w:rPr>
          <w:sz w:val="24"/>
          <w:szCs w:val="24"/>
        </w:rPr>
        <w:t>time to results with POCT was 1</w:t>
      </w:r>
      <w:r w:rsidR="00BB61F4" w:rsidRPr="00E72C5D">
        <w:rPr>
          <w:rFonts w:cstheme="minorHAnsi"/>
          <w:sz w:val="24"/>
          <w:szCs w:val="24"/>
        </w:rPr>
        <w:t>·</w:t>
      </w:r>
      <w:r w:rsidR="000A6DDD" w:rsidRPr="00E72C5D">
        <w:rPr>
          <w:sz w:val="24"/>
          <w:szCs w:val="24"/>
        </w:rPr>
        <w:t>7 (1</w:t>
      </w:r>
      <w:r w:rsidR="00BB61F4" w:rsidRPr="00E72C5D">
        <w:rPr>
          <w:rFonts w:cstheme="minorHAnsi"/>
          <w:sz w:val="24"/>
          <w:szCs w:val="24"/>
        </w:rPr>
        <w:t>·</w:t>
      </w:r>
      <w:r w:rsidR="000A6DDD" w:rsidRPr="00E72C5D">
        <w:rPr>
          <w:sz w:val="24"/>
          <w:szCs w:val="24"/>
        </w:rPr>
        <w:t>6</w:t>
      </w:r>
      <w:r w:rsidR="008658E4" w:rsidRPr="00E72C5D">
        <w:rPr>
          <w:sz w:val="24"/>
          <w:szCs w:val="24"/>
        </w:rPr>
        <w:t xml:space="preserve"> to 1</w:t>
      </w:r>
      <w:r w:rsidR="00BB61F4" w:rsidRPr="00E72C5D">
        <w:rPr>
          <w:rFonts w:cstheme="minorHAnsi"/>
          <w:sz w:val="24"/>
          <w:szCs w:val="24"/>
        </w:rPr>
        <w:t>·</w:t>
      </w:r>
      <w:r w:rsidR="008658E4" w:rsidRPr="00E72C5D">
        <w:rPr>
          <w:sz w:val="24"/>
          <w:szCs w:val="24"/>
        </w:rPr>
        <w:t>9) hours versus 21</w:t>
      </w:r>
      <w:r w:rsidR="00BB61F4" w:rsidRPr="00E72C5D">
        <w:rPr>
          <w:rFonts w:cstheme="minorHAnsi"/>
          <w:sz w:val="24"/>
          <w:szCs w:val="24"/>
        </w:rPr>
        <w:t>·</w:t>
      </w:r>
      <w:r w:rsidR="008658E4" w:rsidRPr="00E72C5D">
        <w:rPr>
          <w:sz w:val="24"/>
          <w:szCs w:val="24"/>
        </w:rPr>
        <w:t>3 (16</w:t>
      </w:r>
      <w:r w:rsidR="00BB61F4" w:rsidRPr="00E72C5D">
        <w:rPr>
          <w:rFonts w:cstheme="minorHAnsi"/>
          <w:sz w:val="24"/>
          <w:szCs w:val="24"/>
        </w:rPr>
        <w:t>·</w:t>
      </w:r>
      <w:r w:rsidR="008658E4" w:rsidRPr="00E72C5D">
        <w:rPr>
          <w:sz w:val="24"/>
          <w:szCs w:val="24"/>
        </w:rPr>
        <w:t>0 to 27</w:t>
      </w:r>
      <w:r w:rsidR="00BB61F4" w:rsidRPr="00E72C5D">
        <w:rPr>
          <w:rFonts w:cstheme="minorHAnsi"/>
          <w:sz w:val="24"/>
          <w:szCs w:val="24"/>
        </w:rPr>
        <w:t>·</w:t>
      </w:r>
      <w:r w:rsidR="008658E4" w:rsidRPr="00E72C5D">
        <w:rPr>
          <w:sz w:val="24"/>
          <w:szCs w:val="24"/>
        </w:rPr>
        <w:t>9</w:t>
      </w:r>
      <w:r w:rsidR="000A6DDD" w:rsidRPr="00E72C5D">
        <w:rPr>
          <w:sz w:val="24"/>
          <w:szCs w:val="24"/>
        </w:rPr>
        <w:t>) hours in the control group (difference of 19</w:t>
      </w:r>
      <w:r w:rsidR="00BB61F4" w:rsidRPr="00E72C5D">
        <w:rPr>
          <w:rFonts w:cstheme="minorHAnsi"/>
          <w:sz w:val="24"/>
          <w:szCs w:val="24"/>
        </w:rPr>
        <w:t>·</w:t>
      </w:r>
      <w:r w:rsidR="000A6DDD" w:rsidRPr="00E72C5D">
        <w:rPr>
          <w:sz w:val="24"/>
          <w:szCs w:val="24"/>
        </w:rPr>
        <w:t>6</w:t>
      </w:r>
      <w:r w:rsidR="0041358F" w:rsidRPr="00E72C5D">
        <w:rPr>
          <w:sz w:val="24"/>
          <w:szCs w:val="24"/>
        </w:rPr>
        <w:t xml:space="preserve"> hours</w:t>
      </w:r>
      <w:r w:rsidR="008658E4" w:rsidRPr="00E72C5D">
        <w:rPr>
          <w:sz w:val="24"/>
          <w:szCs w:val="24"/>
        </w:rPr>
        <w:t>, 95%CI 19</w:t>
      </w:r>
      <w:r w:rsidR="00BB61F4" w:rsidRPr="00E72C5D">
        <w:rPr>
          <w:rFonts w:cstheme="minorHAnsi"/>
          <w:sz w:val="24"/>
          <w:szCs w:val="24"/>
        </w:rPr>
        <w:t>·</w:t>
      </w:r>
      <w:r w:rsidR="008658E4" w:rsidRPr="00E72C5D">
        <w:rPr>
          <w:sz w:val="24"/>
          <w:szCs w:val="24"/>
        </w:rPr>
        <w:t>0</w:t>
      </w:r>
      <w:r w:rsidR="000A6DDD" w:rsidRPr="00E72C5D">
        <w:rPr>
          <w:sz w:val="24"/>
          <w:szCs w:val="24"/>
        </w:rPr>
        <w:t xml:space="preserve"> to 20</w:t>
      </w:r>
      <w:r w:rsidR="00BB61F4" w:rsidRPr="00E72C5D">
        <w:rPr>
          <w:rFonts w:cstheme="minorHAnsi"/>
          <w:sz w:val="24"/>
          <w:szCs w:val="24"/>
        </w:rPr>
        <w:t>·</w:t>
      </w:r>
      <w:r w:rsidR="000A6DDD" w:rsidRPr="00E72C5D">
        <w:rPr>
          <w:sz w:val="24"/>
          <w:szCs w:val="24"/>
        </w:rPr>
        <w:t>3; p&lt;0</w:t>
      </w:r>
      <w:r w:rsidR="00BB61F4" w:rsidRPr="00E72C5D">
        <w:rPr>
          <w:rFonts w:cstheme="minorHAnsi"/>
          <w:sz w:val="24"/>
          <w:szCs w:val="24"/>
        </w:rPr>
        <w:t>·</w:t>
      </w:r>
      <w:r w:rsidR="000A6DDD" w:rsidRPr="00E72C5D">
        <w:rPr>
          <w:sz w:val="24"/>
          <w:szCs w:val="24"/>
        </w:rPr>
        <w:t>0001).</w:t>
      </w:r>
      <w:r w:rsidR="00B51F8C" w:rsidRPr="00E72C5D">
        <w:rPr>
          <w:sz w:val="24"/>
          <w:szCs w:val="24"/>
        </w:rPr>
        <w:t xml:space="preserve"> </w:t>
      </w:r>
      <w:r w:rsidR="000F1866" w:rsidRPr="00E72C5D">
        <w:rPr>
          <w:sz w:val="24"/>
          <w:szCs w:val="24"/>
        </w:rPr>
        <w:t xml:space="preserve">313/428 (73.1%) of patients were transferred </w:t>
      </w:r>
      <w:r w:rsidR="003143EA">
        <w:rPr>
          <w:sz w:val="24"/>
          <w:szCs w:val="24"/>
        </w:rPr>
        <w:t xml:space="preserve">from an assessment area </w:t>
      </w:r>
      <w:r w:rsidR="000F1866" w:rsidRPr="00E72C5D">
        <w:rPr>
          <w:sz w:val="24"/>
          <w:szCs w:val="24"/>
        </w:rPr>
        <w:t>to a definitive clinical area (i.e. COVID-19 positive or negative ward) in the POCT group versus 241/421 (57.2%) in the control group (difference of 15.9</w:t>
      </w:r>
      <w:r w:rsidR="00D402EC" w:rsidRPr="00E72C5D">
        <w:rPr>
          <w:sz w:val="24"/>
          <w:szCs w:val="24"/>
        </w:rPr>
        <w:t>%</w:t>
      </w:r>
      <w:r w:rsidR="000F1866" w:rsidRPr="00E72C5D">
        <w:rPr>
          <w:sz w:val="24"/>
          <w:szCs w:val="24"/>
        </w:rPr>
        <w:t xml:space="preserve">, 95%CI 9.3 to 22.2; p&lt;0.0001). </w:t>
      </w:r>
      <w:r w:rsidR="000A6DDD" w:rsidRPr="00E72C5D">
        <w:rPr>
          <w:sz w:val="24"/>
          <w:szCs w:val="24"/>
        </w:rPr>
        <w:t>Median</w:t>
      </w:r>
      <w:r w:rsidR="00003107" w:rsidRPr="00E72C5D">
        <w:rPr>
          <w:sz w:val="24"/>
          <w:szCs w:val="24"/>
        </w:rPr>
        <w:t xml:space="preserve"> (IQR)</w:t>
      </w:r>
      <w:r w:rsidR="000A6DDD" w:rsidRPr="00E72C5D">
        <w:rPr>
          <w:sz w:val="24"/>
          <w:szCs w:val="24"/>
        </w:rPr>
        <w:t xml:space="preserve"> t</w:t>
      </w:r>
      <w:r w:rsidR="00B51F8C" w:rsidRPr="00E72C5D">
        <w:rPr>
          <w:sz w:val="24"/>
          <w:szCs w:val="24"/>
        </w:rPr>
        <w:t>ime to arrival in definit</w:t>
      </w:r>
      <w:r w:rsidR="008B5DD8" w:rsidRPr="00E72C5D">
        <w:rPr>
          <w:sz w:val="24"/>
          <w:szCs w:val="24"/>
        </w:rPr>
        <w:t xml:space="preserve">ive clinical area </w:t>
      </w:r>
      <w:r w:rsidR="0041358F" w:rsidRPr="00E72C5D">
        <w:rPr>
          <w:sz w:val="24"/>
          <w:szCs w:val="24"/>
        </w:rPr>
        <w:t>was 8</w:t>
      </w:r>
      <w:r w:rsidR="00BB61F4" w:rsidRPr="00E72C5D">
        <w:rPr>
          <w:rFonts w:cstheme="minorHAnsi"/>
          <w:sz w:val="24"/>
          <w:szCs w:val="24"/>
        </w:rPr>
        <w:t>·</w:t>
      </w:r>
      <w:r w:rsidR="008658E4" w:rsidRPr="00E72C5D">
        <w:rPr>
          <w:sz w:val="24"/>
          <w:szCs w:val="24"/>
        </w:rPr>
        <w:t>0</w:t>
      </w:r>
      <w:r w:rsidR="00B51F8C" w:rsidRPr="00E72C5D">
        <w:rPr>
          <w:sz w:val="24"/>
          <w:szCs w:val="24"/>
        </w:rPr>
        <w:t xml:space="preserve"> </w:t>
      </w:r>
      <w:r w:rsidR="008658E4" w:rsidRPr="00E72C5D">
        <w:rPr>
          <w:sz w:val="24"/>
          <w:szCs w:val="24"/>
        </w:rPr>
        <w:t>(6</w:t>
      </w:r>
      <w:r w:rsidR="00BB61F4" w:rsidRPr="00E72C5D">
        <w:rPr>
          <w:rFonts w:cstheme="minorHAnsi"/>
          <w:sz w:val="24"/>
          <w:szCs w:val="24"/>
        </w:rPr>
        <w:t>·</w:t>
      </w:r>
      <w:r w:rsidR="008658E4" w:rsidRPr="00E72C5D">
        <w:rPr>
          <w:sz w:val="24"/>
          <w:szCs w:val="24"/>
        </w:rPr>
        <w:t>0 to 15</w:t>
      </w:r>
      <w:r w:rsidR="00BB61F4" w:rsidRPr="00E72C5D">
        <w:rPr>
          <w:rFonts w:cstheme="minorHAnsi"/>
          <w:sz w:val="24"/>
          <w:szCs w:val="24"/>
        </w:rPr>
        <w:t>·</w:t>
      </w:r>
      <w:r w:rsidR="008658E4" w:rsidRPr="00E72C5D">
        <w:rPr>
          <w:sz w:val="24"/>
          <w:szCs w:val="24"/>
        </w:rPr>
        <w:t xml:space="preserve">0) </w:t>
      </w:r>
      <w:r w:rsidR="00B51F8C" w:rsidRPr="00E72C5D">
        <w:rPr>
          <w:sz w:val="24"/>
          <w:szCs w:val="24"/>
        </w:rPr>
        <w:t>h</w:t>
      </w:r>
      <w:r w:rsidR="0041358F" w:rsidRPr="00E72C5D">
        <w:rPr>
          <w:sz w:val="24"/>
          <w:szCs w:val="24"/>
        </w:rPr>
        <w:t>ours in the POCT group versus 28</w:t>
      </w:r>
      <w:r w:rsidR="00BB61F4" w:rsidRPr="00E72C5D">
        <w:rPr>
          <w:rFonts w:cstheme="minorHAnsi"/>
          <w:sz w:val="24"/>
          <w:szCs w:val="24"/>
        </w:rPr>
        <w:t>·</w:t>
      </w:r>
      <w:r w:rsidR="008658E4" w:rsidRPr="00E72C5D">
        <w:rPr>
          <w:sz w:val="24"/>
          <w:szCs w:val="24"/>
        </w:rPr>
        <w:t>8</w:t>
      </w:r>
      <w:r w:rsidR="00B51F8C" w:rsidRPr="00E72C5D">
        <w:rPr>
          <w:sz w:val="24"/>
          <w:szCs w:val="24"/>
        </w:rPr>
        <w:t xml:space="preserve"> </w:t>
      </w:r>
      <w:r w:rsidR="008658E4" w:rsidRPr="00E72C5D">
        <w:rPr>
          <w:sz w:val="24"/>
          <w:szCs w:val="24"/>
        </w:rPr>
        <w:t>(23</w:t>
      </w:r>
      <w:r w:rsidR="00BB61F4" w:rsidRPr="00E72C5D">
        <w:rPr>
          <w:rFonts w:cstheme="minorHAnsi"/>
          <w:sz w:val="24"/>
          <w:szCs w:val="24"/>
        </w:rPr>
        <w:t>·</w:t>
      </w:r>
      <w:r w:rsidR="008658E4" w:rsidRPr="00E72C5D">
        <w:rPr>
          <w:sz w:val="24"/>
          <w:szCs w:val="24"/>
        </w:rPr>
        <w:t>5 to 38</w:t>
      </w:r>
      <w:r w:rsidR="00BB61F4" w:rsidRPr="00E72C5D">
        <w:rPr>
          <w:rFonts w:cstheme="minorHAnsi"/>
          <w:sz w:val="24"/>
          <w:szCs w:val="24"/>
        </w:rPr>
        <w:t>·</w:t>
      </w:r>
      <w:r w:rsidR="008658E4" w:rsidRPr="00E72C5D">
        <w:rPr>
          <w:sz w:val="24"/>
          <w:szCs w:val="24"/>
        </w:rPr>
        <w:t xml:space="preserve">9) </w:t>
      </w:r>
      <w:r w:rsidR="00B51F8C" w:rsidRPr="00E72C5D">
        <w:rPr>
          <w:sz w:val="24"/>
          <w:szCs w:val="24"/>
        </w:rPr>
        <w:t>hours in the</w:t>
      </w:r>
      <w:r w:rsidR="000F1866" w:rsidRPr="00E72C5D">
        <w:rPr>
          <w:sz w:val="24"/>
          <w:szCs w:val="24"/>
        </w:rPr>
        <w:t xml:space="preserve"> control group (</w:t>
      </w:r>
      <w:r w:rsidR="0041358F" w:rsidRPr="00E72C5D">
        <w:rPr>
          <w:sz w:val="24"/>
          <w:szCs w:val="24"/>
        </w:rPr>
        <w:t>difference of 20</w:t>
      </w:r>
      <w:r w:rsidR="00BB61F4" w:rsidRPr="00E72C5D">
        <w:rPr>
          <w:rFonts w:cstheme="minorHAnsi"/>
          <w:sz w:val="24"/>
          <w:szCs w:val="24"/>
        </w:rPr>
        <w:t>·</w:t>
      </w:r>
      <w:r w:rsidR="008658E4" w:rsidRPr="00E72C5D">
        <w:rPr>
          <w:sz w:val="24"/>
          <w:szCs w:val="24"/>
        </w:rPr>
        <w:t>8</w:t>
      </w:r>
      <w:r w:rsidR="000F1866" w:rsidRPr="00E72C5D">
        <w:rPr>
          <w:sz w:val="24"/>
          <w:szCs w:val="24"/>
        </w:rPr>
        <w:t xml:space="preserve"> hours, </w:t>
      </w:r>
      <w:r w:rsidR="00B51F8C" w:rsidRPr="00E72C5D">
        <w:rPr>
          <w:sz w:val="24"/>
          <w:szCs w:val="24"/>
        </w:rPr>
        <w:t xml:space="preserve">96%CI </w:t>
      </w:r>
      <w:r w:rsidR="008658E4" w:rsidRPr="00E72C5D">
        <w:rPr>
          <w:sz w:val="24"/>
          <w:szCs w:val="24"/>
        </w:rPr>
        <w:t>18</w:t>
      </w:r>
      <w:r w:rsidR="00BB61F4" w:rsidRPr="00E72C5D">
        <w:rPr>
          <w:rFonts w:cstheme="minorHAnsi"/>
          <w:sz w:val="24"/>
          <w:szCs w:val="24"/>
        </w:rPr>
        <w:t>·</w:t>
      </w:r>
      <w:r w:rsidR="008658E4" w:rsidRPr="00E72C5D">
        <w:rPr>
          <w:sz w:val="24"/>
          <w:szCs w:val="24"/>
        </w:rPr>
        <w:t xml:space="preserve">4 </w:t>
      </w:r>
      <w:r w:rsidR="00B51F8C" w:rsidRPr="00E72C5D">
        <w:rPr>
          <w:sz w:val="24"/>
          <w:szCs w:val="24"/>
        </w:rPr>
        <w:t xml:space="preserve">to </w:t>
      </w:r>
      <w:r w:rsidR="008658E4" w:rsidRPr="00E72C5D">
        <w:rPr>
          <w:sz w:val="24"/>
          <w:szCs w:val="24"/>
        </w:rPr>
        <w:t>21</w:t>
      </w:r>
      <w:r w:rsidR="00BB61F4" w:rsidRPr="00E72C5D">
        <w:rPr>
          <w:rFonts w:cstheme="minorHAnsi"/>
          <w:sz w:val="24"/>
          <w:szCs w:val="24"/>
        </w:rPr>
        <w:t>·</w:t>
      </w:r>
      <w:r w:rsidR="008658E4" w:rsidRPr="00E72C5D">
        <w:rPr>
          <w:sz w:val="24"/>
          <w:szCs w:val="24"/>
        </w:rPr>
        <w:t xml:space="preserve">2; </w:t>
      </w:r>
      <w:r w:rsidR="00B51F8C" w:rsidRPr="00E72C5D">
        <w:rPr>
          <w:sz w:val="24"/>
          <w:szCs w:val="24"/>
        </w:rPr>
        <w:t>p</w:t>
      </w:r>
      <w:r w:rsidR="008658E4" w:rsidRPr="00E72C5D">
        <w:rPr>
          <w:sz w:val="24"/>
          <w:szCs w:val="24"/>
        </w:rPr>
        <w:t>&lt;0</w:t>
      </w:r>
      <w:r w:rsidR="00BB61F4" w:rsidRPr="00E72C5D">
        <w:rPr>
          <w:rFonts w:cstheme="minorHAnsi"/>
          <w:sz w:val="24"/>
          <w:szCs w:val="24"/>
        </w:rPr>
        <w:t>·</w:t>
      </w:r>
      <w:r w:rsidR="008658E4" w:rsidRPr="00E72C5D">
        <w:rPr>
          <w:sz w:val="24"/>
          <w:szCs w:val="24"/>
        </w:rPr>
        <w:t>0001</w:t>
      </w:r>
      <w:r w:rsidR="00600F9D" w:rsidRPr="00E72C5D">
        <w:rPr>
          <w:sz w:val="24"/>
          <w:szCs w:val="24"/>
        </w:rPr>
        <w:t>)</w:t>
      </w:r>
      <w:r w:rsidR="008F2254" w:rsidRPr="00E72C5D">
        <w:rPr>
          <w:sz w:val="24"/>
          <w:szCs w:val="24"/>
        </w:rPr>
        <w:t xml:space="preserve">. </w:t>
      </w:r>
      <w:r w:rsidR="000F1866" w:rsidRPr="00E72C5D">
        <w:rPr>
          <w:sz w:val="24"/>
          <w:szCs w:val="24"/>
        </w:rPr>
        <w:t>The mean number of bed moves whilst in hospital was 0.9 (</w:t>
      </w:r>
      <w:r w:rsidR="00D402EC" w:rsidRPr="00E72C5D">
        <w:rPr>
          <w:sz w:val="24"/>
          <w:szCs w:val="24"/>
        </w:rPr>
        <w:t>0.5</w:t>
      </w:r>
      <w:r w:rsidR="000F1866" w:rsidRPr="00E72C5D">
        <w:rPr>
          <w:sz w:val="24"/>
          <w:szCs w:val="24"/>
        </w:rPr>
        <w:t>) in the POCT group versus 1.4 (</w:t>
      </w:r>
      <w:r w:rsidR="00D402EC" w:rsidRPr="00E72C5D">
        <w:rPr>
          <w:sz w:val="24"/>
          <w:szCs w:val="24"/>
        </w:rPr>
        <w:t>0.7</w:t>
      </w:r>
      <w:r w:rsidR="000F1866" w:rsidRPr="00E72C5D">
        <w:rPr>
          <w:sz w:val="24"/>
          <w:szCs w:val="24"/>
        </w:rPr>
        <w:t xml:space="preserve">) in the control group (difference of 0.5, 95%CI </w:t>
      </w:r>
      <w:r w:rsidR="00D402EC" w:rsidRPr="00E72C5D">
        <w:rPr>
          <w:sz w:val="24"/>
          <w:szCs w:val="24"/>
        </w:rPr>
        <w:t xml:space="preserve">0.4 </w:t>
      </w:r>
      <w:r w:rsidR="000F1866" w:rsidRPr="00E72C5D">
        <w:rPr>
          <w:sz w:val="24"/>
          <w:szCs w:val="24"/>
        </w:rPr>
        <w:t xml:space="preserve">to </w:t>
      </w:r>
      <w:r w:rsidR="00D402EC" w:rsidRPr="00E72C5D">
        <w:rPr>
          <w:sz w:val="24"/>
          <w:szCs w:val="24"/>
        </w:rPr>
        <w:t>0.6; p&lt;0.0001</w:t>
      </w:r>
      <w:r w:rsidR="000F1866" w:rsidRPr="00E72C5D">
        <w:rPr>
          <w:sz w:val="24"/>
          <w:szCs w:val="24"/>
        </w:rPr>
        <w:t xml:space="preserve">). </w:t>
      </w:r>
      <w:r w:rsidR="00D402EC" w:rsidRPr="00E72C5D">
        <w:rPr>
          <w:sz w:val="24"/>
          <w:szCs w:val="24"/>
        </w:rPr>
        <w:t>124/197 (62.9</w:t>
      </w:r>
      <w:r w:rsidR="00FF72E5" w:rsidRPr="00E72C5D">
        <w:rPr>
          <w:sz w:val="24"/>
          <w:szCs w:val="24"/>
        </w:rPr>
        <w:t>%</w:t>
      </w:r>
      <w:r w:rsidR="00D402EC" w:rsidRPr="00E72C5D">
        <w:rPr>
          <w:sz w:val="24"/>
          <w:szCs w:val="24"/>
        </w:rPr>
        <w:t>) SARS-CoV-2 positive patients were enrolled into other clinical trials in the POCT group versus 104/155 (67.1</w:t>
      </w:r>
      <w:r w:rsidR="00FF72E5" w:rsidRPr="00E72C5D">
        <w:rPr>
          <w:sz w:val="24"/>
          <w:szCs w:val="24"/>
        </w:rPr>
        <w:t>%</w:t>
      </w:r>
      <w:r w:rsidR="00D402EC" w:rsidRPr="00E72C5D">
        <w:rPr>
          <w:sz w:val="24"/>
          <w:szCs w:val="24"/>
        </w:rPr>
        <w:t>) in the con</w:t>
      </w:r>
      <w:r w:rsidR="0024658D" w:rsidRPr="00E72C5D">
        <w:rPr>
          <w:sz w:val="24"/>
          <w:szCs w:val="24"/>
        </w:rPr>
        <w:t xml:space="preserve">trol group (difference of 4.2%, </w:t>
      </w:r>
      <w:r w:rsidR="0024658D" w:rsidRPr="00E72C5D">
        <w:rPr>
          <w:sz w:val="24"/>
          <w:szCs w:val="24"/>
        </w:rPr>
        <w:lastRenderedPageBreak/>
        <w:t xml:space="preserve">95%CI </w:t>
      </w:r>
      <w:r w:rsidR="00D402EC" w:rsidRPr="00E72C5D">
        <w:rPr>
          <w:sz w:val="24"/>
          <w:szCs w:val="24"/>
        </w:rPr>
        <w:t xml:space="preserve">-5.9 to 14.0; p=0.42). The time from admission to enrolment into other clinical trials was 1.0 (1.0 to 3.0) days in the POCT group versus 3.0 (2.0 to 4.5) days in the control group (difference of 2.0 days, 95%CI 1.0 to 2.0; p&lt;0.0001)  </w:t>
      </w:r>
      <w:r w:rsidR="00003107" w:rsidRPr="00E72C5D">
        <w:rPr>
          <w:sz w:val="24"/>
          <w:szCs w:val="24"/>
        </w:rPr>
        <w:t xml:space="preserve">Sensitivity </w:t>
      </w:r>
      <w:r w:rsidR="000F1866" w:rsidRPr="00E72C5D">
        <w:rPr>
          <w:sz w:val="24"/>
          <w:szCs w:val="24"/>
        </w:rPr>
        <w:t xml:space="preserve">and specificity </w:t>
      </w:r>
      <w:r w:rsidR="00003107" w:rsidRPr="00E72C5D">
        <w:rPr>
          <w:sz w:val="24"/>
          <w:szCs w:val="24"/>
        </w:rPr>
        <w:t xml:space="preserve">of </w:t>
      </w:r>
      <w:r w:rsidR="00CA2296" w:rsidRPr="00E72C5D">
        <w:rPr>
          <w:sz w:val="24"/>
          <w:szCs w:val="24"/>
        </w:rPr>
        <w:t xml:space="preserve">the QIAstat-Dx SARS-CoV-2 assay </w:t>
      </w:r>
      <w:r w:rsidR="00003107" w:rsidRPr="00E72C5D">
        <w:rPr>
          <w:sz w:val="24"/>
          <w:szCs w:val="24"/>
        </w:rPr>
        <w:t xml:space="preserve">was </w:t>
      </w:r>
      <w:r w:rsidR="00025304" w:rsidRPr="00E72C5D">
        <w:rPr>
          <w:sz w:val="24"/>
          <w:szCs w:val="24"/>
        </w:rPr>
        <w:t>176/177 (</w:t>
      </w:r>
      <w:r w:rsidR="00003107" w:rsidRPr="00E72C5D">
        <w:rPr>
          <w:sz w:val="24"/>
          <w:szCs w:val="24"/>
        </w:rPr>
        <w:t>99</w:t>
      </w:r>
      <w:r w:rsidR="00BB61F4" w:rsidRPr="00E72C5D">
        <w:rPr>
          <w:rFonts w:cstheme="minorHAnsi"/>
          <w:sz w:val="24"/>
          <w:szCs w:val="24"/>
        </w:rPr>
        <w:t>·</w:t>
      </w:r>
      <w:r w:rsidR="00003107" w:rsidRPr="00E72C5D">
        <w:rPr>
          <w:sz w:val="24"/>
          <w:szCs w:val="24"/>
        </w:rPr>
        <w:t>4%</w:t>
      </w:r>
      <w:r w:rsidR="00025304" w:rsidRPr="00E72C5D">
        <w:rPr>
          <w:sz w:val="24"/>
          <w:szCs w:val="24"/>
        </w:rPr>
        <w:t xml:space="preserve">, </w:t>
      </w:r>
      <w:r w:rsidR="00003107" w:rsidRPr="00E72C5D">
        <w:rPr>
          <w:sz w:val="24"/>
          <w:szCs w:val="24"/>
        </w:rPr>
        <w:t>95%CI 96</w:t>
      </w:r>
      <w:r w:rsidR="00BB61F4" w:rsidRPr="00E72C5D">
        <w:rPr>
          <w:rFonts w:cstheme="minorHAnsi"/>
          <w:sz w:val="24"/>
          <w:szCs w:val="24"/>
        </w:rPr>
        <w:t>·</w:t>
      </w:r>
      <w:r w:rsidR="00003107" w:rsidRPr="00E72C5D">
        <w:rPr>
          <w:sz w:val="24"/>
          <w:szCs w:val="24"/>
        </w:rPr>
        <w:t xml:space="preserve">9 to 100) </w:t>
      </w:r>
      <w:r w:rsidR="000F1866" w:rsidRPr="00E72C5D">
        <w:rPr>
          <w:sz w:val="24"/>
          <w:szCs w:val="24"/>
        </w:rPr>
        <w:t xml:space="preserve">and 288/292 (98.6%, 95%CI 96.5 to 99.6) </w:t>
      </w:r>
      <w:r w:rsidR="009F089F" w:rsidRPr="00E72C5D">
        <w:rPr>
          <w:sz w:val="24"/>
          <w:szCs w:val="24"/>
        </w:rPr>
        <w:t xml:space="preserve">compared to </w:t>
      </w:r>
      <w:r w:rsidR="00025304" w:rsidRPr="00E72C5D">
        <w:rPr>
          <w:sz w:val="24"/>
          <w:szCs w:val="24"/>
        </w:rPr>
        <w:t>152/177 (</w:t>
      </w:r>
      <w:r w:rsidR="00BB40FC" w:rsidRPr="00E72C5D">
        <w:rPr>
          <w:sz w:val="24"/>
          <w:szCs w:val="24"/>
        </w:rPr>
        <w:t>85</w:t>
      </w:r>
      <w:r w:rsidR="00BB61F4" w:rsidRPr="00E72C5D">
        <w:rPr>
          <w:rFonts w:cstheme="minorHAnsi"/>
          <w:sz w:val="24"/>
          <w:szCs w:val="24"/>
        </w:rPr>
        <w:t>·</w:t>
      </w:r>
      <w:r w:rsidR="00025304" w:rsidRPr="00E72C5D">
        <w:rPr>
          <w:sz w:val="24"/>
          <w:szCs w:val="24"/>
        </w:rPr>
        <w:t xml:space="preserve">9%, </w:t>
      </w:r>
      <w:r w:rsidR="00BB40FC" w:rsidRPr="00E72C5D">
        <w:rPr>
          <w:sz w:val="24"/>
          <w:szCs w:val="24"/>
        </w:rPr>
        <w:t>95%CI 79</w:t>
      </w:r>
      <w:r w:rsidR="00BB61F4" w:rsidRPr="00E72C5D">
        <w:rPr>
          <w:rFonts w:cstheme="minorHAnsi"/>
          <w:sz w:val="24"/>
          <w:szCs w:val="24"/>
        </w:rPr>
        <w:t>·</w:t>
      </w:r>
      <w:r w:rsidR="00BB40FC" w:rsidRPr="00E72C5D">
        <w:rPr>
          <w:sz w:val="24"/>
          <w:szCs w:val="24"/>
        </w:rPr>
        <w:t>9 to 90</w:t>
      </w:r>
      <w:r w:rsidR="00BB61F4" w:rsidRPr="00E72C5D">
        <w:rPr>
          <w:rFonts w:cstheme="minorHAnsi"/>
          <w:sz w:val="24"/>
          <w:szCs w:val="24"/>
        </w:rPr>
        <w:t>·</w:t>
      </w:r>
      <w:r w:rsidR="00BB40FC" w:rsidRPr="00E72C5D">
        <w:rPr>
          <w:sz w:val="24"/>
          <w:szCs w:val="24"/>
        </w:rPr>
        <w:t>7</w:t>
      </w:r>
      <w:r w:rsidR="004A41BA" w:rsidRPr="00E72C5D">
        <w:rPr>
          <w:sz w:val="24"/>
          <w:szCs w:val="24"/>
        </w:rPr>
        <w:t>)</w:t>
      </w:r>
      <w:r w:rsidR="009F089F" w:rsidRPr="00E72C5D">
        <w:rPr>
          <w:sz w:val="24"/>
          <w:szCs w:val="24"/>
        </w:rPr>
        <w:t xml:space="preserve"> </w:t>
      </w:r>
      <w:r w:rsidR="000F1866" w:rsidRPr="00E72C5D">
        <w:rPr>
          <w:sz w:val="24"/>
          <w:szCs w:val="24"/>
        </w:rPr>
        <w:t xml:space="preserve">and 289/292 (98.9%, 95%CI 97.0 to 99.8) </w:t>
      </w:r>
      <w:r w:rsidR="009F089F" w:rsidRPr="00E72C5D">
        <w:rPr>
          <w:sz w:val="24"/>
          <w:szCs w:val="24"/>
        </w:rPr>
        <w:t xml:space="preserve">with laboratory PCR. </w:t>
      </w:r>
    </w:p>
    <w:p w:rsidR="00362BCA" w:rsidRPr="00E72C5D" w:rsidRDefault="00BB594F" w:rsidP="00BB594F">
      <w:pPr>
        <w:spacing w:line="480" w:lineRule="auto"/>
        <w:jc w:val="both"/>
        <w:rPr>
          <w:sz w:val="24"/>
          <w:szCs w:val="24"/>
        </w:rPr>
      </w:pPr>
      <w:r w:rsidRPr="00E72C5D">
        <w:rPr>
          <w:b/>
          <w:bCs/>
          <w:sz w:val="24"/>
          <w:szCs w:val="24"/>
        </w:rPr>
        <w:t>Interpretation</w:t>
      </w:r>
      <w:r w:rsidRPr="00E72C5D">
        <w:rPr>
          <w:sz w:val="24"/>
          <w:szCs w:val="24"/>
        </w:rPr>
        <w:t xml:space="preserve"> </w:t>
      </w:r>
      <w:r w:rsidR="00B51F8C" w:rsidRPr="00E72C5D">
        <w:rPr>
          <w:sz w:val="24"/>
          <w:szCs w:val="24"/>
        </w:rPr>
        <w:t xml:space="preserve">POCT </w:t>
      </w:r>
      <w:r w:rsidR="00245C30" w:rsidRPr="00E72C5D">
        <w:rPr>
          <w:sz w:val="24"/>
          <w:szCs w:val="24"/>
        </w:rPr>
        <w:t xml:space="preserve">was associated with </w:t>
      </w:r>
      <w:r w:rsidR="0094464B" w:rsidRPr="00E72C5D">
        <w:rPr>
          <w:sz w:val="24"/>
          <w:szCs w:val="24"/>
        </w:rPr>
        <w:t xml:space="preserve">large </w:t>
      </w:r>
      <w:r w:rsidR="00B51F8C" w:rsidRPr="00E72C5D">
        <w:rPr>
          <w:sz w:val="24"/>
          <w:szCs w:val="24"/>
        </w:rPr>
        <w:t>reduction</w:t>
      </w:r>
      <w:r w:rsidR="00245C30" w:rsidRPr="00E72C5D">
        <w:rPr>
          <w:sz w:val="24"/>
          <w:szCs w:val="24"/>
        </w:rPr>
        <w:t>s</w:t>
      </w:r>
      <w:r w:rsidR="00B51F8C" w:rsidRPr="00E72C5D">
        <w:rPr>
          <w:sz w:val="24"/>
          <w:szCs w:val="24"/>
        </w:rPr>
        <w:t xml:space="preserve"> in time to result</w:t>
      </w:r>
      <w:r w:rsidR="006F2115" w:rsidRPr="00E72C5D">
        <w:rPr>
          <w:sz w:val="24"/>
          <w:szCs w:val="24"/>
        </w:rPr>
        <w:t>s</w:t>
      </w:r>
      <w:r w:rsidR="00B51F8C" w:rsidRPr="00E72C5D">
        <w:rPr>
          <w:sz w:val="24"/>
          <w:szCs w:val="24"/>
        </w:rPr>
        <w:t xml:space="preserve"> </w:t>
      </w:r>
      <w:r w:rsidR="0094464B" w:rsidRPr="00E72C5D">
        <w:rPr>
          <w:sz w:val="24"/>
          <w:szCs w:val="24"/>
        </w:rPr>
        <w:t>and improvements i</w:t>
      </w:r>
      <w:r w:rsidR="00003107" w:rsidRPr="00E72C5D">
        <w:rPr>
          <w:sz w:val="24"/>
          <w:szCs w:val="24"/>
        </w:rPr>
        <w:t>n infection control measures</w:t>
      </w:r>
      <w:r w:rsidR="00600F9D" w:rsidRPr="00E72C5D">
        <w:rPr>
          <w:sz w:val="24"/>
          <w:szCs w:val="24"/>
        </w:rPr>
        <w:t xml:space="preserve">, and </w:t>
      </w:r>
      <w:r w:rsidR="00B51F8C" w:rsidRPr="00E72C5D">
        <w:rPr>
          <w:sz w:val="24"/>
          <w:szCs w:val="24"/>
        </w:rPr>
        <w:t>had high diagnostic acc</w:t>
      </w:r>
      <w:r w:rsidR="006F2115" w:rsidRPr="00E72C5D">
        <w:rPr>
          <w:sz w:val="24"/>
          <w:szCs w:val="24"/>
        </w:rPr>
        <w:t>uracy</w:t>
      </w:r>
      <w:r w:rsidR="00D402EC" w:rsidRPr="00E72C5D">
        <w:rPr>
          <w:sz w:val="24"/>
          <w:szCs w:val="24"/>
        </w:rPr>
        <w:t>, compared to laboratory PCR testing.</w:t>
      </w:r>
    </w:p>
    <w:p w:rsidR="00BB594F" w:rsidRPr="00E72C5D" w:rsidRDefault="00BB594F" w:rsidP="00BB594F">
      <w:pPr>
        <w:spacing w:after="0" w:line="480" w:lineRule="auto"/>
        <w:jc w:val="both"/>
        <w:rPr>
          <w:bCs/>
          <w:sz w:val="24"/>
          <w:szCs w:val="24"/>
        </w:rPr>
      </w:pPr>
      <w:r w:rsidRPr="00E72C5D">
        <w:rPr>
          <w:b/>
          <w:bCs/>
          <w:sz w:val="24"/>
          <w:szCs w:val="24"/>
        </w:rPr>
        <w:t xml:space="preserve">Funding </w:t>
      </w:r>
      <w:r w:rsidRPr="00E72C5D">
        <w:rPr>
          <w:bCs/>
          <w:sz w:val="24"/>
          <w:szCs w:val="24"/>
        </w:rPr>
        <w:t xml:space="preserve">University Hospitals </w:t>
      </w:r>
      <w:r w:rsidR="00CA2296" w:rsidRPr="00E72C5D">
        <w:rPr>
          <w:bCs/>
          <w:sz w:val="24"/>
          <w:szCs w:val="24"/>
        </w:rPr>
        <w:t xml:space="preserve">Southampton </w:t>
      </w:r>
      <w:r w:rsidRPr="00E72C5D">
        <w:rPr>
          <w:bCs/>
          <w:sz w:val="24"/>
          <w:szCs w:val="24"/>
        </w:rPr>
        <w:t>NHS Foundation Trust</w:t>
      </w:r>
    </w:p>
    <w:p w:rsidR="00D402EC" w:rsidRDefault="00D402EC" w:rsidP="00BB594F">
      <w:pPr>
        <w:spacing w:after="0" w:line="480" w:lineRule="auto"/>
        <w:jc w:val="both"/>
        <w:rPr>
          <w:bCs/>
          <w:sz w:val="24"/>
          <w:szCs w:val="24"/>
        </w:rPr>
      </w:pPr>
    </w:p>
    <w:p w:rsidR="00D402EC" w:rsidRDefault="00D402EC" w:rsidP="00BB594F">
      <w:pPr>
        <w:spacing w:after="0" w:line="480" w:lineRule="auto"/>
        <w:jc w:val="both"/>
        <w:rPr>
          <w:bCs/>
          <w:sz w:val="24"/>
          <w:szCs w:val="24"/>
        </w:rPr>
      </w:pPr>
    </w:p>
    <w:p w:rsidR="00D402EC" w:rsidRDefault="00D402EC" w:rsidP="00BB594F">
      <w:pPr>
        <w:spacing w:after="0" w:line="480" w:lineRule="auto"/>
        <w:jc w:val="both"/>
        <w:rPr>
          <w:bCs/>
          <w:sz w:val="24"/>
          <w:szCs w:val="24"/>
        </w:rPr>
      </w:pPr>
    </w:p>
    <w:p w:rsidR="00D402EC" w:rsidRDefault="00D402EC" w:rsidP="00BB594F">
      <w:pPr>
        <w:spacing w:after="0" w:line="480" w:lineRule="auto"/>
        <w:jc w:val="both"/>
        <w:rPr>
          <w:bCs/>
          <w:sz w:val="24"/>
          <w:szCs w:val="24"/>
        </w:rPr>
      </w:pPr>
    </w:p>
    <w:p w:rsidR="00D402EC" w:rsidRDefault="00D402EC" w:rsidP="00BB594F">
      <w:pPr>
        <w:spacing w:after="0" w:line="480" w:lineRule="auto"/>
        <w:jc w:val="both"/>
        <w:rPr>
          <w:bCs/>
          <w:sz w:val="24"/>
          <w:szCs w:val="24"/>
        </w:rPr>
      </w:pPr>
    </w:p>
    <w:p w:rsidR="00D402EC" w:rsidRDefault="00D402EC" w:rsidP="00BB594F">
      <w:pPr>
        <w:spacing w:after="0" w:line="480" w:lineRule="auto"/>
        <w:jc w:val="both"/>
        <w:rPr>
          <w:bCs/>
          <w:sz w:val="24"/>
          <w:szCs w:val="24"/>
        </w:rPr>
      </w:pPr>
    </w:p>
    <w:p w:rsidR="00D402EC" w:rsidRDefault="00D402EC" w:rsidP="00BB594F">
      <w:pPr>
        <w:spacing w:after="0" w:line="480" w:lineRule="auto"/>
        <w:jc w:val="both"/>
        <w:rPr>
          <w:bCs/>
          <w:sz w:val="24"/>
          <w:szCs w:val="24"/>
        </w:rPr>
      </w:pPr>
    </w:p>
    <w:p w:rsidR="00D402EC" w:rsidRDefault="00D402EC" w:rsidP="00BB594F">
      <w:pPr>
        <w:spacing w:after="0" w:line="480" w:lineRule="auto"/>
        <w:jc w:val="both"/>
        <w:rPr>
          <w:bCs/>
          <w:sz w:val="24"/>
          <w:szCs w:val="24"/>
        </w:rPr>
      </w:pPr>
    </w:p>
    <w:p w:rsidR="00D402EC" w:rsidRDefault="00D402EC" w:rsidP="00BB594F">
      <w:pPr>
        <w:spacing w:after="0" w:line="480" w:lineRule="auto"/>
        <w:jc w:val="both"/>
        <w:rPr>
          <w:bCs/>
          <w:sz w:val="24"/>
          <w:szCs w:val="24"/>
        </w:rPr>
      </w:pPr>
    </w:p>
    <w:p w:rsidR="00D402EC" w:rsidRDefault="00D402EC" w:rsidP="00BB594F">
      <w:pPr>
        <w:spacing w:after="0" w:line="480" w:lineRule="auto"/>
        <w:jc w:val="both"/>
        <w:rPr>
          <w:bCs/>
          <w:sz w:val="24"/>
          <w:szCs w:val="24"/>
        </w:rPr>
      </w:pPr>
    </w:p>
    <w:p w:rsidR="00D402EC" w:rsidRDefault="00D402EC" w:rsidP="00BB594F">
      <w:pPr>
        <w:spacing w:after="0" w:line="480" w:lineRule="auto"/>
        <w:jc w:val="both"/>
        <w:rPr>
          <w:bCs/>
          <w:sz w:val="24"/>
          <w:szCs w:val="24"/>
        </w:rPr>
      </w:pPr>
    </w:p>
    <w:p w:rsidR="00D402EC" w:rsidRDefault="00D402EC" w:rsidP="00BB594F">
      <w:pPr>
        <w:spacing w:after="0" w:line="480" w:lineRule="auto"/>
        <w:jc w:val="both"/>
        <w:rPr>
          <w:bCs/>
          <w:sz w:val="24"/>
          <w:szCs w:val="24"/>
        </w:rPr>
      </w:pPr>
    </w:p>
    <w:p w:rsidR="00D402EC" w:rsidRDefault="00D402EC" w:rsidP="00BB594F">
      <w:pPr>
        <w:spacing w:after="0" w:line="480" w:lineRule="auto"/>
        <w:jc w:val="both"/>
        <w:rPr>
          <w:bCs/>
          <w:sz w:val="24"/>
          <w:szCs w:val="24"/>
        </w:rPr>
      </w:pPr>
    </w:p>
    <w:p w:rsidR="00D402EC" w:rsidRDefault="00D402EC" w:rsidP="00BB594F">
      <w:pPr>
        <w:spacing w:after="0" w:line="480" w:lineRule="auto"/>
        <w:jc w:val="both"/>
        <w:rPr>
          <w:bCs/>
          <w:sz w:val="24"/>
          <w:szCs w:val="24"/>
        </w:rPr>
      </w:pPr>
    </w:p>
    <w:p w:rsidR="0091644D" w:rsidRPr="000A5D43" w:rsidRDefault="0091644D" w:rsidP="00BE6A06">
      <w:pPr>
        <w:spacing w:after="0" w:line="480" w:lineRule="auto"/>
        <w:jc w:val="both"/>
        <w:rPr>
          <w:sz w:val="24"/>
          <w:szCs w:val="24"/>
        </w:rPr>
      </w:pPr>
      <w:r w:rsidRPr="00D03127">
        <w:rPr>
          <w:b/>
          <w:bCs/>
          <w:sz w:val="32"/>
          <w:szCs w:val="32"/>
        </w:rPr>
        <w:t>Introduction</w:t>
      </w:r>
    </w:p>
    <w:p w:rsidR="00EE23FE" w:rsidRDefault="004022B4" w:rsidP="00BE6A06">
      <w:pPr>
        <w:pStyle w:val="BodyText"/>
        <w:spacing w:line="480" w:lineRule="auto"/>
        <w:ind w:left="0" w:right="198"/>
        <w:jc w:val="both"/>
        <w:rPr>
          <w:rFonts w:asciiTheme="minorHAnsi" w:hAnsiTheme="minorHAnsi"/>
          <w:spacing w:val="-1"/>
          <w:sz w:val="24"/>
          <w:szCs w:val="24"/>
        </w:rPr>
      </w:pPr>
      <w:r w:rsidRPr="000A5D43">
        <w:rPr>
          <w:rFonts w:asciiTheme="minorHAnsi" w:hAnsiTheme="minorHAnsi"/>
          <w:spacing w:val="-1"/>
          <w:sz w:val="24"/>
          <w:szCs w:val="24"/>
        </w:rPr>
        <w:t>The management of</w:t>
      </w:r>
      <w:r w:rsidR="0094464B">
        <w:rPr>
          <w:rFonts w:asciiTheme="minorHAnsi" w:hAnsiTheme="minorHAnsi"/>
          <w:spacing w:val="-1"/>
          <w:sz w:val="24"/>
          <w:szCs w:val="24"/>
        </w:rPr>
        <w:t xml:space="preserve"> suspected</w:t>
      </w:r>
      <w:r w:rsidRPr="000A5D43">
        <w:rPr>
          <w:rFonts w:asciiTheme="minorHAnsi" w:hAnsiTheme="minorHAnsi"/>
          <w:spacing w:val="-1"/>
          <w:sz w:val="24"/>
          <w:szCs w:val="24"/>
        </w:rPr>
        <w:t xml:space="preserve"> </w:t>
      </w:r>
      <w:r w:rsidR="0091490B">
        <w:rPr>
          <w:rFonts w:asciiTheme="minorHAnsi" w:hAnsiTheme="minorHAnsi"/>
          <w:spacing w:val="-1"/>
          <w:sz w:val="24"/>
          <w:szCs w:val="24"/>
        </w:rPr>
        <w:t>SARS-CoV-2-associ</w:t>
      </w:r>
      <w:r w:rsidR="00164D81">
        <w:rPr>
          <w:rFonts w:asciiTheme="minorHAnsi" w:hAnsiTheme="minorHAnsi"/>
          <w:spacing w:val="-1"/>
          <w:sz w:val="24"/>
          <w:szCs w:val="24"/>
        </w:rPr>
        <w:t>a</w:t>
      </w:r>
      <w:r w:rsidR="0091490B">
        <w:rPr>
          <w:rFonts w:asciiTheme="minorHAnsi" w:hAnsiTheme="minorHAnsi"/>
          <w:spacing w:val="-1"/>
          <w:sz w:val="24"/>
          <w:szCs w:val="24"/>
        </w:rPr>
        <w:t>ted respiratory disease (</w:t>
      </w:r>
      <w:r w:rsidRPr="000A5D43">
        <w:rPr>
          <w:rFonts w:asciiTheme="minorHAnsi" w:hAnsiTheme="minorHAnsi"/>
          <w:spacing w:val="-1"/>
          <w:sz w:val="24"/>
          <w:szCs w:val="24"/>
        </w:rPr>
        <w:t>COVID</w:t>
      </w:r>
      <w:r w:rsidR="0091490B">
        <w:rPr>
          <w:rFonts w:asciiTheme="minorHAnsi" w:hAnsiTheme="minorHAnsi"/>
          <w:spacing w:val="-1"/>
          <w:sz w:val="24"/>
          <w:szCs w:val="24"/>
        </w:rPr>
        <w:t>-19)</w:t>
      </w:r>
      <w:r w:rsidR="00867978">
        <w:rPr>
          <w:rFonts w:asciiTheme="minorHAnsi" w:hAnsiTheme="minorHAnsi"/>
          <w:spacing w:val="-1"/>
          <w:sz w:val="24"/>
          <w:szCs w:val="24"/>
        </w:rPr>
        <w:t xml:space="preserve"> </w:t>
      </w:r>
      <w:r w:rsidR="00EC46B9" w:rsidRPr="000A5D43">
        <w:rPr>
          <w:rFonts w:asciiTheme="minorHAnsi" w:hAnsiTheme="minorHAnsi"/>
          <w:spacing w:val="-1"/>
          <w:sz w:val="24"/>
          <w:szCs w:val="24"/>
        </w:rPr>
        <w:t xml:space="preserve">is </w:t>
      </w:r>
      <w:r w:rsidR="004156C3" w:rsidRPr="000A5D43">
        <w:rPr>
          <w:rFonts w:asciiTheme="minorHAnsi" w:hAnsiTheme="minorHAnsi"/>
          <w:spacing w:val="-1"/>
          <w:sz w:val="24"/>
          <w:szCs w:val="24"/>
        </w:rPr>
        <w:t xml:space="preserve">severely </w:t>
      </w:r>
      <w:r w:rsidR="00EC46B9" w:rsidRPr="000A5D43">
        <w:rPr>
          <w:rFonts w:asciiTheme="minorHAnsi" w:hAnsiTheme="minorHAnsi"/>
          <w:spacing w:val="-1"/>
          <w:sz w:val="24"/>
          <w:szCs w:val="24"/>
        </w:rPr>
        <w:t xml:space="preserve">hampered by </w:t>
      </w:r>
      <w:r w:rsidR="00BE23B6" w:rsidRPr="000A5D43">
        <w:rPr>
          <w:rFonts w:asciiTheme="minorHAnsi" w:hAnsiTheme="minorHAnsi"/>
          <w:spacing w:val="-1"/>
          <w:sz w:val="24"/>
          <w:szCs w:val="24"/>
        </w:rPr>
        <w:t xml:space="preserve">the </w:t>
      </w:r>
      <w:r w:rsidR="00EC46B9" w:rsidRPr="000A5D43">
        <w:rPr>
          <w:rFonts w:asciiTheme="minorHAnsi" w:hAnsiTheme="minorHAnsi"/>
          <w:spacing w:val="-1"/>
          <w:sz w:val="24"/>
          <w:szCs w:val="24"/>
        </w:rPr>
        <w:t>long turnaround time</w:t>
      </w:r>
      <w:r w:rsidR="00387FF7" w:rsidRPr="000A5D43">
        <w:rPr>
          <w:rFonts w:asciiTheme="minorHAnsi" w:hAnsiTheme="minorHAnsi"/>
          <w:spacing w:val="-1"/>
          <w:sz w:val="24"/>
          <w:szCs w:val="24"/>
        </w:rPr>
        <w:t>s</w:t>
      </w:r>
      <w:r w:rsidR="00EC46B9" w:rsidRPr="000A5D43">
        <w:rPr>
          <w:rFonts w:asciiTheme="minorHAnsi" w:hAnsiTheme="minorHAnsi"/>
          <w:spacing w:val="-1"/>
          <w:sz w:val="24"/>
          <w:szCs w:val="24"/>
        </w:rPr>
        <w:t xml:space="preserve"> </w:t>
      </w:r>
      <w:r w:rsidR="0094464B">
        <w:rPr>
          <w:rFonts w:asciiTheme="minorHAnsi" w:hAnsiTheme="minorHAnsi"/>
          <w:spacing w:val="-1"/>
          <w:sz w:val="24"/>
          <w:szCs w:val="24"/>
        </w:rPr>
        <w:t xml:space="preserve">associated with </w:t>
      </w:r>
      <w:r w:rsidR="00BE23B6" w:rsidRPr="000A5D43">
        <w:rPr>
          <w:rFonts w:asciiTheme="minorHAnsi" w:hAnsiTheme="minorHAnsi"/>
          <w:spacing w:val="-1"/>
          <w:sz w:val="24"/>
          <w:szCs w:val="24"/>
        </w:rPr>
        <w:t xml:space="preserve">centralised </w:t>
      </w:r>
      <w:r w:rsidR="00EC46B9" w:rsidRPr="000A5D43">
        <w:rPr>
          <w:rFonts w:asciiTheme="minorHAnsi" w:hAnsiTheme="minorHAnsi"/>
          <w:spacing w:val="-1"/>
          <w:sz w:val="24"/>
          <w:szCs w:val="24"/>
        </w:rPr>
        <w:t>laboratory PCR testing</w:t>
      </w:r>
      <w:r w:rsidR="00271525" w:rsidRPr="000A5D43">
        <w:rPr>
          <w:rFonts w:asciiTheme="minorHAnsi" w:hAnsiTheme="minorHAnsi"/>
          <w:spacing w:val="-1"/>
          <w:sz w:val="24"/>
          <w:szCs w:val="24"/>
        </w:rPr>
        <w:t xml:space="preserve">, </w:t>
      </w:r>
      <w:r w:rsidR="00BE23B6" w:rsidRPr="000A5D43">
        <w:rPr>
          <w:rFonts w:asciiTheme="minorHAnsi" w:hAnsiTheme="minorHAnsi"/>
          <w:spacing w:val="-1"/>
          <w:sz w:val="24"/>
          <w:szCs w:val="24"/>
        </w:rPr>
        <w:t>which can take</w:t>
      </w:r>
      <w:r w:rsidR="00387FF7" w:rsidRPr="000A5D43">
        <w:rPr>
          <w:rFonts w:asciiTheme="minorHAnsi" w:hAnsiTheme="minorHAnsi"/>
          <w:spacing w:val="-1"/>
          <w:sz w:val="24"/>
          <w:szCs w:val="24"/>
        </w:rPr>
        <w:t xml:space="preserve"> several days</w:t>
      </w:r>
      <w:r w:rsidR="00271525" w:rsidRPr="000A5D43">
        <w:rPr>
          <w:rFonts w:asciiTheme="minorHAnsi" w:hAnsiTheme="minorHAnsi"/>
          <w:spacing w:val="-1"/>
          <w:sz w:val="24"/>
          <w:szCs w:val="24"/>
        </w:rPr>
        <w:t xml:space="preserve"> to generate results</w:t>
      </w:r>
      <w:r w:rsidR="00164D81">
        <w:rPr>
          <w:rFonts w:asciiTheme="minorHAnsi" w:hAnsiTheme="minorHAnsi"/>
          <w:spacing w:val="-1"/>
          <w:sz w:val="24"/>
          <w:szCs w:val="24"/>
        </w:rPr>
        <w:t xml:space="preserve">. </w:t>
      </w:r>
      <w:r w:rsidR="00387FF7" w:rsidRPr="000A5D43">
        <w:rPr>
          <w:rFonts w:asciiTheme="minorHAnsi" w:hAnsiTheme="minorHAnsi"/>
          <w:spacing w:val="-1"/>
          <w:sz w:val="24"/>
          <w:szCs w:val="24"/>
        </w:rPr>
        <w:t xml:space="preserve">In acute hospitals </w:t>
      </w:r>
      <w:r w:rsidR="00EC46B9" w:rsidRPr="000A5D43">
        <w:rPr>
          <w:rFonts w:asciiTheme="minorHAnsi" w:hAnsiTheme="minorHAnsi"/>
          <w:spacing w:val="-1"/>
          <w:sz w:val="24"/>
          <w:szCs w:val="24"/>
        </w:rPr>
        <w:t>this leads to poor patient flow</w:t>
      </w:r>
      <w:r w:rsidR="00E90E8A" w:rsidRPr="000A5D43">
        <w:rPr>
          <w:rFonts w:asciiTheme="minorHAnsi" w:hAnsiTheme="minorHAnsi"/>
          <w:spacing w:val="-1"/>
          <w:sz w:val="24"/>
          <w:szCs w:val="24"/>
        </w:rPr>
        <w:t xml:space="preserve"> th</w:t>
      </w:r>
      <w:r w:rsidR="0094464B">
        <w:rPr>
          <w:rFonts w:asciiTheme="minorHAnsi" w:hAnsiTheme="minorHAnsi"/>
          <w:spacing w:val="-1"/>
          <w:sz w:val="24"/>
          <w:szCs w:val="24"/>
        </w:rPr>
        <w:t>r</w:t>
      </w:r>
      <w:r w:rsidR="00E90E8A" w:rsidRPr="000A5D43">
        <w:rPr>
          <w:rFonts w:asciiTheme="minorHAnsi" w:hAnsiTheme="minorHAnsi"/>
          <w:spacing w:val="-1"/>
          <w:sz w:val="24"/>
          <w:szCs w:val="24"/>
        </w:rPr>
        <w:t xml:space="preserve">ough </w:t>
      </w:r>
      <w:r w:rsidR="00E622CF">
        <w:rPr>
          <w:rFonts w:asciiTheme="minorHAnsi" w:hAnsiTheme="minorHAnsi"/>
          <w:spacing w:val="-1"/>
          <w:sz w:val="24"/>
          <w:szCs w:val="24"/>
        </w:rPr>
        <w:t>clinical</w:t>
      </w:r>
      <w:r w:rsidR="00E90E8A" w:rsidRPr="000A5D43">
        <w:rPr>
          <w:rFonts w:asciiTheme="minorHAnsi" w:hAnsiTheme="minorHAnsi"/>
          <w:spacing w:val="-1"/>
          <w:sz w:val="24"/>
          <w:szCs w:val="24"/>
        </w:rPr>
        <w:t xml:space="preserve"> areas</w:t>
      </w:r>
      <w:r w:rsidR="0064335A" w:rsidRPr="000A5D43">
        <w:rPr>
          <w:rFonts w:asciiTheme="minorHAnsi" w:hAnsiTheme="minorHAnsi"/>
          <w:spacing w:val="-1"/>
          <w:sz w:val="24"/>
          <w:szCs w:val="24"/>
        </w:rPr>
        <w:t xml:space="preserve">, </w:t>
      </w:r>
      <w:r w:rsidR="00EC46B9" w:rsidRPr="000A5D43">
        <w:rPr>
          <w:rFonts w:asciiTheme="minorHAnsi" w:hAnsiTheme="minorHAnsi"/>
          <w:spacing w:val="-1"/>
          <w:sz w:val="24"/>
          <w:szCs w:val="24"/>
        </w:rPr>
        <w:t xml:space="preserve">as suspected patients are </w:t>
      </w:r>
      <w:r w:rsidR="00245C30">
        <w:rPr>
          <w:rFonts w:asciiTheme="minorHAnsi" w:hAnsiTheme="minorHAnsi"/>
          <w:spacing w:val="-1"/>
          <w:sz w:val="24"/>
          <w:szCs w:val="24"/>
        </w:rPr>
        <w:t xml:space="preserve">cohorted in </w:t>
      </w:r>
      <w:r w:rsidR="00E90E8A" w:rsidRPr="000A5D43">
        <w:rPr>
          <w:rFonts w:asciiTheme="minorHAnsi" w:hAnsiTheme="minorHAnsi"/>
          <w:spacing w:val="-1"/>
          <w:sz w:val="24"/>
          <w:szCs w:val="24"/>
        </w:rPr>
        <w:t xml:space="preserve">assessment </w:t>
      </w:r>
      <w:r w:rsidR="00EC46B9" w:rsidRPr="000A5D43">
        <w:rPr>
          <w:rFonts w:asciiTheme="minorHAnsi" w:hAnsiTheme="minorHAnsi"/>
          <w:spacing w:val="-1"/>
          <w:sz w:val="24"/>
          <w:szCs w:val="24"/>
        </w:rPr>
        <w:t>areas until the</w:t>
      </w:r>
      <w:r w:rsidR="00387FF7" w:rsidRPr="000A5D43">
        <w:rPr>
          <w:rFonts w:asciiTheme="minorHAnsi" w:hAnsiTheme="minorHAnsi"/>
          <w:spacing w:val="-1"/>
          <w:sz w:val="24"/>
          <w:szCs w:val="24"/>
        </w:rPr>
        <w:t xml:space="preserve">ir results are available. </w:t>
      </w:r>
      <w:r w:rsidR="00271525" w:rsidRPr="000A5D43">
        <w:rPr>
          <w:rFonts w:asciiTheme="minorHAnsi" w:hAnsiTheme="minorHAnsi"/>
          <w:spacing w:val="-1"/>
          <w:sz w:val="24"/>
          <w:szCs w:val="24"/>
        </w:rPr>
        <w:t>In addition</w:t>
      </w:r>
      <w:r w:rsidR="00BE23B6" w:rsidRPr="000A5D43">
        <w:rPr>
          <w:rFonts w:asciiTheme="minorHAnsi" w:hAnsiTheme="minorHAnsi"/>
          <w:spacing w:val="-1"/>
          <w:sz w:val="24"/>
          <w:szCs w:val="24"/>
        </w:rPr>
        <w:t>,</w:t>
      </w:r>
      <w:r w:rsidR="00271525" w:rsidRPr="000A5D43">
        <w:rPr>
          <w:rFonts w:asciiTheme="minorHAnsi" w:hAnsiTheme="minorHAnsi"/>
          <w:spacing w:val="-1"/>
          <w:sz w:val="24"/>
          <w:szCs w:val="24"/>
        </w:rPr>
        <w:t xml:space="preserve"> lack of single occupancy rooms means that </w:t>
      </w:r>
      <w:r w:rsidRPr="000A5D43">
        <w:rPr>
          <w:rFonts w:asciiTheme="minorHAnsi" w:hAnsiTheme="minorHAnsi"/>
          <w:spacing w:val="-1"/>
          <w:sz w:val="24"/>
          <w:szCs w:val="24"/>
        </w:rPr>
        <w:t>COVID</w:t>
      </w:r>
      <w:r w:rsidR="00271525" w:rsidRPr="000A5D43">
        <w:rPr>
          <w:rFonts w:asciiTheme="minorHAnsi" w:hAnsiTheme="minorHAnsi"/>
          <w:spacing w:val="-1"/>
          <w:sz w:val="24"/>
          <w:szCs w:val="24"/>
        </w:rPr>
        <w:t xml:space="preserve">-19 negative patients in </w:t>
      </w:r>
      <w:r w:rsidR="00E90E8A" w:rsidRPr="000A5D43">
        <w:rPr>
          <w:rFonts w:asciiTheme="minorHAnsi" w:hAnsiTheme="minorHAnsi"/>
          <w:spacing w:val="-1"/>
          <w:sz w:val="24"/>
          <w:szCs w:val="24"/>
        </w:rPr>
        <w:t xml:space="preserve">these </w:t>
      </w:r>
      <w:r w:rsidR="00271525" w:rsidRPr="000A5D43">
        <w:rPr>
          <w:rFonts w:asciiTheme="minorHAnsi" w:hAnsiTheme="minorHAnsi"/>
          <w:spacing w:val="-1"/>
          <w:sz w:val="24"/>
          <w:szCs w:val="24"/>
        </w:rPr>
        <w:t xml:space="preserve">assessment areas may acquire </w:t>
      </w:r>
      <w:r w:rsidR="00AC2BFE" w:rsidRPr="000A5D43">
        <w:rPr>
          <w:rFonts w:asciiTheme="minorHAnsi" w:hAnsiTheme="minorHAnsi"/>
          <w:spacing w:val="-1"/>
          <w:sz w:val="24"/>
          <w:szCs w:val="24"/>
        </w:rPr>
        <w:t>infectio</w:t>
      </w:r>
      <w:r w:rsidRPr="000A5D43">
        <w:rPr>
          <w:rFonts w:asciiTheme="minorHAnsi" w:hAnsiTheme="minorHAnsi"/>
          <w:spacing w:val="-1"/>
          <w:sz w:val="24"/>
          <w:szCs w:val="24"/>
        </w:rPr>
        <w:t xml:space="preserve">n from </w:t>
      </w:r>
      <w:r w:rsidR="00AC2BFE" w:rsidRPr="000A5D43">
        <w:rPr>
          <w:rFonts w:asciiTheme="minorHAnsi" w:hAnsiTheme="minorHAnsi"/>
          <w:spacing w:val="-1"/>
          <w:sz w:val="24"/>
          <w:szCs w:val="24"/>
        </w:rPr>
        <w:t>posi</w:t>
      </w:r>
      <w:r w:rsidR="000C5490">
        <w:rPr>
          <w:rFonts w:asciiTheme="minorHAnsi" w:hAnsiTheme="minorHAnsi"/>
          <w:spacing w:val="-1"/>
          <w:sz w:val="24"/>
          <w:szCs w:val="24"/>
        </w:rPr>
        <w:t>tive patients before</w:t>
      </w:r>
      <w:r w:rsidR="00AC2BFE" w:rsidRPr="000A5D43">
        <w:rPr>
          <w:rFonts w:asciiTheme="minorHAnsi" w:hAnsiTheme="minorHAnsi"/>
          <w:spacing w:val="-1"/>
          <w:sz w:val="24"/>
          <w:szCs w:val="24"/>
        </w:rPr>
        <w:t xml:space="preserve"> results are available.</w:t>
      </w:r>
      <w:r w:rsidR="00003107">
        <w:rPr>
          <w:rFonts w:asciiTheme="minorHAnsi" w:hAnsiTheme="minorHAnsi"/>
          <w:spacing w:val="-1"/>
          <w:sz w:val="24"/>
          <w:szCs w:val="24"/>
        </w:rPr>
        <w:t xml:space="preserve"> </w:t>
      </w:r>
      <w:r w:rsidR="00864A0D">
        <w:rPr>
          <w:rFonts w:asciiTheme="minorHAnsi" w:hAnsiTheme="minorHAnsi"/>
          <w:spacing w:val="-1"/>
          <w:sz w:val="24"/>
          <w:szCs w:val="24"/>
        </w:rPr>
        <w:t xml:space="preserve">Hospital acquired infection is a hallmark metric for quality of care in hospitals and </w:t>
      </w:r>
      <w:r w:rsidR="00A04972">
        <w:rPr>
          <w:rFonts w:asciiTheme="minorHAnsi" w:hAnsiTheme="minorHAnsi"/>
          <w:spacing w:val="-1"/>
          <w:sz w:val="24"/>
          <w:szCs w:val="24"/>
        </w:rPr>
        <w:t xml:space="preserve">NHS data suggests that </w:t>
      </w:r>
      <w:r w:rsidR="00864A0D">
        <w:rPr>
          <w:rFonts w:asciiTheme="minorHAnsi" w:hAnsiTheme="minorHAnsi"/>
          <w:spacing w:val="-1"/>
          <w:sz w:val="24"/>
          <w:szCs w:val="24"/>
        </w:rPr>
        <w:t xml:space="preserve">large proportions of </w:t>
      </w:r>
      <w:r w:rsidR="00A04972">
        <w:rPr>
          <w:rFonts w:asciiTheme="minorHAnsi" w:hAnsiTheme="minorHAnsi"/>
          <w:spacing w:val="-1"/>
          <w:sz w:val="24"/>
          <w:szCs w:val="24"/>
        </w:rPr>
        <w:t xml:space="preserve">COVID-19 cases </w:t>
      </w:r>
      <w:r w:rsidR="00D42B4D">
        <w:rPr>
          <w:rFonts w:asciiTheme="minorHAnsi" w:hAnsiTheme="minorHAnsi"/>
          <w:spacing w:val="-1"/>
          <w:sz w:val="24"/>
          <w:szCs w:val="24"/>
        </w:rPr>
        <w:t xml:space="preserve">diagnosed </w:t>
      </w:r>
      <w:r w:rsidR="00A04972">
        <w:rPr>
          <w:rFonts w:asciiTheme="minorHAnsi" w:hAnsiTheme="minorHAnsi"/>
          <w:spacing w:val="-1"/>
          <w:sz w:val="24"/>
          <w:szCs w:val="24"/>
        </w:rPr>
        <w:t xml:space="preserve">in </w:t>
      </w:r>
      <w:r w:rsidR="00CA2296">
        <w:rPr>
          <w:rFonts w:asciiTheme="minorHAnsi" w:hAnsiTheme="minorHAnsi"/>
          <w:spacing w:val="-1"/>
          <w:sz w:val="24"/>
          <w:szCs w:val="24"/>
        </w:rPr>
        <w:t xml:space="preserve">hospital during the first wave </w:t>
      </w:r>
      <w:r w:rsidR="00A04972">
        <w:rPr>
          <w:rFonts w:asciiTheme="minorHAnsi" w:hAnsiTheme="minorHAnsi"/>
          <w:spacing w:val="-1"/>
          <w:sz w:val="24"/>
          <w:szCs w:val="24"/>
        </w:rPr>
        <w:t>were acquired nosocomially</w:t>
      </w:r>
      <w:r w:rsidR="00D42B4D">
        <w:rPr>
          <w:rFonts w:asciiTheme="minorHAnsi" w:hAnsiTheme="minorHAnsi"/>
          <w:spacing w:val="-1"/>
          <w:sz w:val="24"/>
          <w:szCs w:val="24"/>
        </w:rPr>
        <w:t>.</w:t>
      </w:r>
      <w:r w:rsidR="00D42B4D" w:rsidRPr="00D42B4D">
        <w:rPr>
          <w:rFonts w:asciiTheme="minorHAnsi" w:hAnsiTheme="minorHAnsi"/>
          <w:spacing w:val="-1"/>
          <w:sz w:val="24"/>
          <w:szCs w:val="24"/>
          <w:vertAlign w:val="superscript"/>
        </w:rPr>
        <w:t>1,2</w:t>
      </w:r>
      <w:r w:rsidR="004609C2">
        <w:rPr>
          <w:rFonts w:asciiTheme="minorHAnsi" w:hAnsiTheme="minorHAnsi"/>
          <w:spacing w:val="-1"/>
          <w:sz w:val="24"/>
          <w:szCs w:val="24"/>
        </w:rPr>
        <w:t xml:space="preserve"> </w:t>
      </w:r>
      <w:r w:rsidR="00387FF7" w:rsidRPr="000A5D43">
        <w:rPr>
          <w:rFonts w:asciiTheme="minorHAnsi" w:hAnsiTheme="minorHAnsi"/>
          <w:spacing w:val="-1"/>
          <w:sz w:val="24"/>
          <w:szCs w:val="24"/>
        </w:rPr>
        <w:t xml:space="preserve">Rapid, </w:t>
      </w:r>
      <w:r w:rsidR="00EC46B9" w:rsidRPr="000A5D43">
        <w:rPr>
          <w:rFonts w:asciiTheme="minorHAnsi" w:hAnsiTheme="minorHAnsi"/>
          <w:spacing w:val="-1"/>
          <w:sz w:val="24"/>
          <w:szCs w:val="24"/>
        </w:rPr>
        <w:t>accurate diagnostic</w:t>
      </w:r>
      <w:r w:rsidR="00D42B4D">
        <w:rPr>
          <w:rFonts w:asciiTheme="minorHAnsi" w:hAnsiTheme="minorHAnsi"/>
          <w:spacing w:val="-1"/>
          <w:sz w:val="24"/>
          <w:szCs w:val="24"/>
        </w:rPr>
        <w:t>s</w:t>
      </w:r>
      <w:r w:rsidR="00EC46B9" w:rsidRPr="000A5D43">
        <w:rPr>
          <w:rFonts w:asciiTheme="minorHAnsi" w:hAnsiTheme="minorHAnsi"/>
          <w:spacing w:val="-1"/>
          <w:sz w:val="24"/>
          <w:szCs w:val="24"/>
        </w:rPr>
        <w:t xml:space="preserve"> </w:t>
      </w:r>
      <w:r w:rsidR="00867978">
        <w:rPr>
          <w:rFonts w:asciiTheme="minorHAnsi" w:hAnsiTheme="minorHAnsi"/>
          <w:spacing w:val="-1"/>
          <w:sz w:val="24"/>
          <w:szCs w:val="24"/>
        </w:rPr>
        <w:t>that can be performed in</w:t>
      </w:r>
      <w:r w:rsidR="00794F13">
        <w:rPr>
          <w:rFonts w:asciiTheme="minorHAnsi" w:hAnsiTheme="minorHAnsi"/>
          <w:spacing w:val="-1"/>
          <w:sz w:val="24"/>
          <w:szCs w:val="24"/>
        </w:rPr>
        <w:t xml:space="preserve"> admiss</w:t>
      </w:r>
      <w:r w:rsidR="004609C2">
        <w:rPr>
          <w:rFonts w:asciiTheme="minorHAnsi" w:hAnsiTheme="minorHAnsi"/>
          <w:spacing w:val="-1"/>
          <w:sz w:val="24"/>
          <w:szCs w:val="24"/>
        </w:rPr>
        <w:t xml:space="preserve">ion areas </w:t>
      </w:r>
      <w:r w:rsidR="00EC46B9" w:rsidRPr="000A5D43">
        <w:rPr>
          <w:rFonts w:asciiTheme="minorHAnsi" w:hAnsiTheme="minorHAnsi"/>
          <w:spacing w:val="-1"/>
          <w:sz w:val="24"/>
          <w:szCs w:val="24"/>
        </w:rPr>
        <w:t>a</w:t>
      </w:r>
      <w:r w:rsidR="00387FF7" w:rsidRPr="000A5D43">
        <w:rPr>
          <w:rFonts w:asciiTheme="minorHAnsi" w:hAnsiTheme="minorHAnsi"/>
          <w:spacing w:val="-1"/>
          <w:sz w:val="24"/>
          <w:szCs w:val="24"/>
        </w:rPr>
        <w:t>re therefore urgently required.</w:t>
      </w:r>
      <w:r w:rsidR="00EA64E1">
        <w:rPr>
          <w:rFonts w:asciiTheme="minorHAnsi" w:hAnsiTheme="minorHAnsi"/>
          <w:spacing w:val="-1"/>
          <w:sz w:val="24"/>
          <w:szCs w:val="24"/>
        </w:rPr>
        <w:t xml:space="preserve"> In previous work we have shown that </w:t>
      </w:r>
      <w:r w:rsidR="004609C2">
        <w:rPr>
          <w:rFonts w:asciiTheme="minorHAnsi" w:hAnsiTheme="minorHAnsi"/>
          <w:spacing w:val="-1"/>
          <w:sz w:val="24"/>
          <w:szCs w:val="24"/>
        </w:rPr>
        <w:t xml:space="preserve">the </w:t>
      </w:r>
      <w:r w:rsidR="00EA64E1">
        <w:rPr>
          <w:rFonts w:asciiTheme="minorHAnsi" w:hAnsiTheme="minorHAnsi"/>
          <w:spacing w:val="-1"/>
          <w:sz w:val="24"/>
          <w:szCs w:val="24"/>
        </w:rPr>
        <w:t>routine use of m</w:t>
      </w:r>
      <w:r w:rsidR="004609C2">
        <w:rPr>
          <w:rFonts w:asciiTheme="minorHAnsi" w:hAnsiTheme="minorHAnsi"/>
          <w:spacing w:val="-1"/>
          <w:sz w:val="24"/>
          <w:szCs w:val="24"/>
        </w:rPr>
        <w:t>o</w:t>
      </w:r>
      <w:r w:rsidR="00F36AB9">
        <w:rPr>
          <w:rFonts w:asciiTheme="minorHAnsi" w:hAnsiTheme="minorHAnsi"/>
          <w:spacing w:val="-1"/>
          <w:sz w:val="24"/>
          <w:szCs w:val="24"/>
        </w:rPr>
        <w:t>lecular point-of-care testing (</w:t>
      </w:r>
      <w:r w:rsidR="004609C2">
        <w:rPr>
          <w:rFonts w:asciiTheme="minorHAnsi" w:hAnsiTheme="minorHAnsi"/>
          <w:spacing w:val="-1"/>
          <w:sz w:val="24"/>
          <w:szCs w:val="24"/>
        </w:rPr>
        <w:t xml:space="preserve">POCT) </w:t>
      </w:r>
      <w:r w:rsidR="00EA64E1">
        <w:rPr>
          <w:rFonts w:asciiTheme="minorHAnsi" w:hAnsiTheme="minorHAnsi"/>
          <w:spacing w:val="-1"/>
          <w:sz w:val="24"/>
          <w:szCs w:val="24"/>
        </w:rPr>
        <w:t>for influenz</w:t>
      </w:r>
      <w:r w:rsidR="001703A7">
        <w:rPr>
          <w:rFonts w:asciiTheme="minorHAnsi" w:hAnsiTheme="minorHAnsi"/>
          <w:spacing w:val="-1"/>
          <w:sz w:val="24"/>
          <w:szCs w:val="24"/>
        </w:rPr>
        <w:t xml:space="preserve">a and other respiratory viruses </w:t>
      </w:r>
      <w:r w:rsidR="00EA64E1">
        <w:rPr>
          <w:rFonts w:asciiTheme="minorHAnsi" w:hAnsiTheme="minorHAnsi"/>
          <w:spacing w:val="-1"/>
          <w:sz w:val="24"/>
          <w:szCs w:val="24"/>
        </w:rPr>
        <w:t>is associated with improvements in antiviral use and infection control measures</w:t>
      </w:r>
      <w:r w:rsidR="004609C2">
        <w:rPr>
          <w:rFonts w:asciiTheme="minorHAnsi" w:hAnsiTheme="minorHAnsi"/>
          <w:spacing w:val="-1"/>
          <w:sz w:val="24"/>
          <w:szCs w:val="24"/>
        </w:rPr>
        <w:t>,</w:t>
      </w:r>
      <w:r w:rsidR="00EA64E1">
        <w:rPr>
          <w:rFonts w:asciiTheme="minorHAnsi" w:hAnsiTheme="minorHAnsi"/>
          <w:spacing w:val="-1"/>
          <w:sz w:val="24"/>
          <w:szCs w:val="24"/>
        </w:rPr>
        <w:t xml:space="preserve"> and that this impact is depe</w:t>
      </w:r>
      <w:r w:rsidR="00E85F26">
        <w:rPr>
          <w:rFonts w:asciiTheme="minorHAnsi" w:hAnsiTheme="minorHAnsi"/>
          <w:spacing w:val="-1"/>
          <w:sz w:val="24"/>
          <w:szCs w:val="24"/>
        </w:rPr>
        <w:t xml:space="preserve">ndent </w:t>
      </w:r>
      <w:r w:rsidR="00EA64E1">
        <w:rPr>
          <w:rFonts w:asciiTheme="minorHAnsi" w:hAnsiTheme="minorHAnsi"/>
          <w:spacing w:val="-1"/>
          <w:sz w:val="24"/>
          <w:szCs w:val="24"/>
        </w:rPr>
        <w:t>on very short</w:t>
      </w:r>
      <w:r w:rsidR="00E85F26">
        <w:rPr>
          <w:rFonts w:asciiTheme="minorHAnsi" w:hAnsiTheme="minorHAnsi"/>
          <w:spacing w:val="-1"/>
          <w:sz w:val="24"/>
          <w:szCs w:val="24"/>
        </w:rPr>
        <w:t xml:space="preserve"> turnaround</w:t>
      </w:r>
      <w:r w:rsidR="00EA64E1">
        <w:rPr>
          <w:rFonts w:asciiTheme="minorHAnsi" w:hAnsiTheme="minorHAnsi"/>
          <w:spacing w:val="-1"/>
          <w:sz w:val="24"/>
          <w:szCs w:val="24"/>
        </w:rPr>
        <w:t xml:space="preserve"> times</w:t>
      </w:r>
      <w:r w:rsidR="004609C2">
        <w:rPr>
          <w:rFonts w:asciiTheme="minorHAnsi" w:hAnsiTheme="minorHAnsi"/>
          <w:spacing w:val="-1"/>
          <w:sz w:val="24"/>
          <w:szCs w:val="24"/>
        </w:rPr>
        <w:t>,</w:t>
      </w:r>
      <w:r w:rsidR="00003107">
        <w:rPr>
          <w:rFonts w:asciiTheme="minorHAnsi" w:hAnsiTheme="minorHAnsi"/>
          <w:spacing w:val="-1"/>
          <w:sz w:val="24"/>
          <w:szCs w:val="24"/>
        </w:rPr>
        <w:t xml:space="preserve"> not achievable </w:t>
      </w:r>
      <w:r w:rsidR="00067C0E">
        <w:rPr>
          <w:rFonts w:asciiTheme="minorHAnsi" w:hAnsiTheme="minorHAnsi"/>
          <w:spacing w:val="-1"/>
          <w:sz w:val="24"/>
          <w:szCs w:val="24"/>
        </w:rPr>
        <w:t>in centralised laboratories</w:t>
      </w:r>
      <w:r w:rsidR="00E85F26">
        <w:rPr>
          <w:rFonts w:asciiTheme="minorHAnsi" w:hAnsiTheme="minorHAnsi"/>
          <w:spacing w:val="-1"/>
          <w:sz w:val="24"/>
          <w:szCs w:val="24"/>
        </w:rPr>
        <w:t>.</w:t>
      </w:r>
      <w:r w:rsidR="00D42B4D">
        <w:rPr>
          <w:rFonts w:asciiTheme="minorHAnsi" w:hAnsiTheme="minorHAnsi"/>
          <w:spacing w:val="-1"/>
          <w:sz w:val="24"/>
          <w:szCs w:val="24"/>
          <w:vertAlign w:val="superscript"/>
        </w:rPr>
        <w:t>3,4</w:t>
      </w:r>
      <w:r w:rsidR="00E85F26">
        <w:rPr>
          <w:rFonts w:asciiTheme="minorHAnsi" w:hAnsiTheme="minorHAnsi"/>
          <w:spacing w:val="-1"/>
          <w:sz w:val="24"/>
          <w:szCs w:val="24"/>
        </w:rPr>
        <w:t xml:space="preserve"> </w:t>
      </w:r>
      <w:r w:rsidR="0094464B">
        <w:rPr>
          <w:rFonts w:asciiTheme="minorHAnsi" w:hAnsiTheme="minorHAnsi"/>
          <w:spacing w:val="-1"/>
          <w:sz w:val="24"/>
          <w:szCs w:val="24"/>
        </w:rPr>
        <w:t>Several</w:t>
      </w:r>
      <w:r w:rsidR="00067C0E">
        <w:rPr>
          <w:rFonts w:asciiTheme="minorHAnsi" w:hAnsiTheme="minorHAnsi"/>
          <w:spacing w:val="-1"/>
          <w:sz w:val="24"/>
          <w:szCs w:val="24"/>
        </w:rPr>
        <w:t xml:space="preserve"> rapid</w:t>
      </w:r>
      <w:r w:rsidR="0094464B">
        <w:rPr>
          <w:rFonts w:asciiTheme="minorHAnsi" w:hAnsiTheme="minorHAnsi"/>
          <w:spacing w:val="-1"/>
          <w:sz w:val="24"/>
          <w:szCs w:val="24"/>
        </w:rPr>
        <w:t xml:space="preserve"> m</w:t>
      </w:r>
      <w:r w:rsidR="00AC2BFE" w:rsidRPr="000A5D43">
        <w:rPr>
          <w:rFonts w:asciiTheme="minorHAnsi" w:hAnsiTheme="minorHAnsi"/>
          <w:spacing w:val="-1"/>
          <w:sz w:val="24"/>
          <w:szCs w:val="24"/>
        </w:rPr>
        <w:t>olecular</w:t>
      </w:r>
      <w:r w:rsidR="00245C30">
        <w:rPr>
          <w:rFonts w:asciiTheme="minorHAnsi" w:hAnsiTheme="minorHAnsi"/>
          <w:spacing w:val="-1"/>
          <w:sz w:val="24"/>
          <w:szCs w:val="24"/>
        </w:rPr>
        <w:t xml:space="preserve"> </w:t>
      </w:r>
      <w:r w:rsidR="00003107">
        <w:rPr>
          <w:rFonts w:asciiTheme="minorHAnsi" w:hAnsiTheme="minorHAnsi"/>
          <w:spacing w:val="-1"/>
          <w:sz w:val="24"/>
          <w:szCs w:val="24"/>
        </w:rPr>
        <w:t xml:space="preserve">platforms that can </w:t>
      </w:r>
      <w:r w:rsidR="00794F13">
        <w:rPr>
          <w:rFonts w:asciiTheme="minorHAnsi" w:hAnsiTheme="minorHAnsi"/>
          <w:spacing w:val="-1"/>
          <w:sz w:val="24"/>
          <w:szCs w:val="24"/>
        </w:rPr>
        <w:t>test</w:t>
      </w:r>
      <w:r w:rsidR="00794F13" w:rsidRPr="00794F13">
        <w:t xml:space="preserve"> </w:t>
      </w:r>
      <w:r w:rsidR="00794F13">
        <w:rPr>
          <w:rFonts w:asciiTheme="minorHAnsi" w:hAnsiTheme="minorHAnsi"/>
          <w:spacing w:val="-1"/>
          <w:sz w:val="24"/>
          <w:szCs w:val="24"/>
        </w:rPr>
        <w:t xml:space="preserve">for </w:t>
      </w:r>
      <w:r w:rsidR="00D93E05">
        <w:rPr>
          <w:rFonts w:asciiTheme="minorHAnsi" w:hAnsiTheme="minorHAnsi"/>
          <w:spacing w:val="-1"/>
          <w:sz w:val="24"/>
          <w:szCs w:val="24"/>
        </w:rPr>
        <w:t xml:space="preserve">SARS-CoV-2 </w:t>
      </w:r>
      <w:r w:rsidR="00003107">
        <w:rPr>
          <w:rFonts w:asciiTheme="minorHAnsi" w:hAnsiTheme="minorHAnsi"/>
          <w:spacing w:val="-1"/>
          <w:sz w:val="24"/>
          <w:szCs w:val="24"/>
        </w:rPr>
        <w:t xml:space="preserve">at the point-of-care </w:t>
      </w:r>
      <w:r w:rsidR="0094464B">
        <w:rPr>
          <w:rFonts w:asciiTheme="minorHAnsi" w:hAnsiTheme="minorHAnsi"/>
          <w:spacing w:val="-1"/>
          <w:sz w:val="24"/>
          <w:szCs w:val="24"/>
        </w:rPr>
        <w:t xml:space="preserve">have now been </w:t>
      </w:r>
      <w:r w:rsidR="00D93E05">
        <w:rPr>
          <w:rFonts w:asciiTheme="minorHAnsi" w:hAnsiTheme="minorHAnsi"/>
          <w:spacing w:val="-1"/>
          <w:sz w:val="24"/>
          <w:szCs w:val="24"/>
        </w:rPr>
        <w:t xml:space="preserve">developed </w:t>
      </w:r>
      <w:r w:rsidR="0094464B">
        <w:rPr>
          <w:rFonts w:asciiTheme="minorHAnsi" w:hAnsiTheme="minorHAnsi"/>
          <w:spacing w:val="-1"/>
          <w:sz w:val="24"/>
          <w:szCs w:val="24"/>
        </w:rPr>
        <w:t>and</w:t>
      </w:r>
      <w:r w:rsidR="00593D48" w:rsidRPr="000A5D43">
        <w:rPr>
          <w:rFonts w:asciiTheme="minorHAnsi" w:hAnsiTheme="minorHAnsi"/>
          <w:spacing w:val="-1"/>
          <w:sz w:val="24"/>
          <w:szCs w:val="24"/>
        </w:rPr>
        <w:t xml:space="preserve"> </w:t>
      </w:r>
      <w:r w:rsidR="0094464B">
        <w:rPr>
          <w:rFonts w:asciiTheme="minorHAnsi" w:hAnsiTheme="minorHAnsi"/>
          <w:spacing w:val="-1"/>
          <w:sz w:val="24"/>
          <w:szCs w:val="24"/>
        </w:rPr>
        <w:t>are likely to reduce time to results, but evidence for</w:t>
      </w:r>
      <w:r w:rsidR="00D42B4D">
        <w:rPr>
          <w:rFonts w:asciiTheme="minorHAnsi" w:hAnsiTheme="minorHAnsi"/>
          <w:spacing w:val="-1"/>
          <w:sz w:val="24"/>
          <w:szCs w:val="24"/>
        </w:rPr>
        <w:t xml:space="preserve"> their clinical impact and real-</w:t>
      </w:r>
      <w:r w:rsidR="0094464B">
        <w:rPr>
          <w:rFonts w:asciiTheme="minorHAnsi" w:hAnsiTheme="minorHAnsi"/>
          <w:spacing w:val="-1"/>
          <w:sz w:val="24"/>
          <w:szCs w:val="24"/>
        </w:rPr>
        <w:t xml:space="preserve">world </w:t>
      </w:r>
      <w:r w:rsidR="00E622CF">
        <w:rPr>
          <w:rFonts w:asciiTheme="minorHAnsi" w:hAnsiTheme="minorHAnsi"/>
          <w:spacing w:val="-1"/>
          <w:sz w:val="24"/>
          <w:szCs w:val="24"/>
        </w:rPr>
        <w:t xml:space="preserve">diagnostic </w:t>
      </w:r>
      <w:r w:rsidR="0094464B">
        <w:rPr>
          <w:rFonts w:asciiTheme="minorHAnsi" w:hAnsiTheme="minorHAnsi"/>
          <w:spacing w:val="-1"/>
          <w:sz w:val="24"/>
          <w:szCs w:val="24"/>
        </w:rPr>
        <w:t>accuracy are lacking</w:t>
      </w:r>
      <w:r w:rsidR="00067C0E">
        <w:rPr>
          <w:rFonts w:asciiTheme="minorHAnsi" w:hAnsiTheme="minorHAnsi"/>
          <w:spacing w:val="-1"/>
          <w:sz w:val="24"/>
          <w:szCs w:val="24"/>
        </w:rPr>
        <w:t>.</w:t>
      </w:r>
      <w:r w:rsidR="00D42B4D">
        <w:rPr>
          <w:rFonts w:asciiTheme="minorHAnsi" w:hAnsiTheme="minorHAnsi"/>
          <w:spacing w:val="-1"/>
          <w:sz w:val="24"/>
          <w:szCs w:val="24"/>
          <w:vertAlign w:val="superscript"/>
        </w:rPr>
        <w:t>5-8</w:t>
      </w:r>
      <w:r w:rsidR="00067C0E">
        <w:rPr>
          <w:rFonts w:asciiTheme="minorHAnsi" w:hAnsiTheme="minorHAnsi"/>
          <w:spacing w:val="-1"/>
          <w:sz w:val="24"/>
          <w:szCs w:val="24"/>
        </w:rPr>
        <w:t xml:space="preserve"> </w:t>
      </w:r>
      <w:r w:rsidR="00E622CF">
        <w:rPr>
          <w:rFonts w:asciiTheme="minorHAnsi" w:hAnsiTheme="minorHAnsi"/>
          <w:spacing w:val="-1"/>
          <w:sz w:val="24"/>
          <w:szCs w:val="24"/>
        </w:rPr>
        <w:t>The aim of this trial was to asse</w:t>
      </w:r>
      <w:r w:rsidR="00D42B4D">
        <w:rPr>
          <w:rFonts w:asciiTheme="minorHAnsi" w:hAnsiTheme="minorHAnsi"/>
          <w:spacing w:val="-1"/>
          <w:sz w:val="24"/>
          <w:szCs w:val="24"/>
        </w:rPr>
        <w:t>ss the clinical impact and real-</w:t>
      </w:r>
      <w:r w:rsidR="00F36AB9">
        <w:rPr>
          <w:rFonts w:asciiTheme="minorHAnsi" w:hAnsiTheme="minorHAnsi"/>
          <w:spacing w:val="-1"/>
          <w:sz w:val="24"/>
          <w:szCs w:val="24"/>
        </w:rPr>
        <w:t xml:space="preserve">world diagnostic accuracy of </w:t>
      </w:r>
      <w:r w:rsidR="00E622CF">
        <w:rPr>
          <w:rFonts w:asciiTheme="minorHAnsi" w:hAnsiTheme="minorHAnsi"/>
          <w:spacing w:val="-1"/>
          <w:sz w:val="24"/>
          <w:szCs w:val="24"/>
        </w:rPr>
        <w:t xml:space="preserve">POCT using the QIAstat-Dx </w:t>
      </w:r>
      <w:r w:rsidR="00164D81" w:rsidRPr="00164D81">
        <w:rPr>
          <w:rFonts w:asciiTheme="minorHAnsi" w:hAnsiTheme="minorHAnsi"/>
          <w:spacing w:val="-1"/>
          <w:sz w:val="24"/>
          <w:szCs w:val="24"/>
        </w:rPr>
        <w:t xml:space="preserve">Respiratory </w:t>
      </w:r>
      <w:r w:rsidR="00E622CF">
        <w:rPr>
          <w:rFonts w:asciiTheme="minorHAnsi" w:hAnsiTheme="minorHAnsi"/>
          <w:spacing w:val="-1"/>
          <w:sz w:val="24"/>
          <w:szCs w:val="24"/>
        </w:rPr>
        <w:t xml:space="preserve">SARS-CoV-2 </w:t>
      </w:r>
      <w:r w:rsidR="00DD3DF1">
        <w:rPr>
          <w:rFonts w:asciiTheme="minorHAnsi" w:hAnsiTheme="minorHAnsi"/>
          <w:spacing w:val="-1"/>
          <w:sz w:val="24"/>
          <w:szCs w:val="24"/>
        </w:rPr>
        <w:t>P</w:t>
      </w:r>
      <w:r w:rsidR="00E622CF">
        <w:rPr>
          <w:rFonts w:asciiTheme="minorHAnsi" w:hAnsiTheme="minorHAnsi"/>
          <w:spacing w:val="-1"/>
          <w:sz w:val="24"/>
          <w:szCs w:val="24"/>
        </w:rPr>
        <w:t>anel</w:t>
      </w:r>
      <w:r w:rsidR="004609C2">
        <w:rPr>
          <w:rFonts w:asciiTheme="minorHAnsi" w:hAnsiTheme="minorHAnsi"/>
          <w:spacing w:val="-1"/>
          <w:sz w:val="24"/>
          <w:szCs w:val="24"/>
        </w:rPr>
        <w:t>,</w:t>
      </w:r>
      <w:r w:rsidR="00E622CF">
        <w:rPr>
          <w:rFonts w:asciiTheme="minorHAnsi" w:hAnsiTheme="minorHAnsi"/>
          <w:spacing w:val="-1"/>
          <w:sz w:val="24"/>
          <w:szCs w:val="24"/>
        </w:rPr>
        <w:t xml:space="preserve"> in adults </w:t>
      </w:r>
      <w:r w:rsidR="00867978">
        <w:rPr>
          <w:rFonts w:asciiTheme="minorHAnsi" w:hAnsiTheme="minorHAnsi"/>
          <w:spacing w:val="-1"/>
          <w:sz w:val="24"/>
          <w:szCs w:val="24"/>
        </w:rPr>
        <w:t xml:space="preserve">presenting </w:t>
      </w:r>
      <w:r w:rsidR="00E622CF">
        <w:rPr>
          <w:rFonts w:asciiTheme="minorHAnsi" w:hAnsiTheme="minorHAnsi"/>
          <w:spacing w:val="-1"/>
          <w:sz w:val="24"/>
          <w:szCs w:val="24"/>
        </w:rPr>
        <w:t>with suspected COVID-19</w:t>
      </w:r>
      <w:r w:rsidR="000F6915">
        <w:rPr>
          <w:rFonts w:asciiTheme="minorHAnsi" w:hAnsiTheme="minorHAnsi"/>
          <w:spacing w:val="-1"/>
          <w:sz w:val="24"/>
          <w:szCs w:val="24"/>
        </w:rPr>
        <w:t>,</w:t>
      </w:r>
      <w:r w:rsidR="00275630">
        <w:rPr>
          <w:rFonts w:asciiTheme="minorHAnsi" w:hAnsiTheme="minorHAnsi"/>
          <w:spacing w:val="-1"/>
          <w:sz w:val="24"/>
          <w:szCs w:val="24"/>
        </w:rPr>
        <w:t xml:space="preserve"> during the first wave</w:t>
      </w:r>
      <w:r w:rsidR="000F6915">
        <w:rPr>
          <w:rFonts w:asciiTheme="minorHAnsi" w:hAnsiTheme="minorHAnsi"/>
          <w:spacing w:val="-1"/>
          <w:sz w:val="24"/>
          <w:szCs w:val="24"/>
        </w:rPr>
        <w:t xml:space="preserve"> of the pandemic</w:t>
      </w:r>
      <w:r w:rsidR="00275630">
        <w:rPr>
          <w:rFonts w:asciiTheme="minorHAnsi" w:hAnsiTheme="minorHAnsi"/>
          <w:spacing w:val="-1"/>
          <w:sz w:val="24"/>
          <w:szCs w:val="24"/>
        </w:rPr>
        <w:t>.</w:t>
      </w:r>
    </w:p>
    <w:p w:rsidR="00F36AB9" w:rsidRDefault="00F36AB9" w:rsidP="001132FC">
      <w:pPr>
        <w:pStyle w:val="BodyText"/>
        <w:spacing w:line="480" w:lineRule="auto"/>
        <w:ind w:left="0" w:right="198"/>
        <w:jc w:val="both"/>
        <w:rPr>
          <w:rFonts w:asciiTheme="minorHAnsi" w:hAnsiTheme="minorHAnsi"/>
          <w:spacing w:val="-1"/>
          <w:sz w:val="24"/>
          <w:szCs w:val="24"/>
        </w:rPr>
      </w:pPr>
    </w:p>
    <w:p w:rsidR="00F36AB9" w:rsidRDefault="00F36AB9" w:rsidP="001132FC">
      <w:pPr>
        <w:pStyle w:val="BodyText"/>
        <w:spacing w:line="480" w:lineRule="auto"/>
        <w:ind w:left="0" w:right="198"/>
        <w:jc w:val="both"/>
        <w:rPr>
          <w:rFonts w:asciiTheme="minorHAnsi" w:hAnsiTheme="minorHAnsi"/>
          <w:spacing w:val="-1"/>
          <w:sz w:val="24"/>
          <w:szCs w:val="24"/>
        </w:rPr>
      </w:pPr>
    </w:p>
    <w:p w:rsidR="00D279AC" w:rsidRPr="00D03127" w:rsidRDefault="00C35C8F" w:rsidP="007B27A8">
      <w:pPr>
        <w:rPr>
          <w:rFonts w:eastAsia="Times New Roman" w:cs="Times New Roman"/>
          <w:b/>
          <w:bCs/>
          <w:sz w:val="32"/>
          <w:szCs w:val="32"/>
          <w:lang w:eastAsia="en-GB"/>
        </w:rPr>
      </w:pPr>
      <w:r w:rsidRPr="00D03127">
        <w:rPr>
          <w:rFonts w:eastAsia="Times New Roman" w:cs="Times New Roman"/>
          <w:b/>
          <w:bCs/>
          <w:sz w:val="32"/>
          <w:szCs w:val="32"/>
          <w:lang w:eastAsia="en-GB"/>
        </w:rPr>
        <w:lastRenderedPageBreak/>
        <w:t>Methods</w:t>
      </w:r>
    </w:p>
    <w:p w:rsidR="00C35C8F" w:rsidRPr="000A5D43" w:rsidRDefault="00C35C8F" w:rsidP="00C51C28">
      <w:pPr>
        <w:spacing w:after="0" w:line="480" w:lineRule="auto"/>
        <w:rPr>
          <w:b/>
          <w:bCs/>
          <w:sz w:val="24"/>
          <w:szCs w:val="24"/>
        </w:rPr>
      </w:pPr>
      <w:r w:rsidRPr="000A5D43">
        <w:rPr>
          <w:b/>
          <w:bCs/>
          <w:sz w:val="24"/>
          <w:szCs w:val="24"/>
        </w:rPr>
        <w:t>Study design and participants</w:t>
      </w:r>
    </w:p>
    <w:p w:rsidR="00FC542E" w:rsidRDefault="00C145A3" w:rsidP="00FC542E">
      <w:pPr>
        <w:spacing w:after="0" w:line="480" w:lineRule="auto"/>
        <w:jc w:val="both"/>
        <w:rPr>
          <w:sz w:val="24"/>
          <w:szCs w:val="24"/>
        </w:rPr>
      </w:pPr>
      <w:r>
        <w:rPr>
          <w:bCs/>
          <w:sz w:val="24"/>
          <w:szCs w:val="24"/>
        </w:rPr>
        <w:t>We performed a single centre, prospective, interventional, non-randomised</w:t>
      </w:r>
      <w:r w:rsidR="00E622CF">
        <w:rPr>
          <w:bCs/>
          <w:sz w:val="24"/>
          <w:szCs w:val="24"/>
        </w:rPr>
        <w:t>,</w:t>
      </w:r>
      <w:r>
        <w:rPr>
          <w:bCs/>
          <w:sz w:val="24"/>
          <w:szCs w:val="24"/>
        </w:rPr>
        <w:t xml:space="preserve"> trial </w:t>
      </w:r>
      <w:r w:rsidR="000F6915">
        <w:rPr>
          <w:bCs/>
          <w:sz w:val="24"/>
          <w:szCs w:val="24"/>
        </w:rPr>
        <w:t xml:space="preserve">with a contemporaneous </w:t>
      </w:r>
      <w:r w:rsidR="000F6915" w:rsidRPr="00811D9A">
        <w:rPr>
          <w:bCs/>
          <w:color w:val="000000" w:themeColor="text1"/>
          <w:sz w:val="24"/>
          <w:szCs w:val="24"/>
        </w:rPr>
        <w:t xml:space="preserve">control group, </w:t>
      </w:r>
      <w:r w:rsidRPr="00811D9A">
        <w:rPr>
          <w:bCs/>
          <w:color w:val="000000" w:themeColor="text1"/>
          <w:sz w:val="24"/>
          <w:szCs w:val="24"/>
        </w:rPr>
        <w:t>in</w:t>
      </w:r>
      <w:r w:rsidR="00E622CF" w:rsidRPr="00811D9A">
        <w:rPr>
          <w:bCs/>
          <w:color w:val="000000" w:themeColor="text1"/>
          <w:sz w:val="24"/>
          <w:szCs w:val="24"/>
        </w:rPr>
        <w:t xml:space="preserve"> secondary care</w:t>
      </w:r>
      <w:r w:rsidRPr="00811D9A">
        <w:rPr>
          <w:bCs/>
          <w:color w:val="000000" w:themeColor="text1"/>
          <w:sz w:val="24"/>
          <w:szCs w:val="24"/>
        </w:rPr>
        <w:t xml:space="preserve">. </w:t>
      </w:r>
      <w:r w:rsidR="00B87C29" w:rsidRPr="00811D9A">
        <w:rPr>
          <w:bCs/>
          <w:color w:val="000000" w:themeColor="text1"/>
          <w:sz w:val="24"/>
          <w:szCs w:val="24"/>
        </w:rPr>
        <w:t xml:space="preserve">The study design was selected as a randomised trial was felt </w:t>
      </w:r>
      <w:r w:rsidR="00DA30D2" w:rsidRPr="00811D9A">
        <w:rPr>
          <w:bCs/>
          <w:color w:val="000000" w:themeColor="text1"/>
          <w:sz w:val="24"/>
          <w:szCs w:val="24"/>
        </w:rPr>
        <w:t xml:space="preserve">likely </w:t>
      </w:r>
      <w:r w:rsidR="00B87C29" w:rsidRPr="00811D9A">
        <w:rPr>
          <w:bCs/>
          <w:color w:val="000000" w:themeColor="text1"/>
          <w:sz w:val="24"/>
          <w:szCs w:val="24"/>
        </w:rPr>
        <w:t xml:space="preserve">to </w:t>
      </w:r>
      <w:r w:rsidR="00DA30D2" w:rsidRPr="00811D9A">
        <w:rPr>
          <w:bCs/>
          <w:color w:val="000000" w:themeColor="text1"/>
          <w:sz w:val="24"/>
          <w:szCs w:val="24"/>
        </w:rPr>
        <w:t>be unacceptable to many patients in the context of a pandemic due to an organism of unknown lethality</w:t>
      </w:r>
      <w:r w:rsidR="00D05765" w:rsidRPr="00811D9A">
        <w:rPr>
          <w:bCs/>
          <w:color w:val="000000" w:themeColor="text1"/>
          <w:sz w:val="24"/>
          <w:szCs w:val="24"/>
        </w:rPr>
        <w:t xml:space="preserve"> </w:t>
      </w:r>
      <w:r w:rsidR="00DA30D2" w:rsidRPr="00811D9A">
        <w:rPr>
          <w:bCs/>
          <w:color w:val="000000" w:themeColor="text1"/>
          <w:sz w:val="24"/>
          <w:szCs w:val="24"/>
        </w:rPr>
        <w:t xml:space="preserve">at </w:t>
      </w:r>
      <w:r w:rsidR="00D05765" w:rsidRPr="00811D9A">
        <w:rPr>
          <w:bCs/>
          <w:color w:val="000000" w:themeColor="text1"/>
          <w:sz w:val="24"/>
          <w:szCs w:val="24"/>
        </w:rPr>
        <w:t>the time</w:t>
      </w:r>
      <w:r w:rsidR="00B87C29" w:rsidRPr="00811D9A">
        <w:rPr>
          <w:bCs/>
          <w:color w:val="000000" w:themeColor="text1"/>
          <w:sz w:val="24"/>
          <w:szCs w:val="24"/>
        </w:rPr>
        <w:t xml:space="preserve">. </w:t>
      </w:r>
      <w:r w:rsidRPr="00811D9A">
        <w:rPr>
          <w:bCs/>
          <w:color w:val="000000" w:themeColor="text1"/>
          <w:sz w:val="24"/>
          <w:szCs w:val="24"/>
        </w:rPr>
        <w:t xml:space="preserve">The </w:t>
      </w:r>
      <w:r>
        <w:rPr>
          <w:bCs/>
          <w:sz w:val="24"/>
          <w:szCs w:val="24"/>
        </w:rPr>
        <w:t xml:space="preserve">trial took place </w:t>
      </w:r>
      <w:r w:rsidR="006F2115">
        <w:rPr>
          <w:bCs/>
          <w:sz w:val="24"/>
          <w:szCs w:val="24"/>
        </w:rPr>
        <w:t xml:space="preserve">during the first wave of the pandemic, </w:t>
      </w:r>
      <w:r>
        <w:rPr>
          <w:bCs/>
          <w:sz w:val="24"/>
          <w:szCs w:val="24"/>
        </w:rPr>
        <w:t>from 20</w:t>
      </w:r>
      <w:r w:rsidRPr="00C145A3">
        <w:rPr>
          <w:bCs/>
          <w:sz w:val="24"/>
          <w:szCs w:val="24"/>
          <w:vertAlign w:val="superscript"/>
        </w:rPr>
        <w:t>th</w:t>
      </w:r>
      <w:r>
        <w:rPr>
          <w:bCs/>
          <w:sz w:val="24"/>
          <w:szCs w:val="24"/>
        </w:rPr>
        <w:t xml:space="preserve"> March to 29</w:t>
      </w:r>
      <w:r w:rsidRPr="00C145A3">
        <w:rPr>
          <w:bCs/>
          <w:sz w:val="24"/>
          <w:szCs w:val="24"/>
          <w:vertAlign w:val="superscript"/>
        </w:rPr>
        <w:t>th</w:t>
      </w:r>
      <w:r>
        <w:rPr>
          <w:bCs/>
          <w:sz w:val="24"/>
          <w:szCs w:val="24"/>
        </w:rPr>
        <w:t xml:space="preserve"> April 2020. </w:t>
      </w:r>
      <w:r w:rsidRPr="00C145A3">
        <w:rPr>
          <w:bCs/>
          <w:sz w:val="24"/>
          <w:szCs w:val="24"/>
        </w:rPr>
        <w:t>All patients were recruited from t</w:t>
      </w:r>
      <w:r w:rsidR="00CA2296">
        <w:rPr>
          <w:bCs/>
          <w:sz w:val="24"/>
          <w:szCs w:val="24"/>
        </w:rPr>
        <w:t xml:space="preserve">he Acute Medical Unit (AMU), </w:t>
      </w:r>
      <w:r w:rsidRPr="00C145A3">
        <w:rPr>
          <w:bCs/>
          <w:sz w:val="24"/>
          <w:szCs w:val="24"/>
        </w:rPr>
        <w:t xml:space="preserve">Emergency Department (ED) </w:t>
      </w:r>
      <w:r w:rsidR="00CA2296">
        <w:rPr>
          <w:bCs/>
          <w:sz w:val="24"/>
          <w:szCs w:val="24"/>
        </w:rPr>
        <w:t xml:space="preserve">or other acute areas </w:t>
      </w:r>
      <w:r w:rsidRPr="00C145A3">
        <w:rPr>
          <w:bCs/>
          <w:sz w:val="24"/>
          <w:szCs w:val="24"/>
        </w:rPr>
        <w:t>o</w:t>
      </w:r>
      <w:r>
        <w:rPr>
          <w:bCs/>
          <w:sz w:val="24"/>
          <w:szCs w:val="24"/>
        </w:rPr>
        <w:t xml:space="preserve">f Southampton General Hospital, </w:t>
      </w:r>
      <w:r w:rsidRPr="00C145A3">
        <w:rPr>
          <w:bCs/>
          <w:sz w:val="24"/>
          <w:szCs w:val="24"/>
        </w:rPr>
        <w:t>a large acute teaching hospital in the South of the UK serving a populatio</w:t>
      </w:r>
      <w:r>
        <w:rPr>
          <w:bCs/>
          <w:sz w:val="24"/>
          <w:szCs w:val="24"/>
        </w:rPr>
        <w:t>n of</w:t>
      </w:r>
      <w:r w:rsidR="005A5C15">
        <w:rPr>
          <w:bCs/>
          <w:sz w:val="24"/>
          <w:szCs w:val="24"/>
        </w:rPr>
        <w:t xml:space="preserve"> 650,000 for secondary care, </w:t>
      </w:r>
      <w:r w:rsidRPr="00C145A3">
        <w:rPr>
          <w:bCs/>
          <w:sz w:val="24"/>
          <w:szCs w:val="24"/>
        </w:rPr>
        <w:t>run by University Hospital So</w:t>
      </w:r>
      <w:r>
        <w:rPr>
          <w:bCs/>
          <w:sz w:val="24"/>
          <w:szCs w:val="24"/>
        </w:rPr>
        <w:t>uthampton Foundation NHS Trust</w:t>
      </w:r>
      <w:r w:rsidR="00CA2296">
        <w:rPr>
          <w:bCs/>
          <w:sz w:val="24"/>
          <w:szCs w:val="24"/>
        </w:rPr>
        <w:t xml:space="preserve"> (UHSFT)</w:t>
      </w:r>
      <w:r>
        <w:rPr>
          <w:bCs/>
          <w:sz w:val="24"/>
          <w:szCs w:val="24"/>
        </w:rPr>
        <w:t xml:space="preserve">, </w:t>
      </w:r>
      <w:r w:rsidRPr="00C145A3">
        <w:rPr>
          <w:bCs/>
          <w:sz w:val="24"/>
          <w:szCs w:val="24"/>
        </w:rPr>
        <w:t>who</w:t>
      </w:r>
      <w:r>
        <w:rPr>
          <w:bCs/>
          <w:sz w:val="24"/>
          <w:szCs w:val="24"/>
        </w:rPr>
        <w:t xml:space="preserve"> were the sponsor for the trial. </w:t>
      </w:r>
      <w:r w:rsidR="00AF6823" w:rsidRPr="00C145A3">
        <w:rPr>
          <w:sz w:val="24"/>
          <w:szCs w:val="24"/>
        </w:rPr>
        <w:t>The study was approved by the South Central - Hampshire A Research Ethics Committee: REC</w:t>
      </w:r>
      <w:r w:rsidR="00597854" w:rsidRPr="00C145A3">
        <w:rPr>
          <w:sz w:val="24"/>
          <w:szCs w:val="24"/>
        </w:rPr>
        <w:t xml:space="preserve"> reference 20/SC/0138, </w:t>
      </w:r>
      <w:r w:rsidR="00AF6823" w:rsidRPr="00C145A3">
        <w:rPr>
          <w:sz w:val="24"/>
          <w:szCs w:val="24"/>
        </w:rPr>
        <w:t xml:space="preserve">on the 16th March 2020. </w:t>
      </w:r>
      <w:r>
        <w:rPr>
          <w:bCs/>
          <w:sz w:val="24"/>
          <w:szCs w:val="24"/>
        </w:rPr>
        <w:t>T</w:t>
      </w:r>
      <w:r w:rsidR="003248F7" w:rsidRPr="00C145A3">
        <w:rPr>
          <w:sz w:val="24"/>
          <w:szCs w:val="24"/>
        </w:rPr>
        <w:t>he protocol is</w:t>
      </w:r>
      <w:r>
        <w:rPr>
          <w:sz w:val="24"/>
          <w:szCs w:val="24"/>
        </w:rPr>
        <w:t xml:space="preserve"> </w:t>
      </w:r>
      <w:r w:rsidR="00397CC4" w:rsidRPr="00C145A3">
        <w:rPr>
          <w:sz w:val="24"/>
          <w:szCs w:val="24"/>
        </w:rPr>
        <w:t xml:space="preserve">available at: </w:t>
      </w:r>
    </w:p>
    <w:p w:rsidR="000F67A5" w:rsidRDefault="00AE5E0B" w:rsidP="00FC542E">
      <w:pPr>
        <w:spacing w:after="0" w:line="480" w:lineRule="auto"/>
        <w:jc w:val="both"/>
        <w:rPr>
          <w:sz w:val="24"/>
          <w:szCs w:val="24"/>
        </w:rPr>
      </w:pPr>
      <w:hyperlink r:id="rId8" w:history="1">
        <w:r w:rsidR="000F67A5" w:rsidRPr="00971605">
          <w:rPr>
            <w:rStyle w:val="Hyperlink"/>
            <w:sz w:val="24"/>
            <w:szCs w:val="24"/>
          </w:rPr>
          <w:t>https://eprints.soton.ac.uk/439309/2/CoV_19POC_Protocol_v2_0_eprints.pdf</w:t>
        </w:r>
      </w:hyperlink>
    </w:p>
    <w:p w:rsidR="00AF6823" w:rsidRDefault="00D93E05" w:rsidP="003248F7">
      <w:pPr>
        <w:spacing w:after="0" w:line="480" w:lineRule="auto"/>
        <w:jc w:val="both"/>
        <w:rPr>
          <w:sz w:val="24"/>
          <w:szCs w:val="24"/>
        </w:rPr>
      </w:pPr>
      <w:r>
        <w:rPr>
          <w:sz w:val="24"/>
          <w:szCs w:val="24"/>
        </w:rPr>
        <w:t xml:space="preserve">The protocol was amended </w:t>
      </w:r>
      <w:r w:rsidR="00C13086">
        <w:rPr>
          <w:sz w:val="24"/>
          <w:szCs w:val="24"/>
        </w:rPr>
        <w:t xml:space="preserve">a single time </w:t>
      </w:r>
      <w:r w:rsidR="00BB594F" w:rsidRPr="00C145A3">
        <w:rPr>
          <w:sz w:val="24"/>
          <w:szCs w:val="24"/>
        </w:rPr>
        <w:t xml:space="preserve">change the control group from a pre-implementation control group to a </w:t>
      </w:r>
      <w:r w:rsidR="000F6915">
        <w:rPr>
          <w:sz w:val="24"/>
          <w:szCs w:val="24"/>
        </w:rPr>
        <w:t xml:space="preserve">contemporaneous </w:t>
      </w:r>
      <w:r w:rsidR="00BB594F" w:rsidRPr="00C145A3">
        <w:rPr>
          <w:sz w:val="24"/>
          <w:szCs w:val="24"/>
        </w:rPr>
        <w:t>control group. This was</w:t>
      </w:r>
      <w:r w:rsidR="004609C2">
        <w:rPr>
          <w:sz w:val="24"/>
          <w:szCs w:val="24"/>
        </w:rPr>
        <w:t xml:space="preserve"> due to</w:t>
      </w:r>
      <w:r w:rsidR="00BB594F" w:rsidRPr="00C145A3">
        <w:rPr>
          <w:sz w:val="24"/>
          <w:szCs w:val="24"/>
        </w:rPr>
        <w:t xml:space="preserve"> </w:t>
      </w:r>
      <w:r w:rsidR="00794F13">
        <w:rPr>
          <w:sz w:val="24"/>
          <w:szCs w:val="24"/>
        </w:rPr>
        <w:t xml:space="preserve">recognition that </w:t>
      </w:r>
      <w:r w:rsidR="000F6915">
        <w:rPr>
          <w:sz w:val="24"/>
          <w:szCs w:val="24"/>
        </w:rPr>
        <w:t xml:space="preserve">the majority of </w:t>
      </w:r>
      <w:r w:rsidR="00794F13">
        <w:rPr>
          <w:sz w:val="24"/>
          <w:szCs w:val="24"/>
        </w:rPr>
        <w:t xml:space="preserve">patients </w:t>
      </w:r>
      <w:r w:rsidR="00BB594F" w:rsidRPr="00C145A3">
        <w:rPr>
          <w:sz w:val="24"/>
          <w:szCs w:val="24"/>
        </w:rPr>
        <w:t xml:space="preserve">tested </w:t>
      </w:r>
      <w:r w:rsidR="00794F13">
        <w:rPr>
          <w:sz w:val="24"/>
          <w:szCs w:val="24"/>
        </w:rPr>
        <w:t xml:space="preserve">for COVID-19 </w:t>
      </w:r>
      <w:r w:rsidR="00BB594F" w:rsidRPr="00C145A3">
        <w:rPr>
          <w:sz w:val="24"/>
          <w:szCs w:val="24"/>
        </w:rPr>
        <w:t xml:space="preserve">prior to the </w:t>
      </w:r>
      <w:r w:rsidR="00C145A3">
        <w:rPr>
          <w:sz w:val="24"/>
          <w:szCs w:val="24"/>
        </w:rPr>
        <w:t>trial</w:t>
      </w:r>
      <w:r w:rsidR="00C75095">
        <w:rPr>
          <w:sz w:val="24"/>
          <w:szCs w:val="24"/>
        </w:rPr>
        <w:t xml:space="preserve"> commencing</w:t>
      </w:r>
      <w:r w:rsidR="00794F13">
        <w:rPr>
          <w:sz w:val="24"/>
          <w:szCs w:val="24"/>
        </w:rPr>
        <w:t xml:space="preserve"> were</w:t>
      </w:r>
      <w:r w:rsidR="004609C2">
        <w:rPr>
          <w:sz w:val="24"/>
          <w:szCs w:val="24"/>
        </w:rPr>
        <w:t xml:space="preserve"> </w:t>
      </w:r>
      <w:r w:rsidR="006F2115">
        <w:rPr>
          <w:sz w:val="24"/>
          <w:szCs w:val="24"/>
        </w:rPr>
        <w:t xml:space="preserve">ambulatory </w:t>
      </w:r>
      <w:r w:rsidR="00C145A3" w:rsidRPr="00C145A3">
        <w:rPr>
          <w:sz w:val="24"/>
          <w:szCs w:val="24"/>
        </w:rPr>
        <w:t xml:space="preserve">community patients who were tested in hospital as part of the containment phase </w:t>
      </w:r>
      <w:r w:rsidR="00794F13">
        <w:rPr>
          <w:sz w:val="24"/>
          <w:szCs w:val="24"/>
        </w:rPr>
        <w:t xml:space="preserve">of the pandemic, </w:t>
      </w:r>
      <w:r w:rsidR="00C145A3" w:rsidRPr="00C145A3">
        <w:rPr>
          <w:sz w:val="24"/>
          <w:szCs w:val="24"/>
        </w:rPr>
        <w:t xml:space="preserve">and </w:t>
      </w:r>
      <w:r w:rsidR="00121AFA">
        <w:rPr>
          <w:sz w:val="24"/>
          <w:szCs w:val="24"/>
        </w:rPr>
        <w:t xml:space="preserve">therefore not </w:t>
      </w:r>
      <w:r w:rsidR="00C145A3" w:rsidRPr="00C145A3">
        <w:rPr>
          <w:sz w:val="24"/>
          <w:szCs w:val="24"/>
        </w:rPr>
        <w:t xml:space="preserve">comparable to </w:t>
      </w:r>
      <w:r w:rsidR="00C145A3">
        <w:rPr>
          <w:sz w:val="24"/>
          <w:szCs w:val="24"/>
        </w:rPr>
        <w:t xml:space="preserve">the </w:t>
      </w:r>
      <w:r w:rsidR="00C145A3" w:rsidRPr="00C145A3">
        <w:rPr>
          <w:sz w:val="24"/>
          <w:szCs w:val="24"/>
        </w:rPr>
        <w:t xml:space="preserve">patients presenting </w:t>
      </w:r>
      <w:r w:rsidR="00794F13">
        <w:rPr>
          <w:sz w:val="24"/>
          <w:szCs w:val="24"/>
        </w:rPr>
        <w:t xml:space="preserve">with acute respiratory illness </w:t>
      </w:r>
      <w:r w:rsidR="00121AFA">
        <w:rPr>
          <w:sz w:val="24"/>
          <w:szCs w:val="24"/>
        </w:rPr>
        <w:t xml:space="preserve">who were </w:t>
      </w:r>
      <w:r w:rsidR="006F2115">
        <w:rPr>
          <w:sz w:val="24"/>
          <w:szCs w:val="24"/>
        </w:rPr>
        <w:t>recruited</w:t>
      </w:r>
      <w:r w:rsidR="00C145A3">
        <w:rPr>
          <w:sz w:val="24"/>
          <w:szCs w:val="24"/>
        </w:rPr>
        <w:t xml:space="preserve"> </w:t>
      </w:r>
      <w:r w:rsidR="006F2115">
        <w:rPr>
          <w:sz w:val="24"/>
          <w:szCs w:val="24"/>
        </w:rPr>
        <w:t xml:space="preserve">into </w:t>
      </w:r>
      <w:r w:rsidR="00C145A3">
        <w:rPr>
          <w:sz w:val="24"/>
          <w:szCs w:val="24"/>
        </w:rPr>
        <w:t>the</w:t>
      </w:r>
      <w:r w:rsidR="000F6915">
        <w:rPr>
          <w:sz w:val="24"/>
          <w:szCs w:val="24"/>
        </w:rPr>
        <w:t xml:space="preserve"> interventional arm of the</w:t>
      </w:r>
      <w:r w:rsidR="00C145A3">
        <w:rPr>
          <w:sz w:val="24"/>
          <w:szCs w:val="24"/>
        </w:rPr>
        <w:t xml:space="preserve"> trial.</w:t>
      </w:r>
    </w:p>
    <w:p w:rsidR="006F2115" w:rsidRDefault="006F2115" w:rsidP="003248F7">
      <w:pPr>
        <w:spacing w:after="0" w:line="480" w:lineRule="auto"/>
        <w:jc w:val="both"/>
        <w:rPr>
          <w:sz w:val="24"/>
          <w:szCs w:val="24"/>
        </w:rPr>
      </w:pPr>
    </w:p>
    <w:p w:rsidR="00877B8E" w:rsidRPr="006F2115" w:rsidRDefault="006F2115" w:rsidP="003248F7">
      <w:pPr>
        <w:spacing w:after="0" w:line="480" w:lineRule="auto"/>
        <w:jc w:val="both"/>
        <w:rPr>
          <w:b/>
          <w:sz w:val="24"/>
          <w:szCs w:val="24"/>
        </w:rPr>
      </w:pPr>
      <w:r w:rsidRPr="006F2115">
        <w:rPr>
          <w:b/>
          <w:sz w:val="24"/>
          <w:szCs w:val="24"/>
        </w:rPr>
        <w:t>Intervention group</w:t>
      </w:r>
    </w:p>
    <w:p w:rsidR="00F3174E" w:rsidRDefault="00877B8E" w:rsidP="003248F7">
      <w:pPr>
        <w:spacing w:after="0" w:line="480" w:lineRule="auto"/>
        <w:jc w:val="both"/>
        <w:rPr>
          <w:sz w:val="24"/>
          <w:szCs w:val="24"/>
        </w:rPr>
      </w:pPr>
      <w:r w:rsidRPr="00877B8E">
        <w:rPr>
          <w:sz w:val="24"/>
          <w:szCs w:val="24"/>
          <w:lang w:bidi="en-US"/>
        </w:rPr>
        <w:t xml:space="preserve">Eligible patients were: </w:t>
      </w:r>
      <w:r w:rsidRPr="00877B8E">
        <w:rPr>
          <w:sz w:val="24"/>
          <w:szCs w:val="24"/>
        </w:rPr>
        <w:t xml:space="preserve">aged 18 years or over; had the capacity to give informed, written consent or where capacity was lacking consultee assent was obtained; </w:t>
      </w:r>
      <w:r w:rsidR="00D93E05">
        <w:rPr>
          <w:sz w:val="24"/>
          <w:szCs w:val="24"/>
        </w:rPr>
        <w:t xml:space="preserve">a provisional decision </w:t>
      </w:r>
      <w:r w:rsidR="00D93E05">
        <w:rPr>
          <w:sz w:val="24"/>
          <w:szCs w:val="24"/>
        </w:rPr>
        <w:lastRenderedPageBreak/>
        <w:t xml:space="preserve">had been made to be admitted to hospital; located </w:t>
      </w:r>
      <w:r w:rsidR="005A5C15">
        <w:rPr>
          <w:sz w:val="24"/>
          <w:szCs w:val="24"/>
        </w:rPr>
        <w:t xml:space="preserve">in either the AMU, </w:t>
      </w:r>
      <w:r w:rsidRPr="00877B8E">
        <w:rPr>
          <w:sz w:val="24"/>
          <w:szCs w:val="24"/>
        </w:rPr>
        <w:t>ED</w:t>
      </w:r>
      <w:r w:rsidR="005A5C15">
        <w:rPr>
          <w:sz w:val="24"/>
          <w:szCs w:val="24"/>
        </w:rPr>
        <w:t xml:space="preserve"> or other acute areas</w:t>
      </w:r>
      <w:r w:rsidRPr="00877B8E">
        <w:rPr>
          <w:sz w:val="24"/>
          <w:szCs w:val="24"/>
          <w:lang w:bidi="en-US"/>
        </w:rPr>
        <w:t xml:space="preserve">; </w:t>
      </w:r>
      <w:r w:rsidRPr="00877B8E">
        <w:rPr>
          <w:sz w:val="24"/>
          <w:szCs w:val="24"/>
        </w:rPr>
        <w:t>could be recruited</w:t>
      </w:r>
      <w:r w:rsidR="00C13086">
        <w:rPr>
          <w:sz w:val="24"/>
          <w:szCs w:val="24"/>
        </w:rPr>
        <w:t xml:space="preserve"> within</w:t>
      </w:r>
      <w:r>
        <w:rPr>
          <w:sz w:val="24"/>
          <w:szCs w:val="24"/>
        </w:rPr>
        <w:t xml:space="preserve"> 24</w:t>
      </w:r>
      <w:r w:rsidRPr="00877B8E">
        <w:rPr>
          <w:sz w:val="24"/>
          <w:szCs w:val="24"/>
        </w:rPr>
        <w:t xml:space="preserve"> hours of</w:t>
      </w:r>
      <w:r w:rsidR="00412E48">
        <w:rPr>
          <w:sz w:val="24"/>
          <w:szCs w:val="24"/>
        </w:rPr>
        <w:t xml:space="preserve"> presentation</w:t>
      </w:r>
      <w:r w:rsidRPr="00877B8E">
        <w:rPr>
          <w:sz w:val="24"/>
          <w:szCs w:val="24"/>
        </w:rPr>
        <w:t>; had an acute respiratory illness</w:t>
      </w:r>
      <w:r w:rsidR="00412E48">
        <w:rPr>
          <w:sz w:val="24"/>
          <w:szCs w:val="24"/>
        </w:rPr>
        <w:t xml:space="preserve"> </w:t>
      </w:r>
      <w:r w:rsidR="00E622CF">
        <w:rPr>
          <w:sz w:val="24"/>
          <w:szCs w:val="24"/>
        </w:rPr>
        <w:t xml:space="preserve">(ARI) </w:t>
      </w:r>
      <w:r w:rsidR="00412E48">
        <w:rPr>
          <w:sz w:val="24"/>
          <w:szCs w:val="24"/>
        </w:rPr>
        <w:t>or d</w:t>
      </w:r>
      <w:r w:rsidR="00E622CF">
        <w:rPr>
          <w:sz w:val="24"/>
          <w:szCs w:val="24"/>
        </w:rPr>
        <w:t>id not have ARI but were</w:t>
      </w:r>
      <w:r w:rsidR="00412E48" w:rsidRPr="00412E48">
        <w:rPr>
          <w:sz w:val="24"/>
          <w:szCs w:val="24"/>
        </w:rPr>
        <w:t xml:space="preserve"> a suspected case of COVID-19</w:t>
      </w:r>
      <w:r w:rsidR="00412E48" w:rsidRPr="00412E48">
        <w:t xml:space="preserve"> </w:t>
      </w:r>
      <w:r w:rsidR="00412E48" w:rsidRPr="00412E48">
        <w:rPr>
          <w:sz w:val="24"/>
          <w:szCs w:val="24"/>
        </w:rPr>
        <w:t>according to</w:t>
      </w:r>
      <w:r w:rsidR="00412E48">
        <w:rPr>
          <w:sz w:val="24"/>
          <w:szCs w:val="24"/>
        </w:rPr>
        <w:t xml:space="preserve"> the current PHE case definition</w:t>
      </w:r>
      <w:r w:rsidRPr="00877B8E">
        <w:rPr>
          <w:sz w:val="24"/>
          <w:szCs w:val="24"/>
        </w:rPr>
        <w:t>. An episode of acute respiratory illness was defined as a provisional diagnosis of  acute pulmonary illness including pneumonia, bronchitis (non-pneumonic lower respiratory tract infection - NPLRTI) and influenza-like illness (ILI), or an acute exacerbation of a chronic respiratory illness (including exacerbation of COPD,</w:t>
      </w:r>
      <w:r w:rsidR="00414D67">
        <w:rPr>
          <w:sz w:val="24"/>
          <w:szCs w:val="24"/>
        </w:rPr>
        <w:t xml:space="preserve"> asthma or bronchiectasis). E</w:t>
      </w:r>
      <w:r w:rsidRPr="00877B8E">
        <w:rPr>
          <w:sz w:val="24"/>
          <w:szCs w:val="24"/>
        </w:rPr>
        <w:t xml:space="preserve">xclusion </w:t>
      </w:r>
      <w:r w:rsidRPr="00E72C5D">
        <w:rPr>
          <w:sz w:val="24"/>
          <w:szCs w:val="24"/>
        </w:rPr>
        <w:t>criter</w:t>
      </w:r>
      <w:r w:rsidR="00CA2296" w:rsidRPr="00E72C5D">
        <w:rPr>
          <w:sz w:val="24"/>
          <w:szCs w:val="24"/>
        </w:rPr>
        <w:t>ia were</w:t>
      </w:r>
      <w:r w:rsidR="00414D67" w:rsidRPr="00E72C5D">
        <w:rPr>
          <w:sz w:val="24"/>
          <w:szCs w:val="24"/>
        </w:rPr>
        <w:t xml:space="preserve">: </w:t>
      </w:r>
      <w:r w:rsidR="00E622CF" w:rsidRPr="00E72C5D">
        <w:rPr>
          <w:sz w:val="24"/>
          <w:szCs w:val="24"/>
        </w:rPr>
        <w:t>patient declined</w:t>
      </w:r>
      <w:r w:rsidR="00C13086" w:rsidRPr="00E72C5D">
        <w:rPr>
          <w:sz w:val="24"/>
          <w:szCs w:val="24"/>
        </w:rPr>
        <w:t xml:space="preserve"> nasal/pharyngeal swabbing</w:t>
      </w:r>
      <w:r w:rsidR="00414D67" w:rsidRPr="00E72C5D">
        <w:rPr>
          <w:sz w:val="24"/>
          <w:szCs w:val="24"/>
        </w:rPr>
        <w:t>,</w:t>
      </w:r>
      <w:r w:rsidR="00C13086" w:rsidRPr="00E72C5D">
        <w:rPr>
          <w:sz w:val="24"/>
          <w:szCs w:val="24"/>
        </w:rPr>
        <w:t xml:space="preserve"> or </w:t>
      </w:r>
      <w:r w:rsidR="00E622CF" w:rsidRPr="00E72C5D">
        <w:rPr>
          <w:sz w:val="24"/>
          <w:szCs w:val="24"/>
        </w:rPr>
        <w:t>patient previously included in the</w:t>
      </w:r>
      <w:r w:rsidRPr="00E72C5D">
        <w:rPr>
          <w:sz w:val="24"/>
          <w:szCs w:val="24"/>
        </w:rPr>
        <w:t xml:space="preserve"> study and </w:t>
      </w:r>
      <w:r w:rsidR="005A5C15" w:rsidRPr="00E72C5D">
        <w:rPr>
          <w:sz w:val="24"/>
          <w:szCs w:val="24"/>
        </w:rPr>
        <w:t>re-presenting within 14</w:t>
      </w:r>
      <w:r w:rsidRPr="00E72C5D">
        <w:rPr>
          <w:sz w:val="24"/>
          <w:szCs w:val="24"/>
        </w:rPr>
        <w:t xml:space="preserve"> days after</w:t>
      </w:r>
      <w:r w:rsidR="00C13086" w:rsidRPr="00E72C5D">
        <w:rPr>
          <w:sz w:val="24"/>
          <w:szCs w:val="24"/>
        </w:rPr>
        <w:t xml:space="preserve"> previous enrolment</w:t>
      </w:r>
      <w:r w:rsidRPr="00E72C5D">
        <w:rPr>
          <w:sz w:val="24"/>
          <w:szCs w:val="24"/>
        </w:rPr>
        <w:t>.</w:t>
      </w:r>
      <w:r w:rsidR="000F6915" w:rsidRPr="00E72C5D">
        <w:rPr>
          <w:sz w:val="24"/>
          <w:szCs w:val="24"/>
        </w:rPr>
        <w:t xml:space="preserve"> </w:t>
      </w:r>
      <w:r w:rsidR="0073519A" w:rsidRPr="00E72C5D">
        <w:rPr>
          <w:sz w:val="24"/>
          <w:szCs w:val="24"/>
        </w:rPr>
        <w:t>The</w:t>
      </w:r>
      <w:r w:rsidR="00705BBA" w:rsidRPr="00E72C5D">
        <w:rPr>
          <w:sz w:val="24"/>
          <w:szCs w:val="24"/>
        </w:rPr>
        <w:t xml:space="preserve">re </w:t>
      </w:r>
      <w:r w:rsidR="00EE3FD2" w:rsidRPr="00E72C5D">
        <w:rPr>
          <w:sz w:val="24"/>
          <w:szCs w:val="24"/>
        </w:rPr>
        <w:t>was originally</w:t>
      </w:r>
      <w:r w:rsidR="0073519A" w:rsidRPr="00E72C5D">
        <w:rPr>
          <w:sz w:val="24"/>
          <w:szCs w:val="24"/>
        </w:rPr>
        <w:t xml:space="preserve"> p</w:t>
      </w:r>
      <w:r w:rsidR="00705BBA" w:rsidRPr="00E72C5D">
        <w:rPr>
          <w:sz w:val="24"/>
          <w:szCs w:val="24"/>
        </w:rPr>
        <w:t>rovision in the protocol for symptomatic</w:t>
      </w:r>
      <w:r w:rsidR="0073519A" w:rsidRPr="00E72C5D">
        <w:rPr>
          <w:sz w:val="24"/>
          <w:szCs w:val="24"/>
        </w:rPr>
        <w:t xml:space="preserve"> members of hospital staff to be recruited however </w:t>
      </w:r>
      <w:r w:rsidR="00EE3FD2" w:rsidRPr="00E72C5D">
        <w:rPr>
          <w:sz w:val="24"/>
          <w:szCs w:val="24"/>
        </w:rPr>
        <w:t xml:space="preserve">this was abandoned after </w:t>
      </w:r>
      <w:r w:rsidR="0073519A" w:rsidRPr="00E72C5D">
        <w:rPr>
          <w:sz w:val="24"/>
          <w:szCs w:val="24"/>
        </w:rPr>
        <w:t xml:space="preserve">only a single member of staff was enrolled (see below).  </w:t>
      </w:r>
    </w:p>
    <w:p w:rsidR="00E622CF" w:rsidRPr="000A5D43" w:rsidRDefault="00E622CF" w:rsidP="003248F7">
      <w:pPr>
        <w:spacing w:after="0" w:line="480" w:lineRule="auto"/>
        <w:jc w:val="both"/>
        <w:rPr>
          <w:sz w:val="24"/>
          <w:szCs w:val="24"/>
        </w:rPr>
      </w:pPr>
    </w:p>
    <w:p w:rsidR="00AF2144" w:rsidRPr="000A5D43" w:rsidRDefault="0018178F" w:rsidP="0018178F">
      <w:pPr>
        <w:spacing w:after="0" w:line="480" w:lineRule="auto"/>
        <w:jc w:val="both"/>
        <w:rPr>
          <w:b/>
          <w:bCs/>
          <w:sz w:val="24"/>
          <w:szCs w:val="24"/>
        </w:rPr>
      </w:pPr>
      <w:r w:rsidRPr="000A5D43">
        <w:rPr>
          <w:b/>
          <w:bCs/>
          <w:sz w:val="24"/>
          <w:szCs w:val="24"/>
        </w:rPr>
        <w:t>Procedures</w:t>
      </w:r>
      <w:r w:rsidR="00AF2144" w:rsidRPr="000A5D43">
        <w:rPr>
          <w:b/>
          <w:bCs/>
          <w:sz w:val="24"/>
          <w:szCs w:val="24"/>
        </w:rPr>
        <w:t xml:space="preserve"> </w:t>
      </w:r>
    </w:p>
    <w:p w:rsidR="006F2115" w:rsidRDefault="00412E48" w:rsidP="00294D64">
      <w:pPr>
        <w:spacing w:after="0" w:line="480" w:lineRule="auto"/>
        <w:jc w:val="both"/>
        <w:rPr>
          <w:sz w:val="24"/>
          <w:szCs w:val="24"/>
        </w:rPr>
      </w:pPr>
      <w:r w:rsidRPr="004D3DA2">
        <w:rPr>
          <w:sz w:val="24"/>
          <w:szCs w:val="24"/>
        </w:rPr>
        <w:t>Prior to recruitment starting on the 20</w:t>
      </w:r>
      <w:r w:rsidRPr="004D3DA2">
        <w:rPr>
          <w:sz w:val="24"/>
          <w:szCs w:val="24"/>
          <w:vertAlign w:val="superscript"/>
        </w:rPr>
        <w:t>th</w:t>
      </w:r>
      <w:r w:rsidRPr="004D3DA2">
        <w:rPr>
          <w:sz w:val="24"/>
          <w:szCs w:val="24"/>
        </w:rPr>
        <w:t xml:space="preserve"> March</w:t>
      </w:r>
      <w:r w:rsidR="00794F13">
        <w:rPr>
          <w:sz w:val="24"/>
          <w:szCs w:val="24"/>
        </w:rPr>
        <w:t>,</w:t>
      </w:r>
      <w:r w:rsidR="00D93E05">
        <w:rPr>
          <w:sz w:val="24"/>
          <w:szCs w:val="24"/>
        </w:rPr>
        <w:t xml:space="preserve"> a brief validation</w:t>
      </w:r>
      <w:r w:rsidRPr="004D3DA2">
        <w:rPr>
          <w:sz w:val="24"/>
          <w:szCs w:val="24"/>
        </w:rPr>
        <w:t xml:space="preserve"> phase took place </w:t>
      </w:r>
      <w:r w:rsidR="00DD3DF1">
        <w:rPr>
          <w:sz w:val="24"/>
          <w:szCs w:val="24"/>
        </w:rPr>
        <w:t xml:space="preserve">where the QIAstat-Dx </w:t>
      </w:r>
      <w:r w:rsidR="00867978" w:rsidRPr="00867978">
        <w:rPr>
          <w:sz w:val="24"/>
          <w:szCs w:val="24"/>
        </w:rPr>
        <w:t xml:space="preserve">Respiratory </w:t>
      </w:r>
      <w:r w:rsidR="00DD3DF1">
        <w:rPr>
          <w:sz w:val="24"/>
          <w:szCs w:val="24"/>
        </w:rPr>
        <w:t>SARS-CoV-2</w:t>
      </w:r>
      <w:r w:rsidRPr="004D3DA2">
        <w:rPr>
          <w:sz w:val="24"/>
          <w:szCs w:val="24"/>
        </w:rPr>
        <w:t xml:space="preserve"> Panel was </w:t>
      </w:r>
      <w:r w:rsidR="000F6915">
        <w:rPr>
          <w:sz w:val="24"/>
          <w:szCs w:val="24"/>
        </w:rPr>
        <w:t xml:space="preserve">evaluated </w:t>
      </w:r>
      <w:r w:rsidRPr="004D3DA2">
        <w:rPr>
          <w:sz w:val="24"/>
          <w:szCs w:val="24"/>
        </w:rPr>
        <w:t>using control material</w:t>
      </w:r>
      <w:r w:rsidR="00121AFA">
        <w:rPr>
          <w:sz w:val="24"/>
          <w:szCs w:val="24"/>
        </w:rPr>
        <w:t>,</w:t>
      </w:r>
      <w:r w:rsidRPr="004D3DA2">
        <w:rPr>
          <w:sz w:val="24"/>
          <w:szCs w:val="24"/>
        </w:rPr>
        <w:t xml:space="preserve"> under</w:t>
      </w:r>
      <w:r w:rsidR="000F6915">
        <w:rPr>
          <w:sz w:val="24"/>
          <w:szCs w:val="24"/>
          <w:lang w:eastAsia="en-US" w:bidi="en-US"/>
        </w:rPr>
        <w:t xml:space="preserve"> b</w:t>
      </w:r>
      <w:r w:rsidR="004D3DA2">
        <w:rPr>
          <w:sz w:val="24"/>
          <w:szCs w:val="24"/>
          <w:lang w:eastAsia="en-US" w:bidi="en-US"/>
        </w:rPr>
        <w:t xml:space="preserve">iosafety level </w:t>
      </w:r>
      <w:r w:rsidRPr="004D3DA2">
        <w:rPr>
          <w:sz w:val="24"/>
          <w:szCs w:val="24"/>
          <w:lang w:eastAsia="en-US" w:bidi="en-US"/>
        </w:rPr>
        <w:t xml:space="preserve">2 </w:t>
      </w:r>
      <w:r w:rsidR="003B49AB" w:rsidRPr="004D3DA2">
        <w:rPr>
          <w:sz w:val="24"/>
          <w:szCs w:val="24"/>
          <w:lang w:eastAsia="en-US" w:bidi="en-US"/>
        </w:rPr>
        <w:t>conditions</w:t>
      </w:r>
      <w:r w:rsidR="00C13086">
        <w:rPr>
          <w:sz w:val="24"/>
          <w:szCs w:val="24"/>
          <w:lang w:eastAsia="en-US" w:bidi="en-US"/>
        </w:rPr>
        <w:t xml:space="preserve"> within a class 2 medical safety cabinet, as per PHE guidance</w:t>
      </w:r>
      <w:r w:rsidR="003B49AB" w:rsidRPr="004D3DA2">
        <w:rPr>
          <w:sz w:val="24"/>
          <w:szCs w:val="24"/>
        </w:rPr>
        <w:t xml:space="preserve">. The panel received CE marking </w:t>
      </w:r>
      <w:r w:rsidR="004D3DA2">
        <w:rPr>
          <w:sz w:val="24"/>
          <w:szCs w:val="24"/>
        </w:rPr>
        <w:t>o</w:t>
      </w:r>
      <w:r w:rsidR="003B49AB" w:rsidRPr="004D3DA2">
        <w:rPr>
          <w:sz w:val="24"/>
          <w:szCs w:val="24"/>
        </w:rPr>
        <w:t>n the 18</w:t>
      </w:r>
      <w:r w:rsidR="003B49AB" w:rsidRPr="004D3DA2">
        <w:rPr>
          <w:sz w:val="24"/>
          <w:szCs w:val="24"/>
          <w:vertAlign w:val="superscript"/>
        </w:rPr>
        <w:t>th</w:t>
      </w:r>
      <w:r w:rsidR="003B49AB" w:rsidRPr="004D3DA2">
        <w:rPr>
          <w:sz w:val="24"/>
          <w:szCs w:val="24"/>
        </w:rPr>
        <w:t xml:space="preserve"> March.</w:t>
      </w:r>
      <w:r w:rsidR="00273C30">
        <w:rPr>
          <w:sz w:val="24"/>
          <w:szCs w:val="24"/>
          <w:vertAlign w:val="superscript"/>
        </w:rPr>
        <w:t>9</w:t>
      </w:r>
      <w:r w:rsidR="003B49AB" w:rsidRPr="004D3DA2">
        <w:rPr>
          <w:sz w:val="24"/>
          <w:szCs w:val="24"/>
        </w:rPr>
        <w:t xml:space="preserve"> </w:t>
      </w:r>
      <w:r w:rsidR="007B6A55">
        <w:rPr>
          <w:sz w:val="24"/>
          <w:szCs w:val="24"/>
        </w:rPr>
        <w:t>Patients were recruited from 20</w:t>
      </w:r>
      <w:r w:rsidR="007B6A55" w:rsidRPr="007B6A55">
        <w:rPr>
          <w:sz w:val="24"/>
          <w:szCs w:val="24"/>
          <w:vertAlign w:val="superscript"/>
        </w:rPr>
        <w:t>th</w:t>
      </w:r>
      <w:r w:rsidR="007B6A55">
        <w:rPr>
          <w:sz w:val="24"/>
          <w:szCs w:val="24"/>
        </w:rPr>
        <w:t xml:space="preserve"> March to 29</w:t>
      </w:r>
      <w:r w:rsidR="007B6A55" w:rsidRPr="007B6A55">
        <w:rPr>
          <w:sz w:val="24"/>
          <w:szCs w:val="24"/>
          <w:vertAlign w:val="superscript"/>
        </w:rPr>
        <w:t>th</w:t>
      </w:r>
      <w:r w:rsidR="007B6A55">
        <w:rPr>
          <w:sz w:val="24"/>
          <w:szCs w:val="24"/>
        </w:rPr>
        <w:t xml:space="preserve"> April by </w:t>
      </w:r>
      <w:r w:rsidR="00F25731">
        <w:rPr>
          <w:sz w:val="24"/>
          <w:szCs w:val="24"/>
        </w:rPr>
        <w:t>research staff, from 8am until 6</w:t>
      </w:r>
      <w:r w:rsidR="007B6A55">
        <w:rPr>
          <w:sz w:val="24"/>
          <w:szCs w:val="24"/>
        </w:rPr>
        <w:t xml:space="preserve">pm, 7 days a week. </w:t>
      </w:r>
      <w:r w:rsidR="00F25731">
        <w:rPr>
          <w:sz w:val="24"/>
          <w:szCs w:val="24"/>
        </w:rPr>
        <w:t>Following obtaining informed consent, c</w:t>
      </w:r>
      <w:r w:rsidR="00681987" w:rsidRPr="004D3DA2">
        <w:rPr>
          <w:sz w:val="24"/>
          <w:szCs w:val="24"/>
        </w:rPr>
        <w:t>ombined nose</w:t>
      </w:r>
      <w:r w:rsidR="00C145A3" w:rsidRPr="004D3DA2">
        <w:rPr>
          <w:sz w:val="24"/>
          <w:szCs w:val="24"/>
        </w:rPr>
        <w:t xml:space="preserve"> (mid-turbinate) </w:t>
      </w:r>
      <w:r w:rsidR="00681987" w:rsidRPr="004D3DA2">
        <w:rPr>
          <w:sz w:val="24"/>
          <w:szCs w:val="24"/>
        </w:rPr>
        <w:t>and throat swab</w:t>
      </w:r>
      <w:r w:rsidR="0026540E" w:rsidRPr="004D3DA2">
        <w:rPr>
          <w:sz w:val="24"/>
          <w:szCs w:val="24"/>
        </w:rPr>
        <w:t>s</w:t>
      </w:r>
      <w:r w:rsidR="00681987" w:rsidRPr="004D3DA2">
        <w:rPr>
          <w:sz w:val="24"/>
          <w:szCs w:val="24"/>
        </w:rPr>
        <w:t xml:space="preserve"> </w:t>
      </w:r>
      <w:r w:rsidR="00E90E8A" w:rsidRPr="004D3DA2">
        <w:rPr>
          <w:sz w:val="24"/>
          <w:szCs w:val="24"/>
        </w:rPr>
        <w:t xml:space="preserve">were </w:t>
      </w:r>
      <w:r w:rsidR="00681987" w:rsidRPr="004D3DA2">
        <w:rPr>
          <w:sz w:val="24"/>
          <w:szCs w:val="24"/>
        </w:rPr>
        <w:t xml:space="preserve">obtained </w:t>
      </w:r>
      <w:r w:rsidR="0064335A" w:rsidRPr="004D3DA2">
        <w:rPr>
          <w:sz w:val="24"/>
          <w:szCs w:val="24"/>
        </w:rPr>
        <w:t xml:space="preserve">from patients </w:t>
      </w:r>
      <w:r w:rsidR="00681987" w:rsidRPr="004D3DA2">
        <w:rPr>
          <w:sz w:val="24"/>
          <w:szCs w:val="24"/>
        </w:rPr>
        <w:t>by research staff and</w:t>
      </w:r>
      <w:r w:rsidRPr="004D3DA2">
        <w:rPr>
          <w:sz w:val="24"/>
          <w:szCs w:val="24"/>
        </w:rPr>
        <w:t xml:space="preserve"> placed directly into </w:t>
      </w:r>
      <w:r w:rsidR="003B49AB" w:rsidRPr="004D3DA2">
        <w:rPr>
          <w:sz w:val="24"/>
          <w:szCs w:val="24"/>
        </w:rPr>
        <w:t>Sigma M</w:t>
      </w:r>
      <w:r w:rsidRPr="004D3DA2">
        <w:rPr>
          <w:sz w:val="24"/>
          <w:szCs w:val="24"/>
        </w:rPr>
        <w:t>olecular</w:t>
      </w:r>
      <w:r w:rsidR="003B49AB" w:rsidRPr="004D3DA2">
        <w:rPr>
          <w:sz w:val="24"/>
          <w:szCs w:val="24"/>
        </w:rPr>
        <w:t xml:space="preserve"> M</w:t>
      </w:r>
      <w:r w:rsidR="00121AFA">
        <w:rPr>
          <w:sz w:val="24"/>
          <w:szCs w:val="24"/>
        </w:rPr>
        <w:t xml:space="preserve">edium </w:t>
      </w:r>
      <w:r w:rsidRPr="004D3DA2">
        <w:rPr>
          <w:sz w:val="24"/>
          <w:szCs w:val="24"/>
        </w:rPr>
        <w:t>to rapidl</w:t>
      </w:r>
      <w:r w:rsidR="000E6035">
        <w:rPr>
          <w:sz w:val="24"/>
          <w:szCs w:val="24"/>
        </w:rPr>
        <w:t>y inactivate viruses. Samples were</w:t>
      </w:r>
      <w:r w:rsidRPr="004D3DA2">
        <w:rPr>
          <w:sz w:val="24"/>
          <w:szCs w:val="24"/>
        </w:rPr>
        <w:t xml:space="preserve"> then</w:t>
      </w:r>
      <w:r w:rsidR="00F25731">
        <w:rPr>
          <w:sz w:val="24"/>
          <w:szCs w:val="24"/>
        </w:rPr>
        <w:t xml:space="preserve"> tested</w:t>
      </w:r>
      <w:r w:rsidR="00681987" w:rsidRPr="004D3DA2">
        <w:rPr>
          <w:sz w:val="24"/>
          <w:szCs w:val="24"/>
        </w:rPr>
        <w:t xml:space="preserve"> on the Q</w:t>
      </w:r>
      <w:r w:rsidR="004156C3" w:rsidRPr="004D3DA2">
        <w:rPr>
          <w:sz w:val="24"/>
          <w:szCs w:val="24"/>
        </w:rPr>
        <w:t xml:space="preserve">IAstat-Dx platform using the </w:t>
      </w:r>
      <w:r w:rsidR="00681987" w:rsidRPr="004D3DA2">
        <w:rPr>
          <w:sz w:val="24"/>
          <w:szCs w:val="24"/>
        </w:rPr>
        <w:t xml:space="preserve">Respiratory SARS-CoV-2 Panel, </w:t>
      </w:r>
      <w:r w:rsidR="000E6035">
        <w:rPr>
          <w:sz w:val="24"/>
          <w:szCs w:val="24"/>
        </w:rPr>
        <w:t xml:space="preserve">in a dedicated testing hub </w:t>
      </w:r>
      <w:r w:rsidR="00121AFA">
        <w:rPr>
          <w:sz w:val="24"/>
          <w:szCs w:val="24"/>
        </w:rPr>
        <w:t>located</w:t>
      </w:r>
      <w:r w:rsidR="000E6035">
        <w:rPr>
          <w:sz w:val="24"/>
          <w:szCs w:val="24"/>
        </w:rPr>
        <w:t xml:space="preserve"> in the AMU</w:t>
      </w:r>
      <w:r w:rsidR="00121AFA">
        <w:rPr>
          <w:sz w:val="24"/>
          <w:szCs w:val="24"/>
        </w:rPr>
        <w:t xml:space="preserve">, </w:t>
      </w:r>
      <w:r w:rsidR="000F6915">
        <w:rPr>
          <w:sz w:val="24"/>
          <w:szCs w:val="24"/>
        </w:rPr>
        <w:t>following local risk assessment and approval</w:t>
      </w:r>
      <w:r w:rsidR="000B0E25">
        <w:rPr>
          <w:sz w:val="24"/>
          <w:szCs w:val="24"/>
        </w:rPr>
        <w:t xml:space="preserve">. </w:t>
      </w:r>
      <w:r w:rsidR="00100A7D">
        <w:rPr>
          <w:sz w:val="24"/>
          <w:szCs w:val="24"/>
        </w:rPr>
        <w:t xml:space="preserve">The QIAstat-Dx SARS-CoV-2 assay detects two gene targets in a single assay; the Orf1b and the E gene and detection of either is reported as positive. </w:t>
      </w:r>
      <w:r w:rsidR="000B0E25">
        <w:rPr>
          <w:sz w:val="24"/>
          <w:szCs w:val="24"/>
        </w:rPr>
        <w:t xml:space="preserve">A </w:t>
      </w:r>
      <w:r w:rsidR="00681987" w:rsidRPr="000A5D43">
        <w:rPr>
          <w:sz w:val="24"/>
          <w:szCs w:val="24"/>
        </w:rPr>
        <w:t>full list</w:t>
      </w:r>
      <w:r w:rsidR="00294D64" w:rsidRPr="000A5D43">
        <w:rPr>
          <w:sz w:val="24"/>
          <w:szCs w:val="24"/>
        </w:rPr>
        <w:t xml:space="preserve"> of </w:t>
      </w:r>
      <w:r w:rsidR="000B0E25">
        <w:rPr>
          <w:sz w:val="24"/>
          <w:szCs w:val="24"/>
        </w:rPr>
        <w:t xml:space="preserve">the </w:t>
      </w:r>
      <w:r w:rsidR="00597854" w:rsidRPr="004D3DA2">
        <w:rPr>
          <w:sz w:val="24"/>
          <w:szCs w:val="24"/>
        </w:rPr>
        <w:t>pathogens</w:t>
      </w:r>
      <w:r w:rsidR="00BC643B" w:rsidRPr="004D3DA2">
        <w:rPr>
          <w:sz w:val="24"/>
          <w:szCs w:val="24"/>
        </w:rPr>
        <w:t xml:space="preserve"> </w:t>
      </w:r>
      <w:r w:rsidR="000B0E25" w:rsidRPr="004D3DA2">
        <w:rPr>
          <w:sz w:val="24"/>
          <w:szCs w:val="24"/>
        </w:rPr>
        <w:t xml:space="preserve">detected </w:t>
      </w:r>
      <w:r w:rsidR="000B0E25" w:rsidRPr="004D3DA2">
        <w:rPr>
          <w:sz w:val="24"/>
          <w:szCs w:val="24"/>
        </w:rPr>
        <w:lastRenderedPageBreak/>
        <w:t>by the panel is</w:t>
      </w:r>
      <w:r w:rsidR="00BC643B" w:rsidRPr="004D3DA2">
        <w:rPr>
          <w:sz w:val="24"/>
          <w:szCs w:val="24"/>
        </w:rPr>
        <w:t xml:space="preserve"> shown in </w:t>
      </w:r>
      <w:r w:rsidR="005D3CF9">
        <w:rPr>
          <w:sz w:val="24"/>
          <w:szCs w:val="24"/>
        </w:rPr>
        <w:t xml:space="preserve">the </w:t>
      </w:r>
      <w:r w:rsidR="006275DD">
        <w:rPr>
          <w:sz w:val="24"/>
          <w:szCs w:val="24"/>
        </w:rPr>
        <w:t>appendix</w:t>
      </w:r>
      <w:r w:rsidR="005D3CF9">
        <w:rPr>
          <w:sz w:val="24"/>
          <w:szCs w:val="24"/>
        </w:rPr>
        <w:t>, p2</w:t>
      </w:r>
      <w:r w:rsidR="00681987" w:rsidRPr="004D3DA2">
        <w:rPr>
          <w:sz w:val="24"/>
          <w:szCs w:val="24"/>
        </w:rPr>
        <w:t>.</w:t>
      </w:r>
      <w:r w:rsidR="00273C30">
        <w:rPr>
          <w:sz w:val="24"/>
          <w:szCs w:val="24"/>
          <w:vertAlign w:val="superscript"/>
        </w:rPr>
        <w:t>10</w:t>
      </w:r>
      <w:r w:rsidR="00794F13">
        <w:rPr>
          <w:sz w:val="24"/>
          <w:szCs w:val="24"/>
          <w:vertAlign w:val="superscript"/>
        </w:rPr>
        <w:t>,</w:t>
      </w:r>
      <w:r w:rsidR="00273C30">
        <w:rPr>
          <w:sz w:val="24"/>
          <w:szCs w:val="24"/>
          <w:vertAlign w:val="superscript"/>
        </w:rPr>
        <w:t>11</w:t>
      </w:r>
      <w:r w:rsidR="00DA117F" w:rsidRPr="004D3DA2">
        <w:rPr>
          <w:sz w:val="24"/>
          <w:szCs w:val="24"/>
        </w:rPr>
        <w:t xml:space="preserve"> </w:t>
      </w:r>
      <w:r w:rsidR="00681987" w:rsidRPr="004D3DA2">
        <w:rPr>
          <w:sz w:val="24"/>
          <w:szCs w:val="24"/>
        </w:rPr>
        <w:t>In addition</w:t>
      </w:r>
      <w:r w:rsidR="00597854" w:rsidRPr="004D3DA2">
        <w:rPr>
          <w:sz w:val="24"/>
          <w:szCs w:val="24"/>
        </w:rPr>
        <w:t>,</w:t>
      </w:r>
      <w:r w:rsidR="00681987" w:rsidRPr="004D3DA2">
        <w:rPr>
          <w:sz w:val="24"/>
          <w:szCs w:val="24"/>
        </w:rPr>
        <w:t xml:space="preserve"> laboratory PCR testing for SARS-CoV-2 </w:t>
      </w:r>
      <w:r w:rsidR="00294D64" w:rsidRPr="004D3DA2">
        <w:rPr>
          <w:sz w:val="24"/>
          <w:szCs w:val="24"/>
        </w:rPr>
        <w:t>on</w:t>
      </w:r>
      <w:r w:rsidR="00A81DFD">
        <w:rPr>
          <w:sz w:val="24"/>
          <w:szCs w:val="24"/>
        </w:rPr>
        <w:t xml:space="preserve"> an additional combined nose and throat swab (collected contemporaneously) </w:t>
      </w:r>
      <w:r w:rsidR="007961F3" w:rsidRPr="004D3DA2">
        <w:rPr>
          <w:sz w:val="24"/>
          <w:szCs w:val="24"/>
        </w:rPr>
        <w:t>was</w:t>
      </w:r>
      <w:r w:rsidR="00C145A3" w:rsidRPr="004D3DA2">
        <w:rPr>
          <w:sz w:val="24"/>
          <w:szCs w:val="24"/>
        </w:rPr>
        <w:t xml:space="preserve"> </w:t>
      </w:r>
      <w:r w:rsidR="00681987" w:rsidRPr="004D3DA2">
        <w:rPr>
          <w:sz w:val="24"/>
          <w:szCs w:val="24"/>
        </w:rPr>
        <w:t xml:space="preserve">performed </w:t>
      </w:r>
      <w:r w:rsidR="00EF1FE9" w:rsidRPr="004D3DA2">
        <w:rPr>
          <w:sz w:val="24"/>
          <w:szCs w:val="24"/>
        </w:rPr>
        <w:t xml:space="preserve">on all patients, </w:t>
      </w:r>
      <w:r w:rsidR="00681987" w:rsidRPr="004D3DA2">
        <w:rPr>
          <w:sz w:val="24"/>
          <w:szCs w:val="24"/>
        </w:rPr>
        <w:t xml:space="preserve">in the on-site </w:t>
      </w:r>
      <w:r w:rsidR="00294D64" w:rsidRPr="004D3DA2">
        <w:rPr>
          <w:sz w:val="24"/>
          <w:szCs w:val="24"/>
        </w:rPr>
        <w:t>Public Health England (PHE)</w:t>
      </w:r>
      <w:r w:rsidR="00A81DFD">
        <w:rPr>
          <w:sz w:val="24"/>
          <w:szCs w:val="24"/>
        </w:rPr>
        <w:t xml:space="preserve"> microbiology laboratory. I</w:t>
      </w:r>
      <w:r w:rsidR="00C145A3" w:rsidRPr="004D3DA2">
        <w:rPr>
          <w:sz w:val="24"/>
          <w:szCs w:val="24"/>
        </w:rPr>
        <w:t xml:space="preserve">nitially </w:t>
      </w:r>
      <w:r w:rsidR="00D93E05">
        <w:rPr>
          <w:sz w:val="24"/>
          <w:szCs w:val="24"/>
        </w:rPr>
        <w:t>laboratory</w:t>
      </w:r>
      <w:r w:rsidR="00121AFA">
        <w:rPr>
          <w:sz w:val="24"/>
          <w:szCs w:val="24"/>
        </w:rPr>
        <w:t xml:space="preserve"> PCR testing used the </w:t>
      </w:r>
      <w:r w:rsidR="00681987" w:rsidRPr="004D3DA2">
        <w:rPr>
          <w:sz w:val="24"/>
          <w:szCs w:val="24"/>
        </w:rPr>
        <w:t xml:space="preserve">PHE RdRp </w:t>
      </w:r>
      <w:r w:rsidR="00A81DFD">
        <w:rPr>
          <w:sz w:val="24"/>
          <w:szCs w:val="24"/>
        </w:rPr>
        <w:t>gene assay alone and subsequently</w:t>
      </w:r>
      <w:r w:rsidR="00C145A3" w:rsidRPr="004D3DA2">
        <w:rPr>
          <w:sz w:val="24"/>
          <w:szCs w:val="24"/>
        </w:rPr>
        <w:t xml:space="preserve"> </w:t>
      </w:r>
      <w:r w:rsidR="00121AFA">
        <w:rPr>
          <w:sz w:val="24"/>
          <w:szCs w:val="24"/>
        </w:rPr>
        <w:t xml:space="preserve">used the </w:t>
      </w:r>
      <w:r w:rsidR="00A81DFD">
        <w:rPr>
          <w:sz w:val="24"/>
          <w:szCs w:val="24"/>
        </w:rPr>
        <w:t xml:space="preserve">PHE </w:t>
      </w:r>
      <w:r w:rsidR="00C145A3" w:rsidRPr="004D3DA2">
        <w:rPr>
          <w:sz w:val="24"/>
          <w:szCs w:val="24"/>
        </w:rPr>
        <w:t xml:space="preserve">RdRp </w:t>
      </w:r>
      <w:r w:rsidR="00597854" w:rsidRPr="004D3DA2">
        <w:rPr>
          <w:sz w:val="24"/>
          <w:szCs w:val="24"/>
        </w:rPr>
        <w:t xml:space="preserve">and </w:t>
      </w:r>
      <w:r w:rsidR="00BE23B6" w:rsidRPr="004D3DA2">
        <w:rPr>
          <w:sz w:val="24"/>
          <w:szCs w:val="24"/>
        </w:rPr>
        <w:t xml:space="preserve">E gene </w:t>
      </w:r>
      <w:r w:rsidR="00597854" w:rsidRPr="004D3DA2">
        <w:rPr>
          <w:sz w:val="24"/>
          <w:szCs w:val="24"/>
        </w:rPr>
        <w:t>assays</w:t>
      </w:r>
      <w:r w:rsidR="000F6915">
        <w:rPr>
          <w:sz w:val="24"/>
          <w:szCs w:val="24"/>
        </w:rPr>
        <w:t xml:space="preserve"> combined</w:t>
      </w:r>
      <w:r w:rsidR="00C344DB" w:rsidRPr="004D3DA2">
        <w:rPr>
          <w:sz w:val="24"/>
          <w:szCs w:val="24"/>
        </w:rPr>
        <w:t>.</w:t>
      </w:r>
      <w:r w:rsidR="00273C30">
        <w:rPr>
          <w:sz w:val="24"/>
          <w:szCs w:val="24"/>
          <w:vertAlign w:val="superscript"/>
        </w:rPr>
        <w:t>12</w:t>
      </w:r>
      <w:r w:rsidR="00794F13">
        <w:rPr>
          <w:sz w:val="24"/>
          <w:szCs w:val="24"/>
          <w:vertAlign w:val="superscript"/>
        </w:rPr>
        <w:t>,</w:t>
      </w:r>
      <w:r w:rsidR="00273C30">
        <w:rPr>
          <w:sz w:val="24"/>
          <w:szCs w:val="24"/>
          <w:vertAlign w:val="superscript"/>
        </w:rPr>
        <w:t>13</w:t>
      </w:r>
      <w:r w:rsidR="00C344DB" w:rsidRPr="004D3DA2">
        <w:rPr>
          <w:sz w:val="24"/>
          <w:szCs w:val="24"/>
        </w:rPr>
        <w:t xml:space="preserve"> </w:t>
      </w:r>
      <w:r w:rsidR="000F6915">
        <w:rPr>
          <w:sz w:val="24"/>
          <w:szCs w:val="24"/>
        </w:rPr>
        <w:t xml:space="preserve">COVID-19 positive status </w:t>
      </w:r>
      <w:r w:rsidR="007B6A55">
        <w:rPr>
          <w:sz w:val="24"/>
          <w:szCs w:val="24"/>
        </w:rPr>
        <w:t xml:space="preserve">was </w:t>
      </w:r>
      <w:r w:rsidR="000F6915">
        <w:rPr>
          <w:sz w:val="24"/>
          <w:szCs w:val="24"/>
        </w:rPr>
        <w:t xml:space="preserve">defined as PCR positivity </w:t>
      </w:r>
      <w:r w:rsidR="00121AFA">
        <w:rPr>
          <w:sz w:val="24"/>
          <w:szCs w:val="24"/>
        </w:rPr>
        <w:t xml:space="preserve">for </w:t>
      </w:r>
      <w:r w:rsidR="00121AFA" w:rsidRPr="00121AFA">
        <w:rPr>
          <w:sz w:val="24"/>
          <w:szCs w:val="24"/>
        </w:rPr>
        <w:t xml:space="preserve">SARS-CoV-2 </w:t>
      </w:r>
      <w:r w:rsidR="000F6915">
        <w:rPr>
          <w:sz w:val="24"/>
          <w:szCs w:val="24"/>
        </w:rPr>
        <w:t>on either</w:t>
      </w:r>
      <w:r w:rsidR="007B6A55">
        <w:rPr>
          <w:sz w:val="24"/>
          <w:szCs w:val="24"/>
        </w:rPr>
        <w:t xml:space="preserve"> assay. </w:t>
      </w:r>
      <w:r w:rsidR="007239CC" w:rsidRPr="004D3DA2">
        <w:rPr>
          <w:sz w:val="24"/>
          <w:szCs w:val="24"/>
        </w:rPr>
        <w:t xml:space="preserve">Demographic and </w:t>
      </w:r>
      <w:r w:rsidR="00E90E8A" w:rsidRPr="004D3DA2">
        <w:rPr>
          <w:sz w:val="24"/>
          <w:szCs w:val="24"/>
        </w:rPr>
        <w:t>clinical data was</w:t>
      </w:r>
      <w:r w:rsidR="00294D64" w:rsidRPr="004D3DA2">
        <w:rPr>
          <w:sz w:val="24"/>
          <w:szCs w:val="24"/>
        </w:rPr>
        <w:t xml:space="preserve"> collected at enrolment and </w:t>
      </w:r>
      <w:r w:rsidR="008D1FCB" w:rsidRPr="004D3DA2">
        <w:rPr>
          <w:sz w:val="24"/>
          <w:szCs w:val="24"/>
        </w:rPr>
        <w:t>outcome data collected retrospectively from c</w:t>
      </w:r>
      <w:r w:rsidR="009A282E">
        <w:rPr>
          <w:sz w:val="24"/>
          <w:szCs w:val="24"/>
        </w:rPr>
        <w:t xml:space="preserve">ase note and electronic systems. </w:t>
      </w:r>
      <w:r w:rsidR="008D1FCB" w:rsidRPr="004D3DA2">
        <w:rPr>
          <w:sz w:val="24"/>
          <w:szCs w:val="24"/>
        </w:rPr>
        <w:t xml:space="preserve"> </w:t>
      </w:r>
      <w:r w:rsidR="009A282E" w:rsidRPr="00811D9A">
        <w:rPr>
          <w:color w:val="000000" w:themeColor="text1"/>
          <w:sz w:val="24"/>
          <w:szCs w:val="24"/>
        </w:rPr>
        <w:t>The data management systems ALE</w:t>
      </w:r>
      <w:r w:rsidR="005235AC" w:rsidRPr="00811D9A">
        <w:rPr>
          <w:color w:val="000000" w:themeColor="text1"/>
          <w:sz w:val="24"/>
          <w:szCs w:val="24"/>
        </w:rPr>
        <w:t>A</w:t>
      </w:r>
      <w:r w:rsidR="005235AC" w:rsidRPr="00811D9A">
        <w:rPr>
          <w:rFonts w:ascii="Arial" w:hAnsi="Arial" w:cs="Arial"/>
          <w:color w:val="000000" w:themeColor="text1"/>
          <w:sz w:val="21"/>
          <w:szCs w:val="21"/>
          <w:shd w:val="clear" w:color="auto" w:fill="FFFFFF"/>
        </w:rPr>
        <w:t> </w:t>
      </w:r>
      <w:r w:rsidR="005235AC" w:rsidRPr="00811D9A">
        <w:rPr>
          <w:color w:val="000000" w:themeColor="text1"/>
          <w:sz w:val="24"/>
          <w:szCs w:val="24"/>
        </w:rPr>
        <w:t>and BC platforms</w:t>
      </w:r>
      <w:r w:rsidR="009A282E" w:rsidRPr="00811D9A">
        <w:rPr>
          <w:color w:val="000000" w:themeColor="text1"/>
          <w:sz w:val="24"/>
          <w:szCs w:val="24"/>
        </w:rPr>
        <w:t xml:space="preserve"> were used</w:t>
      </w:r>
      <w:r w:rsidR="00034A2C" w:rsidRPr="00811D9A">
        <w:rPr>
          <w:color w:val="000000" w:themeColor="text1"/>
          <w:sz w:val="24"/>
          <w:szCs w:val="24"/>
        </w:rPr>
        <w:t xml:space="preserve"> for data capture and </w:t>
      </w:r>
      <w:r w:rsidR="00D05765" w:rsidRPr="00811D9A">
        <w:rPr>
          <w:color w:val="000000" w:themeColor="text1"/>
          <w:sz w:val="24"/>
          <w:szCs w:val="24"/>
        </w:rPr>
        <w:t xml:space="preserve">management. </w:t>
      </w:r>
    </w:p>
    <w:p w:rsidR="00436916" w:rsidRPr="000A5D43" w:rsidRDefault="00436916" w:rsidP="00294D64">
      <w:pPr>
        <w:spacing w:after="0" w:line="480" w:lineRule="auto"/>
        <w:jc w:val="both"/>
        <w:rPr>
          <w:sz w:val="24"/>
          <w:szCs w:val="24"/>
        </w:rPr>
      </w:pPr>
    </w:p>
    <w:p w:rsidR="00546B43" w:rsidRDefault="006F2115" w:rsidP="00294D64">
      <w:pPr>
        <w:spacing w:after="0" w:line="480" w:lineRule="auto"/>
        <w:jc w:val="both"/>
        <w:rPr>
          <w:b/>
          <w:sz w:val="24"/>
          <w:szCs w:val="24"/>
        </w:rPr>
      </w:pPr>
      <w:r w:rsidRPr="006F2115">
        <w:rPr>
          <w:b/>
          <w:sz w:val="24"/>
          <w:szCs w:val="24"/>
        </w:rPr>
        <w:t>Control group</w:t>
      </w:r>
    </w:p>
    <w:p w:rsidR="004D3DA2" w:rsidRPr="004D3DA2" w:rsidRDefault="007B6A55" w:rsidP="00294D64">
      <w:pPr>
        <w:spacing w:after="0" w:line="480" w:lineRule="auto"/>
        <w:jc w:val="both"/>
        <w:rPr>
          <w:sz w:val="24"/>
          <w:szCs w:val="24"/>
        </w:rPr>
      </w:pPr>
      <w:r>
        <w:rPr>
          <w:sz w:val="24"/>
          <w:szCs w:val="24"/>
        </w:rPr>
        <w:t xml:space="preserve">A </w:t>
      </w:r>
      <w:r w:rsidR="000E6035">
        <w:rPr>
          <w:sz w:val="24"/>
          <w:szCs w:val="24"/>
        </w:rPr>
        <w:t xml:space="preserve">contemporaneous </w:t>
      </w:r>
      <w:r w:rsidR="004D3DA2" w:rsidRPr="004D3DA2">
        <w:rPr>
          <w:sz w:val="24"/>
          <w:szCs w:val="24"/>
        </w:rPr>
        <w:t xml:space="preserve">control group of patients </w:t>
      </w:r>
      <w:r w:rsidR="004D3DA2">
        <w:rPr>
          <w:sz w:val="24"/>
          <w:szCs w:val="24"/>
        </w:rPr>
        <w:t xml:space="preserve">was identified, </w:t>
      </w:r>
      <w:r w:rsidR="004D3DA2" w:rsidRPr="004D3DA2">
        <w:rPr>
          <w:sz w:val="24"/>
          <w:szCs w:val="24"/>
        </w:rPr>
        <w:t>consisting of adults</w:t>
      </w:r>
      <w:r>
        <w:rPr>
          <w:sz w:val="24"/>
          <w:szCs w:val="24"/>
        </w:rPr>
        <w:t xml:space="preserve"> </w:t>
      </w:r>
      <w:r w:rsidR="00CA2296">
        <w:rPr>
          <w:rFonts w:cstheme="minorHAnsi"/>
          <w:sz w:val="24"/>
          <w:szCs w:val="24"/>
        </w:rPr>
        <w:t>≥</w:t>
      </w:r>
      <w:r>
        <w:rPr>
          <w:sz w:val="24"/>
          <w:szCs w:val="24"/>
        </w:rPr>
        <w:t>18</w:t>
      </w:r>
      <w:r w:rsidR="004D3DA2" w:rsidRPr="004D3DA2">
        <w:rPr>
          <w:sz w:val="24"/>
          <w:szCs w:val="24"/>
        </w:rPr>
        <w:t xml:space="preserve"> </w:t>
      </w:r>
      <w:r w:rsidR="00CA2296">
        <w:rPr>
          <w:sz w:val="24"/>
          <w:szCs w:val="24"/>
        </w:rPr>
        <w:t xml:space="preserve">years old </w:t>
      </w:r>
      <w:r w:rsidR="004D3DA2" w:rsidRPr="004D3DA2">
        <w:rPr>
          <w:sz w:val="24"/>
          <w:szCs w:val="24"/>
        </w:rPr>
        <w:t xml:space="preserve">presenting to hospital with </w:t>
      </w:r>
      <w:r w:rsidR="004D3DA2">
        <w:rPr>
          <w:sz w:val="24"/>
          <w:szCs w:val="24"/>
        </w:rPr>
        <w:t>ARI and</w:t>
      </w:r>
      <w:r w:rsidR="004D3DA2" w:rsidRPr="004D3DA2">
        <w:rPr>
          <w:sz w:val="24"/>
          <w:szCs w:val="24"/>
        </w:rPr>
        <w:t xml:space="preserve">/or suspected COVID-19 </w:t>
      </w:r>
      <w:r w:rsidR="004D3DA2">
        <w:rPr>
          <w:sz w:val="24"/>
          <w:szCs w:val="24"/>
        </w:rPr>
        <w:t xml:space="preserve">to the ED or AMU, during the same time period as the study </w:t>
      </w:r>
      <w:r w:rsidR="00121AFA">
        <w:rPr>
          <w:sz w:val="24"/>
          <w:szCs w:val="24"/>
        </w:rPr>
        <w:t>(20</w:t>
      </w:r>
      <w:r w:rsidR="00121AFA" w:rsidRPr="00121AFA">
        <w:rPr>
          <w:sz w:val="24"/>
          <w:szCs w:val="24"/>
          <w:vertAlign w:val="superscript"/>
        </w:rPr>
        <w:t>th</w:t>
      </w:r>
      <w:r w:rsidR="00121AFA">
        <w:rPr>
          <w:sz w:val="24"/>
          <w:szCs w:val="24"/>
        </w:rPr>
        <w:t xml:space="preserve"> March to 29</w:t>
      </w:r>
      <w:r w:rsidR="00121AFA" w:rsidRPr="00121AFA">
        <w:rPr>
          <w:sz w:val="24"/>
          <w:szCs w:val="24"/>
          <w:vertAlign w:val="superscript"/>
        </w:rPr>
        <w:t>th</w:t>
      </w:r>
      <w:r w:rsidR="00121AFA">
        <w:rPr>
          <w:sz w:val="24"/>
          <w:szCs w:val="24"/>
        </w:rPr>
        <w:t xml:space="preserve"> April 2020)</w:t>
      </w:r>
      <w:r w:rsidR="005D3CF9">
        <w:rPr>
          <w:sz w:val="24"/>
          <w:szCs w:val="24"/>
        </w:rPr>
        <w:t xml:space="preserve">. These patients were eligible for inclusion into the study but were not enrolled due to the limited capacity of the research team </w:t>
      </w:r>
      <w:r w:rsidR="009A2696" w:rsidRPr="00811D9A">
        <w:rPr>
          <w:color w:val="000000" w:themeColor="text1"/>
          <w:sz w:val="24"/>
          <w:szCs w:val="24"/>
        </w:rPr>
        <w:t xml:space="preserve">as </w:t>
      </w:r>
      <w:r w:rsidR="003C5BB7" w:rsidRPr="00811D9A">
        <w:rPr>
          <w:color w:val="000000" w:themeColor="text1"/>
          <w:sz w:val="24"/>
          <w:szCs w:val="24"/>
        </w:rPr>
        <w:t>we had insufficient research staff to recruit all patients with suspected COVID during the day and did not have resources to d</w:t>
      </w:r>
      <w:r w:rsidR="009A2696" w:rsidRPr="00811D9A">
        <w:rPr>
          <w:color w:val="000000" w:themeColor="text1"/>
          <w:sz w:val="24"/>
          <w:szCs w:val="24"/>
        </w:rPr>
        <w:t>eploy research teams overnight</w:t>
      </w:r>
      <w:r w:rsidR="00D05765" w:rsidRPr="00811D9A">
        <w:rPr>
          <w:color w:val="000000" w:themeColor="text1"/>
          <w:sz w:val="24"/>
          <w:szCs w:val="24"/>
        </w:rPr>
        <w:t>,</w:t>
      </w:r>
      <w:r w:rsidR="009A2696" w:rsidRPr="00811D9A">
        <w:rPr>
          <w:color w:val="000000" w:themeColor="text1"/>
          <w:sz w:val="24"/>
          <w:szCs w:val="24"/>
        </w:rPr>
        <w:t xml:space="preserve"> </w:t>
      </w:r>
      <w:r w:rsidR="005D3CF9" w:rsidRPr="00811D9A">
        <w:rPr>
          <w:color w:val="000000" w:themeColor="text1"/>
          <w:sz w:val="24"/>
          <w:szCs w:val="24"/>
        </w:rPr>
        <w:t xml:space="preserve">and were </w:t>
      </w:r>
      <w:r w:rsidR="004D3DA2" w:rsidRPr="00811D9A">
        <w:rPr>
          <w:color w:val="000000" w:themeColor="text1"/>
          <w:sz w:val="24"/>
          <w:szCs w:val="24"/>
        </w:rPr>
        <w:t>test</w:t>
      </w:r>
      <w:r w:rsidR="00FA59AB" w:rsidRPr="00811D9A">
        <w:rPr>
          <w:color w:val="000000" w:themeColor="text1"/>
          <w:sz w:val="24"/>
          <w:szCs w:val="24"/>
        </w:rPr>
        <w:t>ed</w:t>
      </w:r>
      <w:r w:rsidR="00794F13" w:rsidRPr="00811D9A">
        <w:rPr>
          <w:color w:val="000000" w:themeColor="text1"/>
          <w:sz w:val="24"/>
          <w:szCs w:val="24"/>
        </w:rPr>
        <w:t xml:space="preserve"> </w:t>
      </w:r>
      <w:r w:rsidR="005D3CF9" w:rsidRPr="00811D9A">
        <w:rPr>
          <w:color w:val="000000" w:themeColor="text1"/>
          <w:sz w:val="24"/>
          <w:szCs w:val="24"/>
        </w:rPr>
        <w:t xml:space="preserve">only </w:t>
      </w:r>
      <w:r w:rsidR="00FA59AB" w:rsidRPr="00811D9A">
        <w:rPr>
          <w:color w:val="000000" w:themeColor="text1"/>
          <w:sz w:val="24"/>
          <w:szCs w:val="24"/>
        </w:rPr>
        <w:t>by laboratory PCR</w:t>
      </w:r>
      <w:r w:rsidR="004D3DA2" w:rsidRPr="00811D9A">
        <w:rPr>
          <w:color w:val="000000" w:themeColor="text1"/>
          <w:sz w:val="24"/>
          <w:szCs w:val="24"/>
        </w:rPr>
        <w:t xml:space="preserve">. </w:t>
      </w:r>
      <w:r w:rsidR="009A2696" w:rsidRPr="00811D9A">
        <w:rPr>
          <w:color w:val="000000" w:themeColor="text1"/>
          <w:sz w:val="24"/>
          <w:szCs w:val="24"/>
        </w:rPr>
        <w:t>Control patient were not consented and r</w:t>
      </w:r>
      <w:r w:rsidR="004D3DA2" w:rsidRPr="00811D9A">
        <w:rPr>
          <w:color w:val="000000" w:themeColor="text1"/>
          <w:sz w:val="24"/>
          <w:szCs w:val="24"/>
        </w:rPr>
        <w:t xml:space="preserve">outinely obtained </w:t>
      </w:r>
      <w:r w:rsidR="009A2696" w:rsidRPr="00811D9A">
        <w:rPr>
          <w:color w:val="000000" w:themeColor="text1"/>
          <w:sz w:val="24"/>
          <w:szCs w:val="24"/>
        </w:rPr>
        <w:t xml:space="preserve">fully de-identified </w:t>
      </w:r>
      <w:r w:rsidR="004D3DA2">
        <w:rPr>
          <w:sz w:val="24"/>
          <w:szCs w:val="24"/>
        </w:rPr>
        <w:t xml:space="preserve">data including demographic, </w:t>
      </w:r>
      <w:r w:rsidR="004D3DA2" w:rsidRPr="004D3DA2">
        <w:rPr>
          <w:sz w:val="24"/>
          <w:szCs w:val="24"/>
        </w:rPr>
        <w:t xml:space="preserve">clinical </w:t>
      </w:r>
      <w:r w:rsidR="004D3DA2">
        <w:rPr>
          <w:sz w:val="24"/>
          <w:szCs w:val="24"/>
        </w:rPr>
        <w:t xml:space="preserve">and outcome </w:t>
      </w:r>
      <w:r w:rsidR="005A5C15">
        <w:rPr>
          <w:sz w:val="24"/>
          <w:szCs w:val="24"/>
        </w:rPr>
        <w:t xml:space="preserve">data were </w:t>
      </w:r>
      <w:r w:rsidR="004D3DA2" w:rsidRPr="004D3DA2">
        <w:rPr>
          <w:sz w:val="24"/>
          <w:szCs w:val="24"/>
        </w:rPr>
        <w:t>collected</w:t>
      </w:r>
      <w:r w:rsidR="004D3DA2">
        <w:rPr>
          <w:sz w:val="24"/>
          <w:szCs w:val="24"/>
        </w:rPr>
        <w:t xml:space="preserve"> retrospectively from hospital systems after local data protection assessment</w:t>
      </w:r>
      <w:r>
        <w:rPr>
          <w:sz w:val="24"/>
          <w:szCs w:val="24"/>
        </w:rPr>
        <w:t xml:space="preserve"> and approval</w:t>
      </w:r>
      <w:r w:rsidR="004D3DA2">
        <w:rPr>
          <w:sz w:val="24"/>
          <w:szCs w:val="24"/>
        </w:rPr>
        <w:t xml:space="preserve">.   </w:t>
      </w:r>
    </w:p>
    <w:p w:rsidR="006F2115" w:rsidRPr="006F2115" w:rsidRDefault="006F2115" w:rsidP="00294D64">
      <w:pPr>
        <w:spacing w:after="0" w:line="480" w:lineRule="auto"/>
        <w:jc w:val="both"/>
        <w:rPr>
          <w:b/>
          <w:sz w:val="24"/>
          <w:szCs w:val="24"/>
        </w:rPr>
      </w:pPr>
    </w:p>
    <w:p w:rsidR="0070651B" w:rsidRDefault="00877B8E" w:rsidP="0018178F">
      <w:pPr>
        <w:spacing w:after="0" w:line="480" w:lineRule="auto"/>
        <w:jc w:val="both"/>
        <w:rPr>
          <w:b/>
          <w:sz w:val="24"/>
          <w:szCs w:val="24"/>
        </w:rPr>
      </w:pPr>
      <w:r w:rsidRPr="00877B8E">
        <w:rPr>
          <w:b/>
          <w:sz w:val="24"/>
          <w:szCs w:val="24"/>
        </w:rPr>
        <w:t>Outcomes</w:t>
      </w:r>
    </w:p>
    <w:p w:rsidR="005D1097" w:rsidRDefault="003B49AB" w:rsidP="00156F9B">
      <w:pPr>
        <w:spacing w:after="0" w:line="480" w:lineRule="auto"/>
        <w:jc w:val="both"/>
        <w:rPr>
          <w:sz w:val="24"/>
          <w:szCs w:val="24"/>
        </w:rPr>
      </w:pPr>
      <w:r w:rsidRPr="003B49AB">
        <w:rPr>
          <w:sz w:val="24"/>
          <w:szCs w:val="24"/>
        </w:rPr>
        <w:t xml:space="preserve">The primary outcome measure was the time </w:t>
      </w:r>
      <w:r w:rsidR="006E4783">
        <w:rPr>
          <w:sz w:val="24"/>
          <w:szCs w:val="24"/>
        </w:rPr>
        <w:t xml:space="preserve">to results, defined as time </w:t>
      </w:r>
      <w:r w:rsidRPr="003B49AB">
        <w:rPr>
          <w:sz w:val="24"/>
          <w:szCs w:val="24"/>
        </w:rPr>
        <w:t>from COVID-19 test</w:t>
      </w:r>
      <w:r w:rsidR="00794F13">
        <w:rPr>
          <w:sz w:val="24"/>
          <w:szCs w:val="24"/>
        </w:rPr>
        <w:t>ing</w:t>
      </w:r>
      <w:r w:rsidRPr="003B49AB">
        <w:rPr>
          <w:sz w:val="24"/>
          <w:szCs w:val="24"/>
        </w:rPr>
        <w:t xml:space="preserve"> being requested </w:t>
      </w:r>
      <w:r w:rsidR="008C64A5">
        <w:rPr>
          <w:sz w:val="24"/>
          <w:szCs w:val="24"/>
        </w:rPr>
        <w:t xml:space="preserve">(for the POCT group this was the time of recruitment and for control patients </w:t>
      </w:r>
      <w:r w:rsidR="008C64A5">
        <w:rPr>
          <w:sz w:val="24"/>
          <w:szCs w:val="24"/>
        </w:rPr>
        <w:lastRenderedPageBreak/>
        <w:t xml:space="preserve">the time laboratory testing was requested) </w:t>
      </w:r>
      <w:r w:rsidRPr="003B49AB">
        <w:rPr>
          <w:sz w:val="24"/>
          <w:szCs w:val="24"/>
        </w:rPr>
        <w:t>to the result being available to clinica</w:t>
      </w:r>
      <w:r w:rsidR="000C5490">
        <w:rPr>
          <w:sz w:val="24"/>
          <w:szCs w:val="24"/>
        </w:rPr>
        <w:t>l teams. Secondary outcomes included</w:t>
      </w:r>
      <w:r w:rsidRPr="003B49AB">
        <w:rPr>
          <w:sz w:val="24"/>
          <w:szCs w:val="24"/>
        </w:rPr>
        <w:t>:</w:t>
      </w:r>
      <w:r w:rsidRPr="003B49AB">
        <w:t xml:space="preserve"> </w:t>
      </w:r>
      <w:r>
        <w:rPr>
          <w:sz w:val="24"/>
          <w:szCs w:val="24"/>
        </w:rPr>
        <w:t xml:space="preserve">time </w:t>
      </w:r>
      <w:r w:rsidR="00FA59AB">
        <w:rPr>
          <w:sz w:val="24"/>
          <w:szCs w:val="24"/>
        </w:rPr>
        <w:t xml:space="preserve">from admission </w:t>
      </w:r>
      <w:r>
        <w:rPr>
          <w:sz w:val="24"/>
          <w:szCs w:val="24"/>
        </w:rPr>
        <w:t xml:space="preserve">to </w:t>
      </w:r>
      <w:r w:rsidR="00FA59AB">
        <w:rPr>
          <w:sz w:val="24"/>
          <w:szCs w:val="24"/>
        </w:rPr>
        <w:t xml:space="preserve">arrival in </w:t>
      </w:r>
      <w:r w:rsidR="006E4783">
        <w:rPr>
          <w:sz w:val="24"/>
          <w:szCs w:val="24"/>
        </w:rPr>
        <w:t xml:space="preserve">a </w:t>
      </w:r>
      <w:r>
        <w:rPr>
          <w:sz w:val="24"/>
          <w:szCs w:val="24"/>
        </w:rPr>
        <w:t>definiti</w:t>
      </w:r>
      <w:r w:rsidR="00FA59AB">
        <w:rPr>
          <w:sz w:val="24"/>
          <w:szCs w:val="24"/>
        </w:rPr>
        <w:t xml:space="preserve">ve ward </w:t>
      </w:r>
      <w:r w:rsidR="00B90418">
        <w:rPr>
          <w:sz w:val="24"/>
          <w:szCs w:val="24"/>
        </w:rPr>
        <w:t>are</w:t>
      </w:r>
      <w:r w:rsidR="00121AFA">
        <w:rPr>
          <w:sz w:val="24"/>
          <w:szCs w:val="24"/>
        </w:rPr>
        <w:t>a</w:t>
      </w:r>
      <w:r w:rsidR="00FA59AB">
        <w:rPr>
          <w:sz w:val="24"/>
          <w:szCs w:val="24"/>
        </w:rPr>
        <w:t xml:space="preserve"> (i</w:t>
      </w:r>
      <w:r w:rsidR="00C13086">
        <w:rPr>
          <w:sz w:val="24"/>
          <w:szCs w:val="24"/>
        </w:rPr>
        <w:t>.</w:t>
      </w:r>
      <w:r w:rsidR="00FA59AB">
        <w:rPr>
          <w:sz w:val="24"/>
          <w:szCs w:val="24"/>
        </w:rPr>
        <w:t>e</w:t>
      </w:r>
      <w:r w:rsidR="00C13086">
        <w:rPr>
          <w:sz w:val="24"/>
          <w:szCs w:val="24"/>
        </w:rPr>
        <w:t>.</w:t>
      </w:r>
      <w:r w:rsidR="00FA59AB">
        <w:rPr>
          <w:sz w:val="24"/>
          <w:szCs w:val="24"/>
        </w:rPr>
        <w:t xml:space="preserve"> COVID-19 positive or negative</w:t>
      </w:r>
      <w:r w:rsidR="00121AFA">
        <w:rPr>
          <w:sz w:val="24"/>
          <w:szCs w:val="24"/>
        </w:rPr>
        <w:t xml:space="preserve"> ward</w:t>
      </w:r>
      <w:r w:rsidR="00FA59AB">
        <w:rPr>
          <w:sz w:val="24"/>
          <w:szCs w:val="24"/>
        </w:rPr>
        <w:t>)</w:t>
      </w:r>
      <w:r w:rsidR="00275630">
        <w:rPr>
          <w:sz w:val="24"/>
          <w:szCs w:val="24"/>
        </w:rPr>
        <w:t xml:space="preserve">, total </w:t>
      </w:r>
      <w:r>
        <w:rPr>
          <w:sz w:val="24"/>
          <w:szCs w:val="24"/>
        </w:rPr>
        <w:t>number of bed moves</w:t>
      </w:r>
      <w:r w:rsidR="00FA59AB">
        <w:rPr>
          <w:sz w:val="24"/>
          <w:szCs w:val="24"/>
        </w:rPr>
        <w:t xml:space="preserve"> </w:t>
      </w:r>
      <w:r w:rsidR="00F25731">
        <w:rPr>
          <w:sz w:val="24"/>
          <w:szCs w:val="24"/>
        </w:rPr>
        <w:t>before reaching definitive clinical area</w:t>
      </w:r>
      <w:r>
        <w:rPr>
          <w:sz w:val="24"/>
          <w:szCs w:val="24"/>
        </w:rPr>
        <w:t xml:space="preserve">, </w:t>
      </w:r>
      <w:r w:rsidR="005D1097">
        <w:rPr>
          <w:sz w:val="24"/>
          <w:szCs w:val="24"/>
        </w:rPr>
        <w:t xml:space="preserve">proportion of COVID-19 positive patients enrolled into </w:t>
      </w:r>
      <w:r w:rsidR="00FA59AB">
        <w:rPr>
          <w:sz w:val="24"/>
          <w:szCs w:val="24"/>
        </w:rPr>
        <w:t xml:space="preserve">other </w:t>
      </w:r>
      <w:r w:rsidR="005D1097">
        <w:rPr>
          <w:sz w:val="24"/>
          <w:szCs w:val="24"/>
        </w:rPr>
        <w:t xml:space="preserve">clinical trials, time from admission to enrolment in </w:t>
      </w:r>
      <w:r w:rsidR="00FA59AB">
        <w:rPr>
          <w:sz w:val="24"/>
          <w:szCs w:val="24"/>
        </w:rPr>
        <w:t xml:space="preserve">other </w:t>
      </w:r>
      <w:r w:rsidR="005D1097">
        <w:rPr>
          <w:sz w:val="24"/>
          <w:szCs w:val="24"/>
        </w:rPr>
        <w:t xml:space="preserve">clinical trials, </w:t>
      </w:r>
      <w:r>
        <w:rPr>
          <w:sz w:val="24"/>
          <w:szCs w:val="24"/>
        </w:rPr>
        <w:t>duration of hospitalisation, p</w:t>
      </w:r>
      <w:r w:rsidRPr="003B49AB">
        <w:rPr>
          <w:sz w:val="24"/>
          <w:szCs w:val="24"/>
        </w:rPr>
        <w:t>roportion of pa</w:t>
      </w:r>
      <w:r>
        <w:rPr>
          <w:sz w:val="24"/>
          <w:szCs w:val="24"/>
        </w:rPr>
        <w:t>ti</w:t>
      </w:r>
      <w:r w:rsidR="00275630">
        <w:rPr>
          <w:sz w:val="24"/>
          <w:szCs w:val="24"/>
        </w:rPr>
        <w:t xml:space="preserve">ents treated with antibiotics, </w:t>
      </w:r>
      <w:r>
        <w:rPr>
          <w:sz w:val="24"/>
          <w:szCs w:val="24"/>
        </w:rPr>
        <w:t>p</w:t>
      </w:r>
      <w:r w:rsidRPr="003B49AB">
        <w:rPr>
          <w:sz w:val="24"/>
          <w:szCs w:val="24"/>
        </w:rPr>
        <w:t>roportion of pati</w:t>
      </w:r>
      <w:r>
        <w:rPr>
          <w:sz w:val="24"/>
          <w:szCs w:val="24"/>
        </w:rPr>
        <w:t>e</w:t>
      </w:r>
      <w:r w:rsidR="00275630">
        <w:rPr>
          <w:sz w:val="24"/>
          <w:szCs w:val="24"/>
        </w:rPr>
        <w:t>nts with inte</w:t>
      </w:r>
      <w:r w:rsidR="00747637">
        <w:rPr>
          <w:sz w:val="24"/>
          <w:szCs w:val="24"/>
        </w:rPr>
        <w:t>nsive care unit (ICU) admission</w:t>
      </w:r>
      <w:r>
        <w:rPr>
          <w:sz w:val="24"/>
          <w:szCs w:val="24"/>
        </w:rPr>
        <w:t>, in-</w:t>
      </w:r>
      <w:r w:rsidR="00794F13">
        <w:rPr>
          <w:sz w:val="24"/>
          <w:szCs w:val="24"/>
        </w:rPr>
        <w:t xml:space="preserve">hospital and </w:t>
      </w:r>
      <w:r w:rsidRPr="003B49AB">
        <w:rPr>
          <w:sz w:val="24"/>
          <w:szCs w:val="24"/>
        </w:rPr>
        <w:t>30 day mortality</w:t>
      </w:r>
      <w:r>
        <w:rPr>
          <w:sz w:val="24"/>
          <w:szCs w:val="24"/>
        </w:rPr>
        <w:t>, s</w:t>
      </w:r>
      <w:r w:rsidRPr="003B49AB">
        <w:rPr>
          <w:sz w:val="24"/>
          <w:szCs w:val="24"/>
        </w:rPr>
        <w:t>ensitivity, specificity, positive predicted value, negative predictive value, and overall diagnostic accuracy</w:t>
      </w:r>
      <w:r w:rsidR="005D1097">
        <w:rPr>
          <w:sz w:val="24"/>
          <w:szCs w:val="24"/>
        </w:rPr>
        <w:t xml:space="preserve"> of QIAstat-Dx SARS-CoV-2 </w:t>
      </w:r>
      <w:r w:rsidR="00275630">
        <w:rPr>
          <w:sz w:val="24"/>
          <w:szCs w:val="24"/>
        </w:rPr>
        <w:t xml:space="preserve">assay, </w:t>
      </w:r>
      <w:r w:rsidR="0073519A">
        <w:rPr>
          <w:sz w:val="24"/>
          <w:szCs w:val="24"/>
        </w:rPr>
        <w:t xml:space="preserve">and </w:t>
      </w:r>
      <w:r w:rsidR="00275630">
        <w:rPr>
          <w:sz w:val="24"/>
          <w:szCs w:val="24"/>
        </w:rPr>
        <w:t xml:space="preserve">reliability of </w:t>
      </w:r>
      <w:r w:rsidR="00FA59AB">
        <w:rPr>
          <w:sz w:val="24"/>
          <w:szCs w:val="24"/>
        </w:rPr>
        <w:t xml:space="preserve">the </w:t>
      </w:r>
      <w:r w:rsidR="00275630">
        <w:rPr>
          <w:sz w:val="24"/>
          <w:szCs w:val="24"/>
        </w:rPr>
        <w:t>QIAstat-Dx system</w:t>
      </w:r>
      <w:r w:rsidR="00275630" w:rsidRPr="00275630">
        <w:rPr>
          <w:sz w:val="24"/>
          <w:szCs w:val="24"/>
        </w:rPr>
        <w:t xml:space="preserve"> </w:t>
      </w:r>
      <w:r w:rsidR="00275630">
        <w:rPr>
          <w:sz w:val="24"/>
          <w:szCs w:val="24"/>
        </w:rPr>
        <w:t xml:space="preserve">(proportion of </w:t>
      </w:r>
      <w:r w:rsidR="00F25731">
        <w:rPr>
          <w:sz w:val="24"/>
          <w:szCs w:val="24"/>
        </w:rPr>
        <w:t xml:space="preserve">tests with run failures). </w:t>
      </w:r>
      <w:r w:rsidR="00121AFA">
        <w:rPr>
          <w:sz w:val="24"/>
          <w:szCs w:val="24"/>
        </w:rPr>
        <w:t>All outcomes were</w:t>
      </w:r>
      <w:r w:rsidR="005D1097" w:rsidRPr="005D1097">
        <w:rPr>
          <w:sz w:val="24"/>
          <w:szCs w:val="24"/>
        </w:rPr>
        <w:t xml:space="preserve"> measured for the duration of hospitalisation or up to 30 days (whichever is short</w:t>
      </w:r>
      <w:r w:rsidR="005D3CF9">
        <w:rPr>
          <w:sz w:val="24"/>
          <w:szCs w:val="24"/>
        </w:rPr>
        <w:t xml:space="preserve">est) unless </w:t>
      </w:r>
      <w:r w:rsidR="005A5C15" w:rsidRPr="005A5C15">
        <w:rPr>
          <w:sz w:val="24"/>
          <w:szCs w:val="24"/>
        </w:rPr>
        <w:t xml:space="preserve">otherwise </w:t>
      </w:r>
      <w:r w:rsidR="005D3CF9">
        <w:rPr>
          <w:sz w:val="24"/>
          <w:szCs w:val="24"/>
        </w:rPr>
        <w:t xml:space="preserve">specified. </w:t>
      </w:r>
    </w:p>
    <w:p w:rsidR="009243F0" w:rsidRPr="005D1097" w:rsidRDefault="009243F0" w:rsidP="009243F0">
      <w:pPr>
        <w:spacing w:after="0" w:line="480" w:lineRule="auto"/>
        <w:jc w:val="both"/>
        <w:rPr>
          <w:sz w:val="24"/>
          <w:szCs w:val="24"/>
        </w:rPr>
      </w:pPr>
    </w:p>
    <w:p w:rsidR="006F5E09" w:rsidRPr="000A5D43" w:rsidRDefault="00294D64" w:rsidP="009243F0">
      <w:pPr>
        <w:spacing w:after="0" w:line="480" w:lineRule="auto"/>
        <w:jc w:val="both"/>
        <w:rPr>
          <w:b/>
          <w:sz w:val="24"/>
          <w:szCs w:val="24"/>
        </w:rPr>
      </w:pPr>
      <w:r w:rsidRPr="000A5D43">
        <w:rPr>
          <w:b/>
          <w:sz w:val="24"/>
          <w:szCs w:val="24"/>
        </w:rPr>
        <w:t xml:space="preserve">Sample size </w:t>
      </w:r>
    </w:p>
    <w:p w:rsidR="005D3CF9" w:rsidRDefault="005D1097" w:rsidP="00715B59">
      <w:pPr>
        <w:spacing w:after="0" w:line="480" w:lineRule="auto"/>
        <w:jc w:val="both"/>
        <w:rPr>
          <w:sz w:val="24"/>
          <w:szCs w:val="24"/>
        </w:rPr>
      </w:pPr>
      <w:r w:rsidRPr="00273C30">
        <w:rPr>
          <w:sz w:val="24"/>
          <w:szCs w:val="24"/>
        </w:rPr>
        <w:t xml:space="preserve">The sample size of 500 </w:t>
      </w:r>
      <w:r w:rsidR="00CA2296">
        <w:rPr>
          <w:sz w:val="24"/>
          <w:szCs w:val="24"/>
        </w:rPr>
        <w:t xml:space="preserve">patients </w:t>
      </w:r>
      <w:r w:rsidR="0073519A" w:rsidRPr="00273C30">
        <w:rPr>
          <w:sz w:val="24"/>
          <w:szCs w:val="24"/>
        </w:rPr>
        <w:t xml:space="preserve">in the POCT arm </w:t>
      </w:r>
      <w:r w:rsidRPr="00273C30">
        <w:rPr>
          <w:sz w:val="24"/>
          <w:szCs w:val="24"/>
        </w:rPr>
        <w:t>was cho</w:t>
      </w:r>
      <w:r w:rsidR="00A66197" w:rsidRPr="00273C30">
        <w:rPr>
          <w:sz w:val="24"/>
          <w:szCs w:val="24"/>
        </w:rPr>
        <w:t xml:space="preserve">sen pragmatically based on the </w:t>
      </w:r>
      <w:r w:rsidRPr="00273C30">
        <w:rPr>
          <w:sz w:val="24"/>
          <w:szCs w:val="24"/>
        </w:rPr>
        <w:t>availability of the QIAstat</w:t>
      </w:r>
      <w:r w:rsidR="00121AFA" w:rsidRPr="00273C30">
        <w:rPr>
          <w:sz w:val="24"/>
          <w:szCs w:val="24"/>
        </w:rPr>
        <w:t xml:space="preserve">Dx Respiratory </w:t>
      </w:r>
      <w:r w:rsidRPr="00273C30">
        <w:rPr>
          <w:sz w:val="24"/>
          <w:szCs w:val="24"/>
        </w:rPr>
        <w:t xml:space="preserve">SARS-CoV-2 </w:t>
      </w:r>
      <w:r w:rsidR="005D3CF9">
        <w:rPr>
          <w:sz w:val="24"/>
          <w:szCs w:val="24"/>
        </w:rPr>
        <w:t xml:space="preserve">Panel test kits. </w:t>
      </w:r>
      <w:r w:rsidR="005D3CF9" w:rsidRPr="005D3CF9">
        <w:rPr>
          <w:sz w:val="24"/>
          <w:szCs w:val="24"/>
        </w:rPr>
        <w:t xml:space="preserve">The control arm consisted of </w:t>
      </w:r>
      <w:r w:rsidR="005A5C15">
        <w:rPr>
          <w:sz w:val="24"/>
          <w:szCs w:val="24"/>
        </w:rPr>
        <w:t xml:space="preserve">all </w:t>
      </w:r>
      <w:r w:rsidR="005D3CF9" w:rsidRPr="005D3CF9">
        <w:rPr>
          <w:sz w:val="24"/>
          <w:szCs w:val="24"/>
        </w:rPr>
        <w:t>conte</w:t>
      </w:r>
      <w:r w:rsidR="005A5C15">
        <w:rPr>
          <w:sz w:val="24"/>
          <w:szCs w:val="24"/>
        </w:rPr>
        <w:t>mporaneously identified</w:t>
      </w:r>
      <w:r w:rsidR="005D3CF9">
        <w:rPr>
          <w:sz w:val="24"/>
          <w:szCs w:val="24"/>
        </w:rPr>
        <w:t xml:space="preserve"> patients</w:t>
      </w:r>
      <w:r w:rsidR="000C5490">
        <w:rPr>
          <w:sz w:val="24"/>
          <w:szCs w:val="24"/>
        </w:rPr>
        <w:t xml:space="preserve"> who </w:t>
      </w:r>
      <w:r w:rsidR="00C13086">
        <w:rPr>
          <w:sz w:val="24"/>
          <w:szCs w:val="24"/>
        </w:rPr>
        <w:t xml:space="preserve">presented in the same time period as the intervention and </w:t>
      </w:r>
      <w:r w:rsidR="000C5490">
        <w:rPr>
          <w:sz w:val="24"/>
          <w:szCs w:val="24"/>
        </w:rPr>
        <w:t>fulfilled</w:t>
      </w:r>
      <w:r w:rsidR="005A5C15">
        <w:rPr>
          <w:sz w:val="24"/>
          <w:szCs w:val="24"/>
        </w:rPr>
        <w:t xml:space="preserve"> the inclusion criteria </w:t>
      </w:r>
      <w:r w:rsidR="00C13086">
        <w:rPr>
          <w:sz w:val="24"/>
          <w:szCs w:val="24"/>
        </w:rPr>
        <w:t>in the same admission pathways</w:t>
      </w:r>
      <w:r w:rsidR="005D3CF9">
        <w:rPr>
          <w:sz w:val="24"/>
          <w:szCs w:val="24"/>
        </w:rPr>
        <w:t xml:space="preserve">. </w:t>
      </w:r>
      <w:r w:rsidR="005D3CF9" w:rsidRPr="005D3CF9">
        <w:rPr>
          <w:sz w:val="24"/>
          <w:szCs w:val="24"/>
        </w:rPr>
        <w:t>It was anticipated that the number included in the control arm would be similar, based on the time periods for recruiting to POCT</w:t>
      </w:r>
      <w:r w:rsidR="00715B59">
        <w:rPr>
          <w:sz w:val="24"/>
          <w:szCs w:val="24"/>
        </w:rPr>
        <w:t xml:space="preserve"> and the proportion of </w:t>
      </w:r>
      <w:r w:rsidR="00AC75D8">
        <w:rPr>
          <w:sz w:val="24"/>
          <w:szCs w:val="24"/>
        </w:rPr>
        <w:t>potentially</w:t>
      </w:r>
      <w:r w:rsidR="00715B59">
        <w:rPr>
          <w:sz w:val="24"/>
          <w:szCs w:val="24"/>
        </w:rPr>
        <w:t xml:space="preserve"> eligible patient who were recruited</w:t>
      </w:r>
      <w:r w:rsidR="005D3CF9" w:rsidRPr="005D3CF9">
        <w:rPr>
          <w:sz w:val="24"/>
          <w:szCs w:val="24"/>
        </w:rPr>
        <w:t>. These numbers were thought sufficient to provide power for comparisons between arms, and to estimate the diagnostic accuracy with acceptable precision.</w:t>
      </w:r>
      <w:r w:rsidR="00715B59" w:rsidRPr="00715B59">
        <w:t xml:space="preserve"> </w:t>
      </w:r>
      <w:r w:rsidR="00715B59" w:rsidRPr="00715B59">
        <w:rPr>
          <w:sz w:val="24"/>
          <w:szCs w:val="24"/>
        </w:rPr>
        <w:t>Although not formalised in the study design, this sample size corresponds to more than 90% power for a hazard ratio of 1</w:t>
      </w:r>
      <w:r w:rsidR="00BB61F4">
        <w:rPr>
          <w:rFonts w:cstheme="minorHAnsi"/>
          <w:sz w:val="24"/>
          <w:szCs w:val="24"/>
        </w:rPr>
        <w:t>·</w:t>
      </w:r>
      <w:r w:rsidR="00715B59" w:rsidRPr="00715B59">
        <w:rPr>
          <w:sz w:val="24"/>
          <w:szCs w:val="24"/>
        </w:rPr>
        <w:t>25 for turnaround time (equivalent to decreasing</w:t>
      </w:r>
      <w:r w:rsidR="00AC75D8">
        <w:rPr>
          <w:sz w:val="24"/>
          <w:szCs w:val="24"/>
        </w:rPr>
        <w:t xml:space="preserve"> median time to results from 24</w:t>
      </w:r>
      <w:r w:rsidR="00715B59" w:rsidRPr="00715B59">
        <w:rPr>
          <w:sz w:val="24"/>
          <w:szCs w:val="24"/>
        </w:rPr>
        <w:t xml:space="preserve"> hours to less than 20 hours, or increasing the percentage of those with results within </w:t>
      </w:r>
      <w:r w:rsidR="00715B59" w:rsidRPr="00715B59">
        <w:rPr>
          <w:sz w:val="24"/>
          <w:szCs w:val="24"/>
        </w:rPr>
        <w:lastRenderedPageBreak/>
        <w:t>24 hours from 50 to 58%).</w:t>
      </w:r>
      <w:r w:rsidR="00715B59" w:rsidRPr="00715B59">
        <w:t xml:space="preserve"> </w:t>
      </w:r>
      <w:r w:rsidR="00715B59" w:rsidRPr="00715B59">
        <w:rPr>
          <w:sz w:val="24"/>
          <w:szCs w:val="24"/>
        </w:rPr>
        <w:t xml:space="preserve">The likely prevalence of COVID-19 during the study was highly speculative at the time </w:t>
      </w:r>
      <w:r w:rsidR="00CA2296">
        <w:rPr>
          <w:sz w:val="24"/>
          <w:szCs w:val="24"/>
        </w:rPr>
        <w:t>of study conception</w:t>
      </w:r>
      <w:r w:rsidR="00715B59" w:rsidRPr="00715B59">
        <w:rPr>
          <w:sz w:val="24"/>
          <w:szCs w:val="24"/>
        </w:rPr>
        <w:t>, and so a formal sample size calculation for evaluation of diagnostic accuracy was no</w:t>
      </w:r>
      <w:r w:rsidR="00B204FE">
        <w:rPr>
          <w:sz w:val="24"/>
          <w:szCs w:val="24"/>
        </w:rPr>
        <w:t>t undertaken. However, a sample</w:t>
      </w:r>
      <w:r w:rsidR="00715B59" w:rsidRPr="00715B59">
        <w:rPr>
          <w:sz w:val="24"/>
          <w:szCs w:val="24"/>
        </w:rPr>
        <w:t xml:space="preserve"> size of 500 patients in the POCT arm wou</w:t>
      </w:r>
      <w:r w:rsidR="00CA2296">
        <w:rPr>
          <w:sz w:val="24"/>
          <w:szCs w:val="24"/>
        </w:rPr>
        <w:t xml:space="preserve">ld </w:t>
      </w:r>
      <w:r w:rsidR="00715B59" w:rsidRPr="00715B59">
        <w:rPr>
          <w:sz w:val="24"/>
          <w:szCs w:val="24"/>
        </w:rPr>
        <w:t>have 80% power</w:t>
      </w:r>
      <w:r w:rsidR="00AC75D8">
        <w:rPr>
          <w:sz w:val="24"/>
          <w:szCs w:val="24"/>
        </w:rPr>
        <w:t xml:space="preserve"> to </w:t>
      </w:r>
      <w:r w:rsidR="00715B59" w:rsidRPr="00715B59">
        <w:rPr>
          <w:sz w:val="24"/>
          <w:szCs w:val="24"/>
        </w:rPr>
        <w:t>give an approximately 90% chance of achievi</w:t>
      </w:r>
      <w:r w:rsidR="00AC75D8">
        <w:rPr>
          <w:sz w:val="24"/>
          <w:szCs w:val="24"/>
        </w:rPr>
        <w:t>ng a 95% confidence interval wid</w:t>
      </w:r>
      <w:r w:rsidR="00715B59" w:rsidRPr="00715B59">
        <w:rPr>
          <w:sz w:val="24"/>
          <w:szCs w:val="24"/>
        </w:rPr>
        <w:t>th no larger than 10% based on sensitivity of 90% and prevalence of 30%.</w:t>
      </w:r>
    </w:p>
    <w:p w:rsidR="00100A7D" w:rsidRDefault="00100A7D" w:rsidP="00715B59">
      <w:pPr>
        <w:spacing w:after="0" w:line="480" w:lineRule="auto"/>
        <w:jc w:val="both"/>
        <w:rPr>
          <w:sz w:val="24"/>
          <w:szCs w:val="24"/>
        </w:rPr>
      </w:pPr>
    </w:p>
    <w:p w:rsidR="00AF2144" w:rsidRDefault="0018178F" w:rsidP="0018178F">
      <w:pPr>
        <w:jc w:val="both"/>
        <w:rPr>
          <w:b/>
          <w:bCs/>
          <w:sz w:val="24"/>
          <w:szCs w:val="24"/>
        </w:rPr>
      </w:pPr>
      <w:r w:rsidRPr="000A5D43">
        <w:rPr>
          <w:b/>
          <w:bCs/>
          <w:sz w:val="24"/>
          <w:szCs w:val="24"/>
        </w:rPr>
        <w:t>Statistical analysis</w:t>
      </w:r>
    </w:p>
    <w:p w:rsidR="005235AC" w:rsidRPr="00811D9A" w:rsidRDefault="005D1097" w:rsidP="005D1097">
      <w:pPr>
        <w:snapToGrid w:val="0"/>
        <w:spacing w:after="0" w:line="480" w:lineRule="auto"/>
        <w:jc w:val="both"/>
        <w:rPr>
          <w:color w:val="000000" w:themeColor="text1"/>
          <w:sz w:val="24"/>
          <w:szCs w:val="24"/>
        </w:rPr>
      </w:pPr>
      <w:r w:rsidRPr="00811D9A">
        <w:rPr>
          <w:color w:val="000000" w:themeColor="text1"/>
          <w:sz w:val="24"/>
          <w:szCs w:val="24"/>
        </w:rPr>
        <w:t>Statistical analysis was performed by a dedicated medical statistician from the University of Southampton</w:t>
      </w:r>
      <w:r w:rsidR="00585943" w:rsidRPr="00811D9A">
        <w:rPr>
          <w:color w:val="000000" w:themeColor="text1"/>
          <w:sz w:val="24"/>
          <w:szCs w:val="24"/>
        </w:rPr>
        <w:t xml:space="preserve"> Clinical Trials Unit (Dr Sean Ewings)</w:t>
      </w:r>
      <w:r w:rsidRPr="00811D9A">
        <w:rPr>
          <w:color w:val="000000" w:themeColor="text1"/>
          <w:sz w:val="24"/>
          <w:szCs w:val="24"/>
        </w:rPr>
        <w:t xml:space="preserve">, independent from the study team. </w:t>
      </w:r>
      <w:r w:rsidR="00AC75D8" w:rsidRPr="00811D9A">
        <w:rPr>
          <w:color w:val="000000" w:themeColor="text1"/>
          <w:sz w:val="24"/>
          <w:szCs w:val="24"/>
        </w:rPr>
        <w:t xml:space="preserve">Analysis was carried out </w:t>
      </w:r>
      <w:r w:rsidRPr="00811D9A">
        <w:rPr>
          <w:color w:val="000000" w:themeColor="text1"/>
          <w:sz w:val="24"/>
          <w:szCs w:val="24"/>
        </w:rPr>
        <w:t>using Prism version 7.0 (GraphPad Software Inc; La Jolla, California), and Stata version 16 (StataCorp, College Station, Texas). The use of multiple imputation was planned should missing data exceed 5% for the primary outcome or for key secondary outcomes</w:t>
      </w:r>
      <w:r w:rsidR="00CA2296" w:rsidRPr="00811D9A">
        <w:rPr>
          <w:color w:val="000000" w:themeColor="text1"/>
          <w:sz w:val="24"/>
          <w:szCs w:val="24"/>
        </w:rPr>
        <w:t xml:space="preserve"> but was not needed</w:t>
      </w:r>
      <w:r w:rsidRPr="00811D9A">
        <w:rPr>
          <w:color w:val="000000" w:themeColor="text1"/>
          <w:sz w:val="24"/>
          <w:szCs w:val="24"/>
        </w:rPr>
        <w:t>.</w:t>
      </w:r>
      <w:r w:rsidRPr="00811D9A">
        <w:rPr>
          <w:color w:val="000000" w:themeColor="text1"/>
        </w:rPr>
        <w:t xml:space="preserve"> </w:t>
      </w:r>
      <w:r w:rsidRPr="00811D9A">
        <w:rPr>
          <w:color w:val="000000" w:themeColor="text1"/>
          <w:sz w:val="24"/>
          <w:szCs w:val="24"/>
        </w:rPr>
        <w:t xml:space="preserve">Summaries of all baseline characteristics </w:t>
      </w:r>
      <w:r w:rsidR="00AC75D8" w:rsidRPr="00811D9A">
        <w:rPr>
          <w:color w:val="000000" w:themeColor="text1"/>
          <w:sz w:val="24"/>
          <w:szCs w:val="24"/>
        </w:rPr>
        <w:t xml:space="preserve">are presented. </w:t>
      </w:r>
    </w:p>
    <w:p w:rsidR="005235AC" w:rsidRDefault="005235AC" w:rsidP="005D1097">
      <w:pPr>
        <w:snapToGrid w:val="0"/>
        <w:spacing w:after="0" w:line="480" w:lineRule="auto"/>
        <w:jc w:val="both"/>
        <w:rPr>
          <w:sz w:val="24"/>
          <w:szCs w:val="24"/>
        </w:rPr>
      </w:pPr>
    </w:p>
    <w:p w:rsidR="005235AC" w:rsidRPr="00811D9A" w:rsidRDefault="005235AC" w:rsidP="005D1097">
      <w:pPr>
        <w:snapToGrid w:val="0"/>
        <w:spacing w:after="0" w:line="480" w:lineRule="auto"/>
        <w:jc w:val="both"/>
        <w:rPr>
          <w:color w:val="000000" w:themeColor="text1"/>
          <w:sz w:val="24"/>
          <w:szCs w:val="24"/>
        </w:rPr>
      </w:pPr>
      <w:r w:rsidRPr="00811D9A">
        <w:rPr>
          <w:color w:val="000000" w:themeColor="text1"/>
          <w:sz w:val="24"/>
          <w:szCs w:val="24"/>
        </w:rPr>
        <w:t xml:space="preserve">Baseline characteristics and outcomes were compared between the groups using chi-square tests for equality of proportions for binary data and using independent-samples t-tests (when presented with means) or Mann-Whitney U test  (when presented with medians), as appropriate for continuous data. Time to results and </w:t>
      </w:r>
      <w:r w:rsidRPr="00E72C5D">
        <w:rPr>
          <w:sz w:val="24"/>
          <w:szCs w:val="24"/>
        </w:rPr>
        <w:t xml:space="preserve">time to definitive ward </w:t>
      </w:r>
      <w:r w:rsidR="00811D9A" w:rsidRPr="00E72C5D">
        <w:rPr>
          <w:sz w:val="24"/>
          <w:szCs w:val="24"/>
        </w:rPr>
        <w:t xml:space="preserve">arrival </w:t>
      </w:r>
      <w:r w:rsidRPr="00E72C5D">
        <w:rPr>
          <w:sz w:val="24"/>
          <w:szCs w:val="24"/>
        </w:rPr>
        <w:t xml:space="preserve">had no censoring. </w:t>
      </w:r>
      <w:r w:rsidR="008B1EDF" w:rsidRPr="00E72C5D">
        <w:rPr>
          <w:sz w:val="24"/>
          <w:szCs w:val="24"/>
        </w:rPr>
        <w:t>For length of stay d</w:t>
      </w:r>
      <w:r w:rsidRPr="00E72C5D">
        <w:rPr>
          <w:sz w:val="24"/>
          <w:szCs w:val="24"/>
        </w:rPr>
        <w:t xml:space="preserve">eaths </w:t>
      </w:r>
      <w:r w:rsidR="008B1EDF" w:rsidRPr="00E72C5D">
        <w:rPr>
          <w:sz w:val="24"/>
          <w:szCs w:val="24"/>
        </w:rPr>
        <w:t xml:space="preserve">were right censored at 30 days. </w:t>
      </w:r>
      <w:r w:rsidR="00DA20C2" w:rsidRPr="00E72C5D">
        <w:rPr>
          <w:sz w:val="24"/>
          <w:szCs w:val="24"/>
        </w:rPr>
        <w:t xml:space="preserve">Median </w:t>
      </w:r>
      <w:r w:rsidR="00A44702" w:rsidRPr="00E72C5D">
        <w:rPr>
          <w:sz w:val="24"/>
          <w:szCs w:val="24"/>
        </w:rPr>
        <w:t>differences and corresponding confidence interval</w:t>
      </w:r>
      <w:r w:rsidR="00DA20C2" w:rsidRPr="00E72C5D">
        <w:rPr>
          <w:sz w:val="24"/>
          <w:szCs w:val="24"/>
        </w:rPr>
        <w:t xml:space="preserve">s were calculated using the Hodges-Lehmann estimate. </w:t>
      </w:r>
      <w:r w:rsidR="008B1EDF" w:rsidRPr="00811D9A">
        <w:rPr>
          <w:color w:val="000000" w:themeColor="text1"/>
          <w:sz w:val="24"/>
          <w:szCs w:val="24"/>
        </w:rPr>
        <w:t xml:space="preserve">Enrolment into other COVID-19 studies was only evaluated in COVID-19 positive patients. </w:t>
      </w:r>
    </w:p>
    <w:p w:rsidR="0073519A" w:rsidRPr="00273C30" w:rsidRDefault="0073519A" w:rsidP="005D1097">
      <w:pPr>
        <w:snapToGrid w:val="0"/>
        <w:spacing w:after="0" w:line="480" w:lineRule="auto"/>
        <w:jc w:val="both"/>
        <w:rPr>
          <w:sz w:val="24"/>
          <w:szCs w:val="24"/>
        </w:rPr>
      </w:pPr>
    </w:p>
    <w:p w:rsidR="005D1097" w:rsidRPr="00811D9A" w:rsidRDefault="00007C63" w:rsidP="005D1097">
      <w:pPr>
        <w:snapToGrid w:val="0"/>
        <w:spacing w:after="0" w:line="480" w:lineRule="auto"/>
        <w:jc w:val="both"/>
        <w:rPr>
          <w:color w:val="000000" w:themeColor="text1"/>
          <w:sz w:val="24"/>
          <w:szCs w:val="24"/>
        </w:rPr>
      </w:pPr>
      <w:r w:rsidRPr="00273C30">
        <w:rPr>
          <w:sz w:val="24"/>
          <w:szCs w:val="24"/>
        </w:rPr>
        <w:lastRenderedPageBreak/>
        <w:t>For assessment of diagnostic accuracy</w:t>
      </w:r>
      <w:r w:rsidR="00A30DBB" w:rsidRPr="00273C30">
        <w:rPr>
          <w:sz w:val="24"/>
          <w:szCs w:val="24"/>
        </w:rPr>
        <w:t xml:space="preserve"> (POCT group only)</w:t>
      </w:r>
      <w:r w:rsidRPr="00273C30">
        <w:rPr>
          <w:sz w:val="24"/>
          <w:szCs w:val="24"/>
        </w:rPr>
        <w:t>, measure</w:t>
      </w:r>
      <w:r w:rsidR="00F25731" w:rsidRPr="00273C30">
        <w:rPr>
          <w:sz w:val="24"/>
          <w:szCs w:val="24"/>
        </w:rPr>
        <w:t>s</w:t>
      </w:r>
      <w:r w:rsidRPr="00273C30">
        <w:rPr>
          <w:sz w:val="24"/>
          <w:szCs w:val="24"/>
        </w:rPr>
        <w:t xml:space="preserve"> were calculated based on a composite re</w:t>
      </w:r>
      <w:r w:rsidR="0073519A" w:rsidRPr="00273C30">
        <w:rPr>
          <w:sz w:val="24"/>
          <w:szCs w:val="24"/>
        </w:rPr>
        <w:t>ference standard of PCR positivity</w:t>
      </w:r>
      <w:r w:rsidR="004B71E6" w:rsidRPr="00273C30">
        <w:rPr>
          <w:sz w:val="24"/>
          <w:szCs w:val="24"/>
        </w:rPr>
        <w:t xml:space="preserve"> by any assay when </w:t>
      </w:r>
      <w:r w:rsidRPr="00273C30">
        <w:rPr>
          <w:sz w:val="24"/>
          <w:szCs w:val="24"/>
        </w:rPr>
        <w:t xml:space="preserve">confirmed by a second assay. </w:t>
      </w:r>
      <w:r w:rsidR="00AC75D8">
        <w:rPr>
          <w:sz w:val="24"/>
          <w:szCs w:val="24"/>
        </w:rPr>
        <w:t xml:space="preserve">Therefore, </w:t>
      </w:r>
      <w:r w:rsidR="0073519A" w:rsidRPr="00273C30">
        <w:rPr>
          <w:sz w:val="24"/>
          <w:szCs w:val="24"/>
        </w:rPr>
        <w:t>w</w:t>
      </w:r>
      <w:r w:rsidRPr="00273C30">
        <w:rPr>
          <w:sz w:val="24"/>
          <w:szCs w:val="24"/>
        </w:rPr>
        <w:t xml:space="preserve">here results were discordant between the POCT and laboratory PCR, </w:t>
      </w:r>
      <w:r w:rsidRPr="00811D9A">
        <w:rPr>
          <w:color w:val="000000" w:themeColor="text1"/>
          <w:sz w:val="24"/>
          <w:szCs w:val="24"/>
        </w:rPr>
        <w:t xml:space="preserve">further PCR testing was </w:t>
      </w:r>
      <w:r w:rsidR="00B204FE" w:rsidRPr="00811D9A">
        <w:rPr>
          <w:color w:val="000000" w:themeColor="text1"/>
          <w:sz w:val="24"/>
          <w:szCs w:val="24"/>
        </w:rPr>
        <w:t>performed using two additional CE-</w:t>
      </w:r>
      <w:r w:rsidRPr="00811D9A">
        <w:rPr>
          <w:color w:val="000000" w:themeColor="text1"/>
          <w:sz w:val="24"/>
          <w:szCs w:val="24"/>
        </w:rPr>
        <w:t>marked SARS-CoV-2 assays (</w:t>
      </w:r>
      <w:r w:rsidR="004B71E6" w:rsidRPr="00811D9A">
        <w:rPr>
          <w:color w:val="000000" w:themeColor="text1"/>
          <w:sz w:val="24"/>
          <w:szCs w:val="24"/>
        </w:rPr>
        <w:t xml:space="preserve">Primerdesign </w:t>
      </w:r>
      <w:r w:rsidR="00C13086" w:rsidRPr="00E72C5D">
        <w:rPr>
          <w:sz w:val="24"/>
          <w:szCs w:val="24"/>
        </w:rPr>
        <w:t xml:space="preserve">genesig </w:t>
      </w:r>
      <w:r w:rsidR="004B71E6" w:rsidRPr="00E72C5D">
        <w:rPr>
          <w:sz w:val="24"/>
          <w:szCs w:val="24"/>
        </w:rPr>
        <w:t>COVID-19</w:t>
      </w:r>
      <w:r w:rsidRPr="00E72C5D">
        <w:rPr>
          <w:sz w:val="24"/>
          <w:szCs w:val="24"/>
        </w:rPr>
        <w:t xml:space="preserve"> RT-PCR assay and </w:t>
      </w:r>
      <w:r w:rsidR="00C13086" w:rsidRPr="00E72C5D">
        <w:rPr>
          <w:sz w:val="24"/>
          <w:szCs w:val="24"/>
        </w:rPr>
        <w:t>CerTest Viasure SARS-COV-2 RT-PCR</w:t>
      </w:r>
      <w:r w:rsidR="004B71E6" w:rsidRPr="00E72C5D">
        <w:rPr>
          <w:sz w:val="24"/>
          <w:szCs w:val="24"/>
        </w:rPr>
        <w:t>)</w:t>
      </w:r>
      <w:r w:rsidRPr="00E72C5D">
        <w:rPr>
          <w:sz w:val="24"/>
          <w:szCs w:val="24"/>
        </w:rPr>
        <w:t xml:space="preserve"> in another regional laboratory </w:t>
      </w:r>
      <w:r w:rsidR="00A30DBB" w:rsidRPr="00E72C5D">
        <w:rPr>
          <w:sz w:val="24"/>
          <w:szCs w:val="24"/>
        </w:rPr>
        <w:t>with operators</w:t>
      </w:r>
      <w:r w:rsidRPr="00E72C5D">
        <w:rPr>
          <w:sz w:val="24"/>
          <w:szCs w:val="24"/>
        </w:rPr>
        <w:t xml:space="preserve"> blinded to the original results.</w:t>
      </w:r>
      <w:r w:rsidR="00340463" w:rsidRPr="00E72C5D">
        <w:rPr>
          <w:sz w:val="24"/>
          <w:szCs w:val="24"/>
        </w:rPr>
        <w:t xml:space="preserve"> </w:t>
      </w:r>
      <w:r w:rsidR="008B1EDF" w:rsidRPr="00E72C5D">
        <w:rPr>
          <w:sz w:val="24"/>
          <w:szCs w:val="24"/>
        </w:rPr>
        <w:t>Results are presented as sensitivity, specificity, likelihood ratios and predictive values.</w:t>
      </w:r>
      <w:r w:rsidR="009C6FFC" w:rsidRPr="00E72C5D">
        <w:t xml:space="preserve"> </w:t>
      </w:r>
      <w:r w:rsidR="009C6FFC" w:rsidRPr="00E72C5D">
        <w:rPr>
          <w:sz w:val="24"/>
          <w:szCs w:val="24"/>
        </w:rPr>
        <w:t>Confidence intervals for sensitivity, specificity and accuracy are ‘exact’ Clopper-Pearson confidence intervals and for the likelihood ratios are calculated using the ‘Log method’.</w:t>
      </w:r>
    </w:p>
    <w:p w:rsidR="008B1EDF" w:rsidRPr="00811D9A" w:rsidRDefault="008B1EDF" w:rsidP="005D1097">
      <w:pPr>
        <w:snapToGrid w:val="0"/>
        <w:spacing w:after="0" w:line="480" w:lineRule="auto"/>
        <w:jc w:val="both"/>
        <w:rPr>
          <w:color w:val="000000" w:themeColor="text1"/>
          <w:sz w:val="24"/>
          <w:szCs w:val="24"/>
        </w:rPr>
      </w:pPr>
    </w:p>
    <w:p w:rsidR="005D1097" w:rsidRPr="00811D9A" w:rsidRDefault="008B1EDF" w:rsidP="00511115">
      <w:pPr>
        <w:snapToGrid w:val="0"/>
        <w:spacing w:after="0" w:line="480" w:lineRule="auto"/>
        <w:jc w:val="both"/>
        <w:rPr>
          <w:color w:val="000000" w:themeColor="text1"/>
          <w:sz w:val="24"/>
          <w:szCs w:val="24"/>
        </w:rPr>
      </w:pPr>
      <w:r w:rsidRPr="00811D9A">
        <w:rPr>
          <w:color w:val="000000" w:themeColor="text1"/>
          <w:sz w:val="24"/>
          <w:szCs w:val="24"/>
        </w:rPr>
        <w:t>Further analyses were carried out for the primary outcome (time to results) and key the secondary outcome (time to arrival at a definitive ward). Timing of events are presented graphically using the Kaplan-Meier failure function. In addition, multivariable analysis was carried out, based on a Cox proportional hazards model to adjust for confounding variables in view of the non-randomised nature of the study. Based on a directed acyclic graph, time of presentation (in light of consenting the POCT arm between 8am to 6pm) and severity of disease (based on NEWS2 score), alongside age and sex, were identified as confounding variables to be controlled for, represented using the R package dagitty (appendix, p3). These variables were identified prior to analysis among the research team, based on scientific rationale and clinical experience.</w:t>
      </w:r>
    </w:p>
    <w:p w:rsidR="00B1108A" w:rsidRDefault="00B1108A" w:rsidP="00511115">
      <w:pPr>
        <w:snapToGrid w:val="0"/>
        <w:spacing w:after="0" w:line="480" w:lineRule="auto"/>
        <w:jc w:val="both"/>
        <w:rPr>
          <w:color w:val="FF0000"/>
          <w:sz w:val="24"/>
          <w:szCs w:val="24"/>
        </w:rPr>
      </w:pPr>
    </w:p>
    <w:p w:rsidR="00B1108A" w:rsidRPr="00811D9A" w:rsidRDefault="00B1108A" w:rsidP="00511115">
      <w:pPr>
        <w:snapToGrid w:val="0"/>
        <w:spacing w:after="0" w:line="480" w:lineRule="auto"/>
        <w:jc w:val="both"/>
        <w:rPr>
          <w:color w:val="000000" w:themeColor="text1"/>
          <w:sz w:val="24"/>
          <w:szCs w:val="24"/>
        </w:rPr>
      </w:pPr>
      <w:r w:rsidRPr="00811D9A">
        <w:rPr>
          <w:color w:val="000000" w:themeColor="text1"/>
          <w:sz w:val="24"/>
          <w:szCs w:val="24"/>
        </w:rPr>
        <w:t xml:space="preserve">Confidence intervals for comparison of proportions are based on the Newcombe/Wilson </w:t>
      </w:r>
      <w:r w:rsidRPr="00E72C5D">
        <w:rPr>
          <w:sz w:val="24"/>
          <w:szCs w:val="24"/>
        </w:rPr>
        <w:t>method. Confidence intervals for individual proportions are based on the Wilson/Brown method</w:t>
      </w:r>
      <w:r w:rsidR="009C6FFC" w:rsidRPr="00E72C5D">
        <w:rPr>
          <w:sz w:val="24"/>
          <w:szCs w:val="24"/>
        </w:rPr>
        <w:t xml:space="preserve"> except</w:t>
      </w:r>
      <w:r w:rsidR="00316BF4" w:rsidRPr="00E72C5D">
        <w:rPr>
          <w:sz w:val="24"/>
          <w:szCs w:val="24"/>
        </w:rPr>
        <w:t xml:space="preserve"> for measures of diagnostic accuracy as above</w:t>
      </w:r>
      <w:r w:rsidRPr="00E72C5D">
        <w:rPr>
          <w:sz w:val="24"/>
          <w:szCs w:val="24"/>
        </w:rPr>
        <w:t>.</w:t>
      </w:r>
    </w:p>
    <w:p w:rsidR="00877B8E" w:rsidRDefault="00C9278B" w:rsidP="00F96EC1">
      <w:pPr>
        <w:snapToGrid w:val="0"/>
        <w:spacing w:after="0" w:line="480" w:lineRule="auto"/>
        <w:jc w:val="both"/>
        <w:rPr>
          <w:sz w:val="24"/>
          <w:szCs w:val="24"/>
        </w:rPr>
      </w:pPr>
      <w:r w:rsidRPr="000A5D43">
        <w:rPr>
          <w:sz w:val="24"/>
          <w:szCs w:val="24"/>
        </w:rPr>
        <w:lastRenderedPageBreak/>
        <w:t>This study wa</w:t>
      </w:r>
      <w:r w:rsidR="00E5002D" w:rsidRPr="000A5D43">
        <w:rPr>
          <w:sz w:val="24"/>
          <w:szCs w:val="24"/>
        </w:rPr>
        <w:t>s pro</w:t>
      </w:r>
      <w:r w:rsidR="00CA1850" w:rsidRPr="000A5D43">
        <w:rPr>
          <w:sz w:val="24"/>
          <w:szCs w:val="24"/>
        </w:rPr>
        <w:t>spectively registered</w:t>
      </w:r>
      <w:r w:rsidR="0080769F" w:rsidRPr="000A5D43">
        <w:rPr>
          <w:sz w:val="24"/>
          <w:szCs w:val="24"/>
        </w:rPr>
        <w:t xml:space="preserve"> with the </w:t>
      </w:r>
      <w:r w:rsidR="00DA7205" w:rsidRPr="000A5D43">
        <w:rPr>
          <w:sz w:val="24"/>
          <w:szCs w:val="24"/>
        </w:rPr>
        <w:t xml:space="preserve">ISRCTN14966673 </w:t>
      </w:r>
      <w:r w:rsidR="0080769F" w:rsidRPr="000A5D43">
        <w:rPr>
          <w:sz w:val="24"/>
          <w:szCs w:val="24"/>
        </w:rPr>
        <w:t>on the</w:t>
      </w:r>
      <w:r w:rsidR="003F58F0" w:rsidRPr="000A5D43">
        <w:rPr>
          <w:sz w:val="24"/>
          <w:szCs w:val="24"/>
        </w:rPr>
        <w:t xml:space="preserve"> </w:t>
      </w:r>
      <w:r w:rsidR="00DA7205" w:rsidRPr="000A5D43">
        <w:rPr>
          <w:sz w:val="24"/>
          <w:szCs w:val="24"/>
        </w:rPr>
        <w:t>18</w:t>
      </w:r>
      <w:r w:rsidR="00DA7205" w:rsidRPr="000A5D43">
        <w:rPr>
          <w:sz w:val="24"/>
          <w:szCs w:val="24"/>
          <w:vertAlign w:val="superscript"/>
        </w:rPr>
        <w:t>th</w:t>
      </w:r>
      <w:r w:rsidR="00DA7205" w:rsidRPr="000A5D43">
        <w:rPr>
          <w:sz w:val="24"/>
          <w:szCs w:val="24"/>
        </w:rPr>
        <w:t xml:space="preserve"> March 2020</w:t>
      </w:r>
      <w:r w:rsidRPr="000A5D43">
        <w:rPr>
          <w:sz w:val="24"/>
          <w:szCs w:val="24"/>
        </w:rPr>
        <w:t>.</w:t>
      </w:r>
    </w:p>
    <w:p w:rsidR="00387FF7" w:rsidRDefault="000B0E25" w:rsidP="00F96EC1">
      <w:pPr>
        <w:snapToGrid w:val="0"/>
        <w:spacing w:after="0" w:line="480" w:lineRule="auto"/>
        <w:jc w:val="both"/>
        <w:rPr>
          <w:b/>
          <w:sz w:val="24"/>
          <w:szCs w:val="24"/>
        </w:rPr>
      </w:pPr>
      <w:r>
        <w:rPr>
          <w:sz w:val="24"/>
          <w:szCs w:val="24"/>
        </w:rPr>
        <w:br/>
      </w:r>
      <w:r w:rsidR="00877B8E" w:rsidRPr="00877B8E">
        <w:rPr>
          <w:b/>
          <w:sz w:val="24"/>
          <w:szCs w:val="24"/>
        </w:rPr>
        <w:t>Role of funding source</w:t>
      </w:r>
    </w:p>
    <w:p w:rsidR="00877B8E" w:rsidRPr="000758A9" w:rsidRDefault="00877B8E" w:rsidP="00877B8E">
      <w:pPr>
        <w:spacing w:after="0" w:line="480" w:lineRule="auto"/>
        <w:jc w:val="both"/>
        <w:rPr>
          <w:sz w:val="24"/>
          <w:szCs w:val="24"/>
        </w:rPr>
      </w:pPr>
      <w:r w:rsidRPr="00B51F8C">
        <w:rPr>
          <w:sz w:val="24"/>
          <w:szCs w:val="24"/>
        </w:rPr>
        <w:t xml:space="preserve">This study was funded </w:t>
      </w:r>
      <w:r w:rsidRPr="00811D9A">
        <w:rPr>
          <w:color w:val="000000" w:themeColor="text1"/>
          <w:sz w:val="24"/>
          <w:szCs w:val="24"/>
        </w:rPr>
        <w:t xml:space="preserve">by </w:t>
      </w:r>
      <w:r w:rsidR="00B204FE" w:rsidRPr="00811D9A">
        <w:rPr>
          <w:color w:val="000000" w:themeColor="text1"/>
          <w:sz w:val="24"/>
          <w:szCs w:val="24"/>
        </w:rPr>
        <w:t>UHSFT</w:t>
      </w:r>
      <w:r w:rsidR="009A2696" w:rsidRPr="00811D9A">
        <w:rPr>
          <w:color w:val="000000" w:themeColor="text1"/>
          <w:sz w:val="24"/>
          <w:szCs w:val="24"/>
        </w:rPr>
        <w:t xml:space="preserve"> who paid for the test kits</w:t>
      </w:r>
      <w:r w:rsidR="0016177E" w:rsidRPr="00811D9A">
        <w:rPr>
          <w:color w:val="000000" w:themeColor="text1"/>
          <w:sz w:val="24"/>
          <w:szCs w:val="24"/>
        </w:rPr>
        <w:t xml:space="preserve">. The laboratory </w:t>
      </w:r>
      <w:r w:rsidR="0016177E" w:rsidRPr="0016177E">
        <w:rPr>
          <w:sz w:val="24"/>
          <w:szCs w:val="24"/>
        </w:rPr>
        <w:t>work, nursing costs and consumables were supported by the NIHR Southamp</w:t>
      </w:r>
      <w:r w:rsidR="00B204FE">
        <w:rPr>
          <w:sz w:val="24"/>
          <w:szCs w:val="24"/>
        </w:rPr>
        <w:t xml:space="preserve">ton Clinical Research Facility and </w:t>
      </w:r>
      <w:r w:rsidR="0016177E" w:rsidRPr="0016177E">
        <w:rPr>
          <w:sz w:val="24"/>
          <w:szCs w:val="24"/>
        </w:rPr>
        <w:t>NIHR Southampton Biomedical Research Centre</w:t>
      </w:r>
      <w:r w:rsidR="0016177E">
        <w:rPr>
          <w:sz w:val="24"/>
          <w:szCs w:val="24"/>
        </w:rPr>
        <w:t xml:space="preserve">. </w:t>
      </w:r>
      <w:r w:rsidRPr="00B51F8C">
        <w:rPr>
          <w:sz w:val="24"/>
          <w:szCs w:val="24"/>
        </w:rPr>
        <w:t xml:space="preserve">Statistical analysis was supported by Cancer Research UK core funding and NIHR CTU support funding at the Southampton Clinical Trials Unit. The </w:t>
      </w:r>
      <w:r>
        <w:rPr>
          <w:sz w:val="24"/>
          <w:szCs w:val="24"/>
        </w:rPr>
        <w:t>study was</w:t>
      </w:r>
      <w:r w:rsidRPr="00B51F8C">
        <w:rPr>
          <w:sz w:val="24"/>
          <w:szCs w:val="24"/>
        </w:rPr>
        <w:t xml:space="preserve"> supported by Qiagen </w:t>
      </w:r>
      <w:r w:rsidR="00CA2296">
        <w:rPr>
          <w:sz w:val="24"/>
          <w:szCs w:val="24"/>
        </w:rPr>
        <w:t xml:space="preserve">with </w:t>
      </w:r>
      <w:r w:rsidRPr="00B51F8C">
        <w:rPr>
          <w:sz w:val="24"/>
          <w:szCs w:val="24"/>
        </w:rPr>
        <w:t>disco</w:t>
      </w:r>
      <w:r>
        <w:rPr>
          <w:sz w:val="24"/>
          <w:szCs w:val="24"/>
        </w:rPr>
        <w:t xml:space="preserve">unted equipment and consumables and they </w:t>
      </w:r>
      <w:r w:rsidRPr="00877B8E">
        <w:rPr>
          <w:sz w:val="24"/>
          <w:szCs w:val="24"/>
        </w:rPr>
        <w:t xml:space="preserve">had no role in the study conception, design, </w:t>
      </w:r>
      <w:r>
        <w:rPr>
          <w:sz w:val="24"/>
          <w:szCs w:val="24"/>
        </w:rPr>
        <w:t xml:space="preserve">conduct, </w:t>
      </w:r>
      <w:r w:rsidRPr="00877B8E">
        <w:rPr>
          <w:sz w:val="24"/>
          <w:szCs w:val="24"/>
        </w:rPr>
        <w:t>data anal</w:t>
      </w:r>
      <w:r w:rsidR="00414D67">
        <w:rPr>
          <w:sz w:val="24"/>
          <w:szCs w:val="24"/>
        </w:rPr>
        <w:t xml:space="preserve">ysis or manuscript preparation. </w:t>
      </w:r>
      <w:r w:rsidRPr="00B51F8C">
        <w:rPr>
          <w:sz w:val="24"/>
          <w:szCs w:val="24"/>
        </w:rPr>
        <w:t>The corresponding author had full access to all data and the final responsibility to submit for publication.</w:t>
      </w:r>
    </w:p>
    <w:p w:rsidR="00877B8E" w:rsidRDefault="00877B8E" w:rsidP="00F96EC1">
      <w:pPr>
        <w:snapToGrid w:val="0"/>
        <w:spacing w:after="0" w:line="480" w:lineRule="auto"/>
        <w:jc w:val="both"/>
        <w:rPr>
          <w:b/>
          <w:sz w:val="24"/>
          <w:szCs w:val="24"/>
        </w:rPr>
      </w:pPr>
    </w:p>
    <w:p w:rsidR="00CE0089" w:rsidRDefault="0091644D" w:rsidP="00864E84">
      <w:pPr>
        <w:rPr>
          <w:b/>
          <w:bCs/>
          <w:sz w:val="32"/>
          <w:szCs w:val="32"/>
        </w:rPr>
      </w:pPr>
      <w:r w:rsidRPr="00D03127">
        <w:rPr>
          <w:b/>
          <w:bCs/>
          <w:sz w:val="32"/>
          <w:szCs w:val="32"/>
        </w:rPr>
        <w:t>Results</w:t>
      </w:r>
    </w:p>
    <w:p w:rsidR="00F25731" w:rsidRDefault="00877B8E" w:rsidP="00156F9B">
      <w:pPr>
        <w:spacing w:after="0" w:line="480" w:lineRule="auto"/>
        <w:jc w:val="both"/>
        <w:rPr>
          <w:bCs/>
          <w:sz w:val="24"/>
          <w:szCs w:val="24"/>
        </w:rPr>
      </w:pPr>
      <w:r w:rsidRPr="00877B8E">
        <w:rPr>
          <w:bCs/>
          <w:sz w:val="24"/>
          <w:szCs w:val="24"/>
        </w:rPr>
        <w:t>Between 20</w:t>
      </w:r>
      <w:r w:rsidRPr="00877B8E">
        <w:rPr>
          <w:bCs/>
          <w:sz w:val="24"/>
          <w:szCs w:val="24"/>
          <w:vertAlign w:val="superscript"/>
        </w:rPr>
        <w:t>th</w:t>
      </w:r>
      <w:r w:rsidRPr="00877B8E">
        <w:rPr>
          <w:bCs/>
          <w:sz w:val="24"/>
          <w:szCs w:val="24"/>
        </w:rPr>
        <w:t xml:space="preserve"> March and 29</w:t>
      </w:r>
      <w:r w:rsidRPr="00877B8E">
        <w:rPr>
          <w:bCs/>
          <w:sz w:val="24"/>
          <w:szCs w:val="24"/>
          <w:vertAlign w:val="superscript"/>
        </w:rPr>
        <w:t>th</w:t>
      </w:r>
      <w:r w:rsidRPr="00877B8E">
        <w:rPr>
          <w:bCs/>
          <w:sz w:val="24"/>
          <w:szCs w:val="24"/>
        </w:rPr>
        <w:t xml:space="preserve"> April 2020 </w:t>
      </w:r>
      <w:r w:rsidR="00275630">
        <w:rPr>
          <w:bCs/>
          <w:sz w:val="24"/>
          <w:szCs w:val="24"/>
        </w:rPr>
        <w:t>500 patient-</w:t>
      </w:r>
      <w:r>
        <w:rPr>
          <w:bCs/>
          <w:sz w:val="24"/>
          <w:szCs w:val="24"/>
        </w:rPr>
        <w:t>participants were recruited to the POC</w:t>
      </w:r>
      <w:r w:rsidR="00FA59AB">
        <w:rPr>
          <w:bCs/>
          <w:sz w:val="24"/>
          <w:szCs w:val="24"/>
        </w:rPr>
        <w:t xml:space="preserve">T arm and 555 contemporaneously tested </w:t>
      </w:r>
      <w:r>
        <w:rPr>
          <w:bCs/>
          <w:sz w:val="24"/>
          <w:szCs w:val="24"/>
        </w:rPr>
        <w:t>patients were identified for</w:t>
      </w:r>
      <w:r w:rsidR="00275630">
        <w:rPr>
          <w:bCs/>
          <w:sz w:val="24"/>
          <w:szCs w:val="24"/>
        </w:rPr>
        <w:t xml:space="preserve"> inclusion in</w:t>
      </w:r>
      <w:r w:rsidR="00FA59AB">
        <w:rPr>
          <w:bCs/>
          <w:sz w:val="24"/>
          <w:szCs w:val="24"/>
        </w:rPr>
        <w:t>to</w:t>
      </w:r>
      <w:r w:rsidR="00097163">
        <w:rPr>
          <w:bCs/>
          <w:sz w:val="24"/>
          <w:szCs w:val="24"/>
        </w:rPr>
        <w:t xml:space="preserve"> the control group</w:t>
      </w:r>
      <w:r w:rsidR="00B204FE">
        <w:rPr>
          <w:bCs/>
          <w:sz w:val="24"/>
          <w:szCs w:val="24"/>
        </w:rPr>
        <w:t>. One</w:t>
      </w:r>
      <w:r w:rsidR="00097163" w:rsidRPr="004B71E6">
        <w:rPr>
          <w:bCs/>
          <w:sz w:val="24"/>
          <w:szCs w:val="24"/>
        </w:rPr>
        <w:t xml:space="preserve"> participant in the POCT group was excluded</w:t>
      </w:r>
      <w:r w:rsidR="00275630" w:rsidRPr="004B71E6">
        <w:rPr>
          <w:bCs/>
          <w:sz w:val="24"/>
          <w:szCs w:val="24"/>
        </w:rPr>
        <w:t xml:space="preserve"> </w:t>
      </w:r>
      <w:r w:rsidR="00097163" w:rsidRPr="004B71E6">
        <w:rPr>
          <w:bCs/>
          <w:sz w:val="24"/>
          <w:szCs w:val="24"/>
        </w:rPr>
        <w:t xml:space="preserve">as they were </w:t>
      </w:r>
      <w:r w:rsidR="00C13086">
        <w:rPr>
          <w:bCs/>
          <w:sz w:val="24"/>
          <w:szCs w:val="24"/>
        </w:rPr>
        <w:t xml:space="preserve">a </w:t>
      </w:r>
      <w:r w:rsidR="00097163" w:rsidRPr="004B71E6">
        <w:rPr>
          <w:bCs/>
          <w:sz w:val="24"/>
          <w:szCs w:val="24"/>
        </w:rPr>
        <w:t xml:space="preserve">member of staff rather </w:t>
      </w:r>
      <w:r w:rsidR="00097163" w:rsidRPr="00BC4DB2">
        <w:rPr>
          <w:bCs/>
          <w:sz w:val="24"/>
          <w:szCs w:val="24"/>
        </w:rPr>
        <w:t>than</w:t>
      </w:r>
      <w:r w:rsidR="00436916" w:rsidRPr="00BC4DB2">
        <w:rPr>
          <w:bCs/>
          <w:sz w:val="24"/>
          <w:szCs w:val="24"/>
        </w:rPr>
        <w:t xml:space="preserve"> a</w:t>
      </w:r>
      <w:r w:rsidR="00097163" w:rsidRPr="00BC4DB2">
        <w:rPr>
          <w:bCs/>
          <w:sz w:val="24"/>
          <w:szCs w:val="24"/>
        </w:rPr>
        <w:t xml:space="preserve"> patien</w:t>
      </w:r>
      <w:r w:rsidR="00436916" w:rsidRPr="00BC4DB2">
        <w:rPr>
          <w:bCs/>
          <w:sz w:val="24"/>
          <w:szCs w:val="24"/>
        </w:rPr>
        <w:t>t</w:t>
      </w:r>
      <w:r w:rsidR="00FF5F18" w:rsidRPr="00BC4DB2">
        <w:rPr>
          <w:bCs/>
          <w:sz w:val="24"/>
          <w:szCs w:val="24"/>
        </w:rPr>
        <w:t xml:space="preserve"> presenting to ED with suspected COVID-19</w:t>
      </w:r>
      <w:r w:rsidR="00E72C5D" w:rsidRPr="00BC4DB2">
        <w:rPr>
          <w:bCs/>
          <w:sz w:val="24"/>
          <w:szCs w:val="24"/>
        </w:rPr>
        <w:t xml:space="preserve"> (trial profile, appendix, p6)</w:t>
      </w:r>
      <w:r w:rsidR="00275630" w:rsidRPr="00BC4DB2">
        <w:rPr>
          <w:bCs/>
          <w:sz w:val="24"/>
          <w:szCs w:val="24"/>
        </w:rPr>
        <w:t>.</w:t>
      </w:r>
      <w:r w:rsidR="00F25731" w:rsidRPr="00BC4DB2">
        <w:rPr>
          <w:bCs/>
          <w:sz w:val="24"/>
          <w:szCs w:val="24"/>
        </w:rPr>
        <w:t xml:space="preserve"> </w:t>
      </w:r>
      <w:r w:rsidR="0003619C" w:rsidRPr="00BC4DB2">
        <w:rPr>
          <w:bCs/>
          <w:sz w:val="24"/>
          <w:szCs w:val="24"/>
        </w:rPr>
        <w:t>T</w:t>
      </w:r>
      <w:r w:rsidR="00F25731" w:rsidRPr="00BC4DB2">
        <w:rPr>
          <w:bCs/>
          <w:sz w:val="24"/>
          <w:szCs w:val="24"/>
        </w:rPr>
        <w:t>he trial p</w:t>
      </w:r>
      <w:r w:rsidR="00BD4F24" w:rsidRPr="00BC4DB2">
        <w:rPr>
          <w:bCs/>
          <w:sz w:val="24"/>
          <w:szCs w:val="24"/>
        </w:rPr>
        <w:t xml:space="preserve">eriod included the upslope, peak and </w:t>
      </w:r>
      <w:r w:rsidR="00F25731" w:rsidRPr="00BC4DB2">
        <w:rPr>
          <w:bCs/>
          <w:sz w:val="24"/>
          <w:szCs w:val="24"/>
        </w:rPr>
        <w:t>downslope of the first wave of the pandemic in our locality</w:t>
      </w:r>
      <w:r w:rsidR="0003619C" w:rsidRPr="00BC4DB2">
        <w:rPr>
          <w:bCs/>
          <w:sz w:val="24"/>
          <w:szCs w:val="24"/>
        </w:rPr>
        <w:t xml:space="preserve"> (</w:t>
      </w:r>
      <w:r w:rsidR="00EA4F28" w:rsidRPr="00BC4DB2">
        <w:rPr>
          <w:bCs/>
          <w:sz w:val="24"/>
          <w:szCs w:val="24"/>
        </w:rPr>
        <w:t xml:space="preserve">appendix, </w:t>
      </w:r>
      <w:r w:rsidR="00E72C5D" w:rsidRPr="00BC4DB2">
        <w:rPr>
          <w:bCs/>
          <w:sz w:val="24"/>
          <w:szCs w:val="24"/>
        </w:rPr>
        <w:t>p7</w:t>
      </w:r>
      <w:r w:rsidR="0003619C" w:rsidRPr="00BC4DB2">
        <w:rPr>
          <w:bCs/>
          <w:sz w:val="24"/>
          <w:szCs w:val="24"/>
        </w:rPr>
        <w:t>)</w:t>
      </w:r>
      <w:r w:rsidR="00F25731" w:rsidRPr="00BC4DB2">
        <w:rPr>
          <w:bCs/>
          <w:sz w:val="24"/>
          <w:szCs w:val="24"/>
        </w:rPr>
        <w:t xml:space="preserve">. </w:t>
      </w:r>
      <w:r w:rsidR="00806E74" w:rsidRPr="00BC4DB2">
        <w:rPr>
          <w:bCs/>
          <w:sz w:val="24"/>
          <w:szCs w:val="24"/>
        </w:rPr>
        <w:t>Table 1</w:t>
      </w:r>
      <w:r w:rsidR="001F402C" w:rsidRPr="00BC4DB2">
        <w:rPr>
          <w:sz w:val="24"/>
          <w:szCs w:val="24"/>
        </w:rPr>
        <w:t xml:space="preserve"> shows </w:t>
      </w:r>
      <w:r w:rsidR="001F402C" w:rsidRPr="00BC4DB2">
        <w:rPr>
          <w:bCs/>
          <w:sz w:val="24"/>
          <w:szCs w:val="24"/>
        </w:rPr>
        <w:t>baseline characteristics</w:t>
      </w:r>
      <w:r w:rsidR="001F402C" w:rsidRPr="00BC4DB2">
        <w:rPr>
          <w:sz w:val="24"/>
          <w:szCs w:val="24"/>
        </w:rPr>
        <w:t xml:space="preserve"> for p</w:t>
      </w:r>
      <w:r w:rsidR="001F402C" w:rsidRPr="00BC4DB2">
        <w:rPr>
          <w:bCs/>
          <w:sz w:val="24"/>
          <w:szCs w:val="24"/>
        </w:rPr>
        <w:t>atients in the group</w:t>
      </w:r>
      <w:r w:rsidR="00CA2296" w:rsidRPr="00BC4DB2">
        <w:rPr>
          <w:bCs/>
          <w:sz w:val="24"/>
          <w:szCs w:val="24"/>
        </w:rPr>
        <w:t>s</w:t>
      </w:r>
      <w:r w:rsidR="001F402C" w:rsidRPr="00BC4DB2">
        <w:rPr>
          <w:bCs/>
          <w:sz w:val="24"/>
          <w:szCs w:val="24"/>
        </w:rPr>
        <w:t>.</w:t>
      </w:r>
      <w:r w:rsidR="00FF5F18" w:rsidRPr="00BC4DB2">
        <w:rPr>
          <w:bCs/>
          <w:sz w:val="24"/>
          <w:szCs w:val="24"/>
        </w:rPr>
        <w:t xml:space="preserve"> </w:t>
      </w:r>
      <w:r w:rsidR="006E4783" w:rsidRPr="00BC4DB2">
        <w:rPr>
          <w:bCs/>
          <w:sz w:val="24"/>
          <w:szCs w:val="24"/>
        </w:rPr>
        <w:t>P</w:t>
      </w:r>
      <w:r w:rsidR="00FF5F18" w:rsidRPr="00BC4DB2">
        <w:rPr>
          <w:bCs/>
          <w:sz w:val="24"/>
          <w:szCs w:val="24"/>
        </w:rPr>
        <w:t xml:space="preserve">atients in the POCT group had </w:t>
      </w:r>
      <w:r w:rsidR="00FF5F18" w:rsidRPr="00E72C5D">
        <w:rPr>
          <w:bCs/>
          <w:sz w:val="24"/>
          <w:szCs w:val="24"/>
        </w:rPr>
        <w:t xml:space="preserve">a </w:t>
      </w:r>
      <w:r w:rsidR="008B451C" w:rsidRPr="00E72C5D">
        <w:rPr>
          <w:bCs/>
          <w:sz w:val="24"/>
          <w:szCs w:val="24"/>
        </w:rPr>
        <w:t>higher</w:t>
      </w:r>
      <w:r w:rsidR="00CC5A1D" w:rsidRPr="00E72C5D">
        <w:rPr>
          <w:bCs/>
          <w:sz w:val="24"/>
          <w:szCs w:val="24"/>
        </w:rPr>
        <w:t xml:space="preserve"> </w:t>
      </w:r>
      <w:r w:rsidR="00975F2B" w:rsidRPr="00E72C5D">
        <w:rPr>
          <w:bCs/>
          <w:sz w:val="24"/>
          <w:szCs w:val="24"/>
        </w:rPr>
        <w:t xml:space="preserve">median </w:t>
      </w:r>
      <w:r w:rsidR="00CC5A1D" w:rsidRPr="00E72C5D">
        <w:rPr>
          <w:bCs/>
          <w:sz w:val="24"/>
          <w:szCs w:val="24"/>
        </w:rPr>
        <w:t>NEWS2 score</w:t>
      </w:r>
      <w:r w:rsidR="00975F2B" w:rsidRPr="00E72C5D">
        <w:rPr>
          <w:bCs/>
          <w:sz w:val="24"/>
          <w:szCs w:val="24"/>
        </w:rPr>
        <w:t xml:space="preserve"> (5 [3-6] versus 4 [2-6], difference of 1, 95%CI 0 to 1; p=0.041)</w:t>
      </w:r>
      <w:r w:rsidR="008B451C" w:rsidRPr="00E72C5D">
        <w:rPr>
          <w:bCs/>
          <w:sz w:val="24"/>
          <w:szCs w:val="24"/>
        </w:rPr>
        <w:t xml:space="preserve">, </w:t>
      </w:r>
      <w:r w:rsidR="00975F2B" w:rsidRPr="00E72C5D">
        <w:rPr>
          <w:bCs/>
          <w:sz w:val="24"/>
          <w:szCs w:val="24"/>
        </w:rPr>
        <w:t xml:space="preserve">a </w:t>
      </w:r>
      <w:r w:rsidR="00F25731" w:rsidRPr="00E72C5D">
        <w:rPr>
          <w:bCs/>
          <w:sz w:val="24"/>
          <w:szCs w:val="24"/>
        </w:rPr>
        <w:t xml:space="preserve">higher </w:t>
      </w:r>
      <w:r w:rsidR="00FF5F18" w:rsidRPr="00E72C5D">
        <w:rPr>
          <w:bCs/>
          <w:sz w:val="24"/>
          <w:szCs w:val="24"/>
        </w:rPr>
        <w:t>frequency of requiring supplementary oxygen</w:t>
      </w:r>
      <w:r w:rsidR="00975F2B" w:rsidRPr="00E72C5D">
        <w:rPr>
          <w:bCs/>
          <w:sz w:val="24"/>
          <w:szCs w:val="24"/>
        </w:rPr>
        <w:t xml:space="preserve"> (135/499 [35%] versus 128/</w:t>
      </w:r>
      <w:r w:rsidR="00E53DCB" w:rsidRPr="00E72C5D">
        <w:rPr>
          <w:bCs/>
          <w:sz w:val="24"/>
          <w:szCs w:val="24"/>
        </w:rPr>
        <w:t xml:space="preserve">555 [23%], difference of 12%, 95%CI 6 to 17;p&lt;0.0001) </w:t>
      </w:r>
      <w:r w:rsidR="00FF5F18" w:rsidRPr="00E72C5D">
        <w:rPr>
          <w:bCs/>
          <w:sz w:val="24"/>
          <w:szCs w:val="24"/>
        </w:rPr>
        <w:t>and h</w:t>
      </w:r>
      <w:r w:rsidR="008B451C" w:rsidRPr="00E72C5D">
        <w:rPr>
          <w:bCs/>
          <w:sz w:val="24"/>
          <w:szCs w:val="24"/>
        </w:rPr>
        <w:t xml:space="preserve">aving </w:t>
      </w:r>
      <w:r w:rsidR="00E53DCB" w:rsidRPr="00E72C5D">
        <w:rPr>
          <w:bCs/>
          <w:sz w:val="24"/>
          <w:szCs w:val="24"/>
        </w:rPr>
        <w:t xml:space="preserve">infiltrates or </w:t>
      </w:r>
      <w:r w:rsidR="008B451C" w:rsidRPr="00E72C5D">
        <w:rPr>
          <w:bCs/>
          <w:sz w:val="24"/>
          <w:szCs w:val="24"/>
        </w:rPr>
        <w:t xml:space="preserve">consolidation on </w:t>
      </w:r>
      <w:r w:rsidR="00FF5F18" w:rsidRPr="00E72C5D">
        <w:rPr>
          <w:bCs/>
          <w:sz w:val="24"/>
          <w:szCs w:val="24"/>
        </w:rPr>
        <w:t>chest X-ray</w:t>
      </w:r>
      <w:r w:rsidR="00975F2B" w:rsidRPr="00E72C5D">
        <w:rPr>
          <w:bCs/>
          <w:sz w:val="24"/>
          <w:szCs w:val="24"/>
        </w:rPr>
        <w:t xml:space="preserve"> (</w:t>
      </w:r>
      <w:r w:rsidR="00E53DCB" w:rsidRPr="00E72C5D">
        <w:rPr>
          <w:bCs/>
          <w:sz w:val="24"/>
          <w:szCs w:val="24"/>
        </w:rPr>
        <w:t>277/488 [57%] versus 136/507 [27%], difference 30%, 95%CI 24 to 36; p&lt;0.0001</w:t>
      </w:r>
      <w:r w:rsidR="00975F2B" w:rsidRPr="00E72C5D">
        <w:rPr>
          <w:bCs/>
          <w:sz w:val="24"/>
          <w:szCs w:val="24"/>
        </w:rPr>
        <w:t>)</w:t>
      </w:r>
      <w:r w:rsidR="00FF5F18" w:rsidRPr="00E72C5D">
        <w:rPr>
          <w:bCs/>
          <w:sz w:val="24"/>
          <w:szCs w:val="24"/>
        </w:rPr>
        <w:t>.</w:t>
      </w:r>
      <w:r w:rsidR="00F25731" w:rsidRPr="00E72C5D">
        <w:rPr>
          <w:bCs/>
          <w:sz w:val="24"/>
          <w:szCs w:val="24"/>
        </w:rPr>
        <w:t xml:space="preserve"> </w:t>
      </w:r>
    </w:p>
    <w:p w:rsidR="00073047" w:rsidRDefault="00CC5A1D" w:rsidP="00156F9B">
      <w:pPr>
        <w:spacing w:after="0" w:line="480" w:lineRule="auto"/>
        <w:jc w:val="both"/>
        <w:rPr>
          <w:bCs/>
          <w:sz w:val="24"/>
          <w:szCs w:val="24"/>
        </w:rPr>
      </w:pPr>
      <w:r w:rsidRPr="00BC4DB2">
        <w:rPr>
          <w:bCs/>
          <w:sz w:val="24"/>
          <w:szCs w:val="24"/>
        </w:rPr>
        <w:lastRenderedPageBreak/>
        <w:t>T</w:t>
      </w:r>
      <w:r w:rsidR="001F402C" w:rsidRPr="00BC4DB2">
        <w:rPr>
          <w:bCs/>
          <w:sz w:val="24"/>
          <w:szCs w:val="24"/>
        </w:rPr>
        <w:t>he turnaround time for laboratory PCR result</w:t>
      </w:r>
      <w:r w:rsidR="00A30DBB" w:rsidRPr="00BC4DB2">
        <w:rPr>
          <w:bCs/>
          <w:sz w:val="24"/>
          <w:szCs w:val="24"/>
        </w:rPr>
        <w:t xml:space="preserve">s </w:t>
      </w:r>
      <w:r w:rsidR="0057635E" w:rsidRPr="00BC4DB2">
        <w:rPr>
          <w:bCs/>
          <w:sz w:val="24"/>
          <w:szCs w:val="24"/>
        </w:rPr>
        <w:t>prior to</w:t>
      </w:r>
      <w:r w:rsidR="00F25731" w:rsidRPr="00BC4DB2">
        <w:rPr>
          <w:bCs/>
          <w:sz w:val="24"/>
          <w:szCs w:val="24"/>
        </w:rPr>
        <w:t>,</w:t>
      </w:r>
      <w:r w:rsidR="0057635E" w:rsidRPr="00BC4DB2">
        <w:rPr>
          <w:bCs/>
          <w:sz w:val="24"/>
          <w:szCs w:val="24"/>
        </w:rPr>
        <w:t xml:space="preserve"> and during the trial</w:t>
      </w:r>
      <w:r w:rsidRPr="00BC4DB2">
        <w:rPr>
          <w:bCs/>
          <w:sz w:val="24"/>
          <w:szCs w:val="24"/>
        </w:rPr>
        <w:t xml:space="preserve"> is shown in the appendix, p</w:t>
      </w:r>
      <w:r w:rsidR="00E72C5D" w:rsidRPr="00BC4DB2">
        <w:rPr>
          <w:bCs/>
          <w:sz w:val="24"/>
          <w:szCs w:val="24"/>
        </w:rPr>
        <w:t>8</w:t>
      </w:r>
      <w:r w:rsidR="0057635E" w:rsidRPr="00BC4DB2">
        <w:rPr>
          <w:bCs/>
          <w:sz w:val="24"/>
          <w:szCs w:val="24"/>
        </w:rPr>
        <w:t xml:space="preserve">. </w:t>
      </w:r>
      <w:r w:rsidR="00F95794" w:rsidRPr="00BC4DB2">
        <w:rPr>
          <w:bCs/>
          <w:sz w:val="24"/>
          <w:szCs w:val="24"/>
        </w:rPr>
        <w:t xml:space="preserve">Median </w:t>
      </w:r>
      <w:r w:rsidR="00B95C0D" w:rsidRPr="00BC4DB2">
        <w:rPr>
          <w:bCs/>
          <w:sz w:val="24"/>
          <w:szCs w:val="24"/>
        </w:rPr>
        <w:t xml:space="preserve">(IQR) </w:t>
      </w:r>
      <w:r w:rsidR="00F95794" w:rsidRPr="00BC4DB2">
        <w:rPr>
          <w:bCs/>
          <w:sz w:val="24"/>
          <w:szCs w:val="24"/>
        </w:rPr>
        <w:t>time to results with POCT was 1</w:t>
      </w:r>
      <w:r w:rsidR="00BB61F4" w:rsidRPr="00BC4DB2">
        <w:rPr>
          <w:rFonts w:cstheme="minorHAnsi"/>
          <w:bCs/>
          <w:sz w:val="24"/>
          <w:szCs w:val="24"/>
        </w:rPr>
        <w:t>·</w:t>
      </w:r>
      <w:r w:rsidR="00F95794" w:rsidRPr="00BC4DB2">
        <w:rPr>
          <w:bCs/>
          <w:sz w:val="24"/>
          <w:szCs w:val="24"/>
        </w:rPr>
        <w:t>7 (1</w:t>
      </w:r>
      <w:r w:rsidR="00BB61F4" w:rsidRPr="00BC4DB2">
        <w:rPr>
          <w:rFonts w:cstheme="minorHAnsi"/>
          <w:bCs/>
          <w:sz w:val="24"/>
          <w:szCs w:val="24"/>
        </w:rPr>
        <w:t>·</w:t>
      </w:r>
      <w:r w:rsidR="00F95794" w:rsidRPr="00BC4DB2">
        <w:rPr>
          <w:bCs/>
          <w:sz w:val="24"/>
          <w:szCs w:val="24"/>
        </w:rPr>
        <w:t>6 to 1</w:t>
      </w:r>
      <w:r w:rsidR="00BB61F4" w:rsidRPr="00BC4DB2">
        <w:rPr>
          <w:rFonts w:cstheme="minorHAnsi"/>
          <w:bCs/>
          <w:sz w:val="24"/>
          <w:szCs w:val="24"/>
        </w:rPr>
        <w:t>·</w:t>
      </w:r>
      <w:r w:rsidR="00F95794" w:rsidRPr="00BC4DB2">
        <w:rPr>
          <w:bCs/>
          <w:sz w:val="24"/>
          <w:szCs w:val="24"/>
        </w:rPr>
        <w:t>9) hours versus 21</w:t>
      </w:r>
      <w:r w:rsidR="00BB61F4" w:rsidRPr="00BC4DB2">
        <w:rPr>
          <w:rFonts w:cstheme="minorHAnsi"/>
          <w:bCs/>
          <w:sz w:val="24"/>
          <w:szCs w:val="24"/>
        </w:rPr>
        <w:t>·</w:t>
      </w:r>
      <w:r w:rsidR="00F95794" w:rsidRPr="00BC4DB2">
        <w:rPr>
          <w:bCs/>
          <w:sz w:val="24"/>
          <w:szCs w:val="24"/>
        </w:rPr>
        <w:t>3 (16</w:t>
      </w:r>
      <w:r w:rsidR="00BB61F4" w:rsidRPr="00BC4DB2">
        <w:rPr>
          <w:rFonts w:cstheme="minorHAnsi"/>
          <w:bCs/>
          <w:sz w:val="24"/>
          <w:szCs w:val="24"/>
        </w:rPr>
        <w:t>·</w:t>
      </w:r>
      <w:r w:rsidR="00F95794" w:rsidRPr="00BC4DB2">
        <w:rPr>
          <w:bCs/>
          <w:sz w:val="24"/>
          <w:szCs w:val="24"/>
        </w:rPr>
        <w:t>0 to 27</w:t>
      </w:r>
      <w:r w:rsidR="00BB61F4" w:rsidRPr="00BC4DB2">
        <w:rPr>
          <w:rFonts w:cstheme="minorHAnsi"/>
          <w:bCs/>
          <w:sz w:val="24"/>
          <w:szCs w:val="24"/>
        </w:rPr>
        <w:t>·</w:t>
      </w:r>
      <w:r w:rsidR="00F95794" w:rsidRPr="00BC4DB2">
        <w:rPr>
          <w:bCs/>
          <w:sz w:val="24"/>
          <w:szCs w:val="24"/>
        </w:rPr>
        <w:t xml:space="preserve">9) hours </w:t>
      </w:r>
      <w:r w:rsidRPr="00BC4DB2">
        <w:rPr>
          <w:bCs/>
          <w:sz w:val="24"/>
          <w:szCs w:val="24"/>
        </w:rPr>
        <w:t xml:space="preserve">with laboratory PCR </w:t>
      </w:r>
      <w:r w:rsidR="00F95794" w:rsidRPr="00BC4DB2">
        <w:rPr>
          <w:bCs/>
          <w:sz w:val="24"/>
          <w:szCs w:val="24"/>
        </w:rPr>
        <w:t>in the control group</w:t>
      </w:r>
      <w:r w:rsidR="0024658D" w:rsidRPr="00BC4DB2">
        <w:rPr>
          <w:bCs/>
          <w:sz w:val="24"/>
          <w:szCs w:val="24"/>
        </w:rPr>
        <w:t xml:space="preserve"> (</w:t>
      </w:r>
      <w:r w:rsidR="00F95794" w:rsidRPr="00BC4DB2">
        <w:rPr>
          <w:bCs/>
          <w:sz w:val="24"/>
          <w:szCs w:val="24"/>
        </w:rPr>
        <w:t>difference of 19</w:t>
      </w:r>
      <w:r w:rsidR="00BB61F4" w:rsidRPr="00BC4DB2">
        <w:rPr>
          <w:rFonts w:cstheme="minorHAnsi"/>
          <w:bCs/>
          <w:sz w:val="24"/>
          <w:szCs w:val="24"/>
        </w:rPr>
        <w:t>·</w:t>
      </w:r>
      <w:r w:rsidR="0024658D" w:rsidRPr="00BC4DB2">
        <w:rPr>
          <w:bCs/>
          <w:sz w:val="24"/>
          <w:szCs w:val="24"/>
        </w:rPr>
        <w:t xml:space="preserve">6 hours, </w:t>
      </w:r>
      <w:r w:rsidR="00F95794" w:rsidRPr="00BC4DB2">
        <w:rPr>
          <w:bCs/>
          <w:sz w:val="24"/>
          <w:szCs w:val="24"/>
        </w:rPr>
        <w:t>95%CI 19</w:t>
      </w:r>
      <w:r w:rsidR="00BB61F4" w:rsidRPr="00BC4DB2">
        <w:rPr>
          <w:rFonts w:cstheme="minorHAnsi"/>
          <w:bCs/>
          <w:sz w:val="24"/>
          <w:szCs w:val="24"/>
        </w:rPr>
        <w:t>·</w:t>
      </w:r>
      <w:r w:rsidR="00F95794" w:rsidRPr="00BC4DB2">
        <w:rPr>
          <w:bCs/>
          <w:sz w:val="24"/>
          <w:szCs w:val="24"/>
        </w:rPr>
        <w:t>0 to 20</w:t>
      </w:r>
      <w:r w:rsidR="00BB61F4" w:rsidRPr="00BC4DB2">
        <w:rPr>
          <w:rFonts w:cstheme="minorHAnsi"/>
          <w:bCs/>
          <w:sz w:val="24"/>
          <w:szCs w:val="24"/>
        </w:rPr>
        <w:t>·</w:t>
      </w:r>
      <w:r w:rsidR="00F95794" w:rsidRPr="00BC4DB2">
        <w:rPr>
          <w:bCs/>
          <w:sz w:val="24"/>
          <w:szCs w:val="24"/>
        </w:rPr>
        <w:t>3; p&lt;0</w:t>
      </w:r>
      <w:r w:rsidR="00BB61F4" w:rsidRPr="00BC4DB2">
        <w:rPr>
          <w:rFonts w:cstheme="minorHAnsi"/>
          <w:bCs/>
          <w:sz w:val="24"/>
          <w:szCs w:val="24"/>
        </w:rPr>
        <w:t>·</w:t>
      </w:r>
      <w:r w:rsidR="0024658D" w:rsidRPr="00BC4DB2">
        <w:rPr>
          <w:bCs/>
          <w:sz w:val="24"/>
          <w:szCs w:val="24"/>
        </w:rPr>
        <w:t xml:space="preserve">0001, </w:t>
      </w:r>
      <w:r w:rsidR="008B1EDF" w:rsidRPr="00BC4DB2">
        <w:rPr>
          <w:bCs/>
          <w:sz w:val="24"/>
          <w:szCs w:val="24"/>
        </w:rPr>
        <w:t>Mann-Whitney U test)</w:t>
      </w:r>
      <w:r w:rsidR="00F95794" w:rsidRPr="00BC4DB2">
        <w:rPr>
          <w:bCs/>
          <w:sz w:val="24"/>
          <w:szCs w:val="24"/>
        </w:rPr>
        <w:t>.</w:t>
      </w:r>
      <w:r w:rsidR="00133CEB" w:rsidRPr="00BC4DB2">
        <w:rPr>
          <w:bCs/>
          <w:sz w:val="24"/>
          <w:szCs w:val="24"/>
        </w:rPr>
        <w:t xml:space="preserve"> </w:t>
      </w:r>
      <w:r w:rsidR="00FC0645" w:rsidRPr="00BC4DB2">
        <w:rPr>
          <w:bCs/>
          <w:sz w:val="24"/>
          <w:szCs w:val="24"/>
        </w:rPr>
        <w:t xml:space="preserve">Figure </w:t>
      </w:r>
      <w:r w:rsidR="00E72C5D" w:rsidRPr="00BC4DB2">
        <w:rPr>
          <w:bCs/>
          <w:sz w:val="24"/>
          <w:szCs w:val="24"/>
        </w:rPr>
        <w:t>1</w:t>
      </w:r>
      <w:r w:rsidR="00A30DBB" w:rsidRPr="00BC4DB2">
        <w:rPr>
          <w:bCs/>
          <w:sz w:val="24"/>
          <w:szCs w:val="24"/>
        </w:rPr>
        <w:t xml:space="preserve"> shows the time-to-event curve</w:t>
      </w:r>
      <w:r w:rsidR="00FC0645" w:rsidRPr="00BC4DB2">
        <w:rPr>
          <w:bCs/>
          <w:sz w:val="24"/>
          <w:szCs w:val="24"/>
        </w:rPr>
        <w:t xml:space="preserve"> for test results in the </w:t>
      </w:r>
      <w:r w:rsidR="00FA59AB" w:rsidRPr="00BC4DB2">
        <w:rPr>
          <w:bCs/>
          <w:sz w:val="24"/>
          <w:szCs w:val="24"/>
        </w:rPr>
        <w:t>groups</w:t>
      </w:r>
      <w:r w:rsidR="000E6035" w:rsidRPr="00BC4DB2">
        <w:rPr>
          <w:bCs/>
          <w:sz w:val="24"/>
          <w:szCs w:val="24"/>
        </w:rPr>
        <w:t xml:space="preserve"> (Log rank test, </w:t>
      </w:r>
      <w:r w:rsidR="00A30DBB" w:rsidRPr="00BC4DB2">
        <w:rPr>
          <w:bCs/>
          <w:sz w:val="24"/>
          <w:szCs w:val="24"/>
        </w:rPr>
        <w:t>p&lt;0</w:t>
      </w:r>
      <w:r w:rsidR="00BB61F4" w:rsidRPr="00BC4DB2">
        <w:rPr>
          <w:rFonts w:cstheme="minorHAnsi"/>
          <w:bCs/>
          <w:sz w:val="24"/>
          <w:szCs w:val="24"/>
        </w:rPr>
        <w:t>·</w:t>
      </w:r>
      <w:r w:rsidR="00A30DBB" w:rsidRPr="00BC4DB2">
        <w:rPr>
          <w:bCs/>
          <w:sz w:val="24"/>
          <w:szCs w:val="24"/>
        </w:rPr>
        <w:t>0001)</w:t>
      </w:r>
      <w:r w:rsidR="00FA59AB" w:rsidRPr="00BC4DB2">
        <w:rPr>
          <w:bCs/>
          <w:sz w:val="24"/>
          <w:szCs w:val="24"/>
        </w:rPr>
        <w:t xml:space="preserve">. </w:t>
      </w:r>
      <w:r w:rsidR="0003619C" w:rsidRPr="00BC4DB2">
        <w:rPr>
          <w:bCs/>
          <w:sz w:val="24"/>
          <w:szCs w:val="24"/>
        </w:rPr>
        <w:t xml:space="preserve">The large difference between groups remained after controlling for age, sex, time of presentation and </w:t>
      </w:r>
      <w:r w:rsidR="0003619C" w:rsidRPr="0003619C">
        <w:rPr>
          <w:bCs/>
          <w:sz w:val="24"/>
          <w:szCs w:val="24"/>
        </w:rPr>
        <w:t>severity of illness in a Cox proportional hazards regression model (hazard ratio [HR] = 4023, 95%CI 5</w:t>
      </w:r>
      <w:r w:rsidR="0003619C">
        <w:rPr>
          <w:bCs/>
          <w:sz w:val="24"/>
          <w:szCs w:val="24"/>
        </w:rPr>
        <w:t>45 to 29696; p&lt;0</w:t>
      </w:r>
      <w:r w:rsidR="00AA3F3A">
        <w:rPr>
          <w:rFonts w:cstheme="minorHAnsi"/>
          <w:bCs/>
          <w:sz w:val="24"/>
          <w:szCs w:val="24"/>
        </w:rPr>
        <w:t>·</w:t>
      </w:r>
      <w:r w:rsidR="0003619C">
        <w:rPr>
          <w:bCs/>
          <w:sz w:val="24"/>
          <w:szCs w:val="24"/>
        </w:rPr>
        <w:t xml:space="preserve">0001), </w:t>
      </w:r>
      <w:r w:rsidR="0003619C" w:rsidRPr="00EA4F28">
        <w:rPr>
          <w:bCs/>
          <w:sz w:val="24"/>
          <w:szCs w:val="24"/>
        </w:rPr>
        <w:t>appendix, p3</w:t>
      </w:r>
      <w:r w:rsidR="00C75095" w:rsidRPr="00EA4F28">
        <w:rPr>
          <w:bCs/>
          <w:sz w:val="24"/>
          <w:szCs w:val="24"/>
        </w:rPr>
        <w:t>.</w:t>
      </w:r>
      <w:r w:rsidR="00C75095">
        <w:rPr>
          <w:bCs/>
          <w:sz w:val="24"/>
          <w:szCs w:val="24"/>
        </w:rPr>
        <w:t xml:space="preserve"> </w:t>
      </w:r>
      <w:r w:rsidR="00E94B0B">
        <w:rPr>
          <w:bCs/>
          <w:sz w:val="24"/>
          <w:szCs w:val="24"/>
        </w:rPr>
        <w:t>197</w:t>
      </w:r>
      <w:r w:rsidR="00FA59AB" w:rsidRPr="0057635E">
        <w:rPr>
          <w:bCs/>
          <w:sz w:val="24"/>
          <w:szCs w:val="24"/>
        </w:rPr>
        <w:t xml:space="preserve"> </w:t>
      </w:r>
      <w:r w:rsidR="00FC0645" w:rsidRPr="0057635E">
        <w:rPr>
          <w:bCs/>
          <w:sz w:val="24"/>
          <w:szCs w:val="24"/>
        </w:rPr>
        <w:t>(39</w:t>
      </w:r>
      <w:r w:rsidR="00AA3F3A">
        <w:rPr>
          <w:rFonts w:cstheme="minorHAnsi"/>
          <w:bCs/>
          <w:sz w:val="24"/>
          <w:szCs w:val="24"/>
        </w:rPr>
        <w:t>·</w:t>
      </w:r>
      <w:r w:rsidR="00E94B0B">
        <w:rPr>
          <w:bCs/>
          <w:sz w:val="24"/>
          <w:szCs w:val="24"/>
        </w:rPr>
        <w:t>5</w:t>
      </w:r>
      <w:r w:rsidR="00FC0645" w:rsidRPr="0057635E">
        <w:rPr>
          <w:bCs/>
          <w:sz w:val="24"/>
          <w:szCs w:val="24"/>
        </w:rPr>
        <w:t>%) of 500 patients in the POCT group w</w:t>
      </w:r>
      <w:r w:rsidR="00FA59AB" w:rsidRPr="0057635E">
        <w:rPr>
          <w:bCs/>
          <w:sz w:val="24"/>
          <w:szCs w:val="24"/>
        </w:rPr>
        <w:t>ere</w:t>
      </w:r>
      <w:r w:rsidR="00C75095">
        <w:rPr>
          <w:bCs/>
          <w:sz w:val="24"/>
          <w:szCs w:val="24"/>
        </w:rPr>
        <w:t xml:space="preserve"> PCR positive for </w:t>
      </w:r>
      <w:r w:rsidR="00C75095" w:rsidRPr="00C75095">
        <w:rPr>
          <w:bCs/>
          <w:sz w:val="24"/>
          <w:szCs w:val="24"/>
        </w:rPr>
        <w:t xml:space="preserve">SARS-CoV-2 </w:t>
      </w:r>
      <w:r w:rsidR="00C75095">
        <w:rPr>
          <w:bCs/>
          <w:sz w:val="24"/>
          <w:szCs w:val="24"/>
        </w:rPr>
        <w:t xml:space="preserve">compared to </w:t>
      </w:r>
      <w:r w:rsidR="00FA59AB" w:rsidRPr="0057635E">
        <w:rPr>
          <w:bCs/>
          <w:sz w:val="24"/>
          <w:szCs w:val="24"/>
        </w:rPr>
        <w:t>155 of 555</w:t>
      </w:r>
      <w:r w:rsidR="00980286" w:rsidRPr="0057635E">
        <w:rPr>
          <w:bCs/>
          <w:sz w:val="24"/>
          <w:szCs w:val="24"/>
        </w:rPr>
        <w:t xml:space="preserve"> (</w:t>
      </w:r>
      <w:r w:rsidR="00FF5F18" w:rsidRPr="0057635E">
        <w:rPr>
          <w:bCs/>
          <w:sz w:val="24"/>
          <w:szCs w:val="24"/>
        </w:rPr>
        <w:t>28</w:t>
      </w:r>
      <w:r w:rsidR="00AA3F3A">
        <w:rPr>
          <w:rFonts w:cstheme="minorHAnsi"/>
          <w:bCs/>
          <w:sz w:val="24"/>
          <w:szCs w:val="24"/>
        </w:rPr>
        <w:t>·</w:t>
      </w:r>
      <w:r w:rsidR="00FF5F18" w:rsidRPr="0057635E">
        <w:rPr>
          <w:bCs/>
          <w:sz w:val="24"/>
          <w:szCs w:val="24"/>
        </w:rPr>
        <w:t>0</w:t>
      </w:r>
      <w:r w:rsidR="00980286" w:rsidRPr="0057635E">
        <w:rPr>
          <w:bCs/>
          <w:sz w:val="24"/>
          <w:szCs w:val="24"/>
        </w:rPr>
        <w:t xml:space="preserve">%) patients </w:t>
      </w:r>
      <w:r w:rsidR="0024658D">
        <w:rPr>
          <w:bCs/>
          <w:sz w:val="24"/>
          <w:szCs w:val="24"/>
        </w:rPr>
        <w:t>in the control group (</w:t>
      </w:r>
      <w:r w:rsidR="00F95794" w:rsidRPr="0057635E">
        <w:rPr>
          <w:bCs/>
          <w:sz w:val="24"/>
          <w:szCs w:val="24"/>
        </w:rPr>
        <w:t xml:space="preserve">difference of </w:t>
      </w:r>
      <w:r w:rsidR="00E94B0B">
        <w:rPr>
          <w:bCs/>
          <w:sz w:val="24"/>
          <w:szCs w:val="24"/>
        </w:rPr>
        <w:t>11</w:t>
      </w:r>
      <w:r w:rsidR="00AA3F3A">
        <w:rPr>
          <w:rFonts w:cstheme="minorHAnsi"/>
          <w:bCs/>
          <w:sz w:val="24"/>
          <w:szCs w:val="24"/>
        </w:rPr>
        <w:t>·</w:t>
      </w:r>
      <w:r w:rsidR="00E94B0B">
        <w:rPr>
          <w:bCs/>
          <w:sz w:val="24"/>
          <w:szCs w:val="24"/>
        </w:rPr>
        <w:t>5</w:t>
      </w:r>
      <w:r w:rsidR="0024658D">
        <w:rPr>
          <w:bCs/>
          <w:sz w:val="24"/>
          <w:szCs w:val="24"/>
        </w:rPr>
        <w:t xml:space="preserve">%, </w:t>
      </w:r>
      <w:r w:rsidR="00F95794" w:rsidRPr="0057635E">
        <w:rPr>
          <w:bCs/>
          <w:sz w:val="24"/>
          <w:szCs w:val="24"/>
        </w:rPr>
        <w:t xml:space="preserve">95%CI </w:t>
      </w:r>
      <w:r w:rsidR="00E94B0B">
        <w:rPr>
          <w:bCs/>
          <w:sz w:val="24"/>
          <w:szCs w:val="24"/>
        </w:rPr>
        <w:t>5</w:t>
      </w:r>
      <w:r w:rsidR="00AA3F3A">
        <w:rPr>
          <w:rFonts w:cstheme="minorHAnsi"/>
          <w:bCs/>
          <w:sz w:val="24"/>
          <w:szCs w:val="24"/>
        </w:rPr>
        <w:t>·</w:t>
      </w:r>
      <w:r w:rsidR="00E94B0B">
        <w:rPr>
          <w:bCs/>
          <w:sz w:val="24"/>
          <w:szCs w:val="24"/>
        </w:rPr>
        <w:t>8</w:t>
      </w:r>
      <w:r w:rsidR="0057635E" w:rsidRPr="0057635E">
        <w:rPr>
          <w:bCs/>
          <w:sz w:val="24"/>
          <w:szCs w:val="24"/>
        </w:rPr>
        <w:t xml:space="preserve"> </w:t>
      </w:r>
      <w:r w:rsidR="00F95794" w:rsidRPr="0057635E">
        <w:rPr>
          <w:bCs/>
          <w:sz w:val="24"/>
          <w:szCs w:val="24"/>
        </w:rPr>
        <w:t xml:space="preserve">to </w:t>
      </w:r>
      <w:r w:rsidR="00E94B0B">
        <w:rPr>
          <w:bCs/>
          <w:sz w:val="24"/>
          <w:szCs w:val="24"/>
        </w:rPr>
        <w:t>17</w:t>
      </w:r>
      <w:r w:rsidR="00AA3F3A">
        <w:rPr>
          <w:rFonts w:cstheme="minorHAnsi"/>
          <w:bCs/>
          <w:sz w:val="24"/>
          <w:szCs w:val="24"/>
        </w:rPr>
        <w:t>·</w:t>
      </w:r>
      <w:r w:rsidR="00E94B0B">
        <w:rPr>
          <w:bCs/>
          <w:sz w:val="24"/>
          <w:szCs w:val="24"/>
        </w:rPr>
        <w:t>2</w:t>
      </w:r>
      <w:r w:rsidR="00F95794" w:rsidRPr="0057635E">
        <w:rPr>
          <w:bCs/>
          <w:sz w:val="24"/>
          <w:szCs w:val="24"/>
        </w:rPr>
        <w:t>;</w:t>
      </w:r>
      <w:r w:rsidR="0057635E" w:rsidRPr="0057635E">
        <w:rPr>
          <w:bCs/>
          <w:sz w:val="24"/>
          <w:szCs w:val="24"/>
        </w:rPr>
        <w:t xml:space="preserve"> </w:t>
      </w:r>
      <w:r w:rsidR="00E94B0B">
        <w:rPr>
          <w:bCs/>
          <w:sz w:val="24"/>
          <w:szCs w:val="24"/>
        </w:rPr>
        <w:t>p&lt;</w:t>
      </w:r>
      <w:r w:rsidR="00FF5F18" w:rsidRPr="0057635E">
        <w:rPr>
          <w:bCs/>
          <w:sz w:val="24"/>
          <w:szCs w:val="24"/>
        </w:rPr>
        <w:t>0</w:t>
      </w:r>
      <w:r w:rsidR="00AA3F3A">
        <w:rPr>
          <w:rFonts w:cstheme="minorHAnsi"/>
          <w:bCs/>
          <w:sz w:val="24"/>
          <w:szCs w:val="24"/>
        </w:rPr>
        <w:t>·</w:t>
      </w:r>
      <w:r w:rsidR="00FF5F18" w:rsidRPr="0057635E">
        <w:rPr>
          <w:bCs/>
          <w:sz w:val="24"/>
          <w:szCs w:val="24"/>
        </w:rPr>
        <w:t>00</w:t>
      </w:r>
      <w:r w:rsidR="00E94B0B">
        <w:rPr>
          <w:bCs/>
          <w:sz w:val="24"/>
          <w:szCs w:val="24"/>
        </w:rPr>
        <w:t>0</w:t>
      </w:r>
      <w:r w:rsidR="00FF5F18" w:rsidRPr="0057635E">
        <w:rPr>
          <w:bCs/>
          <w:sz w:val="24"/>
          <w:szCs w:val="24"/>
        </w:rPr>
        <w:t>1</w:t>
      </w:r>
      <w:r w:rsidR="00F95794" w:rsidRPr="0057635E">
        <w:rPr>
          <w:bCs/>
          <w:sz w:val="24"/>
          <w:szCs w:val="24"/>
        </w:rPr>
        <w:t>).</w:t>
      </w:r>
      <w:r w:rsidR="00F95794">
        <w:rPr>
          <w:bCs/>
          <w:sz w:val="24"/>
          <w:szCs w:val="24"/>
        </w:rPr>
        <w:t xml:space="preserve"> </w:t>
      </w:r>
      <w:r w:rsidR="004E4A9B">
        <w:rPr>
          <w:bCs/>
          <w:sz w:val="24"/>
          <w:szCs w:val="24"/>
        </w:rPr>
        <w:t>O</w:t>
      </w:r>
      <w:r w:rsidR="0057635E">
        <w:rPr>
          <w:bCs/>
          <w:sz w:val="24"/>
          <w:szCs w:val="24"/>
        </w:rPr>
        <w:t>f those patients admitted to hospital f</w:t>
      </w:r>
      <w:r w:rsidR="001F6D39">
        <w:rPr>
          <w:bCs/>
          <w:sz w:val="24"/>
          <w:szCs w:val="24"/>
        </w:rPr>
        <w:t>or at least 24 hours, 313 of 428</w:t>
      </w:r>
      <w:r w:rsidR="00FC5DE0">
        <w:rPr>
          <w:bCs/>
          <w:sz w:val="24"/>
          <w:szCs w:val="24"/>
        </w:rPr>
        <w:t xml:space="preserve"> </w:t>
      </w:r>
      <w:r w:rsidR="001F6D39">
        <w:rPr>
          <w:bCs/>
          <w:sz w:val="24"/>
          <w:szCs w:val="24"/>
        </w:rPr>
        <w:t>(73</w:t>
      </w:r>
      <w:r w:rsidR="00AA3F3A">
        <w:rPr>
          <w:rFonts w:cstheme="minorHAnsi"/>
          <w:bCs/>
          <w:sz w:val="24"/>
          <w:szCs w:val="24"/>
        </w:rPr>
        <w:t>·</w:t>
      </w:r>
      <w:r w:rsidR="001F6D39">
        <w:rPr>
          <w:bCs/>
          <w:sz w:val="24"/>
          <w:szCs w:val="24"/>
        </w:rPr>
        <w:t xml:space="preserve">1%) </w:t>
      </w:r>
      <w:r w:rsidR="00FC5DE0">
        <w:rPr>
          <w:bCs/>
          <w:sz w:val="24"/>
          <w:szCs w:val="24"/>
        </w:rPr>
        <w:t>in the P</w:t>
      </w:r>
      <w:r w:rsidR="001F6D39">
        <w:rPr>
          <w:bCs/>
          <w:sz w:val="24"/>
          <w:szCs w:val="24"/>
        </w:rPr>
        <w:t>OCT group versus 241</w:t>
      </w:r>
      <w:r w:rsidR="0057635E">
        <w:rPr>
          <w:bCs/>
          <w:sz w:val="24"/>
          <w:szCs w:val="24"/>
        </w:rPr>
        <w:t xml:space="preserve"> of 421</w:t>
      </w:r>
      <w:r w:rsidR="001F6D39">
        <w:rPr>
          <w:bCs/>
          <w:sz w:val="24"/>
          <w:szCs w:val="24"/>
        </w:rPr>
        <w:t xml:space="preserve"> (57</w:t>
      </w:r>
      <w:r w:rsidR="00AA3F3A">
        <w:rPr>
          <w:rFonts w:cstheme="minorHAnsi"/>
          <w:bCs/>
          <w:sz w:val="24"/>
          <w:szCs w:val="24"/>
        </w:rPr>
        <w:t>·</w:t>
      </w:r>
      <w:r w:rsidR="001F6D39">
        <w:rPr>
          <w:bCs/>
          <w:sz w:val="24"/>
          <w:szCs w:val="24"/>
        </w:rPr>
        <w:t xml:space="preserve">2%) </w:t>
      </w:r>
      <w:r w:rsidR="0057635E">
        <w:rPr>
          <w:bCs/>
          <w:sz w:val="24"/>
          <w:szCs w:val="24"/>
        </w:rPr>
        <w:t xml:space="preserve">in the control group </w:t>
      </w:r>
      <w:r w:rsidR="005D3938">
        <w:rPr>
          <w:bCs/>
          <w:sz w:val="24"/>
          <w:szCs w:val="24"/>
        </w:rPr>
        <w:t xml:space="preserve">were </w:t>
      </w:r>
      <w:r w:rsidR="000E6035">
        <w:rPr>
          <w:bCs/>
          <w:sz w:val="24"/>
          <w:szCs w:val="24"/>
        </w:rPr>
        <w:t xml:space="preserve">transferred </w:t>
      </w:r>
      <w:r w:rsidR="003143EA">
        <w:rPr>
          <w:bCs/>
          <w:sz w:val="24"/>
          <w:szCs w:val="24"/>
        </w:rPr>
        <w:t xml:space="preserve">from assessment areas </w:t>
      </w:r>
      <w:r w:rsidR="0030232B">
        <w:rPr>
          <w:bCs/>
          <w:sz w:val="24"/>
          <w:szCs w:val="24"/>
        </w:rPr>
        <w:t>to the correct</w:t>
      </w:r>
      <w:r w:rsidR="0057635E">
        <w:rPr>
          <w:bCs/>
          <w:sz w:val="24"/>
          <w:szCs w:val="24"/>
        </w:rPr>
        <w:t xml:space="preserve"> definitive clinical area </w:t>
      </w:r>
      <w:r w:rsidR="003143EA" w:rsidRPr="003143EA">
        <w:rPr>
          <w:bCs/>
          <w:sz w:val="24"/>
          <w:szCs w:val="24"/>
        </w:rPr>
        <w:t xml:space="preserve">(i.e. COVID-19 positive or negative ward) </w:t>
      </w:r>
      <w:r w:rsidR="008C64A5">
        <w:rPr>
          <w:bCs/>
          <w:sz w:val="24"/>
          <w:szCs w:val="24"/>
        </w:rPr>
        <w:t xml:space="preserve">according to their test results </w:t>
      </w:r>
      <w:r w:rsidR="0024658D">
        <w:t>(</w:t>
      </w:r>
      <w:r w:rsidR="001F6D39">
        <w:rPr>
          <w:bCs/>
          <w:sz w:val="24"/>
          <w:szCs w:val="24"/>
        </w:rPr>
        <w:t>difference of 15</w:t>
      </w:r>
      <w:r w:rsidR="00AA3F3A">
        <w:rPr>
          <w:rFonts w:cstheme="minorHAnsi"/>
          <w:bCs/>
          <w:sz w:val="24"/>
          <w:szCs w:val="24"/>
        </w:rPr>
        <w:t>·</w:t>
      </w:r>
      <w:r w:rsidR="0024658D">
        <w:rPr>
          <w:bCs/>
          <w:sz w:val="24"/>
          <w:szCs w:val="24"/>
        </w:rPr>
        <w:t xml:space="preserve">9%, </w:t>
      </w:r>
      <w:r w:rsidR="001F6D39">
        <w:rPr>
          <w:bCs/>
          <w:sz w:val="24"/>
          <w:szCs w:val="24"/>
        </w:rPr>
        <w:t>95%CI 9</w:t>
      </w:r>
      <w:r w:rsidR="00AA3F3A">
        <w:rPr>
          <w:rFonts w:cstheme="minorHAnsi"/>
          <w:bCs/>
          <w:sz w:val="24"/>
          <w:szCs w:val="24"/>
        </w:rPr>
        <w:t>·</w:t>
      </w:r>
      <w:r w:rsidR="001F6D39">
        <w:rPr>
          <w:bCs/>
          <w:sz w:val="24"/>
          <w:szCs w:val="24"/>
        </w:rPr>
        <w:t>3 to 22</w:t>
      </w:r>
      <w:r w:rsidR="00AA3F3A">
        <w:rPr>
          <w:rFonts w:cstheme="minorHAnsi"/>
          <w:bCs/>
          <w:sz w:val="24"/>
          <w:szCs w:val="24"/>
        </w:rPr>
        <w:t>·</w:t>
      </w:r>
      <w:r w:rsidR="001F6D39">
        <w:rPr>
          <w:bCs/>
          <w:sz w:val="24"/>
          <w:szCs w:val="24"/>
        </w:rPr>
        <w:t>2</w:t>
      </w:r>
      <w:r w:rsidR="001F6D39" w:rsidRPr="001F6D39">
        <w:rPr>
          <w:bCs/>
          <w:sz w:val="24"/>
          <w:szCs w:val="24"/>
        </w:rPr>
        <w:t>; p&lt;0</w:t>
      </w:r>
      <w:r w:rsidR="00AA3F3A">
        <w:rPr>
          <w:rFonts w:cstheme="minorHAnsi"/>
          <w:bCs/>
          <w:sz w:val="24"/>
          <w:szCs w:val="24"/>
        </w:rPr>
        <w:t>·</w:t>
      </w:r>
      <w:r w:rsidR="001F6D39" w:rsidRPr="001F6D39">
        <w:rPr>
          <w:bCs/>
          <w:sz w:val="24"/>
          <w:szCs w:val="24"/>
        </w:rPr>
        <w:t>0001)</w:t>
      </w:r>
      <w:r w:rsidR="0057635E">
        <w:rPr>
          <w:bCs/>
          <w:sz w:val="24"/>
          <w:szCs w:val="24"/>
        </w:rPr>
        <w:t xml:space="preserve">. </w:t>
      </w:r>
      <w:r w:rsidR="001F6D39">
        <w:rPr>
          <w:bCs/>
          <w:sz w:val="24"/>
          <w:szCs w:val="24"/>
        </w:rPr>
        <w:t>T</w:t>
      </w:r>
      <w:r w:rsidR="0057635E">
        <w:rPr>
          <w:bCs/>
          <w:sz w:val="24"/>
          <w:szCs w:val="24"/>
        </w:rPr>
        <w:t>he m</w:t>
      </w:r>
      <w:r w:rsidR="00F95794" w:rsidRPr="00F95794">
        <w:rPr>
          <w:bCs/>
          <w:sz w:val="24"/>
          <w:szCs w:val="24"/>
        </w:rPr>
        <w:t xml:space="preserve">edian </w:t>
      </w:r>
      <w:r w:rsidR="00F95794">
        <w:rPr>
          <w:bCs/>
          <w:sz w:val="24"/>
          <w:szCs w:val="24"/>
        </w:rPr>
        <w:t xml:space="preserve">(IQR) </w:t>
      </w:r>
      <w:r w:rsidR="00F95794" w:rsidRPr="00F95794">
        <w:rPr>
          <w:bCs/>
          <w:sz w:val="24"/>
          <w:szCs w:val="24"/>
        </w:rPr>
        <w:t>time</w:t>
      </w:r>
      <w:r w:rsidR="0057635E">
        <w:rPr>
          <w:bCs/>
          <w:sz w:val="24"/>
          <w:szCs w:val="24"/>
        </w:rPr>
        <w:t xml:space="preserve"> </w:t>
      </w:r>
      <w:r w:rsidR="0057635E" w:rsidRPr="00BC4DB2">
        <w:rPr>
          <w:bCs/>
          <w:sz w:val="24"/>
          <w:szCs w:val="24"/>
        </w:rPr>
        <w:t xml:space="preserve">from presentation </w:t>
      </w:r>
      <w:r w:rsidR="00FC5DE0" w:rsidRPr="00BC4DB2">
        <w:rPr>
          <w:bCs/>
          <w:sz w:val="24"/>
          <w:szCs w:val="24"/>
        </w:rPr>
        <w:t xml:space="preserve">to arrival </w:t>
      </w:r>
      <w:r w:rsidR="001F6D39" w:rsidRPr="00BC4DB2">
        <w:rPr>
          <w:bCs/>
          <w:sz w:val="24"/>
          <w:szCs w:val="24"/>
        </w:rPr>
        <w:t xml:space="preserve">in a definitive clinical area </w:t>
      </w:r>
      <w:r w:rsidR="00F95794" w:rsidRPr="00BC4DB2">
        <w:rPr>
          <w:bCs/>
          <w:sz w:val="24"/>
          <w:szCs w:val="24"/>
        </w:rPr>
        <w:t>was 8</w:t>
      </w:r>
      <w:r w:rsidR="00AA3F3A" w:rsidRPr="00BC4DB2">
        <w:rPr>
          <w:rFonts w:cstheme="minorHAnsi"/>
          <w:bCs/>
          <w:sz w:val="24"/>
          <w:szCs w:val="24"/>
        </w:rPr>
        <w:t>·</w:t>
      </w:r>
      <w:r w:rsidR="00F95794" w:rsidRPr="00BC4DB2">
        <w:rPr>
          <w:bCs/>
          <w:sz w:val="24"/>
          <w:szCs w:val="24"/>
        </w:rPr>
        <w:t>0 (6</w:t>
      </w:r>
      <w:r w:rsidR="00AA3F3A" w:rsidRPr="00BC4DB2">
        <w:rPr>
          <w:rFonts w:cstheme="minorHAnsi"/>
          <w:bCs/>
          <w:sz w:val="24"/>
          <w:szCs w:val="24"/>
        </w:rPr>
        <w:t>·</w:t>
      </w:r>
      <w:r w:rsidR="00F95794" w:rsidRPr="00BC4DB2">
        <w:rPr>
          <w:bCs/>
          <w:sz w:val="24"/>
          <w:szCs w:val="24"/>
        </w:rPr>
        <w:t>0 to 15</w:t>
      </w:r>
      <w:r w:rsidR="00AA3F3A" w:rsidRPr="00BC4DB2">
        <w:rPr>
          <w:rFonts w:cstheme="minorHAnsi"/>
          <w:bCs/>
          <w:sz w:val="24"/>
          <w:szCs w:val="24"/>
        </w:rPr>
        <w:t>·</w:t>
      </w:r>
      <w:r w:rsidR="00F95794" w:rsidRPr="00BC4DB2">
        <w:rPr>
          <w:bCs/>
          <w:sz w:val="24"/>
          <w:szCs w:val="24"/>
        </w:rPr>
        <w:t>0) hours in the POCT group versus 28</w:t>
      </w:r>
      <w:r w:rsidR="00AA3F3A" w:rsidRPr="00BC4DB2">
        <w:rPr>
          <w:rFonts w:cstheme="minorHAnsi"/>
          <w:bCs/>
          <w:sz w:val="24"/>
          <w:szCs w:val="24"/>
        </w:rPr>
        <w:t>·</w:t>
      </w:r>
      <w:r w:rsidR="00F95794" w:rsidRPr="00BC4DB2">
        <w:rPr>
          <w:bCs/>
          <w:sz w:val="24"/>
          <w:szCs w:val="24"/>
        </w:rPr>
        <w:t>8 (23</w:t>
      </w:r>
      <w:r w:rsidR="00AA3F3A" w:rsidRPr="00BC4DB2">
        <w:rPr>
          <w:rFonts w:cstheme="minorHAnsi"/>
          <w:bCs/>
          <w:sz w:val="24"/>
          <w:szCs w:val="24"/>
        </w:rPr>
        <w:t>·</w:t>
      </w:r>
      <w:r w:rsidR="00F95794" w:rsidRPr="00BC4DB2">
        <w:rPr>
          <w:bCs/>
          <w:sz w:val="24"/>
          <w:szCs w:val="24"/>
        </w:rPr>
        <w:t>5 to 38</w:t>
      </w:r>
      <w:r w:rsidR="00AA3F3A" w:rsidRPr="00BC4DB2">
        <w:rPr>
          <w:rFonts w:cstheme="minorHAnsi"/>
          <w:bCs/>
          <w:sz w:val="24"/>
          <w:szCs w:val="24"/>
        </w:rPr>
        <w:t>·</w:t>
      </w:r>
      <w:r w:rsidR="00F95794" w:rsidRPr="00BC4DB2">
        <w:rPr>
          <w:bCs/>
          <w:sz w:val="24"/>
          <w:szCs w:val="24"/>
        </w:rPr>
        <w:t>9) hours in the control gro</w:t>
      </w:r>
      <w:r w:rsidR="001F6D39" w:rsidRPr="00BC4DB2">
        <w:rPr>
          <w:bCs/>
          <w:sz w:val="24"/>
          <w:szCs w:val="24"/>
        </w:rPr>
        <w:t>up</w:t>
      </w:r>
      <w:r w:rsidR="0024658D" w:rsidRPr="00BC4DB2">
        <w:rPr>
          <w:bCs/>
          <w:sz w:val="24"/>
          <w:szCs w:val="24"/>
        </w:rPr>
        <w:t xml:space="preserve"> (</w:t>
      </w:r>
      <w:r w:rsidR="001F6D39" w:rsidRPr="00BC4DB2">
        <w:rPr>
          <w:bCs/>
          <w:sz w:val="24"/>
          <w:szCs w:val="24"/>
        </w:rPr>
        <w:t>difference of 20</w:t>
      </w:r>
      <w:r w:rsidR="00AA3F3A" w:rsidRPr="00BC4DB2">
        <w:rPr>
          <w:rFonts w:cstheme="minorHAnsi"/>
          <w:bCs/>
          <w:sz w:val="24"/>
          <w:szCs w:val="24"/>
        </w:rPr>
        <w:t>·</w:t>
      </w:r>
      <w:r w:rsidR="0024658D" w:rsidRPr="00BC4DB2">
        <w:rPr>
          <w:bCs/>
          <w:sz w:val="24"/>
          <w:szCs w:val="24"/>
        </w:rPr>
        <w:t xml:space="preserve">8 hours, </w:t>
      </w:r>
      <w:r w:rsidR="001F6D39" w:rsidRPr="00BC4DB2">
        <w:rPr>
          <w:bCs/>
          <w:sz w:val="24"/>
          <w:szCs w:val="24"/>
        </w:rPr>
        <w:t>95</w:t>
      </w:r>
      <w:r w:rsidR="00F95794" w:rsidRPr="00BC4DB2">
        <w:rPr>
          <w:bCs/>
          <w:sz w:val="24"/>
          <w:szCs w:val="24"/>
        </w:rPr>
        <w:t>%CI 18</w:t>
      </w:r>
      <w:r w:rsidR="00AA3F3A" w:rsidRPr="00BC4DB2">
        <w:rPr>
          <w:rFonts w:cstheme="minorHAnsi"/>
          <w:bCs/>
          <w:sz w:val="24"/>
          <w:szCs w:val="24"/>
        </w:rPr>
        <w:t>·</w:t>
      </w:r>
      <w:r w:rsidR="00F95794" w:rsidRPr="00BC4DB2">
        <w:rPr>
          <w:bCs/>
          <w:sz w:val="24"/>
          <w:szCs w:val="24"/>
        </w:rPr>
        <w:t>4 to 21</w:t>
      </w:r>
      <w:r w:rsidR="00AA3F3A" w:rsidRPr="00BC4DB2">
        <w:rPr>
          <w:rFonts w:cstheme="minorHAnsi"/>
          <w:bCs/>
          <w:sz w:val="24"/>
          <w:szCs w:val="24"/>
        </w:rPr>
        <w:t>·</w:t>
      </w:r>
      <w:r w:rsidR="00F95794" w:rsidRPr="00BC4DB2">
        <w:rPr>
          <w:bCs/>
          <w:sz w:val="24"/>
          <w:szCs w:val="24"/>
        </w:rPr>
        <w:t>2; p&lt;0</w:t>
      </w:r>
      <w:r w:rsidR="00AA3F3A" w:rsidRPr="00BC4DB2">
        <w:rPr>
          <w:rFonts w:cstheme="minorHAnsi"/>
          <w:bCs/>
          <w:sz w:val="24"/>
          <w:szCs w:val="24"/>
        </w:rPr>
        <w:t>·</w:t>
      </w:r>
      <w:r w:rsidR="00F95794" w:rsidRPr="00BC4DB2">
        <w:rPr>
          <w:bCs/>
          <w:sz w:val="24"/>
          <w:szCs w:val="24"/>
        </w:rPr>
        <w:t>0001</w:t>
      </w:r>
      <w:r w:rsidR="0024658D" w:rsidRPr="00BC4DB2">
        <w:rPr>
          <w:bCs/>
          <w:sz w:val="24"/>
          <w:szCs w:val="24"/>
        </w:rPr>
        <w:t xml:space="preserve">, </w:t>
      </w:r>
      <w:r w:rsidR="00B1108A" w:rsidRPr="00BC4DB2">
        <w:rPr>
          <w:bCs/>
          <w:sz w:val="24"/>
          <w:szCs w:val="24"/>
        </w:rPr>
        <w:t>Mann-Whitney U test)</w:t>
      </w:r>
      <w:r w:rsidR="008B451C" w:rsidRPr="00BC4DB2">
        <w:rPr>
          <w:bCs/>
          <w:sz w:val="24"/>
          <w:szCs w:val="24"/>
        </w:rPr>
        <w:t xml:space="preserve">. Figure </w:t>
      </w:r>
      <w:r w:rsidR="00E72C5D" w:rsidRPr="00BC4DB2">
        <w:rPr>
          <w:bCs/>
          <w:sz w:val="24"/>
          <w:szCs w:val="24"/>
        </w:rPr>
        <w:t>2</w:t>
      </w:r>
      <w:r w:rsidR="00A30DBB" w:rsidRPr="00BC4DB2">
        <w:rPr>
          <w:bCs/>
          <w:sz w:val="24"/>
          <w:szCs w:val="24"/>
        </w:rPr>
        <w:t xml:space="preserve"> shows the time to event curve for time to arrival in definitive clinical area (Log rank test</w:t>
      </w:r>
      <w:r w:rsidR="00FC5DE0" w:rsidRPr="00BC4DB2">
        <w:rPr>
          <w:bCs/>
          <w:sz w:val="24"/>
          <w:szCs w:val="24"/>
        </w:rPr>
        <w:t>,</w:t>
      </w:r>
      <w:r w:rsidR="00A30DBB" w:rsidRPr="00BC4DB2">
        <w:rPr>
          <w:bCs/>
          <w:sz w:val="24"/>
          <w:szCs w:val="24"/>
        </w:rPr>
        <w:t xml:space="preserve"> p&lt;0</w:t>
      </w:r>
      <w:r w:rsidR="00AA3F3A" w:rsidRPr="00BC4DB2">
        <w:rPr>
          <w:rFonts w:cstheme="minorHAnsi"/>
          <w:bCs/>
          <w:sz w:val="24"/>
          <w:szCs w:val="24"/>
        </w:rPr>
        <w:t>·</w:t>
      </w:r>
      <w:r w:rsidR="00A30DBB" w:rsidRPr="00BC4DB2">
        <w:rPr>
          <w:bCs/>
          <w:sz w:val="24"/>
          <w:szCs w:val="24"/>
        </w:rPr>
        <w:t>0001)</w:t>
      </w:r>
      <w:r w:rsidR="00F95794" w:rsidRPr="00BC4DB2">
        <w:rPr>
          <w:bCs/>
          <w:sz w:val="24"/>
          <w:szCs w:val="24"/>
        </w:rPr>
        <w:t xml:space="preserve">. </w:t>
      </w:r>
      <w:r w:rsidR="0003619C" w:rsidRPr="00BC4DB2">
        <w:rPr>
          <w:bCs/>
          <w:sz w:val="24"/>
          <w:szCs w:val="24"/>
        </w:rPr>
        <w:t>The hazard ratio for group was 10</w:t>
      </w:r>
      <w:r w:rsidR="00AA3F3A" w:rsidRPr="00BC4DB2">
        <w:rPr>
          <w:rFonts w:cstheme="minorHAnsi"/>
          <w:bCs/>
          <w:sz w:val="24"/>
          <w:szCs w:val="24"/>
        </w:rPr>
        <w:t>·</w:t>
      </w:r>
      <w:r w:rsidR="0003619C" w:rsidRPr="00BC4DB2">
        <w:rPr>
          <w:bCs/>
          <w:sz w:val="24"/>
          <w:szCs w:val="24"/>
        </w:rPr>
        <w:t>2 (95%CI 8</w:t>
      </w:r>
      <w:r w:rsidR="00AA3F3A" w:rsidRPr="00BC4DB2">
        <w:rPr>
          <w:rFonts w:cstheme="minorHAnsi"/>
          <w:bCs/>
          <w:sz w:val="24"/>
          <w:szCs w:val="24"/>
        </w:rPr>
        <w:t>·</w:t>
      </w:r>
      <w:r w:rsidR="00AA3F3A" w:rsidRPr="00BC4DB2">
        <w:rPr>
          <w:bCs/>
          <w:sz w:val="24"/>
          <w:szCs w:val="24"/>
        </w:rPr>
        <w:t>0</w:t>
      </w:r>
      <w:r w:rsidR="0003619C" w:rsidRPr="00BC4DB2">
        <w:rPr>
          <w:bCs/>
          <w:sz w:val="24"/>
          <w:szCs w:val="24"/>
        </w:rPr>
        <w:t xml:space="preserve"> to 13</w:t>
      </w:r>
      <w:r w:rsidR="00AA3F3A" w:rsidRPr="00BC4DB2">
        <w:rPr>
          <w:rFonts w:cstheme="minorHAnsi"/>
          <w:bCs/>
          <w:sz w:val="24"/>
          <w:szCs w:val="24"/>
        </w:rPr>
        <w:t>·</w:t>
      </w:r>
      <w:r w:rsidR="0003619C" w:rsidRPr="00BC4DB2">
        <w:rPr>
          <w:bCs/>
          <w:sz w:val="24"/>
          <w:szCs w:val="24"/>
        </w:rPr>
        <w:t>0; p&lt;0</w:t>
      </w:r>
      <w:r w:rsidR="00AA3F3A" w:rsidRPr="00BC4DB2">
        <w:rPr>
          <w:rFonts w:cstheme="minorHAnsi"/>
          <w:bCs/>
          <w:sz w:val="24"/>
          <w:szCs w:val="24"/>
        </w:rPr>
        <w:t>·</w:t>
      </w:r>
      <w:r w:rsidR="0003619C" w:rsidRPr="00BC4DB2">
        <w:rPr>
          <w:bCs/>
          <w:sz w:val="24"/>
          <w:szCs w:val="24"/>
        </w:rPr>
        <w:t>0001) in favour of the POCT arm arriving at a definitive clinical area earlier, based on a Cox proportional hazards model controlling for age, sex, time of presentation and severity of illness (appendix, p3). F</w:t>
      </w:r>
      <w:r w:rsidR="005D3938" w:rsidRPr="00BC4DB2">
        <w:rPr>
          <w:bCs/>
          <w:sz w:val="24"/>
          <w:szCs w:val="24"/>
        </w:rPr>
        <w:t xml:space="preserve">urther details of </w:t>
      </w:r>
      <w:r w:rsidR="00C75095" w:rsidRPr="00BC4DB2">
        <w:rPr>
          <w:bCs/>
          <w:sz w:val="24"/>
          <w:szCs w:val="24"/>
        </w:rPr>
        <w:t xml:space="preserve">transfers </w:t>
      </w:r>
      <w:r w:rsidR="005D3938" w:rsidRPr="00BC4DB2">
        <w:rPr>
          <w:bCs/>
          <w:sz w:val="24"/>
          <w:szCs w:val="24"/>
        </w:rPr>
        <w:t>to definitive ward areas</w:t>
      </w:r>
      <w:r w:rsidR="0003619C" w:rsidRPr="00BC4DB2">
        <w:rPr>
          <w:bCs/>
          <w:sz w:val="24"/>
          <w:szCs w:val="24"/>
        </w:rPr>
        <w:t xml:space="preserve"> are given in the </w:t>
      </w:r>
      <w:r w:rsidR="00E72C5D" w:rsidRPr="00BC4DB2">
        <w:rPr>
          <w:bCs/>
          <w:sz w:val="24"/>
          <w:szCs w:val="24"/>
        </w:rPr>
        <w:t>appendix, p9</w:t>
      </w:r>
      <w:r w:rsidR="005D3938" w:rsidRPr="00BC4DB2">
        <w:rPr>
          <w:bCs/>
          <w:sz w:val="24"/>
          <w:szCs w:val="24"/>
        </w:rPr>
        <w:t xml:space="preserve">. </w:t>
      </w:r>
      <w:r w:rsidR="004E4A9B" w:rsidRPr="00BC4DB2">
        <w:rPr>
          <w:bCs/>
          <w:sz w:val="24"/>
          <w:szCs w:val="24"/>
        </w:rPr>
        <w:t>The mean (SD</w:t>
      </w:r>
      <w:r w:rsidR="004E4A9B" w:rsidRPr="004E4A9B">
        <w:rPr>
          <w:bCs/>
          <w:sz w:val="24"/>
          <w:szCs w:val="24"/>
        </w:rPr>
        <w:t>) total number of bed moves from admission before defin</w:t>
      </w:r>
      <w:r w:rsidR="0030232B">
        <w:rPr>
          <w:bCs/>
          <w:sz w:val="24"/>
          <w:szCs w:val="24"/>
        </w:rPr>
        <w:t>itive ward arrival was 0</w:t>
      </w:r>
      <w:r w:rsidR="00AA3F3A">
        <w:rPr>
          <w:rFonts w:cstheme="minorHAnsi"/>
          <w:bCs/>
          <w:sz w:val="24"/>
          <w:szCs w:val="24"/>
        </w:rPr>
        <w:t>·</w:t>
      </w:r>
      <w:r w:rsidR="0030232B">
        <w:rPr>
          <w:bCs/>
          <w:sz w:val="24"/>
          <w:szCs w:val="24"/>
        </w:rPr>
        <w:t>9 (0</w:t>
      </w:r>
      <w:r w:rsidR="00AA3F3A">
        <w:rPr>
          <w:rFonts w:cstheme="minorHAnsi"/>
          <w:bCs/>
          <w:sz w:val="24"/>
          <w:szCs w:val="24"/>
        </w:rPr>
        <w:t>·</w:t>
      </w:r>
      <w:r w:rsidR="0030232B">
        <w:rPr>
          <w:bCs/>
          <w:sz w:val="24"/>
          <w:szCs w:val="24"/>
        </w:rPr>
        <w:t>5) in the POCT versus 1</w:t>
      </w:r>
      <w:r w:rsidR="00AA3F3A">
        <w:rPr>
          <w:rFonts w:cstheme="minorHAnsi"/>
          <w:bCs/>
          <w:sz w:val="24"/>
          <w:szCs w:val="24"/>
        </w:rPr>
        <w:t>·</w:t>
      </w:r>
      <w:r w:rsidR="0030232B">
        <w:rPr>
          <w:bCs/>
          <w:sz w:val="24"/>
          <w:szCs w:val="24"/>
        </w:rPr>
        <w:t>4 (0</w:t>
      </w:r>
      <w:r w:rsidR="00AA3F3A">
        <w:rPr>
          <w:rFonts w:cstheme="minorHAnsi"/>
          <w:bCs/>
          <w:sz w:val="24"/>
          <w:szCs w:val="24"/>
        </w:rPr>
        <w:t>·</w:t>
      </w:r>
      <w:r w:rsidR="0030232B">
        <w:rPr>
          <w:bCs/>
          <w:sz w:val="24"/>
          <w:szCs w:val="24"/>
        </w:rPr>
        <w:t>7</w:t>
      </w:r>
      <w:r w:rsidR="004E4A9B" w:rsidRPr="004E4A9B">
        <w:rPr>
          <w:bCs/>
          <w:sz w:val="24"/>
          <w:szCs w:val="24"/>
        </w:rPr>
        <w:t>) in the c</w:t>
      </w:r>
      <w:r w:rsidR="0024658D">
        <w:rPr>
          <w:bCs/>
          <w:sz w:val="24"/>
          <w:szCs w:val="24"/>
        </w:rPr>
        <w:t>ontrol group (</w:t>
      </w:r>
      <w:r w:rsidR="0030232B">
        <w:rPr>
          <w:bCs/>
          <w:sz w:val="24"/>
          <w:szCs w:val="24"/>
        </w:rPr>
        <w:t>difference of 0</w:t>
      </w:r>
      <w:r w:rsidR="00AA3F3A">
        <w:rPr>
          <w:rFonts w:cstheme="minorHAnsi"/>
          <w:bCs/>
          <w:sz w:val="24"/>
          <w:szCs w:val="24"/>
        </w:rPr>
        <w:t>·</w:t>
      </w:r>
      <w:r w:rsidR="0030232B">
        <w:rPr>
          <w:bCs/>
          <w:sz w:val="24"/>
          <w:szCs w:val="24"/>
        </w:rPr>
        <w:t>5</w:t>
      </w:r>
      <w:r w:rsidR="0024658D">
        <w:rPr>
          <w:bCs/>
          <w:sz w:val="24"/>
          <w:szCs w:val="24"/>
        </w:rPr>
        <w:t xml:space="preserve">, </w:t>
      </w:r>
      <w:r w:rsidR="004E4A9B" w:rsidRPr="004E4A9B">
        <w:rPr>
          <w:bCs/>
          <w:sz w:val="24"/>
          <w:szCs w:val="24"/>
        </w:rPr>
        <w:t>95%CI 0</w:t>
      </w:r>
      <w:r w:rsidR="00AA3F3A">
        <w:rPr>
          <w:rFonts w:cstheme="minorHAnsi"/>
          <w:bCs/>
          <w:sz w:val="24"/>
          <w:szCs w:val="24"/>
        </w:rPr>
        <w:t>·</w:t>
      </w:r>
      <w:r w:rsidR="00AA3F3A">
        <w:rPr>
          <w:bCs/>
          <w:sz w:val="24"/>
          <w:szCs w:val="24"/>
        </w:rPr>
        <w:t>4 to 0</w:t>
      </w:r>
      <w:r w:rsidR="00AA3F3A">
        <w:rPr>
          <w:rFonts w:cstheme="minorHAnsi"/>
          <w:bCs/>
          <w:sz w:val="24"/>
          <w:szCs w:val="24"/>
        </w:rPr>
        <w:t>·</w:t>
      </w:r>
      <w:r w:rsidR="00AA3F3A">
        <w:rPr>
          <w:bCs/>
          <w:sz w:val="24"/>
          <w:szCs w:val="24"/>
        </w:rPr>
        <w:t>6</w:t>
      </w:r>
      <w:r w:rsidR="004E4A9B" w:rsidRPr="004E4A9B">
        <w:rPr>
          <w:bCs/>
          <w:sz w:val="24"/>
          <w:szCs w:val="24"/>
        </w:rPr>
        <w:t>; p&lt;0</w:t>
      </w:r>
      <w:r w:rsidR="00AA3F3A">
        <w:rPr>
          <w:rFonts w:cstheme="minorHAnsi"/>
          <w:bCs/>
          <w:sz w:val="24"/>
          <w:szCs w:val="24"/>
        </w:rPr>
        <w:t>·</w:t>
      </w:r>
      <w:r w:rsidR="004E4A9B" w:rsidRPr="004E4A9B">
        <w:rPr>
          <w:bCs/>
          <w:sz w:val="24"/>
          <w:szCs w:val="24"/>
        </w:rPr>
        <w:t xml:space="preserve">0001). </w:t>
      </w:r>
      <w:r w:rsidR="005D3938">
        <w:rPr>
          <w:bCs/>
          <w:sz w:val="24"/>
          <w:szCs w:val="24"/>
        </w:rPr>
        <w:t>43 of 313 (13</w:t>
      </w:r>
      <w:r w:rsidR="00AA3F3A">
        <w:rPr>
          <w:rFonts w:cstheme="minorHAnsi"/>
          <w:bCs/>
          <w:sz w:val="24"/>
          <w:szCs w:val="24"/>
        </w:rPr>
        <w:t>·</w:t>
      </w:r>
      <w:r w:rsidR="005D3938">
        <w:rPr>
          <w:bCs/>
          <w:sz w:val="24"/>
          <w:szCs w:val="24"/>
        </w:rPr>
        <w:t xml:space="preserve">7%) patients in the POCT group were transferred directly from ED to </w:t>
      </w:r>
      <w:r w:rsidR="005D3938">
        <w:rPr>
          <w:bCs/>
          <w:sz w:val="24"/>
          <w:szCs w:val="24"/>
        </w:rPr>
        <w:lastRenderedPageBreak/>
        <w:t>a definitive ward area without going to an assessment area, compared to 0 of</w:t>
      </w:r>
      <w:r w:rsidR="0024658D">
        <w:rPr>
          <w:bCs/>
          <w:sz w:val="24"/>
          <w:szCs w:val="24"/>
        </w:rPr>
        <w:t xml:space="preserve"> 241 (0%) in the control group (</w:t>
      </w:r>
      <w:r w:rsidR="00F71D5D">
        <w:rPr>
          <w:bCs/>
          <w:sz w:val="24"/>
          <w:szCs w:val="24"/>
        </w:rPr>
        <w:t>difference of 13</w:t>
      </w:r>
      <w:r w:rsidR="00AA3F3A">
        <w:rPr>
          <w:rFonts w:cstheme="minorHAnsi"/>
          <w:bCs/>
          <w:sz w:val="24"/>
          <w:szCs w:val="24"/>
        </w:rPr>
        <w:t>·</w:t>
      </w:r>
      <w:r w:rsidR="0024658D">
        <w:rPr>
          <w:bCs/>
          <w:sz w:val="24"/>
          <w:szCs w:val="24"/>
        </w:rPr>
        <w:t xml:space="preserve">7%, </w:t>
      </w:r>
      <w:r w:rsidR="005D3938">
        <w:rPr>
          <w:bCs/>
          <w:sz w:val="24"/>
          <w:szCs w:val="24"/>
        </w:rPr>
        <w:t>95%CI</w:t>
      </w:r>
      <w:r w:rsidR="000A2BBC">
        <w:rPr>
          <w:bCs/>
          <w:sz w:val="24"/>
          <w:szCs w:val="24"/>
        </w:rPr>
        <w:t xml:space="preserve"> 10</w:t>
      </w:r>
      <w:r w:rsidR="00AA3F3A">
        <w:rPr>
          <w:rFonts w:cstheme="minorHAnsi"/>
          <w:bCs/>
          <w:sz w:val="24"/>
          <w:szCs w:val="24"/>
        </w:rPr>
        <w:t>·</w:t>
      </w:r>
      <w:r w:rsidR="000A2BBC">
        <w:rPr>
          <w:bCs/>
          <w:sz w:val="24"/>
          <w:szCs w:val="24"/>
        </w:rPr>
        <w:t>0 to 18</w:t>
      </w:r>
      <w:r w:rsidR="00AA3F3A">
        <w:rPr>
          <w:rFonts w:cstheme="minorHAnsi"/>
          <w:bCs/>
          <w:sz w:val="24"/>
          <w:szCs w:val="24"/>
        </w:rPr>
        <w:t>·</w:t>
      </w:r>
      <w:r w:rsidR="000A2BBC">
        <w:rPr>
          <w:bCs/>
          <w:sz w:val="24"/>
          <w:szCs w:val="24"/>
        </w:rPr>
        <w:t>0</w:t>
      </w:r>
      <w:r w:rsidR="005D3938">
        <w:rPr>
          <w:bCs/>
          <w:sz w:val="24"/>
          <w:szCs w:val="24"/>
        </w:rPr>
        <w:t>;</w:t>
      </w:r>
      <w:r w:rsidR="009F2AEA">
        <w:rPr>
          <w:bCs/>
          <w:sz w:val="24"/>
          <w:szCs w:val="24"/>
        </w:rPr>
        <w:t xml:space="preserve"> </w:t>
      </w:r>
      <w:r w:rsidR="005D3938">
        <w:rPr>
          <w:bCs/>
          <w:sz w:val="24"/>
          <w:szCs w:val="24"/>
        </w:rPr>
        <w:t>p</w:t>
      </w:r>
      <w:r w:rsidR="009F2AEA">
        <w:rPr>
          <w:bCs/>
          <w:sz w:val="24"/>
          <w:szCs w:val="24"/>
        </w:rPr>
        <w:t>&lt;0</w:t>
      </w:r>
      <w:r w:rsidR="00AA3F3A">
        <w:rPr>
          <w:rFonts w:cstheme="minorHAnsi"/>
          <w:bCs/>
          <w:sz w:val="24"/>
          <w:szCs w:val="24"/>
        </w:rPr>
        <w:t>·</w:t>
      </w:r>
      <w:r w:rsidR="009F2AEA">
        <w:rPr>
          <w:bCs/>
          <w:sz w:val="24"/>
          <w:szCs w:val="24"/>
        </w:rPr>
        <w:t>0001</w:t>
      </w:r>
      <w:r w:rsidR="005D3938">
        <w:rPr>
          <w:bCs/>
          <w:sz w:val="24"/>
          <w:szCs w:val="24"/>
        </w:rPr>
        <w:t xml:space="preserve">). </w:t>
      </w:r>
      <w:r w:rsidR="00C519BB">
        <w:rPr>
          <w:bCs/>
          <w:sz w:val="24"/>
          <w:szCs w:val="24"/>
        </w:rPr>
        <w:t>124 of 197 (62</w:t>
      </w:r>
      <w:r w:rsidR="00AA3F3A">
        <w:rPr>
          <w:rFonts w:cstheme="minorHAnsi"/>
          <w:bCs/>
          <w:sz w:val="24"/>
          <w:szCs w:val="24"/>
        </w:rPr>
        <w:t>·</w:t>
      </w:r>
      <w:r w:rsidR="00C519BB">
        <w:rPr>
          <w:bCs/>
          <w:sz w:val="24"/>
          <w:szCs w:val="24"/>
        </w:rPr>
        <w:t>9</w:t>
      </w:r>
      <w:r w:rsidR="003B5DC7">
        <w:rPr>
          <w:bCs/>
          <w:sz w:val="24"/>
          <w:szCs w:val="24"/>
        </w:rPr>
        <w:t xml:space="preserve">%) </w:t>
      </w:r>
      <w:r w:rsidR="009F2AEA">
        <w:rPr>
          <w:bCs/>
          <w:sz w:val="24"/>
          <w:szCs w:val="24"/>
        </w:rPr>
        <w:t xml:space="preserve">COVID-19 positive </w:t>
      </w:r>
      <w:r w:rsidR="003B5DC7">
        <w:rPr>
          <w:bCs/>
          <w:sz w:val="24"/>
          <w:szCs w:val="24"/>
        </w:rPr>
        <w:t>patients were rec</w:t>
      </w:r>
      <w:r w:rsidR="00B95C0D">
        <w:rPr>
          <w:bCs/>
          <w:sz w:val="24"/>
          <w:szCs w:val="24"/>
        </w:rPr>
        <w:t>ru</w:t>
      </w:r>
      <w:r w:rsidR="003B5DC7">
        <w:rPr>
          <w:bCs/>
          <w:sz w:val="24"/>
          <w:szCs w:val="24"/>
        </w:rPr>
        <w:t>ited into other COVID-19 clinical trials in the</w:t>
      </w:r>
      <w:r w:rsidR="009F2AEA">
        <w:rPr>
          <w:bCs/>
          <w:sz w:val="24"/>
          <w:szCs w:val="24"/>
        </w:rPr>
        <w:t xml:space="preserve"> POCT gro</w:t>
      </w:r>
      <w:r w:rsidR="0030232B">
        <w:rPr>
          <w:bCs/>
          <w:sz w:val="24"/>
          <w:szCs w:val="24"/>
        </w:rPr>
        <w:t>up versus 104 of 155 (67</w:t>
      </w:r>
      <w:r w:rsidR="00AA3F3A">
        <w:rPr>
          <w:rFonts w:cstheme="minorHAnsi"/>
          <w:bCs/>
          <w:sz w:val="24"/>
          <w:szCs w:val="24"/>
        </w:rPr>
        <w:t>·</w:t>
      </w:r>
      <w:r w:rsidR="004E4A9B">
        <w:rPr>
          <w:bCs/>
          <w:sz w:val="24"/>
          <w:szCs w:val="24"/>
        </w:rPr>
        <w:t>1</w:t>
      </w:r>
      <w:r w:rsidR="0024658D">
        <w:rPr>
          <w:bCs/>
          <w:sz w:val="24"/>
          <w:szCs w:val="24"/>
        </w:rPr>
        <w:t>%) in the control group (</w:t>
      </w:r>
      <w:r w:rsidR="0030232B" w:rsidRPr="0030232B">
        <w:rPr>
          <w:bCs/>
          <w:sz w:val="24"/>
          <w:szCs w:val="24"/>
        </w:rPr>
        <w:t xml:space="preserve">difference of </w:t>
      </w:r>
      <w:r w:rsidR="00C519BB">
        <w:rPr>
          <w:bCs/>
          <w:sz w:val="24"/>
          <w:szCs w:val="24"/>
        </w:rPr>
        <w:t>4</w:t>
      </w:r>
      <w:r w:rsidR="00AA3F3A">
        <w:rPr>
          <w:rFonts w:cstheme="minorHAnsi"/>
          <w:bCs/>
          <w:sz w:val="24"/>
          <w:szCs w:val="24"/>
        </w:rPr>
        <w:t>·</w:t>
      </w:r>
      <w:r w:rsidR="0024658D">
        <w:rPr>
          <w:bCs/>
          <w:sz w:val="24"/>
          <w:szCs w:val="24"/>
        </w:rPr>
        <w:t xml:space="preserve">2, 95%CI </w:t>
      </w:r>
      <w:r w:rsidR="00C519BB">
        <w:rPr>
          <w:bCs/>
          <w:sz w:val="24"/>
          <w:szCs w:val="24"/>
        </w:rPr>
        <w:t>-5</w:t>
      </w:r>
      <w:r w:rsidR="00AA3F3A">
        <w:rPr>
          <w:rFonts w:cstheme="minorHAnsi"/>
          <w:bCs/>
          <w:sz w:val="24"/>
          <w:szCs w:val="24"/>
        </w:rPr>
        <w:t>·</w:t>
      </w:r>
      <w:r w:rsidR="00C519BB">
        <w:rPr>
          <w:bCs/>
          <w:sz w:val="24"/>
          <w:szCs w:val="24"/>
        </w:rPr>
        <w:t>9</w:t>
      </w:r>
      <w:r w:rsidR="006B175B">
        <w:rPr>
          <w:bCs/>
          <w:sz w:val="24"/>
          <w:szCs w:val="24"/>
        </w:rPr>
        <w:t xml:space="preserve"> to 14</w:t>
      </w:r>
      <w:r w:rsidR="00AA3F3A">
        <w:rPr>
          <w:rFonts w:cstheme="minorHAnsi"/>
          <w:bCs/>
          <w:sz w:val="24"/>
          <w:szCs w:val="24"/>
        </w:rPr>
        <w:t>·</w:t>
      </w:r>
      <w:r w:rsidR="006B175B">
        <w:rPr>
          <w:bCs/>
          <w:sz w:val="24"/>
          <w:szCs w:val="24"/>
        </w:rPr>
        <w:t>0</w:t>
      </w:r>
      <w:r w:rsidR="000C5490">
        <w:rPr>
          <w:bCs/>
          <w:sz w:val="24"/>
          <w:szCs w:val="24"/>
        </w:rPr>
        <w:t>;</w:t>
      </w:r>
      <w:r w:rsidR="004E4A9B" w:rsidRPr="0030232B">
        <w:rPr>
          <w:bCs/>
          <w:sz w:val="24"/>
          <w:szCs w:val="24"/>
        </w:rPr>
        <w:t xml:space="preserve"> p=0.42</w:t>
      </w:r>
      <w:r w:rsidR="003B5DC7" w:rsidRPr="0030232B">
        <w:rPr>
          <w:bCs/>
          <w:sz w:val="24"/>
          <w:szCs w:val="24"/>
        </w:rPr>
        <w:t>).</w:t>
      </w:r>
      <w:r w:rsidR="003B5DC7">
        <w:rPr>
          <w:bCs/>
          <w:sz w:val="24"/>
          <w:szCs w:val="24"/>
        </w:rPr>
        <w:t xml:space="preserve"> </w:t>
      </w:r>
      <w:r w:rsidR="00F95794" w:rsidRPr="00F95794">
        <w:rPr>
          <w:bCs/>
          <w:sz w:val="24"/>
          <w:szCs w:val="24"/>
        </w:rPr>
        <w:t xml:space="preserve">Median time to enrolment into </w:t>
      </w:r>
      <w:r w:rsidR="004E4A9B">
        <w:rPr>
          <w:bCs/>
          <w:sz w:val="24"/>
          <w:szCs w:val="24"/>
        </w:rPr>
        <w:t>trials was 1</w:t>
      </w:r>
      <w:r w:rsidR="00AA3F3A">
        <w:rPr>
          <w:rFonts w:cstheme="minorHAnsi"/>
          <w:bCs/>
          <w:sz w:val="24"/>
          <w:szCs w:val="24"/>
        </w:rPr>
        <w:t>·</w:t>
      </w:r>
      <w:r w:rsidR="004E4A9B">
        <w:rPr>
          <w:bCs/>
          <w:sz w:val="24"/>
          <w:szCs w:val="24"/>
        </w:rPr>
        <w:t>0</w:t>
      </w:r>
      <w:r w:rsidR="00F95794" w:rsidRPr="00F95794">
        <w:rPr>
          <w:bCs/>
          <w:sz w:val="24"/>
          <w:szCs w:val="24"/>
        </w:rPr>
        <w:t xml:space="preserve"> (1</w:t>
      </w:r>
      <w:r w:rsidR="00AA3F3A">
        <w:rPr>
          <w:rFonts w:cstheme="minorHAnsi"/>
          <w:bCs/>
          <w:sz w:val="24"/>
          <w:szCs w:val="24"/>
        </w:rPr>
        <w:t>·</w:t>
      </w:r>
      <w:r w:rsidR="0098109B">
        <w:rPr>
          <w:bCs/>
          <w:sz w:val="24"/>
          <w:szCs w:val="24"/>
        </w:rPr>
        <w:t>0</w:t>
      </w:r>
      <w:r w:rsidR="00F95794" w:rsidRPr="00F95794">
        <w:rPr>
          <w:bCs/>
          <w:sz w:val="24"/>
          <w:szCs w:val="24"/>
        </w:rPr>
        <w:t xml:space="preserve"> to 3</w:t>
      </w:r>
      <w:r w:rsidR="00AA3F3A">
        <w:rPr>
          <w:rFonts w:cstheme="minorHAnsi"/>
          <w:bCs/>
          <w:sz w:val="24"/>
          <w:szCs w:val="24"/>
        </w:rPr>
        <w:t>·</w:t>
      </w:r>
      <w:r w:rsidR="0098109B">
        <w:rPr>
          <w:bCs/>
          <w:sz w:val="24"/>
          <w:szCs w:val="24"/>
        </w:rPr>
        <w:t>0</w:t>
      </w:r>
      <w:r w:rsidR="00F95794" w:rsidRPr="00F95794">
        <w:rPr>
          <w:bCs/>
          <w:sz w:val="24"/>
          <w:szCs w:val="24"/>
        </w:rPr>
        <w:t>) days in the POCT versus 3</w:t>
      </w:r>
      <w:r w:rsidR="00AA3F3A">
        <w:rPr>
          <w:rFonts w:cstheme="minorHAnsi"/>
          <w:bCs/>
          <w:sz w:val="24"/>
          <w:szCs w:val="24"/>
        </w:rPr>
        <w:t>·</w:t>
      </w:r>
      <w:r w:rsidR="00F95794">
        <w:rPr>
          <w:bCs/>
          <w:sz w:val="24"/>
          <w:szCs w:val="24"/>
        </w:rPr>
        <w:t>0</w:t>
      </w:r>
      <w:r w:rsidR="00F95794" w:rsidRPr="00F95794">
        <w:rPr>
          <w:bCs/>
          <w:sz w:val="24"/>
          <w:szCs w:val="24"/>
        </w:rPr>
        <w:t xml:space="preserve"> (2</w:t>
      </w:r>
      <w:r w:rsidR="00AA3F3A">
        <w:rPr>
          <w:rFonts w:cstheme="minorHAnsi"/>
          <w:bCs/>
          <w:sz w:val="24"/>
          <w:szCs w:val="24"/>
        </w:rPr>
        <w:t>·</w:t>
      </w:r>
      <w:r w:rsidR="0098109B">
        <w:rPr>
          <w:bCs/>
          <w:sz w:val="24"/>
          <w:szCs w:val="24"/>
        </w:rPr>
        <w:t>0</w:t>
      </w:r>
      <w:r w:rsidR="004E4A9B">
        <w:rPr>
          <w:bCs/>
          <w:sz w:val="24"/>
          <w:szCs w:val="24"/>
        </w:rPr>
        <w:t xml:space="preserve"> to 4</w:t>
      </w:r>
      <w:r w:rsidR="00AA3F3A">
        <w:rPr>
          <w:rFonts w:cstheme="minorHAnsi"/>
          <w:bCs/>
          <w:sz w:val="24"/>
          <w:szCs w:val="24"/>
        </w:rPr>
        <w:t>·</w:t>
      </w:r>
      <w:r w:rsidR="004E4A9B">
        <w:rPr>
          <w:bCs/>
          <w:sz w:val="24"/>
          <w:szCs w:val="24"/>
        </w:rPr>
        <w:t>5</w:t>
      </w:r>
      <w:r w:rsidR="00F95794" w:rsidRPr="00F95794">
        <w:rPr>
          <w:bCs/>
          <w:sz w:val="24"/>
          <w:szCs w:val="24"/>
        </w:rPr>
        <w:t xml:space="preserve">) days in the control group, </w:t>
      </w:r>
      <w:r w:rsidR="0024658D">
        <w:rPr>
          <w:bCs/>
          <w:sz w:val="24"/>
          <w:szCs w:val="24"/>
        </w:rPr>
        <w:t>(</w:t>
      </w:r>
      <w:r w:rsidR="0036361F">
        <w:rPr>
          <w:bCs/>
          <w:sz w:val="24"/>
          <w:szCs w:val="24"/>
        </w:rPr>
        <w:t>differe</w:t>
      </w:r>
      <w:r w:rsidR="004E4A9B">
        <w:rPr>
          <w:bCs/>
          <w:sz w:val="24"/>
          <w:szCs w:val="24"/>
        </w:rPr>
        <w:t>nce of 2</w:t>
      </w:r>
      <w:r w:rsidR="00AA3F3A">
        <w:rPr>
          <w:rFonts w:cstheme="minorHAnsi"/>
          <w:bCs/>
          <w:sz w:val="24"/>
          <w:szCs w:val="24"/>
        </w:rPr>
        <w:t>·</w:t>
      </w:r>
      <w:r w:rsidR="004E4A9B">
        <w:rPr>
          <w:bCs/>
          <w:sz w:val="24"/>
          <w:szCs w:val="24"/>
        </w:rPr>
        <w:t>0</w:t>
      </w:r>
      <w:r w:rsidR="0024658D">
        <w:rPr>
          <w:bCs/>
          <w:sz w:val="24"/>
          <w:szCs w:val="24"/>
        </w:rPr>
        <w:t xml:space="preserve"> days, </w:t>
      </w:r>
      <w:r w:rsidR="0036361F">
        <w:rPr>
          <w:bCs/>
          <w:sz w:val="24"/>
          <w:szCs w:val="24"/>
        </w:rPr>
        <w:t xml:space="preserve">95%CI </w:t>
      </w:r>
      <w:r w:rsidR="0098109B">
        <w:rPr>
          <w:bCs/>
          <w:sz w:val="24"/>
          <w:szCs w:val="24"/>
        </w:rPr>
        <w:t>1</w:t>
      </w:r>
      <w:r w:rsidR="00AA3F3A">
        <w:rPr>
          <w:rFonts w:cstheme="minorHAnsi"/>
          <w:bCs/>
          <w:sz w:val="24"/>
          <w:szCs w:val="24"/>
        </w:rPr>
        <w:t>·</w:t>
      </w:r>
      <w:r w:rsidR="0098109B">
        <w:rPr>
          <w:bCs/>
          <w:sz w:val="24"/>
          <w:szCs w:val="24"/>
        </w:rPr>
        <w:t xml:space="preserve">0 </w:t>
      </w:r>
      <w:r w:rsidR="0036361F">
        <w:rPr>
          <w:bCs/>
          <w:sz w:val="24"/>
          <w:szCs w:val="24"/>
        </w:rPr>
        <w:t xml:space="preserve">to </w:t>
      </w:r>
      <w:r w:rsidR="0098109B">
        <w:rPr>
          <w:bCs/>
          <w:sz w:val="24"/>
          <w:szCs w:val="24"/>
        </w:rPr>
        <w:t>2</w:t>
      </w:r>
      <w:r w:rsidR="00AA3F3A">
        <w:rPr>
          <w:rFonts w:cstheme="minorHAnsi"/>
          <w:bCs/>
          <w:sz w:val="24"/>
          <w:szCs w:val="24"/>
        </w:rPr>
        <w:t>·</w:t>
      </w:r>
      <w:r w:rsidR="0098109B">
        <w:rPr>
          <w:bCs/>
          <w:sz w:val="24"/>
          <w:szCs w:val="24"/>
        </w:rPr>
        <w:t>0</w:t>
      </w:r>
      <w:r w:rsidR="0036361F">
        <w:rPr>
          <w:bCs/>
          <w:sz w:val="24"/>
          <w:szCs w:val="24"/>
        </w:rPr>
        <w:t xml:space="preserve">; </w:t>
      </w:r>
      <w:r w:rsidR="00F95794" w:rsidRPr="00F95794">
        <w:rPr>
          <w:bCs/>
          <w:sz w:val="24"/>
          <w:szCs w:val="24"/>
        </w:rPr>
        <w:t>p&lt;0</w:t>
      </w:r>
      <w:r w:rsidR="00AA3F3A">
        <w:rPr>
          <w:rFonts w:cstheme="minorHAnsi"/>
          <w:bCs/>
          <w:sz w:val="24"/>
          <w:szCs w:val="24"/>
        </w:rPr>
        <w:t>·</w:t>
      </w:r>
      <w:r w:rsidR="00F95794" w:rsidRPr="00F95794">
        <w:rPr>
          <w:bCs/>
          <w:sz w:val="24"/>
          <w:szCs w:val="24"/>
        </w:rPr>
        <w:t>0001</w:t>
      </w:r>
      <w:r w:rsidR="0036361F" w:rsidRPr="009F2AEA">
        <w:rPr>
          <w:bCs/>
          <w:sz w:val="24"/>
          <w:szCs w:val="24"/>
        </w:rPr>
        <w:t>)</w:t>
      </w:r>
      <w:r w:rsidR="000C5490">
        <w:rPr>
          <w:bCs/>
          <w:sz w:val="24"/>
          <w:szCs w:val="24"/>
        </w:rPr>
        <w:t xml:space="preserve">, table 2. </w:t>
      </w:r>
      <w:r w:rsidR="003A4621">
        <w:rPr>
          <w:bCs/>
          <w:sz w:val="24"/>
          <w:szCs w:val="24"/>
        </w:rPr>
        <w:t>There was more antibiotic use,</w:t>
      </w:r>
      <w:r w:rsidR="004E4A9B">
        <w:rPr>
          <w:bCs/>
          <w:sz w:val="24"/>
          <w:szCs w:val="24"/>
        </w:rPr>
        <w:t xml:space="preserve"> a longer length of </w:t>
      </w:r>
      <w:r w:rsidR="004E4A9B" w:rsidRPr="00811D9A">
        <w:rPr>
          <w:bCs/>
          <w:color w:val="000000" w:themeColor="text1"/>
          <w:sz w:val="24"/>
          <w:szCs w:val="24"/>
        </w:rPr>
        <w:t xml:space="preserve">stay, </w:t>
      </w:r>
      <w:r w:rsidR="003A4621" w:rsidRPr="00811D9A">
        <w:rPr>
          <w:bCs/>
          <w:color w:val="000000" w:themeColor="text1"/>
          <w:sz w:val="24"/>
          <w:szCs w:val="24"/>
        </w:rPr>
        <w:t>a</w:t>
      </w:r>
      <w:r w:rsidR="00747637" w:rsidRPr="00811D9A">
        <w:rPr>
          <w:bCs/>
          <w:color w:val="000000" w:themeColor="text1"/>
          <w:sz w:val="24"/>
          <w:szCs w:val="24"/>
        </w:rPr>
        <w:t>nd a</w:t>
      </w:r>
      <w:r w:rsidR="003A4621" w:rsidRPr="00811D9A">
        <w:rPr>
          <w:bCs/>
          <w:color w:val="000000" w:themeColor="text1"/>
          <w:sz w:val="24"/>
          <w:szCs w:val="24"/>
        </w:rPr>
        <w:t xml:space="preserve"> higher ICU admission rate</w:t>
      </w:r>
      <w:r w:rsidR="004E4A9B" w:rsidRPr="00811D9A">
        <w:rPr>
          <w:bCs/>
          <w:color w:val="000000" w:themeColor="text1"/>
          <w:sz w:val="24"/>
          <w:szCs w:val="24"/>
        </w:rPr>
        <w:t xml:space="preserve"> </w:t>
      </w:r>
      <w:r w:rsidR="003A4621" w:rsidRPr="00811D9A">
        <w:rPr>
          <w:bCs/>
          <w:color w:val="000000" w:themeColor="text1"/>
          <w:sz w:val="24"/>
          <w:szCs w:val="24"/>
        </w:rPr>
        <w:t>in the POCT group compar</w:t>
      </w:r>
      <w:r w:rsidR="00393D3E" w:rsidRPr="00811D9A">
        <w:rPr>
          <w:bCs/>
          <w:color w:val="000000" w:themeColor="text1"/>
          <w:sz w:val="24"/>
          <w:szCs w:val="24"/>
        </w:rPr>
        <w:t>ed to the control group, table 3</w:t>
      </w:r>
      <w:r w:rsidR="00D16FCD" w:rsidRPr="00811D9A">
        <w:rPr>
          <w:bCs/>
          <w:color w:val="000000" w:themeColor="text1"/>
          <w:sz w:val="24"/>
          <w:szCs w:val="24"/>
        </w:rPr>
        <w:t xml:space="preserve">. </w:t>
      </w:r>
    </w:p>
    <w:p w:rsidR="00806E74" w:rsidRDefault="00806E74" w:rsidP="00073047">
      <w:pPr>
        <w:spacing w:after="0" w:line="480" w:lineRule="auto"/>
        <w:jc w:val="both"/>
        <w:rPr>
          <w:bCs/>
          <w:sz w:val="24"/>
          <w:szCs w:val="24"/>
        </w:rPr>
      </w:pPr>
    </w:p>
    <w:p w:rsidR="00806E74" w:rsidRPr="00FC0645" w:rsidRDefault="00FC0645" w:rsidP="00073047">
      <w:pPr>
        <w:spacing w:after="0" w:line="480" w:lineRule="auto"/>
        <w:jc w:val="both"/>
        <w:rPr>
          <w:b/>
          <w:bCs/>
          <w:i/>
          <w:sz w:val="24"/>
          <w:szCs w:val="24"/>
        </w:rPr>
      </w:pPr>
      <w:r w:rsidRPr="00FC0645">
        <w:rPr>
          <w:b/>
          <w:bCs/>
          <w:i/>
          <w:sz w:val="24"/>
          <w:szCs w:val="24"/>
        </w:rPr>
        <w:t xml:space="preserve">Diagnostic accuracy </w:t>
      </w:r>
    </w:p>
    <w:p w:rsidR="00096D2F" w:rsidRDefault="00152AF6" w:rsidP="00073047">
      <w:pPr>
        <w:spacing w:after="0" w:line="480" w:lineRule="auto"/>
        <w:jc w:val="both"/>
        <w:rPr>
          <w:bCs/>
          <w:sz w:val="24"/>
          <w:szCs w:val="24"/>
        </w:rPr>
      </w:pPr>
      <w:r>
        <w:rPr>
          <w:bCs/>
          <w:sz w:val="24"/>
          <w:szCs w:val="24"/>
        </w:rPr>
        <w:t>In the POCT group 24</w:t>
      </w:r>
      <w:r w:rsidR="00097163">
        <w:rPr>
          <w:bCs/>
          <w:sz w:val="24"/>
          <w:szCs w:val="24"/>
        </w:rPr>
        <w:t xml:space="preserve"> patients did not hav</w:t>
      </w:r>
      <w:r w:rsidR="00D11B10">
        <w:rPr>
          <w:bCs/>
          <w:sz w:val="24"/>
          <w:szCs w:val="24"/>
        </w:rPr>
        <w:t>e laboratory PCR performed and 6</w:t>
      </w:r>
      <w:r w:rsidR="00097163">
        <w:rPr>
          <w:bCs/>
          <w:sz w:val="24"/>
          <w:szCs w:val="24"/>
        </w:rPr>
        <w:t xml:space="preserve"> samples were unavailable for discrepancy analysis</w:t>
      </w:r>
      <w:r w:rsidR="00393D3E">
        <w:rPr>
          <w:bCs/>
          <w:sz w:val="24"/>
          <w:szCs w:val="24"/>
        </w:rPr>
        <w:t xml:space="preserve">, </w:t>
      </w:r>
      <w:r w:rsidR="0016519A">
        <w:rPr>
          <w:bCs/>
          <w:sz w:val="24"/>
          <w:szCs w:val="24"/>
        </w:rPr>
        <w:t xml:space="preserve">so </w:t>
      </w:r>
      <w:r w:rsidR="00D11B10">
        <w:rPr>
          <w:bCs/>
          <w:sz w:val="24"/>
          <w:szCs w:val="24"/>
        </w:rPr>
        <w:t>a total of 469</w:t>
      </w:r>
      <w:r w:rsidR="00097163">
        <w:rPr>
          <w:bCs/>
          <w:sz w:val="24"/>
          <w:szCs w:val="24"/>
        </w:rPr>
        <w:t xml:space="preserve"> were</w:t>
      </w:r>
      <w:r w:rsidR="0016519A">
        <w:rPr>
          <w:bCs/>
          <w:sz w:val="24"/>
          <w:szCs w:val="24"/>
        </w:rPr>
        <w:t xml:space="preserve"> evaluated</w:t>
      </w:r>
      <w:r w:rsidR="00097163">
        <w:rPr>
          <w:bCs/>
          <w:sz w:val="24"/>
          <w:szCs w:val="24"/>
        </w:rPr>
        <w:t xml:space="preserve"> for diagnostic accuracy</w:t>
      </w:r>
      <w:r w:rsidR="008042DE">
        <w:rPr>
          <w:bCs/>
          <w:sz w:val="24"/>
          <w:szCs w:val="24"/>
        </w:rPr>
        <w:t xml:space="preserve">. </w:t>
      </w:r>
      <w:r w:rsidR="001C64A9">
        <w:rPr>
          <w:bCs/>
          <w:sz w:val="24"/>
          <w:szCs w:val="24"/>
        </w:rPr>
        <w:t>The s</w:t>
      </w:r>
      <w:r w:rsidR="001C64A9" w:rsidRPr="001C64A9">
        <w:rPr>
          <w:bCs/>
          <w:sz w:val="24"/>
          <w:szCs w:val="24"/>
        </w:rPr>
        <w:t xml:space="preserve">ensitivity of the QIAstat-Dx </w:t>
      </w:r>
      <w:r w:rsidR="00920752">
        <w:rPr>
          <w:bCs/>
          <w:sz w:val="24"/>
          <w:szCs w:val="24"/>
        </w:rPr>
        <w:t>Respiratory SARS-CoV-2 P</w:t>
      </w:r>
      <w:r w:rsidR="001C64A9" w:rsidRPr="001C64A9">
        <w:rPr>
          <w:bCs/>
          <w:sz w:val="24"/>
          <w:szCs w:val="24"/>
        </w:rPr>
        <w:t xml:space="preserve">anel </w:t>
      </w:r>
      <w:r w:rsidR="001C64A9">
        <w:rPr>
          <w:bCs/>
          <w:sz w:val="24"/>
          <w:szCs w:val="24"/>
        </w:rPr>
        <w:t xml:space="preserve">for detection of </w:t>
      </w:r>
      <w:r w:rsidR="001C64A9" w:rsidRPr="002345E6">
        <w:rPr>
          <w:bCs/>
          <w:sz w:val="24"/>
          <w:szCs w:val="24"/>
        </w:rPr>
        <w:t xml:space="preserve">SARS-CoV-2 was </w:t>
      </w:r>
      <w:r w:rsidR="002345E6" w:rsidRPr="002345E6">
        <w:rPr>
          <w:bCs/>
          <w:sz w:val="24"/>
          <w:szCs w:val="24"/>
        </w:rPr>
        <w:t>176/177</w:t>
      </w:r>
      <w:r w:rsidR="0098109B" w:rsidRPr="002345E6">
        <w:rPr>
          <w:bCs/>
          <w:sz w:val="24"/>
          <w:szCs w:val="24"/>
        </w:rPr>
        <w:t xml:space="preserve"> (99</w:t>
      </w:r>
      <w:r w:rsidR="00AA3F3A">
        <w:rPr>
          <w:rFonts w:cstheme="minorHAnsi"/>
          <w:bCs/>
          <w:sz w:val="24"/>
          <w:szCs w:val="24"/>
        </w:rPr>
        <w:t>·</w:t>
      </w:r>
      <w:r w:rsidR="0098109B" w:rsidRPr="002345E6">
        <w:rPr>
          <w:bCs/>
          <w:sz w:val="24"/>
          <w:szCs w:val="24"/>
        </w:rPr>
        <w:t xml:space="preserve">4%, </w:t>
      </w:r>
      <w:r w:rsidR="001C64A9" w:rsidRPr="002345E6">
        <w:rPr>
          <w:bCs/>
          <w:sz w:val="24"/>
          <w:szCs w:val="24"/>
        </w:rPr>
        <w:t>95%CI 96</w:t>
      </w:r>
      <w:r w:rsidR="00AA3F3A">
        <w:rPr>
          <w:rFonts w:cstheme="minorHAnsi"/>
          <w:bCs/>
          <w:sz w:val="24"/>
          <w:szCs w:val="24"/>
        </w:rPr>
        <w:t>·</w:t>
      </w:r>
      <w:r w:rsidR="001C64A9" w:rsidRPr="002345E6">
        <w:rPr>
          <w:bCs/>
          <w:sz w:val="24"/>
          <w:szCs w:val="24"/>
        </w:rPr>
        <w:t xml:space="preserve">9 to 100) and specificity was </w:t>
      </w:r>
      <w:r w:rsidR="002345E6" w:rsidRPr="002345E6">
        <w:rPr>
          <w:bCs/>
          <w:sz w:val="24"/>
          <w:szCs w:val="24"/>
        </w:rPr>
        <w:t>288/292</w:t>
      </w:r>
      <w:r w:rsidR="0098109B" w:rsidRPr="002345E6">
        <w:rPr>
          <w:bCs/>
          <w:sz w:val="24"/>
          <w:szCs w:val="24"/>
        </w:rPr>
        <w:t xml:space="preserve"> </w:t>
      </w:r>
      <w:r w:rsidR="002345E6" w:rsidRPr="002345E6">
        <w:rPr>
          <w:bCs/>
          <w:sz w:val="24"/>
          <w:szCs w:val="24"/>
        </w:rPr>
        <w:t>(98</w:t>
      </w:r>
      <w:r w:rsidR="00AA3F3A">
        <w:rPr>
          <w:rFonts w:cstheme="minorHAnsi"/>
          <w:bCs/>
          <w:sz w:val="24"/>
          <w:szCs w:val="24"/>
        </w:rPr>
        <w:t>·</w:t>
      </w:r>
      <w:r w:rsidR="002345E6" w:rsidRPr="002345E6">
        <w:rPr>
          <w:bCs/>
          <w:sz w:val="24"/>
          <w:szCs w:val="24"/>
        </w:rPr>
        <w:t>6</w:t>
      </w:r>
      <w:r w:rsidR="0098109B" w:rsidRPr="002345E6">
        <w:rPr>
          <w:bCs/>
          <w:sz w:val="24"/>
          <w:szCs w:val="24"/>
        </w:rPr>
        <w:t xml:space="preserve">%, </w:t>
      </w:r>
      <w:r w:rsidR="002345E6" w:rsidRPr="002345E6">
        <w:rPr>
          <w:bCs/>
          <w:sz w:val="24"/>
          <w:szCs w:val="24"/>
        </w:rPr>
        <w:t>95% CI 96</w:t>
      </w:r>
      <w:r w:rsidR="00AA3F3A">
        <w:rPr>
          <w:rFonts w:cstheme="minorHAnsi"/>
          <w:bCs/>
          <w:sz w:val="24"/>
          <w:szCs w:val="24"/>
        </w:rPr>
        <w:t>·</w:t>
      </w:r>
      <w:r w:rsidR="002345E6" w:rsidRPr="002345E6">
        <w:rPr>
          <w:bCs/>
          <w:sz w:val="24"/>
          <w:szCs w:val="24"/>
        </w:rPr>
        <w:t>5 to 99</w:t>
      </w:r>
      <w:r w:rsidR="00AA3F3A">
        <w:rPr>
          <w:rFonts w:cstheme="minorHAnsi"/>
          <w:bCs/>
          <w:sz w:val="24"/>
          <w:szCs w:val="24"/>
        </w:rPr>
        <w:t>·</w:t>
      </w:r>
      <w:r w:rsidR="002345E6" w:rsidRPr="002345E6">
        <w:rPr>
          <w:bCs/>
          <w:sz w:val="24"/>
          <w:szCs w:val="24"/>
        </w:rPr>
        <w:t>6</w:t>
      </w:r>
      <w:r w:rsidR="001C64A9" w:rsidRPr="002345E6">
        <w:rPr>
          <w:bCs/>
          <w:sz w:val="24"/>
          <w:szCs w:val="24"/>
        </w:rPr>
        <w:t>)</w:t>
      </w:r>
      <w:r w:rsidR="001C64A9" w:rsidRPr="001C64A9">
        <w:t xml:space="preserve"> </w:t>
      </w:r>
      <w:r w:rsidR="001C64A9">
        <w:rPr>
          <w:bCs/>
          <w:sz w:val="24"/>
          <w:szCs w:val="24"/>
        </w:rPr>
        <w:t>c</w:t>
      </w:r>
      <w:r w:rsidR="001C64A9" w:rsidRPr="001C64A9">
        <w:rPr>
          <w:bCs/>
          <w:sz w:val="24"/>
          <w:szCs w:val="24"/>
        </w:rPr>
        <w:t xml:space="preserve">ompared to the composite reference standard </w:t>
      </w:r>
      <w:r w:rsidR="0016519A">
        <w:rPr>
          <w:bCs/>
          <w:sz w:val="24"/>
          <w:szCs w:val="24"/>
        </w:rPr>
        <w:t>of detection by any PCR assay and confirmed by a second</w:t>
      </w:r>
      <w:r w:rsidR="0098109B">
        <w:rPr>
          <w:bCs/>
          <w:sz w:val="24"/>
          <w:szCs w:val="24"/>
        </w:rPr>
        <w:t xml:space="preserve"> assay</w:t>
      </w:r>
      <w:r w:rsidR="001C64A9" w:rsidRPr="001C64A9">
        <w:rPr>
          <w:bCs/>
          <w:sz w:val="24"/>
          <w:szCs w:val="24"/>
        </w:rPr>
        <w:t xml:space="preserve">. The </w:t>
      </w:r>
      <w:r w:rsidR="001C64A9">
        <w:rPr>
          <w:bCs/>
          <w:sz w:val="24"/>
          <w:szCs w:val="24"/>
        </w:rPr>
        <w:t xml:space="preserve">overall </w:t>
      </w:r>
      <w:r w:rsidR="001C64A9" w:rsidRPr="001C64A9">
        <w:rPr>
          <w:bCs/>
          <w:sz w:val="24"/>
          <w:szCs w:val="24"/>
        </w:rPr>
        <w:t xml:space="preserve">sensitivity of the laboratory </w:t>
      </w:r>
      <w:r w:rsidR="009F2AEA">
        <w:rPr>
          <w:bCs/>
          <w:sz w:val="24"/>
          <w:szCs w:val="24"/>
        </w:rPr>
        <w:t xml:space="preserve">PCR </w:t>
      </w:r>
      <w:r w:rsidR="005C6E1E">
        <w:rPr>
          <w:bCs/>
          <w:sz w:val="24"/>
          <w:szCs w:val="24"/>
        </w:rPr>
        <w:t xml:space="preserve">during </w:t>
      </w:r>
      <w:r w:rsidR="0016519A">
        <w:rPr>
          <w:bCs/>
          <w:sz w:val="24"/>
          <w:szCs w:val="24"/>
        </w:rPr>
        <w:t>the trial</w:t>
      </w:r>
      <w:r w:rsidR="001C64A9" w:rsidRPr="001C64A9">
        <w:rPr>
          <w:bCs/>
          <w:sz w:val="24"/>
          <w:szCs w:val="24"/>
        </w:rPr>
        <w:t xml:space="preserve"> was </w:t>
      </w:r>
      <w:r w:rsidR="0099740E">
        <w:rPr>
          <w:bCs/>
          <w:sz w:val="24"/>
          <w:szCs w:val="24"/>
        </w:rPr>
        <w:t>152</w:t>
      </w:r>
      <w:r w:rsidR="002345E6">
        <w:rPr>
          <w:bCs/>
          <w:sz w:val="24"/>
          <w:szCs w:val="24"/>
        </w:rPr>
        <w:t>/</w:t>
      </w:r>
      <w:r w:rsidR="002345E6" w:rsidRPr="004A41BA">
        <w:rPr>
          <w:bCs/>
          <w:sz w:val="24"/>
          <w:szCs w:val="24"/>
        </w:rPr>
        <w:t>177</w:t>
      </w:r>
      <w:r w:rsidR="0098109B" w:rsidRPr="004A41BA">
        <w:rPr>
          <w:bCs/>
          <w:sz w:val="24"/>
          <w:szCs w:val="24"/>
        </w:rPr>
        <w:t xml:space="preserve"> </w:t>
      </w:r>
      <w:r w:rsidR="0099740E">
        <w:rPr>
          <w:bCs/>
          <w:sz w:val="24"/>
          <w:szCs w:val="24"/>
        </w:rPr>
        <w:t>(85</w:t>
      </w:r>
      <w:r w:rsidR="00AA3F3A">
        <w:rPr>
          <w:rFonts w:cstheme="minorHAnsi"/>
          <w:bCs/>
          <w:sz w:val="24"/>
          <w:szCs w:val="24"/>
        </w:rPr>
        <w:t>·</w:t>
      </w:r>
      <w:r w:rsidR="0099740E">
        <w:rPr>
          <w:bCs/>
          <w:sz w:val="24"/>
          <w:szCs w:val="24"/>
        </w:rPr>
        <w:t>9</w:t>
      </w:r>
      <w:r w:rsidR="0098109B" w:rsidRPr="004A41BA">
        <w:rPr>
          <w:bCs/>
          <w:sz w:val="24"/>
          <w:szCs w:val="24"/>
        </w:rPr>
        <w:t xml:space="preserve">%, </w:t>
      </w:r>
      <w:r w:rsidR="0099740E">
        <w:rPr>
          <w:bCs/>
          <w:sz w:val="24"/>
          <w:szCs w:val="24"/>
        </w:rPr>
        <w:t>95%CI 79</w:t>
      </w:r>
      <w:r w:rsidR="00AA3F3A">
        <w:rPr>
          <w:rFonts w:cstheme="minorHAnsi"/>
          <w:bCs/>
          <w:sz w:val="24"/>
          <w:szCs w:val="24"/>
        </w:rPr>
        <w:t>·</w:t>
      </w:r>
      <w:r w:rsidR="0099740E">
        <w:rPr>
          <w:bCs/>
          <w:sz w:val="24"/>
          <w:szCs w:val="24"/>
        </w:rPr>
        <w:t>9 to 90</w:t>
      </w:r>
      <w:r w:rsidR="00AA3F3A">
        <w:rPr>
          <w:rFonts w:cstheme="minorHAnsi"/>
          <w:bCs/>
          <w:sz w:val="24"/>
          <w:szCs w:val="24"/>
        </w:rPr>
        <w:t>·</w:t>
      </w:r>
      <w:r w:rsidR="0099740E">
        <w:rPr>
          <w:bCs/>
          <w:sz w:val="24"/>
          <w:szCs w:val="24"/>
        </w:rPr>
        <w:t>7</w:t>
      </w:r>
      <w:r w:rsidR="001C64A9" w:rsidRPr="004A41BA">
        <w:rPr>
          <w:bCs/>
          <w:sz w:val="24"/>
          <w:szCs w:val="24"/>
        </w:rPr>
        <w:t>) and</w:t>
      </w:r>
      <w:r w:rsidR="001C64A9" w:rsidRPr="001C64A9">
        <w:rPr>
          <w:bCs/>
          <w:sz w:val="24"/>
          <w:szCs w:val="24"/>
        </w:rPr>
        <w:t xml:space="preserve"> specificity was </w:t>
      </w:r>
      <w:r w:rsidR="0098109B">
        <w:rPr>
          <w:bCs/>
          <w:sz w:val="24"/>
          <w:szCs w:val="24"/>
        </w:rPr>
        <w:t>289/292 (98</w:t>
      </w:r>
      <w:r w:rsidR="00AA3F3A">
        <w:rPr>
          <w:rFonts w:cstheme="minorHAnsi"/>
          <w:bCs/>
          <w:sz w:val="24"/>
          <w:szCs w:val="24"/>
        </w:rPr>
        <w:t>·</w:t>
      </w:r>
      <w:r w:rsidR="0098109B">
        <w:rPr>
          <w:bCs/>
          <w:sz w:val="24"/>
          <w:szCs w:val="24"/>
        </w:rPr>
        <w:t xml:space="preserve">9%, </w:t>
      </w:r>
      <w:r w:rsidR="001C64A9" w:rsidRPr="001C64A9">
        <w:rPr>
          <w:bCs/>
          <w:sz w:val="24"/>
          <w:szCs w:val="24"/>
        </w:rPr>
        <w:t>95%CI 97</w:t>
      </w:r>
      <w:r w:rsidR="00AA3F3A">
        <w:rPr>
          <w:rFonts w:cstheme="minorHAnsi"/>
          <w:bCs/>
          <w:sz w:val="24"/>
          <w:szCs w:val="24"/>
        </w:rPr>
        <w:t>·</w:t>
      </w:r>
      <w:r w:rsidR="001C64A9" w:rsidRPr="001C64A9">
        <w:rPr>
          <w:bCs/>
          <w:sz w:val="24"/>
          <w:szCs w:val="24"/>
        </w:rPr>
        <w:t>0 to 99</w:t>
      </w:r>
      <w:r w:rsidR="00AA3F3A">
        <w:rPr>
          <w:rFonts w:cstheme="minorHAnsi"/>
          <w:bCs/>
          <w:sz w:val="24"/>
          <w:szCs w:val="24"/>
        </w:rPr>
        <w:t>·</w:t>
      </w:r>
      <w:r w:rsidR="001C64A9" w:rsidRPr="001C64A9">
        <w:rPr>
          <w:bCs/>
          <w:sz w:val="24"/>
          <w:szCs w:val="24"/>
        </w:rPr>
        <w:t xml:space="preserve">8). </w:t>
      </w:r>
      <w:r w:rsidR="0016519A">
        <w:rPr>
          <w:bCs/>
          <w:sz w:val="24"/>
          <w:szCs w:val="24"/>
        </w:rPr>
        <w:t>During the first 7</w:t>
      </w:r>
      <w:r w:rsidR="00096D2F">
        <w:rPr>
          <w:bCs/>
          <w:sz w:val="24"/>
          <w:szCs w:val="24"/>
        </w:rPr>
        <w:t xml:space="preserve"> days of the </w:t>
      </w:r>
      <w:r w:rsidR="0098109B">
        <w:rPr>
          <w:bCs/>
          <w:sz w:val="24"/>
          <w:szCs w:val="24"/>
        </w:rPr>
        <w:t xml:space="preserve">study the sensitivity of the </w:t>
      </w:r>
      <w:r w:rsidR="009F2AEA">
        <w:rPr>
          <w:bCs/>
          <w:sz w:val="24"/>
          <w:szCs w:val="24"/>
        </w:rPr>
        <w:t>laboratory PHE RdRp</w:t>
      </w:r>
      <w:r w:rsidR="00096D2F">
        <w:rPr>
          <w:bCs/>
          <w:sz w:val="24"/>
          <w:szCs w:val="24"/>
        </w:rPr>
        <w:t xml:space="preserve"> assay was found to be</w:t>
      </w:r>
      <w:r w:rsidR="005C6E1E">
        <w:rPr>
          <w:bCs/>
          <w:sz w:val="24"/>
          <w:szCs w:val="24"/>
        </w:rPr>
        <w:t xml:space="preserve"> </w:t>
      </w:r>
      <w:r w:rsidR="00BB61F4">
        <w:rPr>
          <w:bCs/>
          <w:sz w:val="24"/>
          <w:szCs w:val="24"/>
        </w:rPr>
        <w:t xml:space="preserve">very </w:t>
      </w:r>
      <w:r w:rsidR="00096D2F">
        <w:rPr>
          <w:bCs/>
          <w:sz w:val="24"/>
          <w:szCs w:val="24"/>
        </w:rPr>
        <w:t>poor compared to QIAs</w:t>
      </w:r>
      <w:r w:rsidR="00BD4F24">
        <w:rPr>
          <w:bCs/>
          <w:sz w:val="24"/>
          <w:szCs w:val="24"/>
        </w:rPr>
        <w:t xml:space="preserve">tat-Dx; </w:t>
      </w:r>
      <w:r w:rsidR="0016519A">
        <w:rPr>
          <w:bCs/>
          <w:sz w:val="24"/>
          <w:szCs w:val="24"/>
        </w:rPr>
        <w:t xml:space="preserve">15/24 </w:t>
      </w:r>
      <w:r w:rsidR="0098109B">
        <w:rPr>
          <w:bCs/>
          <w:sz w:val="24"/>
          <w:szCs w:val="24"/>
        </w:rPr>
        <w:t>(</w:t>
      </w:r>
      <w:r w:rsidR="0016519A">
        <w:rPr>
          <w:bCs/>
          <w:sz w:val="24"/>
          <w:szCs w:val="24"/>
        </w:rPr>
        <w:t>62</w:t>
      </w:r>
      <w:r w:rsidR="00AA3F3A">
        <w:rPr>
          <w:rFonts w:cstheme="minorHAnsi"/>
          <w:bCs/>
          <w:sz w:val="24"/>
          <w:szCs w:val="24"/>
        </w:rPr>
        <w:t>·</w:t>
      </w:r>
      <w:r w:rsidR="0016519A">
        <w:rPr>
          <w:bCs/>
          <w:sz w:val="24"/>
          <w:szCs w:val="24"/>
        </w:rPr>
        <w:t>5</w:t>
      </w:r>
      <w:r w:rsidR="0098109B">
        <w:rPr>
          <w:bCs/>
          <w:sz w:val="24"/>
          <w:szCs w:val="24"/>
        </w:rPr>
        <w:t xml:space="preserve">%, </w:t>
      </w:r>
      <w:r w:rsidR="00096D2F">
        <w:rPr>
          <w:bCs/>
          <w:sz w:val="24"/>
          <w:szCs w:val="24"/>
        </w:rPr>
        <w:t xml:space="preserve">95% CI </w:t>
      </w:r>
      <w:r w:rsidR="0016519A">
        <w:rPr>
          <w:bCs/>
          <w:sz w:val="24"/>
          <w:szCs w:val="24"/>
        </w:rPr>
        <w:t>40</w:t>
      </w:r>
      <w:r w:rsidR="00AA3F3A">
        <w:rPr>
          <w:rFonts w:cstheme="minorHAnsi"/>
          <w:bCs/>
          <w:sz w:val="24"/>
          <w:szCs w:val="24"/>
        </w:rPr>
        <w:t>·</w:t>
      </w:r>
      <w:r w:rsidR="0016519A">
        <w:rPr>
          <w:bCs/>
          <w:sz w:val="24"/>
          <w:szCs w:val="24"/>
        </w:rPr>
        <w:t xml:space="preserve">6 </w:t>
      </w:r>
      <w:r w:rsidR="00096D2F">
        <w:rPr>
          <w:bCs/>
          <w:sz w:val="24"/>
          <w:szCs w:val="24"/>
        </w:rPr>
        <w:t>to</w:t>
      </w:r>
      <w:r w:rsidR="0016519A">
        <w:rPr>
          <w:bCs/>
          <w:sz w:val="24"/>
          <w:szCs w:val="24"/>
        </w:rPr>
        <w:t xml:space="preserve"> 81</w:t>
      </w:r>
      <w:r w:rsidR="00AA3F3A">
        <w:rPr>
          <w:rFonts w:cstheme="minorHAnsi"/>
          <w:bCs/>
          <w:sz w:val="24"/>
          <w:szCs w:val="24"/>
        </w:rPr>
        <w:t>·</w:t>
      </w:r>
      <w:r w:rsidR="0016519A">
        <w:rPr>
          <w:bCs/>
          <w:sz w:val="24"/>
          <w:szCs w:val="24"/>
        </w:rPr>
        <w:t>2</w:t>
      </w:r>
      <w:r w:rsidR="005A5C15">
        <w:rPr>
          <w:bCs/>
          <w:sz w:val="24"/>
          <w:szCs w:val="24"/>
        </w:rPr>
        <w:t>). This assay</w:t>
      </w:r>
      <w:r w:rsidR="00096D2F">
        <w:rPr>
          <w:bCs/>
          <w:sz w:val="24"/>
          <w:szCs w:val="24"/>
        </w:rPr>
        <w:t xml:space="preserve"> was then optimised a</w:t>
      </w:r>
      <w:r w:rsidR="005C6E1E">
        <w:rPr>
          <w:bCs/>
          <w:sz w:val="24"/>
          <w:szCs w:val="24"/>
        </w:rPr>
        <w:t>nd a second gene target added (</w:t>
      </w:r>
      <w:r w:rsidR="00096D2F">
        <w:rPr>
          <w:bCs/>
          <w:sz w:val="24"/>
          <w:szCs w:val="24"/>
        </w:rPr>
        <w:t xml:space="preserve">E gene, with detection of either </w:t>
      </w:r>
      <w:r w:rsidR="0098109B">
        <w:rPr>
          <w:bCs/>
          <w:sz w:val="24"/>
          <w:szCs w:val="24"/>
        </w:rPr>
        <w:t xml:space="preserve">gene target </w:t>
      </w:r>
      <w:r w:rsidR="00096D2F">
        <w:rPr>
          <w:bCs/>
          <w:sz w:val="24"/>
          <w:szCs w:val="24"/>
        </w:rPr>
        <w:t xml:space="preserve">being </w:t>
      </w:r>
      <w:r w:rsidR="00BD4F24">
        <w:rPr>
          <w:bCs/>
          <w:sz w:val="24"/>
          <w:szCs w:val="24"/>
        </w:rPr>
        <w:t xml:space="preserve">considered </w:t>
      </w:r>
      <w:r w:rsidR="00096D2F">
        <w:rPr>
          <w:bCs/>
          <w:sz w:val="24"/>
          <w:szCs w:val="24"/>
        </w:rPr>
        <w:t xml:space="preserve">positive) subsequently </w:t>
      </w:r>
      <w:r w:rsidR="00BB40FC">
        <w:rPr>
          <w:bCs/>
          <w:sz w:val="24"/>
          <w:szCs w:val="24"/>
        </w:rPr>
        <w:t>improving</w:t>
      </w:r>
      <w:r w:rsidR="008042DE">
        <w:rPr>
          <w:bCs/>
          <w:sz w:val="24"/>
          <w:szCs w:val="24"/>
        </w:rPr>
        <w:t xml:space="preserve"> </w:t>
      </w:r>
      <w:r w:rsidR="00BB40FC" w:rsidRPr="00BB40FC">
        <w:rPr>
          <w:bCs/>
          <w:sz w:val="24"/>
          <w:szCs w:val="24"/>
        </w:rPr>
        <w:t xml:space="preserve">the sensitivity </w:t>
      </w:r>
      <w:r w:rsidR="008042DE">
        <w:rPr>
          <w:bCs/>
          <w:sz w:val="24"/>
          <w:szCs w:val="24"/>
        </w:rPr>
        <w:t xml:space="preserve">to </w:t>
      </w:r>
      <w:r w:rsidR="0099740E">
        <w:rPr>
          <w:bCs/>
          <w:sz w:val="24"/>
          <w:szCs w:val="24"/>
        </w:rPr>
        <w:t>137</w:t>
      </w:r>
      <w:r w:rsidR="003E38CF">
        <w:rPr>
          <w:bCs/>
          <w:sz w:val="24"/>
          <w:szCs w:val="24"/>
        </w:rPr>
        <w:t>/153</w:t>
      </w:r>
      <w:r w:rsidR="0016519A">
        <w:rPr>
          <w:bCs/>
          <w:sz w:val="24"/>
          <w:szCs w:val="24"/>
        </w:rPr>
        <w:t xml:space="preserve"> </w:t>
      </w:r>
      <w:r w:rsidR="003E38CF">
        <w:rPr>
          <w:bCs/>
          <w:sz w:val="24"/>
          <w:szCs w:val="24"/>
        </w:rPr>
        <w:t>(</w:t>
      </w:r>
      <w:r w:rsidR="0099740E">
        <w:rPr>
          <w:bCs/>
          <w:sz w:val="24"/>
          <w:szCs w:val="24"/>
        </w:rPr>
        <w:t>89</w:t>
      </w:r>
      <w:r w:rsidR="00AA3F3A">
        <w:rPr>
          <w:rFonts w:cstheme="minorHAnsi"/>
          <w:bCs/>
          <w:sz w:val="24"/>
          <w:szCs w:val="24"/>
        </w:rPr>
        <w:t>·</w:t>
      </w:r>
      <w:r w:rsidR="0099740E">
        <w:rPr>
          <w:bCs/>
          <w:sz w:val="24"/>
          <w:szCs w:val="24"/>
        </w:rPr>
        <w:t>5%</w:t>
      </w:r>
      <w:r w:rsidR="0098109B">
        <w:rPr>
          <w:bCs/>
          <w:sz w:val="24"/>
          <w:szCs w:val="24"/>
        </w:rPr>
        <w:t xml:space="preserve">, </w:t>
      </w:r>
      <w:r w:rsidR="008042DE">
        <w:rPr>
          <w:bCs/>
          <w:sz w:val="24"/>
          <w:szCs w:val="24"/>
        </w:rPr>
        <w:t>95%CI</w:t>
      </w:r>
      <w:r w:rsidR="003E38CF">
        <w:rPr>
          <w:bCs/>
          <w:sz w:val="24"/>
          <w:szCs w:val="24"/>
        </w:rPr>
        <w:t xml:space="preserve"> </w:t>
      </w:r>
      <w:r w:rsidR="0099740E">
        <w:rPr>
          <w:bCs/>
          <w:sz w:val="24"/>
          <w:szCs w:val="24"/>
        </w:rPr>
        <w:t>83</w:t>
      </w:r>
      <w:r w:rsidR="00AA3F3A">
        <w:rPr>
          <w:rFonts w:cstheme="minorHAnsi"/>
          <w:bCs/>
          <w:sz w:val="24"/>
          <w:szCs w:val="24"/>
        </w:rPr>
        <w:t>·</w:t>
      </w:r>
      <w:r w:rsidR="0099740E">
        <w:rPr>
          <w:bCs/>
          <w:sz w:val="24"/>
          <w:szCs w:val="24"/>
        </w:rPr>
        <w:t>6 to 93</w:t>
      </w:r>
      <w:r w:rsidR="00AA3F3A">
        <w:rPr>
          <w:rFonts w:cstheme="minorHAnsi"/>
          <w:bCs/>
          <w:sz w:val="24"/>
          <w:szCs w:val="24"/>
        </w:rPr>
        <w:t>·</w:t>
      </w:r>
      <w:r w:rsidR="0099740E">
        <w:rPr>
          <w:bCs/>
          <w:sz w:val="24"/>
          <w:szCs w:val="24"/>
        </w:rPr>
        <w:t>9</w:t>
      </w:r>
      <w:r w:rsidR="00096D2F">
        <w:rPr>
          <w:bCs/>
          <w:sz w:val="24"/>
          <w:szCs w:val="24"/>
        </w:rPr>
        <w:t xml:space="preserve">) </w:t>
      </w:r>
      <w:r w:rsidR="0098109B">
        <w:rPr>
          <w:bCs/>
          <w:sz w:val="24"/>
          <w:szCs w:val="24"/>
        </w:rPr>
        <w:t xml:space="preserve">measured </w:t>
      </w:r>
      <w:r w:rsidR="0016519A">
        <w:rPr>
          <w:bCs/>
          <w:sz w:val="24"/>
          <w:szCs w:val="24"/>
        </w:rPr>
        <w:t>over the remainder</w:t>
      </w:r>
      <w:r w:rsidR="00096D2F">
        <w:rPr>
          <w:bCs/>
          <w:sz w:val="24"/>
          <w:szCs w:val="24"/>
        </w:rPr>
        <w:t xml:space="preserve"> of the study. </w:t>
      </w:r>
      <w:r w:rsidR="001C64A9">
        <w:rPr>
          <w:bCs/>
          <w:sz w:val="24"/>
          <w:szCs w:val="24"/>
        </w:rPr>
        <w:t xml:space="preserve">Measures of </w:t>
      </w:r>
      <w:r w:rsidR="00096D2F">
        <w:rPr>
          <w:bCs/>
          <w:sz w:val="24"/>
          <w:szCs w:val="24"/>
        </w:rPr>
        <w:t>diagnostic</w:t>
      </w:r>
      <w:r w:rsidR="00367F06">
        <w:rPr>
          <w:bCs/>
          <w:sz w:val="24"/>
          <w:szCs w:val="24"/>
        </w:rPr>
        <w:t xml:space="preserve"> accuracy are gi</w:t>
      </w:r>
      <w:r w:rsidR="00BD4F24">
        <w:rPr>
          <w:bCs/>
          <w:sz w:val="24"/>
          <w:szCs w:val="24"/>
        </w:rPr>
        <w:t>ven in</w:t>
      </w:r>
      <w:r w:rsidR="00BD4F24" w:rsidRPr="00D05765">
        <w:rPr>
          <w:bCs/>
          <w:color w:val="FF0000"/>
          <w:sz w:val="24"/>
          <w:szCs w:val="24"/>
        </w:rPr>
        <w:t xml:space="preserve"> </w:t>
      </w:r>
      <w:r w:rsidR="00BD4F24" w:rsidRPr="00811D9A">
        <w:rPr>
          <w:bCs/>
          <w:color w:val="000000" w:themeColor="text1"/>
          <w:sz w:val="24"/>
          <w:szCs w:val="24"/>
        </w:rPr>
        <w:t>t</w:t>
      </w:r>
      <w:r w:rsidR="00393D3E" w:rsidRPr="00811D9A">
        <w:rPr>
          <w:bCs/>
          <w:color w:val="000000" w:themeColor="text1"/>
          <w:sz w:val="24"/>
          <w:szCs w:val="24"/>
        </w:rPr>
        <w:t>able 4</w:t>
      </w:r>
      <w:r w:rsidR="00096D2F" w:rsidRPr="00811D9A">
        <w:rPr>
          <w:bCs/>
          <w:color w:val="000000" w:themeColor="text1"/>
          <w:sz w:val="24"/>
          <w:szCs w:val="24"/>
        </w:rPr>
        <w:t>. Full detail</w:t>
      </w:r>
      <w:r w:rsidR="0030232B" w:rsidRPr="00811D9A">
        <w:rPr>
          <w:bCs/>
          <w:color w:val="000000" w:themeColor="text1"/>
          <w:sz w:val="24"/>
          <w:szCs w:val="24"/>
        </w:rPr>
        <w:t>s</w:t>
      </w:r>
      <w:r w:rsidR="00C13086" w:rsidRPr="00811D9A">
        <w:rPr>
          <w:bCs/>
          <w:color w:val="000000" w:themeColor="text1"/>
          <w:sz w:val="24"/>
          <w:szCs w:val="24"/>
        </w:rPr>
        <w:t xml:space="preserve"> of discrepancy </w:t>
      </w:r>
      <w:r w:rsidR="00C13086">
        <w:rPr>
          <w:bCs/>
          <w:sz w:val="24"/>
          <w:szCs w:val="24"/>
        </w:rPr>
        <w:t>analysis is</w:t>
      </w:r>
      <w:r w:rsidR="00096D2F">
        <w:rPr>
          <w:bCs/>
          <w:sz w:val="24"/>
          <w:szCs w:val="24"/>
        </w:rPr>
        <w:t xml:space="preserve"> provided </w:t>
      </w:r>
      <w:r w:rsidR="00367F06" w:rsidRPr="00EA4F28">
        <w:rPr>
          <w:bCs/>
          <w:sz w:val="24"/>
          <w:szCs w:val="24"/>
        </w:rPr>
        <w:t>in the appendix</w:t>
      </w:r>
      <w:r w:rsidR="00811D9A">
        <w:rPr>
          <w:bCs/>
          <w:sz w:val="24"/>
          <w:szCs w:val="24"/>
        </w:rPr>
        <w:t>, p4</w:t>
      </w:r>
      <w:r w:rsidR="00367F06" w:rsidRPr="00EA4F28">
        <w:rPr>
          <w:bCs/>
          <w:sz w:val="24"/>
          <w:szCs w:val="24"/>
        </w:rPr>
        <w:t>.</w:t>
      </w:r>
      <w:r w:rsidR="00367F06">
        <w:rPr>
          <w:bCs/>
          <w:sz w:val="24"/>
          <w:szCs w:val="24"/>
        </w:rPr>
        <w:t xml:space="preserve"> </w:t>
      </w:r>
      <w:r w:rsidR="008042DE">
        <w:rPr>
          <w:bCs/>
          <w:sz w:val="24"/>
          <w:szCs w:val="24"/>
        </w:rPr>
        <w:t>29</w:t>
      </w:r>
      <w:r w:rsidR="00464E4E">
        <w:rPr>
          <w:bCs/>
          <w:sz w:val="24"/>
          <w:szCs w:val="24"/>
        </w:rPr>
        <w:t xml:space="preserve"> of 499 (</w:t>
      </w:r>
      <w:r w:rsidR="005C6E1E">
        <w:rPr>
          <w:bCs/>
          <w:sz w:val="24"/>
          <w:szCs w:val="24"/>
        </w:rPr>
        <w:t>5</w:t>
      </w:r>
      <w:r w:rsidR="00AA3F3A">
        <w:rPr>
          <w:rFonts w:cstheme="minorHAnsi"/>
          <w:bCs/>
          <w:sz w:val="24"/>
          <w:szCs w:val="24"/>
        </w:rPr>
        <w:t>·</w:t>
      </w:r>
      <w:r w:rsidR="005C6E1E">
        <w:rPr>
          <w:bCs/>
          <w:sz w:val="24"/>
          <w:szCs w:val="24"/>
        </w:rPr>
        <w:t>8</w:t>
      </w:r>
      <w:r w:rsidR="00464E4E">
        <w:rPr>
          <w:bCs/>
          <w:sz w:val="24"/>
          <w:szCs w:val="24"/>
        </w:rPr>
        <w:t>%) patients i</w:t>
      </w:r>
      <w:r w:rsidR="00AE2E21">
        <w:rPr>
          <w:bCs/>
          <w:sz w:val="24"/>
          <w:szCs w:val="24"/>
        </w:rPr>
        <w:t>n the POCT group</w:t>
      </w:r>
      <w:r w:rsidR="001C64A9">
        <w:rPr>
          <w:bCs/>
          <w:sz w:val="24"/>
          <w:szCs w:val="24"/>
        </w:rPr>
        <w:t xml:space="preserve"> </w:t>
      </w:r>
      <w:r w:rsidR="008042DE">
        <w:rPr>
          <w:bCs/>
          <w:sz w:val="24"/>
          <w:szCs w:val="24"/>
        </w:rPr>
        <w:t xml:space="preserve">had </w:t>
      </w:r>
      <w:r w:rsidR="008042DE" w:rsidRPr="008042DE">
        <w:rPr>
          <w:bCs/>
          <w:sz w:val="24"/>
          <w:szCs w:val="24"/>
        </w:rPr>
        <w:t>other respiratory pat</w:t>
      </w:r>
      <w:r w:rsidR="008042DE">
        <w:rPr>
          <w:bCs/>
          <w:sz w:val="24"/>
          <w:szCs w:val="24"/>
        </w:rPr>
        <w:t xml:space="preserve">hogens </w:t>
      </w:r>
      <w:r w:rsidR="0016519A">
        <w:rPr>
          <w:bCs/>
          <w:sz w:val="24"/>
          <w:szCs w:val="24"/>
        </w:rPr>
        <w:t xml:space="preserve">detected by the panel </w:t>
      </w:r>
      <w:r w:rsidR="0003619C" w:rsidRPr="00EA4F28">
        <w:rPr>
          <w:bCs/>
          <w:sz w:val="24"/>
          <w:szCs w:val="24"/>
        </w:rPr>
        <w:lastRenderedPageBreak/>
        <w:t>(</w:t>
      </w:r>
      <w:r w:rsidR="008042DE" w:rsidRPr="00EA4F28">
        <w:rPr>
          <w:bCs/>
          <w:sz w:val="24"/>
          <w:szCs w:val="24"/>
        </w:rPr>
        <w:t>appendix</w:t>
      </w:r>
      <w:r w:rsidR="00811D9A">
        <w:rPr>
          <w:bCs/>
          <w:sz w:val="24"/>
          <w:szCs w:val="24"/>
        </w:rPr>
        <w:t>, p5</w:t>
      </w:r>
      <w:r w:rsidR="0003619C" w:rsidRPr="00EA4F28">
        <w:rPr>
          <w:bCs/>
          <w:sz w:val="24"/>
          <w:szCs w:val="24"/>
        </w:rPr>
        <w:t>)</w:t>
      </w:r>
      <w:r w:rsidR="008042DE" w:rsidRPr="00EA4F28">
        <w:rPr>
          <w:bCs/>
          <w:sz w:val="24"/>
          <w:szCs w:val="24"/>
        </w:rPr>
        <w:t>.</w:t>
      </w:r>
      <w:r w:rsidR="008042DE">
        <w:rPr>
          <w:bCs/>
          <w:sz w:val="24"/>
          <w:szCs w:val="24"/>
        </w:rPr>
        <w:t xml:space="preserve"> </w:t>
      </w:r>
      <w:r w:rsidR="00AE2E21">
        <w:rPr>
          <w:bCs/>
          <w:sz w:val="24"/>
          <w:szCs w:val="24"/>
        </w:rPr>
        <w:t xml:space="preserve">Due to reagent shortages PCR for other respiratory viruses was not performed in the control group. </w:t>
      </w:r>
      <w:r w:rsidR="00464E4E">
        <w:rPr>
          <w:bCs/>
          <w:sz w:val="24"/>
          <w:szCs w:val="24"/>
        </w:rPr>
        <w:t>Overall there were 26 of 499</w:t>
      </w:r>
      <w:r w:rsidR="00367F06">
        <w:rPr>
          <w:bCs/>
          <w:sz w:val="24"/>
          <w:szCs w:val="24"/>
        </w:rPr>
        <w:t xml:space="preserve"> (</w:t>
      </w:r>
      <w:r w:rsidR="00464E4E">
        <w:rPr>
          <w:bCs/>
          <w:sz w:val="24"/>
          <w:szCs w:val="24"/>
        </w:rPr>
        <w:t>5</w:t>
      </w:r>
      <w:r w:rsidR="00AA3F3A">
        <w:rPr>
          <w:rFonts w:cstheme="minorHAnsi"/>
          <w:bCs/>
          <w:sz w:val="24"/>
          <w:szCs w:val="24"/>
        </w:rPr>
        <w:t>·</w:t>
      </w:r>
      <w:r w:rsidR="00464E4E">
        <w:rPr>
          <w:bCs/>
          <w:sz w:val="24"/>
          <w:szCs w:val="24"/>
        </w:rPr>
        <w:t>2</w:t>
      </w:r>
      <w:r w:rsidR="00367F06">
        <w:rPr>
          <w:bCs/>
          <w:sz w:val="24"/>
          <w:szCs w:val="24"/>
        </w:rPr>
        <w:t xml:space="preserve">%) </w:t>
      </w:r>
      <w:r w:rsidR="0024658D">
        <w:rPr>
          <w:bCs/>
          <w:sz w:val="24"/>
          <w:szCs w:val="24"/>
        </w:rPr>
        <w:t xml:space="preserve">initial </w:t>
      </w:r>
      <w:r w:rsidR="00367F06">
        <w:rPr>
          <w:bCs/>
          <w:sz w:val="24"/>
          <w:szCs w:val="24"/>
        </w:rPr>
        <w:t xml:space="preserve">run failures on the QIAstat-Dx. </w:t>
      </w:r>
    </w:p>
    <w:p w:rsidR="0003619C" w:rsidRDefault="0003619C" w:rsidP="00073047">
      <w:pPr>
        <w:spacing w:after="0" w:line="480" w:lineRule="auto"/>
        <w:jc w:val="both"/>
        <w:rPr>
          <w:bCs/>
          <w:sz w:val="24"/>
          <w:szCs w:val="24"/>
        </w:rPr>
      </w:pPr>
    </w:p>
    <w:p w:rsidR="00BA6ED9" w:rsidRPr="00BC356A" w:rsidRDefault="0091644D" w:rsidP="00BC356A">
      <w:pPr>
        <w:spacing w:after="0" w:line="480" w:lineRule="auto"/>
        <w:jc w:val="both"/>
        <w:rPr>
          <w:bCs/>
          <w:sz w:val="24"/>
          <w:szCs w:val="24"/>
        </w:rPr>
      </w:pPr>
      <w:r w:rsidRPr="00BC356A">
        <w:rPr>
          <w:b/>
          <w:bCs/>
          <w:sz w:val="32"/>
          <w:szCs w:val="32"/>
        </w:rPr>
        <w:t>Discussion</w:t>
      </w:r>
    </w:p>
    <w:p w:rsidR="003139BF" w:rsidRDefault="00AE2E21" w:rsidP="00A07E92">
      <w:pPr>
        <w:spacing w:after="0" w:line="480" w:lineRule="auto"/>
        <w:jc w:val="both"/>
        <w:rPr>
          <w:bCs/>
          <w:sz w:val="24"/>
          <w:szCs w:val="24"/>
        </w:rPr>
      </w:pPr>
      <w:r w:rsidRPr="00705BBA">
        <w:rPr>
          <w:bCs/>
          <w:sz w:val="24"/>
          <w:szCs w:val="24"/>
        </w:rPr>
        <w:t xml:space="preserve">The long delays associated with centralised laboratory PCR </w:t>
      </w:r>
      <w:r w:rsidR="00C20F3B">
        <w:rPr>
          <w:bCs/>
          <w:sz w:val="24"/>
          <w:szCs w:val="24"/>
        </w:rPr>
        <w:t xml:space="preserve">testing </w:t>
      </w:r>
      <w:r w:rsidR="00F36AB9">
        <w:rPr>
          <w:bCs/>
          <w:sz w:val="24"/>
          <w:szCs w:val="24"/>
        </w:rPr>
        <w:t xml:space="preserve">are </w:t>
      </w:r>
      <w:r w:rsidRPr="00705BBA">
        <w:rPr>
          <w:bCs/>
          <w:sz w:val="24"/>
          <w:szCs w:val="24"/>
        </w:rPr>
        <w:t>recognised as a major challenge for hospitals in effectively respondi</w:t>
      </w:r>
      <w:r w:rsidRPr="00EA79B8">
        <w:rPr>
          <w:bCs/>
          <w:color w:val="000000" w:themeColor="text1"/>
          <w:sz w:val="24"/>
          <w:szCs w:val="24"/>
        </w:rPr>
        <w:t>ng to the COVID-19 pandemic</w:t>
      </w:r>
      <w:r w:rsidR="003139BF" w:rsidRPr="00EA79B8">
        <w:rPr>
          <w:bCs/>
          <w:color w:val="000000" w:themeColor="text1"/>
          <w:sz w:val="24"/>
          <w:szCs w:val="24"/>
        </w:rPr>
        <w:t xml:space="preserve"> </w:t>
      </w:r>
      <w:r w:rsidR="009F2AEA" w:rsidRPr="00EA79B8">
        <w:rPr>
          <w:bCs/>
          <w:color w:val="000000" w:themeColor="text1"/>
          <w:sz w:val="24"/>
          <w:szCs w:val="24"/>
        </w:rPr>
        <w:t xml:space="preserve">and mitigation strategies are </w:t>
      </w:r>
      <w:r w:rsidR="00BB61F4" w:rsidRPr="00EA79B8">
        <w:rPr>
          <w:bCs/>
          <w:color w:val="000000" w:themeColor="text1"/>
          <w:sz w:val="24"/>
          <w:szCs w:val="24"/>
        </w:rPr>
        <w:t xml:space="preserve">urgently </w:t>
      </w:r>
      <w:r w:rsidR="009F2AEA" w:rsidRPr="00EA79B8">
        <w:rPr>
          <w:bCs/>
          <w:color w:val="000000" w:themeColor="text1"/>
          <w:sz w:val="24"/>
          <w:szCs w:val="24"/>
        </w:rPr>
        <w:t xml:space="preserve">required in preparation for </w:t>
      </w:r>
      <w:r w:rsidR="006137ED" w:rsidRPr="00EA79B8">
        <w:rPr>
          <w:bCs/>
          <w:color w:val="000000" w:themeColor="text1"/>
          <w:sz w:val="24"/>
          <w:szCs w:val="24"/>
        </w:rPr>
        <w:t>a likely</w:t>
      </w:r>
      <w:r w:rsidR="009F2AEA" w:rsidRPr="00EA79B8">
        <w:rPr>
          <w:bCs/>
          <w:color w:val="000000" w:themeColor="text1"/>
          <w:sz w:val="24"/>
          <w:szCs w:val="24"/>
        </w:rPr>
        <w:t xml:space="preserve"> second wave</w:t>
      </w:r>
      <w:r w:rsidR="006137ED" w:rsidRPr="00EA79B8">
        <w:rPr>
          <w:bCs/>
          <w:color w:val="000000" w:themeColor="text1"/>
          <w:sz w:val="24"/>
          <w:szCs w:val="24"/>
        </w:rPr>
        <w:t xml:space="preserve"> this winter</w:t>
      </w:r>
      <w:r w:rsidR="00705BBA" w:rsidRPr="00EA79B8">
        <w:rPr>
          <w:bCs/>
          <w:color w:val="000000" w:themeColor="text1"/>
          <w:sz w:val="24"/>
          <w:szCs w:val="24"/>
        </w:rPr>
        <w:t>.</w:t>
      </w:r>
      <w:r w:rsidR="00273C30" w:rsidRPr="00EA79B8">
        <w:rPr>
          <w:bCs/>
          <w:color w:val="000000" w:themeColor="text1"/>
          <w:sz w:val="24"/>
          <w:szCs w:val="24"/>
          <w:vertAlign w:val="superscript"/>
        </w:rPr>
        <w:t>14</w:t>
      </w:r>
      <w:r w:rsidR="00705BBA" w:rsidRPr="00EA79B8">
        <w:rPr>
          <w:bCs/>
          <w:color w:val="000000" w:themeColor="text1"/>
          <w:sz w:val="24"/>
          <w:szCs w:val="24"/>
        </w:rPr>
        <w:t xml:space="preserve"> </w:t>
      </w:r>
      <w:r w:rsidR="005A4E4E" w:rsidRPr="00EA79B8">
        <w:rPr>
          <w:bCs/>
          <w:color w:val="000000" w:themeColor="text1"/>
          <w:sz w:val="24"/>
          <w:szCs w:val="24"/>
        </w:rPr>
        <w:t xml:space="preserve">To our knowledge this is the first study </w:t>
      </w:r>
      <w:r w:rsidR="00A6385D" w:rsidRPr="00EA79B8">
        <w:rPr>
          <w:bCs/>
          <w:color w:val="000000" w:themeColor="text1"/>
          <w:sz w:val="24"/>
          <w:szCs w:val="24"/>
        </w:rPr>
        <w:t xml:space="preserve">to assess </w:t>
      </w:r>
      <w:r w:rsidR="00A6385D" w:rsidRPr="00705BBA">
        <w:rPr>
          <w:bCs/>
          <w:sz w:val="24"/>
          <w:szCs w:val="24"/>
        </w:rPr>
        <w:t xml:space="preserve">the clinical </w:t>
      </w:r>
      <w:r w:rsidRPr="00705BBA">
        <w:rPr>
          <w:bCs/>
          <w:sz w:val="24"/>
          <w:szCs w:val="24"/>
        </w:rPr>
        <w:t xml:space="preserve">impact of molecular POCT </w:t>
      </w:r>
      <w:r w:rsidR="00D4342D" w:rsidRPr="00705BBA">
        <w:rPr>
          <w:bCs/>
          <w:sz w:val="24"/>
          <w:szCs w:val="24"/>
        </w:rPr>
        <w:t>for COVID-</w:t>
      </w:r>
      <w:r w:rsidR="00D4342D">
        <w:rPr>
          <w:bCs/>
          <w:sz w:val="24"/>
          <w:szCs w:val="24"/>
        </w:rPr>
        <w:t>19</w:t>
      </w:r>
      <w:r w:rsidR="009A282E">
        <w:rPr>
          <w:bCs/>
          <w:sz w:val="24"/>
          <w:szCs w:val="24"/>
        </w:rPr>
        <w:t xml:space="preserve"> </w:t>
      </w:r>
      <w:r w:rsidR="009A282E" w:rsidRPr="00811D9A">
        <w:rPr>
          <w:bCs/>
          <w:color w:val="000000" w:themeColor="text1"/>
          <w:sz w:val="24"/>
          <w:szCs w:val="24"/>
        </w:rPr>
        <w:t>for acute admissions</w:t>
      </w:r>
      <w:r w:rsidR="00D4342D" w:rsidRPr="00811D9A">
        <w:rPr>
          <w:bCs/>
          <w:color w:val="000000" w:themeColor="text1"/>
          <w:sz w:val="24"/>
          <w:szCs w:val="24"/>
        </w:rPr>
        <w:t xml:space="preserve">, </w:t>
      </w:r>
      <w:r w:rsidRPr="00811D9A">
        <w:rPr>
          <w:bCs/>
          <w:color w:val="000000" w:themeColor="text1"/>
          <w:sz w:val="24"/>
          <w:szCs w:val="24"/>
        </w:rPr>
        <w:t xml:space="preserve">and </w:t>
      </w:r>
      <w:r w:rsidR="00A23E60">
        <w:rPr>
          <w:bCs/>
          <w:sz w:val="24"/>
          <w:szCs w:val="24"/>
        </w:rPr>
        <w:t xml:space="preserve">demonstrates </w:t>
      </w:r>
      <w:r>
        <w:rPr>
          <w:bCs/>
          <w:sz w:val="24"/>
          <w:szCs w:val="24"/>
        </w:rPr>
        <w:t>that</w:t>
      </w:r>
      <w:r w:rsidR="00BB61F4">
        <w:rPr>
          <w:bCs/>
          <w:sz w:val="24"/>
          <w:szCs w:val="24"/>
        </w:rPr>
        <w:t xml:space="preserve"> </w:t>
      </w:r>
      <w:r w:rsidR="00A23E60">
        <w:rPr>
          <w:bCs/>
          <w:sz w:val="24"/>
          <w:szCs w:val="24"/>
        </w:rPr>
        <w:t xml:space="preserve">routine </w:t>
      </w:r>
      <w:r w:rsidR="003139BF">
        <w:rPr>
          <w:bCs/>
          <w:sz w:val="24"/>
          <w:szCs w:val="24"/>
        </w:rPr>
        <w:t xml:space="preserve">use of </w:t>
      </w:r>
      <w:r>
        <w:rPr>
          <w:bCs/>
          <w:sz w:val="24"/>
          <w:szCs w:val="24"/>
        </w:rPr>
        <w:t xml:space="preserve">POCT </w:t>
      </w:r>
      <w:r w:rsidR="00F36AB9">
        <w:rPr>
          <w:bCs/>
          <w:sz w:val="24"/>
          <w:szCs w:val="24"/>
        </w:rPr>
        <w:t>can deliver</w:t>
      </w:r>
      <w:r w:rsidR="00DF1EF6">
        <w:rPr>
          <w:bCs/>
          <w:sz w:val="24"/>
          <w:szCs w:val="24"/>
        </w:rPr>
        <w:t xml:space="preserve"> </w:t>
      </w:r>
      <w:r>
        <w:rPr>
          <w:bCs/>
          <w:sz w:val="24"/>
          <w:szCs w:val="24"/>
        </w:rPr>
        <w:t>rapid</w:t>
      </w:r>
      <w:r w:rsidR="00A23E60">
        <w:rPr>
          <w:bCs/>
          <w:sz w:val="24"/>
          <w:szCs w:val="24"/>
        </w:rPr>
        <w:t xml:space="preserve">, </w:t>
      </w:r>
      <w:r w:rsidR="00D4342D">
        <w:rPr>
          <w:bCs/>
          <w:sz w:val="24"/>
          <w:szCs w:val="24"/>
        </w:rPr>
        <w:t>accurate, and a</w:t>
      </w:r>
      <w:r w:rsidR="00A6385D">
        <w:rPr>
          <w:bCs/>
          <w:sz w:val="24"/>
          <w:szCs w:val="24"/>
        </w:rPr>
        <w:t>ctionable</w:t>
      </w:r>
      <w:r>
        <w:rPr>
          <w:bCs/>
          <w:sz w:val="24"/>
          <w:szCs w:val="24"/>
        </w:rPr>
        <w:t xml:space="preserve"> results to clinical </w:t>
      </w:r>
      <w:r w:rsidR="00A23E60">
        <w:rPr>
          <w:bCs/>
          <w:sz w:val="24"/>
          <w:szCs w:val="24"/>
        </w:rPr>
        <w:t xml:space="preserve">and infection control teams. The use of POCT </w:t>
      </w:r>
      <w:r w:rsidR="003139BF">
        <w:rPr>
          <w:bCs/>
          <w:sz w:val="24"/>
          <w:szCs w:val="24"/>
        </w:rPr>
        <w:t xml:space="preserve">led to </w:t>
      </w:r>
      <w:r w:rsidR="00D4342D">
        <w:rPr>
          <w:bCs/>
          <w:sz w:val="24"/>
          <w:szCs w:val="24"/>
        </w:rPr>
        <w:t>large</w:t>
      </w:r>
      <w:r w:rsidR="003139BF">
        <w:rPr>
          <w:bCs/>
          <w:sz w:val="24"/>
          <w:szCs w:val="24"/>
        </w:rPr>
        <w:t xml:space="preserve"> </w:t>
      </w:r>
      <w:r w:rsidR="00BB61F4">
        <w:rPr>
          <w:bCs/>
          <w:sz w:val="24"/>
          <w:szCs w:val="24"/>
        </w:rPr>
        <w:t>reductions in</w:t>
      </w:r>
      <w:r w:rsidR="00A23E60">
        <w:rPr>
          <w:bCs/>
          <w:sz w:val="24"/>
          <w:szCs w:val="24"/>
        </w:rPr>
        <w:t xml:space="preserve"> time to </w:t>
      </w:r>
      <w:r w:rsidR="00D4342D">
        <w:rPr>
          <w:bCs/>
          <w:sz w:val="24"/>
          <w:szCs w:val="24"/>
        </w:rPr>
        <w:t xml:space="preserve">availability of </w:t>
      </w:r>
      <w:r w:rsidR="00A23E60">
        <w:rPr>
          <w:bCs/>
          <w:sz w:val="24"/>
          <w:szCs w:val="24"/>
        </w:rPr>
        <w:t xml:space="preserve">results compared with laboratory PCR and </w:t>
      </w:r>
      <w:r w:rsidR="003139BF">
        <w:rPr>
          <w:bCs/>
          <w:sz w:val="24"/>
          <w:szCs w:val="24"/>
        </w:rPr>
        <w:t xml:space="preserve">this </w:t>
      </w:r>
      <w:r w:rsidR="00A23E60">
        <w:rPr>
          <w:bCs/>
          <w:sz w:val="24"/>
          <w:szCs w:val="24"/>
        </w:rPr>
        <w:t xml:space="preserve">was associated with improvements in infection control measures and patient flow, with </w:t>
      </w:r>
      <w:r w:rsidR="003139BF">
        <w:rPr>
          <w:bCs/>
          <w:sz w:val="24"/>
          <w:szCs w:val="24"/>
        </w:rPr>
        <w:t xml:space="preserve">patients spending </w:t>
      </w:r>
      <w:r w:rsidR="00BB61F4">
        <w:rPr>
          <w:bCs/>
          <w:sz w:val="24"/>
          <w:szCs w:val="24"/>
        </w:rPr>
        <w:t>around one</w:t>
      </w:r>
      <w:r w:rsidR="005C6E1E">
        <w:rPr>
          <w:bCs/>
          <w:sz w:val="24"/>
          <w:szCs w:val="24"/>
        </w:rPr>
        <w:t xml:space="preserve"> day </w:t>
      </w:r>
      <w:r w:rsidR="00A23E60">
        <w:rPr>
          <w:bCs/>
          <w:sz w:val="24"/>
          <w:szCs w:val="24"/>
        </w:rPr>
        <w:t xml:space="preserve">less </w:t>
      </w:r>
      <w:r w:rsidR="005C6E1E">
        <w:rPr>
          <w:bCs/>
          <w:sz w:val="24"/>
          <w:szCs w:val="24"/>
        </w:rPr>
        <w:t xml:space="preserve">in </w:t>
      </w:r>
      <w:r w:rsidR="003139BF">
        <w:rPr>
          <w:bCs/>
          <w:sz w:val="24"/>
          <w:szCs w:val="24"/>
        </w:rPr>
        <w:t>assessment</w:t>
      </w:r>
      <w:r w:rsidR="00A23E60">
        <w:rPr>
          <w:bCs/>
          <w:sz w:val="24"/>
          <w:szCs w:val="24"/>
        </w:rPr>
        <w:t xml:space="preserve"> areas and </w:t>
      </w:r>
      <w:r w:rsidR="003139BF">
        <w:rPr>
          <w:bCs/>
          <w:sz w:val="24"/>
          <w:szCs w:val="24"/>
        </w:rPr>
        <w:t xml:space="preserve">having </w:t>
      </w:r>
      <w:r w:rsidR="00A23E60">
        <w:rPr>
          <w:bCs/>
          <w:sz w:val="24"/>
          <w:szCs w:val="24"/>
        </w:rPr>
        <w:t>fewer bed moves</w:t>
      </w:r>
      <w:r w:rsidR="0030232B">
        <w:rPr>
          <w:bCs/>
          <w:sz w:val="24"/>
          <w:szCs w:val="24"/>
        </w:rPr>
        <w:t xml:space="preserve"> before arriving in </w:t>
      </w:r>
      <w:r w:rsidR="003139BF">
        <w:rPr>
          <w:bCs/>
          <w:sz w:val="24"/>
          <w:szCs w:val="24"/>
        </w:rPr>
        <w:t xml:space="preserve">definitive </w:t>
      </w:r>
      <w:r w:rsidR="00D4342D">
        <w:rPr>
          <w:bCs/>
          <w:sz w:val="24"/>
          <w:szCs w:val="24"/>
        </w:rPr>
        <w:t xml:space="preserve">COVID-19 </w:t>
      </w:r>
      <w:r w:rsidR="003139BF">
        <w:rPr>
          <w:bCs/>
          <w:sz w:val="24"/>
          <w:szCs w:val="24"/>
        </w:rPr>
        <w:t xml:space="preserve">positive or negative </w:t>
      </w:r>
      <w:r w:rsidR="00D4342D">
        <w:rPr>
          <w:bCs/>
          <w:sz w:val="24"/>
          <w:szCs w:val="24"/>
        </w:rPr>
        <w:t xml:space="preserve">clinical </w:t>
      </w:r>
      <w:r w:rsidR="003139BF">
        <w:rPr>
          <w:bCs/>
          <w:sz w:val="24"/>
          <w:szCs w:val="24"/>
        </w:rPr>
        <w:t>area</w:t>
      </w:r>
      <w:r w:rsidR="00164D81">
        <w:rPr>
          <w:bCs/>
          <w:sz w:val="24"/>
          <w:szCs w:val="24"/>
        </w:rPr>
        <w:t>s</w:t>
      </w:r>
      <w:r w:rsidR="00A23E60">
        <w:rPr>
          <w:bCs/>
          <w:sz w:val="24"/>
          <w:szCs w:val="24"/>
        </w:rPr>
        <w:t xml:space="preserve">. Less time spent in assessment areas </w:t>
      </w:r>
      <w:r w:rsidR="00D4342D">
        <w:rPr>
          <w:bCs/>
          <w:sz w:val="24"/>
          <w:szCs w:val="24"/>
        </w:rPr>
        <w:t xml:space="preserve">means that non-infected patients </w:t>
      </w:r>
      <w:r w:rsidR="00BE6A06">
        <w:rPr>
          <w:bCs/>
          <w:sz w:val="24"/>
          <w:szCs w:val="24"/>
        </w:rPr>
        <w:t xml:space="preserve">would </w:t>
      </w:r>
      <w:r w:rsidR="00D4342D">
        <w:rPr>
          <w:bCs/>
          <w:sz w:val="24"/>
          <w:szCs w:val="24"/>
        </w:rPr>
        <w:t>spend</w:t>
      </w:r>
      <w:r w:rsidR="00A23E60">
        <w:rPr>
          <w:bCs/>
          <w:sz w:val="24"/>
          <w:szCs w:val="24"/>
        </w:rPr>
        <w:t xml:space="preserve"> less time </w:t>
      </w:r>
      <w:r w:rsidR="00BB61F4">
        <w:rPr>
          <w:bCs/>
          <w:sz w:val="24"/>
          <w:szCs w:val="24"/>
        </w:rPr>
        <w:t xml:space="preserve">unknowingly </w:t>
      </w:r>
      <w:r w:rsidR="00D4342D">
        <w:rPr>
          <w:bCs/>
          <w:sz w:val="24"/>
          <w:szCs w:val="24"/>
        </w:rPr>
        <w:t xml:space="preserve">exposed to infected patients </w:t>
      </w:r>
      <w:r w:rsidR="00F36AB9">
        <w:rPr>
          <w:bCs/>
          <w:sz w:val="24"/>
          <w:szCs w:val="24"/>
        </w:rPr>
        <w:t xml:space="preserve">and </w:t>
      </w:r>
      <w:r w:rsidR="0030232B">
        <w:rPr>
          <w:bCs/>
          <w:sz w:val="24"/>
          <w:szCs w:val="24"/>
        </w:rPr>
        <w:t xml:space="preserve">are less </w:t>
      </w:r>
      <w:r w:rsidR="00D4342D">
        <w:rPr>
          <w:bCs/>
          <w:sz w:val="24"/>
          <w:szCs w:val="24"/>
        </w:rPr>
        <w:t>likely to a</w:t>
      </w:r>
      <w:r w:rsidR="00F36AB9">
        <w:rPr>
          <w:bCs/>
          <w:sz w:val="24"/>
          <w:szCs w:val="24"/>
        </w:rPr>
        <w:t>cquire nosocomial infection</w:t>
      </w:r>
      <w:r w:rsidR="00D4342D">
        <w:rPr>
          <w:bCs/>
          <w:sz w:val="24"/>
          <w:szCs w:val="24"/>
        </w:rPr>
        <w:t>. I</w:t>
      </w:r>
      <w:r w:rsidR="00A23E60">
        <w:rPr>
          <w:bCs/>
          <w:sz w:val="24"/>
          <w:szCs w:val="24"/>
        </w:rPr>
        <w:t>n addition the rapid identification of COVID-19 patients in assessment area means that health care workers would be less likely to be exposed and infected</w:t>
      </w:r>
      <w:r w:rsidR="00687314">
        <w:rPr>
          <w:bCs/>
          <w:sz w:val="24"/>
          <w:szCs w:val="24"/>
        </w:rPr>
        <w:t>,</w:t>
      </w:r>
      <w:r w:rsidR="00F36AB9">
        <w:rPr>
          <w:bCs/>
          <w:sz w:val="24"/>
          <w:szCs w:val="24"/>
        </w:rPr>
        <w:t xml:space="preserve"> as positive patients were</w:t>
      </w:r>
      <w:r w:rsidR="00A23E60">
        <w:rPr>
          <w:bCs/>
          <w:sz w:val="24"/>
          <w:szCs w:val="24"/>
        </w:rPr>
        <w:t xml:space="preserve"> rapidly moved to positive areas rather than staying in assessment areas for over 24 hours</w:t>
      </w:r>
      <w:r w:rsidR="003139BF">
        <w:rPr>
          <w:bCs/>
          <w:sz w:val="24"/>
          <w:szCs w:val="24"/>
        </w:rPr>
        <w:t>,</w:t>
      </w:r>
      <w:r w:rsidR="00DF1EF6">
        <w:rPr>
          <w:bCs/>
          <w:sz w:val="24"/>
          <w:szCs w:val="24"/>
        </w:rPr>
        <w:t xml:space="preserve"> where PPE recommendations</w:t>
      </w:r>
      <w:r w:rsidR="00B204FE">
        <w:rPr>
          <w:bCs/>
          <w:sz w:val="24"/>
          <w:szCs w:val="24"/>
        </w:rPr>
        <w:t xml:space="preserve"> were</w:t>
      </w:r>
      <w:r w:rsidR="00A23E60">
        <w:rPr>
          <w:bCs/>
          <w:sz w:val="24"/>
          <w:szCs w:val="24"/>
        </w:rPr>
        <w:t xml:space="preserve"> less stringent.</w:t>
      </w:r>
      <w:r w:rsidR="00273C30">
        <w:rPr>
          <w:bCs/>
          <w:sz w:val="24"/>
          <w:szCs w:val="24"/>
          <w:vertAlign w:val="superscript"/>
        </w:rPr>
        <w:t>15</w:t>
      </w:r>
      <w:r w:rsidR="00A23E60" w:rsidRPr="00A81DFD">
        <w:rPr>
          <w:bCs/>
          <w:sz w:val="24"/>
          <w:szCs w:val="24"/>
          <w:vertAlign w:val="superscript"/>
        </w:rPr>
        <w:t xml:space="preserve"> </w:t>
      </w:r>
      <w:r w:rsidR="003139BF">
        <w:rPr>
          <w:bCs/>
          <w:sz w:val="24"/>
          <w:szCs w:val="24"/>
        </w:rPr>
        <w:t>The f</w:t>
      </w:r>
      <w:r w:rsidR="00A23E60">
        <w:rPr>
          <w:bCs/>
          <w:sz w:val="24"/>
          <w:szCs w:val="24"/>
        </w:rPr>
        <w:t>ewer</w:t>
      </w:r>
      <w:r w:rsidR="00D4342D">
        <w:rPr>
          <w:bCs/>
          <w:sz w:val="24"/>
          <w:szCs w:val="24"/>
        </w:rPr>
        <w:t xml:space="preserve"> number of</w:t>
      </w:r>
      <w:r w:rsidR="00A23E60">
        <w:rPr>
          <w:bCs/>
          <w:sz w:val="24"/>
          <w:szCs w:val="24"/>
        </w:rPr>
        <w:t xml:space="preserve"> bed moves</w:t>
      </w:r>
      <w:r w:rsidR="00D4342D">
        <w:rPr>
          <w:bCs/>
          <w:sz w:val="24"/>
          <w:szCs w:val="24"/>
        </w:rPr>
        <w:t xml:space="preserve"> </w:t>
      </w:r>
      <w:r w:rsidR="00A23E60">
        <w:rPr>
          <w:bCs/>
          <w:sz w:val="24"/>
          <w:szCs w:val="24"/>
        </w:rPr>
        <w:t xml:space="preserve">in the POCT </w:t>
      </w:r>
      <w:r w:rsidR="003139BF">
        <w:rPr>
          <w:bCs/>
          <w:sz w:val="24"/>
          <w:szCs w:val="24"/>
        </w:rPr>
        <w:t xml:space="preserve">group equates to a cost and time saving for hospitals as each bed space </w:t>
      </w:r>
      <w:r w:rsidR="0030232B">
        <w:rPr>
          <w:bCs/>
          <w:sz w:val="24"/>
          <w:szCs w:val="24"/>
        </w:rPr>
        <w:t>must</w:t>
      </w:r>
      <w:r w:rsidR="003139BF">
        <w:rPr>
          <w:bCs/>
          <w:sz w:val="24"/>
          <w:szCs w:val="24"/>
        </w:rPr>
        <w:t xml:space="preserve"> be decontaminated </w:t>
      </w:r>
      <w:r w:rsidR="005C6E1E">
        <w:rPr>
          <w:bCs/>
          <w:sz w:val="24"/>
          <w:szCs w:val="24"/>
        </w:rPr>
        <w:t>after a patient has vacated it, and cleaning staff are less likely to be exposed to heav</w:t>
      </w:r>
      <w:r w:rsidR="00687314">
        <w:rPr>
          <w:bCs/>
          <w:sz w:val="24"/>
          <w:szCs w:val="24"/>
        </w:rPr>
        <w:t xml:space="preserve">ily </w:t>
      </w:r>
      <w:r w:rsidR="00687314">
        <w:rPr>
          <w:bCs/>
          <w:sz w:val="24"/>
          <w:szCs w:val="24"/>
        </w:rPr>
        <w:lastRenderedPageBreak/>
        <w:t xml:space="preserve">contaminated environments. </w:t>
      </w:r>
      <w:r w:rsidR="00164D81">
        <w:rPr>
          <w:bCs/>
          <w:sz w:val="24"/>
          <w:szCs w:val="24"/>
        </w:rPr>
        <w:t xml:space="preserve">Some </w:t>
      </w:r>
      <w:r w:rsidR="00687314">
        <w:rPr>
          <w:bCs/>
          <w:sz w:val="24"/>
          <w:szCs w:val="24"/>
        </w:rPr>
        <w:t xml:space="preserve">patients tested by POCT </w:t>
      </w:r>
      <w:r w:rsidR="00A5126F">
        <w:rPr>
          <w:bCs/>
          <w:sz w:val="24"/>
          <w:szCs w:val="24"/>
        </w:rPr>
        <w:t xml:space="preserve">received their results whilst still in the ED and </w:t>
      </w:r>
      <w:r w:rsidR="00687314">
        <w:rPr>
          <w:bCs/>
          <w:sz w:val="24"/>
          <w:szCs w:val="24"/>
        </w:rPr>
        <w:t>we</w:t>
      </w:r>
      <w:r w:rsidR="00A5126F">
        <w:rPr>
          <w:bCs/>
          <w:sz w:val="24"/>
          <w:szCs w:val="24"/>
        </w:rPr>
        <w:t xml:space="preserve">re transferred directly to </w:t>
      </w:r>
      <w:r w:rsidR="00687314">
        <w:rPr>
          <w:bCs/>
          <w:sz w:val="24"/>
          <w:szCs w:val="24"/>
        </w:rPr>
        <w:t>definitive clinical areas, bypass</w:t>
      </w:r>
      <w:r w:rsidR="00164D81">
        <w:rPr>
          <w:bCs/>
          <w:sz w:val="24"/>
          <w:szCs w:val="24"/>
        </w:rPr>
        <w:t>ing the assessment cohort wards entirely. It is likely that if a</w:t>
      </w:r>
      <w:r w:rsidR="00B770A5">
        <w:rPr>
          <w:bCs/>
          <w:sz w:val="24"/>
          <w:szCs w:val="24"/>
        </w:rPr>
        <w:t>n even</w:t>
      </w:r>
      <w:r w:rsidR="00164D81">
        <w:rPr>
          <w:bCs/>
          <w:sz w:val="24"/>
          <w:szCs w:val="24"/>
        </w:rPr>
        <w:t xml:space="preserve"> quicker turnaround time </w:t>
      </w:r>
      <w:r w:rsidR="00A5126F">
        <w:rPr>
          <w:bCs/>
          <w:sz w:val="24"/>
          <w:szCs w:val="24"/>
        </w:rPr>
        <w:t xml:space="preserve">for results </w:t>
      </w:r>
      <w:r w:rsidR="00164D81">
        <w:rPr>
          <w:bCs/>
          <w:sz w:val="24"/>
          <w:szCs w:val="24"/>
        </w:rPr>
        <w:t>could be achieved</w:t>
      </w:r>
      <w:r w:rsidR="00A5126F">
        <w:rPr>
          <w:bCs/>
          <w:sz w:val="24"/>
          <w:szCs w:val="24"/>
        </w:rPr>
        <w:t xml:space="preserve">, </w:t>
      </w:r>
      <w:r w:rsidR="00DF1EF6">
        <w:rPr>
          <w:bCs/>
          <w:sz w:val="24"/>
          <w:szCs w:val="24"/>
        </w:rPr>
        <w:t xml:space="preserve">all </w:t>
      </w:r>
      <w:r w:rsidR="00164D81">
        <w:rPr>
          <w:bCs/>
          <w:sz w:val="24"/>
          <w:szCs w:val="24"/>
        </w:rPr>
        <w:t xml:space="preserve">patients </w:t>
      </w:r>
      <w:r w:rsidR="00DF1EF6">
        <w:rPr>
          <w:bCs/>
          <w:sz w:val="24"/>
          <w:szCs w:val="24"/>
        </w:rPr>
        <w:t>could</w:t>
      </w:r>
      <w:r w:rsidR="00A5126F">
        <w:rPr>
          <w:bCs/>
          <w:sz w:val="24"/>
          <w:szCs w:val="24"/>
        </w:rPr>
        <w:t xml:space="preserve"> have their results returned whilst still in the ED </w:t>
      </w:r>
      <w:r w:rsidR="00DF1EF6">
        <w:rPr>
          <w:bCs/>
          <w:sz w:val="24"/>
          <w:szCs w:val="24"/>
        </w:rPr>
        <w:t xml:space="preserve">so that </w:t>
      </w:r>
      <w:r w:rsidR="00164D81">
        <w:rPr>
          <w:bCs/>
          <w:sz w:val="24"/>
          <w:szCs w:val="24"/>
        </w:rPr>
        <w:t xml:space="preserve">assessment </w:t>
      </w:r>
      <w:r w:rsidR="00C20F3B">
        <w:rPr>
          <w:bCs/>
          <w:sz w:val="24"/>
          <w:szCs w:val="24"/>
        </w:rPr>
        <w:t xml:space="preserve">cohort </w:t>
      </w:r>
      <w:r w:rsidR="00164D81">
        <w:rPr>
          <w:bCs/>
          <w:sz w:val="24"/>
          <w:szCs w:val="24"/>
        </w:rPr>
        <w:t>areas</w:t>
      </w:r>
      <w:r w:rsidR="00F36AB9">
        <w:rPr>
          <w:bCs/>
          <w:sz w:val="24"/>
          <w:szCs w:val="24"/>
        </w:rPr>
        <w:t xml:space="preserve"> would become unnecessary</w:t>
      </w:r>
      <w:r w:rsidR="00B770A5">
        <w:rPr>
          <w:bCs/>
          <w:sz w:val="24"/>
          <w:szCs w:val="24"/>
        </w:rPr>
        <w:t xml:space="preserve">. </w:t>
      </w:r>
    </w:p>
    <w:p w:rsidR="00985652" w:rsidRDefault="00985652" w:rsidP="00A07E92">
      <w:pPr>
        <w:spacing w:after="0" w:line="480" w:lineRule="auto"/>
        <w:jc w:val="both"/>
        <w:rPr>
          <w:bCs/>
          <w:sz w:val="24"/>
          <w:szCs w:val="24"/>
        </w:rPr>
      </w:pPr>
    </w:p>
    <w:p w:rsidR="004D4626" w:rsidRDefault="003139BF" w:rsidP="00A07E92">
      <w:pPr>
        <w:spacing w:after="0" w:line="480" w:lineRule="auto"/>
        <w:jc w:val="both"/>
        <w:rPr>
          <w:bCs/>
          <w:sz w:val="24"/>
          <w:szCs w:val="24"/>
        </w:rPr>
      </w:pPr>
      <w:r>
        <w:rPr>
          <w:bCs/>
          <w:sz w:val="24"/>
          <w:szCs w:val="24"/>
        </w:rPr>
        <w:t xml:space="preserve">COVID-19 </w:t>
      </w:r>
      <w:r w:rsidR="00A23E60">
        <w:rPr>
          <w:bCs/>
          <w:sz w:val="24"/>
          <w:szCs w:val="24"/>
        </w:rPr>
        <w:t xml:space="preserve">patients </w:t>
      </w:r>
      <w:r w:rsidR="00687314">
        <w:rPr>
          <w:bCs/>
          <w:sz w:val="24"/>
          <w:szCs w:val="24"/>
        </w:rPr>
        <w:t xml:space="preserve">in the </w:t>
      </w:r>
      <w:r>
        <w:rPr>
          <w:bCs/>
          <w:sz w:val="24"/>
          <w:szCs w:val="24"/>
        </w:rPr>
        <w:t xml:space="preserve">POCT group </w:t>
      </w:r>
      <w:r w:rsidR="00DF1EF6">
        <w:rPr>
          <w:bCs/>
          <w:sz w:val="24"/>
          <w:szCs w:val="24"/>
        </w:rPr>
        <w:t>were recruited 2</w:t>
      </w:r>
      <w:r w:rsidR="00A5126F">
        <w:rPr>
          <w:bCs/>
          <w:sz w:val="24"/>
          <w:szCs w:val="24"/>
        </w:rPr>
        <w:t xml:space="preserve"> </w:t>
      </w:r>
      <w:r w:rsidR="00A81DFD">
        <w:rPr>
          <w:bCs/>
          <w:sz w:val="24"/>
          <w:szCs w:val="24"/>
        </w:rPr>
        <w:t>day</w:t>
      </w:r>
      <w:r w:rsidR="005C6E1E">
        <w:rPr>
          <w:bCs/>
          <w:sz w:val="24"/>
          <w:szCs w:val="24"/>
        </w:rPr>
        <w:t>s</w:t>
      </w:r>
      <w:r w:rsidR="00A81DFD">
        <w:rPr>
          <w:bCs/>
          <w:sz w:val="24"/>
          <w:szCs w:val="24"/>
        </w:rPr>
        <w:t xml:space="preserve"> earlier</w:t>
      </w:r>
      <w:r w:rsidR="00687314">
        <w:rPr>
          <w:bCs/>
          <w:sz w:val="24"/>
          <w:szCs w:val="24"/>
        </w:rPr>
        <w:t xml:space="preserve"> into other </w:t>
      </w:r>
      <w:r w:rsidR="00F36AB9">
        <w:rPr>
          <w:bCs/>
          <w:sz w:val="24"/>
          <w:szCs w:val="24"/>
        </w:rPr>
        <w:t xml:space="preserve">clinical </w:t>
      </w:r>
      <w:r w:rsidR="00A5126F">
        <w:rPr>
          <w:bCs/>
          <w:sz w:val="24"/>
          <w:szCs w:val="24"/>
        </w:rPr>
        <w:t xml:space="preserve">trials. </w:t>
      </w:r>
      <w:r w:rsidR="00985652">
        <w:rPr>
          <w:bCs/>
          <w:sz w:val="24"/>
          <w:szCs w:val="24"/>
        </w:rPr>
        <w:t>Recruitment of COVID-19 patients into trials is an international priority and t</w:t>
      </w:r>
      <w:r>
        <w:rPr>
          <w:bCs/>
          <w:sz w:val="24"/>
          <w:szCs w:val="24"/>
        </w:rPr>
        <w:t>he early identification of patients for inclusion</w:t>
      </w:r>
      <w:r w:rsidR="00985652">
        <w:rPr>
          <w:bCs/>
          <w:sz w:val="24"/>
          <w:szCs w:val="24"/>
        </w:rPr>
        <w:t xml:space="preserve"> is vital</w:t>
      </w:r>
      <w:r>
        <w:rPr>
          <w:bCs/>
          <w:sz w:val="24"/>
          <w:szCs w:val="24"/>
        </w:rPr>
        <w:t xml:space="preserve"> </w:t>
      </w:r>
      <w:r w:rsidR="00985652">
        <w:rPr>
          <w:bCs/>
          <w:sz w:val="24"/>
          <w:szCs w:val="24"/>
        </w:rPr>
        <w:t>as antiviral</w:t>
      </w:r>
      <w:r w:rsidR="00A81DFD">
        <w:rPr>
          <w:bCs/>
          <w:sz w:val="24"/>
          <w:szCs w:val="24"/>
        </w:rPr>
        <w:t xml:space="preserve"> </w:t>
      </w:r>
      <w:r w:rsidR="00687314">
        <w:rPr>
          <w:bCs/>
          <w:sz w:val="24"/>
          <w:szCs w:val="24"/>
        </w:rPr>
        <w:t>therapies are most</w:t>
      </w:r>
      <w:r w:rsidR="00985652">
        <w:rPr>
          <w:bCs/>
          <w:sz w:val="24"/>
          <w:szCs w:val="24"/>
        </w:rPr>
        <w:t xml:space="preserve"> likely to be effective when given early in the course of the disease</w:t>
      </w:r>
      <w:r w:rsidR="00A81DFD">
        <w:rPr>
          <w:bCs/>
          <w:sz w:val="24"/>
          <w:szCs w:val="24"/>
        </w:rPr>
        <w:t>.</w:t>
      </w:r>
      <w:r w:rsidR="00273C30">
        <w:rPr>
          <w:bCs/>
          <w:sz w:val="24"/>
          <w:szCs w:val="24"/>
          <w:vertAlign w:val="superscript"/>
        </w:rPr>
        <w:t>16</w:t>
      </w:r>
      <w:r w:rsidR="00A81DFD" w:rsidRPr="00A81DFD">
        <w:rPr>
          <w:bCs/>
          <w:sz w:val="24"/>
          <w:szCs w:val="24"/>
          <w:vertAlign w:val="superscript"/>
        </w:rPr>
        <w:t>,</w:t>
      </w:r>
      <w:r w:rsidR="00273C30">
        <w:rPr>
          <w:bCs/>
          <w:sz w:val="24"/>
          <w:szCs w:val="24"/>
          <w:vertAlign w:val="superscript"/>
        </w:rPr>
        <w:t>17</w:t>
      </w:r>
      <w:r w:rsidR="00985652">
        <w:rPr>
          <w:bCs/>
          <w:sz w:val="24"/>
          <w:szCs w:val="24"/>
        </w:rPr>
        <w:t xml:space="preserve"> The utility of </w:t>
      </w:r>
      <w:r w:rsidR="00D4342D">
        <w:rPr>
          <w:bCs/>
          <w:sz w:val="24"/>
          <w:szCs w:val="24"/>
        </w:rPr>
        <w:t xml:space="preserve">routine </w:t>
      </w:r>
      <w:r w:rsidR="00985652">
        <w:rPr>
          <w:bCs/>
          <w:sz w:val="24"/>
          <w:szCs w:val="24"/>
        </w:rPr>
        <w:t>POCT in facilitating early enrolment in</w:t>
      </w:r>
      <w:r w:rsidR="00F36AB9">
        <w:rPr>
          <w:bCs/>
          <w:sz w:val="24"/>
          <w:szCs w:val="24"/>
        </w:rPr>
        <w:t xml:space="preserve">to clinical trials has not </w:t>
      </w:r>
      <w:r w:rsidR="00D4342D">
        <w:rPr>
          <w:bCs/>
          <w:sz w:val="24"/>
          <w:szCs w:val="24"/>
        </w:rPr>
        <w:t xml:space="preserve">been fully </w:t>
      </w:r>
      <w:r w:rsidR="00985652">
        <w:rPr>
          <w:bCs/>
          <w:sz w:val="24"/>
          <w:szCs w:val="24"/>
        </w:rPr>
        <w:t>recog</w:t>
      </w:r>
      <w:r w:rsidR="00D4342D">
        <w:rPr>
          <w:bCs/>
          <w:sz w:val="24"/>
          <w:szCs w:val="24"/>
        </w:rPr>
        <w:t>nised and should be highlighted. Whilst there were no approved therapeutic agents available during the</w:t>
      </w:r>
      <w:r w:rsidR="009A725E">
        <w:rPr>
          <w:bCs/>
          <w:sz w:val="24"/>
          <w:szCs w:val="24"/>
        </w:rPr>
        <w:t xml:space="preserve"> COV19-POC trial, </w:t>
      </w:r>
      <w:r w:rsidR="00D4342D">
        <w:rPr>
          <w:bCs/>
          <w:sz w:val="24"/>
          <w:szCs w:val="24"/>
        </w:rPr>
        <w:t xml:space="preserve">subsequently both the antiviral agent </w:t>
      </w:r>
      <w:r w:rsidR="00A5126F">
        <w:rPr>
          <w:bCs/>
          <w:sz w:val="24"/>
          <w:szCs w:val="24"/>
        </w:rPr>
        <w:t>r</w:t>
      </w:r>
      <w:r w:rsidR="004D4626">
        <w:rPr>
          <w:bCs/>
          <w:sz w:val="24"/>
          <w:szCs w:val="24"/>
        </w:rPr>
        <w:t xml:space="preserve">emdesivir </w:t>
      </w:r>
      <w:r w:rsidR="00A5126F">
        <w:rPr>
          <w:bCs/>
          <w:sz w:val="24"/>
          <w:szCs w:val="24"/>
        </w:rPr>
        <w:t>and the corticosteroid d</w:t>
      </w:r>
      <w:r w:rsidR="00D4342D">
        <w:rPr>
          <w:bCs/>
          <w:sz w:val="24"/>
          <w:szCs w:val="24"/>
        </w:rPr>
        <w:t>examethasone have been proven to be efficacious</w:t>
      </w:r>
      <w:r w:rsidR="00346299">
        <w:rPr>
          <w:bCs/>
          <w:sz w:val="24"/>
          <w:szCs w:val="24"/>
        </w:rPr>
        <w:t xml:space="preserve"> in treating COVID-19 pneumonia</w:t>
      </w:r>
      <w:r w:rsidR="00D4342D">
        <w:rPr>
          <w:bCs/>
          <w:sz w:val="24"/>
          <w:szCs w:val="24"/>
        </w:rPr>
        <w:t xml:space="preserve"> patients requiring supplementary oxygen or </w:t>
      </w:r>
      <w:r w:rsidR="001F5D8D">
        <w:rPr>
          <w:bCs/>
          <w:sz w:val="24"/>
          <w:szCs w:val="24"/>
        </w:rPr>
        <w:t>respira</w:t>
      </w:r>
      <w:r w:rsidR="00346299">
        <w:rPr>
          <w:bCs/>
          <w:sz w:val="24"/>
          <w:szCs w:val="24"/>
        </w:rPr>
        <w:t>tory support</w:t>
      </w:r>
      <w:r w:rsidR="00705BBA">
        <w:rPr>
          <w:bCs/>
          <w:sz w:val="24"/>
          <w:szCs w:val="24"/>
        </w:rPr>
        <w:t>.</w:t>
      </w:r>
      <w:r w:rsidR="00273C30">
        <w:rPr>
          <w:bCs/>
          <w:sz w:val="24"/>
          <w:szCs w:val="24"/>
          <w:vertAlign w:val="superscript"/>
        </w:rPr>
        <w:t>18,19</w:t>
      </w:r>
      <w:r w:rsidR="00705BBA">
        <w:rPr>
          <w:bCs/>
          <w:sz w:val="24"/>
          <w:szCs w:val="24"/>
        </w:rPr>
        <w:t xml:space="preserve"> </w:t>
      </w:r>
      <w:r w:rsidR="00DF1EF6">
        <w:rPr>
          <w:bCs/>
          <w:sz w:val="24"/>
          <w:szCs w:val="24"/>
        </w:rPr>
        <w:t xml:space="preserve">Routine </w:t>
      </w:r>
      <w:r w:rsidR="009A725E">
        <w:rPr>
          <w:bCs/>
          <w:sz w:val="24"/>
          <w:szCs w:val="24"/>
        </w:rPr>
        <w:t>POCT will</w:t>
      </w:r>
      <w:r w:rsidR="00346299">
        <w:rPr>
          <w:bCs/>
          <w:sz w:val="24"/>
          <w:szCs w:val="24"/>
        </w:rPr>
        <w:t xml:space="preserve"> enable </w:t>
      </w:r>
      <w:r w:rsidR="00687314">
        <w:rPr>
          <w:bCs/>
          <w:sz w:val="24"/>
          <w:szCs w:val="24"/>
        </w:rPr>
        <w:t xml:space="preserve">the </w:t>
      </w:r>
      <w:r w:rsidR="009A725E">
        <w:rPr>
          <w:bCs/>
          <w:sz w:val="24"/>
          <w:szCs w:val="24"/>
        </w:rPr>
        <w:t>early identification of COVID-19 patients as they are</w:t>
      </w:r>
      <w:r w:rsidR="00687314">
        <w:rPr>
          <w:bCs/>
          <w:sz w:val="24"/>
          <w:szCs w:val="24"/>
        </w:rPr>
        <w:t xml:space="preserve"> being</w:t>
      </w:r>
      <w:r w:rsidR="009A725E">
        <w:rPr>
          <w:bCs/>
          <w:sz w:val="24"/>
          <w:szCs w:val="24"/>
        </w:rPr>
        <w:t xml:space="preserve"> admitted to hospital</w:t>
      </w:r>
      <w:r w:rsidR="00687314">
        <w:rPr>
          <w:bCs/>
          <w:sz w:val="24"/>
          <w:szCs w:val="24"/>
        </w:rPr>
        <w:t>,</w:t>
      </w:r>
      <w:r w:rsidR="009A725E">
        <w:rPr>
          <w:bCs/>
          <w:sz w:val="24"/>
          <w:szCs w:val="24"/>
        </w:rPr>
        <w:t xml:space="preserve"> </w:t>
      </w:r>
      <w:r w:rsidR="00346299">
        <w:rPr>
          <w:bCs/>
          <w:sz w:val="24"/>
          <w:szCs w:val="24"/>
        </w:rPr>
        <w:t xml:space="preserve">facilitating </w:t>
      </w:r>
      <w:r w:rsidR="009A725E">
        <w:rPr>
          <w:bCs/>
          <w:sz w:val="24"/>
          <w:szCs w:val="24"/>
        </w:rPr>
        <w:t xml:space="preserve">rapid directed therapy with these agents in a ‘test and treat’ paradigm maximising therapeutic benefit. </w:t>
      </w:r>
    </w:p>
    <w:p w:rsidR="009A282E" w:rsidRPr="00811D9A" w:rsidRDefault="009A282E" w:rsidP="00A07E92">
      <w:pPr>
        <w:spacing w:after="0" w:line="480" w:lineRule="auto"/>
        <w:jc w:val="both"/>
        <w:rPr>
          <w:bCs/>
          <w:color w:val="000000" w:themeColor="text1"/>
          <w:sz w:val="24"/>
          <w:szCs w:val="24"/>
        </w:rPr>
      </w:pPr>
    </w:p>
    <w:p w:rsidR="009A282E" w:rsidRPr="00811D9A" w:rsidRDefault="009A282E" w:rsidP="00A07E92">
      <w:pPr>
        <w:spacing w:after="0" w:line="480" w:lineRule="auto"/>
        <w:jc w:val="both"/>
        <w:rPr>
          <w:bCs/>
          <w:color w:val="000000" w:themeColor="text1"/>
          <w:sz w:val="24"/>
          <w:szCs w:val="24"/>
        </w:rPr>
      </w:pPr>
      <w:r w:rsidRPr="00811D9A">
        <w:rPr>
          <w:bCs/>
          <w:color w:val="000000" w:themeColor="text1"/>
          <w:sz w:val="24"/>
          <w:szCs w:val="24"/>
        </w:rPr>
        <w:t>The</w:t>
      </w:r>
      <w:r w:rsidR="00AE5E0B">
        <w:rPr>
          <w:bCs/>
          <w:color w:val="000000" w:themeColor="text1"/>
          <w:sz w:val="24"/>
          <w:szCs w:val="24"/>
        </w:rPr>
        <w:t>re are many potential ‘use case</w:t>
      </w:r>
      <w:r w:rsidRPr="00811D9A">
        <w:rPr>
          <w:bCs/>
          <w:color w:val="000000" w:themeColor="text1"/>
          <w:sz w:val="24"/>
          <w:szCs w:val="24"/>
        </w:rPr>
        <w:t>s</w:t>
      </w:r>
      <w:r w:rsidR="00AE5E0B">
        <w:rPr>
          <w:bCs/>
          <w:color w:val="000000" w:themeColor="text1"/>
          <w:sz w:val="24"/>
          <w:szCs w:val="24"/>
        </w:rPr>
        <w:t>’</w:t>
      </w:r>
      <w:r w:rsidRPr="00811D9A">
        <w:rPr>
          <w:bCs/>
          <w:color w:val="000000" w:themeColor="text1"/>
          <w:sz w:val="24"/>
          <w:szCs w:val="24"/>
        </w:rPr>
        <w:t xml:space="preserve"> for point-of-care testing in addition to testing symptomatic acute admissions to hospital, including elective </w:t>
      </w:r>
      <w:r w:rsidR="00CD7E6C" w:rsidRPr="00811D9A">
        <w:rPr>
          <w:bCs/>
          <w:color w:val="000000" w:themeColor="text1"/>
          <w:sz w:val="24"/>
          <w:szCs w:val="24"/>
        </w:rPr>
        <w:t xml:space="preserve">hospital </w:t>
      </w:r>
      <w:r w:rsidRPr="00811D9A">
        <w:rPr>
          <w:bCs/>
          <w:color w:val="000000" w:themeColor="text1"/>
          <w:sz w:val="24"/>
          <w:szCs w:val="24"/>
        </w:rPr>
        <w:t xml:space="preserve">admissions, primary care patients, hospital staff, care home staff and residents, airport screening, school </w:t>
      </w:r>
      <w:r w:rsidR="00CD7E6C" w:rsidRPr="00811D9A">
        <w:rPr>
          <w:bCs/>
          <w:color w:val="000000" w:themeColor="text1"/>
          <w:sz w:val="24"/>
          <w:szCs w:val="24"/>
        </w:rPr>
        <w:t xml:space="preserve">screening </w:t>
      </w:r>
      <w:r w:rsidRPr="00811D9A">
        <w:rPr>
          <w:bCs/>
          <w:color w:val="000000" w:themeColor="text1"/>
          <w:sz w:val="24"/>
          <w:szCs w:val="24"/>
        </w:rPr>
        <w:t xml:space="preserve">and even population level screening. </w:t>
      </w:r>
      <w:r w:rsidR="00CD7E6C" w:rsidRPr="00811D9A">
        <w:rPr>
          <w:bCs/>
          <w:color w:val="000000" w:themeColor="text1"/>
          <w:sz w:val="24"/>
          <w:szCs w:val="24"/>
        </w:rPr>
        <w:t xml:space="preserve">Due to the </w:t>
      </w:r>
      <w:r w:rsidR="00AE5E0B">
        <w:rPr>
          <w:bCs/>
          <w:color w:val="000000" w:themeColor="text1"/>
          <w:sz w:val="24"/>
          <w:szCs w:val="24"/>
        </w:rPr>
        <w:t xml:space="preserve">current </w:t>
      </w:r>
      <w:r w:rsidR="00CD7E6C" w:rsidRPr="00811D9A">
        <w:rPr>
          <w:bCs/>
          <w:color w:val="000000" w:themeColor="text1"/>
          <w:sz w:val="24"/>
          <w:szCs w:val="24"/>
        </w:rPr>
        <w:t xml:space="preserve">lack of availability of suitable POCT platforms </w:t>
      </w:r>
      <w:r w:rsidR="00CD7E6C" w:rsidRPr="00811D9A">
        <w:rPr>
          <w:bCs/>
          <w:color w:val="000000" w:themeColor="text1"/>
          <w:sz w:val="24"/>
          <w:szCs w:val="24"/>
        </w:rPr>
        <w:lastRenderedPageBreak/>
        <w:t xml:space="preserve">for all these use cases, prioritisation must be undertaken and should initially be given to acute admission to hospitals to prevent nosocomially acquired infection. </w:t>
      </w:r>
    </w:p>
    <w:p w:rsidR="00AE2E21" w:rsidRDefault="00AE2E21" w:rsidP="00A07E92">
      <w:pPr>
        <w:spacing w:after="0" w:line="480" w:lineRule="auto"/>
        <w:jc w:val="both"/>
        <w:rPr>
          <w:bCs/>
          <w:sz w:val="24"/>
          <w:szCs w:val="24"/>
        </w:rPr>
      </w:pPr>
    </w:p>
    <w:p w:rsidR="00EB13E5" w:rsidRDefault="009A725E" w:rsidP="00A07E92">
      <w:pPr>
        <w:spacing w:after="0" w:line="480" w:lineRule="auto"/>
        <w:jc w:val="both"/>
        <w:rPr>
          <w:bCs/>
          <w:sz w:val="24"/>
          <w:szCs w:val="24"/>
        </w:rPr>
      </w:pPr>
      <w:r>
        <w:rPr>
          <w:bCs/>
          <w:sz w:val="24"/>
          <w:szCs w:val="24"/>
        </w:rPr>
        <w:t xml:space="preserve">In this study the </w:t>
      </w:r>
      <w:r w:rsidR="00985652">
        <w:rPr>
          <w:bCs/>
          <w:sz w:val="24"/>
          <w:szCs w:val="24"/>
        </w:rPr>
        <w:t>d</w:t>
      </w:r>
      <w:r w:rsidR="00AE2E21">
        <w:rPr>
          <w:bCs/>
          <w:sz w:val="24"/>
          <w:szCs w:val="24"/>
        </w:rPr>
        <w:t xml:space="preserve">iagnostic accuracy </w:t>
      </w:r>
      <w:r w:rsidR="00985652">
        <w:rPr>
          <w:bCs/>
          <w:sz w:val="24"/>
          <w:szCs w:val="24"/>
        </w:rPr>
        <w:t xml:space="preserve">of the QIAstat-Dx SARS-CoV-2 </w:t>
      </w:r>
      <w:r w:rsidR="00DF1EF6">
        <w:rPr>
          <w:bCs/>
          <w:sz w:val="24"/>
          <w:szCs w:val="24"/>
        </w:rPr>
        <w:t xml:space="preserve">assay </w:t>
      </w:r>
      <w:r w:rsidR="00985652">
        <w:rPr>
          <w:bCs/>
          <w:sz w:val="24"/>
          <w:szCs w:val="24"/>
        </w:rPr>
        <w:t xml:space="preserve">was found to be </w:t>
      </w:r>
      <w:r w:rsidR="00316BF4">
        <w:rPr>
          <w:bCs/>
          <w:sz w:val="24"/>
          <w:szCs w:val="24"/>
        </w:rPr>
        <w:t>high</w:t>
      </w:r>
      <w:r>
        <w:rPr>
          <w:bCs/>
          <w:sz w:val="24"/>
          <w:szCs w:val="24"/>
        </w:rPr>
        <w:t xml:space="preserve"> </w:t>
      </w:r>
      <w:r w:rsidR="00985652">
        <w:rPr>
          <w:bCs/>
          <w:sz w:val="24"/>
          <w:szCs w:val="24"/>
        </w:rPr>
        <w:t xml:space="preserve">and </w:t>
      </w:r>
      <w:r>
        <w:rPr>
          <w:bCs/>
          <w:sz w:val="24"/>
          <w:szCs w:val="24"/>
        </w:rPr>
        <w:t xml:space="preserve">initiating </w:t>
      </w:r>
      <w:r w:rsidR="00445601">
        <w:rPr>
          <w:bCs/>
          <w:sz w:val="24"/>
          <w:szCs w:val="24"/>
        </w:rPr>
        <w:t>POCT</w:t>
      </w:r>
      <w:r>
        <w:rPr>
          <w:bCs/>
          <w:sz w:val="24"/>
          <w:szCs w:val="24"/>
        </w:rPr>
        <w:t xml:space="preserve"> alongside laboratory PCR </w:t>
      </w:r>
      <w:r w:rsidR="00BB61F4">
        <w:rPr>
          <w:bCs/>
          <w:sz w:val="24"/>
          <w:szCs w:val="24"/>
        </w:rPr>
        <w:t>alerted us to</w:t>
      </w:r>
      <w:r w:rsidR="00985652">
        <w:rPr>
          <w:bCs/>
          <w:sz w:val="24"/>
          <w:szCs w:val="24"/>
        </w:rPr>
        <w:t xml:space="preserve"> the poor sensitivity of the national</w:t>
      </w:r>
      <w:r w:rsidR="00DA7CE4">
        <w:rPr>
          <w:bCs/>
          <w:sz w:val="24"/>
          <w:szCs w:val="24"/>
        </w:rPr>
        <w:t>ly recommended</w:t>
      </w:r>
      <w:r w:rsidR="00985652">
        <w:rPr>
          <w:bCs/>
          <w:sz w:val="24"/>
          <w:szCs w:val="24"/>
        </w:rPr>
        <w:t xml:space="preserve"> </w:t>
      </w:r>
      <w:r w:rsidR="00AE5E0B">
        <w:rPr>
          <w:bCs/>
          <w:sz w:val="24"/>
          <w:szCs w:val="24"/>
        </w:rPr>
        <w:t>PHE RdRp screening assay</w:t>
      </w:r>
      <w:bookmarkStart w:id="0" w:name="_GoBack"/>
      <w:bookmarkEnd w:id="0"/>
      <w:r w:rsidR="00985652">
        <w:rPr>
          <w:bCs/>
          <w:sz w:val="24"/>
          <w:szCs w:val="24"/>
        </w:rPr>
        <w:t xml:space="preserve"> early in t</w:t>
      </w:r>
      <w:r w:rsidR="00DA7CE4">
        <w:rPr>
          <w:bCs/>
          <w:sz w:val="24"/>
          <w:szCs w:val="24"/>
        </w:rPr>
        <w:t>he course of the first wave, preventing</w:t>
      </w:r>
      <w:r w:rsidR="00985652">
        <w:rPr>
          <w:bCs/>
          <w:sz w:val="24"/>
          <w:szCs w:val="24"/>
        </w:rPr>
        <w:t xml:space="preserve"> the release of </w:t>
      </w:r>
      <w:r>
        <w:rPr>
          <w:bCs/>
          <w:sz w:val="24"/>
          <w:szCs w:val="24"/>
        </w:rPr>
        <w:t>many additional</w:t>
      </w:r>
      <w:r w:rsidR="00985652">
        <w:rPr>
          <w:bCs/>
          <w:sz w:val="24"/>
          <w:szCs w:val="24"/>
        </w:rPr>
        <w:t xml:space="preserve"> false negative results. </w:t>
      </w:r>
      <w:r>
        <w:rPr>
          <w:bCs/>
          <w:sz w:val="24"/>
          <w:szCs w:val="24"/>
        </w:rPr>
        <w:t>Multiple groups across the wor</w:t>
      </w:r>
      <w:r w:rsidR="00DA7CE4">
        <w:rPr>
          <w:bCs/>
          <w:sz w:val="24"/>
          <w:szCs w:val="24"/>
        </w:rPr>
        <w:t>l</w:t>
      </w:r>
      <w:r>
        <w:rPr>
          <w:bCs/>
          <w:sz w:val="24"/>
          <w:szCs w:val="24"/>
        </w:rPr>
        <w:t xml:space="preserve">d </w:t>
      </w:r>
      <w:r w:rsidR="00445601">
        <w:rPr>
          <w:bCs/>
          <w:sz w:val="24"/>
          <w:szCs w:val="24"/>
        </w:rPr>
        <w:t>have now reported on the</w:t>
      </w:r>
      <w:r w:rsidR="00985652">
        <w:rPr>
          <w:bCs/>
          <w:sz w:val="24"/>
          <w:szCs w:val="24"/>
        </w:rPr>
        <w:t xml:space="preserve"> insensitivity of t</w:t>
      </w:r>
      <w:r w:rsidR="00A81DFD">
        <w:rPr>
          <w:bCs/>
          <w:sz w:val="24"/>
          <w:szCs w:val="24"/>
        </w:rPr>
        <w:t xml:space="preserve">he RdRp </w:t>
      </w:r>
      <w:r w:rsidR="00DA7CE4">
        <w:rPr>
          <w:bCs/>
          <w:sz w:val="24"/>
          <w:szCs w:val="24"/>
        </w:rPr>
        <w:t xml:space="preserve">as a gene target in PCR </w:t>
      </w:r>
      <w:r w:rsidR="00A81DFD">
        <w:rPr>
          <w:bCs/>
          <w:sz w:val="24"/>
          <w:szCs w:val="24"/>
        </w:rPr>
        <w:t>assay</w:t>
      </w:r>
      <w:r w:rsidR="00DA7CE4">
        <w:rPr>
          <w:bCs/>
          <w:sz w:val="24"/>
          <w:szCs w:val="24"/>
        </w:rPr>
        <w:t>s</w:t>
      </w:r>
      <w:r w:rsidR="007A5A68">
        <w:rPr>
          <w:bCs/>
          <w:sz w:val="24"/>
          <w:szCs w:val="24"/>
        </w:rPr>
        <w:t xml:space="preserve"> for SARS-CoV-2</w:t>
      </w:r>
      <w:r w:rsidR="00A5126F">
        <w:rPr>
          <w:bCs/>
          <w:sz w:val="24"/>
          <w:szCs w:val="24"/>
        </w:rPr>
        <w:t>.</w:t>
      </w:r>
      <w:r w:rsidR="00273C30">
        <w:rPr>
          <w:bCs/>
          <w:sz w:val="24"/>
          <w:szCs w:val="24"/>
          <w:vertAlign w:val="superscript"/>
        </w:rPr>
        <w:t>20,21</w:t>
      </w:r>
      <w:r w:rsidR="00A5126F">
        <w:rPr>
          <w:bCs/>
          <w:sz w:val="24"/>
          <w:szCs w:val="24"/>
        </w:rPr>
        <w:t xml:space="preserve"> </w:t>
      </w:r>
      <w:r w:rsidR="00445601">
        <w:rPr>
          <w:bCs/>
          <w:sz w:val="24"/>
          <w:szCs w:val="24"/>
        </w:rPr>
        <w:t xml:space="preserve">The findings of this study highlight the shortcoming inherent to instituting PCR </w:t>
      </w:r>
      <w:r w:rsidR="00985652">
        <w:rPr>
          <w:bCs/>
          <w:sz w:val="24"/>
          <w:szCs w:val="24"/>
        </w:rPr>
        <w:t>assay</w:t>
      </w:r>
      <w:r w:rsidR="00A5126F">
        <w:rPr>
          <w:bCs/>
          <w:sz w:val="24"/>
          <w:szCs w:val="24"/>
        </w:rPr>
        <w:t>s</w:t>
      </w:r>
      <w:r w:rsidR="007A5A68">
        <w:rPr>
          <w:bCs/>
          <w:sz w:val="24"/>
          <w:szCs w:val="24"/>
        </w:rPr>
        <w:t xml:space="preserve"> for a novel virus using</w:t>
      </w:r>
      <w:r w:rsidR="007A5A68" w:rsidRPr="007A5A68">
        <w:rPr>
          <w:bCs/>
          <w:sz w:val="24"/>
          <w:szCs w:val="24"/>
        </w:rPr>
        <w:t xml:space="preserve"> </w:t>
      </w:r>
      <w:r w:rsidR="00A5126F">
        <w:rPr>
          <w:bCs/>
          <w:sz w:val="24"/>
          <w:szCs w:val="24"/>
        </w:rPr>
        <w:t xml:space="preserve">a </w:t>
      </w:r>
      <w:r w:rsidR="007A5A68" w:rsidRPr="007A5A68">
        <w:rPr>
          <w:bCs/>
          <w:sz w:val="24"/>
          <w:szCs w:val="24"/>
        </w:rPr>
        <w:t>single gene target</w:t>
      </w:r>
      <w:r w:rsidR="007A5A68">
        <w:rPr>
          <w:bCs/>
          <w:sz w:val="24"/>
          <w:szCs w:val="24"/>
        </w:rPr>
        <w:t xml:space="preserve"> and</w:t>
      </w:r>
      <w:r w:rsidR="007A5A68" w:rsidRPr="007A5A68">
        <w:rPr>
          <w:bCs/>
          <w:sz w:val="24"/>
          <w:szCs w:val="24"/>
        </w:rPr>
        <w:t xml:space="preserve"> </w:t>
      </w:r>
      <w:r w:rsidR="00985652">
        <w:rPr>
          <w:bCs/>
          <w:sz w:val="24"/>
          <w:szCs w:val="24"/>
        </w:rPr>
        <w:t>with</w:t>
      </w:r>
      <w:r w:rsidR="00445601">
        <w:rPr>
          <w:bCs/>
          <w:sz w:val="24"/>
          <w:szCs w:val="24"/>
        </w:rPr>
        <w:t>out</w:t>
      </w:r>
      <w:r w:rsidR="00985652">
        <w:rPr>
          <w:bCs/>
          <w:sz w:val="24"/>
          <w:szCs w:val="24"/>
        </w:rPr>
        <w:t xml:space="preserve"> the availabi</w:t>
      </w:r>
      <w:r w:rsidR="007A5A68">
        <w:rPr>
          <w:bCs/>
          <w:sz w:val="24"/>
          <w:szCs w:val="24"/>
        </w:rPr>
        <w:t xml:space="preserve">lity of robust </w:t>
      </w:r>
      <w:r w:rsidR="00985652">
        <w:rPr>
          <w:bCs/>
          <w:sz w:val="24"/>
          <w:szCs w:val="24"/>
        </w:rPr>
        <w:t>quality assurance</w:t>
      </w:r>
      <w:r w:rsidR="001F5D8D">
        <w:rPr>
          <w:bCs/>
          <w:sz w:val="24"/>
          <w:szCs w:val="24"/>
        </w:rPr>
        <w:t xml:space="preserve"> </w:t>
      </w:r>
      <w:r w:rsidR="001F5D8D" w:rsidRPr="00811D9A">
        <w:rPr>
          <w:bCs/>
          <w:color w:val="000000" w:themeColor="text1"/>
          <w:sz w:val="24"/>
          <w:szCs w:val="24"/>
        </w:rPr>
        <w:t>systems</w:t>
      </w:r>
      <w:r w:rsidR="00445601" w:rsidRPr="00811D9A">
        <w:rPr>
          <w:bCs/>
          <w:color w:val="000000" w:themeColor="text1"/>
          <w:sz w:val="24"/>
          <w:szCs w:val="24"/>
        </w:rPr>
        <w:t xml:space="preserve">. </w:t>
      </w:r>
      <w:r w:rsidR="00CD7E6C" w:rsidRPr="00811D9A">
        <w:rPr>
          <w:bCs/>
          <w:color w:val="000000" w:themeColor="text1"/>
          <w:sz w:val="24"/>
          <w:szCs w:val="24"/>
        </w:rPr>
        <w:t>Not all POCT platforms that are currently available have been shown to be sufficiently sensitive for use in secondary care where the consequences false negative result may be very serious</w:t>
      </w:r>
      <w:r w:rsidR="001146C1" w:rsidRPr="00811D9A">
        <w:rPr>
          <w:bCs/>
          <w:color w:val="000000" w:themeColor="text1"/>
          <w:sz w:val="24"/>
          <w:szCs w:val="24"/>
          <w:vertAlign w:val="superscript"/>
        </w:rPr>
        <w:t>5</w:t>
      </w:r>
      <w:r w:rsidR="00CD7E6C" w:rsidRPr="00811D9A">
        <w:rPr>
          <w:bCs/>
          <w:color w:val="000000" w:themeColor="text1"/>
          <w:sz w:val="24"/>
          <w:szCs w:val="24"/>
        </w:rPr>
        <w:t>. POCT platforms with appropriate levels of accuracy must be</w:t>
      </w:r>
      <w:r w:rsidR="00034A2C" w:rsidRPr="00811D9A">
        <w:rPr>
          <w:bCs/>
          <w:color w:val="000000" w:themeColor="text1"/>
          <w:sz w:val="24"/>
          <w:szCs w:val="24"/>
        </w:rPr>
        <w:t xml:space="preserve"> selected based on </w:t>
      </w:r>
      <w:r w:rsidR="00CD7E6C" w:rsidRPr="00811D9A">
        <w:rPr>
          <w:bCs/>
          <w:color w:val="000000" w:themeColor="text1"/>
          <w:sz w:val="24"/>
          <w:szCs w:val="24"/>
        </w:rPr>
        <w:t xml:space="preserve">the intended use case. </w:t>
      </w:r>
      <w:r w:rsidR="00C20F3B" w:rsidRPr="00811D9A">
        <w:rPr>
          <w:bCs/>
          <w:color w:val="000000" w:themeColor="text1"/>
          <w:sz w:val="24"/>
          <w:szCs w:val="24"/>
        </w:rPr>
        <w:t xml:space="preserve">We would also point out that POCT must be undertaken under a robust overarching governance structure </w:t>
      </w:r>
      <w:r w:rsidR="005F1570" w:rsidRPr="00811D9A">
        <w:rPr>
          <w:bCs/>
          <w:color w:val="000000" w:themeColor="text1"/>
          <w:sz w:val="24"/>
          <w:szCs w:val="24"/>
        </w:rPr>
        <w:t xml:space="preserve">that includes all element so of the testing process including pre and post analytics steps. </w:t>
      </w:r>
    </w:p>
    <w:p w:rsidR="00CD7E6C" w:rsidRDefault="00CD7E6C" w:rsidP="00A07E92">
      <w:pPr>
        <w:spacing w:after="0" w:line="480" w:lineRule="auto"/>
        <w:jc w:val="both"/>
        <w:rPr>
          <w:bCs/>
          <w:sz w:val="24"/>
          <w:szCs w:val="24"/>
        </w:rPr>
      </w:pPr>
    </w:p>
    <w:p w:rsidR="00EB13E5" w:rsidRDefault="00EB13E5" w:rsidP="00A07E92">
      <w:pPr>
        <w:spacing w:after="0" w:line="480" w:lineRule="auto"/>
        <w:jc w:val="both"/>
        <w:rPr>
          <w:bCs/>
          <w:sz w:val="24"/>
          <w:szCs w:val="24"/>
        </w:rPr>
      </w:pPr>
      <w:r>
        <w:rPr>
          <w:bCs/>
          <w:sz w:val="24"/>
          <w:szCs w:val="24"/>
        </w:rPr>
        <w:t>The detection of other respiratory viruses by the QIAstat</w:t>
      </w:r>
      <w:r w:rsidR="00B770A5">
        <w:rPr>
          <w:bCs/>
          <w:sz w:val="24"/>
          <w:szCs w:val="24"/>
        </w:rPr>
        <w:t>-</w:t>
      </w:r>
      <w:r>
        <w:rPr>
          <w:bCs/>
          <w:sz w:val="24"/>
          <w:szCs w:val="24"/>
        </w:rPr>
        <w:t xml:space="preserve">Dx Respiratory SARS CoV-2 Panel was infrequent during this study, presumably </w:t>
      </w:r>
      <w:r w:rsidR="0030232B">
        <w:rPr>
          <w:bCs/>
          <w:sz w:val="24"/>
          <w:szCs w:val="24"/>
        </w:rPr>
        <w:t xml:space="preserve">due to </w:t>
      </w:r>
      <w:r>
        <w:rPr>
          <w:bCs/>
          <w:sz w:val="24"/>
          <w:szCs w:val="24"/>
        </w:rPr>
        <w:t xml:space="preserve">reduced circulation of viruses </w:t>
      </w:r>
      <w:r w:rsidR="0005192D">
        <w:rPr>
          <w:bCs/>
          <w:sz w:val="24"/>
          <w:szCs w:val="24"/>
        </w:rPr>
        <w:t>resulting</w:t>
      </w:r>
      <w:r w:rsidR="00F36AB9">
        <w:rPr>
          <w:bCs/>
          <w:sz w:val="24"/>
          <w:szCs w:val="24"/>
        </w:rPr>
        <w:t xml:space="preserve"> from social distancing measures or </w:t>
      </w:r>
      <w:r>
        <w:rPr>
          <w:bCs/>
          <w:sz w:val="24"/>
          <w:szCs w:val="24"/>
        </w:rPr>
        <w:t xml:space="preserve">due to viral interference from SARS-CoV-2. In Europe COVID-19 incidence is currently low, however a second wave is expected this winter which may coincide with seasonal </w:t>
      </w:r>
      <w:r w:rsidR="00EE2310">
        <w:rPr>
          <w:bCs/>
          <w:sz w:val="24"/>
          <w:szCs w:val="24"/>
        </w:rPr>
        <w:t xml:space="preserve">epidemics </w:t>
      </w:r>
      <w:r w:rsidR="0030232B">
        <w:rPr>
          <w:bCs/>
          <w:sz w:val="24"/>
          <w:szCs w:val="24"/>
        </w:rPr>
        <w:t>of other viruses including i</w:t>
      </w:r>
      <w:r>
        <w:rPr>
          <w:bCs/>
          <w:sz w:val="24"/>
          <w:szCs w:val="24"/>
        </w:rPr>
        <w:t xml:space="preserve">nfluenza and RSV. </w:t>
      </w:r>
      <w:r w:rsidR="00421478">
        <w:rPr>
          <w:bCs/>
          <w:sz w:val="24"/>
          <w:szCs w:val="24"/>
        </w:rPr>
        <w:t xml:space="preserve"> Therefore the</w:t>
      </w:r>
      <w:r>
        <w:rPr>
          <w:bCs/>
          <w:sz w:val="24"/>
          <w:szCs w:val="24"/>
        </w:rPr>
        <w:t xml:space="preserve"> use of </w:t>
      </w:r>
      <w:r w:rsidR="00EE2310">
        <w:rPr>
          <w:bCs/>
          <w:sz w:val="24"/>
          <w:szCs w:val="24"/>
        </w:rPr>
        <w:t xml:space="preserve">syndromic </w:t>
      </w:r>
      <w:r>
        <w:rPr>
          <w:bCs/>
          <w:sz w:val="24"/>
          <w:szCs w:val="24"/>
        </w:rPr>
        <w:t>POCT</w:t>
      </w:r>
      <w:r w:rsidR="00421478">
        <w:rPr>
          <w:bCs/>
          <w:sz w:val="24"/>
          <w:szCs w:val="24"/>
        </w:rPr>
        <w:t>s</w:t>
      </w:r>
      <w:r>
        <w:rPr>
          <w:bCs/>
          <w:sz w:val="24"/>
          <w:szCs w:val="24"/>
        </w:rPr>
        <w:t xml:space="preserve"> that test for </w:t>
      </w:r>
      <w:r w:rsidR="00421478">
        <w:rPr>
          <w:bCs/>
          <w:sz w:val="24"/>
          <w:szCs w:val="24"/>
        </w:rPr>
        <w:t xml:space="preserve">SARS-CoV-2 and </w:t>
      </w:r>
      <w:r>
        <w:rPr>
          <w:bCs/>
          <w:sz w:val="24"/>
          <w:szCs w:val="24"/>
        </w:rPr>
        <w:t xml:space="preserve">other viruses will be vital for </w:t>
      </w:r>
      <w:r>
        <w:rPr>
          <w:bCs/>
          <w:sz w:val="24"/>
          <w:szCs w:val="24"/>
        </w:rPr>
        <w:lastRenderedPageBreak/>
        <w:t xml:space="preserve">hospitals to rapidly differentiate </w:t>
      </w:r>
      <w:r w:rsidR="00421478">
        <w:rPr>
          <w:bCs/>
          <w:sz w:val="24"/>
          <w:szCs w:val="24"/>
        </w:rPr>
        <w:t xml:space="preserve">the cause of acute respiratory illness and manage patients appropriately. </w:t>
      </w:r>
    </w:p>
    <w:p w:rsidR="00AE2E21" w:rsidRPr="00AE2E21" w:rsidRDefault="00AE2E21" w:rsidP="00A07E92">
      <w:pPr>
        <w:spacing w:after="0" w:line="480" w:lineRule="auto"/>
        <w:jc w:val="both"/>
        <w:rPr>
          <w:bCs/>
          <w:sz w:val="24"/>
          <w:szCs w:val="24"/>
          <w:u w:val="single"/>
        </w:rPr>
      </w:pPr>
    </w:p>
    <w:p w:rsidR="0000106C" w:rsidRDefault="009A725E" w:rsidP="00A07E92">
      <w:pPr>
        <w:spacing w:after="0" w:line="480" w:lineRule="auto"/>
        <w:jc w:val="both"/>
        <w:rPr>
          <w:bCs/>
          <w:sz w:val="24"/>
          <w:szCs w:val="24"/>
        </w:rPr>
      </w:pPr>
      <w:r>
        <w:rPr>
          <w:bCs/>
          <w:sz w:val="24"/>
          <w:szCs w:val="24"/>
        </w:rPr>
        <w:t>This study has a number of limitations</w:t>
      </w:r>
      <w:r w:rsidR="007A5A68">
        <w:rPr>
          <w:bCs/>
          <w:sz w:val="24"/>
          <w:szCs w:val="24"/>
        </w:rPr>
        <w:t>,</w:t>
      </w:r>
      <w:r>
        <w:rPr>
          <w:bCs/>
          <w:sz w:val="24"/>
          <w:szCs w:val="24"/>
        </w:rPr>
        <w:t xml:space="preserve"> the most important of which is its non-randomised nature. </w:t>
      </w:r>
      <w:r w:rsidR="0000106C">
        <w:rPr>
          <w:bCs/>
          <w:sz w:val="24"/>
          <w:szCs w:val="24"/>
        </w:rPr>
        <w:t xml:space="preserve">There were </w:t>
      </w:r>
      <w:r w:rsidR="0000106C" w:rsidRPr="00811D9A">
        <w:rPr>
          <w:bCs/>
          <w:color w:val="000000" w:themeColor="text1"/>
          <w:sz w:val="24"/>
          <w:szCs w:val="24"/>
        </w:rPr>
        <w:t xml:space="preserve">differences between the groups at baseline in terms of their respiratory symptoms and signs </w:t>
      </w:r>
      <w:r w:rsidR="00CC5A1D" w:rsidRPr="00811D9A">
        <w:rPr>
          <w:bCs/>
          <w:color w:val="000000" w:themeColor="text1"/>
          <w:sz w:val="24"/>
          <w:szCs w:val="24"/>
        </w:rPr>
        <w:t xml:space="preserve">and NEWS2 score </w:t>
      </w:r>
      <w:r w:rsidR="0000106C" w:rsidRPr="00811D9A">
        <w:rPr>
          <w:bCs/>
          <w:color w:val="000000" w:themeColor="text1"/>
          <w:sz w:val="24"/>
          <w:szCs w:val="24"/>
        </w:rPr>
        <w:t xml:space="preserve">that </w:t>
      </w:r>
      <w:r w:rsidR="0000106C">
        <w:rPr>
          <w:bCs/>
          <w:sz w:val="24"/>
          <w:szCs w:val="24"/>
        </w:rPr>
        <w:t xml:space="preserve">are explained by the higher prevalence of COVID-19 in the POCT group. Similarly the </w:t>
      </w:r>
      <w:r w:rsidR="003A4621">
        <w:rPr>
          <w:bCs/>
          <w:sz w:val="24"/>
          <w:szCs w:val="24"/>
        </w:rPr>
        <w:t xml:space="preserve">longer length of stay and </w:t>
      </w:r>
      <w:r w:rsidR="0000106C">
        <w:rPr>
          <w:bCs/>
          <w:sz w:val="24"/>
          <w:szCs w:val="24"/>
        </w:rPr>
        <w:t>higher rate of antibiotic</w:t>
      </w:r>
      <w:r w:rsidR="003A4621">
        <w:rPr>
          <w:bCs/>
          <w:sz w:val="24"/>
          <w:szCs w:val="24"/>
        </w:rPr>
        <w:t xml:space="preserve"> use and </w:t>
      </w:r>
      <w:r w:rsidR="0000106C">
        <w:rPr>
          <w:bCs/>
          <w:sz w:val="24"/>
          <w:szCs w:val="24"/>
        </w:rPr>
        <w:t xml:space="preserve">ICU </w:t>
      </w:r>
      <w:r w:rsidR="003A4621">
        <w:rPr>
          <w:bCs/>
          <w:sz w:val="24"/>
          <w:szCs w:val="24"/>
        </w:rPr>
        <w:t xml:space="preserve">admission </w:t>
      </w:r>
      <w:r w:rsidR="0000106C">
        <w:rPr>
          <w:bCs/>
          <w:sz w:val="24"/>
          <w:szCs w:val="24"/>
        </w:rPr>
        <w:t xml:space="preserve">in the POCT group are also likely to be explained by this. Patients in the </w:t>
      </w:r>
      <w:r w:rsidR="00B770A5">
        <w:rPr>
          <w:bCs/>
          <w:sz w:val="24"/>
          <w:szCs w:val="24"/>
        </w:rPr>
        <w:t>POCT group</w:t>
      </w:r>
      <w:r w:rsidR="003A4621">
        <w:rPr>
          <w:bCs/>
          <w:sz w:val="24"/>
          <w:szCs w:val="24"/>
        </w:rPr>
        <w:t xml:space="preserve"> were recruited during the day by research staff and eligible patients were highlighted initially by clinical staff in the ED. It is likely that patients considered to be at high </w:t>
      </w:r>
      <w:r w:rsidR="00BE6A06">
        <w:rPr>
          <w:bCs/>
          <w:sz w:val="24"/>
          <w:szCs w:val="24"/>
        </w:rPr>
        <w:t xml:space="preserve">likelihood of COVID-19 were </w:t>
      </w:r>
      <w:r w:rsidR="003A4621">
        <w:rPr>
          <w:bCs/>
          <w:sz w:val="24"/>
          <w:szCs w:val="24"/>
        </w:rPr>
        <w:t>prioritised for POCT by</w:t>
      </w:r>
      <w:r w:rsidR="00171B32">
        <w:rPr>
          <w:bCs/>
          <w:sz w:val="24"/>
          <w:szCs w:val="24"/>
        </w:rPr>
        <w:t xml:space="preserve"> clinical staff</w:t>
      </w:r>
      <w:r w:rsidR="00EE2310">
        <w:rPr>
          <w:bCs/>
          <w:sz w:val="24"/>
          <w:szCs w:val="24"/>
        </w:rPr>
        <w:t>,</w:t>
      </w:r>
      <w:r w:rsidR="00171B32">
        <w:rPr>
          <w:bCs/>
          <w:sz w:val="24"/>
          <w:szCs w:val="24"/>
        </w:rPr>
        <w:t xml:space="preserve"> leading to the</w:t>
      </w:r>
      <w:r w:rsidR="0003619C">
        <w:rPr>
          <w:bCs/>
          <w:sz w:val="24"/>
          <w:szCs w:val="24"/>
        </w:rPr>
        <w:t>se</w:t>
      </w:r>
      <w:r w:rsidR="003A4621">
        <w:rPr>
          <w:bCs/>
          <w:sz w:val="24"/>
          <w:szCs w:val="24"/>
        </w:rPr>
        <w:t xml:space="preserve"> differences</w:t>
      </w:r>
      <w:r w:rsidR="0003619C">
        <w:rPr>
          <w:bCs/>
          <w:sz w:val="24"/>
          <w:szCs w:val="24"/>
        </w:rPr>
        <w:t>.</w:t>
      </w:r>
    </w:p>
    <w:p w:rsidR="0000106C" w:rsidRDefault="0000106C" w:rsidP="00A07E92">
      <w:pPr>
        <w:spacing w:after="0" w:line="480" w:lineRule="auto"/>
        <w:jc w:val="both"/>
        <w:rPr>
          <w:bCs/>
          <w:sz w:val="24"/>
          <w:szCs w:val="24"/>
        </w:rPr>
      </w:pPr>
    </w:p>
    <w:p w:rsidR="00EE2310" w:rsidRDefault="0003619C" w:rsidP="00A07E92">
      <w:pPr>
        <w:spacing w:after="0" w:line="480" w:lineRule="auto"/>
        <w:jc w:val="both"/>
        <w:rPr>
          <w:bCs/>
          <w:sz w:val="24"/>
          <w:szCs w:val="24"/>
        </w:rPr>
      </w:pPr>
      <w:r>
        <w:rPr>
          <w:bCs/>
          <w:sz w:val="24"/>
          <w:szCs w:val="24"/>
        </w:rPr>
        <w:t>W</w:t>
      </w:r>
      <w:r w:rsidR="007A5A68" w:rsidRPr="00273C30">
        <w:rPr>
          <w:bCs/>
          <w:sz w:val="24"/>
          <w:szCs w:val="24"/>
        </w:rPr>
        <w:t>e have attempted to control for</w:t>
      </w:r>
      <w:r w:rsidR="009A725E" w:rsidRPr="00273C30">
        <w:rPr>
          <w:bCs/>
          <w:sz w:val="24"/>
          <w:szCs w:val="24"/>
        </w:rPr>
        <w:t xml:space="preserve"> bias through the use of m</w:t>
      </w:r>
      <w:r>
        <w:rPr>
          <w:bCs/>
          <w:sz w:val="24"/>
          <w:szCs w:val="24"/>
        </w:rPr>
        <w:t>ultivariable</w:t>
      </w:r>
      <w:r w:rsidR="009A725E" w:rsidRPr="00273C30">
        <w:rPr>
          <w:bCs/>
          <w:sz w:val="24"/>
          <w:szCs w:val="24"/>
        </w:rPr>
        <w:t xml:space="preserve"> analyses </w:t>
      </w:r>
      <w:r w:rsidR="007A5A68" w:rsidRPr="00273C30">
        <w:rPr>
          <w:bCs/>
          <w:sz w:val="24"/>
          <w:szCs w:val="24"/>
        </w:rPr>
        <w:t>for key outcomes</w:t>
      </w:r>
      <w:r w:rsidR="009A725E" w:rsidRPr="00273C30">
        <w:rPr>
          <w:bCs/>
          <w:sz w:val="24"/>
          <w:szCs w:val="24"/>
        </w:rPr>
        <w:t xml:space="preserve">. </w:t>
      </w:r>
      <w:r w:rsidRPr="0003619C">
        <w:rPr>
          <w:bCs/>
          <w:sz w:val="24"/>
          <w:szCs w:val="24"/>
        </w:rPr>
        <w:t>The multivariable analyses were based on a directed acyclic graph representing the research team’s knowledge of variables related to group assignment and time to results or destination, allowing us to identify and control f</w:t>
      </w:r>
      <w:r w:rsidR="00EE2310">
        <w:rPr>
          <w:bCs/>
          <w:sz w:val="24"/>
          <w:szCs w:val="24"/>
        </w:rPr>
        <w:t>or confounding variables while avoiding</w:t>
      </w:r>
      <w:r w:rsidRPr="0003619C">
        <w:rPr>
          <w:bCs/>
          <w:sz w:val="24"/>
          <w:szCs w:val="24"/>
        </w:rPr>
        <w:t xml:space="preserve"> spurious association between group and outcome. However, it is possible that other unrecognised confounders may exist that impact the relationship between group and outcome. We believe</w:t>
      </w:r>
      <w:r>
        <w:rPr>
          <w:bCs/>
          <w:sz w:val="24"/>
          <w:szCs w:val="24"/>
        </w:rPr>
        <w:t xml:space="preserve"> the </w:t>
      </w:r>
      <w:r w:rsidR="0000106C" w:rsidRPr="00273C30">
        <w:rPr>
          <w:bCs/>
          <w:sz w:val="24"/>
          <w:szCs w:val="24"/>
        </w:rPr>
        <w:t xml:space="preserve">plausibility and </w:t>
      </w:r>
      <w:r w:rsidR="009A725E" w:rsidRPr="00273C30">
        <w:rPr>
          <w:bCs/>
          <w:sz w:val="24"/>
          <w:szCs w:val="24"/>
        </w:rPr>
        <w:t xml:space="preserve">magnitude of </w:t>
      </w:r>
      <w:r w:rsidR="00171B32">
        <w:rPr>
          <w:bCs/>
          <w:sz w:val="24"/>
          <w:szCs w:val="24"/>
        </w:rPr>
        <w:t xml:space="preserve">the </w:t>
      </w:r>
      <w:r w:rsidR="009A725E" w:rsidRPr="00273C30">
        <w:rPr>
          <w:bCs/>
          <w:sz w:val="24"/>
          <w:szCs w:val="24"/>
        </w:rPr>
        <w:t>effect for</w:t>
      </w:r>
      <w:r>
        <w:rPr>
          <w:bCs/>
          <w:sz w:val="24"/>
          <w:szCs w:val="24"/>
        </w:rPr>
        <w:t xml:space="preserve"> the outcomes </w:t>
      </w:r>
      <w:r w:rsidR="009A725E" w:rsidRPr="00273C30">
        <w:rPr>
          <w:bCs/>
          <w:sz w:val="24"/>
          <w:szCs w:val="24"/>
        </w:rPr>
        <w:t xml:space="preserve">make it </w:t>
      </w:r>
      <w:r w:rsidR="007A5A68" w:rsidRPr="00273C30">
        <w:rPr>
          <w:bCs/>
          <w:sz w:val="24"/>
          <w:szCs w:val="24"/>
        </w:rPr>
        <w:t xml:space="preserve">highly </w:t>
      </w:r>
      <w:r>
        <w:rPr>
          <w:bCs/>
          <w:sz w:val="24"/>
          <w:szCs w:val="24"/>
        </w:rPr>
        <w:t xml:space="preserve">unlikely that </w:t>
      </w:r>
      <w:r w:rsidRPr="0003619C">
        <w:rPr>
          <w:bCs/>
          <w:sz w:val="24"/>
          <w:szCs w:val="24"/>
        </w:rPr>
        <w:t xml:space="preserve">the process of group assignment would </w:t>
      </w:r>
      <w:r w:rsidRPr="001A38C1">
        <w:rPr>
          <w:bCs/>
          <w:sz w:val="24"/>
          <w:szCs w:val="24"/>
        </w:rPr>
        <w:t xml:space="preserve">significantly </w:t>
      </w:r>
      <w:r>
        <w:rPr>
          <w:bCs/>
          <w:sz w:val="24"/>
          <w:szCs w:val="24"/>
        </w:rPr>
        <w:t xml:space="preserve">alter the conclusions </w:t>
      </w:r>
      <w:r w:rsidRPr="00811D9A">
        <w:rPr>
          <w:bCs/>
          <w:color w:val="000000" w:themeColor="text1"/>
          <w:sz w:val="24"/>
          <w:szCs w:val="24"/>
        </w:rPr>
        <w:t xml:space="preserve">of the study. </w:t>
      </w:r>
      <w:r w:rsidR="009A282E" w:rsidRPr="00811D9A">
        <w:rPr>
          <w:bCs/>
          <w:color w:val="000000" w:themeColor="text1"/>
          <w:sz w:val="24"/>
          <w:szCs w:val="24"/>
        </w:rPr>
        <w:t xml:space="preserve">Whilst the result of this study are compelling we do acknowledge that as a non-randomised study they are not fully definitive and ideally should be confirmed with a randomised trial. This would, however, be difficult to conduct currently in the UK due to the low incidence of COVID-19. </w:t>
      </w:r>
      <w:r w:rsidR="00C205DE" w:rsidRPr="00811D9A">
        <w:rPr>
          <w:bCs/>
          <w:color w:val="000000" w:themeColor="text1"/>
          <w:sz w:val="24"/>
          <w:szCs w:val="24"/>
        </w:rPr>
        <w:t xml:space="preserve">In addition there </w:t>
      </w:r>
      <w:r w:rsidR="00D05765" w:rsidRPr="00811D9A">
        <w:rPr>
          <w:bCs/>
          <w:color w:val="000000" w:themeColor="text1"/>
          <w:sz w:val="24"/>
          <w:szCs w:val="24"/>
        </w:rPr>
        <w:t xml:space="preserve">remain uncertainties around the ideal </w:t>
      </w:r>
      <w:r w:rsidR="00D05765" w:rsidRPr="00811D9A">
        <w:rPr>
          <w:bCs/>
          <w:color w:val="000000" w:themeColor="text1"/>
          <w:sz w:val="24"/>
          <w:szCs w:val="24"/>
        </w:rPr>
        <w:lastRenderedPageBreak/>
        <w:t xml:space="preserve">implementation model for POCT in hospitals. There are </w:t>
      </w:r>
      <w:r w:rsidR="00C205DE" w:rsidRPr="00811D9A">
        <w:rPr>
          <w:bCs/>
          <w:color w:val="000000" w:themeColor="text1"/>
          <w:sz w:val="24"/>
          <w:szCs w:val="24"/>
        </w:rPr>
        <w:t>several differen</w:t>
      </w:r>
      <w:r w:rsidR="00D05765" w:rsidRPr="00811D9A">
        <w:rPr>
          <w:bCs/>
          <w:color w:val="000000" w:themeColor="text1"/>
          <w:sz w:val="24"/>
          <w:szCs w:val="24"/>
        </w:rPr>
        <w:t xml:space="preserve">t </w:t>
      </w:r>
      <w:r w:rsidR="00C205DE" w:rsidRPr="00811D9A">
        <w:rPr>
          <w:bCs/>
          <w:color w:val="000000" w:themeColor="text1"/>
          <w:sz w:val="24"/>
          <w:szCs w:val="24"/>
        </w:rPr>
        <w:t>models for deploy</w:t>
      </w:r>
      <w:r w:rsidR="00D05765" w:rsidRPr="00811D9A">
        <w:rPr>
          <w:bCs/>
          <w:color w:val="000000" w:themeColor="text1"/>
          <w:sz w:val="24"/>
          <w:szCs w:val="24"/>
        </w:rPr>
        <w:t>ment</w:t>
      </w:r>
      <w:r w:rsidR="00C205DE" w:rsidRPr="00811D9A">
        <w:rPr>
          <w:bCs/>
          <w:color w:val="000000" w:themeColor="text1"/>
          <w:sz w:val="24"/>
          <w:szCs w:val="24"/>
        </w:rPr>
        <w:t xml:space="preserve"> including nurse delivered POCT and laboratory technician delivered testing and the most appropriate and cost effective of these will vary between health care institutions. </w:t>
      </w:r>
    </w:p>
    <w:p w:rsidR="00EE2310" w:rsidRDefault="00EE2310" w:rsidP="00A07E92">
      <w:pPr>
        <w:spacing w:after="0" w:line="480" w:lineRule="auto"/>
        <w:jc w:val="both"/>
        <w:rPr>
          <w:bCs/>
          <w:sz w:val="24"/>
          <w:szCs w:val="24"/>
        </w:rPr>
      </w:pPr>
    </w:p>
    <w:p w:rsidR="000B3E58" w:rsidRPr="00975F2B" w:rsidRDefault="00EE2310" w:rsidP="00A07E92">
      <w:pPr>
        <w:spacing w:after="0" w:line="480" w:lineRule="auto"/>
        <w:jc w:val="both"/>
        <w:rPr>
          <w:bCs/>
          <w:color w:val="000000" w:themeColor="text1"/>
          <w:sz w:val="24"/>
          <w:szCs w:val="24"/>
        </w:rPr>
      </w:pPr>
      <w:r>
        <w:rPr>
          <w:bCs/>
          <w:sz w:val="24"/>
          <w:szCs w:val="24"/>
        </w:rPr>
        <w:t>T</w:t>
      </w:r>
      <w:r w:rsidR="00A6385D" w:rsidRPr="00273C30">
        <w:rPr>
          <w:bCs/>
          <w:sz w:val="24"/>
          <w:szCs w:val="24"/>
        </w:rPr>
        <w:t>he same swab could not be used for both the P</w:t>
      </w:r>
      <w:r w:rsidR="007A5A68" w:rsidRPr="00273C30">
        <w:rPr>
          <w:bCs/>
          <w:sz w:val="24"/>
          <w:szCs w:val="24"/>
        </w:rPr>
        <w:t>O</w:t>
      </w:r>
      <w:r w:rsidR="00A6385D" w:rsidRPr="00273C30">
        <w:rPr>
          <w:bCs/>
          <w:sz w:val="24"/>
          <w:szCs w:val="24"/>
        </w:rPr>
        <w:t xml:space="preserve">CT and laboratory testing </w:t>
      </w:r>
      <w:r>
        <w:rPr>
          <w:bCs/>
          <w:sz w:val="24"/>
          <w:szCs w:val="24"/>
        </w:rPr>
        <w:t xml:space="preserve">so </w:t>
      </w:r>
      <w:r w:rsidR="00A6385D" w:rsidRPr="00273C30">
        <w:rPr>
          <w:bCs/>
          <w:sz w:val="24"/>
          <w:szCs w:val="24"/>
        </w:rPr>
        <w:t>a second swab was obtained contemporaneous</w:t>
      </w:r>
      <w:r>
        <w:rPr>
          <w:bCs/>
          <w:sz w:val="24"/>
          <w:szCs w:val="24"/>
        </w:rPr>
        <w:t xml:space="preserve">ly for </w:t>
      </w:r>
      <w:r w:rsidRPr="00811D9A">
        <w:rPr>
          <w:bCs/>
          <w:color w:val="000000" w:themeColor="text1"/>
          <w:sz w:val="24"/>
          <w:szCs w:val="24"/>
        </w:rPr>
        <w:t>laboratory testing and</w:t>
      </w:r>
      <w:r w:rsidR="00A6385D" w:rsidRPr="00811D9A">
        <w:rPr>
          <w:bCs/>
          <w:color w:val="000000" w:themeColor="text1"/>
          <w:sz w:val="24"/>
          <w:szCs w:val="24"/>
        </w:rPr>
        <w:t xml:space="preserve"> this could have contributed to </w:t>
      </w:r>
      <w:r w:rsidR="007A5A68" w:rsidRPr="00811D9A">
        <w:rPr>
          <w:bCs/>
          <w:color w:val="000000" w:themeColor="text1"/>
          <w:sz w:val="24"/>
          <w:szCs w:val="24"/>
        </w:rPr>
        <w:t xml:space="preserve">the </w:t>
      </w:r>
      <w:r w:rsidR="00A6385D" w:rsidRPr="00811D9A">
        <w:rPr>
          <w:bCs/>
          <w:color w:val="000000" w:themeColor="text1"/>
          <w:sz w:val="24"/>
          <w:szCs w:val="24"/>
        </w:rPr>
        <w:t xml:space="preserve">differences seen </w:t>
      </w:r>
      <w:r w:rsidR="0005192D" w:rsidRPr="00811D9A">
        <w:rPr>
          <w:bCs/>
          <w:color w:val="000000" w:themeColor="text1"/>
          <w:sz w:val="24"/>
          <w:szCs w:val="24"/>
        </w:rPr>
        <w:t xml:space="preserve">in </w:t>
      </w:r>
      <w:r w:rsidR="00A6385D" w:rsidRPr="00811D9A">
        <w:rPr>
          <w:bCs/>
          <w:color w:val="000000" w:themeColor="text1"/>
          <w:sz w:val="24"/>
          <w:szCs w:val="24"/>
        </w:rPr>
        <w:t>diagnostic accuracy</w:t>
      </w:r>
      <w:r w:rsidR="006747D1" w:rsidRPr="00811D9A">
        <w:rPr>
          <w:bCs/>
          <w:color w:val="000000" w:themeColor="text1"/>
          <w:sz w:val="24"/>
          <w:szCs w:val="24"/>
        </w:rPr>
        <w:t xml:space="preserve"> in terms of swabbing technique</w:t>
      </w:r>
      <w:r w:rsidR="00A6385D" w:rsidRPr="00811D9A">
        <w:rPr>
          <w:bCs/>
          <w:color w:val="000000" w:themeColor="text1"/>
          <w:sz w:val="24"/>
          <w:szCs w:val="24"/>
        </w:rPr>
        <w:t>.</w:t>
      </w:r>
      <w:r w:rsidR="00A6385D" w:rsidRPr="00EA79B8">
        <w:rPr>
          <w:bCs/>
          <w:color w:val="000000" w:themeColor="text1"/>
          <w:sz w:val="24"/>
          <w:szCs w:val="24"/>
        </w:rPr>
        <w:t xml:space="preserve"> </w:t>
      </w:r>
      <w:r w:rsidR="00316BF4" w:rsidRPr="00EA79B8">
        <w:rPr>
          <w:bCs/>
          <w:color w:val="000000" w:themeColor="text1"/>
          <w:sz w:val="24"/>
          <w:szCs w:val="24"/>
        </w:rPr>
        <w:t>Our estimates of diagnostic accuracy are also complicated by the use of the PHE RdRp assay as our comparator. Due to the poor sensitivity of RdRp we cannot be sure that the QIAstatDx did not generate false negative results that were also not detected by RdRp but would have been detected by a more sensitive assay. In addition several POCT positive</w:t>
      </w:r>
      <w:r w:rsidR="00975F2B" w:rsidRPr="00EA79B8">
        <w:rPr>
          <w:bCs/>
          <w:color w:val="000000" w:themeColor="text1"/>
          <w:sz w:val="24"/>
          <w:szCs w:val="24"/>
        </w:rPr>
        <w:t xml:space="preserve"> samples could not be tested by RdRp as samples were not sent to the laboratory, which could have affected the overall measures of performance. </w:t>
      </w:r>
      <w:r w:rsidR="0000106C" w:rsidRPr="00811D9A">
        <w:rPr>
          <w:bCs/>
          <w:color w:val="000000" w:themeColor="text1"/>
          <w:sz w:val="24"/>
          <w:szCs w:val="24"/>
        </w:rPr>
        <w:t xml:space="preserve">Finally, as </w:t>
      </w:r>
      <w:r w:rsidR="0000106C" w:rsidRPr="00273C30">
        <w:rPr>
          <w:bCs/>
          <w:sz w:val="24"/>
          <w:szCs w:val="24"/>
        </w:rPr>
        <w:t>t</w:t>
      </w:r>
      <w:r w:rsidR="000B3E58" w:rsidRPr="00273C30">
        <w:rPr>
          <w:bCs/>
          <w:sz w:val="24"/>
          <w:szCs w:val="24"/>
        </w:rPr>
        <w:t>his study was performed in symptomati</w:t>
      </w:r>
      <w:r w:rsidR="0000106C" w:rsidRPr="00273C30">
        <w:rPr>
          <w:bCs/>
          <w:sz w:val="24"/>
          <w:szCs w:val="24"/>
        </w:rPr>
        <w:t xml:space="preserve">c adults presenting to hospital, </w:t>
      </w:r>
      <w:r w:rsidR="000B3E58" w:rsidRPr="00273C30">
        <w:rPr>
          <w:bCs/>
          <w:sz w:val="24"/>
          <w:szCs w:val="24"/>
        </w:rPr>
        <w:t>the impact of POCT in other patient groups such as childr</w:t>
      </w:r>
      <w:r w:rsidR="00BE6A06">
        <w:rPr>
          <w:bCs/>
          <w:sz w:val="24"/>
          <w:szCs w:val="24"/>
        </w:rPr>
        <w:t>en, community dwelling adults and</w:t>
      </w:r>
      <w:r w:rsidR="000B3E58" w:rsidRPr="00273C30">
        <w:rPr>
          <w:bCs/>
          <w:sz w:val="24"/>
          <w:szCs w:val="24"/>
        </w:rPr>
        <w:t xml:space="preserve"> those who are asympto</w:t>
      </w:r>
      <w:r w:rsidR="00BE6A06">
        <w:rPr>
          <w:bCs/>
          <w:sz w:val="24"/>
          <w:szCs w:val="24"/>
        </w:rPr>
        <w:t>ma</w:t>
      </w:r>
      <w:r w:rsidR="000B3E58" w:rsidRPr="00273C30">
        <w:rPr>
          <w:bCs/>
          <w:sz w:val="24"/>
          <w:szCs w:val="24"/>
        </w:rPr>
        <w:t xml:space="preserve">tic or pauci-symptomatic, is </w:t>
      </w:r>
      <w:r w:rsidR="007A5A68" w:rsidRPr="00273C30">
        <w:rPr>
          <w:bCs/>
          <w:sz w:val="24"/>
          <w:szCs w:val="24"/>
        </w:rPr>
        <w:t xml:space="preserve">currently </w:t>
      </w:r>
      <w:r w:rsidR="000B3E58" w:rsidRPr="00273C30">
        <w:rPr>
          <w:bCs/>
          <w:sz w:val="24"/>
          <w:szCs w:val="24"/>
        </w:rPr>
        <w:t>unknown.</w:t>
      </w:r>
      <w:r w:rsidR="000B3E58">
        <w:rPr>
          <w:bCs/>
          <w:sz w:val="24"/>
          <w:szCs w:val="24"/>
        </w:rPr>
        <w:t xml:space="preserve"> </w:t>
      </w:r>
    </w:p>
    <w:p w:rsidR="004D4626" w:rsidRPr="00811D9A" w:rsidRDefault="004D4626" w:rsidP="00A07E92">
      <w:pPr>
        <w:spacing w:after="0" w:line="480" w:lineRule="auto"/>
        <w:jc w:val="both"/>
        <w:rPr>
          <w:bCs/>
          <w:color w:val="000000" w:themeColor="text1"/>
          <w:sz w:val="24"/>
          <w:szCs w:val="24"/>
        </w:rPr>
      </w:pPr>
    </w:p>
    <w:p w:rsidR="00EE5AD2" w:rsidRDefault="001F5D8D" w:rsidP="00A07E92">
      <w:pPr>
        <w:spacing w:after="0" w:line="480" w:lineRule="auto"/>
        <w:jc w:val="both"/>
        <w:rPr>
          <w:bCs/>
          <w:color w:val="000000" w:themeColor="text1"/>
          <w:sz w:val="24"/>
          <w:szCs w:val="24"/>
        </w:rPr>
      </w:pPr>
      <w:r w:rsidRPr="00811D9A">
        <w:rPr>
          <w:bCs/>
          <w:color w:val="000000" w:themeColor="text1"/>
          <w:sz w:val="24"/>
          <w:szCs w:val="24"/>
        </w:rPr>
        <w:t xml:space="preserve">In summary, </w:t>
      </w:r>
      <w:r w:rsidR="000B3E58" w:rsidRPr="00811D9A">
        <w:rPr>
          <w:bCs/>
          <w:color w:val="000000" w:themeColor="text1"/>
          <w:sz w:val="24"/>
          <w:szCs w:val="24"/>
        </w:rPr>
        <w:t xml:space="preserve">routine use of POCT </w:t>
      </w:r>
      <w:r w:rsidR="009A282E" w:rsidRPr="00811D9A">
        <w:rPr>
          <w:bCs/>
          <w:color w:val="000000" w:themeColor="text1"/>
          <w:sz w:val="24"/>
          <w:szCs w:val="24"/>
        </w:rPr>
        <w:t xml:space="preserve">for emergency admissions </w:t>
      </w:r>
      <w:r w:rsidR="000B3E58" w:rsidRPr="00811D9A">
        <w:rPr>
          <w:bCs/>
          <w:color w:val="000000" w:themeColor="text1"/>
          <w:sz w:val="24"/>
          <w:szCs w:val="24"/>
        </w:rPr>
        <w:t xml:space="preserve">was associated with a large reduction in time to results and improvements in infection control measures, patient flow and recruitment into other clinical trials, compared with laboratory PCR testing. The QIAstat-Dx SARS-CoV-2 </w:t>
      </w:r>
      <w:r w:rsidR="00171B32" w:rsidRPr="00811D9A">
        <w:rPr>
          <w:bCs/>
          <w:color w:val="000000" w:themeColor="text1"/>
          <w:sz w:val="24"/>
          <w:szCs w:val="24"/>
        </w:rPr>
        <w:t xml:space="preserve">assay </w:t>
      </w:r>
      <w:r w:rsidR="000B3E58" w:rsidRPr="00811D9A">
        <w:rPr>
          <w:bCs/>
          <w:color w:val="000000" w:themeColor="text1"/>
          <w:sz w:val="24"/>
          <w:szCs w:val="24"/>
        </w:rPr>
        <w:t>had high diagnostic accuracy for the detection of COVID-19. Resources should be urgently made available to support the imple</w:t>
      </w:r>
      <w:r w:rsidR="00EE2310" w:rsidRPr="00811D9A">
        <w:rPr>
          <w:bCs/>
          <w:color w:val="000000" w:themeColor="text1"/>
          <w:sz w:val="24"/>
          <w:szCs w:val="24"/>
        </w:rPr>
        <w:t xml:space="preserve">mentation of </w:t>
      </w:r>
      <w:r w:rsidR="009A282E" w:rsidRPr="00811D9A">
        <w:rPr>
          <w:bCs/>
          <w:color w:val="000000" w:themeColor="text1"/>
          <w:sz w:val="24"/>
          <w:szCs w:val="24"/>
        </w:rPr>
        <w:t xml:space="preserve">appropriate </w:t>
      </w:r>
      <w:r w:rsidR="000B3E58" w:rsidRPr="00811D9A">
        <w:rPr>
          <w:bCs/>
          <w:color w:val="000000" w:themeColor="text1"/>
          <w:sz w:val="24"/>
          <w:szCs w:val="24"/>
        </w:rPr>
        <w:t>POCT</w:t>
      </w:r>
      <w:r w:rsidR="009A282E" w:rsidRPr="00811D9A">
        <w:rPr>
          <w:bCs/>
          <w:color w:val="000000" w:themeColor="text1"/>
          <w:sz w:val="24"/>
          <w:szCs w:val="24"/>
        </w:rPr>
        <w:t xml:space="preserve"> platforms</w:t>
      </w:r>
      <w:r w:rsidR="000B3E58" w:rsidRPr="00811D9A">
        <w:rPr>
          <w:bCs/>
          <w:color w:val="000000" w:themeColor="text1"/>
          <w:sz w:val="24"/>
          <w:szCs w:val="24"/>
        </w:rPr>
        <w:t xml:space="preserve"> in </w:t>
      </w:r>
      <w:r w:rsidR="009A282E" w:rsidRPr="00811D9A">
        <w:rPr>
          <w:bCs/>
          <w:color w:val="000000" w:themeColor="text1"/>
          <w:sz w:val="24"/>
          <w:szCs w:val="24"/>
        </w:rPr>
        <w:t>emergency department</w:t>
      </w:r>
      <w:r w:rsidR="00811D9A">
        <w:rPr>
          <w:bCs/>
          <w:color w:val="000000" w:themeColor="text1"/>
          <w:sz w:val="24"/>
          <w:szCs w:val="24"/>
        </w:rPr>
        <w:t>s</w:t>
      </w:r>
      <w:r w:rsidR="009A282E" w:rsidRPr="00811D9A">
        <w:rPr>
          <w:bCs/>
          <w:color w:val="000000" w:themeColor="text1"/>
          <w:sz w:val="24"/>
          <w:szCs w:val="24"/>
        </w:rPr>
        <w:t xml:space="preserve"> and admission units in hospitals, </w:t>
      </w:r>
      <w:r w:rsidR="00EE2310" w:rsidRPr="00811D9A">
        <w:rPr>
          <w:bCs/>
          <w:color w:val="000000" w:themeColor="text1"/>
          <w:sz w:val="24"/>
          <w:szCs w:val="24"/>
        </w:rPr>
        <w:t>in preparation for the next phase</w:t>
      </w:r>
      <w:r w:rsidR="000B3E58" w:rsidRPr="00811D9A">
        <w:rPr>
          <w:bCs/>
          <w:color w:val="000000" w:themeColor="text1"/>
          <w:sz w:val="24"/>
          <w:szCs w:val="24"/>
        </w:rPr>
        <w:t xml:space="preserve"> of the pandemic.  </w:t>
      </w:r>
    </w:p>
    <w:p w:rsidR="007B6DAA" w:rsidRPr="00811D9A" w:rsidRDefault="007B6DAA" w:rsidP="00A07E92">
      <w:pPr>
        <w:spacing w:after="0" w:line="480" w:lineRule="auto"/>
        <w:jc w:val="both"/>
        <w:rPr>
          <w:bCs/>
          <w:color w:val="000000" w:themeColor="text1"/>
          <w:sz w:val="24"/>
          <w:szCs w:val="24"/>
        </w:rPr>
      </w:pPr>
    </w:p>
    <w:p w:rsidR="008D7D72" w:rsidRDefault="009A1D45" w:rsidP="001509D5">
      <w:pPr>
        <w:tabs>
          <w:tab w:val="left" w:pos="1080"/>
        </w:tabs>
        <w:spacing w:after="0" w:line="480" w:lineRule="auto"/>
        <w:jc w:val="both"/>
        <w:rPr>
          <w:b/>
          <w:bCs/>
          <w:sz w:val="32"/>
          <w:szCs w:val="32"/>
        </w:rPr>
      </w:pPr>
      <w:r w:rsidRPr="00C77CCD">
        <w:rPr>
          <w:b/>
          <w:bCs/>
          <w:sz w:val="32"/>
          <w:szCs w:val="32"/>
        </w:rPr>
        <w:lastRenderedPageBreak/>
        <w:t xml:space="preserve">References </w:t>
      </w:r>
    </w:p>
    <w:p w:rsidR="00273C30" w:rsidRPr="00273C30" w:rsidRDefault="00273C30" w:rsidP="00273C30">
      <w:pPr>
        <w:tabs>
          <w:tab w:val="left" w:pos="1080"/>
        </w:tabs>
        <w:spacing w:after="0" w:line="480" w:lineRule="auto"/>
        <w:jc w:val="both"/>
        <w:rPr>
          <w:bCs/>
          <w:sz w:val="24"/>
          <w:szCs w:val="24"/>
        </w:rPr>
      </w:pPr>
      <w:r w:rsidRPr="00273C30">
        <w:rPr>
          <w:bCs/>
          <w:sz w:val="24"/>
          <w:szCs w:val="24"/>
        </w:rPr>
        <w:t xml:space="preserve">1. Up to 20% of hospital patients with Covid-19 caught it at hospital. Guardian. 17 May 2020. </w:t>
      </w:r>
      <w:hyperlink r:id="rId9" w:history="1">
        <w:r w:rsidRPr="00273C30">
          <w:rPr>
            <w:rStyle w:val="Hyperlink"/>
            <w:bCs/>
            <w:sz w:val="24"/>
            <w:szCs w:val="24"/>
          </w:rPr>
          <w:t>https://www.theguardian.com/world/2020/may/17/hospital-patients-england-coronavirus-covid-19</w:t>
        </w:r>
      </w:hyperlink>
      <w:r w:rsidR="00C57B9B" w:rsidRPr="00C57B9B">
        <w:t xml:space="preserve"> </w:t>
      </w:r>
      <w:r w:rsidR="00C57B9B">
        <w:rPr>
          <w:bCs/>
          <w:sz w:val="24"/>
          <w:szCs w:val="24"/>
        </w:rPr>
        <w:t>(accessed July 22</w:t>
      </w:r>
      <w:r w:rsidR="00C57B9B" w:rsidRPr="00C57B9B">
        <w:rPr>
          <w:bCs/>
          <w:sz w:val="24"/>
          <w:szCs w:val="24"/>
        </w:rPr>
        <w:t>, 2020).</w:t>
      </w:r>
    </w:p>
    <w:p w:rsidR="00273C30" w:rsidRPr="00273C30" w:rsidRDefault="00273C30" w:rsidP="00273C30">
      <w:pPr>
        <w:tabs>
          <w:tab w:val="left" w:pos="1080"/>
        </w:tabs>
        <w:spacing w:after="0" w:line="480" w:lineRule="auto"/>
        <w:jc w:val="both"/>
        <w:rPr>
          <w:bCs/>
          <w:sz w:val="24"/>
          <w:szCs w:val="24"/>
        </w:rPr>
      </w:pPr>
    </w:p>
    <w:p w:rsidR="00273C30" w:rsidRPr="00273C30" w:rsidRDefault="00273C30" w:rsidP="00273C30">
      <w:pPr>
        <w:autoSpaceDE w:val="0"/>
        <w:autoSpaceDN w:val="0"/>
        <w:adjustRightInd w:val="0"/>
        <w:spacing w:after="0" w:line="480" w:lineRule="auto"/>
        <w:rPr>
          <w:rFonts w:cstheme="minorHAnsi"/>
          <w:color w:val="000000"/>
          <w:sz w:val="24"/>
          <w:szCs w:val="24"/>
        </w:rPr>
      </w:pPr>
      <w:r w:rsidRPr="00273C30">
        <w:rPr>
          <w:rFonts w:cstheme="minorHAnsi"/>
          <w:color w:val="000000"/>
          <w:sz w:val="24"/>
          <w:szCs w:val="24"/>
        </w:rPr>
        <w:t xml:space="preserve">2. Coronavirus: Hundreds caught virus in hospitals in Wales. BBC news. 22 July 2020. </w:t>
      </w:r>
      <w:hyperlink r:id="rId10" w:history="1">
        <w:r w:rsidRPr="00273C30">
          <w:rPr>
            <w:rStyle w:val="Hyperlink"/>
            <w:rFonts w:cstheme="minorHAnsi"/>
            <w:sz w:val="24"/>
            <w:szCs w:val="24"/>
          </w:rPr>
          <w:t>https://www.bbc.co.uk/news/uk-wales-53501223</w:t>
        </w:r>
      </w:hyperlink>
      <w:r w:rsidR="00C57B9B">
        <w:t xml:space="preserve"> (accessed July 22</w:t>
      </w:r>
      <w:r w:rsidR="00C57B9B" w:rsidRPr="00C57B9B">
        <w:t>, 2020).</w:t>
      </w:r>
    </w:p>
    <w:p w:rsidR="00273C30" w:rsidRPr="00273C30" w:rsidRDefault="00273C30" w:rsidP="00273C30">
      <w:pPr>
        <w:autoSpaceDE w:val="0"/>
        <w:autoSpaceDN w:val="0"/>
        <w:adjustRightInd w:val="0"/>
        <w:spacing w:after="0" w:line="480" w:lineRule="auto"/>
        <w:rPr>
          <w:rFonts w:cstheme="minorHAnsi"/>
          <w:color w:val="000000"/>
          <w:sz w:val="24"/>
          <w:szCs w:val="24"/>
        </w:rPr>
      </w:pPr>
    </w:p>
    <w:p w:rsidR="00067C0E" w:rsidRPr="00273C30" w:rsidRDefault="00273C30" w:rsidP="001509D5">
      <w:pPr>
        <w:tabs>
          <w:tab w:val="left" w:pos="1080"/>
        </w:tabs>
        <w:spacing w:after="0" w:line="480" w:lineRule="auto"/>
        <w:jc w:val="both"/>
        <w:rPr>
          <w:rFonts w:eastAsia="Calibri" w:cstheme="minorHAnsi"/>
          <w:sz w:val="24"/>
          <w:szCs w:val="24"/>
          <w:lang w:eastAsia="en-US"/>
        </w:rPr>
      </w:pPr>
      <w:r w:rsidRPr="00273C30">
        <w:rPr>
          <w:bCs/>
          <w:sz w:val="24"/>
          <w:szCs w:val="24"/>
        </w:rPr>
        <w:t>3</w:t>
      </w:r>
      <w:r w:rsidR="00067C0E" w:rsidRPr="00273C30">
        <w:rPr>
          <w:bCs/>
          <w:sz w:val="24"/>
          <w:szCs w:val="24"/>
        </w:rPr>
        <w:t xml:space="preserve">. </w:t>
      </w:r>
      <w:r w:rsidR="00067C0E" w:rsidRPr="00273C30">
        <w:rPr>
          <w:rFonts w:eastAsia="Calibri" w:cstheme="minorHAnsi"/>
          <w:sz w:val="24"/>
          <w:szCs w:val="24"/>
          <w:lang w:eastAsia="en-US"/>
        </w:rPr>
        <w:t xml:space="preserve">Brendish NJ, Malachira AK, Armstrong L, et al. Routine molecular point-of-care testing for respiratory viruses in adults presenting to hospital with acute respiratory illness (ResPOC): a pragmatic, open-label, randomised controlled trial. </w:t>
      </w:r>
      <w:r w:rsidR="00067C0E" w:rsidRPr="00273C30">
        <w:rPr>
          <w:rFonts w:eastAsia="Calibri" w:cstheme="minorHAnsi"/>
          <w:i/>
          <w:sz w:val="24"/>
          <w:szCs w:val="24"/>
          <w:lang w:eastAsia="en-US"/>
        </w:rPr>
        <w:t>Lancet Respir Med</w:t>
      </w:r>
      <w:r w:rsidR="00067C0E" w:rsidRPr="00273C30">
        <w:rPr>
          <w:rFonts w:eastAsia="Calibri" w:cstheme="minorHAnsi"/>
          <w:sz w:val="24"/>
          <w:szCs w:val="24"/>
          <w:lang w:eastAsia="en-US"/>
        </w:rPr>
        <w:t xml:space="preserve"> 2017;</w:t>
      </w:r>
      <w:r w:rsidR="00067C0E" w:rsidRPr="00273C30">
        <w:rPr>
          <w:rFonts w:eastAsia="Calibri" w:cstheme="minorHAnsi"/>
          <w:b/>
          <w:sz w:val="24"/>
          <w:szCs w:val="24"/>
          <w:lang w:eastAsia="en-US"/>
        </w:rPr>
        <w:t>5</w:t>
      </w:r>
      <w:r w:rsidR="00067C0E" w:rsidRPr="00273C30">
        <w:rPr>
          <w:rFonts w:eastAsia="Calibri" w:cstheme="minorHAnsi"/>
          <w:sz w:val="24"/>
          <w:szCs w:val="24"/>
          <w:lang w:eastAsia="en-US"/>
        </w:rPr>
        <w:t>:401-411.</w:t>
      </w:r>
    </w:p>
    <w:p w:rsidR="00067C0E" w:rsidRPr="006275DD" w:rsidRDefault="00067C0E" w:rsidP="001509D5">
      <w:pPr>
        <w:tabs>
          <w:tab w:val="left" w:pos="1080"/>
        </w:tabs>
        <w:spacing w:after="0" w:line="480" w:lineRule="auto"/>
        <w:jc w:val="both"/>
        <w:rPr>
          <w:rFonts w:eastAsia="Calibri" w:cstheme="minorHAnsi"/>
          <w:sz w:val="24"/>
          <w:szCs w:val="24"/>
          <w:lang w:eastAsia="en-US"/>
        </w:rPr>
      </w:pPr>
    </w:p>
    <w:p w:rsidR="00067C0E" w:rsidRPr="006275DD" w:rsidRDefault="00273C30" w:rsidP="00000403">
      <w:pPr>
        <w:tabs>
          <w:tab w:val="left" w:pos="1080"/>
        </w:tabs>
        <w:spacing w:after="0" w:line="480" w:lineRule="auto"/>
        <w:jc w:val="both"/>
        <w:rPr>
          <w:rFonts w:eastAsia="Calibri" w:cstheme="minorHAnsi"/>
          <w:sz w:val="24"/>
          <w:szCs w:val="24"/>
          <w:lang w:eastAsia="en-US"/>
        </w:rPr>
      </w:pPr>
      <w:r>
        <w:rPr>
          <w:rFonts w:eastAsia="Calibri" w:cstheme="minorHAnsi"/>
          <w:sz w:val="24"/>
          <w:szCs w:val="24"/>
          <w:lang w:eastAsia="en-US"/>
        </w:rPr>
        <w:t>4</w:t>
      </w:r>
      <w:r w:rsidR="00067C0E" w:rsidRPr="006275DD">
        <w:rPr>
          <w:rFonts w:eastAsia="Calibri" w:cstheme="minorHAnsi"/>
          <w:sz w:val="24"/>
          <w:szCs w:val="24"/>
          <w:lang w:eastAsia="en-US"/>
        </w:rPr>
        <w:t xml:space="preserve">. Brendish NJ, Malachira AK, Beard KR, Ewings S, Clark TW. Impact of turnaround time on outcome with point-of-care testing for respiratory viruses: a </w:t>
      </w:r>
      <w:r w:rsidR="00067C0E" w:rsidRPr="006275DD">
        <w:rPr>
          <w:rFonts w:eastAsia="Calibri" w:cstheme="minorHAnsi"/>
          <w:i/>
          <w:sz w:val="24"/>
          <w:szCs w:val="24"/>
          <w:lang w:eastAsia="en-US"/>
        </w:rPr>
        <w:t>post hoc</w:t>
      </w:r>
      <w:r w:rsidR="00067C0E" w:rsidRPr="006275DD">
        <w:rPr>
          <w:rFonts w:eastAsia="Calibri" w:cstheme="minorHAnsi"/>
          <w:sz w:val="24"/>
          <w:szCs w:val="24"/>
          <w:lang w:eastAsia="en-US"/>
        </w:rPr>
        <w:t xml:space="preserve"> analysis from a randomised controlled trial. </w:t>
      </w:r>
      <w:r w:rsidR="00067C0E" w:rsidRPr="006275DD">
        <w:rPr>
          <w:rFonts w:eastAsia="Calibri" w:cstheme="minorHAnsi"/>
          <w:i/>
          <w:sz w:val="24"/>
          <w:szCs w:val="24"/>
          <w:lang w:eastAsia="en-US"/>
        </w:rPr>
        <w:t>Eur Respir J</w:t>
      </w:r>
      <w:r w:rsidR="00067C0E" w:rsidRPr="006275DD">
        <w:rPr>
          <w:rFonts w:eastAsia="Calibri" w:cstheme="minorHAnsi"/>
          <w:sz w:val="24"/>
          <w:szCs w:val="24"/>
          <w:lang w:eastAsia="en-US"/>
        </w:rPr>
        <w:t xml:space="preserve"> 2018;</w:t>
      </w:r>
      <w:r w:rsidR="00067C0E" w:rsidRPr="006275DD">
        <w:rPr>
          <w:rFonts w:eastAsia="Calibri" w:cstheme="minorHAnsi"/>
          <w:b/>
          <w:sz w:val="24"/>
          <w:szCs w:val="24"/>
          <w:lang w:eastAsia="en-US"/>
        </w:rPr>
        <w:t>52</w:t>
      </w:r>
      <w:r w:rsidR="00067C0E" w:rsidRPr="006275DD">
        <w:rPr>
          <w:rFonts w:eastAsia="Calibri" w:cstheme="minorHAnsi"/>
          <w:sz w:val="24"/>
          <w:szCs w:val="24"/>
          <w:lang w:eastAsia="en-US"/>
        </w:rPr>
        <w:t>:pii:1800555.</w:t>
      </w:r>
    </w:p>
    <w:p w:rsidR="006275DD" w:rsidRPr="006275DD" w:rsidRDefault="006275DD" w:rsidP="00000403">
      <w:pPr>
        <w:tabs>
          <w:tab w:val="left" w:pos="1080"/>
        </w:tabs>
        <w:spacing w:after="0" w:line="480" w:lineRule="auto"/>
        <w:jc w:val="both"/>
        <w:rPr>
          <w:b/>
          <w:bCs/>
          <w:sz w:val="24"/>
          <w:szCs w:val="24"/>
        </w:rPr>
      </w:pPr>
    </w:p>
    <w:p w:rsidR="006275DD" w:rsidRPr="006275DD" w:rsidRDefault="00273C30" w:rsidP="006275DD">
      <w:pPr>
        <w:autoSpaceDE w:val="0"/>
        <w:autoSpaceDN w:val="0"/>
        <w:adjustRightInd w:val="0"/>
        <w:spacing w:after="0" w:line="480" w:lineRule="auto"/>
        <w:rPr>
          <w:rFonts w:cstheme="minorHAnsi"/>
          <w:sz w:val="24"/>
          <w:szCs w:val="24"/>
        </w:rPr>
      </w:pPr>
      <w:r>
        <w:rPr>
          <w:rFonts w:cstheme="minorHAnsi"/>
          <w:sz w:val="24"/>
          <w:szCs w:val="24"/>
        </w:rPr>
        <w:t>5</w:t>
      </w:r>
      <w:r w:rsidR="006275DD" w:rsidRPr="006275DD">
        <w:rPr>
          <w:rFonts w:cstheme="minorHAnsi"/>
          <w:sz w:val="24"/>
          <w:szCs w:val="24"/>
        </w:rPr>
        <w:t>. Zhen W, Smith E, Manji R, Schron D, Berry GJ. Clinical Evaluation of Three Sample-To-Answer Platforms for the Detection of SARS-CoV-2</w:t>
      </w:r>
      <w:r w:rsidR="00C57B9B">
        <w:rPr>
          <w:rFonts w:cstheme="minorHAnsi"/>
          <w:sz w:val="24"/>
          <w:szCs w:val="24"/>
        </w:rPr>
        <w:t xml:space="preserve">. </w:t>
      </w:r>
      <w:r w:rsidR="006275DD" w:rsidRPr="006275DD">
        <w:rPr>
          <w:rFonts w:cstheme="minorHAnsi"/>
          <w:sz w:val="24"/>
          <w:szCs w:val="24"/>
        </w:rPr>
        <w:t xml:space="preserve"> </w:t>
      </w:r>
      <w:r w:rsidR="00C57B9B">
        <w:rPr>
          <w:rFonts w:cstheme="minorHAnsi"/>
          <w:i/>
          <w:iCs/>
          <w:sz w:val="24"/>
          <w:szCs w:val="24"/>
        </w:rPr>
        <w:t>J</w:t>
      </w:r>
      <w:r w:rsidR="00C57B9B" w:rsidRPr="00CC5A2B">
        <w:rPr>
          <w:rFonts w:cstheme="minorHAnsi"/>
          <w:i/>
          <w:iCs/>
          <w:sz w:val="24"/>
          <w:szCs w:val="24"/>
        </w:rPr>
        <w:t xml:space="preserve"> </w:t>
      </w:r>
      <w:r w:rsidR="00C57B9B">
        <w:rPr>
          <w:rFonts w:cstheme="minorHAnsi"/>
          <w:i/>
          <w:iCs/>
          <w:sz w:val="24"/>
          <w:szCs w:val="24"/>
        </w:rPr>
        <w:t xml:space="preserve">Clin Microbiol </w:t>
      </w:r>
      <w:r w:rsidR="00C57B9B" w:rsidRPr="00FF626A">
        <w:rPr>
          <w:rFonts w:cstheme="minorHAnsi"/>
          <w:sz w:val="24"/>
          <w:szCs w:val="24"/>
        </w:rPr>
        <w:t>2020;</w:t>
      </w:r>
      <w:r w:rsidR="00C57B9B" w:rsidRPr="0002064D">
        <w:rPr>
          <w:rFonts w:cstheme="minorHAnsi"/>
          <w:b/>
          <w:bCs/>
          <w:sz w:val="24"/>
          <w:szCs w:val="24"/>
        </w:rPr>
        <w:t>58</w:t>
      </w:r>
      <w:r w:rsidR="00C57B9B" w:rsidRPr="00FF626A">
        <w:rPr>
          <w:rFonts w:cstheme="minorHAnsi"/>
          <w:sz w:val="24"/>
          <w:szCs w:val="24"/>
        </w:rPr>
        <w:t>:e00783</w:t>
      </w:r>
      <w:r w:rsidR="00C57B9B">
        <w:rPr>
          <w:rFonts w:cstheme="minorHAnsi"/>
          <w:sz w:val="24"/>
          <w:szCs w:val="24"/>
        </w:rPr>
        <w:t>–</w:t>
      </w:r>
      <w:r w:rsidR="00C57B9B" w:rsidRPr="00FF626A">
        <w:rPr>
          <w:rFonts w:cstheme="minorHAnsi"/>
          <w:sz w:val="24"/>
          <w:szCs w:val="24"/>
        </w:rPr>
        <w:t>20</w:t>
      </w:r>
      <w:r w:rsidR="00C57B9B">
        <w:rPr>
          <w:rFonts w:cstheme="minorHAnsi"/>
          <w:sz w:val="24"/>
          <w:szCs w:val="24"/>
        </w:rPr>
        <w:t>.</w:t>
      </w:r>
    </w:p>
    <w:p w:rsidR="006275DD" w:rsidRPr="006275DD" w:rsidRDefault="006275DD" w:rsidP="006275DD">
      <w:pPr>
        <w:tabs>
          <w:tab w:val="left" w:pos="1080"/>
        </w:tabs>
        <w:spacing w:after="0" w:line="480" w:lineRule="auto"/>
        <w:jc w:val="both"/>
        <w:rPr>
          <w:rFonts w:cstheme="minorHAnsi"/>
          <w:sz w:val="24"/>
          <w:szCs w:val="24"/>
        </w:rPr>
      </w:pPr>
    </w:p>
    <w:p w:rsidR="006275DD" w:rsidRPr="006275DD" w:rsidRDefault="00273C30" w:rsidP="006275DD">
      <w:pPr>
        <w:tabs>
          <w:tab w:val="left" w:pos="1080"/>
        </w:tabs>
        <w:spacing w:after="0" w:line="480" w:lineRule="auto"/>
        <w:jc w:val="both"/>
        <w:rPr>
          <w:rFonts w:cstheme="minorHAnsi"/>
          <w:sz w:val="24"/>
          <w:szCs w:val="24"/>
        </w:rPr>
      </w:pPr>
      <w:r>
        <w:rPr>
          <w:rFonts w:cstheme="minorHAnsi"/>
          <w:sz w:val="24"/>
          <w:szCs w:val="24"/>
        </w:rPr>
        <w:t>6</w:t>
      </w:r>
      <w:r w:rsidR="006275DD" w:rsidRPr="006275DD">
        <w:rPr>
          <w:rFonts w:cstheme="minorHAnsi"/>
          <w:sz w:val="24"/>
          <w:szCs w:val="24"/>
        </w:rPr>
        <w:t xml:space="preserve">. Visseaux B, Le Hingrat Q, Collin G, et al. Evaluation of the QIAstat-Dx Respiratory SARS-CoV-2 Panel, the first rapid multiplex PCR commercial assay for SARS-CoV-2 detection. </w:t>
      </w:r>
      <w:r w:rsidR="00C57B9B" w:rsidRPr="00C57B9B">
        <w:rPr>
          <w:rFonts w:cstheme="minorHAnsi"/>
          <w:i/>
          <w:sz w:val="24"/>
          <w:szCs w:val="24"/>
        </w:rPr>
        <w:t xml:space="preserve">J Clin Microbiol </w:t>
      </w:r>
      <w:r w:rsidR="00C57B9B" w:rsidRPr="00C57B9B">
        <w:rPr>
          <w:rFonts w:cstheme="minorHAnsi"/>
          <w:sz w:val="24"/>
          <w:szCs w:val="24"/>
        </w:rPr>
        <w:t>2020;</w:t>
      </w:r>
      <w:r w:rsidR="00C57B9B" w:rsidRPr="00C57B9B">
        <w:rPr>
          <w:rFonts w:cstheme="minorHAnsi"/>
          <w:b/>
          <w:sz w:val="24"/>
          <w:szCs w:val="24"/>
        </w:rPr>
        <w:t>58</w:t>
      </w:r>
      <w:r w:rsidR="00C57B9B" w:rsidRPr="00C57B9B">
        <w:rPr>
          <w:rFonts w:cstheme="minorHAnsi"/>
          <w:sz w:val="24"/>
          <w:szCs w:val="24"/>
        </w:rPr>
        <w:t>:e00630–20.</w:t>
      </w:r>
    </w:p>
    <w:p w:rsidR="006275DD" w:rsidRPr="006275DD" w:rsidRDefault="006275DD" w:rsidP="006275DD">
      <w:pPr>
        <w:tabs>
          <w:tab w:val="left" w:pos="1080"/>
        </w:tabs>
        <w:spacing w:after="0" w:line="480" w:lineRule="auto"/>
        <w:jc w:val="both"/>
        <w:rPr>
          <w:rFonts w:cstheme="minorHAnsi"/>
          <w:sz w:val="24"/>
          <w:szCs w:val="24"/>
        </w:rPr>
      </w:pPr>
    </w:p>
    <w:p w:rsidR="006275DD" w:rsidRPr="006275DD" w:rsidRDefault="00273C30" w:rsidP="006275DD">
      <w:pPr>
        <w:tabs>
          <w:tab w:val="left" w:pos="1080"/>
        </w:tabs>
        <w:spacing w:after="0" w:line="480" w:lineRule="auto"/>
        <w:jc w:val="both"/>
        <w:rPr>
          <w:rFonts w:cstheme="minorHAnsi"/>
          <w:sz w:val="24"/>
          <w:szCs w:val="24"/>
        </w:rPr>
      </w:pPr>
      <w:r>
        <w:rPr>
          <w:rFonts w:cstheme="minorHAnsi"/>
          <w:sz w:val="24"/>
          <w:szCs w:val="24"/>
        </w:rPr>
        <w:lastRenderedPageBreak/>
        <w:t>7</w:t>
      </w:r>
      <w:r w:rsidR="006275DD" w:rsidRPr="006275DD">
        <w:rPr>
          <w:rFonts w:cstheme="minorHAnsi"/>
          <w:sz w:val="24"/>
          <w:szCs w:val="24"/>
        </w:rPr>
        <w:t>. Smithgall MC, Scherberkova I, Whittier S, Green DA. Comparison of Cepheid Xpert Xpress and Abbott ID Now to Roche cobas for the Rapid Detection of SARS-CoV-2</w:t>
      </w:r>
      <w:r w:rsidR="006275DD" w:rsidRPr="006275DD">
        <w:rPr>
          <w:rFonts w:cstheme="minorHAnsi"/>
          <w:i/>
          <w:sz w:val="24"/>
          <w:szCs w:val="24"/>
        </w:rPr>
        <w:t>. J Clin Virol</w:t>
      </w:r>
      <w:r w:rsidR="00C57B9B">
        <w:rPr>
          <w:rFonts w:cstheme="minorHAnsi"/>
          <w:sz w:val="24"/>
          <w:szCs w:val="24"/>
        </w:rPr>
        <w:t xml:space="preserve"> 2020;</w:t>
      </w:r>
      <w:r w:rsidR="006275DD" w:rsidRPr="00C57B9B">
        <w:rPr>
          <w:rFonts w:cstheme="minorHAnsi"/>
          <w:b/>
          <w:sz w:val="24"/>
          <w:szCs w:val="24"/>
        </w:rPr>
        <w:t>128</w:t>
      </w:r>
      <w:r w:rsidR="00C57B9B">
        <w:rPr>
          <w:rFonts w:cstheme="minorHAnsi"/>
          <w:sz w:val="24"/>
          <w:szCs w:val="24"/>
        </w:rPr>
        <w:t>:</w:t>
      </w:r>
      <w:r w:rsidR="006275DD" w:rsidRPr="006275DD">
        <w:rPr>
          <w:rFonts w:cstheme="minorHAnsi"/>
          <w:sz w:val="24"/>
          <w:szCs w:val="24"/>
        </w:rPr>
        <w:t>104428.</w:t>
      </w:r>
    </w:p>
    <w:p w:rsidR="006275DD" w:rsidRPr="006275DD" w:rsidRDefault="006275DD" w:rsidP="006275DD">
      <w:pPr>
        <w:tabs>
          <w:tab w:val="left" w:pos="1080"/>
        </w:tabs>
        <w:spacing w:after="0" w:line="480" w:lineRule="auto"/>
        <w:jc w:val="both"/>
        <w:rPr>
          <w:rFonts w:cstheme="minorHAnsi"/>
          <w:sz w:val="24"/>
          <w:szCs w:val="24"/>
        </w:rPr>
      </w:pPr>
    </w:p>
    <w:p w:rsidR="006275DD" w:rsidRPr="006275DD" w:rsidRDefault="00273C30" w:rsidP="006275DD">
      <w:pPr>
        <w:tabs>
          <w:tab w:val="left" w:pos="1080"/>
        </w:tabs>
        <w:spacing w:after="0" w:line="480" w:lineRule="auto"/>
        <w:jc w:val="both"/>
        <w:rPr>
          <w:rFonts w:cstheme="minorHAnsi"/>
          <w:sz w:val="24"/>
          <w:szCs w:val="24"/>
        </w:rPr>
      </w:pPr>
      <w:r>
        <w:rPr>
          <w:rFonts w:cstheme="minorHAnsi"/>
          <w:sz w:val="24"/>
          <w:szCs w:val="24"/>
        </w:rPr>
        <w:t>8</w:t>
      </w:r>
      <w:r w:rsidR="006275DD" w:rsidRPr="006275DD">
        <w:rPr>
          <w:rFonts w:cstheme="minorHAnsi"/>
          <w:sz w:val="24"/>
          <w:szCs w:val="24"/>
        </w:rPr>
        <w:t>. Rhoads DD, Cherian SS, Roman K, Stempak LM, Schmotzer CL, Sadri N. Comparison of Abbott ID Now, Diasorin Simplexa, and CDC FDA EUA methods for the detection of SARS-CoV-2 from nasopharyngeal and nasal swabs from individuals diagnosed with COVID-19.</w:t>
      </w:r>
      <w:r w:rsidR="00C57B9B" w:rsidRPr="00C57B9B">
        <w:t xml:space="preserve"> </w:t>
      </w:r>
      <w:r w:rsidR="00C57B9B" w:rsidRPr="00C57B9B">
        <w:rPr>
          <w:rFonts w:cstheme="minorHAnsi"/>
          <w:i/>
          <w:sz w:val="24"/>
          <w:szCs w:val="24"/>
        </w:rPr>
        <w:t>J Clin Microbiol</w:t>
      </w:r>
      <w:r w:rsidR="00C57B9B" w:rsidRPr="00C57B9B">
        <w:rPr>
          <w:rFonts w:cstheme="minorHAnsi"/>
          <w:sz w:val="24"/>
          <w:szCs w:val="24"/>
        </w:rPr>
        <w:t xml:space="preserve"> 2020;</w:t>
      </w:r>
      <w:r w:rsidR="00C57B9B" w:rsidRPr="00C57B9B">
        <w:rPr>
          <w:rFonts w:cstheme="minorHAnsi"/>
          <w:b/>
          <w:sz w:val="24"/>
          <w:szCs w:val="24"/>
        </w:rPr>
        <w:t>58</w:t>
      </w:r>
      <w:r w:rsidR="00C57B9B" w:rsidRPr="00C57B9B">
        <w:rPr>
          <w:rFonts w:cstheme="minorHAnsi"/>
          <w:sz w:val="24"/>
          <w:szCs w:val="24"/>
        </w:rPr>
        <w:t>:e00760–20.</w:t>
      </w:r>
    </w:p>
    <w:p w:rsidR="006275DD" w:rsidRPr="006275DD" w:rsidRDefault="006275DD" w:rsidP="006275DD">
      <w:pPr>
        <w:tabs>
          <w:tab w:val="left" w:pos="1080"/>
        </w:tabs>
        <w:spacing w:after="0" w:line="480" w:lineRule="auto"/>
        <w:jc w:val="both"/>
        <w:rPr>
          <w:rFonts w:cstheme="minorHAnsi"/>
          <w:sz w:val="24"/>
          <w:szCs w:val="24"/>
        </w:rPr>
      </w:pPr>
    </w:p>
    <w:p w:rsidR="00A81DFD" w:rsidRPr="006275DD" w:rsidRDefault="00273C30" w:rsidP="006275DD">
      <w:pPr>
        <w:spacing w:after="0" w:line="480" w:lineRule="auto"/>
        <w:jc w:val="both"/>
        <w:rPr>
          <w:bCs/>
          <w:sz w:val="24"/>
          <w:szCs w:val="24"/>
        </w:rPr>
      </w:pPr>
      <w:r>
        <w:rPr>
          <w:bCs/>
          <w:sz w:val="24"/>
          <w:szCs w:val="24"/>
        </w:rPr>
        <w:t>9</w:t>
      </w:r>
      <w:r w:rsidR="006275DD" w:rsidRPr="006275DD">
        <w:rPr>
          <w:bCs/>
          <w:sz w:val="24"/>
          <w:szCs w:val="24"/>
        </w:rPr>
        <w:t xml:space="preserve">. </w:t>
      </w:r>
      <w:hyperlink r:id="rId11" w:history="1">
        <w:r w:rsidR="00C57B9B" w:rsidRPr="00147F76">
          <w:rPr>
            <w:rStyle w:val="Hyperlink"/>
            <w:bCs/>
            <w:sz w:val="24"/>
            <w:szCs w:val="24"/>
          </w:rPr>
          <w:t>https://www.fda.gov/media/136571/download</w:t>
        </w:r>
      </w:hyperlink>
      <w:r w:rsidR="00C57B9B">
        <w:rPr>
          <w:bCs/>
          <w:sz w:val="24"/>
          <w:szCs w:val="24"/>
        </w:rPr>
        <w:t xml:space="preserve"> (accessed July 22</w:t>
      </w:r>
      <w:r w:rsidR="00C57B9B" w:rsidRPr="00C57B9B">
        <w:rPr>
          <w:bCs/>
          <w:sz w:val="24"/>
          <w:szCs w:val="24"/>
        </w:rPr>
        <w:t>, 2020)</w:t>
      </w:r>
      <w:r w:rsidR="00C57B9B">
        <w:rPr>
          <w:bCs/>
          <w:sz w:val="24"/>
          <w:szCs w:val="24"/>
        </w:rPr>
        <w:t>.</w:t>
      </w:r>
    </w:p>
    <w:p w:rsidR="006275DD" w:rsidRPr="006275DD" w:rsidRDefault="006275DD" w:rsidP="006275DD">
      <w:pPr>
        <w:spacing w:after="0" w:line="480" w:lineRule="auto"/>
        <w:jc w:val="both"/>
        <w:rPr>
          <w:bCs/>
          <w:sz w:val="24"/>
          <w:szCs w:val="24"/>
        </w:rPr>
      </w:pPr>
    </w:p>
    <w:p w:rsidR="006275DD" w:rsidRPr="006275DD" w:rsidRDefault="00273C30" w:rsidP="006275DD">
      <w:pPr>
        <w:spacing w:after="0" w:line="480" w:lineRule="auto"/>
        <w:jc w:val="both"/>
        <w:rPr>
          <w:bCs/>
          <w:sz w:val="24"/>
          <w:szCs w:val="24"/>
        </w:rPr>
      </w:pPr>
      <w:r>
        <w:rPr>
          <w:bCs/>
          <w:sz w:val="24"/>
          <w:szCs w:val="24"/>
        </w:rPr>
        <w:t>10</w:t>
      </w:r>
      <w:r w:rsidR="006275DD" w:rsidRPr="006275DD">
        <w:rPr>
          <w:bCs/>
          <w:sz w:val="24"/>
          <w:szCs w:val="24"/>
        </w:rPr>
        <w:t xml:space="preserve">. Parčina M, Schneider UV, Visseaux B, Jozić R, Hannet I and Lisby JG. Multicenter evaluation of the QIAstat Respiratory Panel-A new rapid highly multiplexed PCR based assay for diagnosis of acute respiratory tract infections. </w:t>
      </w:r>
      <w:r w:rsidR="006275DD" w:rsidRPr="006275DD">
        <w:rPr>
          <w:bCs/>
          <w:i/>
          <w:sz w:val="24"/>
          <w:szCs w:val="24"/>
        </w:rPr>
        <w:t>PLoS One</w:t>
      </w:r>
      <w:r w:rsidR="006275DD" w:rsidRPr="006275DD">
        <w:rPr>
          <w:bCs/>
          <w:sz w:val="24"/>
          <w:szCs w:val="24"/>
        </w:rPr>
        <w:t xml:space="preserve"> 2020;</w:t>
      </w:r>
      <w:r w:rsidR="006275DD" w:rsidRPr="00C57B9B">
        <w:rPr>
          <w:b/>
          <w:bCs/>
          <w:sz w:val="24"/>
          <w:szCs w:val="24"/>
        </w:rPr>
        <w:t>15</w:t>
      </w:r>
      <w:r w:rsidR="006275DD" w:rsidRPr="006275DD">
        <w:rPr>
          <w:bCs/>
          <w:sz w:val="24"/>
          <w:szCs w:val="24"/>
        </w:rPr>
        <w:t>:e0230183.</w:t>
      </w:r>
    </w:p>
    <w:p w:rsidR="006275DD" w:rsidRPr="006275DD" w:rsidRDefault="006275DD" w:rsidP="006275DD">
      <w:pPr>
        <w:spacing w:after="0" w:line="480" w:lineRule="auto"/>
        <w:jc w:val="both"/>
        <w:rPr>
          <w:bCs/>
          <w:sz w:val="24"/>
          <w:szCs w:val="24"/>
        </w:rPr>
      </w:pPr>
    </w:p>
    <w:p w:rsidR="006275DD" w:rsidRPr="006275DD" w:rsidRDefault="00273C30" w:rsidP="006275DD">
      <w:pPr>
        <w:spacing w:after="0" w:line="480" w:lineRule="auto"/>
        <w:jc w:val="both"/>
        <w:rPr>
          <w:bCs/>
          <w:sz w:val="24"/>
          <w:szCs w:val="24"/>
        </w:rPr>
      </w:pPr>
      <w:r>
        <w:rPr>
          <w:bCs/>
          <w:sz w:val="24"/>
          <w:szCs w:val="24"/>
        </w:rPr>
        <w:t>11</w:t>
      </w:r>
      <w:r w:rsidR="006275DD" w:rsidRPr="006275DD">
        <w:rPr>
          <w:bCs/>
          <w:sz w:val="24"/>
          <w:szCs w:val="24"/>
        </w:rPr>
        <w:t>. Leber AL, Lisby JG, Hansen G,</w:t>
      </w:r>
      <w:r w:rsidR="00A944A2">
        <w:rPr>
          <w:bCs/>
          <w:sz w:val="24"/>
          <w:szCs w:val="24"/>
        </w:rPr>
        <w:t xml:space="preserve"> et al.</w:t>
      </w:r>
      <w:r w:rsidR="006275DD" w:rsidRPr="006275DD">
        <w:rPr>
          <w:bCs/>
          <w:sz w:val="24"/>
          <w:szCs w:val="24"/>
        </w:rPr>
        <w:t xml:space="preserve"> Multicenter Evaluation of the QIAstat-Dx Respiratory Panel for the Detection of Viruses and Bacteria in Nasopharyngeal Swab Specimens. </w:t>
      </w:r>
      <w:r w:rsidR="006275DD" w:rsidRPr="006275DD">
        <w:rPr>
          <w:bCs/>
          <w:i/>
          <w:sz w:val="24"/>
          <w:szCs w:val="24"/>
        </w:rPr>
        <w:t>J Clin Microbiol</w:t>
      </w:r>
      <w:r w:rsidR="006275DD" w:rsidRPr="006275DD">
        <w:rPr>
          <w:bCs/>
          <w:sz w:val="24"/>
          <w:szCs w:val="24"/>
        </w:rPr>
        <w:t xml:space="preserve"> 2020;</w:t>
      </w:r>
      <w:r w:rsidR="006275DD" w:rsidRPr="00C57B9B">
        <w:rPr>
          <w:b/>
          <w:bCs/>
          <w:sz w:val="24"/>
          <w:szCs w:val="24"/>
        </w:rPr>
        <w:t>58:</w:t>
      </w:r>
      <w:r w:rsidR="006275DD" w:rsidRPr="006275DD">
        <w:rPr>
          <w:bCs/>
          <w:sz w:val="24"/>
          <w:szCs w:val="24"/>
        </w:rPr>
        <w:t>e00155-20.</w:t>
      </w:r>
    </w:p>
    <w:p w:rsidR="006275DD" w:rsidRPr="006275DD" w:rsidRDefault="006275DD" w:rsidP="006275DD">
      <w:pPr>
        <w:spacing w:after="0" w:line="480" w:lineRule="auto"/>
        <w:jc w:val="both"/>
        <w:rPr>
          <w:bCs/>
          <w:color w:val="0000FF" w:themeColor="hyperlink"/>
          <w:sz w:val="24"/>
          <w:szCs w:val="24"/>
          <w:u w:val="single"/>
        </w:rPr>
      </w:pPr>
    </w:p>
    <w:p w:rsidR="006275DD" w:rsidRPr="006275DD" w:rsidRDefault="00273C30" w:rsidP="006275DD">
      <w:pPr>
        <w:spacing w:after="0" w:line="480" w:lineRule="auto"/>
        <w:jc w:val="both"/>
        <w:rPr>
          <w:bCs/>
          <w:sz w:val="24"/>
          <w:szCs w:val="24"/>
        </w:rPr>
      </w:pPr>
      <w:r>
        <w:rPr>
          <w:bCs/>
          <w:sz w:val="24"/>
          <w:szCs w:val="24"/>
        </w:rPr>
        <w:t>12</w:t>
      </w:r>
      <w:r w:rsidR="006275DD" w:rsidRPr="006275DD">
        <w:rPr>
          <w:bCs/>
          <w:sz w:val="24"/>
          <w:szCs w:val="24"/>
        </w:rPr>
        <w:t>. Corman VM, Landt O, Kaiser M</w:t>
      </w:r>
      <w:r w:rsidR="00A944A2">
        <w:rPr>
          <w:bCs/>
          <w:sz w:val="24"/>
          <w:szCs w:val="24"/>
        </w:rPr>
        <w:t xml:space="preserve">, et al. </w:t>
      </w:r>
      <w:r w:rsidR="006275DD" w:rsidRPr="006275DD">
        <w:rPr>
          <w:bCs/>
          <w:sz w:val="24"/>
          <w:szCs w:val="24"/>
        </w:rPr>
        <w:t xml:space="preserve">Detection of 2019 novel coronavirus (2019-nCoV) by real-time RT-PCR. </w:t>
      </w:r>
      <w:r w:rsidR="006275DD" w:rsidRPr="006275DD">
        <w:rPr>
          <w:bCs/>
          <w:i/>
          <w:sz w:val="24"/>
          <w:szCs w:val="24"/>
        </w:rPr>
        <w:t>Euro Surveill</w:t>
      </w:r>
      <w:r w:rsidR="006275DD" w:rsidRPr="006275DD">
        <w:rPr>
          <w:bCs/>
          <w:sz w:val="24"/>
          <w:szCs w:val="24"/>
        </w:rPr>
        <w:t xml:space="preserve"> 2020;</w:t>
      </w:r>
      <w:r w:rsidR="006275DD" w:rsidRPr="00C57B9B">
        <w:rPr>
          <w:b/>
          <w:bCs/>
          <w:sz w:val="24"/>
          <w:szCs w:val="24"/>
        </w:rPr>
        <w:t>25</w:t>
      </w:r>
      <w:r w:rsidR="006275DD" w:rsidRPr="006275DD">
        <w:rPr>
          <w:bCs/>
          <w:sz w:val="24"/>
          <w:szCs w:val="24"/>
        </w:rPr>
        <w:t>:2000045</w:t>
      </w:r>
    </w:p>
    <w:p w:rsidR="006275DD" w:rsidRPr="006275DD" w:rsidRDefault="006275DD" w:rsidP="006275DD">
      <w:pPr>
        <w:spacing w:after="0" w:line="480" w:lineRule="auto"/>
        <w:jc w:val="both"/>
        <w:rPr>
          <w:bCs/>
          <w:sz w:val="24"/>
          <w:szCs w:val="24"/>
        </w:rPr>
      </w:pPr>
    </w:p>
    <w:p w:rsidR="006275DD" w:rsidRPr="006275DD" w:rsidRDefault="00273C30" w:rsidP="006275DD">
      <w:pPr>
        <w:spacing w:after="0" w:line="480" w:lineRule="auto"/>
        <w:jc w:val="both"/>
        <w:rPr>
          <w:bCs/>
          <w:sz w:val="24"/>
          <w:szCs w:val="24"/>
        </w:rPr>
      </w:pPr>
      <w:r>
        <w:rPr>
          <w:bCs/>
          <w:sz w:val="24"/>
          <w:szCs w:val="24"/>
        </w:rPr>
        <w:t>13</w:t>
      </w:r>
      <w:r w:rsidR="006275DD" w:rsidRPr="006275DD">
        <w:rPr>
          <w:bCs/>
          <w:sz w:val="24"/>
          <w:szCs w:val="24"/>
        </w:rPr>
        <w:t>.</w:t>
      </w:r>
      <w:hyperlink r:id="rId12" w:history="1">
        <w:r w:rsidR="004509B5" w:rsidRPr="00AD53D6">
          <w:rPr>
            <w:rStyle w:val="Hyperlink"/>
            <w:bCs/>
            <w:sz w:val="24"/>
            <w:szCs w:val="24"/>
          </w:rPr>
          <w:t>https://www.england.nhs.uk/coronavirus/wpcontent/uploads/sites/52/2020/03/guidance-and-sop-covid-19-virus-testing-in-nhs-laboratories-v1.pdf</w:t>
        </w:r>
      </w:hyperlink>
      <w:r w:rsidR="00C57B9B">
        <w:rPr>
          <w:bCs/>
          <w:sz w:val="24"/>
          <w:szCs w:val="24"/>
        </w:rPr>
        <w:t xml:space="preserve"> (accessed July</w:t>
      </w:r>
      <w:r w:rsidR="006275DD" w:rsidRPr="006275DD">
        <w:rPr>
          <w:bCs/>
          <w:sz w:val="24"/>
          <w:szCs w:val="24"/>
        </w:rPr>
        <w:t xml:space="preserve"> </w:t>
      </w:r>
      <w:r w:rsidR="00C57B9B">
        <w:rPr>
          <w:bCs/>
          <w:sz w:val="24"/>
          <w:szCs w:val="24"/>
        </w:rPr>
        <w:t xml:space="preserve">22 </w:t>
      </w:r>
      <w:r w:rsidR="006275DD" w:rsidRPr="006275DD">
        <w:rPr>
          <w:bCs/>
          <w:sz w:val="24"/>
          <w:szCs w:val="24"/>
        </w:rPr>
        <w:t>2020</w:t>
      </w:r>
      <w:r w:rsidR="00C57B9B">
        <w:rPr>
          <w:bCs/>
          <w:sz w:val="24"/>
          <w:szCs w:val="24"/>
        </w:rPr>
        <w:t>).</w:t>
      </w:r>
    </w:p>
    <w:p w:rsidR="006275DD" w:rsidRDefault="006275DD" w:rsidP="00000403">
      <w:pPr>
        <w:tabs>
          <w:tab w:val="left" w:pos="1080"/>
        </w:tabs>
        <w:spacing w:after="0" w:line="480" w:lineRule="auto"/>
        <w:jc w:val="both"/>
        <w:rPr>
          <w:b/>
          <w:bCs/>
          <w:sz w:val="32"/>
          <w:szCs w:val="32"/>
        </w:rPr>
      </w:pPr>
    </w:p>
    <w:p w:rsidR="004538CA" w:rsidRDefault="00273C30" w:rsidP="00362BCA">
      <w:pPr>
        <w:tabs>
          <w:tab w:val="left" w:pos="1080"/>
        </w:tabs>
        <w:spacing w:after="0" w:line="480" w:lineRule="auto"/>
        <w:jc w:val="both"/>
        <w:rPr>
          <w:rFonts w:cstheme="minorHAnsi"/>
          <w:color w:val="212121"/>
          <w:sz w:val="24"/>
          <w:szCs w:val="24"/>
          <w:shd w:val="clear" w:color="auto" w:fill="FFFFFF"/>
        </w:rPr>
      </w:pPr>
      <w:r>
        <w:rPr>
          <w:rFonts w:cstheme="minorHAnsi"/>
          <w:color w:val="212121"/>
          <w:sz w:val="24"/>
          <w:szCs w:val="24"/>
          <w:shd w:val="clear" w:color="auto" w:fill="FFFFFF"/>
        </w:rPr>
        <w:t>14</w:t>
      </w:r>
      <w:r w:rsidR="00705BBA" w:rsidRPr="00705BBA">
        <w:rPr>
          <w:rFonts w:cstheme="minorHAnsi"/>
          <w:color w:val="212121"/>
          <w:sz w:val="24"/>
          <w:szCs w:val="24"/>
          <w:shd w:val="clear" w:color="auto" w:fill="FFFFFF"/>
        </w:rPr>
        <w:t xml:space="preserve">. </w:t>
      </w:r>
      <w:r w:rsidR="00362BCA" w:rsidRPr="00362BCA">
        <w:rPr>
          <w:rFonts w:cstheme="minorHAnsi"/>
          <w:color w:val="212121"/>
          <w:sz w:val="24"/>
          <w:szCs w:val="24"/>
          <w:shd w:val="clear" w:color="auto" w:fill="FFFFFF"/>
        </w:rPr>
        <w:t>Academy of Medical Sciences. Preparing for a challenging winter 2020/21 Full report. 14th July 2020.</w:t>
      </w:r>
      <w:r w:rsidR="00C57B9B" w:rsidRPr="00C57B9B">
        <w:t xml:space="preserve"> </w:t>
      </w:r>
      <w:r w:rsidR="00C57B9B" w:rsidRPr="00C57B9B">
        <w:rPr>
          <w:rFonts w:cstheme="minorHAnsi"/>
          <w:color w:val="212121"/>
          <w:sz w:val="24"/>
          <w:szCs w:val="24"/>
          <w:shd w:val="clear" w:color="auto" w:fill="FFFFFF"/>
        </w:rPr>
        <w:t>https://acmedsci.ac.uk/file-dow</w:t>
      </w:r>
      <w:r w:rsidR="00C57B9B">
        <w:rPr>
          <w:rFonts w:cstheme="minorHAnsi"/>
          <w:color w:val="212121"/>
          <w:sz w:val="24"/>
          <w:szCs w:val="24"/>
          <w:shd w:val="clear" w:color="auto" w:fill="FFFFFF"/>
        </w:rPr>
        <w:t>nload/51353957 (accessed July 22</w:t>
      </w:r>
      <w:r w:rsidR="00C57B9B" w:rsidRPr="00C57B9B">
        <w:rPr>
          <w:rFonts w:cstheme="minorHAnsi"/>
          <w:color w:val="212121"/>
          <w:sz w:val="24"/>
          <w:szCs w:val="24"/>
          <w:shd w:val="clear" w:color="auto" w:fill="FFFFFF"/>
        </w:rPr>
        <w:t>, 2020).</w:t>
      </w:r>
    </w:p>
    <w:p w:rsidR="00362BCA" w:rsidRPr="00705BBA" w:rsidRDefault="00362BCA" w:rsidP="00362BCA">
      <w:pPr>
        <w:tabs>
          <w:tab w:val="left" w:pos="1080"/>
        </w:tabs>
        <w:spacing w:after="0" w:line="480" w:lineRule="auto"/>
        <w:jc w:val="both"/>
        <w:rPr>
          <w:rFonts w:cstheme="minorHAnsi"/>
          <w:color w:val="212121"/>
          <w:sz w:val="24"/>
          <w:szCs w:val="24"/>
          <w:shd w:val="clear" w:color="auto" w:fill="FFFFFF"/>
        </w:rPr>
      </w:pPr>
    </w:p>
    <w:p w:rsidR="004538CA" w:rsidRPr="00A81DFD" w:rsidRDefault="00273C30" w:rsidP="00000403">
      <w:pPr>
        <w:tabs>
          <w:tab w:val="left" w:pos="1080"/>
        </w:tabs>
        <w:spacing w:after="0" w:line="480" w:lineRule="auto"/>
        <w:jc w:val="both"/>
        <w:rPr>
          <w:sz w:val="24"/>
          <w:szCs w:val="24"/>
        </w:rPr>
      </w:pPr>
      <w:r>
        <w:rPr>
          <w:sz w:val="24"/>
          <w:szCs w:val="24"/>
        </w:rPr>
        <w:t>15</w:t>
      </w:r>
      <w:r w:rsidR="000675DE">
        <w:rPr>
          <w:sz w:val="24"/>
          <w:szCs w:val="24"/>
        </w:rPr>
        <w:t>.</w:t>
      </w:r>
      <w:hyperlink r:id="rId13" w:history="1">
        <w:r w:rsidR="004538CA" w:rsidRPr="00A81DFD">
          <w:rPr>
            <w:color w:val="0000FF"/>
            <w:sz w:val="24"/>
            <w:szCs w:val="24"/>
            <w:u w:val="single"/>
          </w:rPr>
          <w:t>https://www.gov.uk/government/publications/wuhan-novel-coronavirus-initial-investigation-of-possible-cases/investigation-and-initial-clinical-management-of-possible-cases-of-wuhan-novel-coronavirus-wn-cov-infection</w:t>
        </w:r>
      </w:hyperlink>
      <w:r w:rsidR="00C57B9B">
        <w:rPr>
          <w:sz w:val="24"/>
          <w:szCs w:val="24"/>
        </w:rPr>
        <w:t xml:space="preserve"> </w:t>
      </w:r>
      <w:r w:rsidR="00C57B9B" w:rsidRPr="00C57B9B">
        <w:rPr>
          <w:sz w:val="24"/>
          <w:szCs w:val="24"/>
        </w:rPr>
        <w:t>(accessed July 30, 2020).</w:t>
      </w:r>
    </w:p>
    <w:p w:rsidR="004538CA" w:rsidRPr="00A81DFD" w:rsidRDefault="004538CA" w:rsidP="00000403">
      <w:pPr>
        <w:tabs>
          <w:tab w:val="left" w:pos="1080"/>
        </w:tabs>
        <w:spacing w:after="0" w:line="480" w:lineRule="auto"/>
        <w:jc w:val="both"/>
        <w:rPr>
          <w:rFonts w:cstheme="minorHAnsi"/>
          <w:color w:val="212121"/>
          <w:sz w:val="24"/>
          <w:szCs w:val="24"/>
          <w:shd w:val="clear" w:color="auto" w:fill="FFFFFF"/>
        </w:rPr>
      </w:pPr>
    </w:p>
    <w:p w:rsidR="00A81DFD" w:rsidRPr="00A81DFD" w:rsidRDefault="00273C30" w:rsidP="00A81DFD">
      <w:pPr>
        <w:tabs>
          <w:tab w:val="left" w:pos="1080"/>
        </w:tabs>
        <w:spacing w:after="0" w:line="480" w:lineRule="auto"/>
        <w:jc w:val="both"/>
        <w:rPr>
          <w:rFonts w:cstheme="minorHAnsi"/>
          <w:color w:val="212121"/>
          <w:sz w:val="24"/>
          <w:szCs w:val="24"/>
          <w:shd w:val="clear" w:color="auto" w:fill="FFFFFF"/>
        </w:rPr>
      </w:pPr>
      <w:r>
        <w:rPr>
          <w:rFonts w:cstheme="minorHAnsi"/>
          <w:color w:val="212121"/>
          <w:sz w:val="24"/>
          <w:szCs w:val="24"/>
          <w:shd w:val="clear" w:color="auto" w:fill="FFFFFF"/>
        </w:rPr>
        <w:t>16</w:t>
      </w:r>
      <w:r w:rsidR="00A81DFD" w:rsidRPr="00A81DFD">
        <w:rPr>
          <w:rFonts w:cstheme="minorHAnsi"/>
          <w:color w:val="212121"/>
          <w:sz w:val="24"/>
          <w:szCs w:val="24"/>
          <w:shd w:val="clear" w:color="auto" w:fill="FFFFFF"/>
        </w:rPr>
        <w:t xml:space="preserve">. Muthuri SG, Venkatesan S, Myles PR, et al. Effectiveness of neuraminidase inhibitors in reducing mortality in patients admitted to hospital with influenza A H1N1pdm09 virus infection: a meta-analysis of individual participant data. </w:t>
      </w:r>
      <w:r w:rsidR="00A81DFD" w:rsidRPr="0030232B">
        <w:rPr>
          <w:rFonts w:cstheme="minorHAnsi"/>
          <w:i/>
          <w:color w:val="212121"/>
          <w:sz w:val="24"/>
          <w:szCs w:val="24"/>
          <w:shd w:val="clear" w:color="auto" w:fill="FFFFFF"/>
        </w:rPr>
        <w:t>Lancet Respir Med</w:t>
      </w:r>
      <w:r w:rsidR="00A81DFD" w:rsidRPr="00A81DFD">
        <w:rPr>
          <w:rFonts w:cstheme="minorHAnsi"/>
          <w:color w:val="212121"/>
          <w:sz w:val="24"/>
          <w:szCs w:val="24"/>
          <w:shd w:val="clear" w:color="auto" w:fill="FFFFFF"/>
        </w:rPr>
        <w:t xml:space="preserve"> 2014;</w:t>
      </w:r>
      <w:r w:rsidR="00A81DFD" w:rsidRPr="00C57B9B">
        <w:rPr>
          <w:rFonts w:cstheme="minorHAnsi"/>
          <w:b/>
          <w:color w:val="212121"/>
          <w:sz w:val="24"/>
          <w:szCs w:val="24"/>
          <w:shd w:val="clear" w:color="auto" w:fill="FFFFFF"/>
        </w:rPr>
        <w:t>2</w:t>
      </w:r>
      <w:r w:rsidR="00A81DFD" w:rsidRPr="00A81DFD">
        <w:rPr>
          <w:rFonts w:cstheme="minorHAnsi"/>
          <w:color w:val="212121"/>
          <w:sz w:val="24"/>
          <w:szCs w:val="24"/>
          <w:shd w:val="clear" w:color="auto" w:fill="FFFFFF"/>
        </w:rPr>
        <w:t>:395-404.</w:t>
      </w:r>
    </w:p>
    <w:p w:rsidR="00A81DFD" w:rsidRPr="00A81DFD" w:rsidRDefault="00A81DFD" w:rsidP="00A81DFD">
      <w:pPr>
        <w:tabs>
          <w:tab w:val="left" w:pos="1080"/>
        </w:tabs>
        <w:spacing w:after="0" w:line="480" w:lineRule="auto"/>
        <w:jc w:val="both"/>
        <w:rPr>
          <w:rFonts w:cstheme="minorHAnsi"/>
          <w:color w:val="212121"/>
          <w:sz w:val="24"/>
          <w:szCs w:val="24"/>
          <w:shd w:val="clear" w:color="auto" w:fill="FFFFFF"/>
        </w:rPr>
      </w:pPr>
    </w:p>
    <w:p w:rsidR="004538CA" w:rsidRDefault="00273C30" w:rsidP="00A81DFD">
      <w:pPr>
        <w:tabs>
          <w:tab w:val="left" w:pos="1080"/>
        </w:tabs>
        <w:spacing w:after="0" w:line="480" w:lineRule="auto"/>
        <w:jc w:val="both"/>
        <w:rPr>
          <w:rFonts w:cstheme="minorHAnsi"/>
          <w:color w:val="212121"/>
          <w:sz w:val="24"/>
          <w:szCs w:val="24"/>
          <w:shd w:val="clear" w:color="auto" w:fill="FFFFFF"/>
        </w:rPr>
      </w:pPr>
      <w:r>
        <w:rPr>
          <w:rFonts w:cstheme="minorHAnsi"/>
          <w:color w:val="212121"/>
          <w:sz w:val="24"/>
          <w:szCs w:val="24"/>
          <w:shd w:val="clear" w:color="auto" w:fill="FFFFFF"/>
        </w:rPr>
        <w:t>17</w:t>
      </w:r>
      <w:r w:rsidR="00A81DFD" w:rsidRPr="00A81DFD">
        <w:rPr>
          <w:rFonts w:cstheme="minorHAnsi"/>
          <w:color w:val="212121"/>
          <w:sz w:val="24"/>
          <w:szCs w:val="24"/>
          <w:shd w:val="clear" w:color="auto" w:fill="FFFFFF"/>
        </w:rPr>
        <w:t xml:space="preserve">. Katzen J, Kohn R, Houk JL, Ison MG. Early Oseltamivir After Hospital Admission Is Associated With Shortened Hospitalization: A 5-Year Analysis of Oseltamivir Timing and Clinical Outcomes. </w:t>
      </w:r>
      <w:r w:rsidR="00A81DFD" w:rsidRPr="0030232B">
        <w:rPr>
          <w:rFonts w:cstheme="minorHAnsi"/>
          <w:i/>
          <w:color w:val="212121"/>
          <w:sz w:val="24"/>
          <w:szCs w:val="24"/>
          <w:shd w:val="clear" w:color="auto" w:fill="FFFFFF"/>
        </w:rPr>
        <w:t>Clin Infect Dis</w:t>
      </w:r>
      <w:r w:rsidR="00A81DFD" w:rsidRPr="00A81DFD">
        <w:rPr>
          <w:rFonts w:cstheme="minorHAnsi"/>
          <w:color w:val="212121"/>
          <w:sz w:val="24"/>
          <w:szCs w:val="24"/>
          <w:shd w:val="clear" w:color="auto" w:fill="FFFFFF"/>
        </w:rPr>
        <w:t xml:space="preserve"> 2019;</w:t>
      </w:r>
      <w:r w:rsidR="00A81DFD" w:rsidRPr="00C57B9B">
        <w:rPr>
          <w:rFonts w:cstheme="minorHAnsi"/>
          <w:b/>
          <w:color w:val="212121"/>
          <w:sz w:val="24"/>
          <w:szCs w:val="24"/>
          <w:shd w:val="clear" w:color="auto" w:fill="FFFFFF"/>
        </w:rPr>
        <w:t>69</w:t>
      </w:r>
      <w:r w:rsidR="00A81DFD" w:rsidRPr="00A81DFD">
        <w:rPr>
          <w:rFonts w:cstheme="minorHAnsi"/>
          <w:color w:val="212121"/>
          <w:sz w:val="24"/>
          <w:szCs w:val="24"/>
          <w:shd w:val="clear" w:color="auto" w:fill="FFFFFF"/>
        </w:rPr>
        <w:t>:52-58.</w:t>
      </w:r>
    </w:p>
    <w:p w:rsidR="00A81DFD" w:rsidRPr="00A81DFD" w:rsidRDefault="00A81DFD" w:rsidP="00A81DFD">
      <w:pPr>
        <w:tabs>
          <w:tab w:val="left" w:pos="1080"/>
        </w:tabs>
        <w:spacing w:after="0" w:line="480" w:lineRule="auto"/>
        <w:jc w:val="both"/>
        <w:rPr>
          <w:rFonts w:cstheme="minorHAnsi"/>
          <w:color w:val="212121"/>
          <w:sz w:val="24"/>
          <w:szCs w:val="24"/>
          <w:shd w:val="clear" w:color="auto" w:fill="FFFFFF"/>
        </w:rPr>
      </w:pPr>
    </w:p>
    <w:p w:rsidR="00A81DFD" w:rsidRDefault="00273C30" w:rsidP="00000403">
      <w:pPr>
        <w:tabs>
          <w:tab w:val="left" w:pos="1080"/>
        </w:tabs>
        <w:spacing w:after="0" w:line="480" w:lineRule="auto"/>
        <w:jc w:val="both"/>
        <w:rPr>
          <w:rFonts w:cstheme="minorHAnsi"/>
          <w:color w:val="212121"/>
          <w:sz w:val="24"/>
          <w:szCs w:val="24"/>
          <w:shd w:val="clear" w:color="auto" w:fill="FFFFFF"/>
        </w:rPr>
      </w:pPr>
      <w:r>
        <w:rPr>
          <w:rFonts w:cstheme="minorHAnsi"/>
          <w:color w:val="212121"/>
          <w:sz w:val="24"/>
          <w:szCs w:val="24"/>
          <w:shd w:val="clear" w:color="auto" w:fill="FFFFFF"/>
        </w:rPr>
        <w:t>18</w:t>
      </w:r>
      <w:r w:rsidR="00A81DFD" w:rsidRPr="00A81DFD">
        <w:rPr>
          <w:rFonts w:cstheme="minorHAnsi"/>
          <w:color w:val="212121"/>
          <w:sz w:val="24"/>
          <w:szCs w:val="24"/>
          <w:shd w:val="clear" w:color="auto" w:fill="FFFFFF"/>
        </w:rPr>
        <w:t>.</w:t>
      </w:r>
      <w:r w:rsidR="00A81DFD">
        <w:rPr>
          <w:rFonts w:cstheme="minorHAnsi"/>
          <w:color w:val="212121"/>
          <w:sz w:val="24"/>
          <w:szCs w:val="24"/>
          <w:shd w:val="clear" w:color="auto" w:fill="FFFFFF"/>
        </w:rPr>
        <w:t xml:space="preserve"> </w:t>
      </w:r>
      <w:r w:rsidR="00346299">
        <w:rPr>
          <w:rFonts w:cstheme="minorHAnsi"/>
          <w:color w:val="212121"/>
          <w:sz w:val="24"/>
          <w:szCs w:val="24"/>
          <w:shd w:val="clear" w:color="auto" w:fill="FFFFFF"/>
        </w:rPr>
        <w:t xml:space="preserve">Beigel J, Tomashek K, Dodd L, et al. </w:t>
      </w:r>
      <w:r w:rsidR="00346299" w:rsidRPr="00346299">
        <w:rPr>
          <w:rFonts w:cstheme="minorHAnsi"/>
          <w:color w:val="212121"/>
          <w:sz w:val="24"/>
          <w:szCs w:val="24"/>
          <w:shd w:val="clear" w:color="auto" w:fill="FFFFFF"/>
        </w:rPr>
        <w:t>Remdesivir for the Treatment of Covid-19 - Preliminary Report</w:t>
      </w:r>
      <w:r w:rsidR="00346299">
        <w:rPr>
          <w:rFonts w:cstheme="minorHAnsi"/>
          <w:color w:val="212121"/>
          <w:sz w:val="24"/>
          <w:szCs w:val="24"/>
          <w:shd w:val="clear" w:color="auto" w:fill="FFFFFF"/>
        </w:rPr>
        <w:t xml:space="preserve">. </w:t>
      </w:r>
      <w:r w:rsidR="00C57B9B" w:rsidRPr="00C57B9B">
        <w:rPr>
          <w:rFonts w:cstheme="minorHAnsi"/>
          <w:i/>
          <w:color w:val="212121"/>
          <w:sz w:val="24"/>
          <w:szCs w:val="24"/>
          <w:shd w:val="clear" w:color="auto" w:fill="FFFFFF"/>
        </w:rPr>
        <w:t>N Engl J Med</w:t>
      </w:r>
      <w:r w:rsidR="00C57B9B" w:rsidRPr="00C57B9B">
        <w:rPr>
          <w:rFonts w:cstheme="minorHAnsi"/>
          <w:color w:val="212121"/>
          <w:sz w:val="24"/>
          <w:szCs w:val="24"/>
          <w:shd w:val="clear" w:color="auto" w:fill="FFFFFF"/>
        </w:rPr>
        <w:t xml:space="preserve"> 2020;10.1056/NEJMoa2007764.</w:t>
      </w:r>
    </w:p>
    <w:p w:rsidR="00A81DFD" w:rsidRPr="00A81DFD" w:rsidRDefault="00A81DFD" w:rsidP="00000403">
      <w:pPr>
        <w:tabs>
          <w:tab w:val="left" w:pos="1080"/>
        </w:tabs>
        <w:spacing w:after="0" w:line="480" w:lineRule="auto"/>
        <w:jc w:val="both"/>
        <w:rPr>
          <w:rFonts w:cstheme="minorHAnsi"/>
          <w:color w:val="212121"/>
          <w:sz w:val="24"/>
          <w:szCs w:val="24"/>
          <w:shd w:val="clear" w:color="auto" w:fill="FFFFFF"/>
        </w:rPr>
      </w:pPr>
    </w:p>
    <w:p w:rsidR="00A81DFD" w:rsidRPr="00A81DFD" w:rsidRDefault="00273C30" w:rsidP="00A944A2">
      <w:pPr>
        <w:tabs>
          <w:tab w:val="left" w:pos="1080"/>
        </w:tabs>
        <w:spacing w:after="0" w:line="480" w:lineRule="auto"/>
        <w:jc w:val="both"/>
        <w:rPr>
          <w:rFonts w:cstheme="minorHAnsi"/>
          <w:color w:val="212121"/>
          <w:sz w:val="24"/>
          <w:szCs w:val="24"/>
          <w:shd w:val="clear" w:color="auto" w:fill="FFFFFF"/>
        </w:rPr>
      </w:pPr>
      <w:r>
        <w:rPr>
          <w:rFonts w:cstheme="minorHAnsi"/>
          <w:color w:val="212121"/>
          <w:sz w:val="24"/>
          <w:szCs w:val="24"/>
          <w:shd w:val="clear" w:color="auto" w:fill="FFFFFF"/>
        </w:rPr>
        <w:t>19</w:t>
      </w:r>
      <w:r w:rsidR="00A81DFD" w:rsidRPr="00A81DFD">
        <w:rPr>
          <w:rFonts w:cstheme="minorHAnsi"/>
          <w:color w:val="212121"/>
          <w:sz w:val="24"/>
          <w:szCs w:val="24"/>
          <w:shd w:val="clear" w:color="auto" w:fill="FFFFFF"/>
        </w:rPr>
        <w:t>.</w:t>
      </w:r>
      <w:r w:rsidR="00A944A2">
        <w:rPr>
          <w:rFonts w:cstheme="minorHAnsi"/>
          <w:color w:val="212121"/>
          <w:sz w:val="24"/>
          <w:szCs w:val="24"/>
          <w:shd w:val="clear" w:color="auto" w:fill="FFFFFF"/>
        </w:rPr>
        <w:t xml:space="preserve"> The RECOVERY Collaborative Group. Horby P, Lim WS, Emberson JR, et al.</w:t>
      </w:r>
      <w:r w:rsidR="00346299">
        <w:rPr>
          <w:rFonts w:cstheme="minorHAnsi"/>
          <w:color w:val="212121"/>
          <w:sz w:val="24"/>
          <w:szCs w:val="24"/>
          <w:shd w:val="clear" w:color="auto" w:fill="FFFFFF"/>
        </w:rPr>
        <w:t xml:space="preserve"> </w:t>
      </w:r>
      <w:r w:rsidR="00A944A2" w:rsidRPr="00A944A2">
        <w:rPr>
          <w:rFonts w:cstheme="minorHAnsi"/>
          <w:color w:val="212121"/>
          <w:sz w:val="24"/>
          <w:szCs w:val="24"/>
          <w:shd w:val="clear" w:color="auto" w:fill="FFFFFF"/>
        </w:rPr>
        <w:t>Dexamet</w:t>
      </w:r>
      <w:r w:rsidR="00A944A2">
        <w:rPr>
          <w:rFonts w:cstheme="minorHAnsi"/>
          <w:color w:val="212121"/>
          <w:sz w:val="24"/>
          <w:szCs w:val="24"/>
          <w:shd w:val="clear" w:color="auto" w:fill="FFFFFF"/>
        </w:rPr>
        <w:t xml:space="preserve">hasone in Hospitalized Patients </w:t>
      </w:r>
      <w:r w:rsidR="00A944A2" w:rsidRPr="00A944A2">
        <w:rPr>
          <w:rFonts w:cstheme="minorHAnsi"/>
          <w:color w:val="212121"/>
          <w:sz w:val="24"/>
          <w:szCs w:val="24"/>
          <w:shd w:val="clear" w:color="auto" w:fill="FFFFFF"/>
        </w:rPr>
        <w:t>with Covid-19 — Preliminary Report</w:t>
      </w:r>
      <w:r w:rsidR="00A944A2">
        <w:rPr>
          <w:rFonts w:cstheme="minorHAnsi"/>
          <w:color w:val="212121"/>
          <w:sz w:val="24"/>
          <w:szCs w:val="24"/>
          <w:shd w:val="clear" w:color="auto" w:fill="FFFFFF"/>
        </w:rPr>
        <w:t xml:space="preserve">. </w:t>
      </w:r>
      <w:r w:rsidR="00C57B9B" w:rsidRPr="00C57B9B">
        <w:rPr>
          <w:rFonts w:cstheme="minorHAnsi"/>
          <w:i/>
          <w:color w:val="212121"/>
          <w:sz w:val="24"/>
          <w:szCs w:val="24"/>
          <w:shd w:val="clear" w:color="auto" w:fill="FFFFFF"/>
        </w:rPr>
        <w:t>N Engl J Med</w:t>
      </w:r>
      <w:r w:rsidR="00C57B9B" w:rsidRPr="00C57B9B">
        <w:rPr>
          <w:rFonts w:cstheme="minorHAnsi"/>
          <w:color w:val="212121"/>
          <w:sz w:val="24"/>
          <w:szCs w:val="24"/>
          <w:shd w:val="clear" w:color="auto" w:fill="FFFFFF"/>
        </w:rPr>
        <w:t xml:space="preserve"> 2020;10.1056/NEJMoa2021436.</w:t>
      </w:r>
    </w:p>
    <w:p w:rsidR="00A81DFD" w:rsidRPr="00A81DFD" w:rsidRDefault="00A81DFD" w:rsidP="00000403">
      <w:pPr>
        <w:tabs>
          <w:tab w:val="left" w:pos="1080"/>
        </w:tabs>
        <w:spacing w:after="0" w:line="480" w:lineRule="auto"/>
        <w:jc w:val="both"/>
        <w:rPr>
          <w:rFonts w:cstheme="minorHAnsi"/>
          <w:color w:val="212121"/>
          <w:sz w:val="24"/>
          <w:szCs w:val="24"/>
          <w:shd w:val="clear" w:color="auto" w:fill="FFFFFF"/>
        </w:rPr>
      </w:pPr>
    </w:p>
    <w:p w:rsidR="00000403" w:rsidRPr="00A81DFD" w:rsidRDefault="00273C30" w:rsidP="00000403">
      <w:pPr>
        <w:tabs>
          <w:tab w:val="left" w:pos="1080"/>
        </w:tabs>
        <w:spacing w:after="0" w:line="480" w:lineRule="auto"/>
        <w:jc w:val="both"/>
        <w:rPr>
          <w:rFonts w:cstheme="minorHAnsi"/>
          <w:bCs/>
          <w:color w:val="212121"/>
          <w:sz w:val="24"/>
          <w:szCs w:val="24"/>
          <w:shd w:val="clear" w:color="auto" w:fill="FFFFFF"/>
        </w:rPr>
      </w:pPr>
      <w:r>
        <w:rPr>
          <w:rFonts w:cstheme="minorHAnsi"/>
          <w:color w:val="212121"/>
          <w:sz w:val="24"/>
          <w:szCs w:val="24"/>
          <w:shd w:val="clear" w:color="auto" w:fill="FFFFFF"/>
        </w:rPr>
        <w:lastRenderedPageBreak/>
        <w:t>20</w:t>
      </w:r>
      <w:r w:rsidR="00A81DFD" w:rsidRPr="00A81DFD">
        <w:rPr>
          <w:rFonts w:cstheme="minorHAnsi"/>
          <w:color w:val="212121"/>
          <w:sz w:val="24"/>
          <w:szCs w:val="24"/>
          <w:shd w:val="clear" w:color="auto" w:fill="FFFFFF"/>
        </w:rPr>
        <w:t xml:space="preserve">. </w:t>
      </w:r>
      <w:r w:rsidR="00A944A2">
        <w:rPr>
          <w:rFonts w:cstheme="minorHAnsi"/>
          <w:color w:val="212121"/>
          <w:sz w:val="24"/>
          <w:szCs w:val="24"/>
          <w:shd w:val="clear" w:color="auto" w:fill="FFFFFF"/>
        </w:rPr>
        <w:t>Colton H, Ankcorn M, Yavuz M, et al</w:t>
      </w:r>
      <w:r w:rsidR="00000403" w:rsidRPr="00A81DFD">
        <w:rPr>
          <w:rFonts w:cstheme="minorHAnsi"/>
          <w:bCs/>
          <w:color w:val="212121"/>
          <w:sz w:val="24"/>
          <w:szCs w:val="24"/>
          <w:shd w:val="clear" w:color="auto" w:fill="FFFFFF"/>
        </w:rPr>
        <w:t>.</w:t>
      </w:r>
      <w:r w:rsidR="00000403" w:rsidRPr="00A81DFD">
        <w:rPr>
          <w:sz w:val="24"/>
          <w:szCs w:val="24"/>
        </w:rPr>
        <w:t xml:space="preserve"> </w:t>
      </w:r>
      <w:r w:rsidR="00000403" w:rsidRPr="00A81DFD">
        <w:rPr>
          <w:rFonts w:cstheme="minorHAnsi"/>
          <w:bCs/>
          <w:color w:val="212121"/>
          <w:sz w:val="24"/>
          <w:szCs w:val="24"/>
          <w:shd w:val="clear" w:color="auto" w:fill="FFFFFF"/>
        </w:rPr>
        <w:t xml:space="preserve"> Improved sensitivity using a dual target, E and RdRp assay for the diagnosis of SARS-CoV-2 infection: Experience at a large NHS Foundation Trust in the UK.</w:t>
      </w:r>
      <w:r w:rsidR="00000403" w:rsidRPr="00A81DFD">
        <w:rPr>
          <w:sz w:val="24"/>
          <w:szCs w:val="24"/>
        </w:rPr>
        <w:t xml:space="preserve"> </w:t>
      </w:r>
      <w:r w:rsidR="00A944A2" w:rsidRPr="00A944A2">
        <w:rPr>
          <w:rFonts w:cstheme="minorHAnsi"/>
          <w:bCs/>
          <w:i/>
          <w:color w:val="212121"/>
          <w:sz w:val="24"/>
          <w:szCs w:val="24"/>
          <w:shd w:val="clear" w:color="auto" w:fill="FFFFFF"/>
        </w:rPr>
        <w:t>J Infect</w:t>
      </w:r>
      <w:r w:rsidR="00A944A2">
        <w:rPr>
          <w:rFonts w:cstheme="minorHAnsi"/>
          <w:bCs/>
          <w:color w:val="212121"/>
          <w:sz w:val="24"/>
          <w:szCs w:val="24"/>
          <w:shd w:val="clear" w:color="auto" w:fill="FFFFFF"/>
        </w:rPr>
        <w:t xml:space="preserve"> 2020</w:t>
      </w:r>
      <w:r w:rsidR="00000403" w:rsidRPr="00A81DFD">
        <w:rPr>
          <w:rFonts w:cstheme="minorHAnsi"/>
          <w:bCs/>
          <w:color w:val="212121"/>
          <w:sz w:val="24"/>
          <w:szCs w:val="24"/>
          <w:shd w:val="clear" w:color="auto" w:fill="FFFFFF"/>
        </w:rPr>
        <w:t>:S0163-4453(20)30339-X.</w:t>
      </w:r>
    </w:p>
    <w:p w:rsidR="00A81DFD" w:rsidRPr="00A81DFD" w:rsidRDefault="00A81DFD" w:rsidP="00000403">
      <w:pPr>
        <w:tabs>
          <w:tab w:val="left" w:pos="1080"/>
        </w:tabs>
        <w:spacing w:after="0" w:line="480" w:lineRule="auto"/>
        <w:jc w:val="both"/>
        <w:rPr>
          <w:b/>
          <w:bCs/>
          <w:sz w:val="24"/>
          <w:szCs w:val="24"/>
        </w:rPr>
      </w:pPr>
    </w:p>
    <w:p w:rsidR="00000403" w:rsidRDefault="00273C30" w:rsidP="001509D5">
      <w:pPr>
        <w:tabs>
          <w:tab w:val="left" w:pos="1080"/>
        </w:tabs>
        <w:spacing w:after="0" w:line="480" w:lineRule="auto"/>
        <w:jc w:val="both"/>
        <w:rPr>
          <w:bCs/>
          <w:sz w:val="24"/>
          <w:szCs w:val="24"/>
        </w:rPr>
      </w:pPr>
      <w:r>
        <w:rPr>
          <w:bCs/>
          <w:sz w:val="24"/>
          <w:szCs w:val="24"/>
        </w:rPr>
        <w:t>21</w:t>
      </w:r>
      <w:r w:rsidR="00A81DFD" w:rsidRPr="00A81DFD">
        <w:rPr>
          <w:bCs/>
          <w:sz w:val="24"/>
          <w:szCs w:val="24"/>
        </w:rPr>
        <w:t>.</w:t>
      </w:r>
      <w:r w:rsidR="000675DE">
        <w:rPr>
          <w:bCs/>
          <w:sz w:val="24"/>
          <w:szCs w:val="24"/>
        </w:rPr>
        <w:t xml:space="preserve"> </w:t>
      </w:r>
      <w:r w:rsidR="000675DE" w:rsidRPr="000675DE">
        <w:rPr>
          <w:bCs/>
          <w:sz w:val="24"/>
          <w:szCs w:val="24"/>
        </w:rPr>
        <w:t>Chan JF, Yip CC, To KK,</w:t>
      </w:r>
      <w:r w:rsidR="00A944A2">
        <w:rPr>
          <w:bCs/>
          <w:sz w:val="24"/>
          <w:szCs w:val="24"/>
        </w:rPr>
        <w:t xml:space="preserve"> et al</w:t>
      </w:r>
      <w:r w:rsidR="000675DE">
        <w:rPr>
          <w:bCs/>
          <w:sz w:val="24"/>
          <w:szCs w:val="24"/>
        </w:rPr>
        <w:t xml:space="preserve">. </w:t>
      </w:r>
      <w:r w:rsidR="000675DE" w:rsidRPr="000675DE">
        <w:rPr>
          <w:bCs/>
          <w:sz w:val="24"/>
          <w:szCs w:val="24"/>
        </w:rPr>
        <w:t>Improved Molecular Diagnosis of COVID-19 by the Novel, Highly Sensitive and Specific COVID-19-RdRp/Hel Real-Time Reverse Transcription-PCR Assay Validated In Vitro and With Clinical Specimens</w:t>
      </w:r>
      <w:r w:rsidR="000675DE">
        <w:rPr>
          <w:bCs/>
          <w:sz w:val="24"/>
          <w:szCs w:val="24"/>
        </w:rPr>
        <w:t xml:space="preserve">. </w:t>
      </w:r>
      <w:r w:rsidR="00A944A2" w:rsidRPr="00A944A2">
        <w:rPr>
          <w:bCs/>
          <w:i/>
          <w:sz w:val="24"/>
          <w:szCs w:val="24"/>
        </w:rPr>
        <w:t>J Clin Microbiol</w:t>
      </w:r>
      <w:r w:rsidR="00A944A2">
        <w:rPr>
          <w:bCs/>
          <w:sz w:val="24"/>
          <w:szCs w:val="24"/>
        </w:rPr>
        <w:t xml:space="preserve"> </w:t>
      </w:r>
      <w:r w:rsidR="000675DE" w:rsidRPr="000675DE">
        <w:rPr>
          <w:bCs/>
          <w:sz w:val="24"/>
          <w:szCs w:val="24"/>
        </w:rPr>
        <w:t>2020;</w:t>
      </w:r>
      <w:r w:rsidR="000675DE" w:rsidRPr="00C57B9B">
        <w:rPr>
          <w:b/>
          <w:bCs/>
          <w:sz w:val="24"/>
          <w:szCs w:val="24"/>
        </w:rPr>
        <w:t>58</w:t>
      </w:r>
      <w:r w:rsidR="000675DE" w:rsidRPr="000675DE">
        <w:rPr>
          <w:bCs/>
          <w:sz w:val="24"/>
          <w:szCs w:val="24"/>
        </w:rPr>
        <w:t>(5):e00310-20.</w:t>
      </w:r>
    </w:p>
    <w:p w:rsidR="00362BCA" w:rsidRDefault="00362BCA" w:rsidP="001509D5">
      <w:pPr>
        <w:tabs>
          <w:tab w:val="left" w:pos="1080"/>
        </w:tabs>
        <w:spacing w:after="0" w:line="480" w:lineRule="auto"/>
        <w:jc w:val="both"/>
        <w:rPr>
          <w:bCs/>
          <w:sz w:val="24"/>
          <w:szCs w:val="24"/>
        </w:rPr>
      </w:pPr>
    </w:p>
    <w:p w:rsidR="00362BCA" w:rsidRDefault="00362BCA" w:rsidP="001509D5">
      <w:pPr>
        <w:tabs>
          <w:tab w:val="left" w:pos="1080"/>
        </w:tabs>
        <w:spacing w:after="0" w:line="480" w:lineRule="auto"/>
        <w:jc w:val="both"/>
        <w:rPr>
          <w:bCs/>
          <w:sz w:val="24"/>
          <w:szCs w:val="24"/>
        </w:rPr>
      </w:pPr>
    </w:p>
    <w:p w:rsidR="00B770A5" w:rsidRDefault="00B770A5" w:rsidP="006A69D7">
      <w:pPr>
        <w:autoSpaceDE w:val="0"/>
        <w:autoSpaceDN w:val="0"/>
        <w:adjustRightInd w:val="0"/>
        <w:spacing w:after="0" w:line="480" w:lineRule="auto"/>
        <w:rPr>
          <w:rFonts w:cstheme="minorHAnsi"/>
          <w:color w:val="000000"/>
          <w:sz w:val="24"/>
          <w:szCs w:val="24"/>
        </w:rPr>
      </w:pPr>
    </w:p>
    <w:p w:rsidR="00B770A5" w:rsidRDefault="00B770A5" w:rsidP="006A69D7">
      <w:pPr>
        <w:autoSpaceDE w:val="0"/>
        <w:autoSpaceDN w:val="0"/>
        <w:adjustRightInd w:val="0"/>
        <w:spacing w:after="0" w:line="480" w:lineRule="auto"/>
        <w:rPr>
          <w:rFonts w:cstheme="minorHAnsi"/>
          <w:color w:val="000000"/>
          <w:sz w:val="24"/>
          <w:szCs w:val="24"/>
        </w:rPr>
      </w:pPr>
    </w:p>
    <w:p w:rsidR="00BE6A06" w:rsidRDefault="00BE6A06" w:rsidP="006A69D7">
      <w:pPr>
        <w:autoSpaceDE w:val="0"/>
        <w:autoSpaceDN w:val="0"/>
        <w:adjustRightInd w:val="0"/>
        <w:spacing w:after="0" w:line="480" w:lineRule="auto"/>
        <w:rPr>
          <w:rFonts w:cstheme="minorHAnsi"/>
          <w:color w:val="000000"/>
          <w:sz w:val="24"/>
          <w:szCs w:val="24"/>
        </w:rPr>
      </w:pPr>
    </w:p>
    <w:p w:rsidR="007C22C0" w:rsidRDefault="007C22C0" w:rsidP="006A69D7">
      <w:pPr>
        <w:autoSpaceDE w:val="0"/>
        <w:autoSpaceDN w:val="0"/>
        <w:adjustRightInd w:val="0"/>
        <w:spacing w:after="0" w:line="480" w:lineRule="auto"/>
        <w:rPr>
          <w:rFonts w:cstheme="minorHAnsi"/>
          <w:color w:val="000000"/>
          <w:sz w:val="24"/>
          <w:szCs w:val="24"/>
        </w:rPr>
      </w:pPr>
    </w:p>
    <w:p w:rsidR="007C22C0" w:rsidRDefault="007C22C0" w:rsidP="006A69D7">
      <w:pPr>
        <w:autoSpaceDE w:val="0"/>
        <w:autoSpaceDN w:val="0"/>
        <w:adjustRightInd w:val="0"/>
        <w:spacing w:after="0" w:line="480" w:lineRule="auto"/>
        <w:rPr>
          <w:rFonts w:cstheme="minorHAnsi"/>
          <w:color w:val="000000"/>
          <w:sz w:val="24"/>
          <w:szCs w:val="24"/>
        </w:rPr>
      </w:pPr>
    </w:p>
    <w:p w:rsidR="007C22C0" w:rsidRDefault="007C22C0" w:rsidP="006A69D7">
      <w:pPr>
        <w:autoSpaceDE w:val="0"/>
        <w:autoSpaceDN w:val="0"/>
        <w:adjustRightInd w:val="0"/>
        <w:spacing w:after="0" w:line="480" w:lineRule="auto"/>
        <w:rPr>
          <w:rFonts w:cstheme="minorHAnsi"/>
          <w:color w:val="000000"/>
          <w:sz w:val="24"/>
          <w:szCs w:val="24"/>
        </w:rPr>
      </w:pPr>
    </w:p>
    <w:p w:rsidR="007C22C0" w:rsidRDefault="007C22C0" w:rsidP="006A69D7">
      <w:pPr>
        <w:autoSpaceDE w:val="0"/>
        <w:autoSpaceDN w:val="0"/>
        <w:adjustRightInd w:val="0"/>
        <w:spacing w:after="0" w:line="480" w:lineRule="auto"/>
        <w:rPr>
          <w:rFonts w:cstheme="minorHAnsi"/>
          <w:color w:val="000000"/>
          <w:sz w:val="24"/>
          <w:szCs w:val="24"/>
        </w:rPr>
      </w:pPr>
    </w:p>
    <w:p w:rsidR="007C22C0" w:rsidRDefault="007C22C0" w:rsidP="006A69D7">
      <w:pPr>
        <w:autoSpaceDE w:val="0"/>
        <w:autoSpaceDN w:val="0"/>
        <w:adjustRightInd w:val="0"/>
        <w:spacing w:after="0" w:line="480" w:lineRule="auto"/>
        <w:rPr>
          <w:rFonts w:cstheme="minorHAnsi"/>
          <w:color w:val="000000"/>
          <w:sz w:val="24"/>
          <w:szCs w:val="24"/>
        </w:rPr>
      </w:pPr>
    </w:p>
    <w:p w:rsidR="007C22C0" w:rsidRDefault="007C22C0" w:rsidP="006A69D7">
      <w:pPr>
        <w:autoSpaceDE w:val="0"/>
        <w:autoSpaceDN w:val="0"/>
        <w:adjustRightInd w:val="0"/>
        <w:spacing w:after="0" w:line="480" w:lineRule="auto"/>
        <w:rPr>
          <w:rFonts w:cstheme="minorHAnsi"/>
          <w:color w:val="000000"/>
          <w:sz w:val="24"/>
          <w:szCs w:val="24"/>
        </w:rPr>
      </w:pPr>
    </w:p>
    <w:p w:rsidR="00034A2C" w:rsidRDefault="00034A2C" w:rsidP="006A69D7">
      <w:pPr>
        <w:autoSpaceDE w:val="0"/>
        <w:autoSpaceDN w:val="0"/>
        <w:adjustRightInd w:val="0"/>
        <w:spacing w:after="0" w:line="480" w:lineRule="auto"/>
        <w:rPr>
          <w:rFonts w:cstheme="minorHAnsi"/>
          <w:color w:val="000000"/>
          <w:sz w:val="24"/>
          <w:szCs w:val="24"/>
        </w:rPr>
      </w:pPr>
    </w:p>
    <w:p w:rsidR="00034A2C" w:rsidRDefault="00034A2C" w:rsidP="006A69D7">
      <w:pPr>
        <w:autoSpaceDE w:val="0"/>
        <w:autoSpaceDN w:val="0"/>
        <w:adjustRightInd w:val="0"/>
        <w:spacing w:after="0" w:line="480" w:lineRule="auto"/>
        <w:rPr>
          <w:rFonts w:cstheme="minorHAnsi"/>
          <w:color w:val="000000"/>
          <w:sz w:val="24"/>
          <w:szCs w:val="24"/>
        </w:rPr>
      </w:pPr>
    </w:p>
    <w:p w:rsidR="00DA20C2" w:rsidRDefault="00DA20C2" w:rsidP="006A69D7">
      <w:pPr>
        <w:autoSpaceDE w:val="0"/>
        <w:autoSpaceDN w:val="0"/>
        <w:adjustRightInd w:val="0"/>
        <w:spacing w:after="0" w:line="480" w:lineRule="auto"/>
        <w:rPr>
          <w:rFonts w:cstheme="minorHAnsi"/>
          <w:color w:val="000000"/>
          <w:sz w:val="24"/>
          <w:szCs w:val="24"/>
        </w:rPr>
      </w:pPr>
    </w:p>
    <w:p w:rsidR="00DA20C2" w:rsidRDefault="00DA20C2" w:rsidP="006A69D7">
      <w:pPr>
        <w:autoSpaceDE w:val="0"/>
        <w:autoSpaceDN w:val="0"/>
        <w:adjustRightInd w:val="0"/>
        <w:spacing w:after="0" w:line="480" w:lineRule="auto"/>
        <w:rPr>
          <w:rFonts w:cstheme="minorHAnsi"/>
          <w:color w:val="000000"/>
          <w:sz w:val="24"/>
          <w:szCs w:val="24"/>
        </w:rPr>
      </w:pPr>
    </w:p>
    <w:p w:rsidR="00DA20C2" w:rsidRDefault="00DA20C2" w:rsidP="006A69D7">
      <w:pPr>
        <w:autoSpaceDE w:val="0"/>
        <w:autoSpaceDN w:val="0"/>
        <w:adjustRightInd w:val="0"/>
        <w:spacing w:after="0" w:line="480" w:lineRule="auto"/>
        <w:rPr>
          <w:rFonts w:cstheme="minorHAnsi"/>
          <w:color w:val="000000"/>
          <w:sz w:val="24"/>
          <w:szCs w:val="24"/>
        </w:rPr>
      </w:pPr>
    </w:p>
    <w:p w:rsidR="00DA20C2" w:rsidRDefault="00DA20C2" w:rsidP="006A69D7">
      <w:pPr>
        <w:autoSpaceDE w:val="0"/>
        <w:autoSpaceDN w:val="0"/>
        <w:adjustRightInd w:val="0"/>
        <w:spacing w:after="0" w:line="480" w:lineRule="auto"/>
        <w:rPr>
          <w:rFonts w:cstheme="minorHAnsi"/>
          <w:color w:val="000000"/>
          <w:sz w:val="24"/>
          <w:szCs w:val="24"/>
        </w:rPr>
      </w:pPr>
    </w:p>
    <w:p w:rsidR="00445601" w:rsidRPr="00F95794" w:rsidRDefault="00445601" w:rsidP="00F95794">
      <w:pPr>
        <w:tabs>
          <w:tab w:val="left" w:pos="3160"/>
        </w:tabs>
        <w:spacing w:line="480" w:lineRule="auto"/>
        <w:rPr>
          <w:b/>
          <w:bCs/>
          <w:sz w:val="32"/>
          <w:szCs w:val="32"/>
        </w:rPr>
      </w:pPr>
      <w:r w:rsidRPr="00445601">
        <w:rPr>
          <w:b/>
          <w:sz w:val="24"/>
          <w:szCs w:val="24"/>
        </w:rPr>
        <w:lastRenderedPageBreak/>
        <w:t>Author contributions</w:t>
      </w:r>
    </w:p>
    <w:p w:rsidR="00445601" w:rsidRPr="00445601" w:rsidRDefault="00445601" w:rsidP="00445601">
      <w:pPr>
        <w:spacing w:after="0" w:line="480" w:lineRule="auto"/>
        <w:jc w:val="both"/>
        <w:rPr>
          <w:sz w:val="24"/>
          <w:szCs w:val="24"/>
        </w:rPr>
      </w:pPr>
      <w:r w:rsidRPr="00445601">
        <w:rPr>
          <w:sz w:val="24"/>
          <w:szCs w:val="24"/>
        </w:rPr>
        <w:t xml:space="preserve">TWC reviewed the medical literature, conceived of and designed the study, oversaw the conduct of the study, participated in </w:t>
      </w:r>
      <w:r w:rsidR="00F95794">
        <w:rPr>
          <w:sz w:val="24"/>
          <w:szCs w:val="24"/>
        </w:rPr>
        <w:t>the interpretation or data</w:t>
      </w:r>
      <w:r w:rsidRPr="00445601">
        <w:rPr>
          <w:sz w:val="24"/>
          <w:szCs w:val="24"/>
        </w:rPr>
        <w:t>, drafted and wrote the manuscript. NJB assisted with the design of the study, screened and recruited patients and collected data. SP, C</w:t>
      </w:r>
      <w:r w:rsidR="00BE6A06">
        <w:rPr>
          <w:sz w:val="24"/>
          <w:szCs w:val="24"/>
        </w:rPr>
        <w:t>T</w:t>
      </w:r>
      <w:r w:rsidRPr="00445601">
        <w:rPr>
          <w:sz w:val="24"/>
          <w:szCs w:val="24"/>
        </w:rPr>
        <w:t>M, NN, V</w:t>
      </w:r>
      <w:r w:rsidR="00BE6A06">
        <w:rPr>
          <w:sz w:val="24"/>
          <w:szCs w:val="24"/>
        </w:rPr>
        <w:t>V</w:t>
      </w:r>
      <w:r w:rsidRPr="00445601">
        <w:rPr>
          <w:sz w:val="24"/>
          <w:szCs w:val="24"/>
        </w:rPr>
        <w:t>N, HW and LP scre</w:t>
      </w:r>
      <w:r w:rsidR="001C73C7">
        <w:rPr>
          <w:sz w:val="24"/>
          <w:szCs w:val="24"/>
        </w:rPr>
        <w:t xml:space="preserve">ened and recruited patients, </w:t>
      </w:r>
      <w:r w:rsidRPr="00445601">
        <w:rPr>
          <w:sz w:val="24"/>
          <w:szCs w:val="24"/>
        </w:rPr>
        <w:t xml:space="preserve">collected </w:t>
      </w:r>
      <w:r w:rsidR="00F95794">
        <w:rPr>
          <w:sz w:val="24"/>
          <w:szCs w:val="24"/>
        </w:rPr>
        <w:t xml:space="preserve">and collated </w:t>
      </w:r>
      <w:r w:rsidRPr="00445601">
        <w:rPr>
          <w:sz w:val="24"/>
          <w:szCs w:val="24"/>
        </w:rPr>
        <w:t xml:space="preserve">data. </w:t>
      </w:r>
      <w:r w:rsidR="001C73C7">
        <w:rPr>
          <w:sz w:val="24"/>
          <w:szCs w:val="24"/>
        </w:rPr>
        <w:t xml:space="preserve">HP and FB performed data extraction and management. SK and NC performed discrepancy analysis of samples for PCR testing, GB performed collection and processing of samples, BV performed independent </w:t>
      </w:r>
      <w:r w:rsidR="001C73C7" w:rsidRPr="001C73C7">
        <w:rPr>
          <w:sz w:val="24"/>
          <w:szCs w:val="24"/>
        </w:rPr>
        <w:t xml:space="preserve">performance </w:t>
      </w:r>
      <w:r w:rsidR="001C73C7">
        <w:rPr>
          <w:sz w:val="24"/>
          <w:szCs w:val="24"/>
        </w:rPr>
        <w:t xml:space="preserve">evaluation for QIAstatDx SARS-CoV-2 assay, and </w:t>
      </w:r>
      <w:r w:rsidRPr="00445601">
        <w:rPr>
          <w:sz w:val="24"/>
          <w:szCs w:val="24"/>
        </w:rPr>
        <w:t xml:space="preserve">SE analysed the data. All authors reviewed and contributed to the manuscript during its development. </w:t>
      </w:r>
    </w:p>
    <w:p w:rsidR="00445601" w:rsidRDefault="00445601" w:rsidP="00445601">
      <w:pPr>
        <w:spacing w:after="0" w:line="480" w:lineRule="auto"/>
        <w:jc w:val="both"/>
        <w:rPr>
          <w:b/>
          <w:sz w:val="24"/>
          <w:szCs w:val="24"/>
        </w:rPr>
      </w:pPr>
    </w:p>
    <w:p w:rsidR="00445601" w:rsidRPr="000758A9" w:rsidRDefault="00032CC1" w:rsidP="00445601">
      <w:pPr>
        <w:spacing w:after="0" w:line="480" w:lineRule="auto"/>
        <w:jc w:val="both"/>
        <w:rPr>
          <w:b/>
          <w:sz w:val="24"/>
          <w:szCs w:val="24"/>
        </w:rPr>
      </w:pPr>
      <w:r w:rsidRPr="000758A9">
        <w:rPr>
          <w:b/>
          <w:sz w:val="24"/>
          <w:szCs w:val="24"/>
        </w:rPr>
        <w:t>Declaration</w:t>
      </w:r>
      <w:r w:rsidR="00474463" w:rsidRPr="000758A9">
        <w:rPr>
          <w:b/>
          <w:sz w:val="24"/>
          <w:szCs w:val="24"/>
        </w:rPr>
        <w:t xml:space="preserve"> of </w:t>
      </w:r>
      <w:r w:rsidR="000C7042" w:rsidRPr="000758A9">
        <w:rPr>
          <w:b/>
          <w:sz w:val="24"/>
          <w:szCs w:val="24"/>
        </w:rPr>
        <w:t xml:space="preserve">competing </w:t>
      </w:r>
      <w:r w:rsidR="00474463" w:rsidRPr="000758A9">
        <w:rPr>
          <w:b/>
          <w:sz w:val="24"/>
          <w:szCs w:val="24"/>
        </w:rPr>
        <w:t>interest</w:t>
      </w:r>
      <w:r w:rsidRPr="000758A9">
        <w:rPr>
          <w:b/>
          <w:sz w:val="24"/>
          <w:szCs w:val="24"/>
        </w:rPr>
        <w:t>s</w:t>
      </w:r>
    </w:p>
    <w:p w:rsidR="00474463" w:rsidRDefault="000C7042" w:rsidP="0006017F">
      <w:pPr>
        <w:spacing w:after="0" w:line="480" w:lineRule="auto"/>
        <w:jc w:val="both"/>
        <w:rPr>
          <w:sz w:val="24"/>
          <w:szCs w:val="24"/>
        </w:rPr>
      </w:pPr>
      <w:r w:rsidRPr="000758A9">
        <w:rPr>
          <w:sz w:val="24"/>
          <w:szCs w:val="24"/>
        </w:rPr>
        <w:t xml:space="preserve">TWC has received speaker fees, honoraria, travel reimbursement, and equipment and consumables free of charge for the purposes of research outside of this submitted study, from BioFire diagnostics LLC and BioMerieux. TWC has received consultancy fees from Synairgen research Ltd, Randox laboratories Ltd and Cidara therapeutics. He a member of an advisory board for Roche and a member of two independent data monitoring committees for trials sponsored by Roche. He has acted as the UK chief investigator for an IMP study sponsored by Janssen. All other authors have completed the Unified Competing Interest form (available on request from the corresponding author) and declare: no support from any organisation for the submitted work no financial relationships with any organisations that might have an interest in the submitted work in the previous three years, no other relationships or activities that could appear to have influenced the submitted work. </w:t>
      </w:r>
    </w:p>
    <w:p w:rsidR="0081692C" w:rsidRPr="0081692C" w:rsidRDefault="0081692C" w:rsidP="0006017F">
      <w:pPr>
        <w:spacing w:after="0" w:line="480" w:lineRule="auto"/>
        <w:jc w:val="both"/>
        <w:rPr>
          <w:b/>
          <w:sz w:val="24"/>
          <w:szCs w:val="24"/>
        </w:rPr>
      </w:pPr>
      <w:r w:rsidRPr="0081692C">
        <w:rPr>
          <w:b/>
          <w:sz w:val="24"/>
          <w:szCs w:val="24"/>
        </w:rPr>
        <w:lastRenderedPageBreak/>
        <w:t xml:space="preserve">Data sharing </w:t>
      </w:r>
    </w:p>
    <w:p w:rsidR="0081692C" w:rsidRPr="0081692C" w:rsidRDefault="0081692C" w:rsidP="0006017F">
      <w:pPr>
        <w:spacing w:after="0" w:line="480" w:lineRule="auto"/>
        <w:jc w:val="both"/>
        <w:rPr>
          <w:sz w:val="24"/>
          <w:szCs w:val="24"/>
        </w:rPr>
      </w:pPr>
      <w:r w:rsidRPr="0081692C">
        <w:rPr>
          <w:sz w:val="24"/>
          <w:szCs w:val="24"/>
        </w:rPr>
        <w:t>The data analysed and presented in this study are available from the corresponding author on reasonable request, providing this meets local ethical and research governance criteria.</w:t>
      </w:r>
    </w:p>
    <w:p w:rsidR="0081692C" w:rsidRPr="0081692C" w:rsidRDefault="0081692C" w:rsidP="0006017F">
      <w:pPr>
        <w:spacing w:after="0" w:line="480" w:lineRule="auto"/>
        <w:jc w:val="both"/>
        <w:rPr>
          <w:b/>
          <w:sz w:val="24"/>
          <w:szCs w:val="24"/>
        </w:rPr>
      </w:pPr>
    </w:p>
    <w:p w:rsidR="00032CC1" w:rsidRPr="0081692C" w:rsidRDefault="003F5E2E" w:rsidP="00032CC1">
      <w:pPr>
        <w:spacing w:after="0" w:line="480" w:lineRule="auto"/>
        <w:jc w:val="both"/>
        <w:rPr>
          <w:b/>
          <w:bCs/>
          <w:sz w:val="24"/>
          <w:szCs w:val="24"/>
        </w:rPr>
      </w:pPr>
      <w:r w:rsidRPr="0081692C">
        <w:rPr>
          <w:b/>
          <w:bCs/>
          <w:sz w:val="24"/>
          <w:szCs w:val="24"/>
        </w:rPr>
        <w:t>Acknowledgements</w:t>
      </w:r>
    </w:p>
    <w:p w:rsidR="00DA66F1" w:rsidRPr="0081692C" w:rsidRDefault="004022B4" w:rsidP="00CD2533">
      <w:pPr>
        <w:spacing w:after="0" w:line="480" w:lineRule="auto"/>
        <w:jc w:val="both"/>
        <w:rPr>
          <w:bCs/>
          <w:sz w:val="24"/>
          <w:szCs w:val="24"/>
        </w:rPr>
      </w:pPr>
      <w:r w:rsidRPr="0081692C">
        <w:rPr>
          <w:bCs/>
          <w:sz w:val="24"/>
          <w:szCs w:val="24"/>
        </w:rPr>
        <w:t>We would like to acknowledge and gives thanks to all the patient</w:t>
      </w:r>
      <w:r w:rsidR="00321057" w:rsidRPr="0081692C">
        <w:rPr>
          <w:bCs/>
          <w:sz w:val="24"/>
          <w:szCs w:val="24"/>
        </w:rPr>
        <w:t>s</w:t>
      </w:r>
      <w:r w:rsidRPr="0081692C">
        <w:rPr>
          <w:bCs/>
          <w:sz w:val="24"/>
          <w:szCs w:val="24"/>
        </w:rPr>
        <w:t xml:space="preserve"> who kindly participated in this study and to all the clinical staff at Universi</w:t>
      </w:r>
      <w:r w:rsidR="00A65941" w:rsidRPr="0081692C">
        <w:rPr>
          <w:bCs/>
          <w:sz w:val="24"/>
          <w:szCs w:val="24"/>
        </w:rPr>
        <w:t>ty Hospital Southampton who cared for</w:t>
      </w:r>
      <w:r w:rsidR="005A5C15" w:rsidRPr="0081692C">
        <w:rPr>
          <w:bCs/>
          <w:sz w:val="24"/>
          <w:szCs w:val="24"/>
        </w:rPr>
        <w:t xml:space="preserve"> them</w:t>
      </w:r>
      <w:r w:rsidR="00A47750" w:rsidRPr="0081692C">
        <w:rPr>
          <w:bCs/>
          <w:sz w:val="24"/>
          <w:szCs w:val="24"/>
        </w:rPr>
        <w:t>.</w:t>
      </w:r>
      <w:r w:rsidR="0016177E" w:rsidRPr="0081692C">
        <w:rPr>
          <w:bCs/>
          <w:sz w:val="24"/>
          <w:szCs w:val="24"/>
        </w:rPr>
        <w:t xml:space="preserve"> We would also like to acknowledge the NIHR Southampton Clinical Research Facility (CRF) laboratory, project and nursing teams; the UHSFT research nursing team; and the NIHR Southampton Biomedical Research Centre staff and project teams for their support in the set-up of this study.</w:t>
      </w:r>
      <w:r w:rsidR="005A5C15" w:rsidRPr="0081692C">
        <w:rPr>
          <w:sz w:val="24"/>
          <w:szCs w:val="24"/>
        </w:rPr>
        <w:t xml:space="preserve"> Finally </w:t>
      </w:r>
      <w:r w:rsidR="005A5C15" w:rsidRPr="0081692C">
        <w:rPr>
          <w:bCs/>
          <w:sz w:val="24"/>
          <w:szCs w:val="24"/>
        </w:rPr>
        <w:t>we would like to acknowledge James Batchelor and Nicole Vaughn-Spickers</w:t>
      </w:r>
      <w:r w:rsidR="00321057" w:rsidRPr="0081692C">
        <w:rPr>
          <w:sz w:val="24"/>
          <w:szCs w:val="24"/>
        </w:rPr>
        <w:t xml:space="preserve"> at the </w:t>
      </w:r>
      <w:r w:rsidR="00321057" w:rsidRPr="0081692C">
        <w:rPr>
          <w:bCs/>
          <w:sz w:val="24"/>
          <w:szCs w:val="24"/>
        </w:rPr>
        <w:t xml:space="preserve">Clinical Informatics Research Unit for their assistance with electronic data capture systems. </w:t>
      </w:r>
    </w:p>
    <w:p w:rsidR="000C7042" w:rsidRPr="000758A9" w:rsidRDefault="000C7042" w:rsidP="00CD2533">
      <w:pPr>
        <w:spacing w:after="0" w:line="480" w:lineRule="auto"/>
        <w:jc w:val="both"/>
        <w:rPr>
          <w:bCs/>
          <w:sz w:val="24"/>
          <w:szCs w:val="24"/>
        </w:rPr>
      </w:pPr>
    </w:p>
    <w:p w:rsidR="0081692C" w:rsidRDefault="00FF43A7" w:rsidP="002835C6">
      <w:pPr>
        <w:spacing w:line="480" w:lineRule="auto"/>
        <w:jc w:val="both"/>
        <w:rPr>
          <w:sz w:val="24"/>
          <w:szCs w:val="24"/>
        </w:rPr>
      </w:pPr>
      <w:r w:rsidRPr="000758A9">
        <w:rPr>
          <w:sz w:val="24"/>
          <w:szCs w:val="24"/>
        </w:rPr>
        <w:t>This report is independent research supported by the National Institute for Health Research (</w:t>
      </w:r>
      <w:r w:rsidRPr="000758A9">
        <w:rPr>
          <w:b/>
          <w:bCs/>
          <w:sz w:val="24"/>
          <w:szCs w:val="24"/>
        </w:rPr>
        <w:t>NIHR Post Doctorial Fellowship, Dr Tristan Clark, PDF 2016-09-061</w:t>
      </w:r>
      <w:r w:rsidRPr="000758A9">
        <w:rPr>
          <w:sz w:val="24"/>
          <w:szCs w:val="24"/>
        </w:rPr>
        <w:t>). The views expressed in this publication are those of the author(s) and not necessarily those of the NHS, the National Institute for Health Research or the Department of Health.</w:t>
      </w:r>
    </w:p>
    <w:p w:rsidR="008C754F" w:rsidRDefault="008C754F" w:rsidP="002835C6">
      <w:pPr>
        <w:spacing w:line="480" w:lineRule="auto"/>
        <w:jc w:val="both"/>
        <w:rPr>
          <w:sz w:val="24"/>
          <w:szCs w:val="24"/>
        </w:rPr>
      </w:pPr>
    </w:p>
    <w:p w:rsidR="008C754F" w:rsidRDefault="008C754F" w:rsidP="002835C6">
      <w:pPr>
        <w:spacing w:line="480" w:lineRule="auto"/>
        <w:jc w:val="both"/>
        <w:rPr>
          <w:sz w:val="24"/>
          <w:szCs w:val="24"/>
        </w:rPr>
      </w:pPr>
    </w:p>
    <w:p w:rsidR="001146C1" w:rsidRDefault="001146C1" w:rsidP="002835C6">
      <w:pPr>
        <w:spacing w:line="480" w:lineRule="auto"/>
        <w:jc w:val="both"/>
        <w:rPr>
          <w:sz w:val="24"/>
          <w:szCs w:val="24"/>
        </w:rPr>
      </w:pPr>
    </w:p>
    <w:p w:rsidR="001146C1" w:rsidRDefault="001146C1" w:rsidP="002835C6">
      <w:pPr>
        <w:spacing w:line="480" w:lineRule="auto"/>
        <w:jc w:val="both"/>
        <w:rPr>
          <w:sz w:val="24"/>
          <w:szCs w:val="24"/>
        </w:rPr>
      </w:pPr>
    </w:p>
    <w:p w:rsidR="0002505A" w:rsidRPr="008267F3" w:rsidRDefault="00E11D2B" w:rsidP="0002505A">
      <w:pPr>
        <w:rPr>
          <w:b/>
          <w:sz w:val="24"/>
          <w:szCs w:val="24"/>
        </w:rPr>
      </w:pPr>
      <w:r w:rsidRPr="008267F3">
        <w:rPr>
          <w:b/>
          <w:i/>
          <w:sz w:val="24"/>
          <w:szCs w:val="24"/>
        </w:rPr>
        <w:lastRenderedPageBreak/>
        <w:t xml:space="preserve">Table </w:t>
      </w:r>
      <w:r w:rsidR="0002505A" w:rsidRPr="008267F3">
        <w:rPr>
          <w:b/>
          <w:i/>
          <w:sz w:val="24"/>
          <w:szCs w:val="24"/>
        </w:rPr>
        <w:t>1</w:t>
      </w:r>
      <w:r w:rsidR="0002505A" w:rsidRPr="008267F3">
        <w:rPr>
          <w:b/>
          <w:sz w:val="24"/>
          <w:szCs w:val="24"/>
        </w:rPr>
        <w:t>: Baseli</w:t>
      </w:r>
      <w:r w:rsidR="00747637">
        <w:rPr>
          <w:b/>
          <w:sz w:val="24"/>
          <w:szCs w:val="24"/>
        </w:rPr>
        <w:t>ne characteristics of patients</w:t>
      </w:r>
    </w:p>
    <w:tbl>
      <w:tblPr>
        <w:tblStyle w:val="TableGrid"/>
        <w:tblW w:w="0" w:type="auto"/>
        <w:tblLook w:val="04A0" w:firstRow="1" w:lastRow="0" w:firstColumn="1" w:lastColumn="0" w:noHBand="0" w:noVBand="1"/>
      </w:tblPr>
      <w:tblGrid>
        <w:gridCol w:w="2972"/>
        <w:gridCol w:w="1701"/>
        <w:gridCol w:w="1701"/>
        <w:gridCol w:w="1701"/>
      </w:tblGrid>
      <w:tr w:rsidR="008C754F" w:rsidRPr="00577361" w:rsidTr="008267F3">
        <w:trPr>
          <w:trHeight w:val="290"/>
        </w:trPr>
        <w:tc>
          <w:tcPr>
            <w:tcW w:w="2972" w:type="dxa"/>
            <w:noWrap/>
            <w:hideMark/>
          </w:tcPr>
          <w:p w:rsidR="008C754F" w:rsidRPr="00577361" w:rsidRDefault="008C754F" w:rsidP="0002505A">
            <w:pPr>
              <w:rPr>
                <w:b/>
              </w:rPr>
            </w:pPr>
          </w:p>
        </w:tc>
        <w:tc>
          <w:tcPr>
            <w:tcW w:w="1701" w:type="dxa"/>
            <w:noWrap/>
            <w:hideMark/>
          </w:tcPr>
          <w:p w:rsidR="008C754F" w:rsidRDefault="008C754F" w:rsidP="0002505A">
            <w:pPr>
              <w:rPr>
                <w:b/>
              </w:rPr>
            </w:pPr>
            <w:r w:rsidRPr="00577361">
              <w:rPr>
                <w:b/>
              </w:rPr>
              <w:t xml:space="preserve">POCT </w:t>
            </w:r>
          </w:p>
          <w:p w:rsidR="008C754F" w:rsidRDefault="008C754F" w:rsidP="0002505A">
            <w:pPr>
              <w:rPr>
                <w:b/>
              </w:rPr>
            </w:pPr>
            <w:r w:rsidRPr="00577361">
              <w:rPr>
                <w:b/>
              </w:rPr>
              <w:t>n=499</w:t>
            </w:r>
          </w:p>
          <w:p w:rsidR="008C754F" w:rsidRPr="00577361" w:rsidRDefault="008C754F" w:rsidP="0002505A">
            <w:pPr>
              <w:rPr>
                <w:b/>
              </w:rPr>
            </w:pPr>
          </w:p>
        </w:tc>
        <w:tc>
          <w:tcPr>
            <w:tcW w:w="1701" w:type="dxa"/>
            <w:noWrap/>
            <w:hideMark/>
          </w:tcPr>
          <w:p w:rsidR="008C754F" w:rsidRDefault="008C754F" w:rsidP="0002505A">
            <w:pPr>
              <w:rPr>
                <w:b/>
              </w:rPr>
            </w:pPr>
            <w:r w:rsidRPr="00577361">
              <w:rPr>
                <w:b/>
              </w:rPr>
              <w:t xml:space="preserve">Control </w:t>
            </w:r>
          </w:p>
          <w:p w:rsidR="008C754F" w:rsidRPr="00577361" w:rsidRDefault="008C754F" w:rsidP="0002505A">
            <w:pPr>
              <w:rPr>
                <w:b/>
              </w:rPr>
            </w:pPr>
            <w:r w:rsidRPr="00577361">
              <w:rPr>
                <w:b/>
              </w:rPr>
              <w:t>n=555</w:t>
            </w:r>
          </w:p>
        </w:tc>
        <w:tc>
          <w:tcPr>
            <w:tcW w:w="1701" w:type="dxa"/>
          </w:tcPr>
          <w:p w:rsidR="008C754F" w:rsidRPr="00577361" w:rsidRDefault="008C754F" w:rsidP="0002505A">
            <w:pPr>
              <w:rPr>
                <w:b/>
              </w:rPr>
            </w:pPr>
            <w:r>
              <w:rPr>
                <w:b/>
              </w:rPr>
              <w:t>Difference 95%CI</w:t>
            </w:r>
          </w:p>
        </w:tc>
      </w:tr>
      <w:tr w:rsidR="008C754F" w:rsidRPr="00577361" w:rsidTr="008267F3">
        <w:trPr>
          <w:trHeight w:val="290"/>
        </w:trPr>
        <w:tc>
          <w:tcPr>
            <w:tcW w:w="2972" w:type="dxa"/>
            <w:noWrap/>
            <w:hideMark/>
          </w:tcPr>
          <w:p w:rsidR="008C754F" w:rsidRPr="00577361" w:rsidRDefault="008C754F" w:rsidP="0002505A">
            <w:r>
              <w:t>Age (years)</w:t>
            </w:r>
          </w:p>
        </w:tc>
        <w:tc>
          <w:tcPr>
            <w:tcW w:w="1701" w:type="dxa"/>
            <w:noWrap/>
            <w:hideMark/>
          </w:tcPr>
          <w:p w:rsidR="008C754F" w:rsidRPr="00577361" w:rsidRDefault="008C754F" w:rsidP="0002505A">
            <w:r w:rsidRPr="00577361">
              <w:t xml:space="preserve">68 (51 to 81) </w:t>
            </w:r>
          </w:p>
        </w:tc>
        <w:tc>
          <w:tcPr>
            <w:tcW w:w="1701" w:type="dxa"/>
            <w:noWrap/>
            <w:hideMark/>
          </w:tcPr>
          <w:p w:rsidR="008C754F" w:rsidRPr="00577361" w:rsidRDefault="008C754F" w:rsidP="0002505A">
            <w:r w:rsidRPr="00577361">
              <w:t>70 (51 to 81)</w:t>
            </w:r>
          </w:p>
        </w:tc>
        <w:tc>
          <w:tcPr>
            <w:tcW w:w="1701" w:type="dxa"/>
          </w:tcPr>
          <w:p w:rsidR="008C754F" w:rsidRPr="00577361" w:rsidRDefault="008C754F" w:rsidP="0002505A">
            <w:r>
              <w:t xml:space="preserve">2 (-2 to 3) </w:t>
            </w:r>
          </w:p>
        </w:tc>
      </w:tr>
      <w:tr w:rsidR="00B1108A" w:rsidRPr="00577361" w:rsidTr="00674C31">
        <w:trPr>
          <w:trHeight w:val="290"/>
        </w:trPr>
        <w:tc>
          <w:tcPr>
            <w:tcW w:w="2972" w:type="dxa"/>
            <w:noWrap/>
          </w:tcPr>
          <w:p w:rsidR="00B1108A" w:rsidRPr="00674C31" w:rsidRDefault="00674C31" w:rsidP="00B1108A">
            <w:pPr>
              <w:rPr>
                <w:color w:val="000000" w:themeColor="text1"/>
              </w:rPr>
            </w:pPr>
            <w:r>
              <w:rPr>
                <w:color w:val="000000" w:themeColor="text1"/>
              </w:rPr>
              <w:t xml:space="preserve">   &lt;50 </w:t>
            </w:r>
          </w:p>
        </w:tc>
        <w:tc>
          <w:tcPr>
            <w:tcW w:w="1701" w:type="dxa"/>
            <w:noWrap/>
          </w:tcPr>
          <w:p w:rsidR="00B1108A" w:rsidRPr="00577361" w:rsidRDefault="00B1108A" w:rsidP="00B1108A">
            <w:r>
              <w:t>117 (23)</w:t>
            </w:r>
          </w:p>
        </w:tc>
        <w:tc>
          <w:tcPr>
            <w:tcW w:w="1701" w:type="dxa"/>
            <w:noWrap/>
          </w:tcPr>
          <w:p w:rsidR="00B1108A" w:rsidRPr="00577361" w:rsidRDefault="00B1108A" w:rsidP="00B1108A">
            <w:r>
              <w:t>133 (24)</w:t>
            </w:r>
          </w:p>
        </w:tc>
        <w:tc>
          <w:tcPr>
            <w:tcW w:w="1701" w:type="dxa"/>
            <w:shd w:val="clear" w:color="auto" w:fill="auto"/>
          </w:tcPr>
          <w:p w:rsidR="00B1108A" w:rsidRPr="00B1108A" w:rsidRDefault="001069D3" w:rsidP="00B1108A">
            <w:r>
              <w:t xml:space="preserve">1 (-5 to 6) </w:t>
            </w:r>
          </w:p>
        </w:tc>
      </w:tr>
      <w:tr w:rsidR="00B1108A" w:rsidRPr="00577361" w:rsidTr="00674C31">
        <w:trPr>
          <w:trHeight w:val="290"/>
        </w:trPr>
        <w:tc>
          <w:tcPr>
            <w:tcW w:w="2972" w:type="dxa"/>
            <w:noWrap/>
            <w:hideMark/>
          </w:tcPr>
          <w:p w:rsidR="00B1108A" w:rsidRPr="00674C31" w:rsidRDefault="00B1108A" w:rsidP="00B1108A">
            <w:pPr>
              <w:rPr>
                <w:color w:val="000000" w:themeColor="text1"/>
              </w:rPr>
            </w:pPr>
            <w:r w:rsidRPr="00674C31">
              <w:rPr>
                <w:color w:val="000000" w:themeColor="text1"/>
              </w:rPr>
              <w:t xml:space="preserve">   50-59</w:t>
            </w:r>
            <w:r w:rsidR="00674C31">
              <w:rPr>
                <w:color w:val="000000" w:themeColor="text1"/>
              </w:rPr>
              <w:t xml:space="preserve"> </w:t>
            </w:r>
          </w:p>
        </w:tc>
        <w:tc>
          <w:tcPr>
            <w:tcW w:w="1701" w:type="dxa"/>
            <w:noWrap/>
          </w:tcPr>
          <w:p w:rsidR="00B1108A" w:rsidRPr="00577361" w:rsidRDefault="00B1108A" w:rsidP="00B1108A">
            <w:r>
              <w:t>67 (13)</w:t>
            </w:r>
          </w:p>
        </w:tc>
        <w:tc>
          <w:tcPr>
            <w:tcW w:w="1701" w:type="dxa"/>
            <w:noWrap/>
          </w:tcPr>
          <w:p w:rsidR="00B1108A" w:rsidRPr="00577361" w:rsidRDefault="00B1108A" w:rsidP="00B1108A">
            <w:r>
              <w:t>66 (12)</w:t>
            </w:r>
          </w:p>
        </w:tc>
        <w:tc>
          <w:tcPr>
            <w:tcW w:w="1701" w:type="dxa"/>
            <w:shd w:val="clear" w:color="auto" w:fill="auto"/>
          </w:tcPr>
          <w:p w:rsidR="00B1108A" w:rsidRPr="00B1108A" w:rsidRDefault="001069D3" w:rsidP="00B1108A">
            <w:r>
              <w:t>1 (</w:t>
            </w:r>
            <w:r w:rsidR="00674C31">
              <w:t>-2 to 6)</w:t>
            </w:r>
          </w:p>
        </w:tc>
      </w:tr>
      <w:tr w:rsidR="00B1108A" w:rsidRPr="00577361" w:rsidTr="00674C31">
        <w:trPr>
          <w:trHeight w:val="290"/>
        </w:trPr>
        <w:tc>
          <w:tcPr>
            <w:tcW w:w="2972" w:type="dxa"/>
            <w:noWrap/>
          </w:tcPr>
          <w:p w:rsidR="00B1108A" w:rsidRPr="00674C31" w:rsidRDefault="00B1108A" w:rsidP="00B1108A">
            <w:pPr>
              <w:rPr>
                <w:color w:val="000000" w:themeColor="text1"/>
              </w:rPr>
            </w:pPr>
            <w:r w:rsidRPr="00674C31">
              <w:rPr>
                <w:color w:val="000000" w:themeColor="text1"/>
              </w:rPr>
              <w:t xml:space="preserve">   60-69</w:t>
            </w:r>
            <w:r w:rsidR="00674C31">
              <w:rPr>
                <w:color w:val="000000" w:themeColor="text1"/>
              </w:rPr>
              <w:t xml:space="preserve"> </w:t>
            </w:r>
          </w:p>
        </w:tc>
        <w:tc>
          <w:tcPr>
            <w:tcW w:w="1701" w:type="dxa"/>
            <w:noWrap/>
          </w:tcPr>
          <w:p w:rsidR="00B1108A" w:rsidRPr="00577361" w:rsidRDefault="00B1108A" w:rsidP="00B1108A">
            <w:r>
              <w:t>77 (15)</w:t>
            </w:r>
          </w:p>
        </w:tc>
        <w:tc>
          <w:tcPr>
            <w:tcW w:w="1701" w:type="dxa"/>
            <w:noWrap/>
          </w:tcPr>
          <w:p w:rsidR="00B1108A" w:rsidRPr="00577361" w:rsidRDefault="00B1108A" w:rsidP="00B1108A">
            <w:r>
              <w:t>78 (14)</w:t>
            </w:r>
          </w:p>
        </w:tc>
        <w:tc>
          <w:tcPr>
            <w:tcW w:w="1701" w:type="dxa"/>
            <w:shd w:val="clear" w:color="auto" w:fill="auto"/>
          </w:tcPr>
          <w:p w:rsidR="00B1108A" w:rsidRPr="00B1108A" w:rsidRDefault="00674C31" w:rsidP="00B1108A">
            <w:r>
              <w:t>1 (-3 to 6)</w:t>
            </w:r>
          </w:p>
        </w:tc>
      </w:tr>
      <w:tr w:rsidR="00B1108A" w:rsidRPr="00577361" w:rsidTr="00674C31">
        <w:trPr>
          <w:trHeight w:val="290"/>
        </w:trPr>
        <w:tc>
          <w:tcPr>
            <w:tcW w:w="2972" w:type="dxa"/>
            <w:noWrap/>
            <w:hideMark/>
          </w:tcPr>
          <w:p w:rsidR="00B1108A" w:rsidRPr="00674C31" w:rsidRDefault="00B1108A" w:rsidP="00B1108A">
            <w:pPr>
              <w:rPr>
                <w:color w:val="000000" w:themeColor="text1"/>
              </w:rPr>
            </w:pPr>
            <w:r w:rsidRPr="00674C31">
              <w:rPr>
                <w:color w:val="000000" w:themeColor="text1"/>
              </w:rPr>
              <w:t xml:space="preserve">   70-79</w:t>
            </w:r>
            <w:r w:rsidR="00674C31">
              <w:rPr>
                <w:color w:val="000000" w:themeColor="text1"/>
              </w:rPr>
              <w:t xml:space="preserve"> </w:t>
            </w:r>
          </w:p>
        </w:tc>
        <w:tc>
          <w:tcPr>
            <w:tcW w:w="1701" w:type="dxa"/>
            <w:noWrap/>
            <w:hideMark/>
          </w:tcPr>
          <w:p w:rsidR="00B1108A" w:rsidRPr="00577361" w:rsidRDefault="00B1108A" w:rsidP="00B1108A">
            <w:r>
              <w:t>99 (20)</w:t>
            </w:r>
          </w:p>
        </w:tc>
        <w:tc>
          <w:tcPr>
            <w:tcW w:w="1701" w:type="dxa"/>
            <w:noWrap/>
            <w:hideMark/>
          </w:tcPr>
          <w:p w:rsidR="00B1108A" w:rsidRPr="00577361" w:rsidRDefault="00B1108A" w:rsidP="00B1108A">
            <w:r>
              <w:t>124 (22)</w:t>
            </w:r>
          </w:p>
        </w:tc>
        <w:tc>
          <w:tcPr>
            <w:tcW w:w="1701" w:type="dxa"/>
            <w:shd w:val="clear" w:color="auto" w:fill="auto"/>
          </w:tcPr>
          <w:p w:rsidR="00B1108A" w:rsidRPr="00B1108A" w:rsidRDefault="00674C31" w:rsidP="00B1108A">
            <w:r>
              <w:t>2 (-2 to 7)</w:t>
            </w:r>
          </w:p>
        </w:tc>
      </w:tr>
      <w:tr w:rsidR="00B1108A" w:rsidRPr="00577361" w:rsidTr="00674C31">
        <w:trPr>
          <w:trHeight w:val="290"/>
        </w:trPr>
        <w:tc>
          <w:tcPr>
            <w:tcW w:w="2972" w:type="dxa"/>
            <w:noWrap/>
          </w:tcPr>
          <w:p w:rsidR="00B1108A" w:rsidRPr="00674C31" w:rsidRDefault="00B1108A" w:rsidP="00B1108A">
            <w:pPr>
              <w:rPr>
                <w:color w:val="000000" w:themeColor="text1"/>
              </w:rPr>
            </w:pPr>
            <w:r w:rsidRPr="00674C31">
              <w:rPr>
                <w:color w:val="000000" w:themeColor="text1"/>
              </w:rPr>
              <w:t xml:space="preserve">   </w:t>
            </w:r>
            <w:r w:rsidRPr="00674C31">
              <w:rPr>
                <w:rFonts w:cstheme="minorHAnsi"/>
                <w:color w:val="000000" w:themeColor="text1"/>
              </w:rPr>
              <w:t>≥</w:t>
            </w:r>
            <w:r w:rsidR="00674C31">
              <w:rPr>
                <w:color w:val="000000" w:themeColor="text1"/>
              </w:rPr>
              <w:t xml:space="preserve">80 </w:t>
            </w:r>
          </w:p>
        </w:tc>
        <w:tc>
          <w:tcPr>
            <w:tcW w:w="1701" w:type="dxa"/>
            <w:noWrap/>
          </w:tcPr>
          <w:p w:rsidR="00B1108A" w:rsidRPr="00577361" w:rsidRDefault="00B1108A" w:rsidP="00B1108A">
            <w:r>
              <w:t>139 (28)</w:t>
            </w:r>
          </w:p>
        </w:tc>
        <w:tc>
          <w:tcPr>
            <w:tcW w:w="1701" w:type="dxa"/>
            <w:noWrap/>
          </w:tcPr>
          <w:p w:rsidR="00B1108A" w:rsidRPr="00577361" w:rsidRDefault="00B1108A" w:rsidP="00B1108A">
            <w:r>
              <w:t>154 (28)</w:t>
            </w:r>
          </w:p>
        </w:tc>
        <w:tc>
          <w:tcPr>
            <w:tcW w:w="1701" w:type="dxa"/>
            <w:shd w:val="clear" w:color="auto" w:fill="auto"/>
          </w:tcPr>
          <w:p w:rsidR="00B1108A" w:rsidRPr="00B1108A" w:rsidRDefault="00674C31" w:rsidP="00B1108A">
            <w:r>
              <w:t xml:space="preserve">0 (-5 to 5) </w:t>
            </w:r>
          </w:p>
        </w:tc>
      </w:tr>
      <w:tr w:rsidR="00B1108A" w:rsidRPr="00577361" w:rsidTr="008267F3">
        <w:trPr>
          <w:trHeight w:val="290"/>
        </w:trPr>
        <w:tc>
          <w:tcPr>
            <w:tcW w:w="2972" w:type="dxa"/>
            <w:noWrap/>
            <w:hideMark/>
          </w:tcPr>
          <w:p w:rsidR="00B1108A" w:rsidRPr="00577361" w:rsidRDefault="00B1108A" w:rsidP="00B1108A">
            <w:pPr>
              <w:rPr>
                <w:bCs/>
              </w:rPr>
            </w:pPr>
            <w:r w:rsidRPr="00577361">
              <w:rPr>
                <w:bCs/>
              </w:rPr>
              <w:t>Sex</w:t>
            </w:r>
          </w:p>
        </w:tc>
        <w:tc>
          <w:tcPr>
            <w:tcW w:w="1701" w:type="dxa"/>
            <w:noWrap/>
            <w:hideMark/>
          </w:tcPr>
          <w:p w:rsidR="00B1108A" w:rsidRPr="00577361" w:rsidRDefault="00B1108A" w:rsidP="00B1108A">
            <w:pPr>
              <w:rPr>
                <w:bCs/>
              </w:rPr>
            </w:pPr>
          </w:p>
        </w:tc>
        <w:tc>
          <w:tcPr>
            <w:tcW w:w="1701" w:type="dxa"/>
            <w:noWrap/>
            <w:hideMark/>
          </w:tcPr>
          <w:p w:rsidR="00B1108A" w:rsidRPr="00577361" w:rsidRDefault="00B1108A" w:rsidP="00B1108A"/>
        </w:tc>
        <w:tc>
          <w:tcPr>
            <w:tcW w:w="1701" w:type="dxa"/>
          </w:tcPr>
          <w:p w:rsidR="00B1108A" w:rsidRPr="00577361" w:rsidRDefault="00B1108A" w:rsidP="00B1108A"/>
        </w:tc>
      </w:tr>
      <w:tr w:rsidR="00B1108A" w:rsidRPr="00577361" w:rsidTr="008267F3">
        <w:trPr>
          <w:trHeight w:val="290"/>
        </w:trPr>
        <w:tc>
          <w:tcPr>
            <w:tcW w:w="2972" w:type="dxa"/>
            <w:noWrap/>
            <w:hideMark/>
          </w:tcPr>
          <w:p w:rsidR="00B1108A" w:rsidRPr="00577361" w:rsidRDefault="00B1108A" w:rsidP="00B1108A">
            <w:r>
              <w:t xml:space="preserve">  Male</w:t>
            </w:r>
          </w:p>
        </w:tc>
        <w:tc>
          <w:tcPr>
            <w:tcW w:w="1701" w:type="dxa"/>
            <w:noWrap/>
            <w:hideMark/>
          </w:tcPr>
          <w:p w:rsidR="00B1108A" w:rsidRPr="00577361" w:rsidRDefault="00B1108A" w:rsidP="00B1108A">
            <w:r w:rsidRPr="00577361">
              <w:t>262 (52)</w:t>
            </w:r>
          </w:p>
        </w:tc>
        <w:tc>
          <w:tcPr>
            <w:tcW w:w="1701" w:type="dxa"/>
            <w:noWrap/>
            <w:hideMark/>
          </w:tcPr>
          <w:p w:rsidR="00B1108A" w:rsidRPr="00577361" w:rsidRDefault="00B1108A" w:rsidP="00B1108A">
            <w:r>
              <w:t>303 (54</w:t>
            </w:r>
            <w:r w:rsidRPr="00577361">
              <w:t>)</w:t>
            </w:r>
          </w:p>
        </w:tc>
        <w:tc>
          <w:tcPr>
            <w:tcW w:w="1701" w:type="dxa"/>
          </w:tcPr>
          <w:p w:rsidR="00B1108A" w:rsidRPr="00577361" w:rsidRDefault="00B1108A" w:rsidP="00B1108A">
            <w:r>
              <w:t xml:space="preserve">2 (-4 to 8) </w:t>
            </w:r>
          </w:p>
        </w:tc>
      </w:tr>
      <w:tr w:rsidR="00B1108A" w:rsidRPr="00577361" w:rsidTr="008267F3">
        <w:trPr>
          <w:trHeight w:val="290"/>
        </w:trPr>
        <w:tc>
          <w:tcPr>
            <w:tcW w:w="2972" w:type="dxa"/>
            <w:noWrap/>
            <w:hideMark/>
          </w:tcPr>
          <w:p w:rsidR="00B1108A" w:rsidRPr="00577361" w:rsidRDefault="00B1108A" w:rsidP="00B1108A">
            <w:r>
              <w:t xml:space="preserve">  Female </w:t>
            </w:r>
          </w:p>
        </w:tc>
        <w:tc>
          <w:tcPr>
            <w:tcW w:w="1701" w:type="dxa"/>
            <w:noWrap/>
            <w:hideMark/>
          </w:tcPr>
          <w:p w:rsidR="00B1108A" w:rsidRPr="00577361" w:rsidRDefault="00B1108A" w:rsidP="00B1108A">
            <w:r w:rsidRPr="00577361">
              <w:t>237 (48)</w:t>
            </w:r>
          </w:p>
        </w:tc>
        <w:tc>
          <w:tcPr>
            <w:tcW w:w="1701" w:type="dxa"/>
            <w:noWrap/>
            <w:hideMark/>
          </w:tcPr>
          <w:p w:rsidR="00B1108A" w:rsidRPr="00577361" w:rsidRDefault="00B1108A" w:rsidP="00B1108A">
            <w:r>
              <w:t>252 (46</w:t>
            </w:r>
            <w:r w:rsidRPr="00577361">
              <w:t>)</w:t>
            </w:r>
          </w:p>
        </w:tc>
        <w:tc>
          <w:tcPr>
            <w:tcW w:w="1701" w:type="dxa"/>
          </w:tcPr>
          <w:p w:rsidR="00B1108A" w:rsidRPr="00577361" w:rsidRDefault="00B1108A" w:rsidP="00B1108A"/>
        </w:tc>
      </w:tr>
      <w:tr w:rsidR="00B1108A" w:rsidRPr="00577361" w:rsidTr="008267F3">
        <w:trPr>
          <w:trHeight w:val="290"/>
        </w:trPr>
        <w:tc>
          <w:tcPr>
            <w:tcW w:w="2972" w:type="dxa"/>
            <w:noWrap/>
            <w:hideMark/>
          </w:tcPr>
          <w:p w:rsidR="00B1108A" w:rsidRPr="00577361" w:rsidRDefault="00B1108A" w:rsidP="00B1108A">
            <w:pPr>
              <w:rPr>
                <w:b/>
                <w:bCs/>
              </w:rPr>
            </w:pPr>
            <w:r w:rsidRPr="00577361">
              <w:rPr>
                <w:b/>
                <w:bCs/>
              </w:rPr>
              <w:t xml:space="preserve">Ethnicity </w:t>
            </w:r>
          </w:p>
        </w:tc>
        <w:tc>
          <w:tcPr>
            <w:tcW w:w="1701" w:type="dxa"/>
            <w:noWrap/>
            <w:hideMark/>
          </w:tcPr>
          <w:p w:rsidR="00B1108A" w:rsidRPr="00577361" w:rsidRDefault="00B1108A" w:rsidP="00B1108A">
            <w:pPr>
              <w:rPr>
                <w:bCs/>
              </w:rPr>
            </w:pPr>
          </w:p>
        </w:tc>
        <w:tc>
          <w:tcPr>
            <w:tcW w:w="1701" w:type="dxa"/>
            <w:noWrap/>
            <w:hideMark/>
          </w:tcPr>
          <w:p w:rsidR="00B1108A" w:rsidRPr="00577361" w:rsidRDefault="00B1108A" w:rsidP="00B1108A"/>
        </w:tc>
        <w:tc>
          <w:tcPr>
            <w:tcW w:w="1701" w:type="dxa"/>
          </w:tcPr>
          <w:p w:rsidR="00B1108A" w:rsidRPr="00577361" w:rsidRDefault="00B1108A" w:rsidP="00B1108A"/>
        </w:tc>
      </w:tr>
      <w:tr w:rsidR="00B1108A" w:rsidRPr="00577361" w:rsidTr="008267F3">
        <w:trPr>
          <w:trHeight w:val="290"/>
        </w:trPr>
        <w:tc>
          <w:tcPr>
            <w:tcW w:w="2972" w:type="dxa"/>
            <w:noWrap/>
            <w:hideMark/>
          </w:tcPr>
          <w:p w:rsidR="00B1108A" w:rsidRPr="00577361" w:rsidRDefault="00B1108A" w:rsidP="00B1108A">
            <w:r>
              <w:t xml:space="preserve">  White British </w:t>
            </w:r>
          </w:p>
        </w:tc>
        <w:tc>
          <w:tcPr>
            <w:tcW w:w="1701" w:type="dxa"/>
            <w:noWrap/>
            <w:hideMark/>
          </w:tcPr>
          <w:p w:rsidR="00B1108A" w:rsidRPr="00577361" w:rsidRDefault="00B1108A" w:rsidP="00B1108A">
            <w:r w:rsidRPr="00577361">
              <w:t>406 (85)</w:t>
            </w:r>
          </w:p>
        </w:tc>
        <w:tc>
          <w:tcPr>
            <w:tcW w:w="1701" w:type="dxa"/>
            <w:noWrap/>
            <w:hideMark/>
          </w:tcPr>
          <w:p w:rsidR="00B1108A" w:rsidRPr="00577361" w:rsidRDefault="00B1108A" w:rsidP="00B1108A">
            <w:r w:rsidRPr="00577361">
              <w:t>442 (85)</w:t>
            </w:r>
          </w:p>
        </w:tc>
        <w:tc>
          <w:tcPr>
            <w:tcW w:w="1701" w:type="dxa"/>
          </w:tcPr>
          <w:p w:rsidR="00B1108A" w:rsidRPr="00577361" w:rsidRDefault="00B1108A" w:rsidP="00B1108A">
            <w:r>
              <w:t xml:space="preserve">0 ( -4 to 4) </w:t>
            </w:r>
          </w:p>
        </w:tc>
      </w:tr>
      <w:tr w:rsidR="00B1108A" w:rsidRPr="00577361" w:rsidTr="008267F3">
        <w:trPr>
          <w:trHeight w:val="290"/>
        </w:trPr>
        <w:tc>
          <w:tcPr>
            <w:tcW w:w="2972" w:type="dxa"/>
            <w:noWrap/>
            <w:hideMark/>
          </w:tcPr>
          <w:p w:rsidR="00B1108A" w:rsidRPr="00577361" w:rsidRDefault="00B1108A" w:rsidP="00B1108A">
            <w:r>
              <w:t xml:space="preserve">  White other </w:t>
            </w:r>
          </w:p>
        </w:tc>
        <w:tc>
          <w:tcPr>
            <w:tcW w:w="1701" w:type="dxa"/>
            <w:noWrap/>
            <w:hideMark/>
          </w:tcPr>
          <w:p w:rsidR="00B1108A" w:rsidRPr="00577361" w:rsidRDefault="00B1108A" w:rsidP="00B1108A">
            <w:r w:rsidRPr="00577361">
              <w:t>19 (4)</w:t>
            </w:r>
          </w:p>
        </w:tc>
        <w:tc>
          <w:tcPr>
            <w:tcW w:w="1701" w:type="dxa"/>
            <w:noWrap/>
            <w:hideMark/>
          </w:tcPr>
          <w:p w:rsidR="00B1108A" w:rsidRPr="00577361" w:rsidRDefault="00B1108A" w:rsidP="00B1108A">
            <w:r w:rsidRPr="00577361">
              <w:t>23 (4)</w:t>
            </w:r>
          </w:p>
        </w:tc>
        <w:tc>
          <w:tcPr>
            <w:tcW w:w="1701" w:type="dxa"/>
          </w:tcPr>
          <w:p w:rsidR="00B1108A" w:rsidRPr="00577361" w:rsidRDefault="00B1108A" w:rsidP="00B1108A">
            <w:r>
              <w:t xml:space="preserve">0 (-2 to 3) </w:t>
            </w:r>
          </w:p>
        </w:tc>
      </w:tr>
      <w:tr w:rsidR="00B1108A" w:rsidRPr="00577361" w:rsidTr="008267F3">
        <w:trPr>
          <w:trHeight w:val="290"/>
        </w:trPr>
        <w:tc>
          <w:tcPr>
            <w:tcW w:w="2972" w:type="dxa"/>
            <w:noWrap/>
            <w:hideMark/>
          </w:tcPr>
          <w:p w:rsidR="00B1108A" w:rsidRPr="00577361" w:rsidRDefault="00B1108A" w:rsidP="00B1108A">
            <w:r>
              <w:t xml:space="preserve">  Black </w:t>
            </w:r>
          </w:p>
        </w:tc>
        <w:tc>
          <w:tcPr>
            <w:tcW w:w="1701" w:type="dxa"/>
            <w:noWrap/>
            <w:hideMark/>
          </w:tcPr>
          <w:p w:rsidR="00B1108A" w:rsidRPr="00577361" w:rsidRDefault="00B1108A" w:rsidP="00B1108A">
            <w:r w:rsidRPr="00577361">
              <w:t>13 (3)</w:t>
            </w:r>
          </w:p>
        </w:tc>
        <w:tc>
          <w:tcPr>
            <w:tcW w:w="1701" w:type="dxa"/>
            <w:noWrap/>
            <w:hideMark/>
          </w:tcPr>
          <w:p w:rsidR="00B1108A" w:rsidRPr="00577361" w:rsidRDefault="00B1108A" w:rsidP="00B1108A">
            <w:r w:rsidRPr="00577361">
              <w:t>9 (2)</w:t>
            </w:r>
          </w:p>
        </w:tc>
        <w:tc>
          <w:tcPr>
            <w:tcW w:w="1701" w:type="dxa"/>
          </w:tcPr>
          <w:p w:rsidR="00B1108A" w:rsidRPr="00577361" w:rsidRDefault="001069D3" w:rsidP="00B1108A">
            <w:r>
              <w:t>1 (-1 to 3)</w:t>
            </w:r>
          </w:p>
        </w:tc>
      </w:tr>
      <w:tr w:rsidR="00B1108A" w:rsidRPr="00577361" w:rsidTr="008267F3">
        <w:trPr>
          <w:trHeight w:val="290"/>
        </w:trPr>
        <w:tc>
          <w:tcPr>
            <w:tcW w:w="2972" w:type="dxa"/>
            <w:noWrap/>
            <w:hideMark/>
          </w:tcPr>
          <w:p w:rsidR="00B1108A" w:rsidRPr="00577361" w:rsidRDefault="00B1108A" w:rsidP="00B1108A">
            <w:r>
              <w:t xml:space="preserve">  Asian </w:t>
            </w:r>
          </w:p>
        </w:tc>
        <w:tc>
          <w:tcPr>
            <w:tcW w:w="1701" w:type="dxa"/>
            <w:noWrap/>
            <w:hideMark/>
          </w:tcPr>
          <w:p w:rsidR="00B1108A" w:rsidRPr="00577361" w:rsidRDefault="00B1108A" w:rsidP="00B1108A">
            <w:r w:rsidRPr="00577361">
              <w:t>37 (8)</w:t>
            </w:r>
          </w:p>
        </w:tc>
        <w:tc>
          <w:tcPr>
            <w:tcW w:w="1701" w:type="dxa"/>
            <w:noWrap/>
            <w:hideMark/>
          </w:tcPr>
          <w:p w:rsidR="00B1108A" w:rsidRPr="00577361" w:rsidRDefault="00B1108A" w:rsidP="00B1108A">
            <w:r w:rsidRPr="00577361">
              <w:t>30 (6)</w:t>
            </w:r>
          </w:p>
        </w:tc>
        <w:tc>
          <w:tcPr>
            <w:tcW w:w="1701" w:type="dxa"/>
          </w:tcPr>
          <w:p w:rsidR="00B1108A" w:rsidRPr="00577361" w:rsidRDefault="00B1108A" w:rsidP="00B1108A">
            <w:r>
              <w:t xml:space="preserve">2 (-1 to 5) </w:t>
            </w:r>
          </w:p>
        </w:tc>
      </w:tr>
      <w:tr w:rsidR="00B1108A" w:rsidRPr="00577361" w:rsidTr="00674C31">
        <w:trPr>
          <w:trHeight w:val="290"/>
        </w:trPr>
        <w:tc>
          <w:tcPr>
            <w:tcW w:w="2972" w:type="dxa"/>
            <w:noWrap/>
          </w:tcPr>
          <w:p w:rsidR="00B1108A" w:rsidRPr="00674C31" w:rsidRDefault="00B1108A" w:rsidP="00B1108A">
            <w:pPr>
              <w:rPr>
                <w:color w:val="000000" w:themeColor="text1"/>
              </w:rPr>
            </w:pPr>
            <w:r w:rsidRPr="00674C31">
              <w:rPr>
                <w:color w:val="000000" w:themeColor="text1"/>
              </w:rPr>
              <w:t xml:space="preserve">  </w:t>
            </w:r>
            <w:r w:rsidR="00674C31">
              <w:rPr>
                <w:color w:val="000000" w:themeColor="text1"/>
              </w:rPr>
              <w:t xml:space="preserve">  </w:t>
            </w:r>
            <w:r w:rsidRPr="00674C31">
              <w:rPr>
                <w:color w:val="000000" w:themeColor="text1"/>
              </w:rPr>
              <w:t xml:space="preserve">South Asian </w:t>
            </w:r>
          </w:p>
        </w:tc>
        <w:tc>
          <w:tcPr>
            <w:tcW w:w="1701" w:type="dxa"/>
            <w:noWrap/>
          </w:tcPr>
          <w:p w:rsidR="00B1108A" w:rsidRPr="00577361" w:rsidRDefault="00B1108A" w:rsidP="00B1108A">
            <w:r>
              <w:t>14 (3)</w:t>
            </w:r>
          </w:p>
        </w:tc>
        <w:tc>
          <w:tcPr>
            <w:tcW w:w="1701" w:type="dxa"/>
            <w:noWrap/>
          </w:tcPr>
          <w:p w:rsidR="00B1108A" w:rsidRPr="00577361" w:rsidRDefault="00B1108A" w:rsidP="00B1108A">
            <w:r>
              <w:t>18 (3)</w:t>
            </w:r>
          </w:p>
        </w:tc>
        <w:tc>
          <w:tcPr>
            <w:tcW w:w="1701" w:type="dxa"/>
            <w:shd w:val="clear" w:color="auto" w:fill="auto"/>
          </w:tcPr>
          <w:p w:rsidR="00B1108A" w:rsidRDefault="00674C31" w:rsidP="00B1108A">
            <w:r>
              <w:t xml:space="preserve">0 (-2 to 3) </w:t>
            </w:r>
          </w:p>
        </w:tc>
      </w:tr>
      <w:tr w:rsidR="00B1108A" w:rsidRPr="00577361" w:rsidTr="00674C31">
        <w:trPr>
          <w:trHeight w:val="290"/>
        </w:trPr>
        <w:tc>
          <w:tcPr>
            <w:tcW w:w="2972" w:type="dxa"/>
            <w:noWrap/>
          </w:tcPr>
          <w:p w:rsidR="00B1108A" w:rsidRPr="00674C31" w:rsidRDefault="00B1108A" w:rsidP="00B1108A">
            <w:pPr>
              <w:rPr>
                <w:color w:val="000000" w:themeColor="text1"/>
              </w:rPr>
            </w:pPr>
            <w:r w:rsidRPr="00674C31">
              <w:rPr>
                <w:color w:val="000000" w:themeColor="text1"/>
              </w:rPr>
              <w:t xml:space="preserve">  </w:t>
            </w:r>
            <w:r w:rsidR="00674C31">
              <w:rPr>
                <w:color w:val="000000" w:themeColor="text1"/>
              </w:rPr>
              <w:t xml:space="preserve">  </w:t>
            </w:r>
            <w:r w:rsidRPr="00674C31">
              <w:rPr>
                <w:color w:val="000000" w:themeColor="text1"/>
              </w:rPr>
              <w:t>Other Asian</w:t>
            </w:r>
          </w:p>
        </w:tc>
        <w:tc>
          <w:tcPr>
            <w:tcW w:w="1701" w:type="dxa"/>
            <w:noWrap/>
          </w:tcPr>
          <w:p w:rsidR="00B1108A" w:rsidRPr="00577361" w:rsidRDefault="00674C31" w:rsidP="00B1108A">
            <w:r>
              <w:t>23 (4</w:t>
            </w:r>
            <w:r w:rsidR="00B1108A">
              <w:t>)</w:t>
            </w:r>
          </w:p>
        </w:tc>
        <w:tc>
          <w:tcPr>
            <w:tcW w:w="1701" w:type="dxa"/>
            <w:noWrap/>
          </w:tcPr>
          <w:p w:rsidR="00B1108A" w:rsidRPr="00577361" w:rsidRDefault="00B1108A" w:rsidP="00B1108A">
            <w:r>
              <w:t>12 (2)</w:t>
            </w:r>
          </w:p>
        </w:tc>
        <w:tc>
          <w:tcPr>
            <w:tcW w:w="1701" w:type="dxa"/>
            <w:shd w:val="clear" w:color="auto" w:fill="auto"/>
          </w:tcPr>
          <w:p w:rsidR="00B1108A" w:rsidRDefault="00674C31" w:rsidP="00B1108A">
            <w:r>
              <w:t xml:space="preserve">2 (-1 to 4) </w:t>
            </w:r>
          </w:p>
        </w:tc>
      </w:tr>
      <w:tr w:rsidR="00B1108A" w:rsidRPr="00577361" w:rsidTr="008267F3">
        <w:trPr>
          <w:trHeight w:val="290"/>
        </w:trPr>
        <w:tc>
          <w:tcPr>
            <w:tcW w:w="2972" w:type="dxa"/>
            <w:noWrap/>
            <w:hideMark/>
          </w:tcPr>
          <w:p w:rsidR="00B1108A" w:rsidRPr="00577361" w:rsidRDefault="00B1108A" w:rsidP="00B1108A">
            <w:r>
              <w:t xml:space="preserve">  Other </w:t>
            </w:r>
          </w:p>
        </w:tc>
        <w:tc>
          <w:tcPr>
            <w:tcW w:w="1701" w:type="dxa"/>
            <w:noWrap/>
            <w:hideMark/>
          </w:tcPr>
          <w:p w:rsidR="00B1108A" w:rsidRPr="00577361" w:rsidRDefault="00B1108A" w:rsidP="00B1108A">
            <w:r w:rsidRPr="00577361">
              <w:t>2 (&lt;1)</w:t>
            </w:r>
          </w:p>
        </w:tc>
        <w:tc>
          <w:tcPr>
            <w:tcW w:w="1701" w:type="dxa"/>
            <w:noWrap/>
            <w:hideMark/>
          </w:tcPr>
          <w:p w:rsidR="00B1108A" w:rsidRPr="00577361" w:rsidRDefault="00B1108A" w:rsidP="00B1108A">
            <w:r w:rsidRPr="00577361">
              <w:t>14 (3)</w:t>
            </w:r>
          </w:p>
        </w:tc>
        <w:tc>
          <w:tcPr>
            <w:tcW w:w="1701" w:type="dxa"/>
          </w:tcPr>
          <w:p w:rsidR="00B1108A" w:rsidRPr="00577361" w:rsidRDefault="00B1108A" w:rsidP="00B1108A">
            <w:r>
              <w:t xml:space="preserve">2 (1 to 4) </w:t>
            </w:r>
          </w:p>
        </w:tc>
      </w:tr>
      <w:tr w:rsidR="00B1108A" w:rsidRPr="00577361" w:rsidTr="008267F3">
        <w:trPr>
          <w:trHeight w:val="290"/>
        </w:trPr>
        <w:tc>
          <w:tcPr>
            <w:tcW w:w="2972" w:type="dxa"/>
            <w:noWrap/>
            <w:hideMark/>
          </w:tcPr>
          <w:p w:rsidR="00B1108A" w:rsidRPr="00577361" w:rsidRDefault="00B1108A" w:rsidP="00B1108A">
            <w:r>
              <w:t xml:space="preserve">Pregnant </w:t>
            </w:r>
          </w:p>
        </w:tc>
        <w:tc>
          <w:tcPr>
            <w:tcW w:w="1701" w:type="dxa"/>
            <w:noWrap/>
          </w:tcPr>
          <w:p w:rsidR="00B1108A" w:rsidRPr="00577361" w:rsidRDefault="00B1108A" w:rsidP="00B1108A"/>
        </w:tc>
        <w:tc>
          <w:tcPr>
            <w:tcW w:w="1701" w:type="dxa"/>
            <w:noWrap/>
          </w:tcPr>
          <w:p w:rsidR="00B1108A" w:rsidRPr="00577361" w:rsidRDefault="00B1108A" w:rsidP="00B1108A"/>
        </w:tc>
        <w:tc>
          <w:tcPr>
            <w:tcW w:w="1701" w:type="dxa"/>
          </w:tcPr>
          <w:p w:rsidR="00B1108A" w:rsidRPr="00577361" w:rsidRDefault="00B1108A" w:rsidP="00B1108A"/>
        </w:tc>
      </w:tr>
      <w:tr w:rsidR="00B1108A" w:rsidRPr="00577361" w:rsidTr="008267F3">
        <w:trPr>
          <w:trHeight w:val="290"/>
        </w:trPr>
        <w:tc>
          <w:tcPr>
            <w:tcW w:w="2972" w:type="dxa"/>
            <w:noWrap/>
          </w:tcPr>
          <w:p w:rsidR="00B1108A" w:rsidRDefault="00B1108A" w:rsidP="00B1108A">
            <w:r>
              <w:t xml:space="preserve">   Yes</w:t>
            </w:r>
          </w:p>
        </w:tc>
        <w:tc>
          <w:tcPr>
            <w:tcW w:w="1701" w:type="dxa"/>
            <w:noWrap/>
          </w:tcPr>
          <w:p w:rsidR="00B1108A" w:rsidRPr="00577361" w:rsidRDefault="00B1108A" w:rsidP="00B1108A">
            <w:r w:rsidRPr="00577361">
              <w:t xml:space="preserve">4 (1) </w:t>
            </w:r>
          </w:p>
        </w:tc>
        <w:tc>
          <w:tcPr>
            <w:tcW w:w="1701" w:type="dxa"/>
            <w:noWrap/>
          </w:tcPr>
          <w:p w:rsidR="00B1108A" w:rsidRPr="00577361" w:rsidRDefault="00B1108A" w:rsidP="00B1108A">
            <w:r w:rsidRPr="00577361">
              <w:t xml:space="preserve">5 (1) </w:t>
            </w:r>
          </w:p>
        </w:tc>
        <w:tc>
          <w:tcPr>
            <w:tcW w:w="1701" w:type="dxa"/>
          </w:tcPr>
          <w:p w:rsidR="00B1108A" w:rsidRPr="00577361" w:rsidRDefault="00B1108A" w:rsidP="00B1108A">
            <w:r>
              <w:t xml:space="preserve">0 (-1 to 2) </w:t>
            </w:r>
          </w:p>
        </w:tc>
      </w:tr>
      <w:tr w:rsidR="00B1108A" w:rsidRPr="00577361" w:rsidTr="008267F3">
        <w:trPr>
          <w:trHeight w:val="290"/>
        </w:trPr>
        <w:tc>
          <w:tcPr>
            <w:tcW w:w="2972" w:type="dxa"/>
            <w:noWrap/>
            <w:hideMark/>
          </w:tcPr>
          <w:p w:rsidR="00B1108A" w:rsidRPr="00577361" w:rsidRDefault="00B1108A" w:rsidP="00B1108A">
            <w:r>
              <w:t xml:space="preserve">   No</w:t>
            </w:r>
          </w:p>
        </w:tc>
        <w:tc>
          <w:tcPr>
            <w:tcW w:w="1701" w:type="dxa"/>
            <w:noWrap/>
            <w:hideMark/>
          </w:tcPr>
          <w:p w:rsidR="00B1108A" w:rsidRPr="00577361" w:rsidRDefault="00B1108A" w:rsidP="00B1108A">
            <w:r w:rsidRPr="00577361">
              <w:t xml:space="preserve">490 (99) </w:t>
            </w:r>
          </w:p>
        </w:tc>
        <w:tc>
          <w:tcPr>
            <w:tcW w:w="1701" w:type="dxa"/>
            <w:noWrap/>
            <w:hideMark/>
          </w:tcPr>
          <w:p w:rsidR="00B1108A" w:rsidRPr="00577361" w:rsidRDefault="00B1108A" w:rsidP="00B1108A">
            <w:r w:rsidRPr="00577361">
              <w:t>550 (99)</w:t>
            </w:r>
          </w:p>
        </w:tc>
        <w:tc>
          <w:tcPr>
            <w:tcW w:w="1701" w:type="dxa"/>
          </w:tcPr>
          <w:p w:rsidR="00B1108A" w:rsidRPr="00577361" w:rsidRDefault="00B1108A" w:rsidP="00B1108A"/>
        </w:tc>
      </w:tr>
      <w:tr w:rsidR="00B1108A" w:rsidRPr="00577361" w:rsidTr="008267F3">
        <w:trPr>
          <w:trHeight w:val="290"/>
        </w:trPr>
        <w:tc>
          <w:tcPr>
            <w:tcW w:w="2972" w:type="dxa"/>
            <w:noWrap/>
            <w:hideMark/>
          </w:tcPr>
          <w:p w:rsidR="00B1108A" w:rsidRPr="00577361" w:rsidRDefault="00B1108A" w:rsidP="00B1108A">
            <w:r w:rsidRPr="00577361">
              <w:t>Duration of symptoms, days</w:t>
            </w:r>
          </w:p>
        </w:tc>
        <w:tc>
          <w:tcPr>
            <w:tcW w:w="1701" w:type="dxa"/>
            <w:noWrap/>
            <w:hideMark/>
          </w:tcPr>
          <w:p w:rsidR="00B1108A" w:rsidRPr="00577361" w:rsidRDefault="00B1108A" w:rsidP="00B1108A">
            <w:r w:rsidRPr="00577361">
              <w:t>4 (1 to 10)</w:t>
            </w:r>
          </w:p>
        </w:tc>
        <w:tc>
          <w:tcPr>
            <w:tcW w:w="1701" w:type="dxa"/>
            <w:noWrap/>
            <w:hideMark/>
          </w:tcPr>
          <w:p w:rsidR="00B1108A" w:rsidRPr="00577361" w:rsidRDefault="00B1108A" w:rsidP="00B1108A">
            <w:r w:rsidRPr="00577361">
              <w:t xml:space="preserve">3 (1 to 7) </w:t>
            </w:r>
          </w:p>
        </w:tc>
        <w:tc>
          <w:tcPr>
            <w:tcW w:w="1701" w:type="dxa"/>
          </w:tcPr>
          <w:p w:rsidR="00B1108A" w:rsidRPr="00577361" w:rsidRDefault="00B1108A" w:rsidP="00B1108A">
            <w:r>
              <w:t xml:space="preserve">1 (0 to 1) </w:t>
            </w:r>
          </w:p>
        </w:tc>
      </w:tr>
      <w:tr w:rsidR="00B1108A" w:rsidRPr="00577361" w:rsidTr="008267F3">
        <w:trPr>
          <w:trHeight w:val="290"/>
        </w:trPr>
        <w:tc>
          <w:tcPr>
            <w:tcW w:w="2972" w:type="dxa"/>
            <w:noWrap/>
            <w:hideMark/>
          </w:tcPr>
          <w:p w:rsidR="00B1108A" w:rsidRPr="00577361" w:rsidRDefault="00B1108A" w:rsidP="00B1108A">
            <w:pPr>
              <w:rPr>
                <w:b/>
                <w:bCs/>
              </w:rPr>
            </w:pPr>
            <w:r w:rsidRPr="00577361">
              <w:rPr>
                <w:b/>
                <w:bCs/>
              </w:rPr>
              <w:t xml:space="preserve">Comorbidity </w:t>
            </w:r>
          </w:p>
        </w:tc>
        <w:tc>
          <w:tcPr>
            <w:tcW w:w="1701" w:type="dxa"/>
            <w:noWrap/>
            <w:hideMark/>
          </w:tcPr>
          <w:p w:rsidR="00B1108A" w:rsidRPr="00577361" w:rsidRDefault="00B1108A" w:rsidP="00B1108A">
            <w:pPr>
              <w:rPr>
                <w:bCs/>
              </w:rPr>
            </w:pPr>
          </w:p>
        </w:tc>
        <w:tc>
          <w:tcPr>
            <w:tcW w:w="1701" w:type="dxa"/>
            <w:noWrap/>
            <w:hideMark/>
          </w:tcPr>
          <w:p w:rsidR="00B1108A" w:rsidRPr="00577361" w:rsidRDefault="00B1108A" w:rsidP="00B1108A"/>
        </w:tc>
        <w:tc>
          <w:tcPr>
            <w:tcW w:w="1701" w:type="dxa"/>
          </w:tcPr>
          <w:p w:rsidR="00B1108A" w:rsidRPr="00577361" w:rsidRDefault="00B1108A" w:rsidP="00B1108A"/>
        </w:tc>
      </w:tr>
      <w:tr w:rsidR="00B1108A" w:rsidRPr="00577361" w:rsidTr="008267F3">
        <w:trPr>
          <w:trHeight w:val="290"/>
        </w:trPr>
        <w:tc>
          <w:tcPr>
            <w:tcW w:w="2972" w:type="dxa"/>
            <w:noWrap/>
            <w:hideMark/>
          </w:tcPr>
          <w:p w:rsidR="00B1108A" w:rsidRPr="00577361" w:rsidRDefault="00B1108A" w:rsidP="00B1108A">
            <w:r>
              <w:t xml:space="preserve">Hypertension </w:t>
            </w:r>
          </w:p>
        </w:tc>
        <w:tc>
          <w:tcPr>
            <w:tcW w:w="1701" w:type="dxa"/>
            <w:noWrap/>
          </w:tcPr>
          <w:p w:rsidR="00B1108A" w:rsidRPr="00577361" w:rsidRDefault="00B1108A" w:rsidP="00B1108A"/>
        </w:tc>
        <w:tc>
          <w:tcPr>
            <w:tcW w:w="1701" w:type="dxa"/>
            <w:noWrap/>
          </w:tcPr>
          <w:p w:rsidR="00B1108A" w:rsidRPr="00577361" w:rsidRDefault="00B1108A" w:rsidP="00B1108A"/>
        </w:tc>
        <w:tc>
          <w:tcPr>
            <w:tcW w:w="1701" w:type="dxa"/>
          </w:tcPr>
          <w:p w:rsidR="00B1108A" w:rsidRPr="00577361" w:rsidRDefault="00B1108A" w:rsidP="00B1108A"/>
        </w:tc>
      </w:tr>
      <w:tr w:rsidR="00B1108A" w:rsidRPr="00577361" w:rsidTr="008267F3">
        <w:trPr>
          <w:trHeight w:val="290"/>
        </w:trPr>
        <w:tc>
          <w:tcPr>
            <w:tcW w:w="2972" w:type="dxa"/>
            <w:noWrap/>
          </w:tcPr>
          <w:p w:rsidR="00B1108A" w:rsidRPr="00577361" w:rsidRDefault="00B1108A" w:rsidP="00B1108A">
            <w:r>
              <w:t xml:space="preserve">    Yes</w:t>
            </w:r>
          </w:p>
        </w:tc>
        <w:tc>
          <w:tcPr>
            <w:tcW w:w="1701" w:type="dxa"/>
            <w:noWrap/>
          </w:tcPr>
          <w:p w:rsidR="00B1108A" w:rsidRPr="00577361" w:rsidRDefault="00B1108A" w:rsidP="00B1108A">
            <w:r w:rsidRPr="00577361">
              <w:t xml:space="preserve">175 (37) </w:t>
            </w:r>
          </w:p>
        </w:tc>
        <w:tc>
          <w:tcPr>
            <w:tcW w:w="1701" w:type="dxa"/>
            <w:noWrap/>
          </w:tcPr>
          <w:p w:rsidR="00B1108A" w:rsidRPr="00577361" w:rsidRDefault="00B1108A" w:rsidP="00B1108A">
            <w:r w:rsidRPr="00577361">
              <w:t>247 (45)</w:t>
            </w:r>
          </w:p>
        </w:tc>
        <w:tc>
          <w:tcPr>
            <w:tcW w:w="1701" w:type="dxa"/>
          </w:tcPr>
          <w:p w:rsidR="00B1108A" w:rsidRPr="00577361" w:rsidRDefault="00B1108A" w:rsidP="00B1108A">
            <w:r>
              <w:t xml:space="preserve">8 (2 to 14) </w:t>
            </w:r>
          </w:p>
        </w:tc>
      </w:tr>
      <w:tr w:rsidR="00B1108A" w:rsidRPr="00577361" w:rsidTr="008267F3">
        <w:trPr>
          <w:trHeight w:val="290"/>
        </w:trPr>
        <w:tc>
          <w:tcPr>
            <w:tcW w:w="2972" w:type="dxa"/>
            <w:noWrap/>
            <w:hideMark/>
          </w:tcPr>
          <w:p w:rsidR="00B1108A" w:rsidRPr="00577361" w:rsidRDefault="00B1108A" w:rsidP="00B1108A">
            <w:r>
              <w:t xml:space="preserve">    No</w:t>
            </w:r>
          </w:p>
        </w:tc>
        <w:tc>
          <w:tcPr>
            <w:tcW w:w="1701" w:type="dxa"/>
            <w:noWrap/>
            <w:hideMark/>
          </w:tcPr>
          <w:p w:rsidR="00B1108A" w:rsidRPr="00577361" w:rsidRDefault="00B1108A" w:rsidP="00B1108A">
            <w:r w:rsidRPr="00577361">
              <w:t>300 (63)</w:t>
            </w:r>
          </w:p>
        </w:tc>
        <w:tc>
          <w:tcPr>
            <w:tcW w:w="1701" w:type="dxa"/>
            <w:noWrap/>
            <w:hideMark/>
          </w:tcPr>
          <w:p w:rsidR="00B1108A" w:rsidRPr="00577361" w:rsidRDefault="00B1108A" w:rsidP="00B1108A">
            <w:r w:rsidRPr="00577361">
              <w:t>307 (55)</w:t>
            </w:r>
          </w:p>
        </w:tc>
        <w:tc>
          <w:tcPr>
            <w:tcW w:w="1701" w:type="dxa"/>
          </w:tcPr>
          <w:p w:rsidR="00B1108A" w:rsidRPr="00577361" w:rsidRDefault="00B1108A" w:rsidP="00B1108A"/>
        </w:tc>
      </w:tr>
      <w:tr w:rsidR="00B1108A" w:rsidRPr="00577361" w:rsidTr="008267F3">
        <w:trPr>
          <w:trHeight w:val="290"/>
        </w:trPr>
        <w:tc>
          <w:tcPr>
            <w:tcW w:w="2972" w:type="dxa"/>
            <w:noWrap/>
            <w:hideMark/>
          </w:tcPr>
          <w:p w:rsidR="00B1108A" w:rsidRPr="00577361" w:rsidRDefault="00B1108A" w:rsidP="00B1108A">
            <w:r>
              <w:t>COPD</w:t>
            </w:r>
          </w:p>
        </w:tc>
        <w:tc>
          <w:tcPr>
            <w:tcW w:w="1701" w:type="dxa"/>
            <w:noWrap/>
          </w:tcPr>
          <w:p w:rsidR="00B1108A" w:rsidRPr="00577361" w:rsidRDefault="00B1108A" w:rsidP="00B1108A"/>
        </w:tc>
        <w:tc>
          <w:tcPr>
            <w:tcW w:w="1701" w:type="dxa"/>
            <w:noWrap/>
          </w:tcPr>
          <w:p w:rsidR="00B1108A" w:rsidRPr="00577361" w:rsidRDefault="00B1108A" w:rsidP="00B1108A"/>
        </w:tc>
        <w:tc>
          <w:tcPr>
            <w:tcW w:w="1701" w:type="dxa"/>
          </w:tcPr>
          <w:p w:rsidR="00B1108A" w:rsidRPr="00577361" w:rsidRDefault="00B1108A" w:rsidP="00B1108A"/>
        </w:tc>
      </w:tr>
      <w:tr w:rsidR="00B1108A" w:rsidRPr="00577361" w:rsidTr="008267F3">
        <w:trPr>
          <w:trHeight w:val="290"/>
        </w:trPr>
        <w:tc>
          <w:tcPr>
            <w:tcW w:w="2972" w:type="dxa"/>
            <w:noWrap/>
          </w:tcPr>
          <w:p w:rsidR="00B1108A" w:rsidRPr="00577361" w:rsidRDefault="00B1108A" w:rsidP="00B1108A">
            <w:r>
              <w:t xml:space="preserve">    Yes</w:t>
            </w:r>
          </w:p>
        </w:tc>
        <w:tc>
          <w:tcPr>
            <w:tcW w:w="1701" w:type="dxa"/>
            <w:noWrap/>
          </w:tcPr>
          <w:p w:rsidR="00B1108A" w:rsidRPr="00577361" w:rsidRDefault="00B1108A" w:rsidP="00B1108A">
            <w:r w:rsidRPr="00577361">
              <w:t>93 (19)</w:t>
            </w:r>
          </w:p>
        </w:tc>
        <w:tc>
          <w:tcPr>
            <w:tcW w:w="1701" w:type="dxa"/>
            <w:noWrap/>
          </w:tcPr>
          <w:p w:rsidR="00B1108A" w:rsidRPr="00577361" w:rsidRDefault="00B1108A" w:rsidP="00B1108A">
            <w:r w:rsidRPr="00577361">
              <w:t>85 (15)</w:t>
            </w:r>
          </w:p>
        </w:tc>
        <w:tc>
          <w:tcPr>
            <w:tcW w:w="1701" w:type="dxa"/>
          </w:tcPr>
          <w:p w:rsidR="00B1108A" w:rsidRPr="00577361" w:rsidRDefault="00B1108A" w:rsidP="00B1108A">
            <w:r>
              <w:t xml:space="preserve">4 (-1 to 9) </w:t>
            </w:r>
          </w:p>
        </w:tc>
      </w:tr>
      <w:tr w:rsidR="00B1108A" w:rsidRPr="00577361" w:rsidTr="008267F3">
        <w:trPr>
          <w:trHeight w:val="290"/>
        </w:trPr>
        <w:tc>
          <w:tcPr>
            <w:tcW w:w="2972" w:type="dxa"/>
            <w:noWrap/>
            <w:hideMark/>
          </w:tcPr>
          <w:p w:rsidR="00B1108A" w:rsidRPr="00577361" w:rsidRDefault="00B1108A" w:rsidP="00B1108A">
            <w:r>
              <w:t xml:space="preserve">    No</w:t>
            </w:r>
          </w:p>
        </w:tc>
        <w:tc>
          <w:tcPr>
            <w:tcW w:w="1701" w:type="dxa"/>
            <w:noWrap/>
            <w:hideMark/>
          </w:tcPr>
          <w:p w:rsidR="00B1108A" w:rsidRPr="00577361" w:rsidRDefault="00B1108A" w:rsidP="00B1108A">
            <w:r w:rsidRPr="00577361">
              <w:t>388 (81)</w:t>
            </w:r>
          </w:p>
        </w:tc>
        <w:tc>
          <w:tcPr>
            <w:tcW w:w="1701" w:type="dxa"/>
            <w:noWrap/>
            <w:hideMark/>
          </w:tcPr>
          <w:p w:rsidR="00B1108A" w:rsidRPr="00577361" w:rsidRDefault="00B1108A" w:rsidP="00B1108A">
            <w:r w:rsidRPr="00577361">
              <w:t xml:space="preserve">469 (85) </w:t>
            </w:r>
          </w:p>
        </w:tc>
        <w:tc>
          <w:tcPr>
            <w:tcW w:w="1701" w:type="dxa"/>
          </w:tcPr>
          <w:p w:rsidR="00B1108A" w:rsidRPr="00577361" w:rsidRDefault="00B1108A" w:rsidP="00B1108A"/>
        </w:tc>
      </w:tr>
      <w:tr w:rsidR="00B1108A" w:rsidRPr="00577361" w:rsidTr="008267F3">
        <w:trPr>
          <w:trHeight w:val="290"/>
        </w:trPr>
        <w:tc>
          <w:tcPr>
            <w:tcW w:w="2972" w:type="dxa"/>
            <w:noWrap/>
            <w:hideMark/>
          </w:tcPr>
          <w:p w:rsidR="00B1108A" w:rsidRPr="00577361" w:rsidRDefault="00B1108A" w:rsidP="00B1108A">
            <w:r>
              <w:t xml:space="preserve">Asthma </w:t>
            </w:r>
          </w:p>
        </w:tc>
        <w:tc>
          <w:tcPr>
            <w:tcW w:w="1701" w:type="dxa"/>
            <w:noWrap/>
          </w:tcPr>
          <w:p w:rsidR="00B1108A" w:rsidRPr="00577361" w:rsidRDefault="00B1108A" w:rsidP="00B1108A"/>
        </w:tc>
        <w:tc>
          <w:tcPr>
            <w:tcW w:w="1701" w:type="dxa"/>
            <w:noWrap/>
          </w:tcPr>
          <w:p w:rsidR="00B1108A" w:rsidRPr="00577361" w:rsidRDefault="00B1108A" w:rsidP="00B1108A"/>
        </w:tc>
        <w:tc>
          <w:tcPr>
            <w:tcW w:w="1701" w:type="dxa"/>
          </w:tcPr>
          <w:p w:rsidR="00B1108A" w:rsidRPr="00577361" w:rsidRDefault="00B1108A" w:rsidP="00B1108A"/>
        </w:tc>
      </w:tr>
      <w:tr w:rsidR="00B1108A" w:rsidRPr="00577361" w:rsidTr="008267F3">
        <w:trPr>
          <w:trHeight w:val="290"/>
        </w:trPr>
        <w:tc>
          <w:tcPr>
            <w:tcW w:w="2972" w:type="dxa"/>
            <w:noWrap/>
          </w:tcPr>
          <w:p w:rsidR="00B1108A" w:rsidRPr="00577361" w:rsidRDefault="00B1108A" w:rsidP="00B1108A">
            <w:r>
              <w:t xml:space="preserve">    Yes</w:t>
            </w:r>
          </w:p>
        </w:tc>
        <w:tc>
          <w:tcPr>
            <w:tcW w:w="1701" w:type="dxa"/>
            <w:noWrap/>
          </w:tcPr>
          <w:p w:rsidR="00B1108A" w:rsidRPr="00577361" w:rsidRDefault="00B1108A" w:rsidP="00B1108A">
            <w:r w:rsidRPr="00577361">
              <w:t>84 (18)</w:t>
            </w:r>
          </w:p>
        </w:tc>
        <w:tc>
          <w:tcPr>
            <w:tcW w:w="1701" w:type="dxa"/>
            <w:noWrap/>
          </w:tcPr>
          <w:p w:rsidR="00B1108A" w:rsidRPr="00577361" w:rsidRDefault="00B1108A" w:rsidP="00B1108A">
            <w:r w:rsidRPr="00577361">
              <w:t>95 (17)</w:t>
            </w:r>
          </w:p>
        </w:tc>
        <w:tc>
          <w:tcPr>
            <w:tcW w:w="1701" w:type="dxa"/>
          </w:tcPr>
          <w:p w:rsidR="00B1108A" w:rsidRPr="00577361" w:rsidRDefault="00B1108A" w:rsidP="00B1108A">
            <w:r>
              <w:t xml:space="preserve">1 (-4 to 5) </w:t>
            </w:r>
          </w:p>
        </w:tc>
      </w:tr>
      <w:tr w:rsidR="00B1108A" w:rsidRPr="00577361" w:rsidTr="008267F3">
        <w:trPr>
          <w:trHeight w:val="290"/>
        </w:trPr>
        <w:tc>
          <w:tcPr>
            <w:tcW w:w="2972" w:type="dxa"/>
            <w:noWrap/>
            <w:hideMark/>
          </w:tcPr>
          <w:p w:rsidR="00B1108A" w:rsidRPr="00577361" w:rsidRDefault="00B1108A" w:rsidP="00B1108A">
            <w:r>
              <w:t xml:space="preserve">    No</w:t>
            </w:r>
          </w:p>
        </w:tc>
        <w:tc>
          <w:tcPr>
            <w:tcW w:w="1701" w:type="dxa"/>
            <w:noWrap/>
            <w:hideMark/>
          </w:tcPr>
          <w:p w:rsidR="00B1108A" w:rsidRPr="00577361" w:rsidRDefault="00B1108A" w:rsidP="00B1108A">
            <w:r w:rsidRPr="00577361">
              <w:t>394 (82)</w:t>
            </w:r>
          </w:p>
        </w:tc>
        <w:tc>
          <w:tcPr>
            <w:tcW w:w="1701" w:type="dxa"/>
            <w:noWrap/>
            <w:hideMark/>
          </w:tcPr>
          <w:p w:rsidR="00B1108A" w:rsidRPr="00577361" w:rsidRDefault="00B1108A" w:rsidP="00B1108A">
            <w:r w:rsidRPr="00577361">
              <w:t>459 (83)</w:t>
            </w:r>
          </w:p>
        </w:tc>
        <w:tc>
          <w:tcPr>
            <w:tcW w:w="1701" w:type="dxa"/>
          </w:tcPr>
          <w:p w:rsidR="00B1108A" w:rsidRPr="00577361" w:rsidRDefault="00B1108A" w:rsidP="00B1108A"/>
        </w:tc>
      </w:tr>
      <w:tr w:rsidR="00B1108A" w:rsidRPr="00577361" w:rsidTr="008267F3">
        <w:trPr>
          <w:trHeight w:val="290"/>
        </w:trPr>
        <w:tc>
          <w:tcPr>
            <w:tcW w:w="2972" w:type="dxa"/>
            <w:noWrap/>
            <w:hideMark/>
          </w:tcPr>
          <w:p w:rsidR="00B1108A" w:rsidRPr="00577361" w:rsidRDefault="00B1108A" w:rsidP="00B1108A">
            <w:r>
              <w:t xml:space="preserve">Renal disease </w:t>
            </w:r>
          </w:p>
        </w:tc>
        <w:tc>
          <w:tcPr>
            <w:tcW w:w="1701" w:type="dxa"/>
            <w:noWrap/>
          </w:tcPr>
          <w:p w:rsidR="00B1108A" w:rsidRPr="00577361" w:rsidRDefault="00B1108A" w:rsidP="00B1108A"/>
        </w:tc>
        <w:tc>
          <w:tcPr>
            <w:tcW w:w="1701" w:type="dxa"/>
            <w:noWrap/>
          </w:tcPr>
          <w:p w:rsidR="00B1108A" w:rsidRPr="00577361" w:rsidRDefault="00B1108A" w:rsidP="00B1108A"/>
        </w:tc>
        <w:tc>
          <w:tcPr>
            <w:tcW w:w="1701" w:type="dxa"/>
          </w:tcPr>
          <w:p w:rsidR="00B1108A" w:rsidRPr="00577361" w:rsidRDefault="00B1108A" w:rsidP="00B1108A"/>
        </w:tc>
      </w:tr>
      <w:tr w:rsidR="00B1108A" w:rsidRPr="00577361" w:rsidTr="008267F3">
        <w:trPr>
          <w:trHeight w:val="290"/>
        </w:trPr>
        <w:tc>
          <w:tcPr>
            <w:tcW w:w="2972" w:type="dxa"/>
            <w:noWrap/>
          </w:tcPr>
          <w:p w:rsidR="00B1108A" w:rsidRPr="00577361" w:rsidRDefault="00B1108A" w:rsidP="00B1108A">
            <w:r>
              <w:t xml:space="preserve">    Yes</w:t>
            </w:r>
          </w:p>
        </w:tc>
        <w:tc>
          <w:tcPr>
            <w:tcW w:w="1701" w:type="dxa"/>
            <w:noWrap/>
          </w:tcPr>
          <w:p w:rsidR="00B1108A" w:rsidRPr="00577361" w:rsidRDefault="00B1108A" w:rsidP="00B1108A">
            <w:r w:rsidRPr="00577361">
              <w:t>38 (8)</w:t>
            </w:r>
          </w:p>
        </w:tc>
        <w:tc>
          <w:tcPr>
            <w:tcW w:w="1701" w:type="dxa"/>
            <w:noWrap/>
          </w:tcPr>
          <w:p w:rsidR="00B1108A" w:rsidRPr="00577361" w:rsidRDefault="00B1108A" w:rsidP="00B1108A">
            <w:r w:rsidRPr="00577361">
              <w:t>85 (15)</w:t>
            </w:r>
          </w:p>
        </w:tc>
        <w:tc>
          <w:tcPr>
            <w:tcW w:w="1701" w:type="dxa"/>
          </w:tcPr>
          <w:p w:rsidR="00B1108A" w:rsidRPr="00577361" w:rsidRDefault="00B1108A" w:rsidP="00B1108A">
            <w:r>
              <w:t xml:space="preserve">7 (3 to 11) </w:t>
            </w:r>
          </w:p>
        </w:tc>
      </w:tr>
      <w:tr w:rsidR="00B1108A" w:rsidRPr="00577361" w:rsidTr="008267F3">
        <w:trPr>
          <w:trHeight w:val="290"/>
        </w:trPr>
        <w:tc>
          <w:tcPr>
            <w:tcW w:w="2972" w:type="dxa"/>
            <w:noWrap/>
            <w:hideMark/>
          </w:tcPr>
          <w:p w:rsidR="00B1108A" w:rsidRPr="00577361" w:rsidRDefault="00B1108A" w:rsidP="00B1108A">
            <w:r>
              <w:t xml:space="preserve">    No</w:t>
            </w:r>
          </w:p>
        </w:tc>
        <w:tc>
          <w:tcPr>
            <w:tcW w:w="1701" w:type="dxa"/>
            <w:noWrap/>
            <w:hideMark/>
          </w:tcPr>
          <w:p w:rsidR="00B1108A" w:rsidRPr="00577361" w:rsidRDefault="00B1108A" w:rsidP="00B1108A">
            <w:r w:rsidRPr="00577361">
              <w:t>435 (92)</w:t>
            </w:r>
          </w:p>
        </w:tc>
        <w:tc>
          <w:tcPr>
            <w:tcW w:w="1701" w:type="dxa"/>
            <w:noWrap/>
            <w:hideMark/>
          </w:tcPr>
          <w:p w:rsidR="00B1108A" w:rsidRPr="00577361" w:rsidRDefault="00B1108A" w:rsidP="00B1108A">
            <w:r w:rsidRPr="00577361">
              <w:t xml:space="preserve">469 (85) </w:t>
            </w:r>
          </w:p>
        </w:tc>
        <w:tc>
          <w:tcPr>
            <w:tcW w:w="1701" w:type="dxa"/>
          </w:tcPr>
          <w:p w:rsidR="00B1108A" w:rsidRPr="00577361" w:rsidRDefault="00B1108A" w:rsidP="00B1108A"/>
        </w:tc>
      </w:tr>
      <w:tr w:rsidR="00B1108A" w:rsidRPr="00577361" w:rsidTr="008267F3">
        <w:trPr>
          <w:trHeight w:val="290"/>
        </w:trPr>
        <w:tc>
          <w:tcPr>
            <w:tcW w:w="2972" w:type="dxa"/>
            <w:noWrap/>
            <w:hideMark/>
          </w:tcPr>
          <w:p w:rsidR="00B1108A" w:rsidRPr="00577361" w:rsidRDefault="00B1108A" w:rsidP="00B1108A">
            <w:r>
              <w:t xml:space="preserve">  Liver disease </w:t>
            </w:r>
          </w:p>
        </w:tc>
        <w:tc>
          <w:tcPr>
            <w:tcW w:w="1701" w:type="dxa"/>
            <w:noWrap/>
          </w:tcPr>
          <w:p w:rsidR="00B1108A" w:rsidRPr="00577361" w:rsidRDefault="00B1108A" w:rsidP="00B1108A"/>
        </w:tc>
        <w:tc>
          <w:tcPr>
            <w:tcW w:w="1701" w:type="dxa"/>
            <w:noWrap/>
          </w:tcPr>
          <w:p w:rsidR="00B1108A" w:rsidRPr="00577361" w:rsidRDefault="00B1108A" w:rsidP="00B1108A"/>
        </w:tc>
        <w:tc>
          <w:tcPr>
            <w:tcW w:w="1701" w:type="dxa"/>
          </w:tcPr>
          <w:p w:rsidR="00B1108A" w:rsidRPr="00577361" w:rsidRDefault="00B1108A" w:rsidP="00B1108A"/>
        </w:tc>
      </w:tr>
      <w:tr w:rsidR="00B1108A" w:rsidRPr="00577361" w:rsidTr="008267F3">
        <w:trPr>
          <w:trHeight w:val="290"/>
        </w:trPr>
        <w:tc>
          <w:tcPr>
            <w:tcW w:w="2972" w:type="dxa"/>
            <w:noWrap/>
          </w:tcPr>
          <w:p w:rsidR="00B1108A" w:rsidRPr="00577361" w:rsidRDefault="00B1108A" w:rsidP="00B1108A">
            <w:r>
              <w:t xml:space="preserve">    Yes</w:t>
            </w:r>
          </w:p>
        </w:tc>
        <w:tc>
          <w:tcPr>
            <w:tcW w:w="1701" w:type="dxa"/>
            <w:noWrap/>
          </w:tcPr>
          <w:p w:rsidR="00B1108A" w:rsidRPr="00577361" w:rsidRDefault="00B1108A" w:rsidP="00B1108A">
            <w:r w:rsidRPr="00577361">
              <w:t>24 (5)</w:t>
            </w:r>
          </w:p>
        </w:tc>
        <w:tc>
          <w:tcPr>
            <w:tcW w:w="1701" w:type="dxa"/>
            <w:noWrap/>
          </w:tcPr>
          <w:p w:rsidR="00B1108A" w:rsidRPr="00577361" w:rsidRDefault="00B1108A" w:rsidP="00B1108A">
            <w:r w:rsidRPr="00577361">
              <w:t>43 (8)</w:t>
            </w:r>
          </w:p>
        </w:tc>
        <w:tc>
          <w:tcPr>
            <w:tcW w:w="1701" w:type="dxa"/>
          </w:tcPr>
          <w:p w:rsidR="00B1108A" w:rsidRPr="00577361" w:rsidRDefault="00B1108A" w:rsidP="00B1108A">
            <w:r>
              <w:t xml:space="preserve">3 (-1 to 6) </w:t>
            </w:r>
          </w:p>
        </w:tc>
      </w:tr>
      <w:tr w:rsidR="00B1108A" w:rsidRPr="00577361" w:rsidTr="008267F3">
        <w:trPr>
          <w:trHeight w:val="290"/>
        </w:trPr>
        <w:tc>
          <w:tcPr>
            <w:tcW w:w="2972" w:type="dxa"/>
            <w:noWrap/>
            <w:hideMark/>
          </w:tcPr>
          <w:p w:rsidR="00B1108A" w:rsidRPr="00577361" w:rsidRDefault="00B1108A" w:rsidP="00B1108A">
            <w:r>
              <w:t xml:space="preserve">    No</w:t>
            </w:r>
          </w:p>
        </w:tc>
        <w:tc>
          <w:tcPr>
            <w:tcW w:w="1701" w:type="dxa"/>
            <w:noWrap/>
            <w:hideMark/>
          </w:tcPr>
          <w:p w:rsidR="00B1108A" w:rsidRPr="00577361" w:rsidRDefault="00B1108A" w:rsidP="00B1108A">
            <w:r w:rsidRPr="00577361">
              <w:t>452 (95)</w:t>
            </w:r>
          </w:p>
        </w:tc>
        <w:tc>
          <w:tcPr>
            <w:tcW w:w="1701" w:type="dxa"/>
            <w:noWrap/>
            <w:hideMark/>
          </w:tcPr>
          <w:p w:rsidR="00B1108A" w:rsidRPr="00577361" w:rsidRDefault="00B1108A" w:rsidP="00B1108A">
            <w:r w:rsidRPr="00577361">
              <w:t>511 (92)</w:t>
            </w:r>
          </w:p>
        </w:tc>
        <w:tc>
          <w:tcPr>
            <w:tcW w:w="1701" w:type="dxa"/>
          </w:tcPr>
          <w:p w:rsidR="00B1108A" w:rsidRPr="00577361" w:rsidRDefault="00B1108A" w:rsidP="00B1108A"/>
        </w:tc>
      </w:tr>
      <w:tr w:rsidR="00B1108A" w:rsidRPr="00577361" w:rsidTr="008267F3">
        <w:trPr>
          <w:trHeight w:val="290"/>
        </w:trPr>
        <w:tc>
          <w:tcPr>
            <w:tcW w:w="2972" w:type="dxa"/>
            <w:noWrap/>
            <w:hideMark/>
          </w:tcPr>
          <w:p w:rsidR="00B1108A" w:rsidRPr="00577361" w:rsidRDefault="00B1108A" w:rsidP="00B1108A">
            <w:r>
              <w:t xml:space="preserve">  Diabetes mellitus </w:t>
            </w:r>
          </w:p>
        </w:tc>
        <w:tc>
          <w:tcPr>
            <w:tcW w:w="1701" w:type="dxa"/>
            <w:noWrap/>
          </w:tcPr>
          <w:p w:rsidR="00B1108A" w:rsidRPr="00577361" w:rsidRDefault="00B1108A" w:rsidP="00B1108A"/>
        </w:tc>
        <w:tc>
          <w:tcPr>
            <w:tcW w:w="1701" w:type="dxa"/>
            <w:noWrap/>
          </w:tcPr>
          <w:p w:rsidR="00B1108A" w:rsidRPr="00577361" w:rsidRDefault="00B1108A" w:rsidP="00B1108A"/>
        </w:tc>
        <w:tc>
          <w:tcPr>
            <w:tcW w:w="1701" w:type="dxa"/>
          </w:tcPr>
          <w:p w:rsidR="00B1108A" w:rsidRPr="00577361" w:rsidRDefault="00B1108A" w:rsidP="00B1108A"/>
        </w:tc>
      </w:tr>
      <w:tr w:rsidR="00B1108A" w:rsidRPr="00577361" w:rsidTr="008267F3">
        <w:trPr>
          <w:trHeight w:val="290"/>
        </w:trPr>
        <w:tc>
          <w:tcPr>
            <w:tcW w:w="2972" w:type="dxa"/>
            <w:noWrap/>
          </w:tcPr>
          <w:p w:rsidR="00B1108A" w:rsidRPr="00577361" w:rsidRDefault="00B1108A" w:rsidP="00B1108A">
            <w:r>
              <w:t xml:space="preserve">    Yes</w:t>
            </w:r>
          </w:p>
        </w:tc>
        <w:tc>
          <w:tcPr>
            <w:tcW w:w="1701" w:type="dxa"/>
            <w:noWrap/>
          </w:tcPr>
          <w:p w:rsidR="00B1108A" w:rsidRPr="00577361" w:rsidRDefault="00B1108A" w:rsidP="00B1108A">
            <w:r>
              <w:t>108 (22</w:t>
            </w:r>
            <w:r w:rsidRPr="00577361">
              <w:t>)</w:t>
            </w:r>
          </w:p>
        </w:tc>
        <w:tc>
          <w:tcPr>
            <w:tcW w:w="1701" w:type="dxa"/>
            <w:noWrap/>
          </w:tcPr>
          <w:p w:rsidR="00B1108A" w:rsidRPr="00577361" w:rsidRDefault="00B1108A" w:rsidP="00B1108A">
            <w:r w:rsidRPr="00577361">
              <w:t>135 (24)</w:t>
            </w:r>
          </w:p>
        </w:tc>
        <w:tc>
          <w:tcPr>
            <w:tcW w:w="1701" w:type="dxa"/>
          </w:tcPr>
          <w:p w:rsidR="00B1108A" w:rsidRPr="00577361" w:rsidRDefault="00B1108A" w:rsidP="00B1108A">
            <w:r>
              <w:t xml:space="preserve">2 (-3 to 7) </w:t>
            </w:r>
          </w:p>
        </w:tc>
      </w:tr>
      <w:tr w:rsidR="00B1108A" w:rsidRPr="00577361" w:rsidTr="008267F3">
        <w:trPr>
          <w:trHeight w:val="290"/>
        </w:trPr>
        <w:tc>
          <w:tcPr>
            <w:tcW w:w="2972" w:type="dxa"/>
            <w:noWrap/>
            <w:hideMark/>
          </w:tcPr>
          <w:p w:rsidR="00B1108A" w:rsidRPr="00577361" w:rsidRDefault="00B1108A" w:rsidP="00B1108A">
            <w:r>
              <w:t xml:space="preserve">    No</w:t>
            </w:r>
          </w:p>
        </w:tc>
        <w:tc>
          <w:tcPr>
            <w:tcW w:w="1701" w:type="dxa"/>
            <w:noWrap/>
            <w:hideMark/>
          </w:tcPr>
          <w:p w:rsidR="00B1108A" w:rsidRPr="00577361" w:rsidRDefault="00B1108A" w:rsidP="00B1108A">
            <w:r w:rsidRPr="00577361">
              <w:t>370 (77)</w:t>
            </w:r>
          </w:p>
        </w:tc>
        <w:tc>
          <w:tcPr>
            <w:tcW w:w="1701" w:type="dxa"/>
            <w:noWrap/>
            <w:hideMark/>
          </w:tcPr>
          <w:p w:rsidR="00B1108A" w:rsidRPr="00577361" w:rsidRDefault="00B1108A" w:rsidP="00B1108A">
            <w:r w:rsidRPr="00577361">
              <w:t>419 (76)</w:t>
            </w:r>
          </w:p>
        </w:tc>
        <w:tc>
          <w:tcPr>
            <w:tcW w:w="1701" w:type="dxa"/>
          </w:tcPr>
          <w:p w:rsidR="00B1108A" w:rsidRPr="00577361" w:rsidRDefault="00B1108A" w:rsidP="00B1108A"/>
        </w:tc>
      </w:tr>
      <w:tr w:rsidR="00B1108A" w:rsidRPr="00577361" w:rsidTr="008267F3">
        <w:trPr>
          <w:trHeight w:val="290"/>
        </w:trPr>
        <w:tc>
          <w:tcPr>
            <w:tcW w:w="2972" w:type="dxa"/>
            <w:noWrap/>
            <w:hideMark/>
          </w:tcPr>
          <w:p w:rsidR="00B1108A" w:rsidRPr="00577361" w:rsidRDefault="00B1108A" w:rsidP="00B1108A">
            <w:r>
              <w:t xml:space="preserve">  Cancer </w:t>
            </w:r>
          </w:p>
        </w:tc>
        <w:tc>
          <w:tcPr>
            <w:tcW w:w="1701" w:type="dxa"/>
            <w:noWrap/>
          </w:tcPr>
          <w:p w:rsidR="00B1108A" w:rsidRPr="00577361" w:rsidRDefault="00B1108A" w:rsidP="00B1108A"/>
        </w:tc>
        <w:tc>
          <w:tcPr>
            <w:tcW w:w="1701" w:type="dxa"/>
            <w:noWrap/>
          </w:tcPr>
          <w:p w:rsidR="00B1108A" w:rsidRPr="00577361" w:rsidRDefault="00B1108A" w:rsidP="00B1108A"/>
        </w:tc>
        <w:tc>
          <w:tcPr>
            <w:tcW w:w="1701" w:type="dxa"/>
          </w:tcPr>
          <w:p w:rsidR="00B1108A" w:rsidRPr="00577361" w:rsidRDefault="00B1108A" w:rsidP="00B1108A"/>
        </w:tc>
      </w:tr>
      <w:tr w:rsidR="00B1108A" w:rsidRPr="00577361" w:rsidTr="008267F3">
        <w:trPr>
          <w:trHeight w:val="290"/>
        </w:trPr>
        <w:tc>
          <w:tcPr>
            <w:tcW w:w="2972" w:type="dxa"/>
            <w:noWrap/>
          </w:tcPr>
          <w:p w:rsidR="00B1108A" w:rsidRPr="00577361" w:rsidRDefault="00B1108A" w:rsidP="00B1108A">
            <w:r>
              <w:lastRenderedPageBreak/>
              <w:t xml:space="preserve">    Yes</w:t>
            </w:r>
          </w:p>
        </w:tc>
        <w:tc>
          <w:tcPr>
            <w:tcW w:w="1701" w:type="dxa"/>
            <w:noWrap/>
          </w:tcPr>
          <w:p w:rsidR="00B1108A" w:rsidRPr="00577361" w:rsidRDefault="00B1108A" w:rsidP="00B1108A">
            <w:r w:rsidRPr="00577361">
              <w:t>40 (8)</w:t>
            </w:r>
          </w:p>
        </w:tc>
        <w:tc>
          <w:tcPr>
            <w:tcW w:w="1701" w:type="dxa"/>
            <w:noWrap/>
          </w:tcPr>
          <w:p w:rsidR="00B1108A" w:rsidRPr="00577361" w:rsidRDefault="00B1108A" w:rsidP="00B1108A">
            <w:r w:rsidRPr="00577361">
              <w:t>36 (6)</w:t>
            </w:r>
          </w:p>
        </w:tc>
        <w:tc>
          <w:tcPr>
            <w:tcW w:w="1701" w:type="dxa"/>
          </w:tcPr>
          <w:p w:rsidR="00B1108A" w:rsidRPr="00577361" w:rsidRDefault="00B1108A" w:rsidP="00B1108A">
            <w:r>
              <w:t xml:space="preserve">2 (-1 to 5) </w:t>
            </w:r>
          </w:p>
        </w:tc>
      </w:tr>
      <w:tr w:rsidR="00B1108A" w:rsidRPr="00577361" w:rsidTr="008267F3">
        <w:trPr>
          <w:trHeight w:val="290"/>
        </w:trPr>
        <w:tc>
          <w:tcPr>
            <w:tcW w:w="2972" w:type="dxa"/>
            <w:noWrap/>
            <w:hideMark/>
          </w:tcPr>
          <w:p w:rsidR="00B1108A" w:rsidRPr="00577361" w:rsidRDefault="00B1108A" w:rsidP="00B1108A">
            <w:r>
              <w:t xml:space="preserve">    No</w:t>
            </w:r>
          </w:p>
        </w:tc>
        <w:tc>
          <w:tcPr>
            <w:tcW w:w="1701" w:type="dxa"/>
            <w:noWrap/>
            <w:hideMark/>
          </w:tcPr>
          <w:p w:rsidR="00B1108A" w:rsidRPr="00577361" w:rsidRDefault="00B1108A" w:rsidP="00B1108A">
            <w:r w:rsidRPr="00577361">
              <w:t>439 (92)</w:t>
            </w:r>
          </w:p>
        </w:tc>
        <w:tc>
          <w:tcPr>
            <w:tcW w:w="1701" w:type="dxa"/>
            <w:noWrap/>
            <w:hideMark/>
          </w:tcPr>
          <w:p w:rsidR="00B1108A" w:rsidRPr="00577361" w:rsidRDefault="00B1108A" w:rsidP="00B1108A">
            <w:r w:rsidRPr="00577361">
              <w:t>518 (94)</w:t>
            </w:r>
          </w:p>
        </w:tc>
        <w:tc>
          <w:tcPr>
            <w:tcW w:w="1701" w:type="dxa"/>
          </w:tcPr>
          <w:p w:rsidR="00B1108A" w:rsidRPr="00577361" w:rsidRDefault="00B1108A" w:rsidP="00B1108A"/>
        </w:tc>
      </w:tr>
      <w:tr w:rsidR="00B1108A" w:rsidRPr="00577361" w:rsidTr="008267F3">
        <w:trPr>
          <w:trHeight w:val="290"/>
        </w:trPr>
        <w:tc>
          <w:tcPr>
            <w:tcW w:w="2972" w:type="dxa"/>
            <w:noWrap/>
            <w:hideMark/>
          </w:tcPr>
          <w:p w:rsidR="00B1108A" w:rsidRPr="00577361" w:rsidRDefault="00B1108A" w:rsidP="00B1108A">
            <w:r>
              <w:t xml:space="preserve">  Dementia </w:t>
            </w:r>
          </w:p>
        </w:tc>
        <w:tc>
          <w:tcPr>
            <w:tcW w:w="1701" w:type="dxa"/>
            <w:noWrap/>
          </w:tcPr>
          <w:p w:rsidR="00B1108A" w:rsidRPr="00577361" w:rsidRDefault="00B1108A" w:rsidP="00B1108A"/>
        </w:tc>
        <w:tc>
          <w:tcPr>
            <w:tcW w:w="1701" w:type="dxa"/>
            <w:noWrap/>
          </w:tcPr>
          <w:p w:rsidR="00B1108A" w:rsidRPr="00577361" w:rsidRDefault="00B1108A" w:rsidP="00B1108A"/>
        </w:tc>
        <w:tc>
          <w:tcPr>
            <w:tcW w:w="1701" w:type="dxa"/>
          </w:tcPr>
          <w:p w:rsidR="00B1108A" w:rsidRPr="00577361" w:rsidRDefault="00B1108A" w:rsidP="00B1108A"/>
        </w:tc>
      </w:tr>
      <w:tr w:rsidR="00B1108A" w:rsidRPr="00577361" w:rsidTr="008267F3">
        <w:trPr>
          <w:trHeight w:val="290"/>
        </w:trPr>
        <w:tc>
          <w:tcPr>
            <w:tcW w:w="2972" w:type="dxa"/>
            <w:noWrap/>
          </w:tcPr>
          <w:p w:rsidR="00B1108A" w:rsidRPr="00577361" w:rsidRDefault="00B1108A" w:rsidP="00B1108A">
            <w:r>
              <w:t xml:space="preserve">    Yes</w:t>
            </w:r>
          </w:p>
        </w:tc>
        <w:tc>
          <w:tcPr>
            <w:tcW w:w="1701" w:type="dxa"/>
            <w:noWrap/>
          </w:tcPr>
          <w:p w:rsidR="00B1108A" w:rsidRPr="00577361" w:rsidRDefault="00B1108A" w:rsidP="00B1108A">
            <w:r w:rsidRPr="00577361">
              <w:t>56 (12)</w:t>
            </w:r>
          </w:p>
        </w:tc>
        <w:tc>
          <w:tcPr>
            <w:tcW w:w="1701" w:type="dxa"/>
            <w:noWrap/>
          </w:tcPr>
          <w:p w:rsidR="00B1108A" w:rsidRPr="00577361" w:rsidRDefault="00B1108A" w:rsidP="00B1108A">
            <w:r w:rsidRPr="00577361">
              <w:t>57 (10)</w:t>
            </w:r>
          </w:p>
        </w:tc>
        <w:tc>
          <w:tcPr>
            <w:tcW w:w="1701" w:type="dxa"/>
          </w:tcPr>
          <w:p w:rsidR="00B1108A" w:rsidRPr="00577361" w:rsidRDefault="00B1108A" w:rsidP="00B1108A">
            <w:r>
              <w:t xml:space="preserve">2 (-2 to 6) </w:t>
            </w:r>
          </w:p>
        </w:tc>
      </w:tr>
      <w:tr w:rsidR="00B1108A" w:rsidRPr="00577361" w:rsidTr="008267F3">
        <w:trPr>
          <w:trHeight w:val="290"/>
        </w:trPr>
        <w:tc>
          <w:tcPr>
            <w:tcW w:w="2972" w:type="dxa"/>
            <w:noWrap/>
            <w:hideMark/>
          </w:tcPr>
          <w:p w:rsidR="00B1108A" w:rsidRPr="00577361" w:rsidRDefault="00B1108A" w:rsidP="00B1108A">
            <w:r>
              <w:t xml:space="preserve">    No</w:t>
            </w:r>
          </w:p>
        </w:tc>
        <w:tc>
          <w:tcPr>
            <w:tcW w:w="1701" w:type="dxa"/>
            <w:noWrap/>
            <w:hideMark/>
          </w:tcPr>
          <w:p w:rsidR="00B1108A" w:rsidRPr="00577361" w:rsidRDefault="00B1108A" w:rsidP="00B1108A">
            <w:r w:rsidRPr="00577361">
              <w:t>425 (88)</w:t>
            </w:r>
          </w:p>
        </w:tc>
        <w:tc>
          <w:tcPr>
            <w:tcW w:w="1701" w:type="dxa"/>
            <w:noWrap/>
            <w:hideMark/>
          </w:tcPr>
          <w:p w:rsidR="00B1108A" w:rsidRPr="00577361" w:rsidRDefault="00B1108A" w:rsidP="00B1108A">
            <w:r w:rsidRPr="00577361">
              <w:t>497 (90)</w:t>
            </w:r>
          </w:p>
        </w:tc>
        <w:tc>
          <w:tcPr>
            <w:tcW w:w="1701" w:type="dxa"/>
          </w:tcPr>
          <w:p w:rsidR="00B1108A" w:rsidRPr="00577361" w:rsidRDefault="00B1108A" w:rsidP="00B1108A"/>
        </w:tc>
      </w:tr>
      <w:tr w:rsidR="00B1108A" w:rsidRPr="00577361" w:rsidTr="008267F3">
        <w:trPr>
          <w:trHeight w:val="290"/>
        </w:trPr>
        <w:tc>
          <w:tcPr>
            <w:tcW w:w="2972" w:type="dxa"/>
            <w:noWrap/>
            <w:hideMark/>
          </w:tcPr>
          <w:p w:rsidR="00B1108A" w:rsidRPr="00577361" w:rsidRDefault="00B1108A" w:rsidP="00B1108A">
            <w:pPr>
              <w:rPr>
                <w:b/>
                <w:bCs/>
              </w:rPr>
            </w:pPr>
            <w:r w:rsidRPr="00577361">
              <w:rPr>
                <w:b/>
                <w:bCs/>
              </w:rPr>
              <w:t xml:space="preserve">Observations at admission </w:t>
            </w:r>
          </w:p>
        </w:tc>
        <w:tc>
          <w:tcPr>
            <w:tcW w:w="1701" w:type="dxa"/>
            <w:noWrap/>
            <w:hideMark/>
          </w:tcPr>
          <w:p w:rsidR="00B1108A" w:rsidRPr="00577361" w:rsidRDefault="00B1108A" w:rsidP="00B1108A">
            <w:pPr>
              <w:rPr>
                <w:bCs/>
              </w:rPr>
            </w:pPr>
          </w:p>
        </w:tc>
        <w:tc>
          <w:tcPr>
            <w:tcW w:w="1701" w:type="dxa"/>
            <w:noWrap/>
            <w:hideMark/>
          </w:tcPr>
          <w:p w:rsidR="00B1108A" w:rsidRPr="00577361" w:rsidRDefault="00B1108A" w:rsidP="00B1108A"/>
        </w:tc>
        <w:tc>
          <w:tcPr>
            <w:tcW w:w="1701" w:type="dxa"/>
          </w:tcPr>
          <w:p w:rsidR="00B1108A" w:rsidRPr="00577361" w:rsidRDefault="00B1108A" w:rsidP="00B1108A"/>
        </w:tc>
      </w:tr>
      <w:tr w:rsidR="00B1108A" w:rsidRPr="00577361" w:rsidTr="008267F3">
        <w:trPr>
          <w:trHeight w:val="290"/>
        </w:trPr>
        <w:tc>
          <w:tcPr>
            <w:tcW w:w="2972" w:type="dxa"/>
            <w:noWrap/>
            <w:hideMark/>
          </w:tcPr>
          <w:p w:rsidR="00B1108A" w:rsidRPr="00577361" w:rsidRDefault="00B1108A" w:rsidP="00B1108A">
            <w:r>
              <w:t>Temperature, °C</w:t>
            </w:r>
          </w:p>
        </w:tc>
        <w:tc>
          <w:tcPr>
            <w:tcW w:w="1701" w:type="dxa"/>
            <w:noWrap/>
            <w:hideMark/>
          </w:tcPr>
          <w:p w:rsidR="00B1108A" w:rsidRPr="00577361" w:rsidRDefault="00B1108A" w:rsidP="00B1108A">
            <w:r w:rsidRPr="00577361">
              <w:t>36</w:t>
            </w:r>
            <w:r>
              <w:rPr>
                <w:rFonts w:cstheme="minorHAnsi"/>
              </w:rPr>
              <w:t>·</w:t>
            </w:r>
            <w:r w:rsidRPr="00577361">
              <w:t>8 (36</w:t>
            </w:r>
            <w:r>
              <w:rPr>
                <w:rFonts w:cstheme="minorHAnsi"/>
              </w:rPr>
              <w:t>·</w:t>
            </w:r>
            <w:r w:rsidRPr="00577361">
              <w:t>4 to 37</w:t>
            </w:r>
            <w:r>
              <w:rPr>
                <w:rFonts w:cstheme="minorHAnsi"/>
              </w:rPr>
              <w:t>·</w:t>
            </w:r>
            <w:r w:rsidRPr="00577361">
              <w:t xml:space="preserve">6) </w:t>
            </w:r>
          </w:p>
        </w:tc>
        <w:tc>
          <w:tcPr>
            <w:tcW w:w="1701" w:type="dxa"/>
            <w:noWrap/>
            <w:hideMark/>
          </w:tcPr>
          <w:p w:rsidR="00B1108A" w:rsidRPr="00577361" w:rsidRDefault="00B1108A" w:rsidP="00B1108A">
            <w:r w:rsidRPr="00577361">
              <w:t>36</w:t>
            </w:r>
            <w:r>
              <w:rPr>
                <w:rFonts w:cstheme="minorHAnsi"/>
              </w:rPr>
              <w:t>·</w:t>
            </w:r>
            <w:r w:rsidRPr="00577361">
              <w:t>7 (36</w:t>
            </w:r>
            <w:r>
              <w:rPr>
                <w:rFonts w:cstheme="minorHAnsi"/>
              </w:rPr>
              <w:t>·</w:t>
            </w:r>
            <w:r w:rsidRPr="00577361">
              <w:t>4 to 37</w:t>
            </w:r>
            <w:r>
              <w:rPr>
                <w:rFonts w:cstheme="minorHAnsi"/>
              </w:rPr>
              <w:t>·</w:t>
            </w:r>
            <w:r w:rsidRPr="00577361">
              <w:t>5)</w:t>
            </w:r>
          </w:p>
        </w:tc>
        <w:tc>
          <w:tcPr>
            <w:tcW w:w="1701" w:type="dxa"/>
          </w:tcPr>
          <w:p w:rsidR="00B1108A" w:rsidRPr="00577361" w:rsidRDefault="00B1108A" w:rsidP="00B1108A">
            <w:r>
              <w:t>0</w:t>
            </w:r>
            <w:r>
              <w:rPr>
                <w:rFonts w:cstheme="minorHAnsi"/>
              </w:rPr>
              <w:t>·</w:t>
            </w:r>
            <w:r>
              <w:t>1 (0 to 0</w:t>
            </w:r>
            <w:r>
              <w:rPr>
                <w:rFonts w:cstheme="minorHAnsi"/>
              </w:rPr>
              <w:t>·</w:t>
            </w:r>
            <w:r>
              <w:t xml:space="preserve">2) </w:t>
            </w:r>
          </w:p>
        </w:tc>
      </w:tr>
      <w:tr w:rsidR="00B1108A" w:rsidRPr="00577361" w:rsidTr="008267F3">
        <w:trPr>
          <w:trHeight w:val="290"/>
        </w:trPr>
        <w:tc>
          <w:tcPr>
            <w:tcW w:w="2972" w:type="dxa"/>
            <w:noWrap/>
            <w:hideMark/>
          </w:tcPr>
          <w:p w:rsidR="00B1108A" w:rsidRPr="00577361" w:rsidRDefault="00B1108A" w:rsidP="00B1108A">
            <w:r>
              <w:t xml:space="preserve">   Temperature ≥38°C </w:t>
            </w:r>
          </w:p>
        </w:tc>
        <w:tc>
          <w:tcPr>
            <w:tcW w:w="1701" w:type="dxa"/>
            <w:noWrap/>
          </w:tcPr>
          <w:p w:rsidR="00B1108A" w:rsidRPr="00577361" w:rsidRDefault="00B1108A" w:rsidP="00B1108A"/>
        </w:tc>
        <w:tc>
          <w:tcPr>
            <w:tcW w:w="1701" w:type="dxa"/>
            <w:noWrap/>
          </w:tcPr>
          <w:p w:rsidR="00B1108A" w:rsidRPr="00577361" w:rsidRDefault="00B1108A" w:rsidP="00B1108A"/>
        </w:tc>
        <w:tc>
          <w:tcPr>
            <w:tcW w:w="1701" w:type="dxa"/>
          </w:tcPr>
          <w:p w:rsidR="00B1108A" w:rsidRPr="00577361" w:rsidRDefault="00B1108A" w:rsidP="00B1108A"/>
        </w:tc>
      </w:tr>
      <w:tr w:rsidR="00B1108A" w:rsidRPr="00577361" w:rsidTr="008267F3">
        <w:trPr>
          <w:trHeight w:val="290"/>
        </w:trPr>
        <w:tc>
          <w:tcPr>
            <w:tcW w:w="2972" w:type="dxa"/>
            <w:noWrap/>
          </w:tcPr>
          <w:p w:rsidR="00B1108A" w:rsidRPr="00577361" w:rsidRDefault="00B1108A" w:rsidP="00B1108A">
            <w:r>
              <w:t xml:space="preserve">     Yes</w:t>
            </w:r>
          </w:p>
        </w:tc>
        <w:tc>
          <w:tcPr>
            <w:tcW w:w="1701" w:type="dxa"/>
            <w:noWrap/>
          </w:tcPr>
          <w:p w:rsidR="00B1108A" w:rsidRPr="00577361" w:rsidRDefault="00B1108A" w:rsidP="00B1108A">
            <w:r w:rsidRPr="00577361">
              <w:t>92 (19)</w:t>
            </w:r>
          </w:p>
        </w:tc>
        <w:tc>
          <w:tcPr>
            <w:tcW w:w="1701" w:type="dxa"/>
            <w:noWrap/>
          </w:tcPr>
          <w:p w:rsidR="00B1108A" w:rsidRPr="00577361" w:rsidRDefault="00B1108A" w:rsidP="00B1108A">
            <w:r w:rsidRPr="00577361">
              <w:t>92 (17)</w:t>
            </w:r>
          </w:p>
        </w:tc>
        <w:tc>
          <w:tcPr>
            <w:tcW w:w="1701" w:type="dxa"/>
          </w:tcPr>
          <w:p w:rsidR="00B1108A" w:rsidRPr="00577361" w:rsidRDefault="00B1108A" w:rsidP="00B1108A">
            <w:r>
              <w:t xml:space="preserve">2 (-3 to 7) </w:t>
            </w:r>
          </w:p>
        </w:tc>
      </w:tr>
      <w:tr w:rsidR="00B1108A" w:rsidRPr="00577361" w:rsidTr="008267F3">
        <w:trPr>
          <w:trHeight w:val="290"/>
        </w:trPr>
        <w:tc>
          <w:tcPr>
            <w:tcW w:w="2972" w:type="dxa"/>
            <w:noWrap/>
            <w:hideMark/>
          </w:tcPr>
          <w:p w:rsidR="00B1108A" w:rsidRPr="00577361" w:rsidRDefault="00B1108A" w:rsidP="00B1108A">
            <w:r>
              <w:t xml:space="preserve">     No</w:t>
            </w:r>
          </w:p>
        </w:tc>
        <w:tc>
          <w:tcPr>
            <w:tcW w:w="1701" w:type="dxa"/>
            <w:noWrap/>
            <w:hideMark/>
          </w:tcPr>
          <w:p w:rsidR="00B1108A" w:rsidRPr="00577361" w:rsidRDefault="00B1108A" w:rsidP="00B1108A">
            <w:r w:rsidRPr="00577361">
              <w:t>401 (81)</w:t>
            </w:r>
          </w:p>
        </w:tc>
        <w:tc>
          <w:tcPr>
            <w:tcW w:w="1701" w:type="dxa"/>
            <w:noWrap/>
            <w:hideMark/>
          </w:tcPr>
          <w:p w:rsidR="00B1108A" w:rsidRPr="00577361" w:rsidRDefault="00B1108A" w:rsidP="00B1108A">
            <w:r w:rsidRPr="00577361">
              <w:t xml:space="preserve">460 (83) </w:t>
            </w:r>
          </w:p>
        </w:tc>
        <w:tc>
          <w:tcPr>
            <w:tcW w:w="1701" w:type="dxa"/>
          </w:tcPr>
          <w:p w:rsidR="00B1108A" w:rsidRPr="00577361" w:rsidRDefault="00B1108A" w:rsidP="00B1108A"/>
        </w:tc>
      </w:tr>
      <w:tr w:rsidR="00B1108A" w:rsidRPr="00577361" w:rsidTr="008267F3">
        <w:trPr>
          <w:trHeight w:val="290"/>
        </w:trPr>
        <w:tc>
          <w:tcPr>
            <w:tcW w:w="2972" w:type="dxa"/>
            <w:noWrap/>
            <w:hideMark/>
          </w:tcPr>
          <w:p w:rsidR="00B1108A" w:rsidRPr="00577361" w:rsidRDefault="00B1108A" w:rsidP="00B1108A">
            <w:r>
              <w:t xml:space="preserve">Pulse rate, bpm </w:t>
            </w:r>
          </w:p>
        </w:tc>
        <w:tc>
          <w:tcPr>
            <w:tcW w:w="1701" w:type="dxa"/>
            <w:noWrap/>
            <w:hideMark/>
          </w:tcPr>
          <w:p w:rsidR="00B1108A" w:rsidRPr="00577361" w:rsidRDefault="00B1108A" w:rsidP="00B1108A">
            <w:r w:rsidRPr="00577361">
              <w:t xml:space="preserve">95 (82 to 109) </w:t>
            </w:r>
          </w:p>
        </w:tc>
        <w:tc>
          <w:tcPr>
            <w:tcW w:w="1701" w:type="dxa"/>
            <w:noWrap/>
            <w:hideMark/>
          </w:tcPr>
          <w:p w:rsidR="00B1108A" w:rsidRPr="00577361" w:rsidRDefault="00B1108A" w:rsidP="00B1108A">
            <w:r w:rsidRPr="00577361">
              <w:t>92 (78 to 106)</w:t>
            </w:r>
          </w:p>
        </w:tc>
        <w:tc>
          <w:tcPr>
            <w:tcW w:w="1701" w:type="dxa"/>
          </w:tcPr>
          <w:p w:rsidR="00B1108A" w:rsidRPr="00577361" w:rsidRDefault="00B1108A" w:rsidP="00B1108A">
            <w:r>
              <w:t xml:space="preserve">3 (0 to 5) </w:t>
            </w:r>
          </w:p>
        </w:tc>
      </w:tr>
      <w:tr w:rsidR="00B1108A" w:rsidRPr="00577361" w:rsidTr="008267F3">
        <w:trPr>
          <w:trHeight w:val="290"/>
        </w:trPr>
        <w:tc>
          <w:tcPr>
            <w:tcW w:w="2972" w:type="dxa"/>
            <w:noWrap/>
            <w:hideMark/>
          </w:tcPr>
          <w:p w:rsidR="00B1108A" w:rsidRPr="00577361" w:rsidRDefault="00B1108A" w:rsidP="00B1108A">
            <w:r w:rsidRPr="00577361">
              <w:t>Res</w:t>
            </w:r>
            <w:r>
              <w:t xml:space="preserve">piratory rate, bpm </w:t>
            </w:r>
          </w:p>
        </w:tc>
        <w:tc>
          <w:tcPr>
            <w:tcW w:w="1701" w:type="dxa"/>
            <w:noWrap/>
            <w:hideMark/>
          </w:tcPr>
          <w:p w:rsidR="00B1108A" w:rsidRPr="00577361" w:rsidRDefault="00B1108A" w:rsidP="00B1108A">
            <w:r w:rsidRPr="00577361">
              <w:t xml:space="preserve">24 (20 to 28) </w:t>
            </w:r>
          </w:p>
        </w:tc>
        <w:tc>
          <w:tcPr>
            <w:tcW w:w="1701" w:type="dxa"/>
            <w:noWrap/>
            <w:hideMark/>
          </w:tcPr>
          <w:p w:rsidR="00B1108A" w:rsidRPr="00577361" w:rsidRDefault="00B1108A" w:rsidP="00B1108A">
            <w:r w:rsidRPr="00577361">
              <w:t>21 (18 to 26)</w:t>
            </w:r>
          </w:p>
        </w:tc>
        <w:tc>
          <w:tcPr>
            <w:tcW w:w="1701" w:type="dxa"/>
          </w:tcPr>
          <w:p w:rsidR="00B1108A" w:rsidRPr="00577361" w:rsidRDefault="00B1108A" w:rsidP="00B1108A">
            <w:r>
              <w:t xml:space="preserve">3 (0 to 2) </w:t>
            </w:r>
          </w:p>
        </w:tc>
      </w:tr>
      <w:tr w:rsidR="00B1108A" w:rsidRPr="00577361" w:rsidTr="008267F3">
        <w:trPr>
          <w:trHeight w:val="290"/>
        </w:trPr>
        <w:tc>
          <w:tcPr>
            <w:tcW w:w="2972" w:type="dxa"/>
            <w:noWrap/>
            <w:hideMark/>
          </w:tcPr>
          <w:p w:rsidR="00B1108A" w:rsidRPr="00577361" w:rsidRDefault="00B1108A" w:rsidP="00B1108A">
            <w:r w:rsidRPr="00577361">
              <w:t>Oxyg</w:t>
            </w:r>
            <w:r>
              <w:t xml:space="preserve">en saturations, % </w:t>
            </w:r>
          </w:p>
        </w:tc>
        <w:tc>
          <w:tcPr>
            <w:tcW w:w="1701" w:type="dxa"/>
            <w:noWrap/>
            <w:hideMark/>
          </w:tcPr>
          <w:p w:rsidR="00B1108A" w:rsidRPr="00577361" w:rsidRDefault="00B1108A" w:rsidP="00B1108A">
            <w:r w:rsidRPr="00577361">
              <w:t xml:space="preserve">96 (94 to 98) </w:t>
            </w:r>
          </w:p>
        </w:tc>
        <w:tc>
          <w:tcPr>
            <w:tcW w:w="1701" w:type="dxa"/>
            <w:noWrap/>
            <w:hideMark/>
          </w:tcPr>
          <w:p w:rsidR="00B1108A" w:rsidRPr="00577361" w:rsidRDefault="00B1108A" w:rsidP="00B1108A">
            <w:r w:rsidRPr="00577361">
              <w:t xml:space="preserve">96 (94 to 98) </w:t>
            </w:r>
          </w:p>
        </w:tc>
        <w:tc>
          <w:tcPr>
            <w:tcW w:w="1701" w:type="dxa"/>
          </w:tcPr>
          <w:p w:rsidR="00B1108A" w:rsidRPr="00577361" w:rsidRDefault="00B1108A" w:rsidP="00B1108A">
            <w:r>
              <w:t xml:space="preserve">0 (0 to 1) </w:t>
            </w:r>
          </w:p>
        </w:tc>
      </w:tr>
      <w:tr w:rsidR="00B1108A" w:rsidRPr="00577361" w:rsidTr="008267F3">
        <w:trPr>
          <w:trHeight w:val="290"/>
        </w:trPr>
        <w:tc>
          <w:tcPr>
            <w:tcW w:w="2972" w:type="dxa"/>
            <w:noWrap/>
            <w:hideMark/>
          </w:tcPr>
          <w:p w:rsidR="00B1108A" w:rsidRPr="00577361" w:rsidRDefault="00B1108A" w:rsidP="00B1108A">
            <w:r w:rsidRPr="00577361">
              <w:t>Supplementary O</w:t>
            </w:r>
            <w:r w:rsidRPr="00577361">
              <w:rPr>
                <w:vertAlign w:val="subscript"/>
              </w:rPr>
              <w:t>2</w:t>
            </w:r>
            <w:r>
              <w:t xml:space="preserve"> used </w:t>
            </w:r>
          </w:p>
        </w:tc>
        <w:tc>
          <w:tcPr>
            <w:tcW w:w="1701" w:type="dxa"/>
            <w:noWrap/>
          </w:tcPr>
          <w:p w:rsidR="00B1108A" w:rsidRPr="00577361" w:rsidRDefault="00B1108A" w:rsidP="00B1108A"/>
        </w:tc>
        <w:tc>
          <w:tcPr>
            <w:tcW w:w="1701" w:type="dxa"/>
            <w:noWrap/>
          </w:tcPr>
          <w:p w:rsidR="00B1108A" w:rsidRPr="00577361" w:rsidRDefault="00B1108A" w:rsidP="00B1108A"/>
        </w:tc>
        <w:tc>
          <w:tcPr>
            <w:tcW w:w="1701" w:type="dxa"/>
          </w:tcPr>
          <w:p w:rsidR="00B1108A" w:rsidRPr="00577361" w:rsidRDefault="00B1108A" w:rsidP="00B1108A"/>
        </w:tc>
      </w:tr>
      <w:tr w:rsidR="00B1108A" w:rsidRPr="00577361" w:rsidTr="008267F3">
        <w:trPr>
          <w:trHeight w:val="290"/>
        </w:trPr>
        <w:tc>
          <w:tcPr>
            <w:tcW w:w="2972" w:type="dxa"/>
            <w:noWrap/>
          </w:tcPr>
          <w:p w:rsidR="00B1108A" w:rsidRPr="00577361" w:rsidRDefault="00B1108A" w:rsidP="00B1108A">
            <w:r>
              <w:t xml:space="preserve">   Yes </w:t>
            </w:r>
          </w:p>
        </w:tc>
        <w:tc>
          <w:tcPr>
            <w:tcW w:w="1701" w:type="dxa"/>
            <w:noWrap/>
          </w:tcPr>
          <w:p w:rsidR="00B1108A" w:rsidRPr="00577361" w:rsidRDefault="00B1108A" w:rsidP="00B1108A">
            <w:r w:rsidRPr="00577361">
              <w:t xml:space="preserve">174 (35) </w:t>
            </w:r>
          </w:p>
        </w:tc>
        <w:tc>
          <w:tcPr>
            <w:tcW w:w="1701" w:type="dxa"/>
            <w:noWrap/>
          </w:tcPr>
          <w:p w:rsidR="00B1108A" w:rsidRPr="00577361" w:rsidRDefault="00B1108A" w:rsidP="00B1108A">
            <w:r w:rsidRPr="00577361">
              <w:t xml:space="preserve">128 (23) </w:t>
            </w:r>
          </w:p>
        </w:tc>
        <w:tc>
          <w:tcPr>
            <w:tcW w:w="1701" w:type="dxa"/>
          </w:tcPr>
          <w:p w:rsidR="00B1108A" w:rsidRPr="00577361" w:rsidRDefault="00B1108A" w:rsidP="00B1108A">
            <w:r>
              <w:t xml:space="preserve">12 (6 to 17) </w:t>
            </w:r>
          </w:p>
        </w:tc>
      </w:tr>
      <w:tr w:rsidR="00B1108A" w:rsidRPr="00577361" w:rsidTr="008267F3">
        <w:trPr>
          <w:trHeight w:val="290"/>
        </w:trPr>
        <w:tc>
          <w:tcPr>
            <w:tcW w:w="2972" w:type="dxa"/>
            <w:noWrap/>
            <w:hideMark/>
          </w:tcPr>
          <w:p w:rsidR="00B1108A" w:rsidRPr="00577361" w:rsidRDefault="00B1108A" w:rsidP="00B1108A">
            <w:r>
              <w:t xml:space="preserve">   No</w:t>
            </w:r>
          </w:p>
        </w:tc>
        <w:tc>
          <w:tcPr>
            <w:tcW w:w="1701" w:type="dxa"/>
            <w:noWrap/>
            <w:hideMark/>
          </w:tcPr>
          <w:p w:rsidR="00B1108A" w:rsidRPr="00577361" w:rsidRDefault="00B1108A" w:rsidP="00B1108A">
            <w:r w:rsidRPr="00577361">
              <w:t>325 (65)</w:t>
            </w:r>
          </w:p>
        </w:tc>
        <w:tc>
          <w:tcPr>
            <w:tcW w:w="1701" w:type="dxa"/>
            <w:noWrap/>
            <w:hideMark/>
          </w:tcPr>
          <w:p w:rsidR="00B1108A" w:rsidRPr="00577361" w:rsidRDefault="00811D9A" w:rsidP="00B1108A">
            <w:r>
              <w:t>427 (77</w:t>
            </w:r>
            <w:r w:rsidR="00B1108A" w:rsidRPr="00577361">
              <w:t>)</w:t>
            </w:r>
          </w:p>
        </w:tc>
        <w:tc>
          <w:tcPr>
            <w:tcW w:w="1701" w:type="dxa"/>
          </w:tcPr>
          <w:p w:rsidR="00B1108A" w:rsidRPr="00577361" w:rsidRDefault="00B1108A" w:rsidP="00B1108A"/>
        </w:tc>
      </w:tr>
      <w:tr w:rsidR="00B1108A" w:rsidRPr="00577361" w:rsidTr="008267F3">
        <w:trPr>
          <w:trHeight w:val="290"/>
        </w:trPr>
        <w:tc>
          <w:tcPr>
            <w:tcW w:w="2972" w:type="dxa"/>
            <w:noWrap/>
            <w:hideMark/>
          </w:tcPr>
          <w:p w:rsidR="00B1108A" w:rsidRPr="00577361" w:rsidRDefault="00B1108A" w:rsidP="00B1108A">
            <w:r w:rsidRPr="00577361">
              <w:t>Systolic bl</w:t>
            </w:r>
            <w:r>
              <w:t>ood pressure, mmHg</w:t>
            </w:r>
          </w:p>
        </w:tc>
        <w:tc>
          <w:tcPr>
            <w:tcW w:w="1701" w:type="dxa"/>
            <w:noWrap/>
            <w:hideMark/>
          </w:tcPr>
          <w:p w:rsidR="00B1108A" w:rsidRPr="00577361" w:rsidRDefault="00B1108A" w:rsidP="00B1108A">
            <w:r w:rsidRPr="00577361">
              <w:t xml:space="preserve">134 (120 to 150) </w:t>
            </w:r>
          </w:p>
        </w:tc>
        <w:tc>
          <w:tcPr>
            <w:tcW w:w="1701" w:type="dxa"/>
            <w:noWrap/>
            <w:hideMark/>
          </w:tcPr>
          <w:p w:rsidR="00B1108A" w:rsidRPr="00577361" w:rsidRDefault="00B1108A" w:rsidP="00B1108A">
            <w:r w:rsidRPr="00577361">
              <w:t xml:space="preserve">133 (119 to 150) </w:t>
            </w:r>
          </w:p>
        </w:tc>
        <w:tc>
          <w:tcPr>
            <w:tcW w:w="1701" w:type="dxa"/>
          </w:tcPr>
          <w:p w:rsidR="00B1108A" w:rsidRPr="00577361" w:rsidRDefault="00B1108A" w:rsidP="00B1108A">
            <w:r>
              <w:t xml:space="preserve">1 (-3 to 4) </w:t>
            </w:r>
          </w:p>
        </w:tc>
      </w:tr>
      <w:tr w:rsidR="00B1108A" w:rsidRPr="00577361" w:rsidTr="008267F3">
        <w:trPr>
          <w:trHeight w:val="290"/>
        </w:trPr>
        <w:tc>
          <w:tcPr>
            <w:tcW w:w="2972" w:type="dxa"/>
            <w:noWrap/>
            <w:hideMark/>
          </w:tcPr>
          <w:p w:rsidR="00B1108A" w:rsidRPr="00577361" w:rsidRDefault="00B1108A" w:rsidP="00B1108A">
            <w:r>
              <w:t xml:space="preserve">NEWS2 score </w:t>
            </w:r>
          </w:p>
        </w:tc>
        <w:tc>
          <w:tcPr>
            <w:tcW w:w="1701" w:type="dxa"/>
            <w:noWrap/>
            <w:hideMark/>
          </w:tcPr>
          <w:p w:rsidR="00B1108A" w:rsidRPr="00577361" w:rsidRDefault="00B1108A" w:rsidP="00B1108A">
            <w:r w:rsidRPr="00577361">
              <w:t xml:space="preserve">5 (3 to 6) </w:t>
            </w:r>
          </w:p>
        </w:tc>
        <w:tc>
          <w:tcPr>
            <w:tcW w:w="1701" w:type="dxa"/>
            <w:noWrap/>
            <w:hideMark/>
          </w:tcPr>
          <w:p w:rsidR="00B1108A" w:rsidRPr="00577361" w:rsidRDefault="00B1108A" w:rsidP="00B1108A">
            <w:r w:rsidRPr="00577361">
              <w:t xml:space="preserve">4 (2 to 6) </w:t>
            </w:r>
          </w:p>
        </w:tc>
        <w:tc>
          <w:tcPr>
            <w:tcW w:w="1701" w:type="dxa"/>
          </w:tcPr>
          <w:p w:rsidR="00B1108A" w:rsidRPr="00577361" w:rsidRDefault="00B1108A" w:rsidP="00B1108A">
            <w:r>
              <w:t xml:space="preserve">1 (0 to 1) </w:t>
            </w:r>
          </w:p>
        </w:tc>
      </w:tr>
      <w:tr w:rsidR="00B1108A" w:rsidRPr="00577361" w:rsidTr="008267F3">
        <w:trPr>
          <w:trHeight w:val="290"/>
        </w:trPr>
        <w:tc>
          <w:tcPr>
            <w:tcW w:w="2972" w:type="dxa"/>
            <w:noWrap/>
            <w:hideMark/>
          </w:tcPr>
          <w:p w:rsidR="00B1108A" w:rsidRPr="00577361" w:rsidRDefault="00B1108A" w:rsidP="00B1108A">
            <w:pPr>
              <w:rPr>
                <w:b/>
                <w:bCs/>
              </w:rPr>
            </w:pPr>
            <w:r>
              <w:rPr>
                <w:b/>
                <w:bCs/>
              </w:rPr>
              <w:t>Laboratory and radiological parameters</w:t>
            </w:r>
            <w:r w:rsidRPr="00577361">
              <w:rPr>
                <w:b/>
                <w:bCs/>
              </w:rPr>
              <w:t xml:space="preserve"> </w:t>
            </w:r>
          </w:p>
        </w:tc>
        <w:tc>
          <w:tcPr>
            <w:tcW w:w="1701" w:type="dxa"/>
            <w:noWrap/>
            <w:hideMark/>
          </w:tcPr>
          <w:p w:rsidR="00B1108A" w:rsidRPr="00577361" w:rsidRDefault="00B1108A" w:rsidP="00B1108A">
            <w:pPr>
              <w:rPr>
                <w:bCs/>
              </w:rPr>
            </w:pPr>
          </w:p>
        </w:tc>
        <w:tc>
          <w:tcPr>
            <w:tcW w:w="1701" w:type="dxa"/>
            <w:noWrap/>
            <w:hideMark/>
          </w:tcPr>
          <w:p w:rsidR="00B1108A" w:rsidRPr="00577361" w:rsidRDefault="00B1108A" w:rsidP="00B1108A"/>
        </w:tc>
        <w:tc>
          <w:tcPr>
            <w:tcW w:w="1701" w:type="dxa"/>
          </w:tcPr>
          <w:p w:rsidR="00B1108A" w:rsidRPr="00577361" w:rsidRDefault="00B1108A" w:rsidP="00B1108A"/>
        </w:tc>
      </w:tr>
      <w:tr w:rsidR="00B1108A" w:rsidRPr="00577361" w:rsidTr="008267F3">
        <w:trPr>
          <w:trHeight w:val="290"/>
        </w:trPr>
        <w:tc>
          <w:tcPr>
            <w:tcW w:w="2972" w:type="dxa"/>
            <w:noWrap/>
            <w:hideMark/>
          </w:tcPr>
          <w:p w:rsidR="00B1108A" w:rsidRPr="00577361" w:rsidRDefault="00B1108A" w:rsidP="00B1108A">
            <w:r>
              <w:t xml:space="preserve">CRP, mg/L </w:t>
            </w:r>
          </w:p>
        </w:tc>
        <w:tc>
          <w:tcPr>
            <w:tcW w:w="1701" w:type="dxa"/>
            <w:noWrap/>
            <w:hideMark/>
          </w:tcPr>
          <w:p w:rsidR="00B1108A" w:rsidRPr="00577361" w:rsidRDefault="00B1108A" w:rsidP="00B1108A">
            <w:r>
              <w:t xml:space="preserve">52 </w:t>
            </w:r>
            <w:r w:rsidRPr="00577361">
              <w:t xml:space="preserve">(12 to 125) </w:t>
            </w:r>
          </w:p>
        </w:tc>
        <w:tc>
          <w:tcPr>
            <w:tcW w:w="1701" w:type="dxa"/>
            <w:noWrap/>
            <w:hideMark/>
          </w:tcPr>
          <w:p w:rsidR="00B1108A" w:rsidRPr="00577361" w:rsidRDefault="00B1108A" w:rsidP="00B1108A">
            <w:r>
              <w:t>55</w:t>
            </w:r>
            <w:r w:rsidRPr="00577361">
              <w:t xml:space="preserve"> (12 to 129) </w:t>
            </w:r>
          </w:p>
        </w:tc>
        <w:tc>
          <w:tcPr>
            <w:tcW w:w="1701" w:type="dxa"/>
          </w:tcPr>
          <w:p w:rsidR="00B1108A" w:rsidRPr="00577361" w:rsidRDefault="00B1108A" w:rsidP="00B1108A">
            <w:r>
              <w:t xml:space="preserve">3 (-4 to 6) </w:t>
            </w:r>
          </w:p>
        </w:tc>
      </w:tr>
      <w:tr w:rsidR="00B1108A" w:rsidRPr="00577361" w:rsidTr="008267F3">
        <w:trPr>
          <w:trHeight w:val="330"/>
        </w:trPr>
        <w:tc>
          <w:tcPr>
            <w:tcW w:w="2972" w:type="dxa"/>
            <w:noWrap/>
            <w:hideMark/>
          </w:tcPr>
          <w:p w:rsidR="00B1108A" w:rsidRPr="00577361" w:rsidRDefault="00B1108A" w:rsidP="00B1108A">
            <w:r w:rsidRPr="00577361">
              <w:t>WCC, x10</w:t>
            </w:r>
            <w:r w:rsidRPr="00577361">
              <w:rPr>
                <w:vertAlign w:val="superscript"/>
              </w:rPr>
              <w:t>9</w:t>
            </w:r>
            <w:r>
              <w:t xml:space="preserve">/L </w:t>
            </w:r>
          </w:p>
        </w:tc>
        <w:tc>
          <w:tcPr>
            <w:tcW w:w="1701" w:type="dxa"/>
            <w:noWrap/>
            <w:hideMark/>
          </w:tcPr>
          <w:p w:rsidR="00B1108A" w:rsidRPr="00577361" w:rsidRDefault="00B1108A" w:rsidP="00B1108A">
            <w:r w:rsidRPr="00577361">
              <w:t>9</w:t>
            </w:r>
            <w:r>
              <w:rPr>
                <w:rFonts w:cstheme="minorHAnsi"/>
              </w:rPr>
              <w:t>·</w:t>
            </w:r>
            <w:r w:rsidRPr="00577361">
              <w:t>3 (6</w:t>
            </w:r>
            <w:r>
              <w:rPr>
                <w:rFonts w:cstheme="minorHAnsi"/>
              </w:rPr>
              <w:t>·</w:t>
            </w:r>
            <w:r w:rsidRPr="00577361">
              <w:t>8 to 13</w:t>
            </w:r>
            <w:r>
              <w:rPr>
                <w:rFonts w:cstheme="minorHAnsi"/>
              </w:rPr>
              <w:t>·</w:t>
            </w:r>
            <w:r w:rsidRPr="00577361">
              <w:t>2)</w:t>
            </w:r>
          </w:p>
        </w:tc>
        <w:tc>
          <w:tcPr>
            <w:tcW w:w="1701" w:type="dxa"/>
            <w:noWrap/>
            <w:hideMark/>
          </w:tcPr>
          <w:p w:rsidR="00B1108A" w:rsidRPr="00577361" w:rsidRDefault="00B1108A" w:rsidP="00B1108A">
            <w:r w:rsidRPr="00577361">
              <w:t>9</w:t>
            </w:r>
            <w:r>
              <w:rPr>
                <w:rFonts w:cstheme="minorHAnsi"/>
              </w:rPr>
              <w:t>·</w:t>
            </w:r>
            <w:r w:rsidRPr="00577361">
              <w:t>3 (6</w:t>
            </w:r>
            <w:r>
              <w:rPr>
                <w:rFonts w:cstheme="minorHAnsi"/>
              </w:rPr>
              <w:t>·</w:t>
            </w:r>
            <w:r w:rsidRPr="00577361">
              <w:t>7 to 13</w:t>
            </w:r>
            <w:r>
              <w:rPr>
                <w:rFonts w:cstheme="minorHAnsi"/>
              </w:rPr>
              <w:t>·</w:t>
            </w:r>
            <w:r w:rsidRPr="00577361">
              <w:t xml:space="preserve">2 ) </w:t>
            </w:r>
          </w:p>
        </w:tc>
        <w:tc>
          <w:tcPr>
            <w:tcW w:w="1701" w:type="dxa"/>
          </w:tcPr>
          <w:p w:rsidR="00B1108A" w:rsidRPr="00577361" w:rsidRDefault="00B1108A" w:rsidP="00B1108A">
            <w:r>
              <w:t>0</w:t>
            </w:r>
            <w:r>
              <w:rPr>
                <w:rFonts w:cstheme="minorHAnsi"/>
              </w:rPr>
              <w:t>·</w:t>
            </w:r>
            <w:r>
              <w:t>0 (-0</w:t>
            </w:r>
            <w:r>
              <w:rPr>
                <w:rFonts w:cstheme="minorHAnsi"/>
              </w:rPr>
              <w:t>·</w:t>
            </w:r>
            <w:r>
              <w:t>5 to 0</w:t>
            </w:r>
            <w:r>
              <w:rPr>
                <w:rFonts w:cstheme="minorHAnsi"/>
              </w:rPr>
              <w:t>·</w:t>
            </w:r>
            <w:r>
              <w:t xml:space="preserve">7) </w:t>
            </w:r>
          </w:p>
        </w:tc>
      </w:tr>
      <w:tr w:rsidR="00B1108A" w:rsidRPr="00577361" w:rsidTr="008267F3">
        <w:trPr>
          <w:trHeight w:val="330"/>
        </w:trPr>
        <w:tc>
          <w:tcPr>
            <w:tcW w:w="2972" w:type="dxa"/>
            <w:noWrap/>
            <w:hideMark/>
          </w:tcPr>
          <w:p w:rsidR="00B1108A" w:rsidRPr="00577361" w:rsidRDefault="00B1108A" w:rsidP="00B1108A">
            <w:r>
              <w:t>N</w:t>
            </w:r>
            <w:r w:rsidRPr="00577361">
              <w:t>eutrophils, x10</w:t>
            </w:r>
            <w:r w:rsidRPr="00577361">
              <w:rPr>
                <w:vertAlign w:val="superscript"/>
              </w:rPr>
              <w:t xml:space="preserve">9 </w:t>
            </w:r>
          </w:p>
        </w:tc>
        <w:tc>
          <w:tcPr>
            <w:tcW w:w="1701" w:type="dxa"/>
            <w:noWrap/>
            <w:hideMark/>
          </w:tcPr>
          <w:p w:rsidR="00B1108A" w:rsidRPr="00577361" w:rsidRDefault="00B1108A" w:rsidP="00B1108A">
            <w:r w:rsidRPr="00577361">
              <w:t>7</w:t>
            </w:r>
            <w:r>
              <w:rPr>
                <w:rFonts w:cstheme="minorHAnsi"/>
              </w:rPr>
              <w:t>·</w:t>
            </w:r>
            <w:r w:rsidRPr="00577361">
              <w:t>1 (4</w:t>
            </w:r>
            <w:r>
              <w:rPr>
                <w:rFonts w:cstheme="minorHAnsi"/>
              </w:rPr>
              <w:t>·</w:t>
            </w:r>
            <w:r w:rsidRPr="00577361">
              <w:t>6 to 11</w:t>
            </w:r>
            <w:r>
              <w:rPr>
                <w:rFonts w:cstheme="minorHAnsi"/>
              </w:rPr>
              <w:t>·</w:t>
            </w:r>
            <w:r w:rsidRPr="00577361">
              <w:t xml:space="preserve">1) </w:t>
            </w:r>
          </w:p>
        </w:tc>
        <w:tc>
          <w:tcPr>
            <w:tcW w:w="1701" w:type="dxa"/>
            <w:noWrap/>
            <w:hideMark/>
          </w:tcPr>
          <w:p w:rsidR="00B1108A" w:rsidRPr="00577361" w:rsidRDefault="00B1108A" w:rsidP="00B1108A">
            <w:r w:rsidRPr="00577361">
              <w:t>7</w:t>
            </w:r>
            <w:r>
              <w:rPr>
                <w:rFonts w:cstheme="minorHAnsi"/>
              </w:rPr>
              <w:t>·</w:t>
            </w:r>
            <w:r w:rsidRPr="00577361">
              <w:t>0 (4</w:t>
            </w:r>
            <w:r>
              <w:rPr>
                <w:rFonts w:cstheme="minorHAnsi"/>
              </w:rPr>
              <w:t>·</w:t>
            </w:r>
            <w:r w:rsidRPr="00577361">
              <w:t>8 to 10</w:t>
            </w:r>
            <w:r>
              <w:rPr>
                <w:rFonts w:cstheme="minorHAnsi"/>
              </w:rPr>
              <w:t>·</w:t>
            </w:r>
            <w:r w:rsidRPr="00577361">
              <w:t>5)</w:t>
            </w:r>
          </w:p>
        </w:tc>
        <w:tc>
          <w:tcPr>
            <w:tcW w:w="1701" w:type="dxa"/>
          </w:tcPr>
          <w:p w:rsidR="00B1108A" w:rsidRPr="00577361" w:rsidRDefault="00B1108A" w:rsidP="00B1108A">
            <w:r>
              <w:t>0</w:t>
            </w:r>
            <w:r>
              <w:rPr>
                <w:rFonts w:cstheme="minorHAnsi"/>
              </w:rPr>
              <w:t>·</w:t>
            </w:r>
            <w:r>
              <w:t>1 (-0</w:t>
            </w:r>
            <w:r>
              <w:rPr>
                <w:rFonts w:cstheme="minorHAnsi"/>
              </w:rPr>
              <w:t>·</w:t>
            </w:r>
            <w:r>
              <w:t>5 to 0</w:t>
            </w:r>
            <w:r>
              <w:rPr>
                <w:rFonts w:cstheme="minorHAnsi"/>
              </w:rPr>
              <w:t>·</w:t>
            </w:r>
            <w:r>
              <w:t xml:space="preserve">6) </w:t>
            </w:r>
          </w:p>
        </w:tc>
      </w:tr>
      <w:tr w:rsidR="00B1108A" w:rsidRPr="00577361" w:rsidTr="008267F3">
        <w:trPr>
          <w:trHeight w:val="330"/>
        </w:trPr>
        <w:tc>
          <w:tcPr>
            <w:tcW w:w="2972" w:type="dxa"/>
            <w:noWrap/>
            <w:hideMark/>
          </w:tcPr>
          <w:p w:rsidR="00B1108A" w:rsidRPr="00577361" w:rsidRDefault="00B1108A" w:rsidP="00B1108A">
            <w:r>
              <w:t>L</w:t>
            </w:r>
            <w:r w:rsidRPr="00577361">
              <w:t>ymphocytes x10</w:t>
            </w:r>
            <w:r w:rsidRPr="00577361">
              <w:rPr>
                <w:vertAlign w:val="superscript"/>
              </w:rPr>
              <w:t>9</w:t>
            </w:r>
            <w:r>
              <w:t xml:space="preserve"> </w:t>
            </w:r>
          </w:p>
        </w:tc>
        <w:tc>
          <w:tcPr>
            <w:tcW w:w="1701" w:type="dxa"/>
            <w:noWrap/>
            <w:hideMark/>
          </w:tcPr>
          <w:p w:rsidR="00B1108A" w:rsidRPr="00577361" w:rsidRDefault="00B1108A" w:rsidP="00B1108A">
            <w:r w:rsidRPr="00577361">
              <w:t>1</w:t>
            </w:r>
            <w:r>
              <w:rPr>
                <w:rFonts w:cstheme="minorHAnsi"/>
              </w:rPr>
              <w:t>·</w:t>
            </w:r>
            <w:r w:rsidRPr="00577361">
              <w:t>0 (0</w:t>
            </w:r>
            <w:r>
              <w:rPr>
                <w:rFonts w:cstheme="minorHAnsi"/>
              </w:rPr>
              <w:t>·</w:t>
            </w:r>
            <w:r w:rsidRPr="00577361">
              <w:t>7 to 1</w:t>
            </w:r>
            <w:r>
              <w:rPr>
                <w:rFonts w:cstheme="minorHAnsi"/>
              </w:rPr>
              <w:t>·</w:t>
            </w:r>
            <w:r w:rsidRPr="00577361">
              <w:t xml:space="preserve">6) </w:t>
            </w:r>
          </w:p>
        </w:tc>
        <w:tc>
          <w:tcPr>
            <w:tcW w:w="1701" w:type="dxa"/>
            <w:noWrap/>
            <w:hideMark/>
          </w:tcPr>
          <w:p w:rsidR="00B1108A" w:rsidRPr="00577361" w:rsidRDefault="00B1108A" w:rsidP="00B1108A">
            <w:r w:rsidRPr="00577361">
              <w:t>1</w:t>
            </w:r>
            <w:r>
              <w:rPr>
                <w:rFonts w:cstheme="minorHAnsi"/>
              </w:rPr>
              <w:t>·</w:t>
            </w:r>
            <w:r w:rsidRPr="00577361">
              <w:t>1 (0</w:t>
            </w:r>
            <w:r>
              <w:rPr>
                <w:rFonts w:cstheme="minorHAnsi"/>
              </w:rPr>
              <w:t>·</w:t>
            </w:r>
            <w:r w:rsidRPr="00577361">
              <w:t>7 to 1</w:t>
            </w:r>
            <w:r>
              <w:rPr>
                <w:rFonts w:cstheme="minorHAnsi"/>
              </w:rPr>
              <w:t>·</w:t>
            </w:r>
            <w:r w:rsidRPr="00577361">
              <w:t>7)</w:t>
            </w:r>
          </w:p>
        </w:tc>
        <w:tc>
          <w:tcPr>
            <w:tcW w:w="1701" w:type="dxa"/>
          </w:tcPr>
          <w:p w:rsidR="00B1108A" w:rsidRPr="00577361" w:rsidRDefault="00B1108A" w:rsidP="00B1108A">
            <w:r>
              <w:t>0</w:t>
            </w:r>
            <w:r>
              <w:rPr>
                <w:rFonts w:cstheme="minorHAnsi"/>
              </w:rPr>
              <w:t>·</w:t>
            </w:r>
            <w:r>
              <w:t>1 (-0</w:t>
            </w:r>
            <w:r>
              <w:rPr>
                <w:rFonts w:cstheme="minorHAnsi"/>
              </w:rPr>
              <w:t>·</w:t>
            </w:r>
            <w:r>
              <w:t>1 to 0</w:t>
            </w:r>
            <w:r>
              <w:rPr>
                <w:rFonts w:cstheme="minorHAnsi"/>
              </w:rPr>
              <w:t>·</w:t>
            </w:r>
            <w:r>
              <w:t xml:space="preserve">1) </w:t>
            </w:r>
          </w:p>
        </w:tc>
      </w:tr>
      <w:tr w:rsidR="00B1108A" w:rsidRPr="00577361" w:rsidTr="008267F3">
        <w:trPr>
          <w:trHeight w:val="290"/>
        </w:trPr>
        <w:tc>
          <w:tcPr>
            <w:tcW w:w="2972" w:type="dxa"/>
            <w:noWrap/>
            <w:hideMark/>
          </w:tcPr>
          <w:p w:rsidR="00B1108A" w:rsidRPr="00577361" w:rsidRDefault="00B1108A" w:rsidP="00B1108A">
            <w:r>
              <w:t>CXR performed</w:t>
            </w:r>
          </w:p>
        </w:tc>
        <w:tc>
          <w:tcPr>
            <w:tcW w:w="1701" w:type="dxa"/>
            <w:noWrap/>
          </w:tcPr>
          <w:p w:rsidR="00B1108A" w:rsidRPr="00577361" w:rsidRDefault="00B1108A" w:rsidP="00B1108A"/>
        </w:tc>
        <w:tc>
          <w:tcPr>
            <w:tcW w:w="1701" w:type="dxa"/>
            <w:noWrap/>
          </w:tcPr>
          <w:p w:rsidR="00B1108A" w:rsidRPr="00577361" w:rsidRDefault="00B1108A" w:rsidP="00B1108A"/>
        </w:tc>
        <w:tc>
          <w:tcPr>
            <w:tcW w:w="1701" w:type="dxa"/>
          </w:tcPr>
          <w:p w:rsidR="00B1108A" w:rsidRPr="00577361" w:rsidRDefault="00B1108A" w:rsidP="00B1108A"/>
        </w:tc>
      </w:tr>
      <w:tr w:rsidR="00B1108A" w:rsidRPr="00577361" w:rsidTr="008267F3">
        <w:trPr>
          <w:trHeight w:val="290"/>
        </w:trPr>
        <w:tc>
          <w:tcPr>
            <w:tcW w:w="2972" w:type="dxa"/>
            <w:noWrap/>
          </w:tcPr>
          <w:p w:rsidR="00B1108A" w:rsidRPr="00577361" w:rsidRDefault="00B1108A" w:rsidP="00B1108A">
            <w:r>
              <w:t xml:space="preserve">   Yes </w:t>
            </w:r>
          </w:p>
        </w:tc>
        <w:tc>
          <w:tcPr>
            <w:tcW w:w="1701" w:type="dxa"/>
            <w:noWrap/>
          </w:tcPr>
          <w:p w:rsidR="00B1108A" w:rsidRPr="00577361" w:rsidRDefault="00B1108A" w:rsidP="00B1108A">
            <w:r w:rsidRPr="00577361">
              <w:t xml:space="preserve">488 (98) </w:t>
            </w:r>
          </w:p>
        </w:tc>
        <w:tc>
          <w:tcPr>
            <w:tcW w:w="1701" w:type="dxa"/>
            <w:noWrap/>
          </w:tcPr>
          <w:p w:rsidR="00B1108A" w:rsidRPr="00577361" w:rsidRDefault="00B1108A" w:rsidP="00B1108A">
            <w:r w:rsidRPr="00577361">
              <w:t>507 (91)</w:t>
            </w:r>
          </w:p>
        </w:tc>
        <w:tc>
          <w:tcPr>
            <w:tcW w:w="1701" w:type="dxa"/>
          </w:tcPr>
          <w:p w:rsidR="00B1108A" w:rsidRPr="00577361" w:rsidRDefault="00B1108A" w:rsidP="00B1108A">
            <w:r>
              <w:t xml:space="preserve">7 (4 to 9) </w:t>
            </w:r>
          </w:p>
        </w:tc>
      </w:tr>
      <w:tr w:rsidR="00B1108A" w:rsidRPr="00577361" w:rsidTr="008267F3">
        <w:trPr>
          <w:trHeight w:val="290"/>
        </w:trPr>
        <w:tc>
          <w:tcPr>
            <w:tcW w:w="2972" w:type="dxa"/>
            <w:noWrap/>
            <w:hideMark/>
          </w:tcPr>
          <w:p w:rsidR="00B1108A" w:rsidRPr="00577361" w:rsidRDefault="00B1108A" w:rsidP="00B1108A">
            <w:r>
              <w:t xml:space="preserve">   No</w:t>
            </w:r>
          </w:p>
        </w:tc>
        <w:tc>
          <w:tcPr>
            <w:tcW w:w="1701" w:type="dxa"/>
            <w:noWrap/>
            <w:hideMark/>
          </w:tcPr>
          <w:p w:rsidR="00B1108A" w:rsidRPr="00577361" w:rsidRDefault="00B1108A" w:rsidP="00B1108A">
            <w:r w:rsidRPr="00577361">
              <w:t>10 (2)</w:t>
            </w:r>
          </w:p>
        </w:tc>
        <w:tc>
          <w:tcPr>
            <w:tcW w:w="1701" w:type="dxa"/>
            <w:noWrap/>
            <w:hideMark/>
          </w:tcPr>
          <w:p w:rsidR="00B1108A" w:rsidRPr="00577361" w:rsidRDefault="00B1108A" w:rsidP="00B1108A">
            <w:r w:rsidRPr="00577361">
              <w:t>48 (9)</w:t>
            </w:r>
          </w:p>
        </w:tc>
        <w:tc>
          <w:tcPr>
            <w:tcW w:w="1701" w:type="dxa"/>
          </w:tcPr>
          <w:p w:rsidR="00B1108A" w:rsidRPr="00577361" w:rsidRDefault="00B1108A" w:rsidP="00B1108A"/>
        </w:tc>
      </w:tr>
      <w:tr w:rsidR="00B1108A" w:rsidRPr="00577361" w:rsidTr="008267F3">
        <w:trPr>
          <w:trHeight w:val="290"/>
        </w:trPr>
        <w:tc>
          <w:tcPr>
            <w:tcW w:w="2972" w:type="dxa"/>
            <w:noWrap/>
            <w:hideMark/>
          </w:tcPr>
          <w:p w:rsidR="00B1108A" w:rsidRPr="00577361" w:rsidRDefault="00B1108A" w:rsidP="00B1108A">
            <w:r w:rsidRPr="00577361">
              <w:t xml:space="preserve">Infiltrates/consolidation </w:t>
            </w:r>
            <w:r>
              <w:t xml:space="preserve">on CXR </w:t>
            </w:r>
          </w:p>
        </w:tc>
        <w:tc>
          <w:tcPr>
            <w:tcW w:w="1701" w:type="dxa"/>
            <w:noWrap/>
          </w:tcPr>
          <w:p w:rsidR="00B1108A" w:rsidRPr="00577361" w:rsidRDefault="00B1108A" w:rsidP="00B1108A"/>
        </w:tc>
        <w:tc>
          <w:tcPr>
            <w:tcW w:w="1701" w:type="dxa"/>
            <w:noWrap/>
          </w:tcPr>
          <w:p w:rsidR="00B1108A" w:rsidRPr="00577361" w:rsidRDefault="00B1108A" w:rsidP="00B1108A"/>
        </w:tc>
        <w:tc>
          <w:tcPr>
            <w:tcW w:w="1701" w:type="dxa"/>
          </w:tcPr>
          <w:p w:rsidR="00B1108A" w:rsidRPr="00577361" w:rsidRDefault="00B1108A" w:rsidP="00B1108A"/>
        </w:tc>
      </w:tr>
      <w:tr w:rsidR="00B1108A" w:rsidRPr="00577361" w:rsidTr="008267F3">
        <w:trPr>
          <w:trHeight w:val="290"/>
        </w:trPr>
        <w:tc>
          <w:tcPr>
            <w:tcW w:w="2972" w:type="dxa"/>
            <w:noWrap/>
          </w:tcPr>
          <w:p w:rsidR="00B1108A" w:rsidRPr="00577361" w:rsidRDefault="00B1108A" w:rsidP="00B1108A">
            <w:r>
              <w:t xml:space="preserve">   Yes </w:t>
            </w:r>
          </w:p>
        </w:tc>
        <w:tc>
          <w:tcPr>
            <w:tcW w:w="1701" w:type="dxa"/>
            <w:noWrap/>
          </w:tcPr>
          <w:p w:rsidR="00B1108A" w:rsidRPr="00577361" w:rsidRDefault="00B1108A" w:rsidP="00B1108A">
            <w:r w:rsidRPr="00577361">
              <w:t>277 (57)</w:t>
            </w:r>
          </w:p>
        </w:tc>
        <w:tc>
          <w:tcPr>
            <w:tcW w:w="1701" w:type="dxa"/>
            <w:noWrap/>
          </w:tcPr>
          <w:p w:rsidR="00B1108A" w:rsidRPr="00577361" w:rsidRDefault="00B1108A" w:rsidP="00B1108A">
            <w:r w:rsidRPr="00577361">
              <w:t>136 (27)</w:t>
            </w:r>
          </w:p>
        </w:tc>
        <w:tc>
          <w:tcPr>
            <w:tcW w:w="1701" w:type="dxa"/>
          </w:tcPr>
          <w:p w:rsidR="00B1108A" w:rsidRPr="00577361" w:rsidRDefault="00B1108A" w:rsidP="00B1108A">
            <w:r>
              <w:t xml:space="preserve">30 (24 to 36) </w:t>
            </w:r>
          </w:p>
        </w:tc>
      </w:tr>
      <w:tr w:rsidR="00B1108A" w:rsidRPr="00577361" w:rsidTr="008267F3">
        <w:trPr>
          <w:trHeight w:val="290"/>
        </w:trPr>
        <w:tc>
          <w:tcPr>
            <w:tcW w:w="2972" w:type="dxa"/>
            <w:noWrap/>
            <w:hideMark/>
          </w:tcPr>
          <w:p w:rsidR="00B1108A" w:rsidRPr="00577361" w:rsidRDefault="00B1108A" w:rsidP="00B1108A">
            <w:r>
              <w:t xml:space="preserve">   No</w:t>
            </w:r>
          </w:p>
        </w:tc>
        <w:tc>
          <w:tcPr>
            <w:tcW w:w="1701" w:type="dxa"/>
            <w:noWrap/>
            <w:hideMark/>
          </w:tcPr>
          <w:p w:rsidR="00B1108A" w:rsidRPr="00577361" w:rsidRDefault="00B1108A" w:rsidP="00B1108A">
            <w:r w:rsidRPr="00577361">
              <w:t>211 (43)</w:t>
            </w:r>
          </w:p>
        </w:tc>
        <w:tc>
          <w:tcPr>
            <w:tcW w:w="1701" w:type="dxa"/>
            <w:noWrap/>
            <w:hideMark/>
          </w:tcPr>
          <w:p w:rsidR="00B1108A" w:rsidRPr="00577361" w:rsidRDefault="00B1108A" w:rsidP="00B1108A">
            <w:r w:rsidRPr="00577361">
              <w:t>371 (73)</w:t>
            </w:r>
          </w:p>
        </w:tc>
        <w:tc>
          <w:tcPr>
            <w:tcW w:w="1701" w:type="dxa"/>
          </w:tcPr>
          <w:p w:rsidR="00B1108A" w:rsidRPr="00577361" w:rsidRDefault="00B1108A" w:rsidP="00B1108A"/>
        </w:tc>
      </w:tr>
    </w:tbl>
    <w:p w:rsidR="00CC5A1D" w:rsidRDefault="0002505A" w:rsidP="00CC5A1D">
      <w:pPr>
        <w:spacing w:after="0"/>
      </w:pPr>
      <w:r>
        <w:t xml:space="preserve">Data are n (%) or median (IQR). POCT=point-of-care testing. CI=confidence interval, </w:t>
      </w:r>
    </w:p>
    <w:p w:rsidR="00CC5A1D" w:rsidRDefault="0002505A" w:rsidP="00CC5A1D">
      <w:pPr>
        <w:spacing w:after="0"/>
      </w:pPr>
      <w:r>
        <w:t>COPD=chronic obstructive pulmonary</w:t>
      </w:r>
      <w:r w:rsidRPr="009E7E62">
        <w:t xml:space="preserve"> disease</w:t>
      </w:r>
      <w:r>
        <w:t xml:space="preserve">, NEWS2=national early warning score 2, </w:t>
      </w:r>
    </w:p>
    <w:p w:rsidR="0002505A" w:rsidRDefault="0002505A" w:rsidP="00CC5A1D">
      <w:pPr>
        <w:spacing w:after="0"/>
      </w:pPr>
      <w:r>
        <w:t xml:space="preserve">CRP=C-reactive protein, WCC=white cell count, CXR=chest X-ray. </w:t>
      </w:r>
    </w:p>
    <w:p w:rsidR="008C754F" w:rsidRDefault="008C754F" w:rsidP="0002505A"/>
    <w:p w:rsidR="008C754F" w:rsidRPr="00577361" w:rsidRDefault="008C754F" w:rsidP="0002505A"/>
    <w:p w:rsidR="007B74D9" w:rsidRDefault="007B74D9" w:rsidP="0036361F">
      <w:pPr>
        <w:spacing w:after="0" w:line="480" w:lineRule="auto"/>
        <w:jc w:val="both"/>
        <w:rPr>
          <w:b/>
          <w:sz w:val="32"/>
          <w:szCs w:val="32"/>
        </w:rPr>
      </w:pPr>
    </w:p>
    <w:p w:rsidR="001146C1" w:rsidRDefault="001146C1" w:rsidP="0036361F">
      <w:pPr>
        <w:spacing w:after="0" w:line="480" w:lineRule="auto"/>
        <w:jc w:val="both"/>
        <w:rPr>
          <w:b/>
          <w:sz w:val="32"/>
          <w:szCs w:val="32"/>
        </w:rPr>
      </w:pPr>
    </w:p>
    <w:p w:rsidR="008C754F" w:rsidRDefault="008C754F" w:rsidP="0036361F">
      <w:pPr>
        <w:spacing w:after="0" w:line="480" w:lineRule="auto"/>
        <w:jc w:val="both"/>
        <w:rPr>
          <w:b/>
          <w:sz w:val="32"/>
          <w:szCs w:val="32"/>
        </w:rPr>
      </w:pPr>
    </w:p>
    <w:p w:rsidR="0002505A" w:rsidRPr="001146C1" w:rsidRDefault="001146C1" w:rsidP="008C754F">
      <w:pPr>
        <w:spacing w:after="0" w:line="480" w:lineRule="auto"/>
        <w:jc w:val="both"/>
        <w:rPr>
          <w:b/>
          <w:sz w:val="32"/>
          <w:szCs w:val="32"/>
        </w:rPr>
      </w:pPr>
      <w:r w:rsidRPr="008C754F">
        <w:rPr>
          <w:b/>
          <w:i/>
          <w:sz w:val="24"/>
          <w:szCs w:val="24"/>
        </w:rPr>
        <w:lastRenderedPageBreak/>
        <w:t>Table 2</w:t>
      </w:r>
      <w:r w:rsidRPr="008C754F">
        <w:rPr>
          <w:b/>
          <w:sz w:val="24"/>
          <w:szCs w:val="24"/>
        </w:rPr>
        <w:t>: Primary and key secondary outcome measures</w:t>
      </w:r>
    </w:p>
    <w:tbl>
      <w:tblPr>
        <w:tblStyle w:val="TableGrid"/>
        <w:tblpPr w:leftFromText="180" w:rightFromText="180" w:horzAnchor="margin" w:tblpY="570"/>
        <w:tblW w:w="0" w:type="auto"/>
        <w:tblLook w:val="04A0" w:firstRow="1" w:lastRow="0" w:firstColumn="1" w:lastColumn="0" w:noHBand="0" w:noVBand="1"/>
      </w:tblPr>
      <w:tblGrid>
        <w:gridCol w:w="3397"/>
        <w:gridCol w:w="1560"/>
        <w:gridCol w:w="1559"/>
        <w:gridCol w:w="1561"/>
        <w:gridCol w:w="939"/>
      </w:tblGrid>
      <w:tr w:rsidR="0002505A" w:rsidRPr="008F524B" w:rsidTr="0002505A">
        <w:trPr>
          <w:trHeight w:val="290"/>
        </w:trPr>
        <w:tc>
          <w:tcPr>
            <w:tcW w:w="3397" w:type="dxa"/>
            <w:noWrap/>
            <w:hideMark/>
          </w:tcPr>
          <w:p w:rsidR="0002505A" w:rsidRPr="008F524B" w:rsidRDefault="0002505A" w:rsidP="0002505A"/>
        </w:tc>
        <w:tc>
          <w:tcPr>
            <w:tcW w:w="1560" w:type="dxa"/>
            <w:noWrap/>
            <w:hideMark/>
          </w:tcPr>
          <w:p w:rsidR="0002505A" w:rsidRDefault="0002505A" w:rsidP="0002505A">
            <w:pPr>
              <w:rPr>
                <w:b/>
              </w:rPr>
            </w:pPr>
            <w:r w:rsidRPr="008F524B">
              <w:rPr>
                <w:b/>
              </w:rPr>
              <w:t>POCT</w:t>
            </w:r>
          </w:p>
          <w:p w:rsidR="0002505A" w:rsidRDefault="0002505A" w:rsidP="0002505A">
            <w:pPr>
              <w:rPr>
                <w:b/>
              </w:rPr>
            </w:pPr>
            <w:r w:rsidRPr="008F524B">
              <w:rPr>
                <w:b/>
              </w:rPr>
              <w:t>n=499</w:t>
            </w:r>
          </w:p>
          <w:p w:rsidR="00747637" w:rsidRPr="008F524B" w:rsidRDefault="00747637" w:rsidP="0002505A">
            <w:pPr>
              <w:rPr>
                <w:b/>
              </w:rPr>
            </w:pPr>
          </w:p>
        </w:tc>
        <w:tc>
          <w:tcPr>
            <w:tcW w:w="1559" w:type="dxa"/>
            <w:noWrap/>
            <w:hideMark/>
          </w:tcPr>
          <w:p w:rsidR="0002505A" w:rsidRDefault="0002505A" w:rsidP="0002505A">
            <w:pPr>
              <w:rPr>
                <w:b/>
              </w:rPr>
            </w:pPr>
            <w:r w:rsidRPr="008F524B">
              <w:rPr>
                <w:b/>
              </w:rPr>
              <w:t xml:space="preserve">Control  </w:t>
            </w:r>
          </w:p>
          <w:p w:rsidR="0002505A" w:rsidRPr="008F524B" w:rsidRDefault="0002505A" w:rsidP="0002505A">
            <w:pPr>
              <w:rPr>
                <w:b/>
              </w:rPr>
            </w:pPr>
            <w:r w:rsidRPr="008F524B">
              <w:rPr>
                <w:b/>
              </w:rPr>
              <w:t>n=555</w:t>
            </w:r>
          </w:p>
        </w:tc>
        <w:tc>
          <w:tcPr>
            <w:tcW w:w="1561" w:type="dxa"/>
            <w:noWrap/>
            <w:hideMark/>
          </w:tcPr>
          <w:p w:rsidR="0002505A" w:rsidRPr="008F524B" w:rsidRDefault="0002505A" w:rsidP="0002505A">
            <w:pPr>
              <w:rPr>
                <w:b/>
              </w:rPr>
            </w:pPr>
            <w:r>
              <w:rPr>
                <w:b/>
              </w:rPr>
              <w:t xml:space="preserve">Difference </w:t>
            </w:r>
            <w:r w:rsidRPr="008F524B">
              <w:rPr>
                <w:b/>
              </w:rPr>
              <w:t xml:space="preserve">(95%CI) </w:t>
            </w:r>
          </w:p>
        </w:tc>
        <w:tc>
          <w:tcPr>
            <w:tcW w:w="939" w:type="dxa"/>
            <w:noWrap/>
            <w:hideMark/>
          </w:tcPr>
          <w:p w:rsidR="0002505A" w:rsidRPr="008F524B" w:rsidRDefault="0002505A" w:rsidP="0002505A">
            <w:pPr>
              <w:rPr>
                <w:b/>
              </w:rPr>
            </w:pPr>
            <w:r>
              <w:rPr>
                <w:b/>
              </w:rPr>
              <w:t>p v</w:t>
            </w:r>
            <w:r w:rsidRPr="008F524B">
              <w:rPr>
                <w:b/>
              </w:rPr>
              <w:t xml:space="preserve">alue </w:t>
            </w:r>
          </w:p>
        </w:tc>
      </w:tr>
      <w:tr w:rsidR="00747637" w:rsidRPr="008F524B" w:rsidTr="0002505A">
        <w:trPr>
          <w:trHeight w:val="290"/>
        </w:trPr>
        <w:tc>
          <w:tcPr>
            <w:tcW w:w="3397" w:type="dxa"/>
            <w:noWrap/>
          </w:tcPr>
          <w:p w:rsidR="00747637" w:rsidRPr="008F524B" w:rsidRDefault="00747637" w:rsidP="00747637">
            <w:r>
              <w:t>Time to results (hours)</w:t>
            </w:r>
          </w:p>
        </w:tc>
        <w:tc>
          <w:tcPr>
            <w:tcW w:w="1560" w:type="dxa"/>
            <w:noWrap/>
          </w:tcPr>
          <w:p w:rsidR="00747637" w:rsidRPr="008F524B" w:rsidRDefault="00747637" w:rsidP="00ED13A5">
            <w:r w:rsidRPr="008F524B">
              <w:t>1</w:t>
            </w:r>
            <w:r w:rsidR="00ED13A5">
              <w:rPr>
                <w:rFonts w:cstheme="minorHAnsi"/>
              </w:rPr>
              <w:t>·</w:t>
            </w:r>
            <w:r w:rsidRPr="008F524B">
              <w:t>7 (1</w:t>
            </w:r>
            <w:r w:rsidR="00ED13A5">
              <w:rPr>
                <w:rFonts w:cstheme="minorHAnsi"/>
              </w:rPr>
              <w:t>·</w:t>
            </w:r>
            <w:r w:rsidRPr="008F524B">
              <w:t>6 to 1</w:t>
            </w:r>
            <w:r w:rsidR="00ED13A5">
              <w:rPr>
                <w:rFonts w:cstheme="minorHAnsi"/>
              </w:rPr>
              <w:t>·</w:t>
            </w:r>
            <w:r w:rsidRPr="008F524B">
              <w:t xml:space="preserve">9) </w:t>
            </w:r>
          </w:p>
        </w:tc>
        <w:tc>
          <w:tcPr>
            <w:tcW w:w="1559" w:type="dxa"/>
            <w:noWrap/>
          </w:tcPr>
          <w:p w:rsidR="00747637" w:rsidRPr="008F524B" w:rsidRDefault="00747637" w:rsidP="00ED13A5">
            <w:r w:rsidRPr="008F524B">
              <w:t>21</w:t>
            </w:r>
            <w:r w:rsidR="00ED13A5">
              <w:rPr>
                <w:rFonts w:cstheme="minorHAnsi"/>
              </w:rPr>
              <w:t>·</w:t>
            </w:r>
            <w:r w:rsidRPr="008F524B">
              <w:t>3 (16</w:t>
            </w:r>
            <w:r w:rsidR="00ED13A5">
              <w:rPr>
                <w:rFonts w:cstheme="minorHAnsi"/>
              </w:rPr>
              <w:t>·</w:t>
            </w:r>
            <w:r w:rsidRPr="008F524B">
              <w:t>0 to 27</w:t>
            </w:r>
            <w:r w:rsidR="00ED13A5">
              <w:rPr>
                <w:rFonts w:cstheme="minorHAnsi"/>
              </w:rPr>
              <w:t>·</w:t>
            </w:r>
            <w:r w:rsidRPr="008F524B">
              <w:t>9)</w:t>
            </w:r>
          </w:p>
        </w:tc>
        <w:tc>
          <w:tcPr>
            <w:tcW w:w="1561" w:type="dxa"/>
            <w:noWrap/>
          </w:tcPr>
          <w:p w:rsidR="00747637" w:rsidRPr="008F524B" w:rsidRDefault="00747637" w:rsidP="00ED13A5">
            <w:r w:rsidRPr="008F524B">
              <w:t>19</w:t>
            </w:r>
            <w:r w:rsidR="00ED13A5">
              <w:rPr>
                <w:rFonts w:cstheme="minorHAnsi"/>
              </w:rPr>
              <w:t>·</w:t>
            </w:r>
            <w:r w:rsidRPr="008F524B">
              <w:t>6 (19</w:t>
            </w:r>
            <w:r w:rsidR="00ED13A5">
              <w:rPr>
                <w:rFonts w:cstheme="minorHAnsi"/>
              </w:rPr>
              <w:t>·</w:t>
            </w:r>
            <w:r w:rsidRPr="008F524B">
              <w:t>0 to 20</w:t>
            </w:r>
            <w:r w:rsidR="00ED13A5">
              <w:rPr>
                <w:rFonts w:cstheme="minorHAnsi"/>
              </w:rPr>
              <w:t>·</w:t>
            </w:r>
            <w:r w:rsidRPr="008F524B">
              <w:t xml:space="preserve">3) </w:t>
            </w:r>
          </w:p>
        </w:tc>
        <w:tc>
          <w:tcPr>
            <w:tcW w:w="939" w:type="dxa"/>
            <w:noWrap/>
          </w:tcPr>
          <w:p w:rsidR="00747637" w:rsidRPr="008F524B" w:rsidRDefault="00747637" w:rsidP="00ED13A5">
            <w:r w:rsidRPr="008F524B">
              <w:t>&lt;0</w:t>
            </w:r>
            <w:r w:rsidR="00ED13A5">
              <w:rPr>
                <w:rFonts w:cstheme="minorHAnsi"/>
              </w:rPr>
              <w:t>·</w:t>
            </w:r>
            <w:r w:rsidRPr="008F524B">
              <w:t>0001</w:t>
            </w:r>
          </w:p>
        </w:tc>
      </w:tr>
      <w:tr w:rsidR="00747637" w:rsidRPr="008F524B" w:rsidTr="00747637">
        <w:trPr>
          <w:trHeight w:val="290"/>
        </w:trPr>
        <w:tc>
          <w:tcPr>
            <w:tcW w:w="3397" w:type="dxa"/>
            <w:noWrap/>
          </w:tcPr>
          <w:p w:rsidR="00747637" w:rsidRPr="008F524B" w:rsidRDefault="00747637" w:rsidP="00747637">
            <w:r>
              <w:t xml:space="preserve">COVID-19 (SARS-CoV-2) positive </w:t>
            </w:r>
          </w:p>
        </w:tc>
        <w:tc>
          <w:tcPr>
            <w:tcW w:w="1560" w:type="dxa"/>
            <w:noWrap/>
          </w:tcPr>
          <w:p w:rsidR="00747637" w:rsidRPr="008F524B" w:rsidRDefault="00747637" w:rsidP="00ED13A5">
            <w:r w:rsidRPr="008F524B">
              <w:t>197 (39</w:t>
            </w:r>
            <w:r w:rsidR="00ED13A5">
              <w:rPr>
                <w:rFonts w:cstheme="minorHAnsi"/>
              </w:rPr>
              <w:t>·</w:t>
            </w:r>
            <w:r w:rsidRPr="008F524B">
              <w:t xml:space="preserve">5) </w:t>
            </w:r>
          </w:p>
        </w:tc>
        <w:tc>
          <w:tcPr>
            <w:tcW w:w="1559" w:type="dxa"/>
            <w:noWrap/>
          </w:tcPr>
          <w:p w:rsidR="00747637" w:rsidRPr="008F524B" w:rsidRDefault="00747637" w:rsidP="00ED13A5">
            <w:r w:rsidRPr="008F524B">
              <w:t>155 (28</w:t>
            </w:r>
            <w:r w:rsidR="00ED13A5">
              <w:rPr>
                <w:rFonts w:cstheme="minorHAnsi"/>
              </w:rPr>
              <w:t>·</w:t>
            </w:r>
            <w:r w:rsidRPr="008F524B">
              <w:t xml:space="preserve">0) </w:t>
            </w:r>
          </w:p>
        </w:tc>
        <w:tc>
          <w:tcPr>
            <w:tcW w:w="1561" w:type="dxa"/>
            <w:noWrap/>
          </w:tcPr>
          <w:p w:rsidR="00747637" w:rsidRPr="008F524B" w:rsidRDefault="00747637" w:rsidP="007721F7">
            <w:r w:rsidRPr="008F524B">
              <w:t>11</w:t>
            </w:r>
            <w:r w:rsidR="007721F7">
              <w:rPr>
                <w:rFonts w:cstheme="minorHAnsi"/>
              </w:rPr>
              <w:t>·</w:t>
            </w:r>
            <w:r w:rsidRPr="008F524B">
              <w:t>5 (5</w:t>
            </w:r>
            <w:r w:rsidR="00ED13A5">
              <w:rPr>
                <w:rFonts w:cstheme="minorHAnsi"/>
              </w:rPr>
              <w:t>·</w:t>
            </w:r>
            <w:r w:rsidRPr="008F524B">
              <w:t>8 to 17</w:t>
            </w:r>
            <w:r w:rsidR="00ED13A5">
              <w:rPr>
                <w:rFonts w:cstheme="minorHAnsi"/>
              </w:rPr>
              <w:t>·</w:t>
            </w:r>
            <w:r w:rsidRPr="008F524B">
              <w:t xml:space="preserve">2) </w:t>
            </w:r>
          </w:p>
        </w:tc>
        <w:tc>
          <w:tcPr>
            <w:tcW w:w="939" w:type="dxa"/>
            <w:noWrap/>
          </w:tcPr>
          <w:p w:rsidR="00747637" w:rsidRPr="008F524B" w:rsidRDefault="00747637" w:rsidP="00ED13A5">
            <w:r w:rsidRPr="008F524B">
              <w:t>0</w:t>
            </w:r>
            <w:r w:rsidR="00ED13A5">
              <w:rPr>
                <w:rFonts w:cstheme="minorHAnsi"/>
              </w:rPr>
              <w:t>·</w:t>
            </w:r>
            <w:r w:rsidRPr="008F524B">
              <w:t>00</w:t>
            </w:r>
            <w:r>
              <w:t>0</w:t>
            </w:r>
            <w:r w:rsidRPr="008F524B">
              <w:t>1</w:t>
            </w:r>
          </w:p>
        </w:tc>
      </w:tr>
      <w:tr w:rsidR="00747637" w:rsidRPr="008F524B" w:rsidTr="0002505A">
        <w:trPr>
          <w:trHeight w:val="290"/>
        </w:trPr>
        <w:tc>
          <w:tcPr>
            <w:tcW w:w="3397" w:type="dxa"/>
            <w:noWrap/>
            <w:hideMark/>
          </w:tcPr>
          <w:p w:rsidR="00747637" w:rsidRPr="00747637" w:rsidRDefault="00747637" w:rsidP="00747637">
            <w:r w:rsidRPr="00747637">
              <w:t>Admitted for &gt;24 hours</w:t>
            </w:r>
          </w:p>
        </w:tc>
        <w:tc>
          <w:tcPr>
            <w:tcW w:w="1560" w:type="dxa"/>
            <w:noWrap/>
            <w:hideMark/>
          </w:tcPr>
          <w:p w:rsidR="00747637" w:rsidRPr="00747637" w:rsidRDefault="00747637" w:rsidP="00ED13A5">
            <w:r w:rsidRPr="00747637">
              <w:t>428 (85</w:t>
            </w:r>
            <w:r w:rsidR="00ED13A5">
              <w:rPr>
                <w:rFonts w:cstheme="minorHAnsi"/>
              </w:rPr>
              <w:t>·</w:t>
            </w:r>
            <w:r w:rsidRPr="00747637">
              <w:t>8)</w:t>
            </w:r>
          </w:p>
        </w:tc>
        <w:tc>
          <w:tcPr>
            <w:tcW w:w="1559" w:type="dxa"/>
            <w:noWrap/>
            <w:hideMark/>
          </w:tcPr>
          <w:p w:rsidR="00747637" w:rsidRPr="00747637" w:rsidRDefault="00747637" w:rsidP="00ED13A5">
            <w:r w:rsidRPr="00747637">
              <w:t>421 (75</w:t>
            </w:r>
            <w:r w:rsidR="00ED13A5">
              <w:rPr>
                <w:rFonts w:cstheme="minorHAnsi"/>
              </w:rPr>
              <w:t>·</w:t>
            </w:r>
            <w:r w:rsidRPr="00747637">
              <w:t xml:space="preserve">8) </w:t>
            </w:r>
          </w:p>
        </w:tc>
        <w:tc>
          <w:tcPr>
            <w:tcW w:w="1561" w:type="dxa"/>
            <w:noWrap/>
            <w:hideMark/>
          </w:tcPr>
          <w:p w:rsidR="00747637" w:rsidRPr="00747637" w:rsidRDefault="00747637" w:rsidP="00ED13A5">
            <w:r w:rsidRPr="00747637">
              <w:t>10</w:t>
            </w:r>
            <w:r w:rsidR="00ED13A5">
              <w:rPr>
                <w:rFonts w:cstheme="minorHAnsi"/>
              </w:rPr>
              <w:t>·</w:t>
            </w:r>
            <w:r w:rsidRPr="00747637">
              <w:t>0 (5</w:t>
            </w:r>
            <w:r w:rsidR="00ED13A5">
              <w:rPr>
                <w:rFonts w:cstheme="minorHAnsi"/>
              </w:rPr>
              <w:t>·</w:t>
            </w:r>
            <w:r w:rsidRPr="00747637">
              <w:t>0 to 14</w:t>
            </w:r>
            <w:r w:rsidR="00ED13A5">
              <w:rPr>
                <w:rFonts w:cstheme="minorHAnsi"/>
              </w:rPr>
              <w:t>·</w:t>
            </w:r>
            <w:r w:rsidRPr="00747637">
              <w:t>7)</w:t>
            </w:r>
          </w:p>
        </w:tc>
        <w:tc>
          <w:tcPr>
            <w:tcW w:w="939" w:type="dxa"/>
            <w:noWrap/>
            <w:hideMark/>
          </w:tcPr>
          <w:p w:rsidR="00747637" w:rsidRPr="00747637" w:rsidRDefault="00747637" w:rsidP="00ED13A5">
            <w:r w:rsidRPr="00747637">
              <w:t>&lt;0</w:t>
            </w:r>
            <w:r w:rsidR="00ED13A5">
              <w:rPr>
                <w:rFonts w:cstheme="minorHAnsi"/>
              </w:rPr>
              <w:t>·</w:t>
            </w:r>
            <w:r w:rsidRPr="00747637">
              <w:t>0001</w:t>
            </w:r>
          </w:p>
        </w:tc>
      </w:tr>
      <w:tr w:rsidR="00747637" w:rsidRPr="008F524B" w:rsidTr="0002505A">
        <w:trPr>
          <w:trHeight w:val="290"/>
        </w:trPr>
        <w:tc>
          <w:tcPr>
            <w:tcW w:w="3397" w:type="dxa"/>
            <w:noWrap/>
            <w:hideMark/>
          </w:tcPr>
          <w:p w:rsidR="00747637" w:rsidRPr="008F524B" w:rsidRDefault="00747637" w:rsidP="00747637">
            <w:r w:rsidRPr="008F524B">
              <w:t xml:space="preserve">Transferred from assessment </w:t>
            </w:r>
            <w:r w:rsidR="0007551E">
              <w:t xml:space="preserve">(cohort) </w:t>
            </w:r>
            <w:r w:rsidRPr="008F524B">
              <w:t>area</w:t>
            </w:r>
            <w:r w:rsidR="0007551E">
              <w:t xml:space="preserve"> to definitive ward</w:t>
            </w:r>
            <w:r>
              <w:t xml:space="preserve"> (i.e. COVID-19 positive or negative) </w:t>
            </w:r>
          </w:p>
        </w:tc>
        <w:tc>
          <w:tcPr>
            <w:tcW w:w="1560" w:type="dxa"/>
            <w:noWrap/>
            <w:hideMark/>
          </w:tcPr>
          <w:p w:rsidR="00747637" w:rsidRPr="008F524B" w:rsidRDefault="00747637" w:rsidP="00ED13A5">
            <w:r w:rsidRPr="008F524B">
              <w:t>313/428 (73</w:t>
            </w:r>
            <w:r w:rsidR="00ED13A5">
              <w:rPr>
                <w:rFonts w:cstheme="minorHAnsi"/>
              </w:rPr>
              <w:t>·</w:t>
            </w:r>
            <w:r w:rsidRPr="008F524B">
              <w:t xml:space="preserve">1) </w:t>
            </w:r>
          </w:p>
        </w:tc>
        <w:tc>
          <w:tcPr>
            <w:tcW w:w="1559" w:type="dxa"/>
            <w:noWrap/>
            <w:hideMark/>
          </w:tcPr>
          <w:p w:rsidR="00747637" w:rsidRPr="008F524B" w:rsidRDefault="00747637" w:rsidP="00ED13A5">
            <w:r w:rsidRPr="008F524B">
              <w:t>241/421 (57</w:t>
            </w:r>
            <w:r w:rsidR="00ED13A5">
              <w:rPr>
                <w:rFonts w:cstheme="minorHAnsi"/>
              </w:rPr>
              <w:t>·</w:t>
            </w:r>
            <w:r w:rsidRPr="008F524B">
              <w:t xml:space="preserve">2) </w:t>
            </w:r>
          </w:p>
        </w:tc>
        <w:tc>
          <w:tcPr>
            <w:tcW w:w="1561" w:type="dxa"/>
            <w:noWrap/>
            <w:hideMark/>
          </w:tcPr>
          <w:p w:rsidR="00747637" w:rsidRPr="008F524B" w:rsidRDefault="00747637" w:rsidP="00ED13A5">
            <w:r w:rsidRPr="008F524B">
              <w:t>15</w:t>
            </w:r>
            <w:r w:rsidR="00ED13A5">
              <w:rPr>
                <w:rFonts w:cstheme="minorHAnsi"/>
              </w:rPr>
              <w:t>·</w:t>
            </w:r>
            <w:r w:rsidRPr="008F524B">
              <w:t>9 (9</w:t>
            </w:r>
            <w:r w:rsidR="00ED13A5">
              <w:rPr>
                <w:rFonts w:cstheme="minorHAnsi"/>
              </w:rPr>
              <w:t>·</w:t>
            </w:r>
            <w:r w:rsidRPr="008F524B">
              <w:t>3 to 22</w:t>
            </w:r>
            <w:r w:rsidR="00ED13A5">
              <w:rPr>
                <w:rFonts w:cstheme="minorHAnsi"/>
              </w:rPr>
              <w:t>·</w:t>
            </w:r>
            <w:r w:rsidRPr="008F524B">
              <w:t>2)</w:t>
            </w:r>
          </w:p>
        </w:tc>
        <w:tc>
          <w:tcPr>
            <w:tcW w:w="939" w:type="dxa"/>
            <w:noWrap/>
            <w:hideMark/>
          </w:tcPr>
          <w:p w:rsidR="00747637" w:rsidRPr="008F524B" w:rsidRDefault="00747637" w:rsidP="00ED13A5">
            <w:r w:rsidRPr="008F524B">
              <w:t>&lt;0</w:t>
            </w:r>
            <w:r w:rsidR="00ED13A5">
              <w:rPr>
                <w:rFonts w:cstheme="minorHAnsi"/>
              </w:rPr>
              <w:t>·</w:t>
            </w:r>
            <w:r w:rsidRPr="008F524B">
              <w:t>0001</w:t>
            </w:r>
          </w:p>
        </w:tc>
      </w:tr>
      <w:tr w:rsidR="00747637" w:rsidRPr="008F524B" w:rsidTr="0002505A">
        <w:trPr>
          <w:trHeight w:val="290"/>
        </w:trPr>
        <w:tc>
          <w:tcPr>
            <w:tcW w:w="3397" w:type="dxa"/>
            <w:noWrap/>
            <w:hideMark/>
          </w:tcPr>
          <w:p w:rsidR="00747637" w:rsidRPr="008F524B" w:rsidRDefault="00747637" w:rsidP="00747637">
            <w:r w:rsidRPr="008F524B">
              <w:t>Time from admission to definitive w</w:t>
            </w:r>
            <w:r>
              <w:t>ard arrival, hours</w:t>
            </w:r>
          </w:p>
        </w:tc>
        <w:tc>
          <w:tcPr>
            <w:tcW w:w="1560" w:type="dxa"/>
            <w:noWrap/>
            <w:hideMark/>
          </w:tcPr>
          <w:p w:rsidR="00747637" w:rsidRPr="008F524B" w:rsidRDefault="00747637" w:rsidP="00ED13A5">
            <w:r w:rsidRPr="008F524B">
              <w:t>8</w:t>
            </w:r>
            <w:r w:rsidR="00ED13A5">
              <w:rPr>
                <w:rFonts w:cstheme="minorHAnsi"/>
              </w:rPr>
              <w:t>·</w:t>
            </w:r>
            <w:r>
              <w:t>0</w:t>
            </w:r>
            <w:r w:rsidRPr="008F524B">
              <w:t xml:space="preserve"> (6 to 15) </w:t>
            </w:r>
          </w:p>
        </w:tc>
        <w:tc>
          <w:tcPr>
            <w:tcW w:w="1559" w:type="dxa"/>
            <w:noWrap/>
            <w:hideMark/>
          </w:tcPr>
          <w:p w:rsidR="00747637" w:rsidRPr="008F524B" w:rsidRDefault="00747637" w:rsidP="00ED13A5">
            <w:r>
              <w:t>28</w:t>
            </w:r>
            <w:r w:rsidR="00ED13A5">
              <w:rPr>
                <w:rFonts w:cstheme="minorHAnsi"/>
              </w:rPr>
              <w:t>·</w:t>
            </w:r>
            <w:r>
              <w:t xml:space="preserve">8 </w:t>
            </w:r>
            <w:r w:rsidRPr="008F524B">
              <w:t xml:space="preserve">(24 to 39) </w:t>
            </w:r>
          </w:p>
        </w:tc>
        <w:tc>
          <w:tcPr>
            <w:tcW w:w="1561" w:type="dxa"/>
            <w:noWrap/>
            <w:hideMark/>
          </w:tcPr>
          <w:p w:rsidR="00747637" w:rsidRPr="008F524B" w:rsidRDefault="00747637" w:rsidP="00ED13A5">
            <w:r w:rsidRPr="008F524B">
              <w:t>20</w:t>
            </w:r>
            <w:r w:rsidR="00ED13A5">
              <w:rPr>
                <w:rFonts w:cstheme="minorHAnsi"/>
              </w:rPr>
              <w:t>·</w:t>
            </w:r>
            <w:r w:rsidRPr="008F524B">
              <w:t>8 (18</w:t>
            </w:r>
            <w:r w:rsidR="00ED13A5">
              <w:rPr>
                <w:rFonts w:cstheme="minorHAnsi"/>
              </w:rPr>
              <w:t>·</w:t>
            </w:r>
            <w:r w:rsidRPr="008F524B">
              <w:t>4 to 21</w:t>
            </w:r>
            <w:r w:rsidR="00ED13A5">
              <w:rPr>
                <w:rFonts w:cstheme="minorHAnsi"/>
              </w:rPr>
              <w:t>·</w:t>
            </w:r>
            <w:r w:rsidR="00ED13A5">
              <w:t>2</w:t>
            </w:r>
            <w:r w:rsidRPr="008F524B">
              <w:t xml:space="preserve">) </w:t>
            </w:r>
          </w:p>
        </w:tc>
        <w:tc>
          <w:tcPr>
            <w:tcW w:w="939" w:type="dxa"/>
            <w:noWrap/>
            <w:hideMark/>
          </w:tcPr>
          <w:p w:rsidR="00747637" w:rsidRPr="008F524B" w:rsidRDefault="00747637" w:rsidP="00ED13A5">
            <w:r w:rsidRPr="008F524B">
              <w:t>&lt;0</w:t>
            </w:r>
            <w:r w:rsidR="00ED13A5">
              <w:rPr>
                <w:rFonts w:cstheme="minorHAnsi"/>
              </w:rPr>
              <w:t>·</w:t>
            </w:r>
            <w:r w:rsidRPr="008F524B">
              <w:t>0001</w:t>
            </w:r>
          </w:p>
        </w:tc>
      </w:tr>
      <w:tr w:rsidR="00747637" w:rsidRPr="008F524B" w:rsidTr="0002505A">
        <w:trPr>
          <w:trHeight w:val="290"/>
        </w:trPr>
        <w:tc>
          <w:tcPr>
            <w:tcW w:w="3397" w:type="dxa"/>
            <w:noWrap/>
            <w:hideMark/>
          </w:tcPr>
          <w:p w:rsidR="00747637" w:rsidRPr="008F524B" w:rsidRDefault="00747637" w:rsidP="00747637">
            <w:r w:rsidRPr="008F524B">
              <w:t>Number of bed moves once admitted</w:t>
            </w:r>
            <w:r>
              <w:t xml:space="preserve">  </w:t>
            </w:r>
            <w:r w:rsidRPr="004A4D5A">
              <w:t>(mean</w:t>
            </w:r>
            <w:r>
              <w:t>,</w:t>
            </w:r>
            <w:r w:rsidRPr="004A4D5A">
              <w:t xml:space="preserve"> SD)</w:t>
            </w:r>
          </w:p>
        </w:tc>
        <w:tc>
          <w:tcPr>
            <w:tcW w:w="1560" w:type="dxa"/>
            <w:shd w:val="clear" w:color="auto" w:fill="auto"/>
            <w:noWrap/>
            <w:hideMark/>
          </w:tcPr>
          <w:p w:rsidR="00747637" w:rsidRPr="00EA79B8" w:rsidRDefault="00747637" w:rsidP="00ED13A5">
            <w:pPr>
              <w:rPr>
                <w:color w:val="000000" w:themeColor="text1"/>
              </w:rPr>
            </w:pPr>
            <w:r w:rsidRPr="00EA79B8">
              <w:rPr>
                <w:color w:val="000000" w:themeColor="text1"/>
              </w:rPr>
              <w:t>0</w:t>
            </w:r>
            <w:r w:rsidR="00ED13A5" w:rsidRPr="00EA79B8">
              <w:rPr>
                <w:rFonts w:cstheme="minorHAnsi"/>
                <w:color w:val="000000" w:themeColor="text1"/>
              </w:rPr>
              <w:t>·</w:t>
            </w:r>
            <w:r w:rsidRPr="00EA79B8">
              <w:rPr>
                <w:color w:val="000000" w:themeColor="text1"/>
              </w:rPr>
              <w:t>9 (0</w:t>
            </w:r>
            <w:r w:rsidR="00ED13A5" w:rsidRPr="00EA79B8">
              <w:rPr>
                <w:rFonts w:cstheme="minorHAnsi"/>
                <w:color w:val="000000" w:themeColor="text1"/>
              </w:rPr>
              <w:t>·</w:t>
            </w:r>
            <w:r w:rsidRPr="00EA79B8">
              <w:rPr>
                <w:color w:val="000000" w:themeColor="text1"/>
              </w:rPr>
              <w:t xml:space="preserve">5) </w:t>
            </w:r>
          </w:p>
        </w:tc>
        <w:tc>
          <w:tcPr>
            <w:tcW w:w="1559" w:type="dxa"/>
            <w:shd w:val="clear" w:color="auto" w:fill="auto"/>
            <w:noWrap/>
            <w:hideMark/>
          </w:tcPr>
          <w:p w:rsidR="00747637" w:rsidRPr="00EA79B8" w:rsidRDefault="00747637" w:rsidP="00ED13A5">
            <w:pPr>
              <w:rPr>
                <w:color w:val="000000" w:themeColor="text1"/>
              </w:rPr>
            </w:pPr>
            <w:r w:rsidRPr="00EA79B8">
              <w:rPr>
                <w:color w:val="000000" w:themeColor="text1"/>
              </w:rPr>
              <w:t>1</w:t>
            </w:r>
            <w:r w:rsidR="00ED13A5" w:rsidRPr="00EA79B8">
              <w:rPr>
                <w:rFonts w:cstheme="minorHAnsi"/>
                <w:color w:val="000000" w:themeColor="text1"/>
              </w:rPr>
              <w:t>·</w:t>
            </w:r>
            <w:r w:rsidRPr="00EA79B8">
              <w:rPr>
                <w:color w:val="000000" w:themeColor="text1"/>
              </w:rPr>
              <w:t>4 (0</w:t>
            </w:r>
            <w:r w:rsidR="00ED13A5" w:rsidRPr="00EA79B8">
              <w:rPr>
                <w:rFonts w:cstheme="minorHAnsi"/>
                <w:color w:val="000000" w:themeColor="text1"/>
              </w:rPr>
              <w:t>·</w:t>
            </w:r>
            <w:r w:rsidRPr="00EA79B8">
              <w:rPr>
                <w:color w:val="000000" w:themeColor="text1"/>
              </w:rPr>
              <w:t>7)</w:t>
            </w:r>
          </w:p>
        </w:tc>
        <w:tc>
          <w:tcPr>
            <w:tcW w:w="1561" w:type="dxa"/>
            <w:shd w:val="clear" w:color="auto" w:fill="auto"/>
            <w:noWrap/>
            <w:hideMark/>
          </w:tcPr>
          <w:p w:rsidR="00747637" w:rsidRPr="00EA79B8" w:rsidRDefault="00747637" w:rsidP="00ED13A5">
            <w:pPr>
              <w:rPr>
                <w:color w:val="000000" w:themeColor="text1"/>
              </w:rPr>
            </w:pPr>
            <w:r w:rsidRPr="00EA79B8">
              <w:rPr>
                <w:color w:val="000000" w:themeColor="text1"/>
              </w:rPr>
              <w:t>0</w:t>
            </w:r>
            <w:r w:rsidR="00ED13A5" w:rsidRPr="00EA79B8">
              <w:rPr>
                <w:rFonts w:cstheme="minorHAnsi"/>
                <w:color w:val="000000" w:themeColor="text1"/>
              </w:rPr>
              <w:t>·</w:t>
            </w:r>
            <w:r w:rsidRPr="00EA79B8">
              <w:rPr>
                <w:color w:val="000000" w:themeColor="text1"/>
              </w:rPr>
              <w:t>5 (0</w:t>
            </w:r>
            <w:r w:rsidR="00ED13A5" w:rsidRPr="00EA79B8">
              <w:rPr>
                <w:rFonts w:cstheme="minorHAnsi"/>
                <w:color w:val="000000" w:themeColor="text1"/>
              </w:rPr>
              <w:t>·</w:t>
            </w:r>
            <w:r w:rsidRPr="00EA79B8">
              <w:rPr>
                <w:color w:val="000000" w:themeColor="text1"/>
              </w:rPr>
              <w:t>4 to 0</w:t>
            </w:r>
            <w:r w:rsidR="00ED13A5" w:rsidRPr="00EA79B8">
              <w:rPr>
                <w:rFonts w:cstheme="minorHAnsi"/>
                <w:color w:val="000000" w:themeColor="text1"/>
              </w:rPr>
              <w:t>·</w:t>
            </w:r>
            <w:r w:rsidRPr="00EA79B8">
              <w:rPr>
                <w:color w:val="000000" w:themeColor="text1"/>
              </w:rPr>
              <w:t>6)</w:t>
            </w:r>
          </w:p>
        </w:tc>
        <w:tc>
          <w:tcPr>
            <w:tcW w:w="939" w:type="dxa"/>
            <w:noWrap/>
            <w:hideMark/>
          </w:tcPr>
          <w:p w:rsidR="00747637" w:rsidRPr="00EA79B8" w:rsidRDefault="00747637" w:rsidP="00ED13A5">
            <w:pPr>
              <w:rPr>
                <w:color w:val="000000" w:themeColor="text1"/>
              </w:rPr>
            </w:pPr>
            <w:r w:rsidRPr="00EA79B8">
              <w:rPr>
                <w:color w:val="000000" w:themeColor="text1"/>
              </w:rPr>
              <w:t>&lt;0</w:t>
            </w:r>
            <w:r w:rsidR="00ED13A5" w:rsidRPr="00EA79B8">
              <w:rPr>
                <w:rFonts w:cstheme="minorHAnsi"/>
                <w:color w:val="000000" w:themeColor="text1"/>
              </w:rPr>
              <w:t>·</w:t>
            </w:r>
            <w:r w:rsidRPr="00EA79B8">
              <w:rPr>
                <w:color w:val="000000" w:themeColor="text1"/>
              </w:rPr>
              <w:t>0001</w:t>
            </w:r>
          </w:p>
        </w:tc>
      </w:tr>
      <w:tr w:rsidR="00747637" w:rsidRPr="008F524B" w:rsidTr="0002505A">
        <w:trPr>
          <w:trHeight w:val="290"/>
        </w:trPr>
        <w:tc>
          <w:tcPr>
            <w:tcW w:w="3397" w:type="dxa"/>
            <w:noWrap/>
          </w:tcPr>
          <w:p w:rsidR="00747637" w:rsidRPr="008F524B" w:rsidRDefault="00747637" w:rsidP="00747637">
            <w:r>
              <w:t>Bed moves</w:t>
            </w:r>
          </w:p>
        </w:tc>
        <w:tc>
          <w:tcPr>
            <w:tcW w:w="1560" w:type="dxa"/>
            <w:shd w:val="clear" w:color="auto" w:fill="auto"/>
            <w:noWrap/>
          </w:tcPr>
          <w:p w:rsidR="00747637" w:rsidRPr="00EA79B8" w:rsidRDefault="00747637" w:rsidP="00747637">
            <w:pPr>
              <w:rPr>
                <w:color w:val="000000" w:themeColor="text1"/>
              </w:rPr>
            </w:pPr>
          </w:p>
        </w:tc>
        <w:tc>
          <w:tcPr>
            <w:tcW w:w="1559" w:type="dxa"/>
            <w:shd w:val="clear" w:color="auto" w:fill="auto"/>
            <w:noWrap/>
          </w:tcPr>
          <w:p w:rsidR="00747637" w:rsidRPr="00EA79B8" w:rsidRDefault="00747637" w:rsidP="00747637">
            <w:pPr>
              <w:rPr>
                <w:color w:val="000000" w:themeColor="text1"/>
              </w:rPr>
            </w:pPr>
          </w:p>
        </w:tc>
        <w:tc>
          <w:tcPr>
            <w:tcW w:w="1561" w:type="dxa"/>
            <w:shd w:val="clear" w:color="auto" w:fill="auto"/>
            <w:noWrap/>
          </w:tcPr>
          <w:p w:rsidR="00747637" w:rsidRPr="00EA79B8" w:rsidRDefault="00747637" w:rsidP="00747637">
            <w:pPr>
              <w:rPr>
                <w:color w:val="000000" w:themeColor="text1"/>
              </w:rPr>
            </w:pPr>
          </w:p>
        </w:tc>
        <w:tc>
          <w:tcPr>
            <w:tcW w:w="939" w:type="dxa"/>
            <w:noWrap/>
          </w:tcPr>
          <w:p w:rsidR="00747637" w:rsidRPr="00EA79B8" w:rsidRDefault="00025304" w:rsidP="00747637">
            <w:pPr>
              <w:rPr>
                <w:color w:val="000000" w:themeColor="text1"/>
              </w:rPr>
            </w:pPr>
            <w:r w:rsidRPr="00EA79B8">
              <w:rPr>
                <w:color w:val="000000" w:themeColor="text1"/>
              </w:rPr>
              <w:t>&lt;0</w:t>
            </w:r>
            <w:r w:rsidRPr="00EA79B8">
              <w:rPr>
                <w:rFonts w:cstheme="minorHAnsi"/>
                <w:color w:val="000000" w:themeColor="text1"/>
              </w:rPr>
              <w:t>·</w:t>
            </w:r>
            <w:r w:rsidRPr="00EA79B8">
              <w:rPr>
                <w:color w:val="000000" w:themeColor="text1"/>
              </w:rPr>
              <w:t>0001</w:t>
            </w:r>
          </w:p>
        </w:tc>
      </w:tr>
      <w:tr w:rsidR="00747637" w:rsidRPr="008F524B" w:rsidTr="0002505A">
        <w:trPr>
          <w:trHeight w:val="290"/>
        </w:trPr>
        <w:tc>
          <w:tcPr>
            <w:tcW w:w="3397" w:type="dxa"/>
            <w:noWrap/>
            <w:hideMark/>
          </w:tcPr>
          <w:p w:rsidR="00747637" w:rsidRPr="008F524B" w:rsidRDefault="00747637" w:rsidP="00747637">
            <w:r w:rsidRPr="008F524B">
              <w:t>0</w:t>
            </w:r>
          </w:p>
        </w:tc>
        <w:tc>
          <w:tcPr>
            <w:tcW w:w="1560" w:type="dxa"/>
            <w:noWrap/>
            <w:hideMark/>
          </w:tcPr>
          <w:p w:rsidR="00747637" w:rsidRPr="00EA79B8" w:rsidRDefault="00747637" w:rsidP="00ED13A5">
            <w:pPr>
              <w:rPr>
                <w:color w:val="000000" w:themeColor="text1"/>
              </w:rPr>
            </w:pPr>
            <w:r w:rsidRPr="00EA79B8">
              <w:rPr>
                <w:color w:val="000000" w:themeColor="text1"/>
              </w:rPr>
              <w:t>43</w:t>
            </w:r>
            <w:r w:rsidR="00025304" w:rsidRPr="00EA79B8">
              <w:rPr>
                <w:color w:val="000000" w:themeColor="text1"/>
              </w:rPr>
              <w:t xml:space="preserve"> </w:t>
            </w:r>
            <w:r w:rsidRPr="00EA79B8">
              <w:rPr>
                <w:color w:val="000000" w:themeColor="text1"/>
              </w:rPr>
              <w:t>(13</w:t>
            </w:r>
            <w:r w:rsidR="00ED13A5" w:rsidRPr="00EA79B8">
              <w:rPr>
                <w:rFonts w:cstheme="minorHAnsi"/>
                <w:color w:val="000000" w:themeColor="text1"/>
              </w:rPr>
              <w:t>·</w:t>
            </w:r>
            <w:r w:rsidRPr="00EA79B8">
              <w:rPr>
                <w:color w:val="000000" w:themeColor="text1"/>
              </w:rPr>
              <w:t>7)</w:t>
            </w:r>
          </w:p>
        </w:tc>
        <w:tc>
          <w:tcPr>
            <w:tcW w:w="1559" w:type="dxa"/>
            <w:noWrap/>
            <w:hideMark/>
          </w:tcPr>
          <w:p w:rsidR="00747637" w:rsidRPr="00EA79B8" w:rsidRDefault="00747637" w:rsidP="00747637">
            <w:pPr>
              <w:rPr>
                <w:color w:val="000000" w:themeColor="text1"/>
              </w:rPr>
            </w:pPr>
            <w:r w:rsidRPr="00EA79B8">
              <w:rPr>
                <w:color w:val="000000" w:themeColor="text1"/>
              </w:rPr>
              <w:t xml:space="preserve">0 (0) </w:t>
            </w:r>
          </w:p>
        </w:tc>
        <w:tc>
          <w:tcPr>
            <w:tcW w:w="1561" w:type="dxa"/>
            <w:noWrap/>
            <w:hideMark/>
          </w:tcPr>
          <w:p w:rsidR="00747637" w:rsidRPr="00EA79B8" w:rsidRDefault="00747637" w:rsidP="00025304">
            <w:pPr>
              <w:rPr>
                <w:color w:val="000000" w:themeColor="text1"/>
              </w:rPr>
            </w:pPr>
            <w:r w:rsidRPr="00EA79B8">
              <w:rPr>
                <w:color w:val="000000" w:themeColor="text1"/>
              </w:rPr>
              <w:t xml:space="preserve"> </w:t>
            </w:r>
          </w:p>
        </w:tc>
        <w:tc>
          <w:tcPr>
            <w:tcW w:w="939" w:type="dxa"/>
            <w:noWrap/>
            <w:hideMark/>
          </w:tcPr>
          <w:p w:rsidR="00747637" w:rsidRPr="00EA79B8" w:rsidRDefault="00747637" w:rsidP="00ED13A5">
            <w:pPr>
              <w:rPr>
                <w:color w:val="000000" w:themeColor="text1"/>
              </w:rPr>
            </w:pPr>
          </w:p>
        </w:tc>
      </w:tr>
      <w:tr w:rsidR="00747637" w:rsidRPr="008F524B" w:rsidTr="0002505A">
        <w:trPr>
          <w:trHeight w:val="290"/>
        </w:trPr>
        <w:tc>
          <w:tcPr>
            <w:tcW w:w="3397" w:type="dxa"/>
            <w:noWrap/>
            <w:hideMark/>
          </w:tcPr>
          <w:p w:rsidR="00747637" w:rsidRPr="008F524B" w:rsidRDefault="00747637" w:rsidP="00747637">
            <w:r w:rsidRPr="008F524B">
              <w:t>1</w:t>
            </w:r>
          </w:p>
        </w:tc>
        <w:tc>
          <w:tcPr>
            <w:tcW w:w="1560" w:type="dxa"/>
            <w:noWrap/>
            <w:hideMark/>
          </w:tcPr>
          <w:p w:rsidR="00747637" w:rsidRPr="00EA79B8" w:rsidRDefault="00025304" w:rsidP="00ED13A5">
            <w:pPr>
              <w:rPr>
                <w:color w:val="000000" w:themeColor="text1"/>
              </w:rPr>
            </w:pPr>
            <w:r w:rsidRPr="00EA79B8">
              <w:rPr>
                <w:color w:val="000000" w:themeColor="text1"/>
              </w:rPr>
              <w:t>244</w:t>
            </w:r>
            <w:r w:rsidR="00747637" w:rsidRPr="00EA79B8">
              <w:rPr>
                <w:color w:val="000000" w:themeColor="text1"/>
              </w:rPr>
              <w:t xml:space="preserve"> (77</w:t>
            </w:r>
            <w:r w:rsidR="00ED13A5" w:rsidRPr="00EA79B8">
              <w:rPr>
                <w:rFonts w:cstheme="minorHAnsi"/>
                <w:color w:val="000000" w:themeColor="text1"/>
              </w:rPr>
              <w:t>·</w:t>
            </w:r>
            <w:r w:rsidR="00747637" w:rsidRPr="00EA79B8">
              <w:rPr>
                <w:color w:val="000000" w:themeColor="text1"/>
              </w:rPr>
              <w:t>9)</w:t>
            </w:r>
          </w:p>
        </w:tc>
        <w:tc>
          <w:tcPr>
            <w:tcW w:w="1559" w:type="dxa"/>
            <w:noWrap/>
            <w:hideMark/>
          </w:tcPr>
          <w:p w:rsidR="00747637" w:rsidRPr="00EA79B8" w:rsidRDefault="00025304" w:rsidP="00ED13A5">
            <w:pPr>
              <w:rPr>
                <w:color w:val="000000" w:themeColor="text1"/>
              </w:rPr>
            </w:pPr>
            <w:r w:rsidRPr="00EA79B8">
              <w:rPr>
                <w:color w:val="000000" w:themeColor="text1"/>
              </w:rPr>
              <w:t>163</w:t>
            </w:r>
            <w:r w:rsidR="00747637" w:rsidRPr="00EA79B8">
              <w:rPr>
                <w:color w:val="000000" w:themeColor="text1"/>
              </w:rPr>
              <w:t xml:space="preserve"> (67</w:t>
            </w:r>
            <w:r w:rsidR="00ED13A5" w:rsidRPr="00EA79B8">
              <w:rPr>
                <w:rFonts w:cstheme="minorHAnsi"/>
                <w:color w:val="000000" w:themeColor="text1"/>
              </w:rPr>
              <w:t>·</w:t>
            </w:r>
            <w:r w:rsidR="00747637" w:rsidRPr="00EA79B8">
              <w:rPr>
                <w:color w:val="000000" w:themeColor="text1"/>
              </w:rPr>
              <w:t>6)</w:t>
            </w:r>
          </w:p>
        </w:tc>
        <w:tc>
          <w:tcPr>
            <w:tcW w:w="1561" w:type="dxa"/>
            <w:noWrap/>
            <w:hideMark/>
          </w:tcPr>
          <w:p w:rsidR="00747637" w:rsidRPr="00EA79B8" w:rsidRDefault="00747637" w:rsidP="00ED13A5">
            <w:pPr>
              <w:rPr>
                <w:color w:val="000000" w:themeColor="text1"/>
              </w:rPr>
            </w:pPr>
          </w:p>
        </w:tc>
        <w:tc>
          <w:tcPr>
            <w:tcW w:w="939" w:type="dxa"/>
            <w:noWrap/>
            <w:hideMark/>
          </w:tcPr>
          <w:p w:rsidR="00747637" w:rsidRPr="00EA79B8" w:rsidRDefault="00747637" w:rsidP="00ED13A5">
            <w:pPr>
              <w:rPr>
                <w:color w:val="000000" w:themeColor="text1"/>
              </w:rPr>
            </w:pPr>
          </w:p>
        </w:tc>
      </w:tr>
      <w:tr w:rsidR="00747637" w:rsidRPr="008F524B" w:rsidTr="0002505A">
        <w:trPr>
          <w:trHeight w:val="290"/>
        </w:trPr>
        <w:tc>
          <w:tcPr>
            <w:tcW w:w="3397" w:type="dxa"/>
            <w:noWrap/>
            <w:hideMark/>
          </w:tcPr>
          <w:p w:rsidR="00747637" w:rsidRPr="008F524B" w:rsidRDefault="00747637" w:rsidP="00747637">
            <w:r w:rsidRPr="008F524B">
              <w:t>2</w:t>
            </w:r>
          </w:p>
        </w:tc>
        <w:tc>
          <w:tcPr>
            <w:tcW w:w="1560" w:type="dxa"/>
            <w:noWrap/>
            <w:hideMark/>
          </w:tcPr>
          <w:p w:rsidR="00747637" w:rsidRPr="00EA79B8" w:rsidRDefault="00747637" w:rsidP="00ED13A5">
            <w:pPr>
              <w:rPr>
                <w:color w:val="000000" w:themeColor="text1"/>
              </w:rPr>
            </w:pPr>
            <w:r w:rsidRPr="00EA79B8">
              <w:rPr>
                <w:color w:val="000000" w:themeColor="text1"/>
              </w:rPr>
              <w:t>26</w:t>
            </w:r>
            <w:r w:rsidR="00025304" w:rsidRPr="00EA79B8">
              <w:rPr>
                <w:color w:val="000000" w:themeColor="text1"/>
              </w:rPr>
              <w:t xml:space="preserve"> </w:t>
            </w:r>
            <w:r w:rsidRPr="00EA79B8">
              <w:rPr>
                <w:color w:val="000000" w:themeColor="text1"/>
              </w:rPr>
              <w:t>(8</w:t>
            </w:r>
            <w:r w:rsidR="00ED13A5" w:rsidRPr="00EA79B8">
              <w:rPr>
                <w:rFonts w:cstheme="minorHAnsi"/>
                <w:color w:val="000000" w:themeColor="text1"/>
              </w:rPr>
              <w:t>·</w:t>
            </w:r>
            <w:r w:rsidRPr="00EA79B8">
              <w:rPr>
                <w:color w:val="000000" w:themeColor="text1"/>
              </w:rPr>
              <w:t xml:space="preserve">3) </w:t>
            </w:r>
          </w:p>
        </w:tc>
        <w:tc>
          <w:tcPr>
            <w:tcW w:w="1559" w:type="dxa"/>
            <w:noWrap/>
            <w:hideMark/>
          </w:tcPr>
          <w:p w:rsidR="00747637" w:rsidRPr="00EA79B8" w:rsidRDefault="00025304" w:rsidP="00ED13A5">
            <w:pPr>
              <w:rPr>
                <w:color w:val="000000" w:themeColor="text1"/>
              </w:rPr>
            </w:pPr>
            <w:r w:rsidRPr="00EA79B8">
              <w:rPr>
                <w:color w:val="000000" w:themeColor="text1"/>
              </w:rPr>
              <w:t>56</w:t>
            </w:r>
            <w:r w:rsidR="00747637" w:rsidRPr="00EA79B8">
              <w:rPr>
                <w:color w:val="000000" w:themeColor="text1"/>
              </w:rPr>
              <w:t xml:space="preserve"> (23</w:t>
            </w:r>
            <w:r w:rsidR="00ED13A5" w:rsidRPr="00EA79B8">
              <w:rPr>
                <w:rFonts w:cstheme="minorHAnsi"/>
                <w:color w:val="000000" w:themeColor="text1"/>
              </w:rPr>
              <w:t>·</w:t>
            </w:r>
            <w:r w:rsidR="00747637" w:rsidRPr="00EA79B8">
              <w:rPr>
                <w:color w:val="000000" w:themeColor="text1"/>
              </w:rPr>
              <w:t>2)</w:t>
            </w:r>
          </w:p>
        </w:tc>
        <w:tc>
          <w:tcPr>
            <w:tcW w:w="1561" w:type="dxa"/>
            <w:noWrap/>
            <w:hideMark/>
          </w:tcPr>
          <w:p w:rsidR="00747637" w:rsidRPr="00EA79B8" w:rsidRDefault="00747637" w:rsidP="00ED13A5">
            <w:pPr>
              <w:rPr>
                <w:color w:val="000000" w:themeColor="text1"/>
              </w:rPr>
            </w:pPr>
          </w:p>
        </w:tc>
        <w:tc>
          <w:tcPr>
            <w:tcW w:w="939" w:type="dxa"/>
            <w:noWrap/>
            <w:hideMark/>
          </w:tcPr>
          <w:p w:rsidR="00747637" w:rsidRPr="00EA79B8" w:rsidRDefault="00747637" w:rsidP="00ED13A5">
            <w:pPr>
              <w:rPr>
                <w:color w:val="000000" w:themeColor="text1"/>
              </w:rPr>
            </w:pPr>
          </w:p>
        </w:tc>
      </w:tr>
      <w:tr w:rsidR="00747637" w:rsidRPr="008F524B" w:rsidTr="0002505A">
        <w:trPr>
          <w:trHeight w:val="290"/>
        </w:trPr>
        <w:tc>
          <w:tcPr>
            <w:tcW w:w="3397" w:type="dxa"/>
            <w:noWrap/>
            <w:hideMark/>
          </w:tcPr>
          <w:p w:rsidR="00747637" w:rsidRPr="008F524B" w:rsidRDefault="00747637" w:rsidP="00747637">
            <w:r w:rsidRPr="008F524B">
              <w:t>3</w:t>
            </w:r>
          </w:p>
        </w:tc>
        <w:tc>
          <w:tcPr>
            <w:tcW w:w="1560" w:type="dxa"/>
            <w:noWrap/>
            <w:hideMark/>
          </w:tcPr>
          <w:p w:rsidR="00747637" w:rsidRPr="00EA79B8" w:rsidRDefault="00747637" w:rsidP="00747637">
            <w:pPr>
              <w:rPr>
                <w:color w:val="000000" w:themeColor="text1"/>
              </w:rPr>
            </w:pPr>
            <w:r w:rsidRPr="00EA79B8">
              <w:rPr>
                <w:color w:val="000000" w:themeColor="text1"/>
              </w:rPr>
              <w:t>0 (0)</w:t>
            </w:r>
          </w:p>
        </w:tc>
        <w:tc>
          <w:tcPr>
            <w:tcW w:w="1559" w:type="dxa"/>
            <w:noWrap/>
            <w:hideMark/>
          </w:tcPr>
          <w:p w:rsidR="00747637" w:rsidRPr="00EA79B8" w:rsidRDefault="00025304" w:rsidP="00ED13A5">
            <w:pPr>
              <w:rPr>
                <w:color w:val="000000" w:themeColor="text1"/>
              </w:rPr>
            </w:pPr>
            <w:r w:rsidRPr="00EA79B8">
              <w:rPr>
                <w:color w:val="000000" w:themeColor="text1"/>
              </w:rPr>
              <w:t>12</w:t>
            </w:r>
            <w:r w:rsidR="00747637" w:rsidRPr="00EA79B8">
              <w:rPr>
                <w:color w:val="000000" w:themeColor="text1"/>
              </w:rPr>
              <w:t xml:space="preserve"> (5</w:t>
            </w:r>
            <w:r w:rsidR="00ED13A5" w:rsidRPr="00EA79B8">
              <w:rPr>
                <w:rFonts w:cstheme="minorHAnsi"/>
                <w:color w:val="000000" w:themeColor="text1"/>
              </w:rPr>
              <w:t>·</w:t>
            </w:r>
            <w:r w:rsidR="00747637" w:rsidRPr="00EA79B8">
              <w:rPr>
                <w:color w:val="000000" w:themeColor="text1"/>
              </w:rPr>
              <w:t xml:space="preserve">0) </w:t>
            </w:r>
          </w:p>
        </w:tc>
        <w:tc>
          <w:tcPr>
            <w:tcW w:w="1561" w:type="dxa"/>
            <w:noWrap/>
            <w:hideMark/>
          </w:tcPr>
          <w:p w:rsidR="00747637" w:rsidRPr="00EA79B8" w:rsidRDefault="00747637" w:rsidP="007721F7">
            <w:pPr>
              <w:rPr>
                <w:color w:val="000000" w:themeColor="text1"/>
              </w:rPr>
            </w:pPr>
            <w:r w:rsidRPr="00EA79B8">
              <w:rPr>
                <w:color w:val="000000" w:themeColor="text1"/>
              </w:rPr>
              <w:t xml:space="preserve"> </w:t>
            </w:r>
          </w:p>
        </w:tc>
        <w:tc>
          <w:tcPr>
            <w:tcW w:w="939" w:type="dxa"/>
            <w:noWrap/>
            <w:hideMark/>
          </w:tcPr>
          <w:p w:rsidR="00747637" w:rsidRPr="00EA79B8" w:rsidRDefault="00747637" w:rsidP="00ED13A5">
            <w:pPr>
              <w:rPr>
                <w:color w:val="000000" w:themeColor="text1"/>
              </w:rPr>
            </w:pPr>
          </w:p>
        </w:tc>
      </w:tr>
      <w:tr w:rsidR="00747637" w:rsidRPr="008F524B" w:rsidTr="0002505A">
        <w:trPr>
          <w:trHeight w:val="290"/>
        </w:trPr>
        <w:tc>
          <w:tcPr>
            <w:tcW w:w="3397" w:type="dxa"/>
            <w:noWrap/>
            <w:hideMark/>
          </w:tcPr>
          <w:p w:rsidR="00747637" w:rsidRPr="008F524B" w:rsidRDefault="00747637" w:rsidP="00747637">
            <w:r w:rsidRPr="008F524B">
              <w:t>4</w:t>
            </w:r>
          </w:p>
        </w:tc>
        <w:tc>
          <w:tcPr>
            <w:tcW w:w="1560" w:type="dxa"/>
            <w:noWrap/>
            <w:hideMark/>
          </w:tcPr>
          <w:p w:rsidR="00747637" w:rsidRPr="00EA79B8" w:rsidRDefault="00747637" w:rsidP="00747637">
            <w:pPr>
              <w:rPr>
                <w:color w:val="000000" w:themeColor="text1"/>
              </w:rPr>
            </w:pPr>
            <w:r w:rsidRPr="00EA79B8">
              <w:rPr>
                <w:color w:val="000000" w:themeColor="text1"/>
              </w:rPr>
              <w:t>0</w:t>
            </w:r>
            <w:r w:rsidR="00025304" w:rsidRPr="00EA79B8">
              <w:rPr>
                <w:color w:val="000000" w:themeColor="text1"/>
              </w:rPr>
              <w:t xml:space="preserve"> </w:t>
            </w:r>
            <w:r w:rsidRPr="00EA79B8">
              <w:rPr>
                <w:color w:val="000000" w:themeColor="text1"/>
              </w:rPr>
              <w:t>(0)</w:t>
            </w:r>
          </w:p>
        </w:tc>
        <w:tc>
          <w:tcPr>
            <w:tcW w:w="1559" w:type="dxa"/>
            <w:noWrap/>
            <w:hideMark/>
          </w:tcPr>
          <w:p w:rsidR="00747637" w:rsidRPr="00EA79B8" w:rsidRDefault="00747637" w:rsidP="00ED13A5">
            <w:pPr>
              <w:rPr>
                <w:color w:val="000000" w:themeColor="text1"/>
              </w:rPr>
            </w:pPr>
            <w:r w:rsidRPr="00EA79B8">
              <w:rPr>
                <w:color w:val="000000" w:themeColor="text1"/>
              </w:rPr>
              <w:t>4</w:t>
            </w:r>
            <w:r w:rsidR="00025304" w:rsidRPr="00EA79B8">
              <w:rPr>
                <w:color w:val="000000" w:themeColor="text1"/>
              </w:rPr>
              <w:t xml:space="preserve"> </w:t>
            </w:r>
            <w:r w:rsidRPr="00EA79B8">
              <w:rPr>
                <w:color w:val="000000" w:themeColor="text1"/>
              </w:rPr>
              <w:t>(1</w:t>
            </w:r>
            <w:r w:rsidR="00ED13A5" w:rsidRPr="00EA79B8">
              <w:rPr>
                <w:rFonts w:cstheme="minorHAnsi"/>
                <w:color w:val="000000" w:themeColor="text1"/>
              </w:rPr>
              <w:t>·</w:t>
            </w:r>
            <w:r w:rsidRPr="00EA79B8">
              <w:rPr>
                <w:color w:val="000000" w:themeColor="text1"/>
              </w:rPr>
              <w:t xml:space="preserve">7) </w:t>
            </w:r>
          </w:p>
        </w:tc>
        <w:tc>
          <w:tcPr>
            <w:tcW w:w="1561" w:type="dxa"/>
            <w:noWrap/>
            <w:hideMark/>
          </w:tcPr>
          <w:p w:rsidR="00747637" w:rsidRPr="00EA79B8" w:rsidRDefault="00747637" w:rsidP="007721F7">
            <w:pPr>
              <w:rPr>
                <w:color w:val="000000" w:themeColor="text1"/>
              </w:rPr>
            </w:pPr>
            <w:r w:rsidRPr="00EA79B8">
              <w:rPr>
                <w:color w:val="000000" w:themeColor="text1"/>
              </w:rPr>
              <w:t xml:space="preserve"> </w:t>
            </w:r>
          </w:p>
        </w:tc>
        <w:tc>
          <w:tcPr>
            <w:tcW w:w="939" w:type="dxa"/>
            <w:noWrap/>
            <w:hideMark/>
          </w:tcPr>
          <w:p w:rsidR="00747637" w:rsidRPr="00EA79B8" w:rsidRDefault="00747637" w:rsidP="00ED13A5">
            <w:pPr>
              <w:rPr>
                <w:color w:val="000000" w:themeColor="text1"/>
              </w:rPr>
            </w:pPr>
          </w:p>
        </w:tc>
      </w:tr>
      <w:tr w:rsidR="00747637" w:rsidRPr="008F524B" w:rsidTr="0002505A">
        <w:trPr>
          <w:trHeight w:val="290"/>
        </w:trPr>
        <w:tc>
          <w:tcPr>
            <w:tcW w:w="3397" w:type="dxa"/>
            <w:noWrap/>
            <w:hideMark/>
          </w:tcPr>
          <w:p w:rsidR="00747637" w:rsidRPr="008F524B" w:rsidRDefault="00747637" w:rsidP="00747637">
            <w:r w:rsidRPr="008F524B">
              <w:t>5</w:t>
            </w:r>
          </w:p>
        </w:tc>
        <w:tc>
          <w:tcPr>
            <w:tcW w:w="1560" w:type="dxa"/>
            <w:noWrap/>
            <w:hideMark/>
          </w:tcPr>
          <w:p w:rsidR="00747637" w:rsidRPr="00EA79B8" w:rsidRDefault="00747637" w:rsidP="00747637">
            <w:pPr>
              <w:rPr>
                <w:color w:val="000000" w:themeColor="text1"/>
              </w:rPr>
            </w:pPr>
            <w:r w:rsidRPr="00EA79B8">
              <w:rPr>
                <w:color w:val="000000" w:themeColor="text1"/>
              </w:rPr>
              <w:t>0</w:t>
            </w:r>
            <w:r w:rsidR="00025304" w:rsidRPr="00EA79B8">
              <w:rPr>
                <w:color w:val="000000" w:themeColor="text1"/>
              </w:rPr>
              <w:t xml:space="preserve"> </w:t>
            </w:r>
            <w:r w:rsidRPr="00EA79B8">
              <w:rPr>
                <w:color w:val="000000" w:themeColor="text1"/>
              </w:rPr>
              <w:t>(0)</w:t>
            </w:r>
          </w:p>
        </w:tc>
        <w:tc>
          <w:tcPr>
            <w:tcW w:w="1559" w:type="dxa"/>
            <w:noWrap/>
            <w:hideMark/>
          </w:tcPr>
          <w:p w:rsidR="00747637" w:rsidRPr="00EA79B8" w:rsidRDefault="00025304" w:rsidP="00ED13A5">
            <w:pPr>
              <w:rPr>
                <w:color w:val="000000" w:themeColor="text1"/>
              </w:rPr>
            </w:pPr>
            <w:r w:rsidRPr="00EA79B8">
              <w:rPr>
                <w:color w:val="000000" w:themeColor="text1"/>
              </w:rPr>
              <w:t>1 (</w:t>
            </w:r>
            <w:r w:rsidR="00747637" w:rsidRPr="00EA79B8">
              <w:rPr>
                <w:color w:val="000000" w:themeColor="text1"/>
              </w:rPr>
              <w:t>0</w:t>
            </w:r>
            <w:r w:rsidR="00ED13A5" w:rsidRPr="00EA79B8">
              <w:rPr>
                <w:rFonts w:cstheme="minorHAnsi"/>
                <w:color w:val="000000" w:themeColor="text1"/>
              </w:rPr>
              <w:t>·</w:t>
            </w:r>
            <w:r w:rsidR="00747637" w:rsidRPr="00EA79B8">
              <w:rPr>
                <w:color w:val="000000" w:themeColor="text1"/>
              </w:rPr>
              <w:t>4)</w:t>
            </w:r>
          </w:p>
        </w:tc>
        <w:tc>
          <w:tcPr>
            <w:tcW w:w="1561" w:type="dxa"/>
            <w:noWrap/>
            <w:hideMark/>
          </w:tcPr>
          <w:p w:rsidR="00747637" w:rsidRPr="00EA79B8" w:rsidRDefault="00747637" w:rsidP="007721F7">
            <w:pPr>
              <w:rPr>
                <w:color w:val="000000" w:themeColor="text1"/>
              </w:rPr>
            </w:pPr>
          </w:p>
        </w:tc>
        <w:tc>
          <w:tcPr>
            <w:tcW w:w="939" w:type="dxa"/>
            <w:noWrap/>
            <w:hideMark/>
          </w:tcPr>
          <w:p w:rsidR="00747637" w:rsidRPr="00EA79B8" w:rsidRDefault="00747637" w:rsidP="00ED13A5">
            <w:pPr>
              <w:rPr>
                <w:color w:val="000000" w:themeColor="text1"/>
              </w:rPr>
            </w:pPr>
          </w:p>
        </w:tc>
      </w:tr>
      <w:tr w:rsidR="00747637" w:rsidRPr="008F524B" w:rsidTr="0002505A">
        <w:trPr>
          <w:trHeight w:val="290"/>
        </w:trPr>
        <w:tc>
          <w:tcPr>
            <w:tcW w:w="3397" w:type="dxa"/>
            <w:noWrap/>
            <w:hideMark/>
          </w:tcPr>
          <w:p w:rsidR="00747637" w:rsidRPr="008F524B" w:rsidRDefault="00747637" w:rsidP="00747637">
            <w:r>
              <w:t>COVID-19 positive patients e</w:t>
            </w:r>
            <w:r w:rsidRPr="008F524B">
              <w:t xml:space="preserve">nrolled </w:t>
            </w:r>
            <w:r>
              <w:t xml:space="preserve">into other COVID-19 trials </w:t>
            </w:r>
          </w:p>
        </w:tc>
        <w:tc>
          <w:tcPr>
            <w:tcW w:w="1560" w:type="dxa"/>
            <w:noWrap/>
            <w:hideMark/>
          </w:tcPr>
          <w:p w:rsidR="00747637" w:rsidRPr="008F524B" w:rsidRDefault="00747637" w:rsidP="007721F7">
            <w:r>
              <w:t>124/197 (62</w:t>
            </w:r>
            <w:r w:rsidR="007721F7">
              <w:rPr>
                <w:rFonts w:cstheme="minorHAnsi"/>
              </w:rPr>
              <w:t>·</w:t>
            </w:r>
            <w:r>
              <w:t>9</w:t>
            </w:r>
            <w:r w:rsidRPr="008F524B">
              <w:t>)</w:t>
            </w:r>
          </w:p>
        </w:tc>
        <w:tc>
          <w:tcPr>
            <w:tcW w:w="1559" w:type="dxa"/>
            <w:noWrap/>
            <w:hideMark/>
          </w:tcPr>
          <w:p w:rsidR="00747637" w:rsidRPr="008F524B" w:rsidRDefault="00747637" w:rsidP="007721F7">
            <w:r>
              <w:t>104/155 (67</w:t>
            </w:r>
            <w:r w:rsidR="007721F7">
              <w:rPr>
                <w:rFonts w:cstheme="minorHAnsi"/>
              </w:rPr>
              <w:t>·</w:t>
            </w:r>
            <w:r>
              <w:t>1)</w:t>
            </w:r>
          </w:p>
        </w:tc>
        <w:tc>
          <w:tcPr>
            <w:tcW w:w="1561" w:type="dxa"/>
            <w:noWrap/>
            <w:hideMark/>
          </w:tcPr>
          <w:p w:rsidR="00747637" w:rsidRPr="008F524B" w:rsidRDefault="00747637" w:rsidP="007721F7">
            <w:r>
              <w:t xml:space="preserve"> 4</w:t>
            </w:r>
            <w:r w:rsidR="007721F7">
              <w:rPr>
                <w:rFonts w:cstheme="minorHAnsi"/>
              </w:rPr>
              <w:t>·</w:t>
            </w:r>
            <w:r>
              <w:t>2 (-5</w:t>
            </w:r>
            <w:r w:rsidR="007721F7">
              <w:rPr>
                <w:rFonts w:cstheme="minorHAnsi"/>
              </w:rPr>
              <w:t>·</w:t>
            </w:r>
            <w:r>
              <w:t>9 to 14</w:t>
            </w:r>
            <w:r w:rsidR="007721F7">
              <w:rPr>
                <w:rFonts w:cstheme="minorHAnsi"/>
              </w:rPr>
              <w:t>·</w:t>
            </w:r>
            <w:r>
              <w:t>0)</w:t>
            </w:r>
          </w:p>
        </w:tc>
        <w:tc>
          <w:tcPr>
            <w:tcW w:w="939" w:type="dxa"/>
            <w:noWrap/>
            <w:hideMark/>
          </w:tcPr>
          <w:p w:rsidR="00747637" w:rsidRPr="008F524B" w:rsidRDefault="00747637" w:rsidP="007721F7">
            <w:r w:rsidRPr="008F524B">
              <w:t>0</w:t>
            </w:r>
            <w:r w:rsidR="007721F7">
              <w:rPr>
                <w:rFonts w:cstheme="minorHAnsi"/>
              </w:rPr>
              <w:t>·</w:t>
            </w:r>
            <w:r>
              <w:t>42</w:t>
            </w:r>
          </w:p>
        </w:tc>
      </w:tr>
      <w:tr w:rsidR="00747637" w:rsidRPr="008F524B" w:rsidTr="0002505A">
        <w:trPr>
          <w:trHeight w:val="290"/>
        </w:trPr>
        <w:tc>
          <w:tcPr>
            <w:tcW w:w="3397" w:type="dxa"/>
            <w:noWrap/>
            <w:hideMark/>
          </w:tcPr>
          <w:p w:rsidR="00747637" w:rsidRPr="008F524B" w:rsidRDefault="00747637" w:rsidP="00747637">
            <w:r w:rsidRPr="008F524B">
              <w:t>Time from admission to enrolment into oth</w:t>
            </w:r>
            <w:r>
              <w:t>er COVID-19 trials</w:t>
            </w:r>
            <w:r w:rsidR="0007551E">
              <w:t xml:space="preserve"> (days)</w:t>
            </w:r>
            <w:r>
              <w:t xml:space="preserve"> </w:t>
            </w:r>
          </w:p>
        </w:tc>
        <w:tc>
          <w:tcPr>
            <w:tcW w:w="1560" w:type="dxa"/>
            <w:noWrap/>
            <w:hideMark/>
          </w:tcPr>
          <w:p w:rsidR="00747637" w:rsidRPr="008F524B" w:rsidRDefault="00747637" w:rsidP="007721F7">
            <w:r>
              <w:t>1</w:t>
            </w:r>
            <w:r w:rsidR="007721F7">
              <w:rPr>
                <w:rFonts w:cstheme="minorHAnsi"/>
              </w:rPr>
              <w:t>·</w:t>
            </w:r>
            <w:r>
              <w:t xml:space="preserve">0 </w:t>
            </w:r>
            <w:r w:rsidRPr="008F524B">
              <w:t>(1</w:t>
            </w:r>
            <w:r w:rsidR="007721F7">
              <w:rPr>
                <w:rFonts w:cstheme="minorHAnsi"/>
              </w:rPr>
              <w:t>·</w:t>
            </w:r>
            <w:r w:rsidRPr="008F524B">
              <w:t>0 to 3</w:t>
            </w:r>
            <w:r w:rsidR="007721F7">
              <w:rPr>
                <w:rFonts w:cstheme="minorHAnsi"/>
              </w:rPr>
              <w:t>·</w:t>
            </w:r>
            <w:r w:rsidRPr="008F524B">
              <w:t xml:space="preserve">0) </w:t>
            </w:r>
          </w:p>
        </w:tc>
        <w:tc>
          <w:tcPr>
            <w:tcW w:w="1559" w:type="dxa"/>
            <w:noWrap/>
            <w:hideMark/>
          </w:tcPr>
          <w:p w:rsidR="00747637" w:rsidRPr="008F524B" w:rsidRDefault="00747637" w:rsidP="007721F7">
            <w:r>
              <w:t>3</w:t>
            </w:r>
            <w:r w:rsidR="007721F7">
              <w:rPr>
                <w:rFonts w:cstheme="minorHAnsi"/>
              </w:rPr>
              <w:t>·</w:t>
            </w:r>
            <w:r>
              <w:t>0 (2</w:t>
            </w:r>
            <w:r w:rsidR="007721F7">
              <w:rPr>
                <w:rFonts w:cstheme="minorHAnsi"/>
              </w:rPr>
              <w:t>·</w:t>
            </w:r>
            <w:r>
              <w:t>0 to 4</w:t>
            </w:r>
            <w:r w:rsidR="007721F7">
              <w:rPr>
                <w:rFonts w:cstheme="minorHAnsi"/>
              </w:rPr>
              <w:t>·</w:t>
            </w:r>
            <w:r>
              <w:t>5</w:t>
            </w:r>
            <w:r w:rsidRPr="008F524B">
              <w:t xml:space="preserve">) </w:t>
            </w:r>
          </w:p>
        </w:tc>
        <w:tc>
          <w:tcPr>
            <w:tcW w:w="1561" w:type="dxa"/>
            <w:noWrap/>
            <w:hideMark/>
          </w:tcPr>
          <w:p w:rsidR="00747637" w:rsidRPr="008F524B" w:rsidRDefault="00747637" w:rsidP="007721F7">
            <w:r>
              <w:t>2</w:t>
            </w:r>
            <w:r w:rsidR="007721F7">
              <w:rPr>
                <w:rFonts w:cstheme="minorHAnsi"/>
              </w:rPr>
              <w:t>·</w:t>
            </w:r>
            <w:r>
              <w:t>0</w:t>
            </w:r>
            <w:r w:rsidRPr="008F524B">
              <w:t xml:space="preserve"> (1</w:t>
            </w:r>
            <w:r w:rsidR="007721F7">
              <w:rPr>
                <w:rFonts w:cstheme="minorHAnsi"/>
              </w:rPr>
              <w:t>·</w:t>
            </w:r>
            <w:r w:rsidRPr="008F524B">
              <w:t>0 to 2</w:t>
            </w:r>
            <w:r w:rsidR="007721F7">
              <w:rPr>
                <w:rFonts w:cstheme="minorHAnsi"/>
              </w:rPr>
              <w:t>·</w:t>
            </w:r>
            <w:r w:rsidRPr="008F524B">
              <w:t xml:space="preserve">0) </w:t>
            </w:r>
          </w:p>
        </w:tc>
        <w:tc>
          <w:tcPr>
            <w:tcW w:w="939" w:type="dxa"/>
            <w:noWrap/>
            <w:hideMark/>
          </w:tcPr>
          <w:p w:rsidR="00747637" w:rsidRPr="008F524B" w:rsidRDefault="00747637" w:rsidP="007721F7">
            <w:r w:rsidRPr="008F524B">
              <w:t>&lt;0</w:t>
            </w:r>
            <w:r w:rsidR="007721F7">
              <w:rPr>
                <w:rFonts w:cstheme="minorHAnsi"/>
              </w:rPr>
              <w:t>·</w:t>
            </w:r>
            <w:r w:rsidRPr="008F524B">
              <w:t>0001</w:t>
            </w:r>
          </w:p>
        </w:tc>
      </w:tr>
    </w:tbl>
    <w:p w:rsidR="0002505A" w:rsidRDefault="0002505A" w:rsidP="0002505A">
      <w:pPr>
        <w:spacing w:after="0"/>
      </w:pPr>
      <w:r>
        <w:t xml:space="preserve">Data are n (%) or median (IQR) expect where stated otherwise. POCT=point-of-care testing. </w:t>
      </w:r>
    </w:p>
    <w:p w:rsidR="0002505A" w:rsidRDefault="0007551E" w:rsidP="0002505A">
      <w:pPr>
        <w:spacing w:after="0"/>
      </w:pPr>
      <w:r>
        <w:t xml:space="preserve">CI=confidence interval. </w:t>
      </w:r>
      <w:r w:rsidR="0002505A">
        <w:t xml:space="preserve"> </w:t>
      </w:r>
    </w:p>
    <w:p w:rsidR="0002505A" w:rsidRDefault="0002505A" w:rsidP="0002505A">
      <w:pPr>
        <w:spacing w:after="0"/>
      </w:pPr>
    </w:p>
    <w:p w:rsidR="0002505A" w:rsidRDefault="0002505A" w:rsidP="0002505A">
      <w:pPr>
        <w:spacing w:after="0"/>
      </w:pPr>
    </w:p>
    <w:p w:rsidR="0002505A" w:rsidRDefault="0002505A" w:rsidP="0002505A">
      <w:pPr>
        <w:spacing w:after="0"/>
      </w:pPr>
    </w:p>
    <w:p w:rsidR="0007551E" w:rsidRDefault="0007551E" w:rsidP="0002505A">
      <w:pPr>
        <w:spacing w:after="0"/>
      </w:pPr>
    </w:p>
    <w:p w:rsidR="0007551E" w:rsidRDefault="0007551E" w:rsidP="0002505A">
      <w:pPr>
        <w:spacing w:after="0"/>
      </w:pPr>
    </w:p>
    <w:p w:rsidR="0007551E" w:rsidRDefault="0007551E" w:rsidP="0002505A">
      <w:pPr>
        <w:spacing w:after="0"/>
      </w:pPr>
    </w:p>
    <w:p w:rsidR="0007551E" w:rsidRDefault="0007551E" w:rsidP="0002505A">
      <w:pPr>
        <w:spacing w:after="0"/>
      </w:pPr>
    </w:p>
    <w:p w:rsidR="0007551E" w:rsidRDefault="0007551E" w:rsidP="0002505A">
      <w:pPr>
        <w:spacing w:after="0"/>
      </w:pPr>
    </w:p>
    <w:p w:rsidR="0007551E" w:rsidRDefault="0007551E" w:rsidP="0002505A">
      <w:pPr>
        <w:spacing w:after="0"/>
      </w:pPr>
    </w:p>
    <w:p w:rsidR="0007551E" w:rsidRDefault="0007551E" w:rsidP="0002505A">
      <w:pPr>
        <w:spacing w:after="0"/>
      </w:pPr>
    </w:p>
    <w:p w:rsidR="00393D3E" w:rsidRDefault="00393D3E" w:rsidP="00CE5D9E">
      <w:pPr>
        <w:rPr>
          <w:b/>
          <w:i/>
          <w:sz w:val="24"/>
          <w:szCs w:val="24"/>
        </w:rPr>
      </w:pPr>
    </w:p>
    <w:tbl>
      <w:tblPr>
        <w:tblStyle w:val="TableGrid"/>
        <w:tblpPr w:leftFromText="180" w:rightFromText="180" w:vertAnchor="page" w:horzAnchor="margin" w:tblpY="1831"/>
        <w:tblW w:w="0" w:type="auto"/>
        <w:tblLook w:val="04A0" w:firstRow="1" w:lastRow="0" w:firstColumn="1" w:lastColumn="0" w:noHBand="0" w:noVBand="1"/>
      </w:tblPr>
      <w:tblGrid>
        <w:gridCol w:w="2830"/>
        <w:gridCol w:w="1560"/>
        <w:gridCol w:w="1701"/>
        <w:gridCol w:w="1842"/>
        <w:gridCol w:w="1083"/>
      </w:tblGrid>
      <w:tr w:rsidR="00393D3E" w:rsidRPr="00393D3E" w:rsidTr="00393D3E">
        <w:trPr>
          <w:trHeight w:val="290"/>
        </w:trPr>
        <w:tc>
          <w:tcPr>
            <w:tcW w:w="2830" w:type="dxa"/>
            <w:noWrap/>
            <w:hideMark/>
          </w:tcPr>
          <w:p w:rsidR="00393D3E" w:rsidRPr="00393D3E" w:rsidRDefault="00393D3E" w:rsidP="00393D3E">
            <w:pPr>
              <w:spacing w:after="200"/>
            </w:pPr>
          </w:p>
        </w:tc>
        <w:tc>
          <w:tcPr>
            <w:tcW w:w="1560" w:type="dxa"/>
            <w:noWrap/>
            <w:hideMark/>
          </w:tcPr>
          <w:p w:rsidR="00393D3E" w:rsidRPr="00393D3E" w:rsidRDefault="00393D3E" w:rsidP="00393D3E">
            <w:pPr>
              <w:rPr>
                <w:b/>
              </w:rPr>
            </w:pPr>
            <w:r w:rsidRPr="00393D3E">
              <w:rPr>
                <w:b/>
              </w:rPr>
              <w:t>POCT</w:t>
            </w:r>
          </w:p>
          <w:p w:rsidR="00393D3E" w:rsidRPr="00393D3E" w:rsidRDefault="00393D3E" w:rsidP="00393D3E">
            <w:pPr>
              <w:rPr>
                <w:b/>
              </w:rPr>
            </w:pPr>
            <w:r w:rsidRPr="00393D3E">
              <w:rPr>
                <w:b/>
              </w:rPr>
              <w:t>n=499</w:t>
            </w:r>
          </w:p>
        </w:tc>
        <w:tc>
          <w:tcPr>
            <w:tcW w:w="1701" w:type="dxa"/>
            <w:noWrap/>
            <w:hideMark/>
          </w:tcPr>
          <w:p w:rsidR="00393D3E" w:rsidRPr="00393D3E" w:rsidRDefault="00393D3E" w:rsidP="00393D3E">
            <w:pPr>
              <w:rPr>
                <w:b/>
              </w:rPr>
            </w:pPr>
            <w:r w:rsidRPr="00393D3E">
              <w:rPr>
                <w:b/>
              </w:rPr>
              <w:t xml:space="preserve">Control  </w:t>
            </w:r>
          </w:p>
          <w:p w:rsidR="00393D3E" w:rsidRPr="00393D3E" w:rsidRDefault="00393D3E" w:rsidP="00393D3E">
            <w:pPr>
              <w:rPr>
                <w:b/>
              </w:rPr>
            </w:pPr>
            <w:r w:rsidRPr="00393D3E">
              <w:rPr>
                <w:b/>
              </w:rPr>
              <w:t>n=555</w:t>
            </w:r>
          </w:p>
        </w:tc>
        <w:tc>
          <w:tcPr>
            <w:tcW w:w="1842" w:type="dxa"/>
            <w:noWrap/>
            <w:hideMark/>
          </w:tcPr>
          <w:p w:rsidR="00393D3E" w:rsidRPr="00393D3E" w:rsidRDefault="00393D3E" w:rsidP="00393D3E">
            <w:pPr>
              <w:rPr>
                <w:b/>
              </w:rPr>
            </w:pPr>
            <w:r w:rsidRPr="00393D3E">
              <w:rPr>
                <w:b/>
              </w:rPr>
              <w:t xml:space="preserve">Difference </w:t>
            </w:r>
          </w:p>
          <w:p w:rsidR="00393D3E" w:rsidRPr="00393D3E" w:rsidRDefault="00393D3E" w:rsidP="00393D3E">
            <w:pPr>
              <w:rPr>
                <w:b/>
              </w:rPr>
            </w:pPr>
            <w:r w:rsidRPr="00393D3E">
              <w:rPr>
                <w:b/>
              </w:rPr>
              <w:t xml:space="preserve">(95%CI) </w:t>
            </w:r>
          </w:p>
          <w:p w:rsidR="00393D3E" w:rsidRPr="00393D3E" w:rsidRDefault="00393D3E" w:rsidP="00393D3E">
            <w:pPr>
              <w:rPr>
                <w:b/>
              </w:rPr>
            </w:pPr>
          </w:p>
        </w:tc>
        <w:tc>
          <w:tcPr>
            <w:tcW w:w="1083" w:type="dxa"/>
            <w:noWrap/>
            <w:hideMark/>
          </w:tcPr>
          <w:p w:rsidR="00393D3E" w:rsidRPr="00393D3E" w:rsidRDefault="00393D3E" w:rsidP="00393D3E">
            <w:pPr>
              <w:rPr>
                <w:b/>
              </w:rPr>
            </w:pPr>
            <w:r w:rsidRPr="00393D3E">
              <w:rPr>
                <w:b/>
              </w:rPr>
              <w:t xml:space="preserve">p value </w:t>
            </w:r>
          </w:p>
        </w:tc>
      </w:tr>
      <w:tr w:rsidR="00393D3E" w:rsidRPr="00393D3E" w:rsidTr="00393D3E">
        <w:trPr>
          <w:trHeight w:val="290"/>
        </w:trPr>
        <w:tc>
          <w:tcPr>
            <w:tcW w:w="2830" w:type="dxa"/>
            <w:noWrap/>
            <w:hideMark/>
          </w:tcPr>
          <w:p w:rsidR="00393D3E" w:rsidRPr="00393D3E" w:rsidRDefault="00393D3E" w:rsidP="00393D3E">
            <w:pPr>
              <w:spacing w:after="200"/>
            </w:pPr>
            <w:r w:rsidRPr="00393D3E">
              <w:t xml:space="preserve">Antibiotics used </w:t>
            </w:r>
          </w:p>
        </w:tc>
        <w:tc>
          <w:tcPr>
            <w:tcW w:w="1560" w:type="dxa"/>
            <w:noWrap/>
            <w:hideMark/>
          </w:tcPr>
          <w:p w:rsidR="00393D3E" w:rsidRPr="00393D3E" w:rsidRDefault="00393D3E" w:rsidP="00393D3E">
            <w:pPr>
              <w:spacing w:after="200"/>
            </w:pPr>
            <w:r w:rsidRPr="00393D3E">
              <w:t>418</w:t>
            </w:r>
            <w:r w:rsidR="00243220">
              <w:t>/496</w:t>
            </w:r>
            <w:r w:rsidRPr="00393D3E">
              <w:t xml:space="preserve"> (84·3) </w:t>
            </w:r>
          </w:p>
        </w:tc>
        <w:tc>
          <w:tcPr>
            <w:tcW w:w="1701" w:type="dxa"/>
            <w:noWrap/>
            <w:hideMark/>
          </w:tcPr>
          <w:p w:rsidR="00393D3E" w:rsidRPr="00393D3E" w:rsidRDefault="00393D3E" w:rsidP="00393D3E">
            <w:pPr>
              <w:spacing w:after="200"/>
            </w:pPr>
            <w:r w:rsidRPr="00393D3E">
              <w:t>387 (69·7)</w:t>
            </w:r>
          </w:p>
        </w:tc>
        <w:tc>
          <w:tcPr>
            <w:tcW w:w="1842" w:type="dxa"/>
            <w:noWrap/>
            <w:hideMark/>
          </w:tcPr>
          <w:p w:rsidR="00393D3E" w:rsidRPr="00393D3E" w:rsidRDefault="00243220" w:rsidP="00393D3E">
            <w:pPr>
              <w:spacing w:after="200"/>
            </w:pPr>
            <w:r>
              <w:t>14·6</w:t>
            </w:r>
            <w:r w:rsidR="00393D3E" w:rsidRPr="00393D3E">
              <w:t xml:space="preserve"> (9·5 to 19·5) </w:t>
            </w:r>
          </w:p>
        </w:tc>
        <w:tc>
          <w:tcPr>
            <w:tcW w:w="1083" w:type="dxa"/>
            <w:noWrap/>
            <w:hideMark/>
          </w:tcPr>
          <w:p w:rsidR="00393D3E" w:rsidRPr="00393D3E" w:rsidRDefault="00393D3E" w:rsidP="00393D3E">
            <w:pPr>
              <w:spacing w:after="200"/>
            </w:pPr>
            <w:r w:rsidRPr="00393D3E">
              <w:t>&lt;0·0001</w:t>
            </w:r>
          </w:p>
        </w:tc>
      </w:tr>
      <w:tr w:rsidR="00393D3E" w:rsidRPr="00393D3E" w:rsidTr="00393D3E">
        <w:trPr>
          <w:trHeight w:val="290"/>
        </w:trPr>
        <w:tc>
          <w:tcPr>
            <w:tcW w:w="2830" w:type="dxa"/>
            <w:noWrap/>
            <w:hideMark/>
          </w:tcPr>
          <w:p w:rsidR="00393D3E" w:rsidRPr="00393D3E" w:rsidRDefault="00393D3E" w:rsidP="00393D3E">
            <w:pPr>
              <w:spacing w:after="200"/>
            </w:pPr>
            <w:r w:rsidRPr="00393D3E">
              <w:t>Length of stay (days)</w:t>
            </w:r>
          </w:p>
        </w:tc>
        <w:tc>
          <w:tcPr>
            <w:tcW w:w="1560" w:type="dxa"/>
            <w:noWrap/>
            <w:hideMark/>
          </w:tcPr>
          <w:p w:rsidR="00393D3E" w:rsidRPr="00393D3E" w:rsidRDefault="00393D3E" w:rsidP="00393D3E">
            <w:pPr>
              <w:spacing w:after="200"/>
            </w:pPr>
            <w:r w:rsidRPr="00393D3E">
              <w:t xml:space="preserve">5·1 (2·0 to 9·2) </w:t>
            </w:r>
          </w:p>
        </w:tc>
        <w:tc>
          <w:tcPr>
            <w:tcW w:w="1701" w:type="dxa"/>
            <w:noWrap/>
            <w:hideMark/>
          </w:tcPr>
          <w:p w:rsidR="00393D3E" w:rsidRPr="00393D3E" w:rsidRDefault="00393D3E" w:rsidP="00393D3E">
            <w:pPr>
              <w:spacing w:after="200"/>
            </w:pPr>
            <w:r w:rsidRPr="00393D3E">
              <w:t xml:space="preserve">4·2 (1·2 to 9·6) </w:t>
            </w:r>
          </w:p>
        </w:tc>
        <w:tc>
          <w:tcPr>
            <w:tcW w:w="1842" w:type="dxa"/>
            <w:noWrap/>
            <w:hideMark/>
          </w:tcPr>
          <w:p w:rsidR="00393D3E" w:rsidRPr="00393D3E" w:rsidRDefault="00393D3E" w:rsidP="00393D3E">
            <w:pPr>
              <w:spacing w:after="200"/>
            </w:pPr>
            <w:r w:rsidRPr="00393D3E">
              <w:t xml:space="preserve">0·9 (0 to 1·0) </w:t>
            </w:r>
          </w:p>
        </w:tc>
        <w:tc>
          <w:tcPr>
            <w:tcW w:w="1083" w:type="dxa"/>
            <w:noWrap/>
            <w:hideMark/>
          </w:tcPr>
          <w:p w:rsidR="00393D3E" w:rsidRPr="00393D3E" w:rsidRDefault="00393D3E" w:rsidP="00393D3E">
            <w:pPr>
              <w:spacing w:after="200"/>
            </w:pPr>
            <w:r w:rsidRPr="00393D3E">
              <w:t>0·017</w:t>
            </w:r>
          </w:p>
        </w:tc>
      </w:tr>
      <w:tr w:rsidR="00393D3E" w:rsidRPr="00393D3E" w:rsidTr="00393D3E">
        <w:trPr>
          <w:trHeight w:val="290"/>
        </w:trPr>
        <w:tc>
          <w:tcPr>
            <w:tcW w:w="2830" w:type="dxa"/>
            <w:noWrap/>
            <w:hideMark/>
          </w:tcPr>
          <w:p w:rsidR="00393D3E" w:rsidRPr="00393D3E" w:rsidRDefault="00393D3E" w:rsidP="00393D3E">
            <w:pPr>
              <w:spacing w:after="200"/>
            </w:pPr>
            <w:r w:rsidRPr="00393D3E">
              <w:t xml:space="preserve">ICU admission </w:t>
            </w:r>
          </w:p>
        </w:tc>
        <w:tc>
          <w:tcPr>
            <w:tcW w:w="1560" w:type="dxa"/>
            <w:noWrap/>
            <w:hideMark/>
          </w:tcPr>
          <w:p w:rsidR="00393D3E" w:rsidRPr="00393D3E" w:rsidRDefault="00393D3E" w:rsidP="00393D3E">
            <w:pPr>
              <w:spacing w:after="200"/>
            </w:pPr>
            <w:r w:rsidRPr="00393D3E">
              <w:t xml:space="preserve">64 (12·8) </w:t>
            </w:r>
          </w:p>
        </w:tc>
        <w:tc>
          <w:tcPr>
            <w:tcW w:w="1701" w:type="dxa"/>
            <w:noWrap/>
            <w:hideMark/>
          </w:tcPr>
          <w:p w:rsidR="00393D3E" w:rsidRPr="00393D3E" w:rsidRDefault="00393D3E" w:rsidP="00393D3E">
            <w:pPr>
              <w:spacing w:after="200"/>
            </w:pPr>
            <w:r w:rsidRPr="00393D3E">
              <w:t>42 (7·6)</w:t>
            </w:r>
          </w:p>
        </w:tc>
        <w:tc>
          <w:tcPr>
            <w:tcW w:w="1842" w:type="dxa"/>
            <w:noWrap/>
            <w:hideMark/>
          </w:tcPr>
          <w:p w:rsidR="00393D3E" w:rsidRPr="00393D3E" w:rsidRDefault="00393D3E" w:rsidP="00393D3E">
            <w:pPr>
              <w:spacing w:after="200"/>
            </w:pPr>
            <w:r w:rsidRPr="00393D3E">
              <w:t xml:space="preserve">5·2 (0·2 to 8·9) </w:t>
            </w:r>
          </w:p>
        </w:tc>
        <w:tc>
          <w:tcPr>
            <w:tcW w:w="1083" w:type="dxa"/>
            <w:noWrap/>
            <w:hideMark/>
          </w:tcPr>
          <w:p w:rsidR="00393D3E" w:rsidRPr="00393D3E" w:rsidRDefault="00393D3E" w:rsidP="00393D3E">
            <w:pPr>
              <w:spacing w:after="200"/>
            </w:pPr>
            <w:r w:rsidRPr="00393D3E">
              <w:t>0·004</w:t>
            </w:r>
          </w:p>
        </w:tc>
      </w:tr>
      <w:tr w:rsidR="00393D3E" w:rsidRPr="00393D3E" w:rsidTr="00393D3E">
        <w:trPr>
          <w:trHeight w:val="290"/>
        </w:trPr>
        <w:tc>
          <w:tcPr>
            <w:tcW w:w="2830" w:type="dxa"/>
            <w:noWrap/>
            <w:hideMark/>
          </w:tcPr>
          <w:p w:rsidR="00393D3E" w:rsidRPr="00393D3E" w:rsidRDefault="00393D3E" w:rsidP="00393D3E">
            <w:pPr>
              <w:spacing w:after="200"/>
            </w:pPr>
            <w:r w:rsidRPr="00393D3E">
              <w:t xml:space="preserve">In hospital mortality </w:t>
            </w:r>
          </w:p>
        </w:tc>
        <w:tc>
          <w:tcPr>
            <w:tcW w:w="1560" w:type="dxa"/>
            <w:noWrap/>
            <w:hideMark/>
          </w:tcPr>
          <w:p w:rsidR="00393D3E" w:rsidRPr="00393D3E" w:rsidRDefault="00393D3E" w:rsidP="00393D3E">
            <w:pPr>
              <w:spacing w:after="200"/>
            </w:pPr>
            <w:r w:rsidRPr="00393D3E">
              <w:t>67/494 (13·5)</w:t>
            </w:r>
          </w:p>
        </w:tc>
        <w:tc>
          <w:tcPr>
            <w:tcW w:w="1701" w:type="dxa"/>
            <w:noWrap/>
            <w:hideMark/>
          </w:tcPr>
          <w:p w:rsidR="00393D3E" w:rsidRPr="00393D3E" w:rsidRDefault="00393D3E" w:rsidP="00393D3E">
            <w:pPr>
              <w:spacing w:after="200"/>
            </w:pPr>
            <w:r w:rsidRPr="00393D3E">
              <w:t>69 (12·4)</w:t>
            </w:r>
          </w:p>
        </w:tc>
        <w:tc>
          <w:tcPr>
            <w:tcW w:w="1842" w:type="dxa"/>
            <w:noWrap/>
            <w:hideMark/>
          </w:tcPr>
          <w:p w:rsidR="00393D3E" w:rsidRPr="00393D3E" w:rsidRDefault="00393D3E" w:rsidP="00393D3E">
            <w:pPr>
              <w:spacing w:after="200"/>
            </w:pPr>
            <w:r w:rsidRPr="00393D3E">
              <w:t>1·1 (-2·9 to 5·2</w:t>
            </w:r>
          </w:p>
        </w:tc>
        <w:tc>
          <w:tcPr>
            <w:tcW w:w="1083" w:type="dxa"/>
            <w:noWrap/>
            <w:hideMark/>
          </w:tcPr>
          <w:p w:rsidR="00393D3E" w:rsidRPr="00393D3E" w:rsidRDefault="00393D3E" w:rsidP="00393D3E">
            <w:pPr>
              <w:spacing w:after="200"/>
            </w:pPr>
            <w:r w:rsidRPr="00393D3E">
              <w:t>0·58</w:t>
            </w:r>
          </w:p>
        </w:tc>
      </w:tr>
      <w:tr w:rsidR="00393D3E" w:rsidRPr="00393D3E" w:rsidTr="00393D3E">
        <w:trPr>
          <w:trHeight w:val="290"/>
        </w:trPr>
        <w:tc>
          <w:tcPr>
            <w:tcW w:w="2830" w:type="dxa"/>
            <w:noWrap/>
            <w:hideMark/>
          </w:tcPr>
          <w:p w:rsidR="00393D3E" w:rsidRPr="00393D3E" w:rsidRDefault="00393D3E" w:rsidP="00393D3E">
            <w:pPr>
              <w:spacing w:after="200"/>
            </w:pPr>
            <w:r w:rsidRPr="00393D3E">
              <w:t xml:space="preserve">30 day mortality </w:t>
            </w:r>
          </w:p>
        </w:tc>
        <w:tc>
          <w:tcPr>
            <w:tcW w:w="1560" w:type="dxa"/>
            <w:noWrap/>
            <w:hideMark/>
          </w:tcPr>
          <w:p w:rsidR="00393D3E" w:rsidRPr="00393D3E" w:rsidRDefault="00393D3E" w:rsidP="00393D3E">
            <w:pPr>
              <w:spacing w:after="200"/>
            </w:pPr>
            <w:r w:rsidRPr="00393D3E">
              <w:t>80/440 (18·2)</w:t>
            </w:r>
          </w:p>
        </w:tc>
        <w:tc>
          <w:tcPr>
            <w:tcW w:w="1701" w:type="dxa"/>
            <w:noWrap/>
            <w:hideMark/>
          </w:tcPr>
          <w:p w:rsidR="00393D3E" w:rsidRPr="00393D3E" w:rsidRDefault="00393D3E" w:rsidP="00393D3E">
            <w:pPr>
              <w:spacing w:after="200"/>
            </w:pPr>
            <w:r w:rsidRPr="00393D3E">
              <w:t>86 (15·5)</w:t>
            </w:r>
          </w:p>
        </w:tc>
        <w:tc>
          <w:tcPr>
            <w:tcW w:w="1842" w:type="dxa"/>
            <w:noWrap/>
            <w:hideMark/>
          </w:tcPr>
          <w:p w:rsidR="00393D3E" w:rsidRPr="00393D3E" w:rsidRDefault="00393D3E" w:rsidP="00393D3E">
            <w:pPr>
              <w:spacing w:after="200"/>
            </w:pPr>
            <w:r w:rsidRPr="00393D3E">
              <w:t>2·6 (-2·0 to 7·3)</w:t>
            </w:r>
          </w:p>
        </w:tc>
        <w:tc>
          <w:tcPr>
            <w:tcW w:w="1083" w:type="dxa"/>
            <w:noWrap/>
            <w:hideMark/>
          </w:tcPr>
          <w:p w:rsidR="00393D3E" w:rsidRPr="00393D3E" w:rsidRDefault="00393D3E" w:rsidP="00393D3E">
            <w:pPr>
              <w:spacing w:after="200"/>
            </w:pPr>
            <w:r w:rsidRPr="00393D3E">
              <w:t>0·26</w:t>
            </w:r>
          </w:p>
        </w:tc>
      </w:tr>
    </w:tbl>
    <w:p w:rsidR="00393D3E" w:rsidRPr="00393D3E" w:rsidRDefault="00393D3E" w:rsidP="00393D3E">
      <w:pPr>
        <w:rPr>
          <w:b/>
          <w:i/>
          <w:sz w:val="24"/>
          <w:szCs w:val="24"/>
        </w:rPr>
      </w:pPr>
      <w:r w:rsidRPr="00243220">
        <w:rPr>
          <w:b/>
          <w:i/>
          <w:color w:val="000000" w:themeColor="text1"/>
          <w:sz w:val="24"/>
          <w:szCs w:val="24"/>
        </w:rPr>
        <w:t xml:space="preserve">Table 3: </w:t>
      </w:r>
      <w:r w:rsidRPr="00202C0A">
        <w:rPr>
          <w:b/>
          <w:sz w:val="24"/>
          <w:szCs w:val="24"/>
        </w:rPr>
        <w:t>Additional secondary outcome measures</w:t>
      </w:r>
    </w:p>
    <w:p w:rsidR="00393D3E" w:rsidRPr="00393D3E" w:rsidRDefault="00393D3E" w:rsidP="00393D3E">
      <w:r w:rsidRPr="00393D3E">
        <w:t xml:space="preserve">Data are n (%) or median (IQR) expect where stated otherwise. POCT=point-of-care testing, CI=confidence interval, ICU=intensive care unit. </w:t>
      </w:r>
    </w:p>
    <w:p w:rsidR="00393D3E" w:rsidRDefault="00393D3E" w:rsidP="00CE5D9E">
      <w:pPr>
        <w:rPr>
          <w:b/>
          <w:i/>
          <w:sz w:val="24"/>
          <w:szCs w:val="24"/>
        </w:rPr>
      </w:pPr>
    </w:p>
    <w:p w:rsidR="00393D3E" w:rsidRDefault="00393D3E" w:rsidP="00CE5D9E">
      <w:pPr>
        <w:rPr>
          <w:b/>
          <w:i/>
          <w:sz w:val="24"/>
          <w:szCs w:val="24"/>
        </w:rPr>
      </w:pPr>
    </w:p>
    <w:p w:rsidR="00393D3E" w:rsidRDefault="00393D3E" w:rsidP="00CE5D9E">
      <w:pPr>
        <w:rPr>
          <w:b/>
          <w:i/>
          <w:sz w:val="24"/>
          <w:szCs w:val="24"/>
        </w:rPr>
      </w:pPr>
    </w:p>
    <w:p w:rsidR="00393D3E" w:rsidRDefault="00393D3E" w:rsidP="00CE5D9E">
      <w:pPr>
        <w:rPr>
          <w:b/>
          <w:i/>
          <w:sz w:val="24"/>
          <w:szCs w:val="24"/>
        </w:rPr>
      </w:pPr>
    </w:p>
    <w:p w:rsidR="00393D3E" w:rsidRDefault="00393D3E" w:rsidP="00CE5D9E">
      <w:pPr>
        <w:rPr>
          <w:b/>
          <w:i/>
          <w:sz w:val="24"/>
          <w:szCs w:val="24"/>
        </w:rPr>
      </w:pPr>
    </w:p>
    <w:p w:rsidR="00393D3E" w:rsidRDefault="00393D3E" w:rsidP="00CE5D9E">
      <w:pPr>
        <w:rPr>
          <w:b/>
          <w:i/>
          <w:sz w:val="24"/>
          <w:szCs w:val="24"/>
        </w:rPr>
      </w:pPr>
    </w:p>
    <w:p w:rsidR="00393D3E" w:rsidRDefault="00393D3E" w:rsidP="00CE5D9E">
      <w:pPr>
        <w:rPr>
          <w:b/>
          <w:i/>
          <w:sz w:val="24"/>
          <w:szCs w:val="24"/>
        </w:rPr>
      </w:pPr>
    </w:p>
    <w:p w:rsidR="00393D3E" w:rsidRDefault="00393D3E" w:rsidP="00CE5D9E">
      <w:pPr>
        <w:rPr>
          <w:b/>
          <w:i/>
          <w:sz w:val="24"/>
          <w:szCs w:val="24"/>
        </w:rPr>
      </w:pPr>
    </w:p>
    <w:p w:rsidR="00393D3E" w:rsidRDefault="00393D3E" w:rsidP="00CE5D9E">
      <w:pPr>
        <w:rPr>
          <w:b/>
          <w:i/>
          <w:sz w:val="24"/>
          <w:szCs w:val="24"/>
        </w:rPr>
      </w:pPr>
    </w:p>
    <w:p w:rsidR="00393D3E" w:rsidRDefault="00393D3E" w:rsidP="00CE5D9E">
      <w:pPr>
        <w:rPr>
          <w:b/>
          <w:i/>
          <w:sz w:val="24"/>
          <w:szCs w:val="24"/>
        </w:rPr>
      </w:pPr>
    </w:p>
    <w:p w:rsidR="00393D3E" w:rsidRDefault="00393D3E" w:rsidP="00CE5D9E">
      <w:pPr>
        <w:rPr>
          <w:b/>
          <w:i/>
          <w:sz w:val="24"/>
          <w:szCs w:val="24"/>
        </w:rPr>
      </w:pPr>
    </w:p>
    <w:p w:rsidR="00393D3E" w:rsidRDefault="00393D3E" w:rsidP="00CE5D9E">
      <w:pPr>
        <w:rPr>
          <w:b/>
          <w:i/>
          <w:sz w:val="24"/>
          <w:szCs w:val="24"/>
        </w:rPr>
      </w:pPr>
    </w:p>
    <w:p w:rsidR="00202C0A" w:rsidRDefault="00202C0A" w:rsidP="00CE5D9E">
      <w:pPr>
        <w:rPr>
          <w:b/>
          <w:i/>
          <w:sz w:val="24"/>
          <w:szCs w:val="24"/>
        </w:rPr>
      </w:pPr>
    </w:p>
    <w:p w:rsidR="00202C0A" w:rsidRDefault="00202C0A" w:rsidP="00CE5D9E">
      <w:pPr>
        <w:rPr>
          <w:b/>
          <w:i/>
          <w:sz w:val="24"/>
          <w:szCs w:val="24"/>
        </w:rPr>
      </w:pPr>
    </w:p>
    <w:p w:rsidR="00202C0A" w:rsidRDefault="00202C0A" w:rsidP="00CE5D9E">
      <w:pPr>
        <w:rPr>
          <w:b/>
          <w:i/>
          <w:sz w:val="24"/>
          <w:szCs w:val="24"/>
        </w:rPr>
      </w:pPr>
    </w:p>
    <w:p w:rsidR="00202C0A" w:rsidRDefault="00202C0A" w:rsidP="00CE5D9E">
      <w:pPr>
        <w:rPr>
          <w:b/>
          <w:i/>
          <w:sz w:val="24"/>
          <w:szCs w:val="24"/>
        </w:rPr>
      </w:pPr>
    </w:p>
    <w:p w:rsidR="00202C0A" w:rsidRDefault="00202C0A" w:rsidP="00CE5D9E">
      <w:pPr>
        <w:rPr>
          <w:b/>
          <w:i/>
          <w:sz w:val="24"/>
          <w:szCs w:val="24"/>
        </w:rPr>
      </w:pPr>
    </w:p>
    <w:p w:rsidR="00CE5D9E" w:rsidRPr="008267F3" w:rsidRDefault="00E11D2B" w:rsidP="00CE5D9E">
      <w:pPr>
        <w:rPr>
          <w:b/>
          <w:sz w:val="24"/>
          <w:szCs w:val="24"/>
        </w:rPr>
      </w:pPr>
      <w:r w:rsidRPr="00243220">
        <w:rPr>
          <w:b/>
          <w:i/>
          <w:color w:val="000000" w:themeColor="text1"/>
          <w:sz w:val="24"/>
          <w:szCs w:val="24"/>
        </w:rPr>
        <w:lastRenderedPageBreak/>
        <w:t xml:space="preserve">Table </w:t>
      </w:r>
      <w:r w:rsidR="00393D3E" w:rsidRPr="00243220">
        <w:rPr>
          <w:b/>
          <w:i/>
          <w:color w:val="000000" w:themeColor="text1"/>
          <w:sz w:val="24"/>
          <w:szCs w:val="24"/>
        </w:rPr>
        <w:t>4</w:t>
      </w:r>
      <w:r w:rsidR="00CE5D9E" w:rsidRPr="00243220">
        <w:rPr>
          <w:b/>
          <w:color w:val="000000" w:themeColor="text1"/>
          <w:sz w:val="24"/>
          <w:szCs w:val="24"/>
        </w:rPr>
        <w:t>: Diag</w:t>
      </w:r>
      <w:r w:rsidR="00414D67" w:rsidRPr="00243220">
        <w:rPr>
          <w:b/>
          <w:color w:val="000000" w:themeColor="text1"/>
          <w:sz w:val="24"/>
          <w:szCs w:val="24"/>
        </w:rPr>
        <w:t xml:space="preserve">nostic </w:t>
      </w:r>
      <w:r w:rsidR="00414D67">
        <w:rPr>
          <w:b/>
          <w:sz w:val="24"/>
          <w:szCs w:val="24"/>
        </w:rPr>
        <w:t>accuracy measures for QIA</w:t>
      </w:r>
      <w:r w:rsidR="00CE5D9E" w:rsidRPr="008267F3">
        <w:rPr>
          <w:b/>
          <w:sz w:val="24"/>
          <w:szCs w:val="24"/>
        </w:rPr>
        <w:t>stat-Dx SARS-CoV-2 assay and Laboratory PCR in the POCT group, n=469</w:t>
      </w:r>
    </w:p>
    <w:tbl>
      <w:tblPr>
        <w:tblStyle w:val="TableGrid"/>
        <w:tblpPr w:leftFromText="180" w:rightFromText="180" w:vertAnchor="page" w:horzAnchor="margin" w:tblpY="2381"/>
        <w:tblW w:w="0" w:type="auto"/>
        <w:tblLook w:val="04A0" w:firstRow="1" w:lastRow="0" w:firstColumn="1" w:lastColumn="0" w:noHBand="0" w:noVBand="1"/>
      </w:tblPr>
      <w:tblGrid>
        <w:gridCol w:w="1696"/>
        <w:gridCol w:w="1119"/>
        <w:gridCol w:w="2000"/>
        <w:gridCol w:w="1218"/>
        <w:gridCol w:w="2184"/>
      </w:tblGrid>
      <w:tr w:rsidR="008C754F" w:rsidRPr="0069736A" w:rsidTr="008C754F">
        <w:trPr>
          <w:trHeight w:val="290"/>
        </w:trPr>
        <w:tc>
          <w:tcPr>
            <w:tcW w:w="1696" w:type="dxa"/>
            <w:noWrap/>
            <w:hideMark/>
          </w:tcPr>
          <w:p w:rsidR="008C754F" w:rsidRPr="00747637" w:rsidRDefault="008C754F" w:rsidP="008C754F">
            <w:pPr>
              <w:rPr>
                <w:rFonts w:cstheme="minorHAnsi"/>
                <w:b/>
                <w:bCs/>
              </w:rPr>
            </w:pPr>
          </w:p>
        </w:tc>
        <w:tc>
          <w:tcPr>
            <w:tcW w:w="3119" w:type="dxa"/>
            <w:gridSpan w:val="2"/>
            <w:noWrap/>
            <w:hideMark/>
          </w:tcPr>
          <w:p w:rsidR="008C754F" w:rsidRPr="00747637" w:rsidRDefault="008C754F" w:rsidP="008C754F">
            <w:pPr>
              <w:rPr>
                <w:rFonts w:cstheme="minorHAnsi"/>
                <w:b/>
                <w:bCs/>
              </w:rPr>
            </w:pPr>
            <w:r>
              <w:rPr>
                <w:rFonts w:cstheme="minorHAnsi"/>
                <w:b/>
                <w:bCs/>
              </w:rPr>
              <w:t>QIA</w:t>
            </w:r>
            <w:r w:rsidRPr="00747637">
              <w:rPr>
                <w:rFonts w:cstheme="minorHAnsi"/>
                <w:b/>
                <w:bCs/>
              </w:rPr>
              <w:t>stat-Dx SARS-CoV-2 assay</w:t>
            </w:r>
          </w:p>
          <w:p w:rsidR="008C754F" w:rsidRPr="00747637" w:rsidRDefault="008C754F" w:rsidP="008C754F">
            <w:pPr>
              <w:rPr>
                <w:rFonts w:cstheme="minorHAnsi"/>
              </w:rPr>
            </w:pPr>
          </w:p>
        </w:tc>
        <w:tc>
          <w:tcPr>
            <w:tcW w:w="3402" w:type="dxa"/>
            <w:gridSpan w:val="2"/>
            <w:noWrap/>
            <w:hideMark/>
          </w:tcPr>
          <w:p w:rsidR="008C754F" w:rsidRPr="00747637" w:rsidRDefault="008C754F" w:rsidP="008C754F">
            <w:pPr>
              <w:rPr>
                <w:rFonts w:cstheme="minorHAnsi"/>
                <w:b/>
                <w:bCs/>
              </w:rPr>
            </w:pPr>
            <w:r w:rsidRPr="00747637">
              <w:rPr>
                <w:rFonts w:cstheme="minorHAnsi"/>
                <w:b/>
                <w:bCs/>
              </w:rPr>
              <w:t xml:space="preserve">Laboratory PCR </w:t>
            </w:r>
          </w:p>
        </w:tc>
      </w:tr>
      <w:tr w:rsidR="008C754F" w:rsidRPr="0069736A" w:rsidTr="008C754F">
        <w:trPr>
          <w:trHeight w:val="290"/>
        </w:trPr>
        <w:tc>
          <w:tcPr>
            <w:tcW w:w="1696" w:type="dxa"/>
            <w:noWrap/>
            <w:hideMark/>
          </w:tcPr>
          <w:p w:rsidR="008C754F" w:rsidRPr="00747637" w:rsidRDefault="008C754F" w:rsidP="008C754F">
            <w:pPr>
              <w:rPr>
                <w:rFonts w:cstheme="minorHAnsi"/>
              </w:rPr>
            </w:pPr>
          </w:p>
        </w:tc>
        <w:tc>
          <w:tcPr>
            <w:tcW w:w="1119" w:type="dxa"/>
            <w:noWrap/>
            <w:hideMark/>
          </w:tcPr>
          <w:p w:rsidR="008C754F" w:rsidRPr="00747637" w:rsidRDefault="008C754F" w:rsidP="008C754F">
            <w:pPr>
              <w:rPr>
                <w:rFonts w:cstheme="minorHAnsi"/>
              </w:rPr>
            </w:pPr>
            <w:r w:rsidRPr="00747637">
              <w:rPr>
                <w:rFonts w:cstheme="minorHAnsi"/>
              </w:rPr>
              <w:t>n/n</w:t>
            </w:r>
          </w:p>
        </w:tc>
        <w:tc>
          <w:tcPr>
            <w:tcW w:w="2000" w:type="dxa"/>
            <w:noWrap/>
            <w:hideMark/>
          </w:tcPr>
          <w:p w:rsidR="008C754F" w:rsidRPr="00747637" w:rsidRDefault="008C754F" w:rsidP="008C754F">
            <w:pPr>
              <w:rPr>
                <w:rFonts w:cstheme="minorHAnsi"/>
              </w:rPr>
            </w:pPr>
            <w:r w:rsidRPr="00747637">
              <w:rPr>
                <w:rFonts w:cstheme="minorHAnsi"/>
              </w:rPr>
              <w:t xml:space="preserve">% (95%CI) </w:t>
            </w:r>
          </w:p>
        </w:tc>
        <w:tc>
          <w:tcPr>
            <w:tcW w:w="1218" w:type="dxa"/>
            <w:noWrap/>
            <w:hideMark/>
          </w:tcPr>
          <w:p w:rsidR="008C754F" w:rsidRPr="00747637" w:rsidRDefault="008C754F" w:rsidP="008C754F">
            <w:pPr>
              <w:rPr>
                <w:rFonts w:cstheme="minorHAnsi"/>
              </w:rPr>
            </w:pPr>
            <w:r w:rsidRPr="00747637">
              <w:rPr>
                <w:rFonts w:cstheme="minorHAnsi"/>
              </w:rPr>
              <w:t>n/n</w:t>
            </w:r>
          </w:p>
        </w:tc>
        <w:tc>
          <w:tcPr>
            <w:tcW w:w="2184" w:type="dxa"/>
            <w:noWrap/>
            <w:hideMark/>
          </w:tcPr>
          <w:p w:rsidR="008C754F" w:rsidRPr="00747637" w:rsidRDefault="008C754F" w:rsidP="008C754F">
            <w:pPr>
              <w:rPr>
                <w:rFonts w:cstheme="minorHAnsi"/>
              </w:rPr>
            </w:pPr>
            <w:r w:rsidRPr="00747637">
              <w:rPr>
                <w:rFonts w:cstheme="minorHAnsi"/>
              </w:rPr>
              <w:t xml:space="preserve">% (95% CI) </w:t>
            </w:r>
          </w:p>
        </w:tc>
      </w:tr>
      <w:tr w:rsidR="008C754F" w:rsidRPr="0069736A" w:rsidTr="008C754F">
        <w:trPr>
          <w:trHeight w:val="290"/>
        </w:trPr>
        <w:tc>
          <w:tcPr>
            <w:tcW w:w="1696" w:type="dxa"/>
            <w:noWrap/>
            <w:hideMark/>
          </w:tcPr>
          <w:p w:rsidR="008C754F" w:rsidRPr="00747637" w:rsidRDefault="008C754F" w:rsidP="008C754F">
            <w:pPr>
              <w:rPr>
                <w:rFonts w:cstheme="minorHAnsi"/>
              </w:rPr>
            </w:pPr>
            <w:r w:rsidRPr="00747637">
              <w:rPr>
                <w:rFonts w:cstheme="minorHAnsi"/>
              </w:rPr>
              <w:t xml:space="preserve">Prevalence  </w:t>
            </w:r>
          </w:p>
          <w:p w:rsidR="008C754F" w:rsidRPr="00747637" w:rsidRDefault="008C754F" w:rsidP="008C754F">
            <w:pPr>
              <w:rPr>
                <w:rFonts w:cstheme="minorHAnsi"/>
              </w:rPr>
            </w:pPr>
          </w:p>
        </w:tc>
        <w:tc>
          <w:tcPr>
            <w:tcW w:w="1119" w:type="dxa"/>
            <w:noWrap/>
            <w:hideMark/>
          </w:tcPr>
          <w:p w:rsidR="008C754F" w:rsidRPr="00747637" w:rsidRDefault="008C754F" w:rsidP="008C754F">
            <w:pPr>
              <w:rPr>
                <w:rFonts w:cstheme="minorHAnsi"/>
              </w:rPr>
            </w:pPr>
            <w:r w:rsidRPr="00747637">
              <w:rPr>
                <w:rFonts w:cstheme="minorHAnsi"/>
              </w:rPr>
              <w:t>177/469</w:t>
            </w:r>
          </w:p>
        </w:tc>
        <w:tc>
          <w:tcPr>
            <w:tcW w:w="2000" w:type="dxa"/>
            <w:noWrap/>
            <w:hideMark/>
          </w:tcPr>
          <w:p w:rsidR="008C754F" w:rsidRPr="00747637" w:rsidRDefault="008C754F" w:rsidP="008C754F">
            <w:pPr>
              <w:rPr>
                <w:rFonts w:cstheme="minorHAnsi"/>
              </w:rPr>
            </w:pPr>
            <w:r w:rsidRPr="00747637">
              <w:rPr>
                <w:rFonts w:cstheme="minorHAnsi"/>
              </w:rPr>
              <w:t>37</w:t>
            </w:r>
            <w:r>
              <w:rPr>
                <w:rFonts w:cstheme="minorHAnsi"/>
              </w:rPr>
              <w:t>·</w:t>
            </w:r>
            <w:r w:rsidRPr="00747637">
              <w:rPr>
                <w:rFonts w:cstheme="minorHAnsi"/>
              </w:rPr>
              <w:t>7 (33</w:t>
            </w:r>
            <w:r>
              <w:rPr>
                <w:rFonts w:cstheme="minorHAnsi"/>
              </w:rPr>
              <w:t>·</w:t>
            </w:r>
            <w:r w:rsidRPr="00747637">
              <w:rPr>
                <w:rFonts w:cstheme="minorHAnsi"/>
              </w:rPr>
              <w:t>3 to 42</w:t>
            </w:r>
            <w:r>
              <w:rPr>
                <w:rFonts w:cstheme="minorHAnsi"/>
              </w:rPr>
              <w:t>·</w:t>
            </w:r>
            <w:r w:rsidRPr="00747637">
              <w:rPr>
                <w:rFonts w:cstheme="minorHAnsi"/>
              </w:rPr>
              <w:t>3)</w:t>
            </w:r>
          </w:p>
        </w:tc>
        <w:tc>
          <w:tcPr>
            <w:tcW w:w="1218" w:type="dxa"/>
            <w:noWrap/>
            <w:hideMark/>
          </w:tcPr>
          <w:p w:rsidR="008C754F" w:rsidRPr="00747637" w:rsidRDefault="008C754F" w:rsidP="008C754F">
            <w:pPr>
              <w:rPr>
                <w:rFonts w:cstheme="minorHAnsi"/>
              </w:rPr>
            </w:pPr>
            <w:r w:rsidRPr="00747637">
              <w:rPr>
                <w:rFonts w:cstheme="minorHAnsi"/>
              </w:rPr>
              <w:t>177/469</w:t>
            </w:r>
          </w:p>
        </w:tc>
        <w:tc>
          <w:tcPr>
            <w:tcW w:w="2184" w:type="dxa"/>
            <w:noWrap/>
            <w:hideMark/>
          </w:tcPr>
          <w:p w:rsidR="008C754F" w:rsidRPr="00747637" w:rsidRDefault="008C754F" w:rsidP="008C754F">
            <w:pPr>
              <w:rPr>
                <w:rFonts w:cstheme="minorHAnsi"/>
              </w:rPr>
            </w:pPr>
            <w:r w:rsidRPr="00747637">
              <w:rPr>
                <w:rFonts w:cstheme="minorHAnsi"/>
              </w:rPr>
              <w:t>37</w:t>
            </w:r>
            <w:r>
              <w:rPr>
                <w:rFonts w:cstheme="minorHAnsi"/>
              </w:rPr>
              <w:t>·</w:t>
            </w:r>
            <w:r w:rsidRPr="00747637">
              <w:rPr>
                <w:rFonts w:cstheme="minorHAnsi"/>
              </w:rPr>
              <w:t>7 (33</w:t>
            </w:r>
            <w:r>
              <w:rPr>
                <w:rFonts w:cstheme="minorHAnsi"/>
              </w:rPr>
              <w:t>·</w:t>
            </w:r>
            <w:r w:rsidRPr="00747637">
              <w:rPr>
                <w:rFonts w:cstheme="minorHAnsi"/>
              </w:rPr>
              <w:t>3 to 42</w:t>
            </w:r>
            <w:r>
              <w:rPr>
                <w:rFonts w:cstheme="minorHAnsi"/>
              </w:rPr>
              <w:t>·</w:t>
            </w:r>
            <w:r w:rsidRPr="00747637">
              <w:rPr>
                <w:rFonts w:cstheme="minorHAnsi"/>
              </w:rPr>
              <w:t xml:space="preserve">3) </w:t>
            </w:r>
          </w:p>
        </w:tc>
      </w:tr>
      <w:tr w:rsidR="008C754F" w:rsidRPr="0069736A" w:rsidTr="008C754F">
        <w:trPr>
          <w:trHeight w:val="290"/>
        </w:trPr>
        <w:tc>
          <w:tcPr>
            <w:tcW w:w="1696" w:type="dxa"/>
            <w:noWrap/>
            <w:hideMark/>
          </w:tcPr>
          <w:p w:rsidR="008C754F" w:rsidRPr="00747637" w:rsidRDefault="008C754F" w:rsidP="008C754F">
            <w:pPr>
              <w:rPr>
                <w:rFonts w:cstheme="minorHAnsi"/>
              </w:rPr>
            </w:pPr>
            <w:r w:rsidRPr="00747637">
              <w:rPr>
                <w:rFonts w:cstheme="minorHAnsi"/>
              </w:rPr>
              <w:t xml:space="preserve">Sensitivity </w:t>
            </w:r>
          </w:p>
          <w:p w:rsidR="008C754F" w:rsidRPr="00747637" w:rsidRDefault="008C754F" w:rsidP="008C754F">
            <w:pPr>
              <w:rPr>
                <w:rFonts w:cstheme="minorHAnsi"/>
              </w:rPr>
            </w:pPr>
          </w:p>
        </w:tc>
        <w:tc>
          <w:tcPr>
            <w:tcW w:w="1119" w:type="dxa"/>
            <w:noWrap/>
            <w:hideMark/>
          </w:tcPr>
          <w:p w:rsidR="008C754F" w:rsidRPr="00747637" w:rsidRDefault="008C754F" w:rsidP="008C754F">
            <w:pPr>
              <w:rPr>
                <w:rFonts w:cstheme="minorHAnsi"/>
              </w:rPr>
            </w:pPr>
            <w:r w:rsidRPr="00747637">
              <w:rPr>
                <w:rFonts w:cstheme="minorHAnsi"/>
              </w:rPr>
              <w:t>176/177</w:t>
            </w:r>
          </w:p>
        </w:tc>
        <w:tc>
          <w:tcPr>
            <w:tcW w:w="2000" w:type="dxa"/>
            <w:noWrap/>
            <w:hideMark/>
          </w:tcPr>
          <w:p w:rsidR="008C754F" w:rsidRPr="00747637" w:rsidRDefault="008C754F" w:rsidP="008C754F">
            <w:pPr>
              <w:rPr>
                <w:rFonts w:cstheme="minorHAnsi"/>
              </w:rPr>
            </w:pPr>
            <w:r w:rsidRPr="00747637">
              <w:rPr>
                <w:rFonts w:cstheme="minorHAnsi"/>
              </w:rPr>
              <w:t>99</w:t>
            </w:r>
            <w:r>
              <w:rPr>
                <w:rFonts w:cstheme="minorHAnsi"/>
              </w:rPr>
              <w:t>·</w:t>
            </w:r>
            <w:r w:rsidRPr="00747637">
              <w:rPr>
                <w:rFonts w:cstheme="minorHAnsi"/>
              </w:rPr>
              <w:t>4  (96</w:t>
            </w:r>
            <w:r>
              <w:rPr>
                <w:rFonts w:cstheme="minorHAnsi"/>
              </w:rPr>
              <w:t>·</w:t>
            </w:r>
            <w:r w:rsidRPr="00747637">
              <w:rPr>
                <w:rFonts w:cstheme="minorHAnsi"/>
              </w:rPr>
              <w:t>9 to 100)</w:t>
            </w:r>
          </w:p>
        </w:tc>
        <w:tc>
          <w:tcPr>
            <w:tcW w:w="1218" w:type="dxa"/>
            <w:noWrap/>
            <w:hideMark/>
          </w:tcPr>
          <w:p w:rsidR="008C754F" w:rsidRPr="00747637" w:rsidRDefault="008C754F" w:rsidP="008C754F">
            <w:pPr>
              <w:rPr>
                <w:rFonts w:cstheme="minorHAnsi"/>
              </w:rPr>
            </w:pPr>
            <w:r w:rsidRPr="00747637">
              <w:rPr>
                <w:rFonts w:cstheme="minorHAnsi"/>
              </w:rPr>
              <w:t>152/177</w:t>
            </w:r>
          </w:p>
        </w:tc>
        <w:tc>
          <w:tcPr>
            <w:tcW w:w="2184" w:type="dxa"/>
            <w:noWrap/>
            <w:hideMark/>
          </w:tcPr>
          <w:p w:rsidR="008C754F" w:rsidRPr="00747637" w:rsidRDefault="008C754F" w:rsidP="008C754F">
            <w:pPr>
              <w:rPr>
                <w:rFonts w:cstheme="minorHAnsi"/>
              </w:rPr>
            </w:pPr>
            <w:r w:rsidRPr="00747637">
              <w:rPr>
                <w:rFonts w:cstheme="minorHAnsi"/>
              </w:rPr>
              <w:t>85</w:t>
            </w:r>
            <w:r>
              <w:rPr>
                <w:rFonts w:cstheme="minorHAnsi"/>
              </w:rPr>
              <w:t>·</w:t>
            </w:r>
            <w:r w:rsidRPr="00747637">
              <w:rPr>
                <w:rFonts w:cstheme="minorHAnsi"/>
              </w:rPr>
              <w:t>9 (79</w:t>
            </w:r>
            <w:r>
              <w:rPr>
                <w:rFonts w:cstheme="minorHAnsi"/>
              </w:rPr>
              <w:t>·</w:t>
            </w:r>
            <w:r w:rsidRPr="00747637">
              <w:rPr>
                <w:rFonts w:cstheme="minorHAnsi"/>
              </w:rPr>
              <w:t>9 to 90</w:t>
            </w:r>
            <w:r>
              <w:rPr>
                <w:rFonts w:cstheme="minorHAnsi"/>
              </w:rPr>
              <w:t>·</w:t>
            </w:r>
            <w:r w:rsidRPr="00747637">
              <w:rPr>
                <w:rFonts w:cstheme="minorHAnsi"/>
              </w:rPr>
              <w:t>7)</w:t>
            </w:r>
          </w:p>
        </w:tc>
      </w:tr>
      <w:tr w:rsidR="008C754F" w:rsidRPr="0069736A" w:rsidTr="008C754F">
        <w:trPr>
          <w:trHeight w:val="290"/>
        </w:trPr>
        <w:tc>
          <w:tcPr>
            <w:tcW w:w="1696" w:type="dxa"/>
            <w:noWrap/>
            <w:hideMark/>
          </w:tcPr>
          <w:p w:rsidR="008C754F" w:rsidRPr="00747637" w:rsidRDefault="008C754F" w:rsidP="008C754F">
            <w:pPr>
              <w:rPr>
                <w:rFonts w:cstheme="minorHAnsi"/>
              </w:rPr>
            </w:pPr>
            <w:r w:rsidRPr="00747637">
              <w:rPr>
                <w:rFonts w:cstheme="minorHAnsi"/>
              </w:rPr>
              <w:t xml:space="preserve">Specificity </w:t>
            </w:r>
          </w:p>
          <w:p w:rsidR="008C754F" w:rsidRPr="00747637" w:rsidRDefault="008C754F" w:rsidP="008C754F">
            <w:pPr>
              <w:rPr>
                <w:rFonts w:cstheme="minorHAnsi"/>
              </w:rPr>
            </w:pPr>
          </w:p>
        </w:tc>
        <w:tc>
          <w:tcPr>
            <w:tcW w:w="1119" w:type="dxa"/>
            <w:noWrap/>
            <w:hideMark/>
          </w:tcPr>
          <w:p w:rsidR="008C754F" w:rsidRPr="00747637" w:rsidRDefault="008C754F" w:rsidP="008C754F">
            <w:pPr>
              <w:rPr>
                <w:rFonts w:cstheme="minorHAnsi"/>
              </w:rPr>
            </w:pPr>
            <w:r w:rsidRPr="00747637">
              <w:rPr>
                <w:rFonts w:cstheme="minorHAnsi"/>
              </w:rPr>
              <w:t>288/292</w:t>
            </w:r>
          </w:p>
        </w:tc>
        <w:tc>
          <w:tcPr>
            <w:tcW w:w="2000" w:type="dxa"/>
            <w:noWrap/>
            <w:hideMark/>
          </w:tcPr>
          <w:p w:rsidR="008C754F" w:rsidRPr="00747637" w:rsidRDefault="008C754F" w:rsidP="008C754F">
            <w:pPr>
              <w:rPr>
                <w:rFonts w:cstheme="minorHAnsi"/>
              </w:rPr>
            </w:pPr>
            <w:r w:rsidRPr="00747637">
              <w:rPr>
                <w:rFonts w:cstheme="minorHAnsi"/>
              </w:rPr>
              <w:t>98</w:t>
            </w:r>
            <w:r>
              <w:rPr>
                <w:rFonts w:cstheme="minorHAnsi"/>
              </w:rPr>
              <w:t>·</w:t>
            </w:r>
            <w:r w:rsidRPr="00747637">
              <w:rPr>
                <w:rFonts w:cstheme="minorHAnsi"/>
              </w:rPr>
              <w:t>6 (96</w:t>
            </w:r>
            <w:r>
              <w:rPr>
                <w:rFonts w:cstheme="minorHAnsi"/>
              </w:rPr>
              <w:t>·</w:t>
            </w:r>
            <w:r w:rsidRPr="00747637">
              <w:rPr>
                <w:rFonts w:cstheme="minorHAnsi"/>
              </w:rPr>
              <w:t>5 to 99</w:t>
            </w:r>
            <w:r>
              <w:rPr>
                <w:rFonts w:cstheme="minorHAnsi"/>
              </w:rPr>
              <w:t>·</w:t>
            </w:r>
            <w:r w:rsidRPr="00747637">
              <w:rPr>
                <w:rFonts w:cstheme="minorHAnsi"/>
              </w:rPr>
              <w:t>6)</w:t>
            </w:r>
          </w:p>
        </w:tc>
        <w:tc>
          <w:tcPr>
            <w:tcW w:w="1218" w:type="dxa"/>
            <w:noWrap/>
            <w:hideMark/>
          </w:tcPr>
          <w:p w:rsidR="008C754F" w:rsidRPr="00747637" w:rsidRDefault="008C754F" w:rsidP="008C754F">
            <w:pPr>
              <w:rPr>
                <w:rFonts w:cstheme="minorHAnsi"/>
              </w:rPr>
            </w:pPr>
            <w:r w:rsidRPr="00747637">
              <w:rPr>
                <w:rFonts w:cstheme="minorHAnsi"/>
              </w:rPr>
              <w:t>289/292</w:t>
            </w:r>
          </w:p>
        </w:tc>
        <w:tc>
          <w:tcPr>
            <w:tcW w:w="2184" w:type="dxa"/>
            <w:noWrap/>
            <w:hideMark/>
          </w:tcPr>
          <w:p w:rsidR="008C754F" w:rsidRPr="00747637" w:rsidRDefault="008C754F" w:rsidP="008C754F">
            <w:pPr>
              <w:rPr>
                <w:rFonts w:cstheme="minorHAnsi"/>
              </w:rPr>
            </w:pPr>
            <w:r w:rsidRPr="00747637">
              <w:rPr>
                <w:rFonts w:cstheme="minorHAnsi"/>
              </w:rPr>
              <w:t>98</w:t>
            </w:r>
            <w:r>
              <w:rPr>
                <w:rFonts w:cstheme="minorHAnsi"/>
              </w:rPr>
              <w:t>·</w:t>
            </w:r>
            <w:r w:rsidRPr="00747637">
              <w:rPr>
                <w:rFonts w:cstheme="minorHAnsi"/>
              </w:rPr>
              <w:t>9 (97</w:t>
            </w:r>
            <w:r>
              <w:rPr>
                <w:rFonts w:cstheme="minorHAnsi"/>
              </w:rPr>
              <w:t>·</w:t>
            </w:r>
            <w:r w:rsidRPr="00747637">
              <w:rPr>
                <w:rFonts w:cstheme="minorHAnsi"/>
              </w:rPr>
              <w:t>0 to 99</w:t>
            </w:r>
            <w:r>
              <w:rPr>
                <w:rFonts w:cstheme="minorHAnsi"/>
              </w:rPr>
              <w:t>·</w:t>
            </w:r>
            <w:r w:rsidRPr="00747637">
              <w:rPr>
                <w:rFonts w:cstheme="minorHAnsi"/>
              </w:rPr>
              <w:t>8)</w:t>
            </w:r>
          </w:p>
        </w:tc>
      </w:tr>
      <w:tr w:rsidR="008C754F" w:rsidRPr="0069736A" w:rsidTr="008C754F">
        <w:trPr>
          <w:trHeight w:val="290"/>
        </w:trPr>
        <w:tc>
          <w:tcPr>
            <w:tcW w:w="1696" w:type="dxa"/>
            <w:noWrap/>
            <w:hideMark/>
          </w:tcPr>
          <w:p w:rsidR="008C754F" w:rsidRPr="00747637" w:rsidRDefault="008C754F" w:rsidP="008C754F">
            <w:pPr>
              <w:rPr>
                <w:rFonts w:cstheme="minorHAnsi"/>
              </w:rPr>
            </w:pPr>
            <w:r w:rsidRPr="00747637">
              <w:rPr>
                <w:rFonts w:cstheme="minorHAnsi"/>
              </w:rPr>
              <w:t>Positive Likelihood ratio</w:t>
            </w:r>
          </w:p>
        </w:tc>
        <w:tc>
          <w:tcPr>
            <w:tcW w:w="1119" w:type="dxa"/>
            <w:noWrap/>
            <w:hideMark/>
          </w:tcPr>
          <w:p w:rsidR="008C754F" w:rsidRPr="00747637" w:rsidRDefault="008C754F" w:rsidP="008C754F">
            <w:pPr>
              <w:rPr>
                <w:rFonts w:cstheme="minorHAnsi"/>
              </w:rPr>
            </w:pPr>
            <w:r w:rsidRPr="00747637">
              <w:rPr>
                <w:rFonts w:cstheme="minorHAnsi"/>
              </w:rPr>
              <w:t xml:space="preserve"> - </w:t>
            </w:r>
          </w:p>
        </w:tc>
        <w:tc>
          <w:tcPr>
            <w:tcW w:w="2000" w:type="dxa"/>
            <w:noWrap/>
            <w:hideMark/>
          </w:tcPr>
          <w:p w:rsidR="008C754F" w:rsidRPr="00747637" w:rsidRDefault="008C754F" w:rsidP="008C754F">
            <w:pPr>
              <w:rPr>
                <w:rFonts w:cstheme="minorHAnsi"/>
              </w:rPr>
            </w:pPr>
            <w:r w:rsidRPr="00747637">
              <w:rPr>
                <w:rFonts w:cstheme="minorHAnsi"/>
              </w:rPr>
              <w:t>72</w:t>
            </w:r>
            <w:r>
              <w:rPr>
                <w:rFonts w:cstheme="minorHAnsi"/>
              </w:rPr>
              <w:t>·</w:t>
            </w:r>
            <w:r w:rsidRPr="00747637">
              <w:rPr>
                <w:rFonts w:cstheme="minorHAnsi"/>
              </w:rPr>
              <w:t>6 (27</w:t>
            </w:r>
            <w:r>
              <w:rPr>
                <w:rFonts w:cstheme="minorHAnsi"/>
              </w:rPr>
              <w:t>·</w:t>
            </w:r>
            <w:r w:rsidRPr="00747637">
              <w:rPr>
                <w:rFonts w:cstheme="minorHAnsi"/>
              </w:rPr>
              <w:t>4 to 192</w:t>
            </w:r>
            <w:r>
              <w:rPr>
                <w:rFonts w:cstheme="minorHAnsi"/>
              </w:rPr>
              <w:t>·</w:t>
            </w:r>
            <w:r w:rsidRPr="00747637">
              <w:rPr>
                <w:rFonts w:cstheme="minorHAnsi"/>
              </w:rPr>
              <w:t>1)</w:t>
            </w:r>
          </w:p>
        </w:tc>
        <w:tc>
          <w:tcPr>
            <w:tcW w:w="1218" w:type="dxa"/>
            <w:noWrap/>
            <w:hideMark/>
          </w:tcPr>
          <w:p w:rsidR="008C754F" w:rsidRPr="00747637" w:rsidRDefault="008C754F" w:rsidP="008C754F">
            <w:pPr>
              <w:rPr>
                <w:rFonts w:cstheme="minorHAnsi"/>
              </w:rPr>
            </w:pPr>
            <w:r w:rsidRPr="00747637">
              <w:rPr>
                <w:rFonts w:cstheme="minorHAnsi"/>
              </w:rPr>
              <w:t xml:space="preserve"> - </w:t>
            </w:r>
          </w:p>
        </w:tc>
        <w:tc>
          <w:tcPr>
            <w:tcW w:w="2184" w:type="dxa"/>
            <w:noWrap/>
            <w:hideMark/>
          </w:tcPr>
          <w:p w:rsidR="008C754F" w:rsidRPr="00747637" w:rsidRDefault="008C754F" w:rsidP="008C754F">
            <w:pPr>
              <w:rPr>
                <w:rFonts w:cstheme="minorHAnsi"/>
              </w:rPr>
            </w:pPr>
            <w:r w:rsidRPr="00747637">
              <w:rPr>
                <w:rFonts w:cstheme="minorHAnsi"/>
              </w:rPr>
              <w:t>83</w:t>
            </w:r>
            <w:r>
              <w:rPr>
                <w:rFonts w:cstheme="minorHAnsi"/>
              </w:rPr>
              <w:t>·</w:t>
            </w:r>
            <w:r w:rsidRPr="00747637">
              <w:rPr>
                <w:rFonts w:cstheme="minorHAnsi"/>
              </w:rPr>
              <w:t>6 (27</w:t>
            </w:r>
            <w:r>
              <w:rPr>
                <w:rFonts w:cstheme="minorHAnsi"/>
              </w:rPr>
              <w:t>·</w:t>
            </w:r>
            <w:r w:rsidRPr="00747637">
              <w:rPr>
                <w:rFonts w:cstheme="minorHAnsi"/>
              </w:rPr>
              <w:t>1 to 258</w:t>
            </w:r>
            <w:r>
              <w:rPr>
                <w:rFonts w:cstheme="minorHAnsi"/>
              </w:rPr>
              <w:t>·</w:t>
            </w:r>
            <w:r w:rsidRPr="00747637">
              <w:rPr>
                <w:rFonts w:cstheme="minorHAnsi"/>
              </w:rPr>
              <w:t>1)</w:t>
            </w:r>
          </w:p>
        </w:tc>
      </w:tr>
      <w:tr w:rsidR="008C754F" w:rsidRPr="0069736A" w:rsidTr="008C754F">
        <w:trPr>
          <w:trHeight w:val="290"/>
        </w:trPr>
        <w:tc>
          <w:tcPr>
            <w:tcW w:w="1696" w:type="dxa"/>
            <w:noWrap/>
            <w:hideMark/>
          </w:tcPr>
          <w:p w:rsidR="008C754F" w:rsidRPr="00747637" w:rsidRDefault="008C754F" w:rsidP="008C754F">
            <w:pPr>
              <w:rPr>
                <w:rFonts w:cstheme="minorHAnsi"/>
              </w:rPr>
            </w:pPr>
            <w:r w:rsidRPr="00747637">
              <w:rPr>
                <w:rFonts w:cstheme="minorHAnsi"/>
              </w:rPr>
              <w:t>Negative Likelihood ratio</w:t>
            </w:r>
          </w:p>
        </w:tc>
        <w:tc>
          <w:tcPr>
            <w:tcW w:w="1119" w:type="dxa"/>
            <w:noWrap/>
            <w:hideMark/>
          </w:tcPr>
          <w:p w:rsidR="008C754F" w:rsidRPr="00747637" w:rsidRDefault="008C754F" w:rsidP="008C754F">
            <w:pPr>
              <w:rPr>
                <w:rFonts w:cstheme="minorHAnsi"/>
              </w:rPr>
            </w:pPr>
            <w:r w:rsidRPr="00747637">
              <w:rPr>
                <w:rFonts w:cstheme="minorHAnsi"/>
              </w:rPr>
              <w:t xml:space="preserve"> - </w:t>
            </w:r>
          </w:p>
        </w:tc>
        <w:tc>
          <w:tcPr>
            <w:tcW w:w="2000" w:type="dxa"/>
            <w:noWrap/>
            <w:hideMark/>
          </w:tcPr>
          <w:p w:rsidR="008C754F" w:rsidRPr="00747637" w:rsidRDefault="008C754F" w:rsidP="008C754F">
            <w:pPr>
              <w:rPr>
                <w:rFonts w:cstheme="minorHAnsi"/>
              </w:rPr>
            </w:pPr>
            <w:r w:rsidRPr="00747637">
              <w:rPr>
                <w:rFonts w:cstheme="minorHAnsi"/>
              </w:rPr>
              <w:t>0</w:t>
            </w:r>
            <w:r>
              <w:rPr>
                <w:rFonts w:cstheme="minorHAnsi"/>
              </w:rPr>
              <w:t>·</w:t>
            </w:r>
            <w:r w:rsidRPr="00747637">
              <w:rPr>
                <w:rFonts w:cstheme="minorHAnsi"/>
              </w:rPr>
              <w:t>01 (0</w:t>
            </w:r>
            <w:r>
              <w:rPr>
                <w:rFonts w:cstheme="minorHAnsi"/>
              </w:rPr>
              <w:t>·</w:t>
            </w:r>
            <w:r w:rsidRPr="00747637">
              <w:rPr>
                <w:rFonts w:cstheme="minorHAnsi"/>
              </w:rPr>
              <w:t>0 to 0</w:t>
            </w:r>
            <w:r>
              <w:rPr>
                <w:rFonts w:cstheme="minorHAnsi"/>
              </w:rPr>
              <w:t>·</w:t>
            </w:r>
            <w:r w:rsidRPr="00747637">
              <w:rPr>
                <w:rFonts w:cstheme="minorHAnsi"/>
              </w:rPr>
              <w:t>04)</w:t>
            </w:r>
          </w:p>
        </w:tc>
        <w:tc>
          <w:tcPr>
            <w:tcW w:w="1218" w:type="dxa"/>
            <w:noWrap/>
            <w:hideMark/>
          </w:tcPr>
          <w:p w:rsidR="008C754F" w:rsidRPr="00747637" w:rsidRDefault="008C754F" w:rsidP="008C754F">
            <w:pPr>
              <w:rPr>
                <w:rFonts w:cstheme="minorHAnsi"/>
              </w:rPr>
            </w:pPr>
            <w:r w:rsidRPr="00747637">
              <w:rPr>
                <w:rFonts w:cstheme="minorHAnsi"/>
              </w:rPr>
              <w:t xml:space="preserve"> - </w:t>
            </w:r>
          </w:p>
        </w:tc>
        <w:tc>
          <w:tcPr>
            <w:tcW w:w="2184" w:type="dxa"/>
            <w:noWrap/>
            <w:hideMark/>
          </w:tcPr>
          <w:p w:rsidR="008C754F" w:rsidRPr="00747637" w:rsidRDefault="008C754F" w:rsidP="008C754F">
            <w:pPr>
              <w:rPr>
                <w:rFonts w:cstheme="minorHAnsi"/>
              </w:rPr>
            </w:pPr>
            <w:r w:rsidRPr="00747637">
              <w:rPr>
                <w:rFonts w:cstheme="minorHAnsi"/>
              </w:rPr>
              <w:t>0</w:t>
            </w:r>
            <w:r>
              <w:rPr>
                <w:rFonts w:cstheme="minorHAnsi"/>
              </w:rPr>
              <w:t>·</w:t>
            </w:r>
            <w:r w:rsidRPr="00747637">
              <w:rPr>
                <w:rFonts w:cstheme="minorHAnsi"/>
              </w:rPr>
              <w:t>14 (0</w:t>
            </w:r>
            <w:r>
              <w:rPr>
                <w:rFonts w:cstheme="minorHAnsi"/>
              </w:rPr>
              <w:t>·</w:t>
            </w:r>
            <w:r w:rsidRPr="00747637">
              <w:rPr>
                <w:rFonts w:cstheme="minorHAnsi"/>
              </w:rPr>
              <w:t>1 to 0</w:t>
            </w:r>
            <w:r>
              <w:rPr>
                <w:rFonts w:cstheme="minorHAnsi"/>
              </w:rPr>
              <w:t>·</w:t>
            </w:r>
            <w:r w:rsidRPr="00747637">
              <w:rPr>
                <w:rFonts w:cstheme="minorHAnsi"/>
              </w:rPr>
              <w:t>21)</w:t>
            </w:r>
          </w:p>
        </w:tc>
      </w:tr>
      <w:tr w:rsidR="008C754F" w:rsidRPr="0069736A" w:rsidTr="008C754F">
        <w:trPr>
          <w:trHeight w:val="290"/>
        </w:trPr>
        <w:tc>
          <w:tcPr>
            <w:tcW w:w="1696" w:type="dxa"/>
            <w:noWrap/>
            <w:hideMark/>
          </w:tcPr>
          <w:p w:rsidR="008C754F" w:rsidRPr="00747637" w:rsidRDefault="008C754F" w:rsidP="008C754F">
            <w:pPr>
              <w:rPr>
                <w:rFonts w:cstheme="minorHAnsi"/>
              </w:rPr>
            </w:pPr>
            <w:r w:rsidRPr="00747637">
              <w:rPr>
                <w:rFonts w:cstheme="minorHAnsi"/>
              </w:rPr>
              <w:t xml:space="preserve">Positive predictive value </w:t>
            </w:r>
          </w:p>
        </w:tc>
        <w:tc>
          <w:tcPr>
            <w:tcW w:w="1119" w:type="dxa"/>
            <w:noWrap/>
            <w:hideMark/>
          </w:tcPr>
          <w:p w:rsidR="008C754F" w:rsidRPr="00747637" w:rsidRDefault="008C754F" w:rsidP="008C754F">
            <w:pPr>
              <w:rPr>
                <w:rFonts w:cstheme="minorHAnsi"/>
              </w:rPr>
            </w:pPr>
            <w:r w:rsidRPr="00747637">
              <w:rPr>
                <w:rFonts w:cstheme="minorHAnsi"/>
              </w:rPr>
              <w:t>176/180</w:t>
            </w:r>
          </w:p>
        </w:tc>
        <w:tc>
          <w:tcPr>
            <w:tcW w:w="2000" w:type="dxa"/>
            <w:noWrap/>
            <w:hideMark/>
          </w:tcPr>
          <w:p w:rsidR="008C754F" w:rsidRPr="00747637" w:rsidRDefault="008C754F" w:rsidP="008C754F">
            <w:pPr>
              <w:rPr>
                <w:rFonts w:cstheme="minorHAnsi"/>
              </w:rPr>
            </w:pPr>
            <w:r w:rsidRPr="00747637">
              <w:rPr>
                <w:rFonts w:cstheme="minorHAnsi"/>
              </w:rPr>
              <w:t>97</w:t>
            </w:r>
            <w:r>
              <w:rPr>
                <w:rFonts w:cstheme="minorHAnsi"/>
              </w:rPr>
              <w:t>·</w:t>
            </w:r>
            <w:r w:rsidRPr="00747637">
              <w:rPr>
                <w:rFonts w:cstheme="minorHAnsi"/>
              </w:rPr>
              <w:t>8 (94</w:t>
            </w:r>
            <w:r>
              <w:rPr>
                <w:rFonts w:cstheme="minorHAnsi"/>
              </w:rPr>
              <w:t>·</w:t>
            </w:r>
            <w:r w:rsidRPr="00747637">
              <w:rPr>
                <w:rFonts w:cstheme="minorHAnsi"/>
              </w:rPr>
              <w:t>3 to 99</w:t>
            </w:r>
            <w:r>
              <w:rPr>
                <w:rFonts w:cstheme="minorHAnsi"/>
              </w:rPr>
              <w:t>·</w:t>
            </w:r>
            <w:r w:rsidRPr="00747637">
              <w:rPr>
                <w:rFonts w:cstheme="minorHAnsi"/>
              </w:rPr>
              <w:t>2)</w:t>
            </w:r>
          </w:p>
        </w:tc>
        <w:tc>
          <w:tcPr>
            <w:tcW w:w="1218" w:type="dxa"/>
            <w:noWrap/>
            <w:hideMark/>
          </w:tcPr>
          <w:p w:rsidR="008C754F" w:rsidRPr="00747637" w:rsidRDefault="008C754F" w:rsidP="008C754F">
            <w:pPr>
              <w:rPr>
                <w:rFonts w:cstheme="minorHAnsi"/>
              </w:rPr>
            </w:pPr>
            <w:r w:rsidRPr="00747637">
              <w:rPr>
                <w:rFonts w:cstheme="minorHAnsi"/>
              </w:rPr>
              <w:t>152/155</w:t>
            </w:r>
          </w:p>
        </w:tc>
        <w:tc>
          <w:tcPr>
            <w:tcW w:w="2184" w:type="dxa"/>
            <w:noWrap/>
            <w:hideMark/>
          </w:tcPr>
          <w:p w:rsidR="008C754F" w:rsidRPr="00747637" w:rsidRDefault="008C754F" w:rsidP="008C754F">
            <w:pPr>
              <w:rPr>
                <w:rFonts w:cstheme="minorHAnsi"/>
              </w:rPr>
            </w:pPr>
            <w:r w:rsidRPr="00747637">
              <w:rPr>
                <w:rFonts w:cstheme="minorHAnsi"/>
              </w:rPr>
              <w:t>98</w:t>
            </w:r>
            <w:r>
              <w:rPr>
                <w:rFonts w:cstheme="minorHAnsi"/>
              </w:rPr>
              <w:t>·</w:t>
            </w:r>
            <w:r w:rsidRPr="00747637">
              <w:rPr>
                <w:rFonts w:cstheme="minorHAnsi"/>
              </w:rPr>
              <w:t>1 (94</w:t>
            </w:r>
            <w:r>
              <w:rPr>
                <w:rFonts w:cstheme="minorHAnsi"/>
              </w:rPr>
              <w:t>·</w:t>
            </w:r>
            <w:r w:rsidRPr="00747637">
              <w:rPr>
                <w:rFonts w:cstheme="minorHAnsi"/>
              </w:rPr>
              <w:t>3 to 99</w:t>
            </w:r>
            <w:r>
              <w:rPr>
                <w:rFonts w:cstheme="minorHAnsi"/>
              </w:rPr>
              <w:t>·</w:t>
            </w:r>
            <w:r w:rsidRPr="00747637">
              <w:rPr>
                <w:rFonts w:cstheme="minorHAnsi"/>
              </w:rPr>
              <w:t>4)</w:t>
            </w:r>
          </w:p>
        </w:tc>
      </w:tr>
      <w:tr w:rsidR="008C754F" w:rsidRPr="0069736A" w:rsidTr="008C754F">
        <w:trPr>
          <w:trHeight w:val="290"/>
        </w:trPr>
        <w:tc>
          <w:tcPr>
            <w:tcW w:w="1696" w:type="dxa"/>
            <w:noWrap/>
            <w:hideMark/>
          </w:tcPr>
          <w:p w:rsidR="008C754F" w:rsidRPr="00BC4DB2" w:rsidRDefault="008C754F" w:rsidP="008C754F">
            <w:pPr>
              <w:rPr>
                <w:rFonts w:cstheme="minorHAnsi"/>
              </w:rPr>
            </w:pPr>
            <w:r w:rsidRPr="00BC4DB2">
              <w:rPr>
                <w:rFonts w:cstheme="minorHAnsi"/>
              </w:rPr>
              <w:t xml:space="preserve">Negative predictive value </w:t>
            </w:r>
          </w:p>
        </w:tc>
        <w:tc>
          <w:tcPr>
            <w:tcW w:w="1119" w:type="dxa"/>
            <w:noWrap/>
            <w:hideMark/>
          </w:tcPr>
          <w:p w:rsidR="008C754F" w:rsidRPr="00BC4DB2" w:rsidRDefault="009579C2" w:rsidP="008C754F">
            <w:pPr>
              <w:rPr>
                <w:rFonts w:cstheme="minorHAnsi"/>
              </w:rPr>
            </w:pPr>
            <w:r w:rsidRPr="00BC4DB2">
              <w:rPr>
                <w:rFonts w:cstheme="minorHAnsi"/>
              </w:rPr>
              <w:t>288/289</w:t>
            </w:r>
          </w:p>
        </w:tc>
        <w:tc>
          <w:tcPr>
            <w:tcW w:w="2000" w:type="dxa"/>
            <w:noWrap/>
            <w:hideMark/>
          </w:tcPr>
          <w:p w:rsidR="008C754F" w:rsidRPr="00BC4DB2" w:rsidRDefault="008C754F" w:rsidP="008C754F">
            <w:pPr>
              <w:rPr>
                <w:rFonts w:cstheme="minorHAnsi"/>
              </w:rPr>
            </w:pPr>
            <w:r w:rsidRPr="00BC4DB2">
              <w:rPr>
                <w:rFonts w:cstheme="minorHAnsi"/>
              </w:rPr>
              <w:t>99·7 (97·6 to 99·9)</w:t>
            </w:r>
          </w:p>
        </w:tc>
        <w:tc>
          <w:tcPr>
            <w:tcW w:w="1218" w:type="dxa"/>
            <w:noWrap/>
            <w:hideMark/>
          </w:tcPr>
          <w:p w:rsidR="008C754F" w:rsidRPr="00747637" w:rsidRDefault="008C754F" w:rsidP="008C754F">
            <w:pPr>
              <w:rPr>
                <w:rFonts w:cstheme="minorHAnsi"/>
              </w:rPr>
            </w:pPr>
            <w:r w:rsidRPr="00747637">
              <w:rPr>
                <w:rFonts w:cstheme="minorHAnsi"/>
              </w:rPr>
              <w:t>289/314</w:t>
            </w:r>
          </w:p>
        </w:tc>
        <w:tc>
          <w:tcPr>
            <w:tcW w:w="2184" w:type="dxa"/>
            <w:noWrap/>
            <w:hideMark/>
          </w:tcPr>
          <w:p w:rsidR="008C754F" w:rsidRPr="00747637" w:rsidRDefault="008C754F" w:rsidP="008C754F">
            <w:pPr>
              <w:rPr>
                <w:rFonts w:cstheme="minorHAnsi"/>
              </w:rPr>
            </w:pPr>
            <w:r w:rsidRPr="00747637">
              <w:rPr>
                <w:rFonts w:cstheme="minorHAnsi"/>
              </w:rPr>
              <w:t>92</w:t>
            </w:r>
            <w:r>
              <w:rPr>
                <w:rFonts w:cstheme="minorHAnsi"/>
              </w:rPr>
              <w:t>·</w:t>
            </w:r>
            <w:r w:rsidRPr="00747637">
              <w:rPr>
                <w:rFonts w:cstheme="minorHAnsi"/>
              </w:rPr>
              <w:t>1 (88</w:t>
            </w:r>
            <w:r>
              <w:rPr>
                <w:rFonts w:cstheme="minorHAnsi"/>
              </w:rPr>
              <w:t>·</w:t>
            </w:r>
            <w:r w:rsidRPr="00747637">
              <w:rPr>
                <w:rFonts w:cstheme="minorHAnsi"/>
              </w:rPr>
              <w:t>9 to 94</w:t>
            </w:r>
            <w:r>
              <w:rPr>
                <w:rFonts w:cstheme="minorHAnsi"/>
              </w:rPr>
              <w:t>·</w:t>
            </w:r>
            <w:r w:rsidRPr="00747637">
              <w:rPr>
                <w:rFonts w:cstheme="minorHAnsi"/>
              </w:rPr>
              <w:t xml:space="preserve">3) </w:t>
            </w:r>
          </w:p>
        </w:tc>
      </w:tr>
      <w:tr w:rsidR="008C754F" w:rsidRPr="0069736A" w:rsidTr="008C754F">
        <w:trPr>
          <w:trHeight w:val="290"/>
        </w:trPr>
        <w:tc>
          <w:tcPr>
            <w:tcW w:w="1696" w:type="dxa"/>
            <w:tcBorders>
              <w:bottom w:val="single" w:sz="4" w:space="0" w:color="auto"/>
            </w:tcBorders>
            <w:noWrap/>
            <w:hideMark/>
          </w:tcPr>
          <w:p w:rsidR="008C754F" w:rsidRPr="00747637" w:rsidRDefault="008C754F" w:rsidP="008C754F">
            <w:pPr>
              <w:rPr>
                <w:rFonts w:cstheme="minorHAnsi"/>
              </w:rPr>
            </w:pPr>
            <w:r w:rsidRPr="00747637">
              <w:rPr>
                <w:rFonts w:cstheme="minorHAnsi"/>
              </w:rPr>
              <w:t xml:space="preserve">Overall </w:t>
            </w:r>
          </w:p>
          <w:p w:rsidR="008C754F" w:rsidRPr="00747637" w:rsidRDefault="008C754F" w:rsidP="008C754F">
            <w:pPr>
              <w:rPr>
                <w:rFonts w:cstheme="minorHAnsi"/>
              </w:rPr>
            </w:pPr>
            <w:r w:rsidRPr="00747637">
              <w:rPr>
                <w:rFonts w:cstheme="minorHAnsi"/>
              </w:rPr>
              <w:t xml:space="preserve">accuracy </w:t>
            </w:r>
          </w:p>
        </w:tc>
        <w:tc>
          <w:tcPr>
            <w:tcW w:w="1119" w:type="dxa"/>
            <w:tcBorders>
              <w:bottom w:val="single" w:sz="4" w:space="0" w:color="auto"/>
            </w:tcBorders>
            <w:noWrap/>
            <w:hideMark/>
          </w:tcPr>
          <w:p w:rsidR="008C754F" w:rsidRPr="00747637" w:rsidRDefault="008C754F" w:rsidP="008C754F">
            <w:pPr>
              <w:rPr>
                <w:rFonts w:cstheme="minorHAnsi"/>
              </w:rPr>
            </w:pPr>
            <w:r w:rsidRPr="00747637">
              <w:rPr>
                <w:rFonts w:cstheme="minorHAnsi"/>
              </w:rPr>
              <w:t>464/469</w:t>
            </w:r>
          </w:p>
        </w:tc>
        <w:tc>
          <w:tcPr>
            <w:tcW w:w="2000" w:type="dxa"/>
            <w:tcBorders>
              <w:bottom w:val="single" w:sz="4" w:space="0" w:color="auto"/>
            </w:tcBorders>
            <w:noWrap/>
            <w:hideMark/>
          </w:tcPr>
          <w:p w:rsidR="008C754F" w:rsidRPr="00747637" w:rsidRDefault="008C754F" w:rsidP="008C754F">
            <w:pPr>
              <w:rPr>
                <w:rFonts w:cstheme="minorHAnsi"/>
              </w:rPr>
            </w:pPr>
            <w:r w:rsidRPr="00747637">
              <w:rPr>
                <w:rFonts w:cstheme="minorHAnsi"/>
              </w:rPr>
              <w:t>98</w:t>
            </w:r>
            <w:r>
              <w:rPr>
                <w:rFonts w:cstheme="minorHAnsi"/>
              </w:rPr>
              <w:t>·</w:t>
            </w:r>
            <w:r w:rsidRPr="00747637">
              <w:rPr>
                <w:rFonts w:cstheme="minorHAnsi"/>
              </w:rPr>
              <w:t>9 (97</w:t>
            </w:r>
            <w:r>
              <w:rPr>
                <w:rFonts w:cstheme="minorHAnsi"/>
              </w:rPr>
              <w:t>·</w:t>
            </w:r>
            <w:r w:rsidRPr="00747637">
              <w:rPr>
                <w:rFonts w:cstheme="minorHAnsi"/>
              </w:rPr>
              <w:t>5 to 99</w:t>
            </w:r>
            <w:r>
              <w:rPr>
                <w:rFonts w:cstheme="minorHAnsi"/>
              </w:rPr>
              <w:t>·</w:t>
            </w:r>
            <w:r w:rsidRPr="00747637">
              <w:rPr>
                <w:rFonts w:cstheme="minorHAnsi"/>
              </w:rPr>
              <w:t>7)</w:t>
            </w:r>
          </w:p>
        </w:tc>
        <w:tc>
          <w:tcPr>
            <w:tcW w:w="1218" w:type="dxa"/>
            <w:tcBorders>
              <w:bottom w:val="single" w:sz="4" w:space="0" w:color="auto"/>
            </w:tcBorders>
            <w:noWrap/>
            <w:hideMark/>
          </w:tcPr>
          <w:p w:rsidR="008C754F" w:rsidRPr="00747637" w:rsidRDefault="008C754F" w:rsidP="008C754F">
            <w:pPr>
              <w:rPr>
                <w:rFonts w:cstheme="minorHAnsi"/>
              </w:rPr>
            </w:pPr>
            <w:r w:rsidRPr="00747637">
              <w:rPr>
                <w:rFonts w:cstheme="minorHAnsi"/>
              </w:rPr>
              <w:t>441/469</w:t>
            </w:r>
          </w:p>
        </w:tc>
        <w:tc>
          <w:tcPr>
            <w:tcW w:w="2184" w:type="dxa"/>
            <w:tcBorders>
              <w:bottom w:val="single" w:sz="4" w:space="0" w:color="auto"/>
            </w:tcBorders>
            <w:noWrap/>
            <w:hideMark/>
          </w:tcPr>
          <w:p w:rsidR="008C754F" w:rsidRPr="00747637" w:rsidRDefault="008C754F" w:rsidP="008C754F">
            <w:pPr>
              <w:rPr>
                <w:rFonts w:cstheme="minorHAnsi"/>
              </w:rPr>
            </w:pPr>
            <w:r w:rsidRPr="00747637">
              <w:rPr>
                <w:rFonts w:cstheme="minorHAnsi"/>
              </w:rPr>
              <w:t>94</w:t>
            </w:r>
            <w:r>
              <w:rPr>
                <w:rFonts w:cstheme="minorHAnsi"/>
              </w:rPr>
              <w:t>·</w:t>
            </w:r>
            <w:r w:rsidRPr="00747637">
              <w:rPr>
                <w:rFonts w:cstheme="minorHAnsi"/>
              </w:rPr>
              <w:t>0 (91</w:t>
            </w:r>
            <w:r>
              <w:rPr>
                <w:rFonts w:cstheme="minorHAnsi"/>
              </w:rPr>
              <w:t>·</w:t>
            </w:r>
            <w:r w:rsidRPr="00747637">
              <w:rPr>
                <w:rFonts w:cstheme="minorHAnsi"/>
              </w:rPr>
              <w:t>5 to 96</w:t>
            </w:r>
            <w:r>
              <w:rPr>
                <w:rFonts w:cstheme="minorHAnsi"/>
              </w:rPr>
              <w:t>·</w:t>
            </w:r>
            <w:r w:rsidRPr="00747637">
              <w:rPr>
                <w:rFonts w:cstheme="minorHAnsi"/>
              </w:rPr>
              <w:t>0)</w:t>
            </w:r>
          </w:p>
        </w:tc>
      </w:tr>
      <w:tr w:rsidR="008C754F" w:rsidRPr="0069736A" w:rsidTr="008C754F">
        <w:trPr>
          <w:trHeight w:val="290"/>
        </w:trPr>
        <w:tc>
          <w:tcPr>
            <w:tcW w:w="8217" w:type="dxa"/>
            <w:gridSpan w:val="5"/>
            <w:tcBorders>
              <w:left w:val="nil"/>
              <w:bottom w:val="nil"/>
              <w:right w:val="nil"/>
            </w:tcBorders>
            <w:noWrap/>
          </w:tcPr>
          <w:p w:rsidR="008C754F" w:rsidRPr="00747637" w:rsidRDefault="008C754F" w:rsidP="008C754F">
            <w:pPr>
              <w:rPr>
                <w:rFonts w:cstheme="minorHAnsi"/>
              </w:rPr>
            </w:pPr>
            <w:r w:rsidRPr="00747637">
              <w:rPr>
                <w:rFonts w:cstheme="minorHAnsi"/>
              </w:rPr>
              <w:t xml:space="preserve">CI=confidence interval </w:t>
            </w:r>
          </w:p>
        </w:tc>
      </w:tr>
    </w:tbl>
    <w:p w:rsidR="00CE5D9E" w:rsidRDefault="00CE5D9E" w:rsidP="00CE5D9E">
      <w:pPr>
        <w:rPr>
          <w:b/>
        </w:rPr>
      </w:pPr>
    </w:p>
    <w:p w:rsidR="00CE5D9E" w:rsidRDefault="00CE5D9E" w:rsidP="00CE5D9E">
      <w:pPr>
        <w:rPr>
          <w:b/>
        </w:rPr>
      </w:pPr>
    </w:p>
    <w:p w:rsidR="00CE5D9E" w:rsidRPr="0069736A" w:rsidRDefault="00CE5D9E" w:rsidP="00CE5D9E">
      <w:pPr>
        <w:rPr>
          <w:b/>
        </w:rPr>
      </w:pPr>
    </w:p>
    <w:p w:rsidR="0002505A" w:rsidRPr="008F524B" w:rsidRDefault="0002505A" w:rsidP="0002505A">
      <w:pPr>
        <w:spacing w:after="0"/>
        <w:rPr>
          <w:b/>
          <w:i/>
        </w:rPr>
      </w:pPr>
    </w:p>
    <w:p w:rsidR="0002505A" w:rsidRDefault="0002505A" w:rsidP="0036361F">
      <w:pPr>
        <w:spacing w:after="0" w:line="480" w:lineRule="auto"/>
        <w:jc w:val="both"/>
        <w:rPr>
          <w:b/>
          <w:sz w:val="32"/>
          <w:szCs w:val="32"/>
        </w:rPr>
      </w:pPr>
    </w:p>
    <w:p w:rsidR="007B74D9" w:rsidRDefault="007B74D9" w:rsidP="0036361F">
      <w:pPr>
        <w:spacing w:after="0" w:line="480" w:lineRule="auto"/>
        <w:jc w:val="both"/>
        <w:rPr>
          <w:b/>
          <w:sz w:val="32"/>
          <w:szCs w:val="32"/>
        </w:rPr>
      </w:pPr>
    </w:p>
    <w:p w:rsidR="007B74D9" w:rsidRDefault="007B74D9" w:rsidP="0036361F">
      <w:pPr>
        <w:spacing w:after="0" w:line="480" w:lineRule="auto"/>
        <w:jc w:val="both"/>
        <w:rPr>
          <w:b/>
          <w:sz w:val="32"/>
          <w:szCs w:val="32"/>
        </w:rPr>
      </w:pPr>
    </w:p>
    <w:p w:rsidR="007B74D9" w:rsidRDefault="007B74D9" w:rsidP="0036361F">
      <w:pPr>
        <w:spacing w:after="0" w:line="480" w:lineRule="auto"/>
        <w:jc w:val="both"/>
        <w:rPr>
          <w:b/>
          <w:sz w:val="32"/>
          <w:szCs w:val="32"/>
        </w:rPr>
      </w:pPr>
    </w:p>
    <w:p w:rsidR="007B74D9" w:rsidRDefault="007B74D9" w:rsidP="0036361F">
      <w:pPr>
        <w:spacing w:after="0" w:line="480" w:lineRule="auto"/>
        <w:jc w:val="both"/>
        <w:rPr>
          <w:b/>
          <w:sz w:val="32"/>
          <w:szCs w:val="32"/>
        </w:rPr>
      </w:pPr>
    </w:p>
    <w:p w:rsidR="007B74D9" w:rsidRDefault="007B74D9" w:rsidP="0036361F">
      <w:pPr>
        <w:spacing w:after="0" w:line="480" w:lineRule="auto"/>
        <w:jc w:val="both"/>
        <w:rPr>
          <w:b/>
          <w:sz w:val="32"/>
          <w:szCs w:val="32"/>
        </w:rPr>
      </w:pPr>
    </w:p>
    <w:p w:rsidR="007B74D9" w:rsidRDefault="007B74D9" w:rsidP="0036361F">
      <w:pPr>
        <w:spacing w:after="0" w:line="480" w:lineRule="auto"/>
        <w:jc w:val="both"/>
        <w:rPr>
          <w:b/>
          <w:sz w:val="32"/>
          <w:szCs w:val="32"/>
        </w:rPr>
      </w:pPr>
    </w:p>
    <w:p w:rsidR="007B74D9" w:rsidRDefault="007B74D9" w:rsidP="0036361F">
      <w:pPr>
        <w:spacing w:after="0" w:line="480" w:lineRule="auto"/>
        <w:jc w:val="both"/>
        <w:rPr>
          <w:b/>
          <w:sz w:val="32"/>
          <w:szCs w:val="32"/>
        </w:rPr>
      </w:pPr>
    </w:p>
    <w:p w:rsidR="007B74D9" w:rsidRDefault="007B74D9" w:rsidP="0036361F">
      <w:pPr>
        <w:spacing w:after="0" w:line="480" w:lineRule="auto"/>
        <w:jc w:val="both"/>
        <w:rPr>
          <w:b/>
          <w:sz w:val="32"/>
          <w:szCs w:val="32"/>
        </w:rPr>
      </w:pPr>
    </w:p>
    <w:p w:rsidR="007B74D9" w:rsidRDefault="007B74D9" w:rsidP="0036361F">
      <w:pPr>
        <w:spacing w:after="0" w:line="480" w:lineRule="auto"/>
        <w:jc w:val="both"/>
        <w:rPr>
          <w:b/>
          <w:sz w:val="32"/>
          <w:szCs w:val="32"/>
        </w:rPr>
      </w:pPr>
    </w:p>
    <w:p w:rsidR="007B74D9" w:rsidRDefault="007B74D9" w:rsidP="0036361F">
      <w:pPr>
        <w:spacing w:after="0" w:line="480" w:lineRule="auto"/>
        <w:jc w:val="both"/>
        <w:rPr>
          <w:b/>
          <w:sz w:val="32"/>
          <w:szCs w:val="32"/>
        </w:rPr>
      </w:pPr>
    </w:p>
    <w:p w:rsidR="007B74D9" w:rsidRDefault="007B74D9" w:rsidP="0036361F">
      <w:pPr>
        <w:spacing w:after="0" w:line="480" w:lineRule="auto"/>
        <w:jc w:val="both"/>
        <w:rPr>
          <w:b/>
          <w:sz w:val="32"/>
          <w:szCs w:val="32"/>
        </w:rPr>
      </w:pPr>
    </w:p>
    <w:p w:rsidR="007B74D9" w:rsidRDefault="007B74D9" w:rsidP="0036361F">
      <w:pPr>
        <w:spacing w:after="0" w:line="480" w:lineRule="auto"/>
        <w:jc w:val="both"/>
        <w:rPr>
          <w:b/>
          <w:sz w:val="32"/>
          <w:szCs w:val="32"/>
        </w:rPr>
      </w:pPr>
    </w:p>
    <w:p w:rsidR="007B74D9" w:rsidRDefault="007B74D9" w:rsidP="0036361F">
      <w:pPr>
        <w:spacing w:after="0" w:line="480" w:lineRule="auto"/>
        <w:jc w:val="both"/>
        <w:rPr>
          <w:b/>
          <w:sz w:val="32"/>
          <w:szCs w:val="32"/>
        </w:rPr>
      </w:pPr>
    </w:p>
    <w:p w:rsidR="00032CC1" w:rsidRPr="00FC3D26" w:rsidRDefault="0096692C" w:rsidP="0036361F">
      <w:pPr>
        <w:spacing w:after="0" w:line="480" w:lineRule="auto"/>
        <w:jc w:val="both"/>
        <w:rPr>
          <w:b/>
          <w:sz w:val="32"/>
          <w:szCs w:val="32"/>
        </w:rPr>
      </w:pPr>
      <w:r w:rsidRPr="0096692C">
        <w:rPr>
          <w:b/>
          <w:sz w:val="32"/>
          <w:szCs w:val="32"/>
        </w:rPr>
        <w:lastRenderedPageBreak/>
        <w:t>Figure legends</w:t>
      </w:r>
    </w:p>
    <w:p w:rsidR="00445601" w:rsidRPr="00BC4DB2" w:rsidRDefault="00EA79B8" w:rsidP="00445601">
      <w:pPr>
        <w:spacing w:after="0" w:line="480" w:lineRule="auto"/>
        <w:jc w:val="both"/>
        <w:rPr>
          <w:b/>
          <w:bCs/>
          <w:i/>
          <w:sz w:val="24"/>
          <w:szCs w:val="24"/>
        </w:rPr>
      </w:pPr>
      <w:r w:rsidRPr="00BC4DB2">
        <w:rPr>
          <w:b/>
          <w:bCs/>
          <w:i/>
          <w:sz w:val="24"/>
          <w:szCs w:val="24"/>
        </w:rPr>
        <w:t>Figure 1</w:t>
      </w:r>
      <w:r w:rsidR="00445601" w:rsidRPr="00BC4DB2">
        <w:rPr>
          <w:b/>
          <w:bCs/>
          <w:i/>
          <w:sz w:val="24"/>
          <w:szCs w:val="24"/>
        </w:rPr>
        <w:t>:</w:t>
      </w:r>
      <w:r w:rsidR="00F95794" w:rsidRPr="00BC4DB2">
        <w:rPr>
          <w:b/>
          <w:bCs/>
          <w:i/>
          <w:sz w:val="24"/>
          <w:szCs w:val="24"/>
        </w:rPr>
        <w:t xml:space="preserve"> </w:t>
      </w:r>
      <w:r w:rsidR="00F95794" w:rsidRPr="00BC4DB2">
        <w:rPr>
          <w:b/>
          <w:bCs/>
          <w:sz w:val="24"/>
          <w:szCs w:val="24"/>
        </w:rPr>
        <w:t xml:space="preserve">Time-to-event curve for time to results in </w:t>
      </w:r>
      <w:r w:rsidR="00891FE6" w:rsidRPr="00BC4DB2">
        <w:rPr>
          <w:b/>
          <w:bCs/>
          <w:sz w:val="24"/>
          <w:szCs w:val="24"/>
        </w:rPr>
        <w:t xml:space="preserve">the </w:t>
      </w:r>
      <w:r w:rsidR="00F95794" w:rsidRPr="00BC4DB2">
        <w:rPr>
          <w:b/>
          <w:bCs/>
          <w:sz w:val="24"/>
          <w:szCs w:val="24"/>
        </w:rPr>
        <w:t>POCT and control groups</w:t>
      </w:r>
    </w:p>
    <w:p w:rsidR="00445601" w:rsidRPr="0036361F" w:rsidRDefault="00EA79B8" w:rsidP="00445601">
      <w:pPr>
        <w:spacing w:after="0" w:line="480" w:lineRule="auto"/>
        <w:jc w:val="both"/>
        <w:rPr>
          <w:b/>
          <w:bCs/>
          <w:sz w:val="24"/>
          <w:szCs w:val="24"/>
        </w:rPr>
      </w:pPr>
      <w:r w:rsidRPr="00BC4DB2">
        <w:rPr>
          <w:b/>
          <w:bCs/>
          <w:i/>
          <w:sz w:val="24"/>
          <w:szCs w:val="24"/>
        </w:rPr>
        <w:t>Figure 2</w:t>
      </w:r>
      <w:r w:rsidR="00445601" w:rsidRPr="00BC4DB2">
        <w:rPr>
          <w:b/>
          <w:bCs/>
          <w:i/>
          <w:sz w:val="24"/>
          <w:szCs w:val="24"/>
        </w:rPr>
        <w:t>:</w:t>
      </w:r>
      <w:r w:rsidR="00CC5A1D" w:rsidRPr="00BC4DB2">
        <w:t xml:space="preserve"> </w:t>
      </w:r>
      <w:r w:rsidR="00F95794" w:rsidRPr="00BC4DB2">
        <w:rPr>
          <w:b/>
          <w:bCs/>
          <w:sz w:val="24"/>
          <w:szCs w:val="24"/>
        </w:rPr>
        <w:t xml:space="preserve">Time-to-event curve for time to arrival in definitive clinical area (i.e. COVID-19 </w:t>
      </w:r>
      <w:r w:rsidR="00F95794" w:rsidRPr="0036361F">
        <w:rPr>
          <w:b/>
          <w:bCs/>
          <w:sz w:val="24"/>
          <w:szCs w:val="24"/>
        </w:rPr>
        <w:t xml:space="preserve">positive or negative) in </w:t>
      </w:r>
      <w:r w:rsidR="00891FE6">
        <w:rPr>
          <w:b/>
          <w:bCs/>
          <w:sz w:val="24"/>
          <w:szCs w:val="24"/>
        </w:rPr>
        <w:t xml:space="preserve">the </w:t>
      </w:r>
      <w:r w:rsidR="00F95794" w:rsidRPr="0036361F">
        <w:rPr>
          <w:b/>
          <w:bCs/>
          <w:sz w:val="24"/>
          <w:szCs w:val="24"/>
        </w:rPr>
        <w:t>POCT and control groups</w:t>
      </w:r>
    </w:p>
    <w:p w:rsidR="007E0451" w:rsidRPr="000758A9" w:rsidRDefault="007E0451" w:rsidP="000758A9">
      <w:pPr>
        <w:spacing w:after="0" w:line="480" w:lineRule="auto"/>
        <w:jc w:val="both"/>
        <w:rPr>
          <w:b/>
          <w:bCs/>
          <w:i/>
          <w:sz w:val="32"/>
          <w:szCs w:val="32"/>
        </w:rPr>
      </w:pPr>
    </w:p>
    <w:p w:rsidR="000758A9" w:rsidRDefault="00445601" w:rsidP="000758A9">
      <w:pPr>
        <w:spacing w:after="0" w:line="480" w:lineRule="auto"/>
        <w:jc w:val="both"/>
        <w:rPr>
          <w:b/>
          <w:sz w:val="32"/>
          <w:szCs w:val="32"/>
        </w:rPr>
      </w:pPr>
      <w:r w:rsidRPr="00445601">
        <w:rPr>
          <w:b/>
          <w:sz w:val="32"/>
          <w:szCs w:val="32"/>
        </w:rPr>
        <w:t xml:space="preserve">Supplementary appendix </w:t>
      </w:r>
    </w:p>
    <w:p w:rsidR="00CC5A1D" w:rsidRPr="00F95794" w:rsidRDefault="00F95794" w:rsidP="000758A9">
      <w:pPr>
        <w:spacing w:after="0" w:line="480" w:lineRule="auto"/>
        <w:jc w:val="both"/>
        <w:rPr>
          <w:b/>
          <w:sz w:val="24"/>
          <w:szCs w:val="24"/>
        </w:rPr>
      </w:pPr>
      <w:r w:rsidRPr="0036361F">
        <w:rPr>
          <w:b/>
          <w:i/>
          <w:sz w:val="24"/>
          <w:szCs w:val="24"/>
        </w:rPr>
        <w:t>Table S1:</w:t>
      </w:r>
      <w:r>
        <w:rPr>
          <w:b/>
          <w:sz w:val="24"/>
          <w:szCs w:val="24"/>
        </w:rPr>
        <w:t xml:space="preserve"> Pathogen</w:t>
      </w:r>
      <w:r w:rsidR="0036361F">
        <w:rPr>
          <w:b/>
          <w:sz w:val="24"/>
          <w:szCs w:val="24"/>
        </w:rPr>
        <w:t>s</w:t>
      </w:r>
      <w:r>
        <w:rPr>
          <w:b/>
          <w:sz w:val="24"/>
          <w:szCs w:val="24"/>
        </w:rPr>
        <w:t xml:space="preserve"> detected by QIAstat-Dx SARS-CoV-2 Respiratory Panel </w:t>
      </w:r>
    </w:p>
    <w:p w:rsidR="00F95794" w:rsidRDefault="00F95794" w:rsidP="000758A9">
      <w:pPr>
        <w:spacing w:after="0" w:line="480" w:lineRule="auto"/>
        <w:jc w:val="both"/>
        <w:rPr>
          <w:b/>
          <w:sz w:val="24"/>
          <w:szCs w:val="24"/>
        </w:rPr>
      </w:pPr>
      <w:r w:rsidRPr="00296BE4">
        <w:rPr>
          <w:b/>
          <w:i/>
          <w:sz w:val="24"/>
          <w:szCs w:val="24"/>
        </w:rPr>
        <w:t>Table S2:</w:t>
      </w:r>
      <w:r>
        <w:rPr>
          <w:b/>
          <w:sz w:val="24"/>
          <w:szCs w:val="24"/>
        </w:rPr>
        <w:t xml:space="preserve"> </w:t>
      </w:r>
      <w:r w:rsidR="0036361F">
        <w:rPr>
          <w:b/>
          <w:sz w:val="24"/>
          <w:szCs w:val="24"/>
        </w:rPr>
        <w:t>Multivariate analysis for primary and key secondary outcome measures</w:t>
      </w:r>
    </w:p>
    <w:p w:rsidR="000B3E58" w:rsidRDefault="00393D3E" w:rsidP="000758A9">
      <w:pPr>
        <w:spacing w:after="0" w:line="480" w:lineRule="auto"/>
        <w:jc w:val="both"/>
        <w:rPr>
          <w:b/>
          <w:sz w:val="24"/>
          <w:szCs w:val="24"/>
        </w:rPr>
      </w:pPr>
      <w:r>
        <w:rPr>
          <w:b/>
          <w:i/>
          <w:sz w:val="24"/>
          <w:szCs w:val="24"/>
        </w:rPr>
        <w:t>Table S3</w:t>
      </w:r>
      <w:r w:rsidR="000B3E58">
        <w:rPr>
          <w:b/>
          <w:sz w:val="24"/>
          <w:szCs w:val="24"/>
        </w:rPr>
        <w:t xml:space="preserve">: Investigation of </w:t>
      </w:r>
      <w:r w:rsidR="00296BE4">
        <w:rPr>
          <w:b/>
          <w:sz w:val="24"/>
          <w:szCs w:val="24"/>
        </w:rPr>
        <w:t xml:space="preserve">discrepant results </w:t>
      </w:r>
      <w:r w:rsidR="000B3E58">
        <w:rPr>
          <w:b/>
          <w:sz w:val="24"/>
          <w:szCs w:val="24"/>
        </w:rPr>
        <w:t xml:space="preserve">between laboratory PCR and QIAstat-Dx SARS-CoV-2 </w:t>
      </w:r>
      <w:r w:rsidR="00296BE4">
        <w:rPr>
          <w:b/>
          <w:sz w:val="24"/>
          <w:szCs w:val="24"/>
        </w:rPr>
        <w:t>Respiratory Panel</w:t>
      </w:r>
      <w:r w:rsidR="008B47F5">
        <w:rPr>
          <w:b/>
          <w:sz w:val="24"/>
          <w:szCs w:val="24"/>
        </w:rPr>
        <w:t>, in the POCT group, n=469</w:t>
      </w:r>
    </w:p>
    <w:p w:rsidR="00E11D2B" w:rsidRDefault="00393D3E" w:rsidP="000758A9">
      <w:pPr>
        <w:spacing w:after="0" w:line="480" w:lineRule="auto"/>
        <w:jc w:val="both"/>
        <w:rPr>
          <w:b/>
          <w:sz w:val="24"/>
          <w:szCs w:val="24"/>
        </w:rPr>
      </w:pPr>
      <w:r>
        <w:rPr>
          <w:b/>
          <w:i/>
          <w:sz w:val="24"/>
          <w:szCs w:val="24"/>
        </w:rPr>
        <w:t>Table S4</w:t>
      </w:r>
      <w:r w:rsidR="000B3E58">
        <w:rPr>
          <w:b/>
          <w:sz w:val="24"/>
          <w:szCs w:val="24"/>
        </w:rPr>
        <w:t xml:space="preserve">: </w:t>
      </w:r>
      <w:r w:rsidR="00920752" w:rsidRPr="00920752">
        <w:rPr>
          <w:b/>
          <w:sz w:val="24"/>
          <w:szCs w:val="24"/>
        </w:rPr>
        <w:t xml:space="preserve">Detection of respiratory viruses by QIAstat-Dx Respiratory SARS-CoV-2 Panel in the POCT group, n=499 </w:t>
      </w:r>
    </w:p>
    <w:p w:rsidR="00E11D2B" w:rsidRDefault="00E11D2B" w:rsidP="000758A9">
      <w:pPr>
        <w:spacing w:after="0" w:line="480" w:lineRule="auto"/>
        <w:jc w:val="both"/>
        <w:rPr>
          <w:b/>
          <w:sz w:val="24"/>
          <w:szCs w:val="24"/>
        </w:rPr>
      </w:pPr>
      <w:r w:rsidRPr="00E11D2B">
        <w:rPr>
          <w:b/>
          <w:i/>
          <w:sz w:val="24"/>
          <w:szCs w:val="24"/>
        </w:rPr>
        <w:t>Figure S1</w:t>
      </w:r>
      <w:r>
        <w:rPr>
          <w:b/>
          <w:sz w:val="24"/>
          <w:szCs w:val="24"/>
        </w:rPr>
        <w:t xml:space="preserve">. </w:t>
      </w:r>
      <w:r w:rsidRPr="00E11D2B">
        <w:rPr>
          <w:b/>
          <w:sz w:val="24"/>
          <w:szCs w:val="24"/>
        </w:rPr>
        <w:t>Directed acyclic graph representing theorised associations between variables related to group and outcomes</w:t>
      </w:r>
    </w:p>
    <w:p w:rsidR="00EA79B8" w:rsidRPr="00BC4DB2" w:rsidRDefault="00EA79B8" w:rsidP="000758A9">
      <w:pPr>
        <w:spacing w:after="0" w:line="480" w:lineRule="auto"/>
        <w:jc w:val="both"/>
        <w:rPr>
          <w:b/>
          <w:sz w:val="24"/>
          <w:szCs w:val="24"/>
        </w:rPr>
      </w:pPr>
      <w:r w:rsidRPr="00BC4DB2">
        <w:rPr>
          <w:b/>
          <w:i/>
          <w:sz w:val="24"/>
          <w:szCs w:val="24"/>
        </w:rPr>
        <w:t>Figure S2</w:t>
      </w:r>
      <w:r w:rsidRPr="00BC4DB2">
        <w:rPr>
          <w:b/>
          <w:sz w:val="24"/>
          <w:szCs w:val="24"/>
        </w:rPr>
        <w:t>: Trial profile</w:t>
      </w:r>
      <w:r w:rsidRPr="00BC4DB2">
        <w:rPr>
          <w:b/>
          <w:sz w:val="24"/>
          <w:szCs w:val="24"/>
        </w:rPr>
        <w:tab/>
      </w:r>
    </w:p>
    <w:p w:rsidR="00B0638D" w:rsidRPr="00BC4DB2" w:rsidRDefault="00EA79B8" w:rsidP="000758A9">
      <w:pPr>
        <w:spacing w:after="0" w:line="480" w:lineRule="auto"/>
        <w:jc w:val="both"/>
        <w:rPr>
          <w:b/>
          <w:sz w:val="24"/>
          <w:szCs w:val="24"/>
        </w:rPr>
      </w:pPr>
      <w:r w:rsidRPr="00BC4DB2">
        <w:rPr>
          <w:b/>
          <w:i/>
          <w:sz w:val="24"/>
          <w:szCs w:val="24"/>
        </w:rPr>
        <w:t>Figure S3</w:t>
      </w:r>
      <w:r w:rsidR="00156F9B" w:rsidRPr="00BC4DB2">
        <w:rPr>
          <w:b/>
          <w:sz w:val="24"/>
          <w:szCs w:val="24"/>
        </w:rPr>
        <w:t xml:space="preserve">: </w:t>
      </w:r>
      <w:r w:rsidR="00B0638D" w:rsidRPr="00BC4DB2">
        <w:rPr>
          <w:b/>
          <w:sz w:val="24"/>
          <w:szCs w:val="24"/>
        </w:rPr>
        <w:t xml:space="preserve">SARS-CoV-2 positivity rate during the study </w:t>
      </w:r>
    </w:p>
    <w:p w:rsidR="00CC5A1D" w:rsidRPr="00BC4DB2" w:rsidRDefault="00EA79B8" w:rsidP="000758A9">
      <w:pPr>
        <w:spacing w:after="0" w:line="480" w:lineRule="auto"/>
        <w:jc w:val="both"/>
        <w:rPr>
          <w:b/>
          <w:sz w:val="24"/>
          <w:szCs w:val="24"/>
        </w:rPr>
      </w:pPr>
      <w:r w:rsidRPr="00BC4DB2">
        <w:rPr>
          <w:b/>
          <w:i/>
          <w:sz w:val="24"/>
          <w:szCs w:val="24"/>
        </w:rPr>
        <w:t>Figure S4</w:t>
      </w:r>
      <w:r w:rsidR="00CC5A1D" w:rsidRPr="00BC4DB2">
        <w:rPr>
          <w:b/>
          <w:sz w:val="24"/>
          <w:szCs w:val="24"/>
        </w:rPr>
        <w:t>: Turnaround time for laboratory PCR testing for SARS-CoV-2, before and during the study</w:t>
      </w:r>
    </w:p>
    <w:p w:rsidR="00156F9B" w:rsidRPr="00F95794" w:rsidRDefault="00CE5D9E" w:rsidP="000758A9">
      <w:pPr>
        <w:spacing w:after="0" w:line="480" w:lineRule="auto"/>
        <w:jc w:val="both"/>
        <w:rPr>
          <w:b/>
          <w:sz w:val="24"/>
          <w:szCs w:val="24"/>
        </w:rPr>
      </w:pPr>
      <w:r w:rsidRPr="00BC4DB2">
        <w:rPr>
          <w:b/>
          <w:i/>
          <w:sz w:val="24"/>
          <w:szCs w:val="24"/>
        </w:rPr>
        <w:t xml:space="preserve">Figure </w:t>
      </w:r>
      <w:r w:rsidR="00EA79B8" w:rsidRPr="00BC4DB2">
        <w:rPr>
          <w:b/>
          <w:i/>
          <w:sz w:val="24"/>
          <w:szCs w:val="24"/>
        </w:rPr>
        <w:t>S5</w:t>
      </w:r>
      <w:r w:rsidR="00EA79B8" w:rsidRPr="00BC4DB2">
        <w:rPr>
          <w:b/>
          <w:sz w:val="24"/>
          <w:szCs w:val="24"/>
        </w:rPr>
        <w:t xml:space="preserve">: </w:t>
      </w:r>
      <w:r w:rsidR="00156F9B" w:rsidRPr="00BC4DB2">
        <w:rPr>
          <w:b/>
          <w:sz w:val="24"/>
          <w:szCs w:val="24"/>
        </w:rPr>
        <w:t xml:space="preserve">Details of patient </w:t>
      </w:r>
      <w:r w:rsidR="00156F9B" w:rsidRPr="00156F9B">
        <w:rPr>
          <w:b/>
          <w:sz w:val="24"/>
          <w:szCs w:val="24"/>
        </w:rPr>
        <w:t>transfer</w:t>
      </w:r>
      <w:r w:rsidR="00156F9B">
        <w:rPr>
          <w:b/>
          <w:sz w:val="24"/>
          <w:szCs w:val="24"/>
        </w:rPr>
        <w:t>s</w:t>
      </w:r>
      <w:r w:rsidR="00156F9B" w:rsidRPr="00156F9B">
        <w:rPr>
          <w:b/>
          <w:sz w:val="24"/>
          <w:szCs w:val="24"/>
        </w:rPr>
        <w:t xml:space="preserve"> to definitive ward areas </w:t>
      </w:r>
      <w:r w:rsidR="00156F9B">
        <w:rPr>
          <w:b/>
          <w:sz w:val="24"/>
          <w:szCs w:val="24"/>
        </w:rPr>
        <w:t xml:space="preserve">(COVID-19 positive or negative wards) </w:t>
      </w:r>
    </w:p>
    <w:p w:rsidR="00445601" w:rsidRDefault="00445601" w:rsidP="000758A9">
      <w:pPr>
        <w:spacing w:after="0" w:line="480" w:lineRule="auto"/>
        <w:jc w:val="both"/>
        <w:rPr>
          <w:b/>
          <w:sz w:val="32"/>
          <w:szCs w:val="32"/>
        </w:rPr>
      </w:pPr>
    </w:p>
    <w:p w:rsidR="00EA79B8" w:rsidRDefault="00EA79B8" w:rsidP="000758A9">
      <w:pPr>
        <w:spacing w:after="0" w:line="480" w:lineRule="auto"/>
        <w:jc w:val="both"/>
        <w:rPr>
          <w:b/>
          <w:sz w:val="32"/>
          <w:szCs w:val="32"/>
        </w:rPr>
      </w:pPr>
    </w:p>
    <w:p w:rsidR="00445601" w:rsidRPr="00D03127" w:rsidRDefault="00445601" w:rsidP="00445601">
      <w:pPr>
        <w:spacing w:line="480" w:lineRule="auto"/>
        <w:rPr>
          <w:b/>
          <w:bCs/>
          <w:sz w:val="32"/>
          <w:szCs w:val="32"/>
        </w:rPr>
      </w:pPr>
      <w:r w:rsidRPr="00D03127">
        <w:rPr>
          <w:b/>
          <w:bCs/>
          <w:sz w:val="32"/>
          <w:szCs w:val="32"/>
        </w:rPr>
        <w:lastRenderedPageBreak/>
        <w:t>Research in context</w:t>
      </w:r>
    </w:p>
    <w:p w:rsidR="00445601" w:rsidRPr="00156F9B" w:rsidRDefault="00445601" w:rsidP="00445601">
      <w:pPr>
        <w:spacing w:after="0" w:line="480" w:lineRule="auto"/>
        <w:jc w:val="both"/>
        <w:rPr>
          <w:b/>
          <w:bCs/>
          <w:sz w:val="24"/>
          <w:szCs w:val="24"/>
        </w:rPr>
      </w:pPr>
      <w:r w:rsidRPr="00156F9B">
        <w:rPr>
          <w:b/>
          <w:bCs/>
          <w:sz w:val="24"/>
          <w:szCs w:val="24"/>
        </w:rPr>
        <w:t>Evidence before this study</w:t>
      </w:r>
    </w:p>
    <w:p w:rsidR="00445601" w:rsidRPr="00156F9B" w:rsidRDefault="00445601" w:rsidP="000758A9">
      <w:pPr>
        <w:spacing w:after="0" w:line="480" w:lineRule="auto"/>
        <w:jc w:val="both"/>
        <w:rPr>
          <w:sz w:val="24"/>
          <w:szCs w:val="24"/>
        </w:rPr>
      </w:pPr>
      <w:r w:rsidRPr="00156F9B">
        <w:rPr>
          <w:sz w:val="24"/>
          <w:szCs w:val="24"/>
        </w:rPr>
        <w:t>We searched PubMed, the Cochrane Controll</w:t>
      </w:r>
      <w:r w:rsidR="00273C30">
        <w:rPr>
          <w:sz w:val="24"/>
          <w:szCs w:val="24"/>
        </w:rPr>
        <w:t xml:space="preserve">ed Clinical Trials Register, and </w:t>
      </w:r>
      <w:r w:rsidRPr="00156F9B">
        <w:rPr>
          <w:sz w:val="24"/>
          <w:szCs w:val="24"/>
        </w:rPr>
        <w:t xml:space="preserve">ClinicalTrials.gov </w:t>
      </w:r>
      <w:r w:rsidR="00273C30">
        <w:rPr>
          <w:sz w:val="24"/>
          <w:szCs w:val="24"/>
        </w:rPr>
        <w:t xml:space="preserve">and ISRCTN trial </w:t>
      </w:r>
      <w:r w:rsidRPr="00156F9B">
        <w:rPr>
          <w:sz w:val="24"/>
          <w:szCs w:val="24"/>
        </w:rPr>
        <w:t>database</w:t>
      </w:r>
      <w:r w:rsidR="00273C30">
        <w:rPr>
          <w:sz w:val="24"/>
          <w:szCs w:val="24"/>
        </w:rPr>
        <w:t>s</w:t>
      </w:r>
      <w:r w:rsidRPr="00156F9B">
        <w:rPr>
          <w:sz w:val="24"/>
          <w:szCs w:val="24"/>
        </w:rPr>
        <w:t xml:space="preserve">, for relevant published articles and ongoing trials assessing the clinical impact of </w:t>
      </w:r>
      <w:r w:rsidR="008B47F5">
        <w:rPr>
          <w:sz w:val="24"/>
          <w:szCs w:val="24"/>
        </w:rPr>
        <w:t>molecular POCT (</w:t>
      </w:r>
      <w:r w:rsidRPr="00156F9B">
        <w:rPr>
          <w:sz w:val="24"/>
          <w:szCs w:val="24"/>
        </w:rPr>
        <w:t xml:space="preserve">POCT) for </w:t>
      </w:r>
      <w:r w:rsidR="00F1794D" w:rsidRPr="00156F9B">
        <w:rPr>
          <w:sz w:val="24"/>
          <w:szCs w:val="24"/>
        </w:rPr>
        <w:t>COVID-19</w:t>
      </w:r>
      <w:r w:rsidRPr="00156F9B">
        <w:rPr>
          <w:sz w:val="24"/>
          <w:szCs w:val="24"/>
        </w:rPr>
        <w:t xml:space="preserve"> </w:t>
      </w:r>
      <w:r w:rsidR="00F1794D" w:rsidRPr="00156F9B">
        <w:rPr>
          <w:sz w:val="24"/>
          <w:szCs w:val="24"/>
        </w:rPr>
        <w:t xml:space="preserve">in hospitals. </w:t>
      </w:r>
      <w:r w:rsidRPr="00156F9B">
        <w:rPr>
          <w:sz w:val="24"/>
          <w:szCs w:val="24"/>
        </w:rPr>
        <w:t>We used the search terms; ”point-of-care testing” or “rapid PCR testing”</w:t>
      </w:r>
      <w:r w:rsidR="00273C30">
        <w:rPr>
          <w:sz w:val="24"/>
          <w:szCs w:val="24"/>
        </w:rPr>
        <w:t xml:space="preserve"> or ‘’rapid molecular testing’’ or “near patient testing” </w:t>
      </w:r>
      <w:r w:rsidRPr="00156F9B">
        <w:rPr>
          <w:sz w:val="24"/>
          <w:szCs w:val="24"/>
        </w:rPr>
        <w:t>and</w:t>
      </w:r>
      <w:r w:rsidR="00F1794D" w:rsidRPr="00156F9B">
        <w:rPr>
          <w:sz w:val="24"/>
          <w:szCs w:val="24"/>
        </w:rPr>
        <w:t xml:space="preserve"> “COVID-19</w:t>
      </w:r>
      <w:r w:rsidRPr="00156F9B">
        <w:rPr>
          <w:sz w:val="24"/>
          <w:szCs w:val="24"/>
        </w:rPr>
        <w:t xml:space="preserve">” </w:t>
      </w:r>
      <w:r w:rsidR="00F1794D" w:rsidRPr="00156F9B">
        <w:rPr>
          <w:sz w:val="24"/>
          <w:szCs w:val="24"/>
        </w:rPr>
        <w:t xml:space="preserve">or ‘’SARS-CoV-2’’ </w:t>
      </w:r>
      <w:r w:rsidRPr="00156F9B">
        <w:rPr>
          <w:sz w:val="24"/>
          <w:szCs w:val="24"/>
        </w:rPr>
        <w:t xml:space="preserve">and “hospital” </w:t>
      </w:r>
      <w:r w:rsidR="00F1794D" w:rsidRPr="00156F9B">
        <w:rPr>
          <w:sz w:val="24"/>
          <w:szCs w:val="24"/>
        </w:rPr>
        <w:t xml:space="preserve">and </w:t>
      </w:r>
      <w:r w:rsidRPr="00156F9B">
        <w:rPr>
          <w:sz w:val="24"/>
          <w:szCs w:val="24"/>
        </w:rPr>
        <w:t>“clinical trial” or “randomised controlled trial” or ‘’trial’’ or “study”. We limited the search to studies published betw</w:t>
      </w:r>
      <w:r w:rsidR="00273C30">
        <w:rPr>
          <w:sz w:val="24"/>
          <w:szCs w:val="24"/>
        </w:rPr>
        <w:t>een Jan 1, 1980, and July 22</w:t>
      </w:r>
      <w:r w:rsidR="00F1794D" w:rsidRPr="00156F9B">
        <w:rPr>
          <w:sz w:val="24"/>
          <w:szCs w:val="24"/>
        </w:rPr>
        <w:t>, 2020</w:t>
      </w:r>
      <w:r w:rsidRPr="00156F9B">
        <w:rPr>
          <w:sz w:val="24"/>
          <w:szCs w:val="24"/>
        </w:rPr>
        <w:t xml:space="preserve">, in English.  We excluded studies reporting only diagnostic accuracy. We found no Cochrane systematic reviews </w:t>
      </w:r>
      <w:r w:rsidR="00F1794D" w:rsidRPr="00156F9B">
        <w:rPr>
          <w:sz w:val="24"/>
          <w:szCs w:val="24"/>
        </w:rPr>
        <w:t xml:space="preserve">for </w:t>
      </w:r>
      <w:r w:rsidRPr="00156F9B">
        <w:rPr>
          <w:sz w:val="24"/>
          <w:szCs w:val="24"/>
        </w:rPr>
        <w:t xml:space="preserve">POCT </w:t>
      </w:r>
      <w:r w:rsidR="00273C30">
        <w:rPr>
          <w:sz w:val="24"/>
          <w:szCs w:val="24"/>
        </w:rPr>
        <w:t xml:space="preserve">for COVID-19. </w:t>
      </w:r>
      <w:r w:rsidR="00F1794D" w:rsidRPr="00156F9B">
        <w:rPr>
          <w:sz w:val="24"/>
          <w:szCs w:val="24"/>
        </w:rPr>
        <w:t>We found no published studies evaluating the clinical impact of POCT for C</w:t>
      </w:r>
      <w:r w:rsidR="00891FE6" w:rsidRPr="00156F9B">
        <w:rPr>
          <w:sz w:val="24"/>
          <w:szCs w:val="24"/>
        </w:rPr>
        <w:t>O</w:t>
      </w:r>
      <w:r w:rsidR="00F1794D" w:rsidRPr="00156F9B">
        <w:rPr>
          <w:sz w:val="24"/>
          <w:szCs w:val="24"/>
        </w:rPr>
        <w:t xml:space="preserve">VID-19. </w:t>
      </w:r>
    </w:p>
    <w:p w:rsidR="004D4626" w:rsidRPr="00156F9B" w:rsidRDefault="004D4626" w:rsidP="000758A9">
      <w:pPr>
        <w:spacing w:after="0" w:line="480" w:lineRule="auto"/>
        <w:jc w:val="both"/>
        <w:rPr>
          <w:sz w:val="24"/>
          <w:szCs w:val="24"/>
        </w:rPr>
      </w:pPr>
    </w:p>
    <w:p w:rsidR="00F1794D" w:rsidRPr="00156F9B" w:rsidRDefault="00F1794D" w:rsidP="00F1794D">
      <w:pPr>
        <w:spacing w:after="0" w:line="480" w:lineRule="auto"/>
        <w:jc w:val="both"/>
        <w:rPr>
          <w:b/>
          <w:bCs/>
          <w:sz w:val="24"/>
          <w:szCs w:val="24"/>
        </w:rPr>
      </w:pPr>
      <w:r w:rsidRPr="00156F9B">
        <w:rPr>
          <w:b/>
          <w:bCs/>
          <w:sz w:val="24"/>
          <w:szCs w:val="24"/>
        </w:rPr>
        <w:t>Added value of this study</w:t>
      </w:r>
    </w:p>
    <w:p w:rsidR="00F1794D" w:rsidRPr="00156F9B" w:rsidRDefault="00F1794D" w:rsidP="00F1794D">
      <w:pPr>
        <w:spacing w:after="0" w:line="480" w:lineRule="auto"/>
        <w:jc w:val="both"/>
        <w:rPr>
          <w:bCs/>
          <w:sz w:val="24"/>
          <w:szCs w:val="24"/>
        </w:rPr>
      </w:pPr>
      <w:r w:rsidRPr="00156F9B">
        <w:rPr>
          <w:bCs/>
          <w:sz w:val="24"/>
          <w:szCs w:val="24"/>
        </w:rPr>
        <w:t>This prospective</w:t>
      </w:r>
      <w:r w:rsidR="0052066C">
        <w:rPr>
          <w:bCs/>
          <w:sz w:val="24"/>
          <w:szCs w:val="24"/>
        </w:rPr>
        <w:t>,</w:t>
      </w:r>
      <w:r w:rsidRPr="00156F9B">
        <w:rPr>
          <w:bCs/>
          <w:sz w:val="24"/>
          <w:szCs w:val="24"/>
        </w:rPr>
        <w:t xml:space="preserve"> non-randomised</w:t>
      </w:r>
      <w:r w:rsidR="0052066C">
        <w:rPr>
          <w:bCs/>
          <w:sz w:val="24"/>
          <w:szCs w:val="24"/>
        </w:rPr>
        <w:t>,</w:t>
      </w:r>
      <w:r w:rsidRPr="00156F9B">
        <w:rPr>
          <w:bCs/>
          <w:sz w:val="24"/>
          <w:szCs w:val="24"/>
        </w:rPr>
        <w:t xml:space="preserve"> controlled trial of </w:t>
      </w:r>
      <w:r w:rsidR="0052066C">
        <w:rPr>
          <w:bCs/>
          <w:sz w:val="24"/>
          <w:szCs w:val="24"/>
        </w:rPr>
        <w:t xml:space="preserve">routine </w:t>
      </w:r>
      <w:r w:rsidRPr="00156F9B">
        <w:rPr>
          <w:bCs/>
          <w:sz w:val="24"/>
          <w:szCs w:val="24"/>
        </w:rPr>
        <w:t xml:space="preserve">POCT for COVID-19 </w:t>
      </w:r>
      <w:r w:rsidR="0052066C">
        <w:rPr>
          <w:bCs/>
          <w:sz w:val="24"/>
          <w:szCs w:val="24"/>
        </w:rPr>
        <w:t xml:space="preserve">in hospital </w:t>
      </w:r>
      <w:r w:rsidRPr="00156F9B">
        <w:rPr>
          <w:bCs/>
          <w:sz w:val="24"/>
          <w:szCs w:val="24"/>
        </w:rPr>
        <w:t>demonst</w:t>
      </w:r>
      <w:r w:rsidR="008B47F5">
        <w:rPr>
          <w:bCs/>
          <w:sz w:val="24"/>
          <w:szCs w:val="24"/>
        </w:rPr>
        <w:t xml:space="preserve">rates the feasibility of POCT and shows clinical benefits </w:t>
      </w:r>
      <w:r w:rsidRPr="00156F9B">
        <w:rPr>
          <w:bCs/>
          <w:sz w:val="24"/>
          <w:szCs w:val="24"/>
        </w:rPr>
        <w:t xml:space="preserve">across a range of outcome measures </w:t>
      </w:r>
      <w:r w:rsidR="0052066C">
        <w:rPr>
          <w:bCs/>
          <w:sz w:val="24"/>
          <w:szCs w:val="24"/>
        </w:rPr>
        <w:t xml:space="preserve">including infection control measure and </w:t>
      </w:r>
      <w:r w:rsidR="0052066C" w:rsidRPr="00EA79B8">
        <w:rPr>
          <w:bCs/>
          <w:color w:val="000000" w:themeColor="text1"/>
          <w:sz w:val="24"/>
          <w:szCs w:val="24"/>
        </w:rPr>
        <w:t xml:space="preserve">recruitment into </w:t>
      </w:r>
      <w:r w:rsidR="008B47F5" w:rsidRPr="00EA79B8">
        <w:rPr>
          <w:bCs/>
          <w:color w:val="000000" w:themeColor="text1"/>
          <w:sz w:val="24"/>
          <w:szCs w:val="24"/>
        </w:rPr>
        <w:t xml:space="preserve">clinical trials. It also shows </w:t>
      </w:r>
      <w:r w:rsidR="0052066C" w:rsidRPr="00EA79B8">
        <w:rPr>
          <w:bCs/>
          <w:color w:val="000000" w:themeColor="text1"/>
          <w:sz w:val="24"/>
          <w:szCs w:val="24"/>
        </w:rPr>
        <w:t>that the real-</w:t>
      </w:r>
      <w:r w:rsidRPr="00EA79B8">
        <w:rPr>
          <w:bCs/>
          <w:color w:val="000000" w:themeColor="text1"/>
          <w:sz w:val="24"/>
          <w:szCs w:val="24"/>
        </w:rPr>
        <w:t>word diagnostic accuracy</w:t>
      </w:r>
      <w:r w:rsidR="004D4626" w:rsidRPr="00EA79B8">
        <w:rPr>
          <w:bCs/>
          <w:color w:val="000000" w:themeColor="text1"/>
          <w:sz w:val="24"/>
          <w:szCs w:val="24"/>
        </w:rPr>
        <w:t xml:space="preserve"> of the</w:t>
      </w:r>
      <w:r w:rsidRPr="00EA79B8">
        <w:rPr>
          <w:bCs/>
          <w:color w:val="000000" w:themeColor="text1"/>
          <w:sz w:val="24"/>
          <w:szCs w:val="24"/>
        </w:rPr>
        <w:t xml:space="preserve"> </w:t>
      </w:r>
      <w:r w:rsidR="004D4626" w:rsidRPr="00EA79B8">
        <w:rPr>
          <w:bCs/>
          <w:color w:val="000000" w:themeColor="text1"/>
          <w:sz w:val="24"/>
          <w:szCs w:val="24"/>
        </w:rPr>
        <w:t>QIAstat-Dx SARS-CoV-2</w:t>
      </w:r>
      <w:r w:rsidR="00891FE6" w:rsidRPr="00EA79B8">
        <w:rPr>
          <w:bCs/>
          <w:color w:val="000000" w:themeColor="text1"/>
          <w:sz w:val="24"/>
          <w:szCs w:val="24"/>
        </w:rPr>
        <w:t xml:space="preserve"> test</w:t>
      </w:r>
      <w:r w:rsidR="004D4626" w:rsidRPr="00EA79B8">
        <w:rPr>
          <w:bCs/>
          <w:color w:val="000000" w:themeColor="text1"/>
          <w:sz w:val="24"/>
          <w:szCs w:val="24"/>
        </w:rPr>
        <w:t xml:space="preserve"> </w:t>
      </w:r>
      <w:r w:rsidR="00A44702" w:rsidRPr="00EA79B8">
        <w:rPr>
          <w:bCs/>
          <w:color w:val="000000" w:themeColor="text1"/>
          <w:sz w:val="24"/>
          <w:szCs w:val="24"/>
        </w:rPr>
        <w:t xml:space="preserve">was high </w:t>
      </w:r>
      <w:r w:rsidR="004D4626" w:rsidRPr="00EA79B8">
        <w:rPr>
          <w:bCs/>
          <w:color w:val="000000" w:themeColor="text1"/>
          <w:sz w:val="24"/>
          <w:szCs w:val="24"/>
        </w:rPr>
        <w:t xml:space="preserve">compared to </w:t>
      </w:r>
      <w:r w:rsidR="00243220" w:rsidRPr="00EA79B8">
        <w:rPr>
          <w:bCs/>
          <w:color w:val="000000" w:themeColor="text1"/>
          <w:sz w:val="24"/>
          <w:szCs w:val="24"/>
        </w:rPr>
        <w:t xml:space="preserve">our composite PCR reference standard. </w:t>
      </w:r>
    </w:p>
    <w:p w:rsidR="00F1794D" w:rsidRPr="00156F9B" w:rsidRDefault="00F1794D" w:rsidP="00F1794D">
      <w:pPr>
        <w:spacing w:after="0" w:line="480" w:lineRule="auto"/>
        <w:jc w:val="both"/>
        <w:rPr>
          <w:bCs/>
          <w:sz w:val="24"/>
          <w:szCs w:val="24"/>
        </w:rPr>
      </w:pPr>
    </w:p>
    <w:p w:rsidR="00F1794D" w:rsidRPr="00156F9B" w:rsidRDefault="00F1794D" w:rsidP="00F1794D">
      <w:pPr>
        <w:spacing w:after="0" w:line="480" w:lineRule="auto"/>
        <w:jc w:val="both"/>
        <w:rPr>
          <w:b/>
          <w:bCs/>
          <w:sz w:val="24"/>
          <w:szCs w:val="24"/>
        </w:rPr>
      </w:pPr>
      <w:r w:rsidRPr="00156F9B">
        <w:rPr>
          <w:b/>
          <w:bCs/>
          <w:sz w:val="24"/>
          <w:szCs w:val="24"/>
        </w:rPr>
        <w:t>Implications of all the available evidence</w:t>
      </w:r>
    </w:p>
    <w:p w:rsidR="00F1794D" w:rsidRPr="00156F9B" w:rsidRDefault="008B47F5" w:rsidP="000758A9">
      <w:pPr>
        <w:spacing w:after="0" w:line="480" w:lineRule="auto"/>
        <w:jc w:val="both"/>
        <w:rPr>
          <w:b/>
          <w:sz w:val="24"/>
          <w:szCs w:val="24"/>
        </w:rPr>
      </w:pPr>
      <w:r>
        <w:rPr>
          <w:sz w:val="24"/>
          <w:szCs w:val="24"/>
        </w:rPr>
        <w:t xml:space="preserve">Routine </w:t>
      </w:r>
      <w:r w:rsidR="004D4626" w:rsidRPr="00156F9B">
        <w:rPr>
          <w:sz w:val="24"/>
          <w:szCs w:val="24"/>
        </w:rPr>
        <w:t xml:space="preserve">POCT for SARS-CoV-2 in hospitalised adults </w:t>
      </w:r>
      <w:r w:rsidR="00891FE6" w:rsidRPr="00156F9B">
        <w:rPr>
          <w:bCs/>
          <w:sz w:val="24"/>
          <w:szCs w:val="24"/>
        </w:rPr>
        <w:t xml:space="preserve">is </w:t>
      </w:r>
      <w:r w:rsidR="0052066C">
        <w:rPr>
          <w:bCs/>
          <w:sz w:val="24"/>
          <w:szCs w:val="24"/>
        </w:rPr>
        <w:t xml:space="preserve">feasible, </w:t>
      </w:r>
      <w:r w:rsidR="00891FE6" w:rsidRPr="00156F9B">
        <w:rPr>
          <w:bCs/>
          <w:sz w:val="24"/>
          <w:szCs w:val="24"/>
        </w:rPr>
        <w:t xml:space="preserve">accurate and </w:t>
      </w:r>
      <w:r w:rsidR="004D4626" w:rsidRPr="00156F9B">
        <w:rPr>
          <w:sz w:val="24"/>
          <w:szCs w:val="24"/>
        </w:rPr>
        <w:t>improves the time to res</w:t>
      </w:r>
      <w:r w:rsidR="00891FE6" w:rsidRPr="00156F9B">
        <w:rPr>
          <w:sz w:val="24"/>
          <w:szCs w:val="24"/>
        </w:rPr>
        <w:t xml:space="preserve">ults compared to laboratory PCR. POCT is </w:t>
      </w:r>
      <w:r w:rsidR="004D4626" w:rsidRPr="00156F9B">
        <w:rPr>
          <w:sz w:val="24"/>
          <w:szCs w:val="24"/>
        </w:rPr>
        <w:t xml:space="preserve">associated with improvements in the use of infection control measures, patient flow and enrolment of patients into clinical trials. </w:t>
      </w:r>
      <w:r w:rsidR="00243220">
        <w:rPr>
          <w:sz w:val="24"/>
          <w:szCs w:val="24"/>
        </w:rPr>
        <w:lastRenderedPageBreak/>
        <w:t>Efforts should now focus on</w:t>
      </w:r>
      <w:r w:rsidR="004D4626" w:rsidRPr="00156F9B">
        <w:rPr>
          <w:sz w:val="24"/>
          <w:szCs w:val="24"/>
        </w:rPr>
        <w:t xml:space="preserve"> improving access to </w:t>
      </w:r>
      <w:r w:rsidR="00F54400">
        <w:rPr>
          <w:sz w:val="24"/>
          <w:szCs w:val="24"/>
        </w:rPr>
        <w:t xml:space="preserve">and implementation of </w:t>
      </w:r>
      <w:r>
        <w:rPr>
          <w:sz w:val="24"/>
          <w:szCs w:val="24"/>
        </w:rPr>
        <w:t xml:space="preserve">POCT </w:t>
      </w:r>
      <w:r w:rsidR="00243220">
        <w:rPr>
          <w:sz w:val="24"/>
          <w:szCs w:val="24"/>
        </w:rPr>
        <w:t xml:space="preserve">for acute admission to </w:t>
      </w:r>
      <w:r>
        <w:rPr>
          <w:sz w:val="24"/>
          <w:szCs w:val="24"/>
        </w:rPr>
        <w:t>secondary care</w:t>
      </w:r>
      <w:r w:rsidR="00F54400">
        <w:rPr>
          <w:sz w:val="24"/>
          <w:szCs w:val="24"/>
        </w:rPr>
        <w:t xml:space="preserve">, in preparation for a </w:t>
      </w:r>
      <w:r w:rsidR="00891FE6" w:rsidRPr="00156F9B">
        <w:rPr>
          <w:sz w:val="24"/>
          <w:szCs w:val="24"/>
        </w:rPr>
        <w:t>second wave</w:t>
      </w:r>
      <w:r w:rsidR="00F54400">
        <w:rPr>
          <w:sz w:val="24"/>
          <w:szCs w:val="24"/>
        </w:rPr>
        <w:t xml:space="preserve"> of COVID-19</w:t>
      </w:r>
      <w:r w:rsidR="004D4626" w:rsidRPr="00156F9B">
        <w:rPr>
          <w:sz w:val="24"/>
          <w:szCs w:val="24"/>
        </w:rPr>
        <w:t xml:space="preserve">. </w:t>
      </w:r>
    </w:p>
    <w:sectPr w:rsidR="00F1794D" w:rsidRPr="00156F9B">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43EA" w:rsidRDefault="003143EA" w:rsidP="00D81623">
      <w:pPr>
        <w:spacing w:after="0" w:line="240" w:lineRule="auto"/>
      </w:pPr>
      <w:r>
        <w:separator/>
      </w:r>
    </w:p>
  </w:endnote>
  <w:endnote w:type="continuationSeparator" w:id="0">
    <w:p w:rsidR="003143EA" w:rsidRDefault="003143EA" w:rsidP="00D816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2038571"/>
      <w:docPartObj>
        <w:docPartGallery w:val="Page Numbers (Bottom of Page)"/>
        <w:docPartUnique/>
      </w:docPartObj>
    </w:sdtPr>
    <w:sdtEndPr>
      <w:rPr>
        <w:noProof/>
      </w:rPr>
    </w:sdtEndPr>
    <w:sdtContent>
      <w:p w:rsidR="003143EA" w:rsidRDefault="003143EA">
        <w:pPr>
          <w:pStyle w:val="Footer"/>
          <w:jc w:val="center"/>
        </w:pPr>
        <w:r>
          <w:fldChar w:fldCharType="begin"/>
        </w:r>
        <w:r>
          <w:instrText xml:space="preserve"> PAGE   \* MERGEFORMAT </w:instrText>
        </w:r>
        <w:r>
          <w:fldChar w:fldCharType="separate"/>
        </w:r>
        <w:r w:rsidR="00AE5E0B">
          <w:rPr>
            <w:noProof/>
          </w:rPr>
          <w:t>17</w:t>
        </w:r>
        <w:r>
          <w:rPr>
            <w:noProof/>
          </w:rPr>
          <w:fldChar w:fldCharType="end"/>
        </w:r>
      </w:p>
    </w:sdtContent>
  </w:sdt>
  <w:p w:rsidR="003143EA" w:rsidRDefault="003143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43EA" w:rsidRDefault="003143EA" w:rsidP="00D81623">
      <w:pPr>
        <w:spacing w:after="0" w:line="240" w:lineRule="auto"/>
      </w:pPr>
      <w:r>
        <w:separator/>
      </w:r>
    </w:p>
  </w:footnote>
  <w:footnote w:type="continuationSeparator" w:id="0">
    <w:p w:rsidR="003143EA" w:rsidRDefault="003143EA" w:rsidP="00D816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E45D2"/>
    <w:multiLevelType w:val="hybridMultilevel"/>
    <w:tmpl w:val="DA4632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403C24"/>
    <w:multiLevelType w:val="hybridMultilevel"/>
    <w:tmpl w:val="16BC7FAC"/>
    <w:lvl w:ilvl="0" w:tplc="919A4E68">
      <w:start w:val="1"/>
      <w:numFmt w:val="decimal"/>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FA3CD5"/>
    <w:multiLevelType w:val="hybridMultilevel"/>
    <w:tmpl w:val="F1305C82"/>
    <w:lvl w:ilvl="0" w:tplc="4EC2C184">
      <w:start w:val="1"/>
      <w:numFmt w:val="decimal"/>
      <w:lvlText w:val="%1."/>
      <w:lvlJc w:val="left"/>
      <w:pPr>
        <w:ind w:left="720" w:hanging="360"/>
      </w:pPr>
      <w:rPr>
        <w:rFonts w:ascii="Times New Roman" w:eastAsia="Times New Roman"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166286"/>
    <w:multiLevelType w:val="hybridMultilevel"/>
    <w:tmpl w:val="4642D0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196B4B"/>
    <w:multiLevelType w:val="hybridMultilevel"/>
    <w:tmpl w:val="8A56A616"/>
    <w:lvl w:ilvl="0" w:tplc="463239D2">
      <w:start w:val="1"/>
      <w:numFmt w:val="decimal"/>
      <w:lvlText w:val="%1."/>
      <w:lvlJc w:val="left"/>
      <w:pPr>
        <w:ind w:left="720" w:hanging="360"/>
      </w:pPr>
      <w:rPr>
        <w:rFonts w:asciiTheme="minorHAnsi" w:eastAsiaTheme="minorEastAsia"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9D26BE"/>
    <w:multiLevelType w:val="hybridMultilevel"/>
    <w:tmpl w:val="996A13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8E762D"/>
    <w:multiLevelType w:val="hybridMultilevel"/>
    <w:tmpl w:val="D0C8FD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2E92B85"/>
    <w:multiLevelType w:val="hybridMultilevel"/>
    <w:tmpl w:val="C15EC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9816B5"/>
    <w:multiLevelType w:val="hybridMultilevel"/>
    <w:tmpl w:val="044080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E205EBA"/>
    <w:multiLevelType w:val="hybridMultilevel"/>
    <w:tmpl w:val="18A6F9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3DE2A04"/>
    <w:multiLevelType w:val="hybridMultilevel"/>
    <w:tmpl w:val="80628C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1D73128"/>
    <w:multiLevelType w:val="hybridMultilevel"/>
    <w:tmpl w:val="D89E9E4C"/>
    <w:lvl w:ilvl="0" w:tplc="44FC0C8C">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CE0FB0"/>
    <w:multiLevelType w:val="hybridMultilevel"/>
    <w:tmpl w:val="713CAC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8"/>
  </w:num>
  <w:num w:numId="3">
    <w:abstractNumId w:val="0"/>
  </w:num>
  <w:num w:numId="4">
    <w:abstractNumId w:val="10"/>
  </w:num>
  <w:num w:numId="5">
    <w:abstractNumId w:val="3"/>
  </w:num>
  <w:num w:numId="6">
    <w:abstractNumId w:val="6"/>
  </w:num>
  <w:num w:numId="7">
    <w:abstractNumId w:val="9"/>
  </w:num>
  <w:num w:numId="8">
    <w:abstractNumId w:val="2"/>
  </w:num>
  <w:num w:numId="9">
    <w:abstractNumId w:val="4"/>
  </w:num>
  <w:num w:numId="10">
    <w:abstractNumId w:val="1"/>
  </w:num>
  <w:num w:numId="11">
    <w:abstractNumId w:val="5"/>
  </w:num>
  <w:num w:numId="12">
    <w:abstractNumId w:val="1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BA0"/>
    <w:rsid w:val="00000403"/>
    <w:rsid w:val="0000106C"/>
    <w:rsid w:val="000015C0"/>
    <w:rsid w:val="0000178B"/>
    <w:rsid w:val="00003107"/>
    <w:rsid w:val="00004463"/>
    <w:rsid w:val="00005700"/>
    <w:rsid w:val="000070DA"/>
    <w:rsid w:val="00007C63"/>
    <w:rsid w:val="00010EEF"/>
    <w:rsid w:val="00011921"/>
    <w:rsid w:val="000143D6"/>
    <w:rsid w:val="0002047E"/>
    <w:rsid w:val="0002329B"/>
    <w:rsid w:val="0002505A"/>
    <w:rsid w:val="00025304"/>
    <w:rsid w:val="000274C0"/>
    <w:rsid w:val="00032CC1"/>
    <w:rsid w:val="000340D3"/>
    <w:rsid w:val="00034A2C"/>
    <w:rsid w:val="0003582C"/>
    <w:rsid w:val="0003619C"/>
    <w:rsid w:val="000379E5"/>
    <w:rsid w:val="00041B98"/>
    <w:rsid w:val="0004498B"/>
    <w:rsid w:val="0004733C"/>
    <w:rsid w:val="000511FD"/>
    <w:rsid w:val="0005192D"/>
    <w:rsid w:val="00052549"/>
    <w:rsid w:val="000525EF"/>
    <w:rsid w:val="00052707"/>
    <w:rsid w:val="000555AB"/>
    <w:rsid w:val="0006002B"/>
    <w:rsid w:val="0006017F"/>
    <w:rsid w:val="00061BBB"/>
    <w:rsid w:val="000621E3"/>
    <w:rsid w:val="0006500E"/>
    <w:rsid w:val="000675DE"/>
    <w:rsid w:val="00067C0E"/>
    <w:rsid w:val="00073047"/>
    <w:rsid w:val="00073295"/>
    <w:rsid w:val="000748C4"/>
    <w:rsid w:val="0007551E"/>
    <w:rsid w:val="000758A9"/>
    <w:rsid w:val="00076E94"/>
    <w:rsid w:val="000777C3"/>
    <w:rsid w:val="00077C2C"/>
    <w:rsid w:val="000814DC"/>
    <w:rsid w:val="000821C5"/>
    <w:rsid w:val="00085BA9"/>
    <w:rsid w:val="000911EE"/>
    <w:rsid w:val="000914C5"/>
    <w:rsid w:val="00093E6A"/>
    <w:rsid w:val="00096D2F"/>
    <w:rsid w:val="00097163"/>
    <w:rsid w:val="000A0C99"/>
    <w:rsid w:val="000A2BBC"/>
    <w:rsid w:val="000A4342"/>
    <w:rsid w:val="000A4660"/>
    <w:rsid w:val="000A5D43"/>
    <w:rsid w:val="000A6874"/>
    <w:rsid w:val="000A6AEE"/>
    <w:rsid w:val="000A6DDD"/>
    <w:rsid w:val="000A7E61"/>
    <w:rsid w:val="000B0E25"/>
    <w:rsid w:val="000B0E8C"/>
    <w:rsid w:val="000B250C"/>
    <w:rsid w:val="000B3E58"/>
    <w:rsid w:val="000B3E7C"/>
    <w:rsid w:val="000B3FC3"/>
    <w:rsid w:val="000C0CC9"/>
    <w:rsid w:val="000C15E5"/>
    <w:rsid w:val="000C1CBA"/>
    <w:rsid w:val="000C5490"/>
    <w:rsid w:val="000C594B"/>
    <w:rsid w:val="000C7042"/>
    <w:rsid w:val="000D072E"/>
    <w:rsid w:val="000D59E4"/>
    <w:rsid w:val="000D7BDC"/>
    <w:rsid w:val="000E0D48"/>
    <w:rsid w:val="000E1CCA"/>
    <w:rsid w:val="000E6035"/>
    <w:rsid w:val="000F0003"/>
    <w:rsid w:val="000F1016"/>
    <w:rsid w:val="000F1866"/>
    <w:rsid w:val="000F5FB5"/>
    <w:rsid w:val="000F67A5"/>
    <w:rsid w:val="000F6915"/>
    <w:rsid w:val="000F7D39"/>
    <w:rsid w:val="00100A5C"/>
    <w:rsid w:val="00100A7D"/>
    <w:rsid w:val="0010265A"/>
    <w:rsid w:val="00103D4C"/>
    <w:rsid w:val="001069D3"/>
    <w:rsid w:val="00106FBF"/>
    <w:rsid w:val="00112452"/>
    <w:rsid w:val="001132FC"/>
    <w:rsid w:val="001146C1"/>
    <w:rsid w:val="00116EEC"/>
    <w:rsid w:val="001172F9"/>
    <w:rsid w:val="00121AFA"/>
    <w:rsid w:val="00123799"/>
    <w:rsid w:val="001258AE"/>
    <w:rsid w:val="00126978"/>
    <w:rsid w:val="00131BE2"/>
    <w:rsid w:val="00131C0D"/>
    <w:rsid w:val="0013301F"/>
    <w:rsid w:val="00133CEB"/>
    <w:rsid w:val="001340C4"/>
    <w:rsid w:val="00135088"/>
    <w:rsid w:val="0014259C"/>
    <w:rsid w:val="00142F60"/>
    <w:rsid w:val="001509D5"/>
    <w:rsid w:val="0015173D"/>
    <w:rsid w:val="00152AF6"/>
    <w:rsid w:val="00152CFD"/>
    <w:rsid w:val="00153EBD"/>
    <w:rsid w:val="00156F9B"/>
    <w:rsid w:val="0016177E"/>
    <w:rsid w:val="00163938"/>
    <w:rsid w:val="00163E2E"/>
    <w:rsid w:val="00164D81"/>
    <w:rsid w:val="0016519A"/>
    <w:rsid w:val="00167744"/>
    <w:rsid w:val="00170040"/>
    <w:rsid w:val="001703A7"/>
    <w:rsid w:val="00171B32"/>
    <w:rsid w:val="00171CC4"/>
    <w:rsid w:val="00176452"/>
    <w:rsid w:val="0018178F"/>
    <w:rsid w:val="001830CE"/>
    <w:rsid w:val="001866C2"/>
    <w:rsid w:val="00191078"/>
    <w:rsid w:val="00194BDA"/>
    <w:rsid w:val="0019759F"/>
    <w:rsid w:val="001A04CA"/>
    <w:rsid w:val="001A33CE"/>
    <w:rsid w:val="001A7509"/>
    <w:rsid w:val="001B2B34"/>
    <w:rsid w:val="001B5CDA"/>
    <w:rsid w:val="001C0B67"/>
    <w:rsid w:val="001C5054"/>
    <w:rsid w:val="001C64A9"/>
    <w:rsid w:val="001C73C7"/>
    <w:rsid w:val="001C7D2C"/>
    <w:rsid w:val="001D0EE0"/>
    <w:rsid w:val="001D27FD"/>
    <w:rsid w:val="001D5DB2"/>
    <w:rsid w:val="001E59C5"/>
    <w:rsid w:val="001E616F"/>
    <w:rsid w:val="001F2347"/>
    <w:rsid w:val="001F402C"/>
    <w:rsid w:val="001F5D8D"/>
    <w:rsid w:val="001F6261"/>
    <w:rsid w:val="001F6D03"/>
    <w:rsid w:val="001F6D39"/>
    <w:rsid w:val="00202014"/>
    <w:rsid w:val="00202C0A"/>
    <w:rsid w:val="002045FF"/>
    <w:rsid w:val="0020630A"/>
    <w:rsid w:val="00207502"/>
    <w:rsid w:val="002129FA"/>
    <w:rsid w:val="00215D8B"/>
    <w:rsid w:val="00223748"/>
    <w:rsid w:val="00223D11"/>
    <w:rsid w:val="00226B2F"/>
    <w:rsid w:val="00226F1A"/>
    <w:rsid w:val="00227485"/>
    <w:rsid w:val="00231723"/>
    <w:rsid w:val="0023208A"/>
    <w:rsid w:val="00233A41"/>
    <w:rsid w:val="002345E6"/>
    <w:rsid w:val="002373BD"/>
    <w:rsid w:val="00237E19"/>
    <w:rsid w:val="002416F2"/>
    <w:rsid w:val="00242082"/>
    <w:rsid w:val="0024287D"/>
    <w:rsid w:val="00243220"/>
    <w:rsid w:val="0024524B"/>
    <w:rsid w:val="00245C30"/>
    <w:rsid w:val="0024658D"/>
    <w:rsid w:val="00246FB7"/>
    <w:rsid w:val="00252B12"/>
    <w:rsid w:val="002555E9"/>
    <w:rsid w:val="002568D1"/>
    <w:rsid w:val="0026540E"/>
    <w:rsid w:val="00267F14"/>
    <w:rsid w:val="00271525"/>
    <w:rsid w:val="00272E54"/>
    <w:rsid w:val="00273C30"/>
    <w:rsid w:val="002743D8"/>
    <w:rsid w:val="00275327"/>
    <w:rsid w:val="00275630"/>
    <w:rsid w:val="002813F2"/>
    <w:rsid w:val="002835C6"/>
    <w:rsid w:val="00283AD8"/>
    <w:rsid w:val="00283C46"/>
    <w:rsid w:val="00286094"/>
    <w:rsid w:val="00286AE5"/>
    <w:rsid w:val="00286AF5"/>
    <w:rsid w:val="00287519"/>
    <w:rsid w:val="002905A0"/>
    <w:rsid w:val="002928C0"/>
    <w:rsid w:val="00293079"/>
    <w:rsid w:val="00294D64"/>
    <w:rsid w:val="00294F70"/>
    <w:rsid w:val="0029590F"/>
    <w:rsid w:val="00296BE4"/>
    <w:rsid w:val="002A4676"/>
    <w:rsid w:val="002A6C30"/>
    <w:rsid w:val="002B1C7A"/>
    <w:rsid w:val="002B68B9"/>
    <w:rsid w:val="002B69BF"/>
    <w:rsid w:val="002C0250"/>
    <w:rsid w:val="002C7CE5"/>
    <w:rsid w:val="002D1B7E"/>
    <w:rsid w:val="002D2F35"/>
    <w:rsid w:val="002E0610"/>
    <w:rsid w:val="002E2D4D"/>
    <w:rsid w:val="002E4F4C"/>
    <w:rsid w:val="002E58AD"/>
    <w:rsid w:val="002E6C05"/>
    <w:rsid w:val="002E75C6"/>
    <w:rsid w:val="002F1E00"/>
    <w:rsid w:val="002F3269"/>
    <w:rsid w:val="002F7020"/>
    <w:rsid w:val="0030232B"/>
    <w:rsid w:val="00302398"/>
    <w:rsid w:val="00304E0E"/>
    <w:rsid w:val="0030542C"/>
    <w:rsid w:val="003063B4"/>
    <w:rsid w:val="003122FF"/>
    <w:rsid w:val="003139BF"/>
    <w:rsid w:val="00313C56"/>
    <w:rsid w:val="003143EA"/>
    <w:rsid w:val="00314E89"/>
    <w:rsid w:val="00315AD0"/>
    <w:rsid w:val="00316BF4"/>
    <w:rsid w:val="003205BB"/>
    <w:rsid w:val="00321057"/>
    <w:rsid w:val="00322D43"/>
    <w:rsid w:val="003230B4"/>
    <w:rsid w:val="003248F7"/>
    <w:rsid w:val="0032797B"/>
    <w:rsid w:val="00330970"/>
    <w:rsid w:val="0033196B"/>
    <w:rsid w:val="00336D42"/>
    <w:rsid w:val="00340463"/>
    <w:rsid w:val="00342A1F"/>
    <w:rsid w:val="00346299"/>
    <w:rsid w:val="00347672"/>
    <w:rsid w:val="00353190"/>
    <w:rsid w:val="0035323F"/>
    <w:rsid w:val="003563BE"/>
    <w:rsid w:val="00361554"/>
    <w:rsid w:val="00362BCA"/>
    <w:rsid w:val="0036361F"/>
    <w:rsid w:val="0036414D"/>
    <w:rsid w:val="00365A51"/>
    <w:rsid w:val="00365BF7"/>
    <w:rsid w:val="003666F3"/>
    <w:rsid w:val="00367F06"/>
    <w:rsid w:val="00372DDF"/>
    <w:rsid w:val="003770B1"/>
    <w:rsid w:val="0038006E"/>
    <w:rsid w:val="00385FFD"/>
    <w:rsid w:val="00386DF9"/>
    <w:rsid w:val="00387FF7"/>
    <w:rsid w:val="00393547"/>
    <w:rsid w:val="00393D3E"/>
    <w:rsid w:val="003956EC"/>
    <w:rsid w:val="00397CC4"/>
    <w:rsid w:val="00397F41"/>
    <w:rsid w:val="003A08D7"/>
    <w:rsid w:val="003A4621"/>
    <w:rsid w:val="003A54FE"/>
    <w:rsid w:val="003A7DEE"/>
    <w:rsid w:val="003B00DE"/>
    <w:rsid w:val="003B2BB9"/>
    <w:rsid w:val="003B2CD0"/>
    <w:rsid w:val="003B49AB"/>
    <w:rsid w:val="003B4F6F"/>
    <w:rsid w:val="003B5DC7"/>
    <w:rsid w:val="003C3074"/>
    <w:rsid w:val="003C5BB7"/>
    <w:rsid w:val="003D380B"/>
    <w:rsid w:val="003D4AB6"/>
    <w:rsid w:val="003D591A"/>
    <w:rsid w:val="003D6CC1"/>
    <w:rsid w:val="003D7710"/>
    <w:rsid w:val="003E22FB"/>
    <w:rsid w:val="003E3331"/>
    <w:rsid w:val="003E38CF"/>
    <w:rsid w:val="003E5677"/>
    <w:rsid w:val="003E7593"/>
    <w:rsid w:val="003F0590"/>
    <w:rsid w:val="003F58F0"/>
    <w:rsid w:val="003F5E2E"/>
    <w:rsid w:val="00400608"/>
    <w:rsid w:val="00401156"/>
    <w:rsid w:val="004022B4"/>
    <w:rsid w:val="004022C4"/>
    <w:rsid w:val="0040287B"/>
    <w:rsid w:val="004064DB"/>
    <w:rsid w:val="00406F73"/>
    <w:rsid w:val="00412E48"/>
    <w:rsid w:val="0041358F"/>
    <w:rsid w:val="00414D67"/>
    <w:rsid w:val="004156C3"/>
    <w:rsid w:val="00421478"/>
    <w:rsid w:val="00423965"/>
    <w:rsid w:val="00424174"/>
    <w:rsid w:val="00424E3D"/>
    <w:rsid w:val="00425477"/>
    <w:rsid w:val="00431305"/>
    <w:rsid w:val="00432CA7"/>
    <w:rsid w:val="00433046"/>
    <w:rsid w:val="0043437F"/>
    <w:rsid w:val="00436916"/>
    <w:rsid w:val="00442682"/>
    <w:rsid w:val="0044344E"/>
    <w:rsid w:val="00445601"/>
    <w:rsid w:val="00446292"/>
    <w:rsid w:val="00446F84"/>
    <w:rsid w:val="00447D89"/>
    <w:rsid w:val="004509B5"/>
    <w:rsid w:val="004538CA"/>
    <w:rsid w:val="0045579F"/>
    <w:rsid w:val="004574F7"/>
    <w:rsid w:val="0046002D"/>
    <w:rsid w:val="004609C2"/>
    <w:rsid w:val="00461417"/>
    <w:rsid w:val="00464E4E"/>
    <w:rsid w:val="00466DCC"/>
    <w:rsid w:val="004739C1"/>
    <w:rsid w:val="00474463"/>
    <w:rsid w:val="00482B3E"/>
    <w:rsid w:val="00482DD3"/>
    <w:rsid w:val="00483376"/>
    <w:rsid w:val="004919BC"/>
    <w:rsid w:val="004935EE"/>
    <w:rsid w:val="00495C4A"/>
    <w:rsid w:val="0049641D"/>
    <w:rsid w:val="004A06BB"/>
    <w:rsid w:val="004A392A"/>
    <w:rsid w:val="004A3949"/>
    <w:rsid w:val="004A41BA"/>
    <w:rsid w:val="004A652E"/>
    <w:rsid w:val="004A6BA4"/>
    <w:rsid w:val="004B3784"/>
    <w:rsid w:val="004B3ED5"/>
    <w:rsid w:val="004B4802"/>
    <w:rsid w:val="004B71E6"/>
    <w:rsid w:val="004C35B1"/>
    <w:rsid w:val="004C46E9"/>
    <w:rsid w:val="004C4C52"/>
    <w:rsid w:val="004C66C9"/>
    <w:rsid w:val="004D0373"/>
    <w:rsid w:val="004D3DA2"/>
    <w:rsid w:val="004D4214"/>
    <w:rsid w:val="004D4626"/>
    <w:rsid w:val="004D6FC9"/>
    <w:rsid w:val="004E0E6A"/>
    <w:rsid w:val="004E1209"/>
    <w:rsid w:val="004E15EB"/>
    <w:rsid w:val="004E373F"/>
    <w:rsid w:val="004E3B3A"/>
    <w:rsid w:val="004E4A9B"/>
    <w:rsid w:val="004E5D0E"/>
    <w:rsid w:val="004F0B73"/>
    <w:rsid w:val="004F2B79"/>
    <w:rsid w:val="004F76E5"/>
    <w:rsid w:val="00500377"/>
    <w:rsid w:val="005005B2"/>
    <w:rsid w:val="00510766"/>
    <w:rsid w:val="00511115"/>
    <w:rsid w:val="0051295E"/>
    <w:rsid w:val="005142EC"/>
    <w:rsid w:val="0051715D"/>
    <w:rsid w:val="0051776E"/>
    <w:rsid w:val="0052066C"/>
    <w:rsid w:val="005235AC"/>
    <w:rsid w:val="00524DF9"/>
    <w:rsid w:val="00524F10"/>
    <w:rsid w:val="00526B34"/>
    <w:rsid w:val="00527354"/>
    <w:rsid w:val="00530FEA"/>
    <w:rsid w:val="00531FE1"/>
    <w:rsid w:val="00532853"/>
    <w:rsid w:val="00536F74"/>
    <w:rsid w:val="005376F8"/>
    <w:rsid w:val="00540F30"/>
    <w:rsid w:val="005436A4"/>
    <w:rsid w:val="005442C9"/>
    <w:rsid w:val="00545F9A"/>
    <w:rsid w:val="00546B43"/>
    <w:rsid w:val="00546BE1"/>
    <w:rsid w:val="005479C1"/>
    <w:rsid w:val="00547BB3"/>
    <w:rsid w:val="0055249A"/>
    <w:rsid w:val="00552E3B"/>
    <w:rsid w:val="00553429"/>
    <w:rsid w:val="00556CAC"/>
    <w:rsid w:val="005621A2"/>
    <w:rsid w:val="005637BC"/>
    <w:rsid w:val="00570636"/>
    <w:rsid w:val="005711B1"/>
    <w:rsid w:val="00572561"/>
    <w:rsid w:val="00575547"/>
    <w:rsid w:val="005762D6"/>
    <w:rsid w:val="0057635E"/>
    <w:rsid w:val="005775CF"/>
    <w:rsid w:val="00577A14"/>
    <w:rsid w:val="00581B26"/>
    <w:rsid w:val="00582336"/>
    <w:rsid w:val="0058464B"/>
    <w:rsid w:val="00585943"/>
    <w:rsid w:val="0058635A"/>
    <w:rsid w:val="005868BA"/>
    <w:rsid w:val="00586E66"/>
    <w:rsid w:val="005923B0"/>
    <w:rsid w:val="00593D48"/>
    <w:rsid w:val="00595B17"/>
    <w:rsid w:val="00597854"/>
    <w:rsid w:val="00597935"/>
    <w:rsid w:val="005A02C8"/>
    <w:rsid w:val="005A3D16"/>
    <w:rsid w:val="005A4E4E"/>
    <w:rsid w:val="005A4F04"/>
    <w:rsid w:val="005A5C15"/>
    <w:rsid w:val="005A6847"/>
    <w:rsid w:val="005B06E0"/>
    <w:rsid w:val="005B21F7"/>
    <w:rsid w:val="005C009D"/>
    <w:rsid w:val="005C0D8A"/>
    <w:rsid w:val="005C1144"/>
    <w:rsid w:val="005C4530"/>
    <w:rsid w:val="005C6E1E"/>
    <w:rsid w:val="005D0650"/>
    <w:rsid w:val="005D1097"/>
    <w:rsid w:val="005D375B"/>
    <w:rsid w:val="005D3938"/>
    <w:rsid w:val="005D3CF9"/>
    <w:rsid w:val="005D5188"/>
    <w:rsid w:val="005D5FD5"/>
    <w:rsid w:val="005E7700"/>
    <w:rsid w:val="005F0442"/>
    <w:rsid w:val="005F1570"/>
    <w:rsid w:val="005F2A1C"/>
    <w:rsid w:val="005F371F"/>
    <w:rsid w:val="005F4DCC"/>
    <w:rsid w:val="005F583E"/>
    <w:rsid w:val="005F715B"/>
    <w:rsid w:val="00600F9D"/>
    <w:rsid w:val="00600FB6"/>
    <w:rsid w:val="0060183C"/>
    <w:rsid w:val="00602FB6"/>
    <w:rsid w:val="0060347E"/>
    <w:rsid w:val="00605639"/>
    <w:rsid w:val="00607B30"/>
    <w:rsid w:val="00610725"/>
    <w:rsid w:val="00612801"/>
    <w:rsid w:val="006137ED"/>
    <w:rsid w:val="006145C7"/>
    <w:rsid w:val="00616DEC"/>
    <w:rsid w:val="006244C2"/>
    <w:rsid w:val="0062589C"/>
    <w:rsid w:val="006275DD"/>
    <w:rsid w:val="00627E13"/>
    <w:rsid w:val="00637286"/>
    <w:rsid w:val="00642814"/>
    <w:rsid w:val="0064282F"/>
    <w:rsid w:val="006430B4"/>
    <w:rsid w:val="0064335A"/>
    <w:rsid w:val="00646D92"/>
    <w:rsid w:val="00651BB3"/>
    <w:rsid w:val="0065474B"/>
    <w:rsid w:val="0065746D"/>
    <w:rsid w:val="0066012F"/>
    <w:rsid w:val="00660326"/>
    <w:rsid w:val="006615E3"/>
    <w:rsid w:val="00661DBC"/>
    <w:rsid w:val="0066259A"/>
    <w:rsid w:val="00667552"/>
    <w:rsid w:val="00672506"/>
    <w:rsid w:val="006747D1"/>
    <w:rsid w:val="00674C31"/>
    <w:rsid w:val="006811DF"/>
    <w:rsid w:val="00681987"/>
    <w:rsid w:val="00683984"/>
    <w:rsid w:val="00683CEB"/>
    <w:rsid w:val="00685DB9"/>
    <w:rsid w:val="00687314"/>
    <w:rsid w:val="00690153"/>
    <w:rsid w:val="00690E76"/>
    <w:rsid w:val="006929E6"/>
    <w:rsid w:val="00694896"/>
    <w:rsid w:val="00696592"/>
    <w:rsid w:val="00697562"/>
    <w:rsid w:val="006A0A19"/>
    <w:rsid w:val="006A330F"/>
    <w:rsid w:val="006A5101"/>
    <w:rsid w:val="006A69D7"/>
    <w:rsid w:val="006A7C6B"/>
    <w:rsid w:val="006B175B"/>
    <w:rsid w:val="006B2009"/>
    <w:rsid w:val="006B2B45"/>
    <w:rsid w:val="006B65C5"/>
    <w:rsid w:val="006B6C33"/>
    <w:rsid w:val="006C6A24"/>
    <w:rsid w:val="006C73FD"/>
    <w:rsid w:val="006D229E"/>
    <w:rsid w:val="006D3F5E"/>
    <w:rsid w:val="006D5EE8"/>
    <w:rsid w:val="006D6D80"/>
    <w:rsid w:val="006E4783"/>
    <w:rsid w:val="006E7C9A"/>
    <w:rsid w:val="006F0A4B"/>
    <w:rsid w:val="006F2115"/>
    <w:rsid w:val="006F327E"/>
    <w:rsid w:val="006F55F2"/>
    <w:rsid w:val="006F5AB1"/>
    <w:rsid w:val="006F5E09"/>
    <w:rsid w:val="007040D8"/>
    <w:rsid w:val="007042F0"/>
    <w:rsid w:val="00704D66"/>
    <w:rsid w:val="0070566D"/>
    <w:rsid w:val="00705BBA"/>
    <w:rsid w:val="0070651B"/>
    <w:rsid w:val="00707098"/>
    <w:rsid w:val="007071CE"/>
    <w:rsid w:val="00707E4A"/>
    <w:rsid w:val="00715B59"/>
    <w:rsid w:val="00717AD2"/>
    <w:rsid w:val="00717C06"/>
    <w:rsid w:val="00723421"/>
    <w:rsid w:val="007239CC"/>
    <w:rsid w:val="00726395"/>
    <w:rsid w:val="00732371"/>
    <w:rsid w:val="00732CED"/>
    <w:rsid w:val="0073519A"/>
    <w:rsid w:val="00740576"/>
    <w:rsid w:val="00741898"/>
    <w:rsid w:val="007427AA"/>
    <w:rsid w:val="00745B22"/>
    <w:rsid w:val="00747637"/>
    <w:rsid w:val="007518B2"/>
    <w:rsid w:val="00751D99"/>
    <w:rsid w:val="0075239B"/>
    <w:rsid w:val="007546B9"/>
    <w:rsid w:val="007574C0"/>
    <w:rsid w:val="00764D4B"/>
    <w:rsid w:val="00765E2B"/>
    <w:rsid w:val="007721F7"/>
    <w:rsid w:val="007735F5"/>
    <w:rsid w:val="00773657"/>
    <w:rsid w:val="007755EA"/>
    <w:rsid w:val="007813B2"/>
    <w:rsid w:val="00794F13"/>
    <w:rsid w:val="007961F3"/>
    <w:rsid w:val="007A29DE"/>
    <w:rsid w:val="007A3ECB"/>
    <w:rsid w:val="007A46E0"/>
    <w:rsid w:val="007A5A68"/>
    <w:rsid w:val="007B27A8"/>
    <w:rsid w:val="007B2B5B"/>
    <w:rsid w:val="007B5361"/>
    <w:rsid w:val="007B6A55"/>
    <w:rsid w:val="007B6DAA"/>
    <w:rsid w:val="007B7071"/>
    <w:rsid w:val="007B7091"/>
    <w:rsid w:val="007B729E"/>
    <w:rsid w:val="007B74D9"/>
    <w:rsid w:val="007C191D"/>
    <w:rsid w:val="007C22C0"/>
    <w:rsid w:val="007C4B37"/>
    <w:rsid w:val="007C4BEE"/>
    <w:rsid w:val="007C5487"/>
    <w:rsid w:val="007D3E34"/>
    <w:rsid w:val="007D6B2B"/>
    <w:rsid w:val="007D6FA1"/>
    <w:rsid w:val="007D74DF"/>
    <w:rsid w:val="007E0451"/>
    <w:rsid w:val="007E0B21"/>
    <w:rsid w:val="007E5C40"/>
    <w:rsid w:val="007F36E9"/>
    <w:rsid w:val="007F7298"/>
    <w:rsid w:val="007F77AF"/>
    <w:rsid w:val="00800F0D"/>
    <w:rsid w:val="008017A4"/>
    <w:rsid w:val="00802D60"/>
    <w:rsid w:val="008042DE"/>
    <w:rsid w:val="00805CCC"/>
    <w:rsid w:val="00806809"/>
    <w:rsid w:val="00806E74"/>
    <w:rsid w:val="0080769F"/>
    <w:rsid w:val="00810CB6"/>
    <w:rsid w:val="008117CE"/>
    <w:rsid w:val="00811D9A"/>
    <w:rsid w:val="0081692C"/>
    <w:rsid w:val="00817B30"/>
    <w:rsid w:val="008218FE"/>
    <w:rsid w:val="00821D59"/>
    <w:rsid w:val="008267F3"/>
    <w:rsid w:val="0082718B"/>
    <w:rsid w:val="008336DB"/>
    <w:rsid w:val="00841582"/>
    <w:rsid w:val="0084745E"/>
    <w:rsid w:val="008478DD"/>
    <w:rsid w:val="00847B74"/>
    <w:rsid w:val="00854B08"/>
    <w:rsid w:val="00856366"/>
    <w:rsid w:val="008639BF"/>
    <w:rsid w:val="00864A0D"/>
    <w:rsid w:val="00864E84"/>
    <w:rsid w:val="008658E4"/>
    <w:rsid w:val="00865BA1"/>
    <w:rsid w:val="00867978"/>
    <w:rsid w:val="008725FA"/>
    <w:rsid w:val="0087536A"/>
    <w:rsid w:val="00877B8E"/>
    <w:rsid w:val="008842AE"/>
    <w:rsid w:val="00885CBF"/>
    <w:rsid w:val="00890BD1"/>
    <w:rsid w:val="00891FE6"/>
    <w:rsid w:val="00895D15"/>
    <w:rsid w:val="008968D7"/>
    <w:rsid w:val="008A1912"/>
    <w:rsid w:val="008A2262"/>
    <w:rsid w:val="008A5607"/>
    <w:rsid w:val="008A57FB"/>
    <w:rsid w:val="008A6DD7"/>
    <w:rsid w:val="008A753B"/>
    <w:rsid w:val="008B1EDF"/>
    <w:rsid w:val="008B451C"/>
    <w:rsid w:val="008B47F5"/>
    <w:rsid w:val="008B5DD8"/>
    <w:rsid w:val="008B653E"/>
    <w:rsid w:val="008C4E44"/>
    <w:rsid w:val="008C64A5"/>
    <w:rsid w:val="008C754F"/>
    <w:rsid w:val="008D0D76"/>
    <w:rsid w:val="008D1FCB"/>
    <w:rsid w:val="008D3B4B"/>
    <w:rsid w:val="008D7D72"/>
    <w:rsid w:val="008E04B1"/>
    <w:rsid w:val="008E47B6"/>
    <w:rsid w:val="008E4C85"/>
    <w:rsid w:val="008E7288"/>
    <w:rsid w:val="008F14C6"/>
    <w:rsid w:val="008F2254"/>
    <w:rsid w:val="008F5A0D"/>
    <w:rsid w:val="008F79F6"/>
    <w:rsid w:val="00900CB6"/>
    <w:rsid w:val="00901A5A"/>
    <w:rsid w:val="00905347"/>
    <w:rsid w:val="00905A0C"/>
    <w:rsid w:val="00910021"/>
    <w:rsid w:val="009113DF"/>
    <w:rsid w:val="0091435B"/>
    <w:rsid w:val="0091490B"/>
    <w:rsid w:val="009158FA"/>
    <w:rsid w:val="0091644D"/>
    <w:rsid w:val="00916528"/>
    <w:rsid w:val="00920752"/>
    <w:rsid w:val="00920A2D"/>
    <w:rsid w:val="00922E97"/>
    <w:rsid w:val="00923273"/>
    <w:rsid w:val="00923AAD"/>
    <w:rsid w:val="009243F0"/>
    <w:rsid w:val="009251AE"/>
    <w:rsid w:val="00927602"/>
    <w:rsid w:val="00930BCD"/>
    <w:rsid w:val="009375E2"/>
    <w:rsid w:val="0094464B"/>
    <w:rsid w:val="0094748C"/>
    <w:rsid w:val="0095722B"/>
    <w:rsid w:val="009579C2"/>
    <w:rsid w:val="009617FA"/>
    <w:rsid w:val="00963A96"/>
    <w:rsid w:val="0096692C"/>
    <w:rsid w:val="00971DC7"/>
    <w:rsid w:val="00973849"/>
    <w:rsid w:val="00975261"/>
    <w:rsid w:val="00975F2B"/>
    <w:rsid w:val="00976AB7"/>
    <w:rsid w:val="00980286"/>
    <w:rsid w:val="0098109B"/>
    <w:rsid w:val="009828E1"/>
    <w:rsid w:val="009841DB"/>
    <w:rsid w:val="00985652"/>
    <w:rsid w:val="00987078"/>
    <w:rsid w:val="009939CA"/>
    <w:rsid w:val="0099740E"/>
    <w:rsid w:val="009A1D45"/>
    <w:rsid w:val="009A2696"/>
    <w:rsid w:val="009A282E"/>
    <w:rsid w:val="009A725E"/>
    <w:rsid w:val="009A760A"/>
    <w:rsid w:val="009B160E"/>
    <w:rsid w:val="009B61B3"/>
    <w:rsid w:val="009B7182"/>
    <w:rsid w:val="009C4EE6"/>
    <w:rsid w:val="009C6FFC"/>
    <w:rsid w:val="009C78F7"/>
    <w:rsid w:val="009D154E"/>
    <w:rsid w:val="009E3A3A"/>
    <w:rsid w:val="009E53A8"/>
    <w:rsid w:val="009E5A31"/>
    <w:rsid w:val="009E65A3"/>
    <w:rsid w:val="009E777C"/>
    <w:rsid w:val="009F066B"/>
    <w:rsid w:val="009F089F"/>
    <w:rsid w:val="009F2AEA"/>
    <w:rsid w:val="009F32C8"/>
    <w:rsid w:val="009F4A78"/>
    <w:rsid w:val="009F6A7B"/>
    <w:rsid w:val="00A00496"/>
    <w:rsid w:val="00A04972"/>
    <w:rsid w:val="00A07E92"/>
    <w:rsid w:val="00A128D4"/>
    <w:rsid w:val="00A14E93"/>
    <w:rsid w:val="00A1550D"/>
    <w:rsid w:val="00A23E60"/>
    <w:rsid w:val="00A30DBB"/>
    <w:rsid w:val="00A34080"/>
    <w:rsid w:val="00A3538F"/>
    <w:rsid w:val="00A3677E"/>
    <w:rsid w:val="00A42461"/>
    <w:rsid w:val="00A429E7"/>
    <w:rsid w:val="00A4355F"/>
    <w:rsid w:val="00A44702"/>
    <w:rsid w:val="00A45DC0"/>
    <w:rsid w:val="00A47750"/>
    <w:rsid w:val="00A5126F"/>
    <w:rsid w:val="00A52CDB"/>
    <w:rsid w:val="00A62C79"/>
    <w:rsid w:val="00A6385D"/>
    <w:rsid w:val="00A65941"/>
    <w:rsid w:val="00A65A7E"/>
    <w:rsid w:val="00A66197"/>
    <w:rsid w:val="00A66C3D"/>
    <w:rsid w:val="00A721EA"/>
    <w:rsid w:val="00A81DFD"/>
    <w:rsid w:val="00A823ED"/>
    <w:rsid w:val="00A8306C"/>
    <w:rsid w:val="00A83D6C"/>
    <w:rsid w:val="00A933B1"/>
    <w:rsid w:val="00A9431D"/>
    <w:rsid w:val="00A944A2"/>
    <w:rsid w:val="00A94701"/>
    <w:rsid w:val="00AA3F3A"/>
    <w:rsid w:val="00AA5E36"/>
    <w:rsid w:val="00AB0C37"/>
    <w:rsid w:val="00AB2301"/>
    <w:rsid w:val="00AB6657"/>
    <w:rsid w:val="00AB68CE"/>
    <w:rsid w:val="00AC2BFE"/>
    <w:rsid w:val="00AC3084"/>
    <w:rsid w:val="00AC4A46"/>
    <w:rsid w:val="00AC75D8"/>
    <w:rsid w:val="00AD03C8"/>
    <w:rsid w:val="00AD6B09"/>
    <w:rsid w:val="00AE111B"/>
    <w:rsid w:val="00AE262E"/>
    <w:rsid w:val="00AE2E21"/>
    <w:rsid w:val="00AE4287"/>
    <w:rsid w:val="00AE5E0B"/>
    <w:rsid w:val="00AF2144"/>
    <w:rsid w:val="00AF35EF"/>
    <w:rsid w:val="00AF4090"/>
    <w:rsid w:val="00AF6823"/>
    <w:rsid w:val="00AF7C1A"/>
    <w:rsid w:val="00AF7EBA"/>
    <w:rsid w:val="00B00D25"/>
    <w:rsid w:val="00B02508"/>
    <w:rsid w:val="00B0371F"/>
    <w:rsid w:val="00B03C2A"/>
    <w:rsid w:val="00B0638D"/>
    <w:rsid w:val="00B1108A"/>
    <w:rsid w:val="00B118B2"/>
    <w:rsid w:val="00B120C0"/>
    <w:rsid w:val="00B13E39"/>
    <w:rsid w:val="00B1404A"/>
    <w:rsid w:val="00B14A68"/>
    <w:rsid w:val="00B160C3"/>
    <w:rsid w:val="00B1711A"/>
    <w:rsid w:val="00B17D13"/>
    <w:rsid w:val="00B204FE"/>
    <w:rsid w:val="00B214AD"/>
    <w:rsid w:val="00B22657"/>
    <w:rsid w:val="00B2519D"/>
    <w:rsid w:val="00B26777"/>
    <w:rsid w:val="00B31814"/>
    <w:rsid w:val="00B3685F"/>
    <w:rsid w:val="00B3740B"/>
    <w:rsid w:val="00B40936"/>
    <w:rsid w:val="00B410EC"/>
    <w:rsid w:val="00B41BCC"/>
    <w:rsid w:val="00B41D0A"/>
    <w:rsid w:val="00B50ACF"/>
    <w:rsid w:val="00B51F8C"/>
    <w:rsid w:val="00B52494"/>
    <w:rsid w:val="00B54304"/>
    <w:rsid w:val="00B546A2"/>
    <w:rsid w:val="00B65862"/>
    <w:rsid w:val="00B67368"/>
    <w:rsid w:val="00B72B07"/>
    <w:rsid w:val="00B73EC2"/>
    <w:rsid w:val="00B770A5"/>
    <w:rsid w:val="00B8008B"/>
    <w:rsid w:val="00B83BF6"/>
    <w:rsid w:val="00B87C29"/>
    <w:rsid w:val="00B90418"/>
    <w:rsid w:val="00B95C0D"/>
    <w:rsid w:val="00BA2B6A"/>
    <w:rsid w:val="00BA2CF1"/>
    <w:rsid w:val="00BA6A81"/>
    <w:rsid w:val="00BA6ED9"/>
    <w:rsid w:val="00BA77D9"/>
    <w:rsid w:val="00BB40FC"/>
    <w:rsid w:val="00BB594F"/>
    <w:rsid w:val="00BB61F4"/>
    <w:rsid w:val="00BC0F87"/>
    <w:rsid w:val="00BC21C5"/>
    <w:rsid w:val="00BC29CB"/>
    <w:rsid w:val="00BC2B53"/>
    <w:rsid w:val="00BC356A"/>
    <w:rsid w:val="00BC4DB2"/>
    <w:rsid w:val="00BC643B"/>
    <w:rsid w:val="00BC7C95"/>
    <w:rsid w:val="00BD0345"/>
    <w:rsid w:val="00BD4A53"/>
    <w:rsid w:val="00BD4F24"/>
    <w:rsid w:val="00BD6EB0"/>
    <w:rsid w:val="00BE1306"/>
    <w:rsid w:val="00BE19F7"/>
    <w:rsid w:val="00BE1B98"/>
    <w:rsid w:val="00BE23B6"/>
    <w:rsid w:val="00BE581A"/>
    <w:rsid w:val="00BE6A06"/>
    <w:rsid w:val="00BF2109"/>
    <w:rsid w:val="00BF491A"/>
    <w:rsid w:val="00BF793C"/>
    <w:rsid w:val="00C00C8F"/>
    <w:rsid w:val="00C01ADA"/>
    <w:rsid w:val="00C06CB7"/>
    <w:rsid w:val="00C11D85"/>
    <w:rsid w:val="00C12979"/>
    <w:rsid w:val="00C13086"/>
    <w:rsid w:val="00C13541"/>
    <w:rsid w:val="00C145A3"/>
    <w:rsid w:val="00C1688E"/>
    <w:rsid w:val="00C179F9"/>
    <w:rsid w:val="00C205DE"/>
    <w:rsid w:val="00C20F3B"/>
    <w:rsid w:val="00C2159B"/>
    <w:rsid w:val="00C223CA"/>
    <w:rsid w:val="00C22626"/>
    <w:rsid w:val="00C2353E"/>
    <w:rsid w:val="00C32AA7"/>
    <w:rsid w:val="00C33D9A"/>
    <w:rsid w:val="00C344DB"/>
    <w:rsid w:val="00C35C8F"/>
    <w:rsid w:val="00C40F9B"/>
    <w:rsid w:val="00C431E5"/>
    <w:rsid w:val="00C46CDC"/>
    <w:rsid w:val="00C519BB"/>
    <w:rsid w:val="00C51C28"/>
    <w:rsid w:val="00C5294D"/>
    <w:rsid w:val="00C5635D"/>
    <w:rsid w:val="00C56E15"/>
    <w:rsid w:val="00C57B9B"/>
    <w:rsid w:val="00C65E30"/>
    <w:rsid w:val="00C72C0C"/>
    <w:rsid w:val="00C73845"/>
    <w:rsid w:val="00C74DD4"/>
    <w:rsid w:val="00C75095"/>
    <w:rsid w:val="00C77ABF"/>
    <w:rsid w:val="00C8221F"/>
    <w:rsid w:val="00C839E6"/>
    <w:rsid w:val="00C85A6F"/>
    <w:rsid w:val="00C86719"/>
    <w:rsid w:val="00C91E47"/>
    <w:rsid w:val="00C9278B"/>
    <w:rsid w:val="00C93994"/>
    <w:rsid w:val="00C93E74"/>
    <w:rsid w:val="00C94A9F"/>
    <w:rsid w:val="00C94C05"/>
    <w:rsid w:val="00C95138"/>
    <w:rsid w:val="00C9771A"/>
    <w:rsid w:val="00CA1850"/>
    <w:rsid w:val="00CA2296"/>
    <w:rsid w:val="00CB0D33"/>
    <w:rsid w:val="00CB3A5B"/>
    <w:rsid w:val="00CB5F82"/>
    <w:rsid w:val="00CB68D9"/>
    <w:rsid w:val="00CC0DEB"/>
    <w:rsid w:val="00CC1D6B"/>
    <w:rsid w:val="00CC5A1D"/>
    <w:rsid w:val="00CD13FC"/>
    <w:rsid w:val="00CD2533"/>
    <w:rsid w:val="00CD2D53"/>
    <w:rsid w:val="00CD3142"/>
    <w:rsid w:val="00CD7E6C"/>
    <w:rsid w:val="00CE0089"/>
    <w:rsid w:val="00CE181B"/>
    <w:rsid w:val="00CE1DB8"/>
    <w:rsid w:val="00CE5D9E"/>
    <w:rsid w:val="00CE721D"/>
    <w:rsid w:val="00CF3BE4"/>
    <w:rsid w:val="00CF4650"/>
    <w:rsid w:val="00CF604A"/>
    <w:rsid w:val="00CF76CF"/>
    <w:rsid w:val="00D00B45"/>
    <w:rsid w:val="00D03127"/>
    <w:rsid w:val="00D04478"/>
    <w:rsid w:val="00D05765"/>
    <w:rsid w:val="00D074F0"/>
    <w:rsid w:val="00D11B10"/>
    <w:rsid w:val="00D13992"/>
    <w:rsid w:val="00D1630C"/>
    <w:rsid w:val="00D16FCD"/>
    <w:rsid w:val="00D1735E"/>
    <w:rsid w:val="00D20A74"/>
    <w:rsid w:val="00D25270"/>
    <w:rsid w:val="00D252DF"/>
    <w:rsid w:val="00D279AC"/>
    <w:rsid w:val="00D314A1"/>
    <w:rsid w:val="00D3248F"/>
    <w:rsid w:val="00D343D5"/>
    <w:rsid w:val="00D366CB"/>
    <w:rsid w:val="00D40089"/>
    <w:rsid w:val="00D402EC"/>
    <w:rsid w:val="00D42B4D"/>
    <w:rsid w:val="00D4342D"/>
    <w:rsid w:val="00D47897"/>
    <w:rsid w:val="00D554E2"/>
    <w:rsid w:val="00D56DE9"/>
    <w:rsid w:val="00D65474"/>
    <w:rsid w:val="00D66668"/>
    <w:rsid w:val="00D67CD7"/>
    <w:rsid w:val="00D71753"/>
    <w:rsid w:val="00D722C1"/>
    <w:rsid w:val="00D73973"/>
    <w:rsid w:val="00D73D8E"/>
    <w:rsid w:val="00D7451F"/>
    <w:rsid w:val="00D8118A"/>
    <w:rsid w:val="00D81623"/>
    <w:rsid w:val="00D82860"/>
    <w:rsid w:val="00D85F5B"/>
    <w:rsid w:val="00D900F6"/>
    <w:rsid w:val="00D90DF3"/>
    <w:rsid w:val="00D93E05"/>
    <w:rsid w:val="00DA117F"/>
    <w:rsid w:val="00DA170B"/>
    <w:rsid w:val="00DA20C2"/>
    <w:rsid w:val="00DA30D2"/>
    <w:rsid w:val="00DA66F1"/>
    <w:rsid w:val="00DA7205"/>
    <w:rsid w:val="00DA7CE4"/>
    <w:rsid w:val="00DB5A37"/>
    <w:rsid w:val="00DB747F"/>
    <w:rsid w:val="00DC0F45"/>
    <w:rsid w:val="00DC3BAE"/>
    <w:rsid w:val="00DD19D1"/>
    <w:rsid w:val="00DD2F25"/>
    <w:rsid w:val="00DD3DF1"/>
    <w:rsid w:val="00DD7F5C"/>
    <w:rsid w:val="00DE2B9C"/>
    <w:rsid w:val="00DF1EF6"/>
    <w:rsid w:val="00DF2DA8"/>
    <w:rsid w:val="00DF4F9E"/>
    <w:rsid w:val="00DF57E8"/>
    <w:rsid w:val="00DF6288"/>
    <w:rsid w:val="00DF62C0"/>
    <w:rsid w:val="00DF74DC"/>
    <w:rsid w:val="00E11D2B"/>
    <w:rsid w:val="00E12100"/>
    <w:rsid w:val="00E15FDB"/>
    <w:rsid w:val="00E175F6"/>
    <w:rsid w:val="00E255DA"/>
    <w:rsid w:val="00E27700"/>
    <w:rsid w:val="00E30436"/>
    <w:rsid w:val="00E30E27"/>
    <w:rsid w:val="00E3159F"/>
    <w:rsid w:val="00E318F9"/>
    <w:rsid w:val="00E359EA"/>
    <w:rsid w:val="00E411BB"/>
    <w:rsid w:val="00E41340"/>
    <w:rsid w:val="00E41C1C"/>
    <w:rsid w:val="00E42196"/>
    <w:rsid w:val="00E449EE"/>
    <w:rsid w:val="00E44D2C"/>
    <w:rsid w:val="00E46468"/>
    <w:rsid w:val="00E5002D"/>
    <w:rsid w:val="00E5272C"/>
    <w:rsid w:val="00E53DCB"/>
    <w:rsid w:val="00E56AC1"/>
    <w:rsid w:val="00E61BA0"/>
    <w:rsid w:val="00E622CF"/>
    <w:rsid w:val="00E637F8"/>
    <w:rsid w:val="00E65462"/>
    <w:rsid w:val="00E65951"/>
    <w:rsid w:val="00E65B4C"/>
    <w:rsid w:val="00E72C5D"/>
    <w:rsid w:val="00E745A8"/>
    <w:rsid w:val="00E74CF4"/>
    <w:rsid w:val="00E7732E"/>
    <w:rsid w:val="00E7780D"/>
    <w:rsid w:val="00E802AE"/>
    <w:rsid w:val="00E804C9"/>
    <w:rsid w:val="00E849EC"/>
    <w:rsid w:val="00E855EE"/>
    <w:rsid w:val="00E85F26"/>
    <w:rsid w:val="00E87132"/>
    <w:rsid w:val="00E90E8A"/>
    <w:rsid w:val="00E94B0B"/>
    <w:rsid w:val="00E95D3C"/>
    <w:rsid w:val="00E96996"/>
    <w:rsid w:val="00EA0576"/>
    <w:rsid w:val="00EA0FF5"/>
    <w:rsid w:val="00EA194A"/>
    <w:rsid w:val="00EA4F28"/>
    <w:rsid w:val="00EA537E"/>
    <w:rsid w:val="00EA64E1"/>
    <w:rsid w:val="00EA6BE4"/>
    <w:rsid w:val="00EA79B8"/>
    <w:rsid w:val="00EB13E5"/>
    <w:rsid w:val="00EB4279"/>
    <w:rsid w:val="00EB54C1"/>
    <w:rsid w:val="00EC46B9"/>
    <w:rsid w:val="00EC71B2"/>
    <w:rsid w:val="00ED13A5"/>
    <w:rsid w:val="00ED73D6"/>
    <w:rsid w:val="00EE2310"/>
    <w:rsid w:val="00EE23FE"/>
    <w:rsid w:val="00EE3FD2"/>
    <w:rsid w:val="00EE4380"/>
    <w:rsid w:val="00EE5AD2"/>
    <w:rsid w:val="00EE6BDB"/>
    <w:rsid w:val="00EE7535"/>
    <w:rsid w:val="00EF1FE9"/>
    <w:rsid w:val="00F01AFE"/>
    <w:rsid w:val="00F022B9"/>
    <w:rsid w:val="00F06E81"/>
    <w:rsid w:val="00F104D7"/>
    <w:rsid w:val="00F1473F"/>
    <w:rsid w:val="00F14DC8"/>
    <w:rsid w:val="00F1780E"/>
    <w:rsid w:val="00F1794D"/>
    <w:rsid w:val="00F24174"/>
    <w:rsid w:val="00F24E7A"/>
    <w:rsid w:val="00F25731"/>
    <w:rsid w:val="00F261B8"/>
    <w:rsid w:val="00F3174E"/>
    <w:rsid w:val="00F334FF"/>
    <w:rsid w:val="00F35996"/>
    <w:rsid w:val="00F36AB9"/>
    <w:rsid w:val="00F40164"/>
    <w:rsid w:val="00F417A6"/>
    <w:rsid w:val="00F4347E"/>
    <w:rsid w:val="00F453A8"/>
    <w:rsid w:val="00F46226"/>
    <w:rsid w:val="00F46C6D"/>
    <w:rsid w:val="00F54400"/>
    <w:rsid w:val="00F55815"/>
    <w:rsid w:val="00F60D51"/>
    <w:rsid w:val="00F62903"/>
    <w:rsid w:val="00F6330A"/>
    <w:rsid w:val="00F63C35"/>
    <w:rsid w:val="00F65C5F"/>
    <w:rsid w:val="00F66C82"/>
    <w:rsid w:val="00F679B0"/>
    <w:rsid w:val="00F71D5D"/>
    <w:rsid w:val="00F71E8E"/>
    <w:rsid w:val="00F743F1"/>
    <w:rsid w:val="00F749AD"/>
    <w:rsid w:val="00F74D9C"/>
    <w:rsid w:val="00F75657"/>
    <w:rsid w:val="00F81AC9"/>
    <w:rsid w:val="00F857CC"/>
    <w:rsid w:val="00F86C6B"/>
    <w:rsid w:val="00F871F7"/>
    <w:rsid w:val="00F9344B"/>
    <w:rsid w:val="00F95794"/>
    <w:rsid w:val="00F96EC1"/>
    <w:rsid w:val="00FA3899"/>
    <w:rsid w:val="00FA5901"/>
    <w:rsid w:val="00FA59AB"/>
    <w:rsid w:val="00FA713A"/>
    <w:rsid w:val="00FB31EB"/>
    <w:rsid w:val="00FB379F"/>
    <w:rsid w:val="00FB62CB"/>
    <w:rsid w:val="00FB7015"/>
    <w:rsid w:val="00FC0645"/>
    <w:rsid w:val="00FC0D16"/>
    <w:rsid w:val="00FC0EEC"/>
    <w:rsid w:val="00FC0FC2"/>
    <w:rsid w:val="00FC12E7"/>
    <w:rsid w:val="00FC3D26"/>
    <w:rsid w:val="00FC4551"/>
    <w:rsid w:val="00FC542E"/>
    <w:rsid w:val="00FC5DE0"/>
    <w:rsid w:val="00FC7827"/>
    <w:rsid w:val="00FD06E3"/>
    <w:rsid w:val="00FD12E0"/>
    <w:rsid w:val="00FD2E69"/>
    <w:rsid w:val="00FD3E9D"/>
    <w:rsid w:val="00FD501F"/>
    <w:rsid w:val="00FD53E7"/>
    <w:rsid w:val="00FE07B6"/>
    <w:rsid w:val="00FE0BE7"/>
    <w:rsid w:val="00FE0C48"/>
    <w:rsid w:val="00FE2020"/>
    <w:rsid w:val="00FE2E56"/>
    <w:rsid w:val="00FE3924"/>
    <w:rsid w:val="00FE7A50"/>
    <w:rsid w:val="00FF2AD2"/>
    <w:rsid w:val="00FF43A7"/>
    <w:rsid w:val="00FF5516"/>
    <w:rsid w:val="00FF574C"/>
    <w:rsid w:val="00FF5911"/>
    <w:rsid w:val="00FF5F18"/>
    <w:rsid w:val="00FF72E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F56F0"/>
  <w15:docId w15:val="{81E72963-7540-4E42-B9A9-C233A7872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5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1644D"/>
    <w:pPr>
      <w:ind w:left="720"/>
      <w:contextualSpacing/>
    </w:pPr>
  </w:style>
  <w:style w:type="character" w:styleId="Hyperlink">
    <w:name w:val="Hyperlink"/>
    <w:basedOn w:val="DefaultParagraphFont"/>
    <w:uiPriority w:val="99"/>
    <w:unhideWhenUsed/>
    <w:rsid w:val="0082718B"/>
    <w:rPr>
      <w:color w:val="0000FF" w:themeColor="hyperlink"/>
      <w:u w:val="single"/>
    </w:rPr>
  </w:style>
  <w:style w:type="paragraph" w:styleId="BodyText">
    <w:name w:val="Body Text"/>
    <w:basedOn w:val="Normal"/>
    <w:link w:val="BodyTextChar"/>
    <w:uiPriority w:val="1"/>
    <w:qFormat/>
    <w:rsid w:val="00D279AC"/>
    <w:pPr>
      <w:widowControl w:val="0"/>
      <w:spacing w:after="0" w:line="240" w:lineRule="auto"/>
      <w:ind w:left="190"/>
    </w:pPr>
    <w:rPr>
      <w:rFonts w:ascii="Arial" w:eastAsia="Arial" w:hAnsi="Arial"/>
      <w:sz w:val="20"/>
      <w:szCs w:val="20"/>
      <w:lang w:val="en-US" w:eastAsia="en-US"/>
    </w:rPr>
  </w:style>
  <w:style w:type="character" w:customStyle="1" w:styleId="BodyTextChar">
    <w:name w:val="Body Text Char"/>
    <w:basedOn w:val="DefaultParagraphFont"/>
    <w:link w:val="BodyText"/>
    <w:uiPriority w:val="1"/>
    <w:rsid w:val="00D279AC"/>
    <w:rPr>
      <w:rFonts w:ascii="Arial" w:eastAsia="Arial" w:hAnsi="Arial"/>
      <w:sz w:val="20"/>
      <w:szCs w:val="20"/>
      <w:lang w:val="en-US" w:eastAsia="en-US"/>
    </w:rPr>
  </w:style>
  <w:style w:type="character" w:customStyle="1" w:styleId="highlight2">
    <w:name w:val="highlight2"/>
    <w:basedOn w:val="DefaultParagraphFont"/>
    <w:rsid w:val="00D1735E"/>
  </w:style>
  <w:style w:type="character" w:styleId="FollowedHyperlink">
    <w:name w:val="FollowedHyperlink"/>
    <w:basedOn w:val="DefaultParagraphFont"/>
    <w:uiPriority w:val="99"/>
    <w:semiHidden/>
    <w:unhideWhenUsed/>
    <w:rsid w:val="007B7091"/>
    <w:rPr>
      <w:color w:val="800080" w:themeColor="followedHyperlink"/>
      <w:u w:val="single"/>
    </w:rPr>
  </w:style>
  <w:style w:type="paragraph" w:styleId="Header">
    <w:name w:val="header"/>
    <w:basedOn w:val="Normal"/>
    <w:link w:val="HeaderChar"/>
    <w:uiPriority w:val="99"/>
    <w:unhideWhenUsed/>
    <w:rsid w:val="00D816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1623"/>
  </w:style>
  <w:style w:type="paragraph" w:styleId="Footer">
    <w:name w:val="footer"/>
    <w:basedOn w:val="Normal"/>
    <w:link w:val="FooterChar"/>
    <w:uiPriority w:val="99"/>
    <w:unhideWhenUsed/>
    <w:rsid w:val="00D816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1623"/>
  </w:style>
  <w:style w:type="character" w:styleId="PlaceholderText">
    <w:name w:val="Placeholder Text"/>
    <w:basedOn w:val="DefaultParagraphFont"/>
    <w:uiPriority w:val="99"/>
    <w:semiHidden/>
    <w:rsid w:val="00C95138"/>
    <w:rPr>
      <w:color w:val="808080"/>
    </w:rPr>
  </w:style>
  <w:style w:type="paragraph" w:styleId="BalloonText">
    <w:name w:val="Balloon Text"/>
    <w:basedOn w:val="Normal"/>
    <w:link w:val="BalloonTextChar"/>
    <w:uiPriority w:val="99"/>
    <w:semiHidden/>
    <w:unhideWhenUsed/>
    <w:rsid w:val="00C951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5138"/>
    <w:rPr>
      <w:rFonts w:ascii="Tahoma" w:hAnsi="Tahoma" w:cs="Tahoma"/>
      <w:sz w:val="16"/>
      <w:szCs w:val="16"/>
    </w:rPr>
  </w:style>
  <w:style w:type="character" w:styleId="CommentReference">
    <w:name w:val="annotation reference"/>
    <w:basedOn w:val="DefaultParagraphFont"/>
    <w:uiPriority w:val="99"/>
    <w:semiHidden/>
    <w:unhideWhenUsed/>
    <w:rsid w:val="004D6FC9"/>
    <w:rPr>
      <w:sz w:val="16"/>
      <w:szCs w:val="16"/>
    </w:rPr>
  </w:style>
  <w:style w:type="paragraph" w:styleId="CommentText">
    <w:name w:val="annotation text"/>
    <w:basedOn w:val="Normal"/>
    <w:link w:val="CommentTextChar"/>
    <w:uiPriority w:val="99"/>
    <w:semiHidden/>
    <w:unhideWhenUsed/>
    <w:rsid w:val="004D6FC9"/>
    <w:pPr>
      <w:spacing w:line="240" w:lineRule="auto"/>
    </w:pPr>
    <w:rPr>
      <w:sz w:val="20"/>
      <w:szCs w:val="20"/>
    </w:rPr>
  </w:style>
  <w:style w:type="character" w:customStyle="1" w:styleId="CommentTextChar">
    <w:name w:val="Comment Text Char"/>
    <w:basedOn w:val="DefaultParagraphFont"/>
    <w:link w:val="CommentText"/>
    <w:uiPriority w:val="99"/>
    <w:semiHidden/>
    <w:rsid w:val="004D6FC9"/>
    <w:rPr>
      <w:sz w:val="20"/>
      <w:szCs w:val="20"/>
    </w:rPr>
  </w:style>
  <w:style w:type="paragraph" w:styleId="CommentSubject">
    <w:name w:val="annotation subject"/>
    <w:basedOn w:val="CommentText"/>
    <w:next w:val="CommentText"/>
    <w:link w:val="CommentSubjectChar"/>
    <w:uiPriority w:val="99"/>
    <w:semiHidden/>
    <w:unhideWhenUsed/>
    <w:rsid w:val="004D6FC9"/>
    <w:rPr>
      <w:b/>
      <w:bCs/>
    </w:rPr>
  </w:style>
  <w:style w:type="character" w:customStyle="1" w:styleId="CommentSubjectChar">
    <w:name w:val="Comment Subject Char"/>
    <w:basedOn w:val="CommentTextChar"/>
    <w:link w:val="CommentSubject"/>
    <w:uiPriority w:val="99"/>
    <w:semiHidden/>
    <w:rsid w:val="004D6FC9"/>
    <w:rPr>
      <w:b/>
      <w:bCs/>
      <w:sz w:val="20"/>
      <w:szCs w:val="20"/>
    </w:rPr>
  </w:style>
  <w:style w:type="table" w:styleId="TableGrid">
    <w:name w:val="Table Grid"/>
    <w:basedOn w:val="TableNormal"/>
    <w:uiPriority w:val="39"/>
    <w:rsid w:val="00577A1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516671">
      <w:bodyDiv w:val="1"/>
      <w:marLeft w:val="0"/>
      <w:marRight w:val="0"/>
      <w:marTop w:val="0"/>
      <w:marBottom w:val="0"/>
      <w:divBdr>
        <w:top w:val="none" w:sz="0" w:space="0" w:color="auto"/>
        <w:left w:val="none" w:sz="0" w:space="0" w:color="auto"/>
        <w:bottom w:val="none" w:sz="0" w:space="0" w:color="auto"/>
        <w:right w:val="none" w:sz="0" w:space="0" w:color="auto"/>
      </w:divBdr>
    </w:div>
    <w:div w:id="156384339">
      <w:bodyDiv w:val="1"/>
      <w:marLeft w:val="0"/>
      <w:marRight w:val="0"/>
      <w:marTop w:val="0"/>
      <w:marBottom w:val="0"/>
      <w:divBdr>
        <w:top w:val="none" w:sz="0" w:space="0" w:color="auto"/>
        <w:left w:val="none" w:sz="0" w:space="0" w:color="auto"/>
        <w:bottom w:val="none" w:sz="0" w:space="0" w:color="auto"/>
        <w:right w:val="none" w:sz="0" w:space="0" w:color="auto"/>
      </w:divBdr>
    </w:div>
    <w:div w:id="737822686">
      <w:bodyDiv w:val="1"/>
      <w:marLeft w:val="0"/>
      <w:marRight w:val="0"/>
      <w:marTop w:val="0"/>
      <w:marBottom w:val="0"/>
      <w:divBdr>
        <w:top w:val="none" w:sz="0" w:space="0" w:color="auto"/>
        <w:left w:val="none" w:sz="0" w:space="0" w:color="auto"/>
        <w:bottom w:val="none" w:sz="0" w:space="0" w:color="auto"/>
        <w:right w:val="none" w:sz="0" w:space="0" w:color="auto"/>
      </w:divBdr>
    </w:div>
    <w:div w:id="944311029">
      <w:bodyDiv w:val="1"/>
      <w:marLeft w:val="0"/>
      <w:marRight w:val="0"/>
      <w:marTop w:val="0"/>
      <w:marBottom w:val="0"/>
      <w:divBdr>
        <w:top w:val="none" w:sz="0" w:space="0" w:color="auto"/>
        <w:left w:val="none" w:sz="0" w:space="0" w:color="auto"/>
        <w:bottom w:val="none" w:sz="0" w:space="0" w:color="auto"/>
        <w:right w:val="none" w:sz="0" w:space="0" w:color="auto"/>
      </w:divBdr>
    </w:div>
    <w:div w:id="1106189801">
      <w:bodyDiv w:val="1"/>
      <w:marLeft w:val="0"/>
      <w:marRight w:val="0"/>
      <w:marTop w:val="0"/>
      <w:marBottom w:val="0"/>
      <w:divBdr>
        <w:top w:val="none" w:sz="0" w:space="0" w:color="auto"/>
        <w:left w:val="none" w:sz="0" w:space="0" w:color="auto"/>
        <w:bottom w:val="none" w:sz="0" w:space="0" w:color="auto"/>
        <w:right w:val="none" w:sz="0" w:space="0" w:color="auto"/>
      </w:divBdr>
    </w:div>
    <w:div w:id="1202747641">
      <w:bodyDiv w:val="1"/>
      <w:marLeft w:val="0"/>
      <w:marRight w:val="0"/>
      <w:marTop w:val="0"/>
      <w:marBottom w:val="0"/>
      <w:divBdr>
        <w:top w:val="none" w:sz="0" w:space="0" w:color="auto"/>
        <w:left w:val="none" w:sz="0" w:space="0" w:color="auto"/>
        <w:bottom w:val="none" w:sz="0" w:space="0" w:color="auto"/>
        <w:right w:val="none" w:sz="0" w:space="0" w:color="auto"/>
      </w:divBdr>
    </w:div>
    <w:div w:id="1302732249">
      <w:bodyDiv w:val="1"/>
      <w:marLeft w:val="0"/>
      <w:marRight w:val="0"/>
      <w:marTop w:val="0"/>
      <w:marBottom w:val="0"/>
      <w:divBdr>
        <w:top w:val="none" w:sz="0" w:space="0" w:color="auto"/>
        <w:left w:val="none" w:sz="0" w:space="0" w:color="auto"/>
        <w:bottom w:val="none" w:sz="0" w:space="0" w:color="auto"/>
        <w:right w:val="none" w:sz="0" w:space="0" w:color="auto"/>
      </w:divBdr>
    </w:div>
    <w:div w:id="1629319591">
      <w:bodyDiv w:val="1"/>
      <w:marLeft w:val="0"/>
      <w:marRight w:val="0"/>
      <w:marTop w:val="0"/>
      <w:marBottom w:val="0"/>
      <w:divBdr>
        <w:top w:val="none" w:sz="0" w:space="0" w:color="auto"/>
        <w:left w:val="none" w:sz="0" w:space="0" w:color="auto"/>
        <w:bottom w:val="none" w:sz="0" w:space="0" w:color="auto"/>
        <w:right w:val="none" w:sz="0" w:space="0" w:color="auto"/>
      </w:divBdr>
    </w:div>
    <w:div w:id="1791700628">
      <w:bodyDiv w:val="1"/>
      <w:marLeft w:val="0"/>
      <w:marRight w:val="0"/>
      <w:marTop w:val="0"/>
      <w:marBottom w:val="0"/>
      <w:divBdr>
        <w:top w:val="none" w:sz="0" w:space="0" w:color="auto"/>
        <w:left w:val="none" w:sz="0" w:space="0" w:color="auto"/>
        <w:bottom w:val="none" w:sz="0" w:space="0" w:color="auto"/>
        <w:right w:val="none" w:sz="0" w:space="0" w:color="auto"/>
      </w:divBdr>
      <w:divsChild>
        <w:div w:id="1179075842">
          <w:marLeft w:val="0"/>
          <w:marRight w:val="1"/>
          <w:marTop w:val="0"/>
          <w:marBottom w:val="0"/>
          <w:divBdr>
            <w:top w:val="none" w:sz="0" w:space="0" w:color="auto"/>
            <w:left w:val="none" w:sz="0" w:space="0" w:color="auto"/>
            <w:bottom w:val="none" w:sz="0" w:space="0" w:color="auto"/>
            <w:right w:val="none" w:sz="0" w:space="0" w:color="auto"/>
          </w:divBdr>
          <w:divsChild>
            <w:div w:id="1543321018">
              <w:marLeft w:val="0"/>
              <w:marRight w:val="0"/>
              <w:marTop w:val="0"/>
              <w:marBottom w:val="0"/>
              <w:divBdr>
                <w:top w:val="none" w:sz="0" w:space="0" w:color="auto"/>
                <w:left w:val="none" w:sz="0" w:space="0" w:color="auto"/>
                <w:bottom w:val="none" w:sz="0" w:space="0" w:color="auto"/>
                <w:right w:val="none" w:sz="0" w:space="0" w:color="auto"/>
              </w:divBdr>
              <w:divsChild>
                <w:div w:id="1295454008">
                  <w:marLeft w:val="0"/>
                  <w:marRight w:val="1"/>
                  <w:marTop w:val="0"/>
                  <w:marBottom w:val="0"/>
                  <w:divBdr>
                    <w:top w:val="none" w:sz="0" w:space="0" w:color="auto"/>
                    <w:left w:val="none" w:sz="0" w:space="0" w:color="auto"/>
                    <w:bottom w:val="none" w:sz="0" w:space="0" w:color="auto"/>
                    <w:right w:val="none" w:sz="0" w:space="0" w:color="auto"/>
                  </w:divBdr>
                  <w:divsChild>
                    <w:div w:id="558368270">
                      <w:marLeft w:val="0"/>
                      <w:marRight w:val="0"/>
                      <w:marTop w:val="0"/>
                      <w:marBottom w:val="0"/>
                      <w:divBdr>
                        <w:top w:val="none" w:sz="0" w:space="0" w:color="auto"/>
                        <w:left w:val="none" w:sz="0" w:space="0" w:color="auto"/>
                        <w:bottom w:val="none" w:sz="0" w:space="0" w:color="auto"/>
                        <w:right w:val="none" w:sz="0" w:space="0" w:color="auto"/>
                      </w:divBdr>
                      <w:divsChild>
                        <w:div w:id="843055209">
                          <w:marLeft w:val="0"/>
                          <w:marRight w:val="0"/>
                          <w:marTop w:val="0"/>
                          <w:marBottom w:val="0"/>
                          <w:divBdr>
                            <w:top w:val="none" w:sz="0" w:space="0" w:color="auto"/>
                            <w:left w:val="none" w:sz="0" w:space="0" w:color="auto"/>
                            <w:bottom w:val="none" w:sz="0" w:space="0" w:color="auto"/>
                            <w:right w:val="none" w:sz="0" w:space="0" w:color="auto"/>
                          </w:divBdr>
                          <w:divsChild>
                            <w:div w:id="1355419820">
                              <w:marLeft w:val="0"/>
                              <w:marRight w:val="0"/>
                              <w:marTop w:val="0"/>
                              <w:marBottom w:val="0"/>
                              <w:divBdr>
                                <w:top w:val="none" w:sz="0" w:space="0" w:color="auto"/>
                                <w:left w:val="none" w:sz="0" w:space="0" w:color="auto"/>
                                <w:bottom w:val="none" w:sz="0" w:space="0" w:color="auto"/>
                                <w:right w:val="none" w:sz="0" w:space="0" w:color="auto"/>
                              </w:divBdr>
                            </w:div>
                          </w:divsChild>
                        </w:div>
                        <w:div w:id="529689345">
                          <w:marLeft w:val="0"/>
                          <w:marRight w:val="0"/>
                          <w:marTop w:val="0"/>
                          <w:marBottom w:val="0"/>
                          <w:divBdr>
                            <w:top w:val="none" w:sz="0" w:space="0" w:color="auto"/>
                            <w:left w:val="none" w:sz="0" w:space="0" w:color="auto"/>
                            <w:bottom w:val="none" w:sz="0" w:space="0" w:color="auto"/>
                            <w:right w:val="none" w:sz="0" w:space="0" w:color="auto"/>
                          </w:divBdr>
                          <w:divsChild>
                            <w:div w:id="1642342113">
                              <w:marLeft w:val="0"/>
                              <w:marRight w:val="0"/>
                              <w:marTop w:val="120"/>
                              <w:marBottom w:val="360"/>
                              <w:divBdr>
                                <w:top w:val="none" w:sz="0" w:space="0" w:color="auto"/>
                                <w:left w:val="none" w:sz="0" w:space="0" w:color="auto"/>
                                <w:bottom w:val="none" w:sz="0" w:space="0" w:color="auto"/>
                                <w:right w:val="none" w:sz="0" w:space="0" w:color="auto"/>
                              </w:divBdr>
                              <w:divsChild>
                                <w:div w:id="130596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561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rints.soton.ac.uk/439309/2/CoV_19POC_Protocol_v2_0_eprints.pdf" TargetMode="External"/><Relationship Id="rId13" Type="http://schemas.openxmlformats.org/officeDocument/2006/relationships/hyperlink" Target="https://www.gov.uk/government/publications/wuhan-novel-coronavirus-initial-investigation-of-possible-cases/investigation-and-initial-clinical-management-of-possible-cases-of-wuhan-novel-coronavirus-wn-cov-infection" TargetMode="External"/><Relationship Id="rId3" Type="http://schemas.openxmlformats.org/officeDocument/2006/relationships/settings" Target="settings.xml"/><Relationship Id="rId7" Type="http://schemas.openxmlformats.org/officeDocument/2006/relationships/hyperlink" Target="mailto:T.W.Clark@soton.ac.uk" TargetMode="External"/><Relationship Id="rId12" Type="http://schemas.openxmlformats.org/officeDocument/2006/relationships/hyperlink" Target="https://www.england.nhs.uk/coronavirus/wpcontent/uploads/sites/52/2020/03/guidance-and-sop-covid-19-virus-testing-in-nhs-laboratories-v1.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da.gov/media/136571/download"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bbc.co.uk/news/uk-wales-53501223" TargetMode="External"/><Relationship Id="rId4" Type="http://schemas.openxmlformats.org/officeDocument/2006/relationships/webSettings" Target="webSettings.xml"/><Relationship Id="rId9" Type="http://schemas.openxmlformats.org/officeDocument/2006/relationships/hyperlink" Target="https://www.theguardian.com/world/2020/may/17/hospital-patients-england-coronavirus-covid-19"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7413</Words>
  <Characters>42255</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49569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Clark T.W.</dc:creator>
  <cp:lastModifiedBy>Tristan Clark</cp:lastModifiedBy>
  <cp:revision>2</cp:revision>
  <dcterms:created xsi:type="dcterms:W3CDTF">2020-09-08T09:34:00Z</dcterms:created>
  <dcterms:modified xsi:type="dcterms:W3CDTF">2020-09-08T09:34:00Z</dcterms:modified>
</cp:coreProperties>
</file>