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866B5" w14:textId="77777777" w:rsidR="006D70BA" w:rsidRPr="00BA724E" w:rsidRDefault="006D70BA" w:rsidP="006D70BA">
      <w:pPr>
        <w:spacing w:line="360" w:lineRule="auto"/>
        <w:rPr>
          <w:sz w:val="20"/>
          <w:szCs w:val="20"/>
        </w:rPr>
      </w:pPr>
      <w:r w:rsidRPr="00BA724E">
        <w:rPr>
          <w:sz w:val="20"/>
          <w:szCs w:val="20"/>
        </w:rPr>
        <w:t>Diagnostic laparoscopy to exclude malrotation following inconclusive upper gastrointestinal contrast study in infants</w:t>
      </w:r>
    </w:p>
    <w:p w14:paraId="48591C59" w14:textId="77777777" w:rsidR="006D70BA" w:rsidRPr="00BA724E" w:rsidRDefault="006D70BA" w:rsidP="006D70BA">
      <w:pPr>
        <w:spacing w:line="360" w:lineRule="auto"/>
        <w:rPr>
          <w:sz w:val="20"/>
          <w:szCs w:val="20"/>
        </w:rPr>
      </w:pPr>
    </w:p>
    <w:p w14:paraId="1DA16012" w14:textId="77777777" w:rsidR="006D70BA" w:rsidRPr="00BA724E" w:rsidRDefault="006D70BA" w:rsidP="006D70BA">
      <w:pPr>
        <w:spacing w:line="360" w:lineRule="auto"/>
        <w:rPr>
          <w:sz w:val="20"/>
          <w:szCs w:val="20"/>
        </w:rPr>
      </w:pPr>
      <w:r w:rsidRPr="00BA724E">
        <w:rPr>
          <w:sz w:val="20"/>
          <w:szCs w:val="20"/>
        </w:rPr>
        <w:t>K. Sloan</w:t>
      </w:r>
      <w:r w:rsidRPr="00BA724E">
        <w:rPr>
          <w:sz w:val="20"/>
          <w:szCs w:val="20"/>
          <w:vertAlign w:val="superscript"/>
        </w:rPr>
        <w:t>1</w:t>
      </w:r>
      <w:r w:rsidRPr="00BA724E">
        <w:rPr>
          <w:sz w:val="20"/>
          <w:szCs w:val="20"/>
        </w:rPr>
        <w:t>, A. Alzamrooni</w:t>
      </w:r>
      <w:r w:rsidRPr="00BA724E">
        <w:rPr>
          <w:sz w:val="20"/>
          <w:szCs w:val="20"/>
          <w:vertAlign w:val="superscript"/>
        </w:rPr>
        <w:t>1</w:t>
      </w:r>
      <w:r w:rsidRPr="00BA724E">
        <w:rPr>
          <w:sz w:val="20"/>
          <w:szCs w:val="20"/>
        </w:rPr>
        <w:t>, F. E. Stedman</w:t>
      </w:r>
      <w:r w:rsidRPr="00BA724E">
        <w:rPr>
          <w:sz w:val="20"/>
          <w:szCs w:val="20"/>
          <w:vertAlign w:val="superscript"/>
        </w:rPr>
        <w:t>1</w:t>
      </w:r>
      <w:r w:rsidRPr="00BA724E">
        <w:rPr>
          <w:sz w:val="20"/>
          <w:szCs w:val="20"/>
        </w:rPr>
        <w:t>, O. Ron</w:t>
      </w:r>
      <w:r w:rsidRPr="00BA724E">
        <w:rPr>
          <w:sz w:val="20"/>
          <w:szCs w:val="20"/>
          <w:vertAlign w:val="superscript"/>
        </w:rPr>
        <w:t>1</w:t>
      </w:r>
      <w:r w:rsidRPr="00BA724E">
        <w:rPr>
          <w:sz w:val="20"/>
          <w:szCs w:val="20"/>
        </w:rPr>
        <w:t>, N. J. Hall</w:t>
      </w:r>
      <w:r w:rsidRPr="00BA724E">
        <w:rPr>
          <w:sz w:val="20"/>
          <w:szCs w:val="20"/>
          <w:vertAlign w:val="superscript"/>
        </w:rPr>
        <w:t>1,2</w:t>
      </w:r>
    </w:p>
    <w:p w14:paraId="52EF4EEE" w14:textId="77777777" w:rsidR="006D70BA" w:rsidRPr="00BA724E" w:rsidRDefault="006D70BA" w:rsidP="006D70BA">
      <w:pPr>
        <w:spacing w:line="360" w:lineRule="auto"/>
        <w:rPr>
          <w:sz w:val="20"/>
          <w:szCs w:val="20"/>
        </w:rPr>
      </w:pPr>
    </w:p>
    <w:p w14:paraId="41B3E9BC" w14:textId="77777777" w:rsidR="006D70BA" w:rsidRPr="00BA724E" w:rsidRDefault="006D70BA" w:rsidP="006D70BA">
      <w:pPr>
        <w:pStyle w:val="ListParagraph"/>
        <w:numPr>
          <w:ilvl w:val="0"/>
          <w:numId w:val="8"/>
        </w:numPr>
        <w:spacing w:line="360" w:lineRule="auto"/>
        <w:rPr>
          <w:sz w:val="20"/>
          <w:szCs w:val="20"/>
        </w:rPr>
      </w:pPr>
      <w:r w:rsidRPr="00BA724E">
        <w:rPr>
          <w:sz w:val="20"/>
          <w:szCs w:val="20"/>
        </w:rPr>
        <w:t>Department of Paediatric Surgery and Urology, Southampton Children’s Hospital, Southampton UK</w:t>
      </w:r>
    </w:p>
    <w:p w14:paraId="2E1AB301" w14:textId="77777777" w:rsidR="006D70BA" w:rsidRPr="00BA724E" w:rsidRDefault="006D70BA" w:rsidP="006D70BA">
      <w:pPr>
        <w:pStyle w:val="ListParagraph"/>
        <w:numPr>
          <w:ilvl w:val="0"/>
          <w:numId w:val="8"/>
        </w:numPr>
        <w:spacing w:line="360" w:lineRule="auto"/>
        <w:rPr>
          <w:sz w:val="20"/>
          <w:szCs w:val="20"/>
        </w:rPr>
      </w:pPr>
      <w:r w:rsidRPr="00BA724E">
        <w:rPr>
          <w:sz w:val="20"/>
          <w:szCs w:val="20"/>
        </w:rPr>
        <w:t>University Surgery Unit, Faculty of Medicine, University of Southampton, Southampton, UK</w:t>
      </w:r>
    </w:p>
    <w:p w14:paraId="515201CF" w14:textId="77777777" w:rsidR="006D70BA" w:rsidRPr="00BA724E" w:rsidRDefault="006D70BA" w:rsidP="006D70BA">
      <w:pPr>
        <w:spacing w:line="360" w:lineRule="auto"/>
        <w:rPr>
          <w:sz w:val="20"/>
          <w:szCs w:val="20"/>
        </w:rPr>
      </w:pPr>
    </w:p>
    <w:p w14:paraId="521C30E0" w14:textId="77777777" w:rsidR="006D70BA" w:rsidRPr="00BA724E" w:rsidRDefault="006D70BA" w:rsidP="006D70BA">
      <w:pPr>
        <w:spacing w:line="360" w:lineRule="auto"/>
        <w:rPr>
          <w:sz w:val="20"/>
          <w:szCs w:val="20"/>
        </w:rPr>
      </w:pPr>
    </w:p>
    <w:p w14:paraId="1E8BD094" w14:textId="27A60BD2" w:rsidR="006D70BA" w:rsidRDefault="006D70BA" w:rsidP="006D70BA">
      <w:pPr>
        <w:spacing w:line="360" w:lineRule="auto"/>
        <w:rPr>
          <w:sz w:val="20"/>
          <w:szCs w:val="20"/>
        </w:rPr>
      </w:pPr>
      <w:r>
        <w:rPr>
          <w:sz w:val="20"/>
          <w:szCs w:val="20"/>
        </w:rPr>
        <w:t xml:space="preserve">K. Sloan: </w:t>
      </w:r>
      <w:r>
        <w:rPr>
          <w:sz w:val="20"/>
          <w:szCs w:val="20"/>
        </w:rPr>
        <w:tab/>
        <w:t>keren.sloan@gmail.com</w:t>
      </w:r>
    </w:p>
    <w:p w14:paraId="3C8D58C4" w14:textId="195894CF" w:rsidR="006D70BA" w:rsidRPr="004F5C3D" w:rsidRDefault="006D70BA" w:rsidP="006D70BA">
      <w:pPr>
        <w:spacing w:line="360" w:lineRule="auto"/>
        <w:rPr>
          <w:sz w:val="20"/>
          <w:szCs w:val="20"/>
          <w:lang w:val="it-IT"/>
        </w:rPr>
      </w:pPr>
      <w:r w:rsidRPr="004F5C3D">
        <w:rPr>
          <w:sz w:val="20"/>
          <w:szCs w:val="20"/>
          <w:lang w:val="it-IT"/>
        </w:rPr>
        <w:t xml:space="preserve">A. Alzamrooni: </w:t>
      </w:r>
      <w:r w:rsidRPr="004F5C3D">
        <w:rPr>
          <w:sz w:val="20"/>
          <w:szCs w:val="20"/>
          <w:lang w:val="it-IT"/>
        </w:rPr>
        <w:tab/>
        <w:t>ayah.alzamrooni@uhs.nhs.uk</w:t>
      </w:r>
    </w:p>
    <w:p w14:paraId="4BFD6051" w14:textId="6CEE9F0D" w:rsidR="006D70BA" w:rsidRPr="004F5C3D" w:rsidRDefault="006D70BA" w:rsidP="006D70BA">
      <w:pPr>
        <w:spacing w:line="360" w:lineRule="auto"/>
        <w:rPr>
          <w:sz w:val="20"/>
          <w:szCs w:val="20"/>
          <w:lang w:val="it-IT"/>
        </w:rPr>
      </w:pPr>
      <w:r w:rsidRPr="004F5C3D">
        <w:rPr>
          <w:sz w:val="20"/>
          <w:szCs w:val="20"/>
          <w:lang w:val="it-IT"/>
        </w:rPr>
        <w:t>F E Stedman:</w:t>
      </w:r>
      <w:r w:rsidRPr="004F5C3D">
        <w:rPr>
          <w:lang w:val="it-IT"/>
        </w:rPr>
        <w:t xml:space="preserve"> </w:t>
      </w:r>
      <w:r w:rsidRPr="004F5C3D">
        <w:rPr>
          <w:lang w:val="it-IT"/>
        </w:rPr>
        <w:tab/>
      </w:r>
      <w:r w:rsidRPr="004F5C3D">
        <w:rPr>
          <w:sz w:val="20"/>
          <w:szCs w:val="20"/>
          <w:lang w:val="it-IT"/>
        </w:rPr>
        <w:t>francesca.stedman@uhs.nhs.uk</w:t>
      </w:r>
    </w:p>
    <w:p w14:paraId="3ED5B11D" w14:textId="28204C7C" w:rsidR="006D70BA" w:rsidRPr="004F5C3D" w:rsidRDefault="006D70BA" w:rsidP="006D70BA">
      <w:pPr>
        <w:tabs>
          <w:tab w:val="left" w:pos="1352"/>
        </w:tabs>
        <w:spacing w:line="360" w:lineRule="auto"/>
        <w:rPr>
          <w:sz w:val="20"/>
          <w:szCs w:val="20"/>
          <w:lang w:val="it-IT"/>
        </w:rPr>
      </w:pPr>
      <w:r w:rsidRPr="004F5C3D">
        <w:rPr>
          <w:sz w:val="20"/>
          <w:szCs w:val="20"/>
          <w:lang w:val="it-IT"/>
        </w:rPr>
        <w:t>O Ron:</w:t>
      </w:r>
      <w:r w:rsidRPr="004F5C3D">
        <w:rPr>
          <w:sz w:val="20"/>
          <w:szCs w:val="20"/>
          <w:lang w:val="it-IT"/>
        </w:rPr>
        <w:tab/>
      </w:r>
      <w:r w:rsidRPr="004F5C3D">
        <w:rPr>
          <w:sz w:val="20"/>
          <w:szCs w:val="20"/>
          <w:lang w:val="it-IT"/>
        </w:rPr>
        <w:tab/>
        <w:t>ori.ron@uhs.nhs.uk</w:t>
      </w:r>
    </w:p>
    <w:p w14:paraId="22598009" w14:textId="60DE2CD1" w:rsidR="006D70BA" w:rsidRPr="004F5C3D" w:rsidRDefault="006D70BA" w:rsidP="006D70BA">
      <w:pPr>
        <w:spacing w:line="360" w:lineRule="auto"/>
        <w:rPr>
          <w:sz w:val="20"/>
          <w:szCs w:val="20"/>
          <w:lang w:val="it-IT"/>
        </w:rPr>
      </w:pPr>
      <w:r w:rsidRPr="004F5C3D">
        <w:rPr>
          <w:sz w:val="20"/>
          <w:szCs w:val="20"/>
          <w:lang w:val="it-IT"/>
        </w:rPr>
        <w:t>N J Hall:</w:t>
      </w:r>
      <w:r w:rsidRPr="004F5C3D">
        <w:rPr>
          <w:sz w:val="20"/>
          <w:szCs w:val="20"/>
          <w:lang w:val="it-IT"/>
        </w:rPr>
        <w:tab/>
      </w:r>
      <w:r w:rsidR="00B270B1" w:rsidRPr="004F5C3D">
        <w:rPr>
          <w:sz w:val="20"/>
          <w:szCs w:val="20"/>
          <w:lang w:val="it-IT"/>
        </w:rPr>
        <w:t>n.j.hall@soton.ac.uk</w:t>
      </w:r>
    </w:p>
    <w:p w14:paraId="60892A50" w14:textId="77777777" w:rsidR="006D70BA" w:rsidRPr="004F5C3D" w:rsidRDefault="006D70BA" w:rsidP="006D70BA">
      <w:pPr>
        <w:spacing w:line="360" w:lineRule="auto"/>
        <w:rPr>
          <w:sz w:val="20"/>
          <w:szCs w:val="20"/>
          <w:lang w:val="it-IT"/>
        </w:rPr>
      </w:pPr>
    </w:p>
    <w:p w14:paraId="74CD7104" w14:textId="77777777" w:rsidR="006D70BA" w:rsidRPr="004F5C3D" w:rsidRDefault="006D70BA" w:rsidP="006D70BA">
      <w:pPr>
        <w:spacing w:line="360" w:lineRule="auto"/>
        <w:rPr>
          <w:sz w:val="20"/>
          <w:szCs w:val="20"/>
          <w:lang w:val="it-IT"/>
        </w:rPr>
      </w:pPr>
    </w:p>
    <w:p w14:paraId="08758996" w14:textId="77777777" w:rsidR="006D70BA" w:rsidRPr="004F5C3D" w:rsidRDefault="006D70BA" w:rsidP="006D70BA">
      <w:pPr>
        <w:spacing w:line="360" w:lineRule="auto"/>
        <w:rPr>
          <w:sz w:val="20"/>
          <w:szCs w:val="20"/>
          <w:lang w:val="it-IT"/>
        </w:rPr>
      </w:pPr>
    </w:p>
    <w:p w14:paraId="202BFEF5" w14:textId="77777777" w:rsidR="006D70BA" w:rsidRPr="004F5C3D" w:rsidRDefault="006D70BA" w:rsidP="006D70BA">
      <w:pPr>
        <w:spacing w:line="360" w:lineRule="auto"/>
        <w:rPr>
          <w:sz w:val="20"/>
          <w:szCs w:val="20"/>
          <w:lang w:val="it-IT"/>
        </w:rPr>
      </w:pPr>
    </w:p>
    <w:p w14:paraId="52E0D113" w14:textId="77777777" w:rsidR="006D70BA" w:rsidRPr="004F5C3D" w:rsidRDefault="006D70BA" w:rsidP="006D70BA">
      <w:pPr>
        <w:spacing w:line="360" w:lineRule="auto"/>
        <w:rPr>
          <w:sz w:val="20"/>
          <w:szCs w:val="20"/>
          <w:lang w:val="it-IT"/>
        </w:rPr>
      </w:pPr>
    </w:p>
    <w:p w14:paraId="15C1981A" w14:textId="77777777" w:rsidR="006D70BA" w:rsidRPr="004F5C3D" w:rsidRDefault="006D70BA" w:rsidP="006D70BA">
      <w:pPr>
        <w:spacing w:line="360" w:lineRule="auto"/>
        <w:rPr>
          <w:sz w:val="20"/>
          <w:szCs w:val="20"/>
          <w:lang w:val="it-IT"/>
        </w:rPr>
      </w:pPr>
    </w:p>
    <w:p w14:paraId="3EF4DAE3" w14:textId="77777777" w:rsidR="006D70BA" w:rsidRPr="004F5C3D" w:rsidRDefault="006D70BA" w:rsidP="006D70BA">
      <w:pPr>
        <w:spacing w:line="360" w:lineRule="auto"/>
        <w:rPr>
          <w:sz w:val="20"/>
          <w:szCs w:val="20"/>
          <w:lang w:val="it-IT"/>
        </w:rPr>
      </w:pPr>
    </w:p>
    <w:p w14:paraId="527E0E34" w14:textId="77777777" w:rsidR="006D70BA" w:rsidRPr="004F5C3D" w:rsidRDefault="006D70BA" w:rsidP="006D70BA">
      <w:pPr>
        <w:spacing w:line="360" w:lineRule="auto"/>
        <w:rPr>
          <w:sz w:val="20"/>
          <w:szCs w:val="20"/>
          <w:lang w:val="it-IT"/>
        </w:rPr>
      </w:pPr>
    </w:p>
    <w:p w14:paraId="48F3D5A1" w14:textId="77777777" w:rsidR="006D70BA" w:rsidRPr="004F5C3D" w:rsidRDefault="006D70BA" w:rsidP="006D70BA">
      <w:pPr>
        <w:spacing w:line="360" w:lineRule="auto"/>
        <w:rPr>
          <w:sz w:val="20"/>
          <w:szCs w:val="20"/>
          <w:lang w:val="it-IT"/>
        </w:rPr>
      </w:pPr>
    </w:p>
    <w:p w14:paraId="11E66147" w14:textId="77777777" w:rsidR="006D70BA" w:rsidRPr="004F5C3D" w:rsidRDefault="006D70BA">
      <w:pPr>
        <w:spacing w:after="200" w:line="276" w:lineRule="auto"/>
        <w:rPr>
          <w:b/>
          <w:bCs/>
          <w:sz w:val="20"/>
          <w:szCs w:val="20"/>
          <w:lang w:val="it-IT"/>
        </w:rPr>
      </w:pPr>
      <w:r w:rsidRPr="004F5C3D">
        <w:rPr>
          <w:b/>
          <w:bCs/>
          <w:sz w:val="20"/>
          <w:szCs w:val="20"/>
          <w:lang w:val="it-IT"/>
        </w:rPr>
        <w:br w:type="page"/>
      </w:r>
    </w:p>
    <w:p w14:paraId="0E412EED" w14:textId="605E04AE" w:rsidR="004668AF" w:rsidRPr="00232395" w:rsidRDefault="004668AF" w:rsidP="00232395">
      <w:pPr>
        <w:spacing w:after="200" w:line="276" w:lineRule="auto"/>
        <w:rPr>
          <w:b/>
          <w:bCs/>
          <w:sz w:val="20"/>
          <w:szCs w:val="20"/>
        </w:rPr>
      </w:pPr>
      <w:r w:rsidRPr="00232395">
        <w:rPr>
          <w:b/>
          <w:bCs/>
          <w:sz w:val="20"/>
          <w:szCs w:val="20"/>
        </w:rPr>
        <w:lastRenderedPageBreak/>
        <w:t>Abstract</w:t>
      </w:r>
    </w:p>
    <w:p w14:paraId="6969DE5B" w14:textId="0E7F54E2" w:rsidR="00C17838" w:rsidRPr="00BA724E" w:rsidRDefault="00DD2C5A" w:rsidP="00C17838">
      <w:pPr>
        <w:spacing w:line="360" w:lineRule="auto"/>
        <w:rPr>
          <w:sz w:val="20"/>
          <w:szCs w:val="20"/>
        </w:rPr>
      </w:pPr>
      <w:r>
        <w:rPr>
          <w:sz w:val="20"/>
          <w:szCs w:val="20"/>
        </w:rPr>
        <w:t>Purpose</w:t>
      </w:r>
      <w:r w:rsidR="00C17838" w:rsidRPr="00BA724E">
        <w:rPr>
          <w:sz w:val="20"/>
          <w:szCs w:val="20"/>
        </w:rPr>
        <w:t xml:space="preserve">: </w:t>
      </w:r>
    </w:p>
    <w:p w14:paraId="1D8446F1" w14:textId="27D21258" w:rsidR="00C17838" w:rsidRPr="00BA724E" w:rsidRDefault="00C17838" w:rsidP="00C17838">
      <w:pPr>
        <w:spacing w:line="360" w:lineRule="auto"/>
        <w:rPr>
          <w:sz w:val="20"/>
          <w:szCs w:val="20"/>
        </w:rPr>
      </w:pPr>
      <w:r w:rsidRPr="00BA724E">
        <w:rPr>
          <w:sz w:val="20"/>
          <w:szCs w:val="20"/>
        </w:rPr>
        <w:t xml:space="preserve">We report the use of diagnostic laparoscopy as an alternative to laparotomy in the investigation of infants with </w:t>
      </w:r>
      <w:r w:rsidR="00A622DC" w:rsidRPr="00BA724E">
        <w:rPr>
          <w:sz w:val="20"/>
          <w:szCs w:val="20"/>
        </w:rPr>
        <w:t xml:space="preserve">clinical features concerning for malrotation </w:t>
      </w:r>
      <w:r w:rsidRPr="00BA724E">
        <w:rPr>
          <w:sz w:val="20"/>
          <w:szCs w:val="20"/>
        </w:rPr>
        <w:t>and inconclusive upper gastrointestinal</w:t>
      </w:r>
      <w:r w:rsidR="00100650" w:rsidRPr="00BA724E">
        <w:rPr>
          <w:sz w:val="20"/>
          <w:szCs w:val="20"/>
        </w:rPr>
        <w:t xml:space="preserve"> </w:t>
      </w:r>
      <w:r w:rsidRPr="00BA724E">
        <w:rPr>
          <w:sz w:val="20"/>
          <w:szCs w:val="20"/>
        </w:rPr>
        <w:t>contrast study.</w:t>
      </w:r>
    </w:p>
    <w:p w14:paraId="76A24505" w14:textId="77777777" w:rsidR="00C17838" w:rsidRPr="00BA724E" w:rsidRDefault="00C17838" w:rsidP="00C17838">
      <w:pPr>
        <w:spacing w:line="360" w:lineRule="auto"/>
        <w:rPr>
          <w:sz w:val="20"/>
          <w:szCs w:val="20"/>
        </w:rPr>
      </w:pPr>
    </w:p>
    <w:p w14:paraId="4A3EB6DE" w14:textId="77777777" w:rsidR="00C17838" w:rsidRPr="00BA724E" w:rsidRDefault="00C17838" w:rsidP="00C17838">
      <w:pPr>
        <w:spacing w:line="360" w:lineRule="auto"/>
        <w:rPr>
          <w:sz w:val="20"/>
          <w:szCs w:val="20"/>
        </w:rPr>
      </w:pPr>
      <w:r w:rsidRPr="00BA724E">
        <w:rPr>
          <w:sz w:val="20"/>
          <w:szCs w:val="20"/>
        </w:rPr>
        <w:t>Method:</w:t>
      </w:r>
    </w:p>
    <w:p w14:paraId="62FA4BC5" w14:textId="18DA036B" w:rsidR="00C17838" w:rsidRPr="00BA724E" w:rsidRDefault="00C17838" w:rsidP="00C17838">
      <w:pPr>
        <w:spacing w:line="360" w:lineRule="auto"/>
        <w:rPr>
          <w:sz w:val="20"/>
          <w:szCs w:val="20"/>
        </w:rPr>
      </w:pPr>
      <w:proofErr w:type="spellStart"/>
      <w:r w:rsidRPr="00BA724E">
        <w:rPr>
          <w:sz w:val="20"/>
          <w:szCs w:val="20"/>
        </w:rPr>
        <w:t>Casenote</w:t>
      </w:r>
      <w:proofErr w:type="spellEnd"/>
      <w:r w:rsidRPr="00BA724E">
        <w:rPr>
          <w:sz w:val="20"/>
          <w:szCs w:val="20"/>
        </w:rPr>
        <w:t xml:space="preserve"> review of all infants in whom laparoscopy was performed during 2016-20</w:t>
      </w:r>
      <w:r w:rsidR="008D05DA" w:rsidRPr="00BA724E">
        <w:rPr>
          <w:sz w:val="20"/>
          <w:szCs w:val="20"/>
        </w:rPr>
        <w:t>20</w:t>
      </w:r>
      <w:r w:rsidRPr="00BA724E">
        <w:rPr>
          <w:sz w:val="20"/>
          <w:szCs w:val="20"/>
        </w:rPr>
        <w:t xml:space="preserve"> to investigate for possible </w:t>
      </w:r>
      <w:bookmarkStart w:id="0" w:name="_GoBack"/>
      <w:r w:rsidRPr="00BA724E">
        <w:rPr>
          <w:sz w:val="20"/>
          <w:szCs w:val="20"/>
        </w:rPr>
        <w:t>malrotation.</w:t>
      </w:r>
    </w:p>
    <w:bookmarkEnd w:id="0"/>
    <w:p w14:paraId="3739BEB3" w14:textId="77777777" w:rsidR="00C17838" w:rsidRPr="00BA724E" w:rsidRDefault="00C17838" w:rsidP="00C17838">
      <w:pPr>
        <w:spacing w:line="360" w:lineRule="auto"/>
        <w:rPr>
          <w:sz w:val="20"/>
          <w:szCs w:val="20"/>
        </w:rPr>
      </w:pPr>
    </w:p>
    <w:p w14:paraId="3D55B5B7" w14:textId="77777777" w:rsidR="00C17838" w:rsidRPr="00BA724E" w:rsidRDefault="00C17838" w:rsidP="00C17838">
      <w:pPr>
        <w:spacing w:line="360" w:lineRule="auto"/>
        <w:rPr>
          <w:sz w:val="20"/>
          <w:szCs w:val="20"/>
        </w:rPr>
      </w:pPr>
      <w:r w:rsidRPr="00BA724E">
        <w:rPr>
          <w:sz w:val="20"/>
          <w:szCs w:val="20"/>
        </w:rPr>
        <w:t xml:space="preserve">Results: </w:t>
      </w:r>
    </w:p>
    <w:p w14:paraId="1C28FB69" w14:textId="466A4942" w:rsidR="00C17838" w:rsidRPr="00BA724E" w:rsidRDefault="00C66FAA" w:rsidP="00C17838">
      <w:pPr>
        <w:spacing w:line="360" w:lineRule="auto"/>
        <w:rPr>
          <w:sz w:val="20"/>
          <w:szCs w:val="20"/>
        </w:rPr>
      </w:pPr>
      <w:r w:rsidRPr="00BA724E">
        <w:rPr>
          <w:sz w:val="20"/>
          <w:szCs w:val="20"/>
        </w:rPr>
        <w:t xml:space="preserve">Eight </w:t>
      </w:r>
      <w:r w:rsidR="00C17838" w:rsidRPr="00BA724E">
        <w:rPr>
          <w:sz w:val="20"/>
          <w:szCs w:val="20"/>
        </w:rPr>
        <w:t xml:space="preserve">infants </w:t>
      </w:r>
      <w:r w:rsidR="00376541" w:rsidRPr="00BA724E">
        <w:rPr>
          <w:sz w:val="20"/>
          <w:szCs w:val="20"/>
        </w:rPr>
        <w:t>were identifie</w:t>
      </w:r>
      <w:r w:rsidR="00100650" w:rsidRPr="00BA724E">
        <w:rPr>
          <w:sz w:val="20"/>
          <w:szCs w:val="20"/>
        </w:rPr>
        <w:t>d</w:t>
      </w:r>
      <w:r w:rsidR="00C17838" w:rsidRPr="00BA724E">
        <w:rPr>
          <w:sz w:val="20"/>
          <w:szCs w:val="20"/>
        </w:rPr>
        <w:t>. All presented with</w:t>
      </w:r>
      <w:r w:rsidR="00064E28" w:rsidRPr="00BA724E">
        <w:rPr>
          <w:sz w:val="20"/>
          <w:szCs w:val="20"/>
        </w:rPr>
        <w:t xml:space="preserve"> acute</w:t>
      </w:r>
      <w:r w:rsidR="00C17838" w:rsidRPr="00BA724E">
        <w:rPr>
          <w:sz w:val="20"/>
          <w:szCs w:val="20"/>
        </w:rPr>
        <w:t xml:space="preserve"> </w:t>
      </w:r>
      <w:r w:rsidR="00A622DC" w:rsidRPr="00BA724E">
        <w:rPr>
          <w:sz w:val="20"/>
          <w:szCs w:val="20"/>
        </w:rPr>
        <w:t xml:space="preserve">clinical features </w:t>
      </w:r>
      <w:r w:rsidR="00100650" w:rsidRPr="00BA724E">
        <w:rPr>
          <w:sz w:val="20"/>
          <w:szCs w:val="20"/>
        </w:rPr>
        <w:t>of</w:t>
      </w:r>
      <w:r w:rsidR="00A622DC" w:rsidRPr="00BA724E">
        <w:rPr>
          <w:sz w:val="20"/>
          <w:szCs w:val="20"/>
        </w:rPr>
        <w:t xml:space="preserve"> malrotation (</w:t>
      </w:r>
      <w:r w:rsidR="00100650" w:rsidRPr="00BA724E">
        <w:rPr>
          <w:sz w:val="20"/>
          <w:szCs w:val="20"/>
        </w:rPr>
        <w:t>b</w:t>
      </w:r>
      <w:r w:rsidR="00046577" w:rsidRPr="00BA724E">
        <w:rPr>
          <w:sz w:val="20"/>
          <w:szCs w:val="20"/>
        </w:rPr>
        <w:t xml:space="preserve">ilious vomit) </w:t>
      </w:r>
      <w:r w:rsidR="00A622DC" w:rsidRPr="00BA724E">
        <w:rPr>
          <w:sz w:val="20"/>
          <w:szCs w:val="20"/>
        </w:rPr>
        <w:t xml:space="preserve">without evidence of an alternate explanatory diagnosis. </w:t>
      </w:r>
      <w:r w:rsidR="00C17838" w:rsidRPr="00BA724E">
        <w:rPr>
          <w:sz w:val="20"/>
          <w:szCs w:val="20"/>
        </w:rPr>
        <w:t xml:space="preserve">All </w:t>
      </w:r>
      <w:r w:rsidR="00D66370" w:rsidRPr="00BA724E">
        <w:rPr>
          <w:sz w:val="20"/>
          <w:szCs w:val="20"/>
        </w:rPr>
        <w:t xml:space="preserve">underwent </w:t>
      </w:r>
      <w:r w:rsidR="00100650" w:rsidRPr="00BA724E">
        <w:rPr>
          <w:sz w:val="20"/>
          <w:szCs w:val="20"/>
        </w:rPr>
        <w:t>upper gastrointestinal</w:t>
      </w:r>
      <w:r w:rsidR="00A622DC" w:rsidRPr="00BA724E">
        <w:rPr>
          <w:sz w:val="20"/>
          <w:szCs w:val="20"/>
        </w:rPr>
        <w:t xml:space="preserve"> contrast study</w:t>
      </w:r>
      <w:r w:rsidR="000F0D1D" w:rsidRPr="00BA724E">
        <w:rPr>
          <w:sz w:val="20"/>
          <w:szCs w:val="20"/>
        </w:rPr>
        <w:t xml:space="preserve">, with </w:t>
      </w:r>
      <w:r w:rsidR="00100650" w:rsidRPr="00BA724E">
        <w:rPr>
          <w:sz w:val="20"/>
          <w:szCs w:val="20"/>
        </w:rPr>
        <w:t>t</w:t>
      </w:r>
      <w:r w:rsidR="00C17838" w:rsidRPr="00BA724E">
        <w:rPr>
          <w:sz w:val="20"/>
          <w:szCs w:val="20"/>
        </w:rPr>
        <w:t xml:space="preserve">hree </w:t>
      </w:r>
      <w:r w:rsidRPr="00BA724E">
        <w:rPr>
          <w:sz w:val="20"/>
          <w:szCs w:val="20"/>
        </w:rPr>
        <w:t xml:space="preserve">also </w:t>
      </w:r>
      <w:r w:rsidR="00100650" w:rsidRPr="00BA724E">
        <w:rPr>
          <w:sz w:val="20"/>
          <w:szCs w:val="20"/>
        </w:rPr>
        <w:t>undergoing</w:t>
      </w:r>
      <w:r w:rsidR="00C17838" w:rsidRPr="00BA724E">
        <w:rPr>
          <w:sz w:val="20"/>
          <w:szCs w:val="20"/>
        </w:rPr>
        <w:t xml:space="preserve"> abdominal ultrasound. </w:t>
      </w:r>
      <w:r w:rsidR="00100650" w:rsidRPr="00BA724E">
        <w:rPr>
          <w:sz w:val="20"/>
          <w:szCs w:val="20"/>
        </w:rPr>
        <w:t>The</w:t>
      </w:r>
      <w:r w:rsidR="001F7F8B" w:rsidRPr="00BA724E">
        <w:rPr>
          <w:sz w:val="20"/>
          <w:szCs w:val="20"/>
        </w:rPr>
        <w:t xml:space="preserve"> radiological examinations</w:t>
      </w:r>
      <w:r w:rsidR="00100650" w:rsidRPr="00BA724E">
        <w:rPr>
          <w:sz w:val="20"/>
          <w:szCs w:val="20"/>
        </w:rPr>
        <w:t xml:space="preserve"> could not </w:t>
      </w:r>
      <w:r w:rsidR="00C17838" w:rsidRPr="00BA724E">
        <w:rPr>
          <w:sz w:val="20"/>
          <w:szCs w:val="20"/>
        </w:rPr>
        <w:t>exc</w:t>
      </w:r>
      <w:r w:rsidR="001F7F8B" w:rsidRPr="00BA724E">
        <w:rPr>
          <w:sz w:val="20"/>
          <w:szCs w:val="20"/>
        </w:rPr>
        <w:t>lude malrotation and all proceeded to laparoscopy.</w:t>
      </w:r>
    </w:p>
    <w:p w14:paraId="6B419B05" w14:textId="77777777" w:rsidR="00C17838" w:rsidRPr="00BA724E" w:rsidRDefault="00C17838" w:rsidP="00C17838">
      <w:pPr>
        <w:spacing w:line="360" w:lineRule="auto"/>
        <w:rPr>
          <w:sz w:val="20"/>
          <w:szCs w:val="20"/>
        </w:rPr>
      </w:pPr>
    </w:p>
    <w:p w14:paraId="4EE511A4" w14:textId="354E3AAE" w:rsidR="00C17838" w:rsidRPr="00BA724E" w:rsidRDefault="00376541" w:rsidP="00C17838">
      <w:pPr>
        <w:spacing w:line="360" w:lineRule="auto"/>
        <w:rPr>
          <w:sz w:val="20"/>
          <w:szCs w:val="20"/>
        </w:rPr>
      </w:pPr>
      <w:r w:rsidRPr="00BA724E">
        <w:rPr>
          <w:sz w:val="20"/>
          <w:szCs w:val="20"/>
        </w:rPr>
        <w:t>At laparoscopy t</w:t>
      </w:r>
      <w:r w:rsidR="00C17838" w:rsidRPr="00BA724E">
        <w:rPr>
          <w:sz w:val="20"/>
          <w:szCs w:val="20"/>
        </w:rPr>
        <w:t xml:space="preserve">he small intestine was run to exclude the presence of midgut volvulus. In </w:t>
      </w:r>
      <w:r w:rsidR="00A1404D" w:rsidRPr="00BA724E">
        <w:rPr>
          <w:sz w:val="20"/>
          <w:szCs w:val="20"/>
        </w:rPr>
        <w:t>six</w:t>
      </w:r>
      <w:r w:rsidR="00C17838" w:rsidRPr="00BA724E">
        <w:rPr>
          <w:sz w:val="20"/>
          <w:szCs w:val="20"/>
        </w:rPr>
        <w:t xml:space="preserve"> cases </w:t>
      </w:r>
      <w:r w:rsidRPr="00BA724E">
        <w:rPr>
          <w:sz w:val="20"/>
          <w:szCs w:val="20"/>
        </w:rPr>
        <w:t xml:space="preserve">normal rotation was confirmed and </w:t>
      </w:r>
      <w:r w:rsidR="00100650" w:rsidRPr="00BA724E">
        <w:rPr>
          <w:sz w:val="20"/>
          <w:szCs w:val="20"/>
        </w:rPr>
        <w:t xml:space="preserve">no </w:t>
      </w:r>
      <w:r w:rsidRPr="00BA724E">
        <w:rPr>
          <w:sz w:val="20"/>
          <w:szCs w:val="20"/>
        </w:rPr>
        <w:t xml:space="preserve">abnormal pathology found. </w:t>
      </w:r>
      <w:r w:rsidR="00C66FAA" w:rsidRPr="00BA724E">
        <w:rPr>
          <w:sz w:val="20"/>
          <w:szCs w:val="20"/>
        </w:rPr>
        <w:t>Two</w:t>
      </w:r>
      <w:r w:rsidR="00A1404D" w:rsidRPr="00BA724E">
        <w:rPr>
          <w:sz w:val="20"/>
          <w:szCs w:val="20"/>
        </w:rPr>
        <w:t xml:space="preserve"> proceeded to laparotomy and underwent correction of malrotation.  </w:t>
      </w:r>
      <w:r w:rsidR="00C17838" w:rsidRPr="00BA724E">
        <w:rPr>
          <w:sz w:val="20"/>
          <w:szCs w:val="20"/>
        </w:rPr>
        <w:t>All infants recovered without complication</w:t>
      </w:r>
      <w:r w:rsidRPr="00BA724E">
        <w:rPr>
          <w:sz w:val="20"/>
          <w:szCs w:val="20"/>
        </w:rPr>
        <w:t>.</w:t>
      </w:r>
    </w:p>
    <w:p w14:paraId="44E2A01D" w14:textId="77777777" w:rsidR="00C17838" w:rsidRPr="00BA724E" w:rsidRDefault="00C17838" w:rsidP="00C17838">
      <w:pPr>
        <w:spacing w:line="360" w:lineRule="auto"/>
        <w:rPr>
          <w:sz w:val="20"/>
          <w:szCs w:val="20"/>
        </w:rPr>
      </w:pPr>
    </w:p>
    <w:p w14:paraId="452542B7" w14:textId="77777777" w:rsidR="00C17838" w:rsidRPr="00BA724E" w:rsidRDefault="00C17838" w:rsidP="00C17838">
      <w:pPr>
        <w:spacing w:line="360" w:lineRule="auto"/>
        <w:rPr>
          <w:sz w:val="20"/>
          <w:szCs w:val="20"/>
        </w:rPr>
      </w:pPr>
      <w:r w:rsidRPr="00BA724E">
        <w:rPr>
          <w:sz w:val="20"/>
          <w:szCs w:val="20"/>
        </w:rPr>
        <w:t xml:space="preserve">Conclusion: </w:t>
      </w:r>
    </w:p>
    <w:p w14:paraId="2AA15B07" w14:textId="4DCB503F" w:rsidR="00E03310" w:rsidRPr="00BA724E" w:rsidRDefault="00C17838" w:rsidP="00765BD0">
      <w:pPr>
        <w:spacing w:line="360" w:lineRule="auto"/>
        <w:rPr>
          <w:sz w:val="20"/>
          <w:szCs w:val="20"/>
        </w:rPr>
      </w:pPr>
      <w:r w:rsidRPr="00BA724E">
        <w:rPr>
          <w:sz w:val="20"/>
          <w:szCs w:val="20"/>
        </w:rPr>
        <w:t xml:space="preserve">Laparoscopy is an excellent modality for further investigation of infants </w:t>
      </w:r>
      <w:r w:rsidR="00C66FAA" w:rsidRPr="00BA724E">
        <w:rPr>
          <w:sz w:val="20"/>
          <w:szCs w:val="20"/>
        </w:rPr>
        <w:t xml:space="preserve">presenting acutely </w:t>
      </w:r>
      <w:r w:rsidRPr="00BA724E">
        <w:rPr>
          <w:sz w:val="20"/>
          <w:szCs w:val="20"/>
        </w:rPr>
        <w:t xml:space="preserve">in whom intestinal malrotation cannot be formally excluded </w:t>
      </w:r>
      <w:r w:rsidR="00C66FAA" w:rsidRPr="00BA724E">
        <w:rPr>
          <w:sz w:val="20"/>
          <w:szCs w:val="20"/>
        </w:rPr>
        <w:t>radiologically.</w:t>
      </w:r>
      <w:r w:rsidRPr="00BA724E">
        <w:rPr>
          <w:sz w:val="20"/>
          <w:szCs w:val="20"/>
        </w:rPr>
        <w:t xml:space="preserve"> The positive identification of </w:t>
      </w:r>
      <w:r w:rsidR="001F7F8B" w:rsidRPr="00BA724E">
        <w:rPr>
          <w:sz w:val="20"/>
          <w:szCs w:val="20"/>
        </w:rPr>
        <w:t xml:space="preserve">the </w:t>
      </w:r>
      <w:r w:rsidRPr="00BA724E">
        <w:rPr>
          <w:sz w:val="20"/>
          <w:szCs w:val="20"/>
        </w:rPr>
        <w:t xml:space="preserve">DJ flexure and caecum in correct anatomical sites, both fixed to the posterior abdominal wall, provides adequate reassurance of low risk of volvulus and avoids a full laparotomy. We recommend diagnostic laparoscopy in cases of inconclusive </w:t>
      </w:r>
      <w:r w:rsidR="00100650" w:rsidRPr="00BA724E">
        <w:rPr>
          <w:sz w:val="20"/>
          <w:szCs w:val="20"/>
        </w:rPr>
        <w:t>upper gastrointestinal</w:t>
      </w:r>
      <w:r w:rsidR="001F7F8B" w:rsidRPr="00BA724E">
        <w:rPr>
          <w:sz w:val="20"/>
          <w:szCs w:val="20"/>
        </w:rPr>
        <w:t xml:space="preserve"> contrast study</w:t>
      </w:r>
      <w:r w:rsidR="00376541" w:rsidRPr="00BA724E">
        <w:rPr>
          <w:sz w:val="20"/>
          <w:szCs w:val="20"/>
        </w:rPr>
        <w:t>.</w:t>
      </w:r>
      <w:r w:rsidR="00E03310" w:rsidRPr="00BA724E">
        <w:rPr>
          <w:sz w:val="20"/>
          <w:szCs w:val="20"/>
        </w:rPr>
        <w:br w:type="page"/>
      </w:r>
    </w:p>
    <w:p w14:paraId="0B2DF84F" w14:textId="77777777" w:rsidR="00C17838" w:rsidRPr="00232395" w:rsidRDefault="00E03310" w:rsidP="00021BFF">
      <w:pPr>
        <w:pStyle w:val="Heading2"/>
        <w:rPr>
          <w:rFonts w:ascii="Times New Roman" w:hAnsi="Times New Roman" w:cs="Times New Roman"/>
          <w:color w:val="000000" w:themeColor="text1"/>
          <w:sz w:val="20"/>
          <w:szCs w:val="20"/>
        </w:rPr>
      </w:pPr>
      <w:r w:rsidRPr="00232395">
        <w:rPr>
          <w:rFonts w:ascii="Times New Roman" w:hAnsi="Times New Roman" w:cs="Times New Roman"/>
          <w:color w:val="000000" w:themeColor="text1"/>
          <w:sz w:val="20"/>
          <w:szCs w:val="20"/>
        </w:rPr>
        <w:lastRenderedPageBreak/>
        <w:t>Introduction</w:t>
      </w:r>
    </w:p>
    <w:p w14:paraId="7D9B9D3A" w14:textId="27FFF4B8" w:rsidR="006F76BA" w:rsidRPr="00BA724E" w:rsidRDefault="006F76BA" w:rsidP="00C17838">
      <w:pPr>
        <w:spacing w:line="360" w:lineRule="auto"/>
        <w:rPr>
          <w:sz w:val="20"/>
          <w:szCs w:val="20"/>
        </w:rPr>
      </w:pPr>
      <w:r w:rsidRPr="00BA724E">
        <w:rPr>
          <w:sz w:val="20"/>
          <w:szCs w:val="20"/>
        </w:rPr>
        <w:t>Midgut m</w:t>
      </w:r>
      <w:r w:rsidR="00C17838" w:rsidRPr="00BA724E">
        <w:rPr>
          <w:sz w:val="20"/>
          <w:szCs w:val="20"/>
        </w:rPr>
        <w:t xml:space="preserve">alrotation, </w:t>
      </w:r>
      <w:r w:rsidRPr="00BA724E">
        <w:rPr>
          <w:sz w:val="20"/>
          <w:szCs w:val="20"/>
        </w:rPr>
        <w:t xml:space="preserve">with its associated risk of </w:t>
      </w:r>
      <w:r w:rsidR="00C17838" w:rsidRPr="00BA724E">
        <w:rPr>
          <w:sz w:val="20"/>
          <w:szCs w:val="20"/>
        </w:rPr>
        <w:t>midgut volvulus</w:t>
      </w:r>
      <w:r w:rsidRPr="00BA724E">
        <w:rPr>
          <w:sz w:val="20"/>
          <w:szCs w:val="20"/>
        </w:rPr>
        <w:t>, is a congenital rotational anomaly resulting in abnormal orientation and fixation of the midgut within the abdominal cavity</w:t>
      </w:r>
      <w:r w:rsidR="00202B57">
        <w:rPr>
          <w:sz w:val="20"/>
          <w:szCs w:val="20"/>
        </w:rPr>
        <w:t xml:space="preserve"> [1]</w:t>
      </w:r>
      <w:r w:rsidRPr="00BA724E">
        <w:rPr>
          <w:sz w:val="20"/>
          <w:szCs w:val="20"/>
        </w:rPr>
        <w:t>. The incidence of malrotation is estimated at 1 in 500 births. The importance of this anomaly is the</w:t>
      </w:r>
      <w:r w:rsidR="00C17838" w:rsidRPr="00BA724E">
        <w:rPr>
          <w:sz w:val="20"/>
          <w:szCs w:val="20"/>
        </w:rPr>
        <w:t xml:space="preserve"> significant morbidity and mortality</w:t>
      </w:r>
      <w:r w:rsidRPr="00BA724E">
        <w:rPr>
          <w:sz w:val="20"/>
          <w:szCs w:val="20"/>
        </w:rPr>
        <w:t xml:space="preserve"> that may result from midgut volvulus including need for emergency surgery, intestinal resection, short bowel syndrome and in some cases death.</w:t>
      </w:r>
    </w:p>
    <w:p w14:paraId="12CC38B5" w14:textId="77777777" w:rsidR="006A6201" w:rsidRPr="00BA724E" w:rsidRDefault="006A6201" w:rsidP="00C17838">
      <w:pPr>
        <w:spacing w:line="360" w:lineRule="auto"/>
        <w:rPr>
          <w:sz w:val="20"/>
          <w:szCs w:val="20"/>
        </w:rPr>
      </w:pPr>
    </w:p>
    <w:p w14:paraId="55EBB28E" w14:textId="389D88A3" w:rsidR="00C17838" w:rsidRPr="00BA724E" w:rsidRDefault="006F76BA" w:rsidP="00C17838">
      <w:pPr>
        <w:spacing w:line="360" w:lineRule="auto"/>
        <w:rPr>
          <w:sz w:val="20"/>
          <w:szCs w:val="20"/>
        </w:rPr>
      </w:pPr>
      <w:r w:rsidRPr="00BA724E">
        <w:rPr>
          <w:sz w:val="20"/>
          <w:szCs w:val="20"/>
        </w:rPr>
        <w:t>The most common mode of presentation of intestinal malrotation is an infant presenting with bilious vomiting</w:t>
      </w:r>
      <w:r w:rsidR="007138D8">
        <w:rPr>
          <w:sz w:val="20"/>
          <w:szCs w:val="20"/>
        </w:rPr>
        <w:t xml:space="preserve"> (95%), abdominal distention with associated tachycardia and shock are late signs [2]</w:t>
      </w:r>
      <w:r w:rsidR="00B2222E">
        <w:rPr>
          <w:sz w:val="20"/>
          <w:szCs w:val="20"/>
        </w:rPr>
        <w:t xml:space="preserve"> and should warrant </w:t>
      </w:r>
      <w:r w:rsidR="00AA3D5D">
        <w:rPr>
          <w:sz w:val="20"/>
          <w:szCs w:val="20"/>
        </w:rPr>
        <w:t xml:space="preserve">urgent </w:t>
      </w:r>
      <w:r w:rsidR="000F3A80">
        <w:rPr>
          <w:sz w:val="20"/>
          <w:szCs w:val="20"/>
        </w:rPr>
        <w:t xml:space="preserve">surgical </w:t>
      </w:r>
      <w:r w:rsidR="00AA3D5D">
        <w:rPr>
          <w:sz w:val="20"/>
          <w:szCs w:val="20"/>
        </w:rPr>
        <w:t>exploration</w:t>
      </w:r>
      <w:r w:rsidR="000F3A80">
        <w:rPr>
          <w:sz w:val="20"/>
          <w:szCs w:val="20"/>
        </w:rPr>
        <w:t>.</w:t>
      </w:r>
      <w:r w:rsidR="00AA3D5D">
        <w:rPr>
          <w:sz w:val="20"/>
          <w:szCs w:val="20"/>
        </w:rPr>
        <w:t xml:space="preserve"> </w:t>
      </w:r>
      <w:r w:rsidR="00C17838" w:rsidRPr="00BA724E">
        <w:rPr>
          <w:sz w:val="20"/>
          <w:szCs w:val="20"/>
        </w:rPr>
        <w:t xml:space="preserve">The gold standard investigation </w:t>
      </w:r>
      <w:r w:rsidR="00E03310" w:rsidRPr="00BA724E">
        <w:rPr>
          <w:sz w:val="20"/>
          <w:szCs w:val="20"/>
        </w:rPr>
        <w:t xml:space="preserve">for an infant suspected to have malrotation </w:t>
      </w:r>
      <w:r w:rsidR="00AA3D5D">
        <w:rPr>
          <w:sz w:val="20"/>
          <w:szCs w:val="20"/>
        </w:rPr>
        <w:t xml:space="preserve">in the early stages, when bile vomiting is potentially the only indication of the underlying pathology </w:t>
      </w:r>
      <w:r w:rsidR="00C17838" w:rsidRPr="00BA724E">
        <w:rPr>
          <w:sz w:val="20"/>
          <w:szCs w:val="20"/>
        </w:rPr>
        <w:t>is an upper gastrointestinal (UGI) contrast study</w:t>
      </w:r>
      <w:r w:rsidRPr="00BA724E">
        <w:rPr>
          <w:sz w:val="20"/>
          <w:szCs w:val="20"/>
        </w:rPr>
        <w:t xml:space="preserve">. </w:t>
      </w:r>
      <w:r w:rsidR="00E03310" w:rsidRPr="00BA724E">
        <w:rPr>
          <w:sz w:val="20"/>
          <w:szCs w:val="20"/>
        </w:rPr>
        <w:t xml:space="preserve">UGI contrast </w:t>
      </w:r>
      <w:r w:rsidR="00C17838" w:rsidRPr="00BA724E">
        <w:rPr>
          <w:sz w:val="20"/>
          <w:szCs w:val="20"/>
        </w:rPr>
        <w:t xml:space="preserve">study </w:t>
      </w:r>
      <w:r w:rsidR="00E03310" w:rsidRPr="00BA724E">
        <w:rPr>
          <w:sz w:val="20"/>
          <w:szCs w:val="20"/>
        </w:rPr>
        <w:t xml:space="preserve">is considered abnormal when the </w:t>
      </w:r>
      <w:r w:rsidR="00C17838" w:rsidRPr="00BA724E">
        <w:rPr>
          <w:sz w:val="20"/>
          <w:szCs w:val="20"/>
        </w:rPr>
        <w:t>duodenojejun</w:t>
      </w:r>
      <w:r w:rsidR="00E03310" w:rsidRPr="00BA724E">
        <w:rPr>
          <w:sz w:val="20"/>
          <w:szCs w:val="20"/>
        </w:rPr>
        <w:t xml:space="preserve">al (DJ) flexure is abnormally positioned </w:t>
      </w:r>
      <w:r w:rsidR="00653268" w:rsidRPr="00BA724E">
        <w:rPr>
          <w:sz w:val="20"/>
          <w:szCs w:val="20"/>
        </w:rPr>
        <w:t xml:space="preserve">in </w:t>
      </w:r>
      <w:r w:rsidR="00C17838" w:rsidRPr="00BA724E">
        <w:rPr>
          <w:sz w:val="20"/>
          <w:szCs w:val="20"/>
        </w:rPr>
        <w:t>the midline</w:t>
      </w:r>
      <w:r w:rsidR="00653268" w:rsidRPr="00BA724E">
        <w:rPr>
          <w:sz w:val="20"/>
          <w:szCs w:val="20"/>
        </w:rPr>
        <w:t xml:space="preserve"> </w:t>
      </w:r>
      <w:r w:rsidR="006A6201" w:rsidRPr="00BA724E">
        <w:rPr>
          <w:sz w:val="20"/>
          <w:szCs w:val="20"/>
        </w:rPr>
        <w:t>or to the right of the left-sided pedicles of the vertebral body</w:t>
      </w:r>
      <w:r w:rsidR="00E03310" w:rsidRPr="00BA724E">
        <w:rPr>
          <w:sz w:val="20"/>
          <w:szCs w:val="20"/>
        </w:rPr>
        <w:t xml:space="preserve">, or below the </w:t>
      </w:r>
      <w:r w:rsidRPr="00BA724E">
        <w:rPr>
          <w:sz w:val="20"/>
          <w:szCs w:val="20"/>
        </w:rPr>
        <w:t>trans</w:t>
      </w:r>
      <w:r w:rsidR="00E03310" w:rsidRPr="00BA724E">
        <w:rPr>
          <w:sz w:val="20"/>
          <w:szCs w:val="20"/>
        </w:rPr>
        <w:t>pyloric plane</w:t>
      </w:r>
      <w:r w:rsidR="00202B57">
        <w:rPr>
          <w:sz w:val="20"/>
          <w:szCs w:val="20"/>
        </w:rPr>
        <w:t xml:space="preserve"> [</w:t>
      </w:r>
      <w:r w:rsidR="007138D8">
        <w:rPr>
          <w:sz w:val="20"/>
          <w:szCs w:val="20"/>
        </w:rPr>
        <w:t>3</w:t>
      </w:r>
      <w:r w:rsidR="00202B57">
        <w:rPr>
          <w:sz w:val="20"/>
          <w:szCs w:val="20"/>
        </w:rPr>
        <w:t>]</w:t>
      </w:r>
      <w:r w:rsidR="00E03310" w:rsidRPr="00BA724E">
        <w:rPr>
          <w:sz w:val="20"/>
          <w:szCs w:val="20"/>
        </w:rPr>
        <w:t xml:space="preserve">. It is estimated that </w:t>
      </w:r>
      <w:r w:rsidR="00C17838" w:rsidRPr="00BA724E">
        <w:rPr>
          <w:sz w:val="20"/>
          <w:szCs w:val="20"/>
        </w:rPr>
        <w:t>70% of case</w:t>
      </w:r>
      <w:r w:rsidR="00E03310" w:rsidRPr="00BA724E">
        <w:rPr>
          <w:sz w:val="20"/>
          <w:szCs w:val="20"/>
        </w:rPr>
        <w:t>s of malrotation have this characteristic finding</w:t>
      </w:r>
      <w:r w:rsidR="006A6201" w:rsidRPr="00BA724E">
        <w:rPr>
          <w:sz w:val="20"/>
          <w:szCs w:val="20"/>
          <w:vertAlign w:val="superscript"/>
        </w:rPr>
        <w:t xml:space="preserve">. </w:t>
      </w:r>
      <w:r w:rsidR="00E03310" w:rsidRPr="00BA724E">
        <w:rPr>
          <w:sz w:val="20"/>
          <w:szCs w:val="20"/>
        </w:rPr>
        <w:t>The sensitivity of the UGI</w:t>
      </w:r>
      <w:r w:rsidR="006A61FE" w:rsidRPr="00BA724E">
        <w:rPr>
          <w:sz w:val="20"/>
          <w:szCs w:val="20"/>
        </w:rPr>
        <w:t xml:space="preserve"> contrast study at detect</w:t>
      </w:r>
      <w:r w:rsidR="00E03310" w:rsidRPr="00BA724E">
        <w:rPr>
          <w:sz w:val="20"/>
          <w:szCs w:val="20"/>
        </w:rPr>
        <w:t>ing malrotation is</w:t>
      </w:r>
      <w:r w:rsidR="00C17838" w:rsidRPr="00BA724E">
        <w:rPr>
          <w:sz w:val="20"/>
          <w:szCs w:val="20"/>
        </w:rPr>
        <w:t xml:space="preserve"> reported as high as 96%</w:t>
      </w:r>
      <w:r w:rsidR="00202B57">
        <w:rPr>
          <w:sz w:val="20"/>
          <w:szCs w:val="20"/>
        </w:rPr>
        <w:t xml:space="preserve"> [</w:t>
      </w:r>
      <w:r w:rsidR="007138D8">
        <w:rPr>
          <w:sz w:val="20"/>
          <w:szCs w:val="20"/>
        </w:rPr>
        <w:t>4</w:t>
      </w:r>
      <w:r w:rsidR="00202B57">
        <w:rPr>
          <w:sz w:val="20"/>
          <w:szCs w:val="20"/>
        </w:rPr>
        <w:t>]</w:t>
      </w:r>
      <w:r w:rsidR="00C17838" w:rsidRPr="00BA724E">
        <w:rPr>
          <w:sz w:val="20"/>
          <w:szCs w:val="20"/>
        </w:rPr>
        <w:t>.</w:t>
      </w:r>
      <w:r w:rsidR="00A46A2C" w:rsidRPr="00BA724E">
        <w:rPr>
          <w:sz w:val="20"/>
          <w:szCs w:val="20"/>
        </w:rPr>
        <w:t xml:space="preserve"> T</w:t>
      </w:r>
      <w:r w:rsidR="006A61FE" w:rsidRPr="00BA724E">
        <w:rPr>
          <w:sz w:val="20"/>
          <w:szCs w:val="20"/>
        </w:rPr>
        <w:t>he presence of a normally sited DJ flexure is therefore reassuring</w:t>
      </w:r>
      <w:r w:rsidRPr="00BA724E">
        <w:rPr>
          <w:sz w:val="20"/>
          <w:szCs w:val="20"/>
        </w:rPr>
        <w:t xml:space="preserve"> that the infant does not have malrotation</w:t>
      </w:r>
      <w:r w:rsidR="000F0D1D" w:rsidRPr="00BA724E">
        <w:rPr>
          <w:sz w:val="20"/>
          <w:szCs w:val="20"/>
        </w:rPr>
        <w:t>,</w:t>
      </w:r>
      <w:r w:rsidRPr="00BA724E">
        <w:rPr>
          <w:sz w:val="20"/>
          <w:szCs w:val="20"/>
        </w:rPr>
        <w:t xml:space="preserve"> whereas in the presence of an abnormal study most surgeons would undertak</w:t>
      </w:r>
      <w:r w:rsidR="0093577F" w:rsidRPr="00BA724E">
        <w:rPr>
          <w:sz w:val="20"/>
          <w:szCs w:val="20"/>
        </w:rPr>
        <w:t>e</w:t>
      </w:r>
      <w:r w:rsidRPr="00BA724E">
        <w:rPr>
          <w:sz w:val="20"/>
          <w:szCs w:val="20"/>
        </w:rPr>
        <w:t xml:space="preserve"> a</w:t>
      </w:r>
      <w:r w:rsidR="003375E3" w:rsidRPr="00BA724E">
        <w:rPr>
          <w:sz w:val="20"/>
          <w:szCs w:val="20"/>
        </w:rPr>
        <w:t xml:space="preserve"> laparotomy</w:t>
      </w:r>
      <w:r w:rsidR="006A61FE" w:rsidRPr="00BA724E">
        <w:rPr>
          <w:sz w:val="20"/>
          <w:szCs w:val="20"/>
        </w:rPr>
        <w:t>.</w:t>
      </w:r>
    </w:p>
    <w:p w14:paraId="4E2DCE6C" w14:textId="77777777" w:rsidR="00C17838" w:rsidRPr="00BA724E" w:rsidRDefault="00C17838" w:rsidP="00C17838">
      <w:pPr>
        <w:spacing w:line="360" w:lineRule="auto"/>
        <w:rPr>
          <w:sz w:val="20"/>
          <w:szCs w:val="20"/>
        </w:rPr>
      </w:pPr>
    </w:p>
    <w:p w14:paraId="4E54E119" w14:textId="50729B7F" w:rsidR="00C17838" w:rsidRPr="00BA724E" w:rsidRDefault="00C17838" w:rsidP="00C17838">
      <w:pPr>
        <w:spacing w:line="360" w:lineRule="auto"/>
        <w:rPr>
          <w:sz w:val="20"/>
          <w:szCs w:val="20"/>
        </w:rPr>
      </w:pPr>
      <w:r w:rsidRPr="00BA724E">
        <w:rPr>
          <w:sz w:val="20"/>
          <w:szCs w:val="20"/>
        </w:rPr>
        <w:t>Controversy arises</w:t>
      </w:r>
      <w:r w:rsidR="006A61FE" w:rsidRPr="00BA724E">
        <w:rPr>
          <w:sz w:val="20"/>
          <w:szCs w:val="20"/>
        </w:rPr>
        <w:t xml:space="preserve"> when the UGI contrast study is equivocal. The paediatric surgeon seeks certainty in such a situation, wishing to be sure that the infant categorically does not have malrotation</w:t>
      </w:r>
      <w:r w:rsidR="00A61BF8" w:rsidRPr="00BA724E">
        <w:rPr>
          <w:sz w:val="20"/>
          <w:szCs w:val="20"/>
        </w:rPr>
        <w:t>, yet the gold standard diagnostic test has not provided this security</w:t>
      </w:r>
      <w:r w:rsidR="006A61FE" w:rsidRPr="00BA724E">
        <w:rPr>
          <w:sz w:val="20"/>
          <w:szCs w:val="20"/>
        </w:rPr>
        <w:t xml:space="preserve">. </w:t>
      </w:r>
      <w:r w:rsidRPr="00BA724E">
        <w:rPr>
          <w:sz w:val="20"/>
          <w:szCs w:val="20"/>
        </w:rPr>
        <w:t xml:space="preserve">The use of ultrasonography (US) </w:t>
      </w:r>
      <w:r w:rsidR="0085085B" w:rsidRPr="00BA724E">
        <w:rPr>
          <w:sz w:val="20"/>
          <w:szCs w:val="20"/>
        </w:rPr>
        <w:t xml:space="preserve">in experienced hands </w:t>
      </w:r>
      <w:r w:rsidRPr="00BA724E">
        <w:rPr>
          <w:sz w:val="20"/>
          <w:szCs w:val="20"/>
        </w:rPr>
        <w:t xml:space="preserve">has been </w:t>
      </w:r>
      <w:r w:rsidR="0085085B" w:rsidRPr="00BA724E">
        <w:rPr>
          <w:sz w:val="20"/>
          <w:szCs w:val="20"/>
        </w:rPr>
        <w:t>described</w:t>
      </w:r>
      <w:r w:rsidRPr="00BA724E">
        <w:rPr>
          <w:sz w:val="20"/>
          <w:szCs w:val="20"/>
        </w:rPr>
        <w:t xml:space="preserve"> to aid in the investigation and diagnosis of malrotation</w:t>
      </w:r>
      <w:r w:rsidR="00202B57">
        <w:rPr>
          <w:sz w:val="20"/>
          <w:szCs w:val="20"/>
        </w:rPr>
        <w:t xml:space="preserve"> [</w:t>
      </w:r>
      <w:r w:rsidR="007138D8">
        <w:rPr>
          <w:sz w:val="20"/>
          <w:szCs w:val="20"/>
        </w:rPr>
        <w:t>5</w:t>
      </w:r>
      <w:r w:rsidR="009C721D">
        <w:rPr>
          <w:sz w:val="20"/>
          <w:szCs w:val="20"/>
        </w:rPr>
        <w:t xml:space="preserve"> -</w:t>
      </w:r>
      <w:r w:rsidR="00202B57">
        <w:rPr>
          <w:sz w:val="20"/>
          <w:szCs w:val="20"/>
        </w:rPr>
        <w:t xml:space="preserve"> </w:t>
      </w:r>
      <w:r w:rsidR="007138D8">
        <w:rPr>
          <w:sz w:val="20"/>
          <w:szCs w:val="20"/>
        </w:rPr>
        <w:t>7</w:t>
      </w:r>
      <w:r w:rsidR="00202B57">
        <w:rPr>
          <w:sz w:val="20"/>
          <w:szCs w:val="20"/>
        </w:rPr>
        <w:t>]</w:t>
      </w:r>
      <w:r w:rsidRPr="00BA724E">
        <w:rPr>
          <w:sz w:val="20"/>
          <w:szCs w:val="20"/>
        </w:rPr>
        <w:t xml:space="preserve">.  Malrotation is suspected when the orientation of the </w:t>
      </w:r>
      <w:r w:rsidR="00B06701" w:rsidRPr="00BA724E">
        <w:rPr>
          <w:color w:val="000000"/>
          <w:sz w:val="20"/>
          <w:szCs w:val="20"/>
          <w:shd w:val="clear" w:color="auto" w:fill="FFFFFF"/>
        </w:rPr>
        <w:t xml:space="preserve">superior mesenteric artery </w:t>
      </w:r>
      <w:r w:rsidR="00B06701" w:rsidRPr="00BA724E">
        <w:rPr>
          <w:sz w:val="20"/>
          <w:szCs w:val="20"/>
        </w:rPr>
        <w:t>(</w:t>
      </w:r>
      <w:r w:rsidRPr="00BA724E">
        <w:rPr>
          <w:sz w:val="20"/>
          <w:szCs w:val="20"/>
        </w:rPr>
        <w:t>SMA</w:t>
      </w:r>
      <w:r w:rsidR="00B06701" w:rsidRPr="00BA724E">
        <w:rPr>
          <w:sz w:val="20"/>
          <w:szCs w:val="20"/>
        </w:rPr>
        <w:t>)</w:t>
      </w:r>
      <w:r w:rsidRPr="00BA724E">
        <w:rPr>
          <w:sz w:val="20"/>
          <w:szCs w:val="20"/>
        </w:rPr>
        <w:t xml:space="preserve"> and </w:t>
      </w:r>
      <w:r w:rsidRPr="00BA724E">
        <w:rPr>
          <w:color w:val="000000"/>
          <w:sz w:val="20"/>
          <w:szCs w:val="20"/>
          <w:shd w:val="clear" w:color="auto" w:fill="FFFFFF"/>
        </w:rPr>
        <w:t>superior mesenteric vein (SMV) is abnormal</w:t>
      </w:r>
      <w:r w:rsidR="00EE6CEA" w:rsidRPr="00BA724E">
        <w:rPr>
          <w:sz w:val="20"/>
          <w:szCs w:val="20"/>
        </w:rPr>
        <w:t xml:space="preserve">, with the greatest sensitivity </w:t>
      </w:r>
      <w:r w:rsidR="0085085B" w:rsidRPr="00BA724E">
        <w:rPr>
          <w:sz w:val="20"/>
          <w:szCs w:val="20"/>
        </w:rPr>
        <w:t xml:space="preserve">in cases of volvulus when the SMV </w:t>
      </w:r>
      <w:r w:rsidR="00EE6CEA" w:rsidRPr="00BA724E">
        <w:rPr>
          <w:sz w:val="20"/>
          <w:szCs w:val="20"/>
        </w:rPr>
        <w:t>is</w:t>
      </w:r>
      <w:r w:rsidR="0085085B" w:rsidRPr="00BA724E">
        <w:rPr>
          <w:sz w:val="20"/>
          <w:szCs w:val="20"/>
        </w:rPr>
        <w:t xml:space="preserve"> coiling round the SMA</w:t>
      </w:r>
      <w:r w:rsidR="006F76BA" w:rsidRPr="00BA724E">
        <w:rPr>
          <w:sz w:val="20"/>
          <w:szCs w:val="20"/>
        </w:rPr>
        <w:t xml:space="preserve"> (so-called whirlpool sign)</w:t>
      </w:r>
      <w:r w:rsidR="0085085B" w:rsidRPr="00BA724E">
        <w:rPr>
          <w:sz w:val="20"/>
          <w:szCs w:val="20"/>
        </w:rPr>
        <w:t>.</w:t>
      </w:r>
      <w:r w:rsidR="00EE6CEA" w:rsidRPr="00BA724E">
        <w:rPr>
          <w:sz w:val="20"/>
          <w:szCs w:val="20"/>
        </w:rPr>
        <w:t xml:space="preserve"> However, if</w:t>
      </w:r>
      <w:r w:rsidR="00A61BF8" w:rsidRPr="00BA724E">
        <w:rPr>
          <w:sz w:val="20"/>
          <w:szCs w:val="20"/>
        </w:rPr>
        <w:t xml:space="preserve"> vessel orientation is normal one still</w:t>
      </w:r>
      <w:r w:rsidR="00EE6CEA" w:rsidRPr="00BA724E">
        <w:rPr>
          <w:sz w:val="20"/>
          <w:szCs w:val="20"/>
        </w:rPr>
        <w:t xml:space="preserve"> cannot rule out malrotation.</w:t>
      </w:r>
      <w:r w:rsidR="00C66FAA" w:rsidRPr="00BA724E">
        <w:rPr>
          <w:sz w:val="20"/>
          <w:szCs w:val="20"/>
        </w:rPr>
        <w:t xml:space="preserve"> Whilst</w:t>
      </w:r>
      <w:r w:rsidR="00EE5EB1" w:rsidRPr="00BA724E">
        <w:rPr>
          <w:sz w:val="20"/>
          <w:szCs w:val="20"/>
        </w:rPr>
        <w:t xml:space="preserve"> contrast enema </w:t>
      </w:r>
      <w:r w:rsidR="00C66FAA" w:rsidRPr="00BA724E">
        <w:rPr>
          <w:sz w:val="20"/>
          <w:szCs w:val="20"/>
        </w:rPr>
        <w:t xml:space="preserve">may </w:t>
      </w:r>
      <w:r w:rsidR="005C226B" w:rsidRPr="00BA724E">
        <w:rPr>
          <w:sz w:val="20"/>
          <w:szCs w:val="20"/>
        </w:rPr>
        <w:t xml:space="preserve">be </w:t>
      </w:r>
      <w:r w:rsidR="00EE5EB1" w:rsidRPr="00BA724E">
        <w:rPr>
          <w:sz w:val="20"/>
          <w:szCs w:val="20"/>
        </w:rPr>
        <w:t xml:space="preserve">helpful </w:t>
      </w:r>
      <w:r w:rsidR="005C226B" w:rsidRPr="00BA724E">
        <w:rPr>
          <w:sz w:val="20"/>
          <w:szCs w:val="20"/>
        </w:rPr>
        <w:t>in</w:t>
      </w:r>
      <w:r w:rsidR="00EE5EB1" w:rsidRPr="00BA724E">
        <w:rPr>
          <w:sz w:val="20"/>
          <w:szCs w:val="20"/>
        </w:rPr>
        <w:t xml:space="preserve"> assess</w:t>
      </w:r>
      <w:r w:rsidR="005C226B" w:rsidRPr="00BA724E">
        <w:rPr>
          <w:sz w:val="20"/>
          <w:szCs w:val="20"/>
        </w:rPr>
        <w:t>ing</w:t>
      </w:r>
      <w:r w:rsidR="00EE5EB1" w:rsidRPr="00BA724E">
        <w:rPr>
          <w:sz w:val="20"/>
          <w:szCs w:val="20"/>
        </w:rPr>
        <w:t xml:space="preserve"> placement of the caecum</w:t>
      </w:r>
      <w:r w:rsidR="00C66FAA" w:rsidRPr="00BA724E">
        <w:rPr>
          <w:sz w:val="20"/>
          <w:szCs w:val="20"/>
        </w:rPr>
        <w:t xml:space="preserve">, again </w:t>
      </w:r>
      <w:r w:rsidR="001D07BC" w:rsidRPr="00BA724E">
        <w:rPr>
          <w:sz w:val="20"/>
          <w:szCs w:val="20"/>
        </w:rPr>
        <w:t>a normally sited caecum does not exclude malrotation</w:t>
      </w:r>
      <w:r w:rsidR="00EE5EB1" w:rsidRPr="00BA724E">
        <w:rPr>
          <w:sz w:val="20"/>
          <w:szCs w:val="20"/>
        </w:rPr>
        <w:t>.</w:t>
      </w:r>
    </w:p>
    <w:p w14:paraId="294C4A16" w14:textId="77777777" w:rsidR="00C17838" w:rsidRPr="00BA724E" w:rsidRDefault="00C17838" w:rsidP="00C17838">
      <w:pPr>
        <w:spacing w:line="360" w:lineRule="auto"/>
        <w:rPr>
          <w:sz w:val="20"/>
          <w:szCs w:val="20"/>
        </w:rPr>
      </w:pPr>
    </w:p>
    <w:p w14:paraId="6EC2E4D6" w14:textId="4DF5CD59" w:rsidR="00A61BF8" w:rsidRPr="00BA724E" w:rsidRDefault="00A61BF8" w:rsidP="00C17838">
      <w:pPr>
        <w:spacing w:line="360" w:lineRule="auto"/>
        <w:rPr>
          <w:sz w:val="20"/>
          <w:szCs w:val="20"/>
        </w:rPr>
      </w:pPr>
      <w:r w:rsidRPr="00BA724E">
        <w:rPr>
          <w:sz w:val="20"/>
          <w:szCs w:val="20"/>
        </w:rPr>
        <w:t>Historically</w:t>
      </w:r>
      <w:r w:rsidR="00C66FAA" w:rsidRPr="00BA724E">
        <w:rPr>
          <w:sz w:val="20"/>
          <w:szCs w:val="20"/>
        </w:rPr>
        <w:t>,</w:t>
      </w:r>
      <w:r w:rsidRPr="00BA724E">
        <w:rPr>
          <w:sz w:val="20"/>
          <w:szCs w:val="20"/>
        </w:rPr>
        <w:t xml:space="preserve"> infants with an </w:t>
      </w:r>
      <w:r w:rsidR="00B06701" w:rsidRPr="00BA724E">
        <w:rPr>
          <w:sz w:val="20"/>
          <w:szCs w:val="20"/>
        </w:rPr>
        <w:t xml:space="preserve">equivocal or </w:t>
      </w:r>
      <w:r w:rsidRPr="00BA724E">
        <w:rPr>
          <w:sz w:val="20"/>
          <w:szCs w:val="20"/>
        </w:rPr>
        <w:t xml:space="preserve">inconclusive UGI contrast study </w:t>
      </w:r>
      <w:r w:rsidR="00AA3D5D">
        <w:rPr>
          <w:sz w:val="20"/>
          <w:szCs w:val="20"/>
        </w:rPr>
        <w:t xml:space="preserve">in the presence of bile vomiting and no other cause confirmed </w:t>
      </w:r>
      <w:r w:rsidR="009D6CB5" w:rsidRPr="00BA724E">
        <w:rPr>
          <w:sz w:val="20"/>
          <w:szCs w:val="20"/>
        </w:rPr>
        <w:t>would proceed to diagnostic laparotomy</w:t>
      </w:r>
      <w:r w:rsidR="006F76BA" w:rsidRPr="00BA724E">
        <w:rPr>
          <w:sz w:val="20"/>
          <w:szCs w:val="20"/>
        </w:rPr>
        <w:t xml:space="preserve"> to achieve th</w:t>
      </w:r>
      <w:r w:rsidR="00213F5C" w:rsidRPr="00BA724E">
        <w:rPr>
          <w:sz w:val="20"/>
          <w:szCs w:val="20"/>
        </w:rPr>
        <w:t>at</w:t>
      </w:r>
      <w:r w:rsidR="006F76BA" w:rsidRPr="00BA724E">
        <w:rPr>
          <w:sz w:val="20"/>
          <w:szCs w:val="20"/>
        </w:rPr>
        <w:t xml:space="preserve"> desired certainty</w:t>
      </w:r>
      <w:r w:rsidR="009D6CB5" w:rsidRPr="00BA724E">
        <w:rPr>
          <w:sz w:val="20"/>
          <w:szCs w:val="20"/>
        </w:rPr>
        <w:t xml:space="preserve">. </w:t>
      </w:r>
      <w:r w:rsidRPr="00BA724E">
        <w:rPr>
          <w:sz w:val="20"/>
          <w:szCs w:val="20"/>
        </w:rPr>
        <w:t xml:space="preserve">In the interest of achieving </w:t>
      </w:r>
      <w:r w:rsidR="00FA77D1" w:rsidRPr="00BA724E">
        <w:rPr>
          <w:sz w:val="20"/>
          <w:szCs w:val="20"/>
        </w:rPr>
        <w:t xml:space="preserve">this </w:t>
      </w:r>
      <w:r w:rsidRPr="00BA724E">
        <w:rPr>
          <w:sz w:val="20"/>
          <w:szCs w:val="20"/>
        </w:rPr>
        <w:t xml:space="preserve">diagnostic certainty through a less invasive approach we have </w:t>
      </w:r>
      <w:r w:rsidR="00C17838" w:rsidRPr="00BA724E">
        <w:rPr>
          <w:sz w:val="20"/>
          <w:szCs w:val="20"/>
        </w:rPr>
        <w:t>use</w:t>
      </w:r>
      <w:r w:rsidRPr="00BA724E">
        <w:rPr>
          <w:sz w:val="20"/>
          <w:szCs w:val="20"/>
        </w:rPr>
        <w:t>d</w:t>
      </w:r>
      <w:r w:rsidR="00C17838" w:rsidRPr="00BA724E">
        <w:rPr>
          <w:sz w:val="20"/>
          <w:szCs w:val="20"/>
        </w:rPr>
        <w:t xml:space="preserve"> diagnostic laparoscopy </w:t>
      </w:r>
      <w:r w:rsidRPr="00BA724E">
        <w:rPr>
          <w:sz w:val="20"/>
          <w:szCs w:val="20"/>
        </w:rPr>
        <w:t xml:space="preserve">in this group of infants and here </w:t>
      </w:r>
      <w:proofErr w:type="gramStart"/>
      <w:r w:rsidRPr="00BA724E">
        <w:rPr>
          <w:sz w:val="20"/>
          <w:szCs w:val="20"/>
        </w:rPr>
        <w:t>report</w:t>
      </w:r>
      <w:proofErr w:type="gramEnd"/>
      <w:r w:rsidRPr="00BA724E">
        <w:rPr>
          <w:sz w:val="20"/>
          <w:szCs w:val="20"/>
        </w:rPr>
        <w:t xml:space="preserve"> our experience.</w:t>
      </w:r>
    </w:p>
    <w:p w14:paraId="45D1E472" w14:textId="77777777" w:rsidR="00A61BF8" w:rsidRPr="00BA724E" w:rsidRDefault="00A61BF8" w:rsidP="00C17838">
      <w:pPr>
        <w:spacing w:line="360" w:lineRule="auto"/>
        <w:rPr>
          <w:sz w:val="20"/>
          <w:szCs w:val="20"/>
        </w:rPr>
      </w:pPr>
    </w:p>
    <w:p w14:paraId="2035C940" w14:textId="77777777" w:rsidR="00C17838" w:rsidRPr="00BA724E" w:rsidRDefault="00C17838" w:rsidP="00C17838">
      <w:pPr>
        <w:rPr>
          <w:sz w:val="20"/>
          <w:szCs w:val="20"/>
        </w:rPr>
      </w:pPr>
    </w:p>
    <w:p w14:paraId="4A765BF0" w14:textId="77777777" w:rsidR="00C17838" w:rsidRPr="00232395" w:rsidRDefault="00C17838" w:rsidP="00021BFF">
      <w:pPr>
        <w:pStyle w:val="Heading2"/>
        <w:rPr>
          <w:rFonts w:ascii="Times New Roman" w:hAnsi="Times New Roman" w:cs="Times New Roman"/>
          <w:color w:val="000000" w:themeColor="text1"/>
          <w:sz w:val="20"/>
          <w:szCs w:val="20"/>
        </w:rPr>
      </w:pPr>
      <w:r w:rsidRPr="00232395">
        <w:rPr>
          <w:rFonts w:ascii="Times New Roman" w:hAnsi="Times New Roman" w:cs="Times New Roman"/>
          <w:color w:val="000000" w:themeColor="text1"/>
          <w:sz w:val="20"/>
          <w:szCs w:val="20"/>
        </w:rPr>
        <w:t>Method:</w:t>
      </w:r>
    </w:p>
    <w:p w14:paraId="7A30E416" w14:textId="77777777" w:rsidR="00C17838" w:rsidRPr="00BA724E" w:rsidRDefault="00C17838" w:rsidP="00C17838">
      <w:pPr>
        <w:rPr>
          <w:sz w:val="20"/>
          <w:szCs w:val="20"/>
        </w:rPr>
      </w:pPr>
    </w:p>
    <w:p w14:paraId="40AB2B49" w14:textId="7096AB16" w:rsidR="00FA77D1" w:rsidRPr="00BA724E" w:rsidRDefault="00FA77D1" w:rsidP="00FA77D1">
      <w:pPr>
        <w:spacing w:line="360" w:lineRule="auto"/>
        <w:rPr>
          <w:sz w:val="20"/>
          <w:szCs w:val="20"/>
        </w:rPr>
      </w:pPr>
      <w:r w:rsidRPr="00BA724E">
        <w:rPr>
          <w:sz w:val="20"/>
          <w:szCs w:val="20"/>
        </w:rPr>
        <w:t>We performed a retrospective case</w:t>
      </w:r>
      <w:r w:rsidR="001F3A31" w:rsidRPr="00BA724E">
        <w:rPr>
          <w:sz w:val="20"/>
          <w:szCs w:val="20"/>
        </w:rPr>
        <w:t xml:space="preserve"> </w:t>
      </w:r>
      <w:r w:rsidRPr="00BA724E">
        <w:rPr>
          <w:sz w:val="20"/>
          <w:szCs w:val="20"/>
        </w:rPr>
        <w:t>note review at a single tertiary neonatal surgical referral centre from 2016 to 2</w:t>
      </w:r>
      <w:r w:rsidR="0028061B" w:rsidRPr="00BA724E">
        <w:rPr>
          <w:sz w:val="20"/>
          <w:szCs w:val="20"/>
        </w:rPr>
        <w:t>020</w:t>
      </w:r>
      <w:r w:rsidRPr="00BA724E">
        <w:rPr>
          <w:sz w:val="20"/>
          <w:szCs w:val="20"/>
        </w:rPr>
        <w:t xml:space="preserve">. All infants </w:t>
      </w:r>
      <w:r w:rsidR="00770DA7" w:rsidRPr="00BA724E">
        <w:rPr>
          <w:sz w:val="20"/>
          <w:szCs w:val="20"/>
        </w:rPr>
        <w:t xml:space="preserve">(&lt;1 year) </w:t>
      </w:r>
      <w:r w:rsidR="005C226B" w:rsidRPr="00BA724E">
        <w:rPr>
          <w:sz w:val="20"/>
          <w:szCs w:val="20"/>
        </w:rPr>
        <w:t xml:space="preserve">who underwent a UGI contrast </w:t>
      </w:r>
      <w:r w:rsidR="00C66FAA" w:rsidRPr="00BA724E">
        <w:rPr>
          <w:sz w:val="20"/>
          <w:szCs w:val="20"/>
        </w:rPr>
        <w:t xml:space="preserve">for investigation of possible malrotation </w:t>
      </w:r>
      <w:r w:rsidR="005C226B" w:rsidRPr="00BA724E">
        <w:rPr>
          <w:sz w:val="20"/>
          <w:szCs w:val="20"/>
        </w:rPr>
        <w:t>after presenting acutely with bil</w:t>
      </w:r>
      <w:r w:rsidR="00C66FAA" w:rsidRPr="00BA724E">
        <w:rPr>
          <w:sz w:val="20"/>
          <w:szCs w:val="20"/>
        </w:rPr>
        <w:t xml:space="preserve">e stained </w:t>
      </w:r>
      <w:r w:rsidR="005C226B" w:rsidRPr="00BA724E">
        <w:rPr>
          <w:sz w:val="20"/>
          <w:szCs w:val="20"/>
        </w:rPr>
        <w:t xml:space="preserve">vomiting </w:t>
      </w:r>
      <w:r w:rsidR="00C66FAA" w:rsidRPr="00BA724E">
        <w:rPr>
          <w:sz w:val="20"/>
          <w:szCs w:val="20"/>
        </w:rPr>
        <w:t>were identified</w:t>
      </w:r>
      <w:r w:rsidR="00A5653E">
        <w:rPr>
          <w:sz w:val="20"/>
          <w:szCs w:val="20"/>
        </w:rPr>
        <w:t xml:space="preserve"> from hospital radiology and neonatal databases</w:t>
      </w:r>
      <w:r w:rsidR="00C66FAA" w:rsidRPr="00BA724E">
        <w:rPr>
          <w:sz w:val="20"/>
          <w:szCs w:val="20"/>
        </w:rPr>
        <w:t xml:space="preserve">. </w:t>
      </w:r>
      <w:r w:rsidR="00223410" w:rsidRPr="00223410">
        <w:rPr>
          <w:sz w:val="20"/>
          <w:szCs w:val="20"/>
        </w:rPr>
        <w:t xml:space="preserve">Our standard protocol </w:t>
      </w:r>
      <w:r w:rsidR="00223410">
        <w:rPr>
          <w:sz w:val="20"/>
          <w:szCs w:val="20"/>
        </w:rPr>
        <w:t xml:space="preserve">for investigation of an infant with bile stained vomiting comprises </w:t>
      </w:r>
      <w:r w:rsidR="00223410" w:rsidRPr="00223410">
        <w:rPr>
          <w:sz w:val="20"/>
          <w:szCs w:val="20"/>
        </w:rPr>
        <w:t>assessment through history, examination, abdominal radiograph and assessment for other conditions which may present with bile stained vomit. If no causative pathology i</w:t>
      </w:r>
      <w:r w:rsidR="000F3A80">
        <w:rPr>
          <w:sz w:val="20"/>
          <w:szCs w:val="20"/>
        </w:rPr>
        <w:t>s</w:t>
      </w:r>
      <w:r w:rsidR="00223410" w:rsidRPr="00223410">
        <w:rPr>
          <w:sz w:val="20"/>
          <w:szCs w:val="20"/>
        </w:rPr>
        <w:t xml:space="preserve"> found </w:t>
      </w:r>
      <w:r w:rsidR="00223410">
        <w:rPr>
          <w:sz w:val="20"/>
          <w:szCs w:val="20"/>
        </w:rPr>
        <w:t xml:space="preserve">and malrotation with or without volvulus is considered a </w:t>
      </w:r>
      <w:r w:rsidR="00223410">
        <w:rPr>
          <w:sz w:val="20"/>
          <w:szCs w:val="20"/>
        </w:rPr>
        <w:lastRenderedPageBreak/>
        <w:t xml:space="preserve">possibility we </w:t>
      </w:r>
      <w:r w:rsidR="00223410" w:rsidRPr="00223410">
        <w:rPr>
          <w:sz w:val="20"/>
          <w:szCs w:val="20"/>
        </w:rPr>
        <w:t xml:space="preserve">proceed an UGI contrast study. </w:t>
      </w:r>
      <w:r w:rsidR="00B270B1">
        <w:rPr>
          <w:sz w:val="20"/>
          <w:szCs w:val="20"/>
        </w:rPr>
        <w:t xml:space="preserve">Only infants </w:t>
      </w:r>
      <w:r w:rsidR="00D162AF" w:rsidRPr="00BA724E">
        <w:rPr>
          <w:sz w:val="20"/>
          <w:szCs w:val="20"/>
        </w:rPr>
        <w:t xml:space="preserve">who underwent diagnostic laparoscopy following an inconclusive UGI contrast study were included. </w:t>
      </w:r>
      <w:r w:rsidR="00C66FAA" w:rsidRPr="00BA724E">
        <w:rPr>
          <w:sz w:val="20"/>
          <w:szCs w:val="20"/>
        </w:rPr>
        <w:t xml:space="preserve">Any infant who had elective investigation of possible malrotation </w:t>
      </w:r>
      <w:r w:rsidR="0055337E" w:rsidRPr="00BA724E">
        <w:rPr>
          <w:sz w:val="20"/>
          <w:szCs w:val="20"/>
        </w:rPr>
        <w:t>(</w:t>
      </w:r>
      <w:r w:rsidR="00C66FAA" w:rsidRPr="00BA724E">
        <w:rPr>
          <w:sz w:val="20"/>
          <w:szCs w:val="20"/>
        </w:rPr>
        <w:t xml:space="preserve">for example during work-up for </w:t>
      </w:r>
      <w:r w:rsidR="0055337E" w:rsidRPr="00BA724E">
        <w:rPr>
          <w:sz w:val="20"/>
          <w:szCs w:val="20"/>
        </w:rPr>
        <w:t xml:space="preserve">poor </w:t>
      </w:r>
      <w:r w:rsidR="00C66FAA" w:rsidRPr="00BA724E">
        <w:rPr>
          <w:sz w:val="20"/>
          <w:szCs w:val="20"/>
        </w:rPr>
        <w:t xml:space="preserve">feed </w:t>
      </w:r>
      <w:proofErr w:type="gramStart"/>
      <w:r w:rsidR="0055337E" w:rsidRPr="00BA724E">
        <w:rPr>
          <w:sz w:val="20"/>
          <w:szCs w:val="20"/>
        </w:rPr>
        <w:t>tolerance ,</w:t>
      </w:r>
      <w:proofErr w:type="gramEnd"/>
      <w:r w:rsidR="0055337E" w:rsidRPr="00BA724E">
        <w:rPr>
          <w:sz w:val="20"/>
          <w:szCs w:val="20"/>
        </w:rPr>
        <w:t xml:space="preserve"> failure to thrive or isomerism</w:t>
      </w:r>
      <w:r w:rsidR="00C66FAA" w:rsidRPr="00BA724E">
        <w:rPr>
          <w:sz w:val="20"/>
          <w:szCs w:val="20"/>
        </w:rPr>
        <w:t>)</w:t>
      </w:r>
      <w:r w:rsidR="0055337E" w:rsidRPr="00BA724E">
        <w:rPr>
          <w:sz w:val="20"/>
          <w:szCs w:val="20"/>
        </w:rPr>
        <w:t xml:space="preserve"> were </w:t>
      </w:r>
      <w:r w:rsidR="00C66FAA" w:rsidRPr="00BA724E">
        <w:rPr>
          <w:sz w:val="20"/>
          <w:szCs w:val="20"/>
        </w:rPr>
        <w:t xml:space="preserve">excluded. </w:t>
      </w:r>
      <w:proofErr w:type="gramStart"/>
      <w:r w:rsidR="00B270B1">
        <w:rPr>
          <w:sz w:val="20"/>
          <w:szCs w:val="20"/>
        </w:rPr>
        <w:t>Similarly</w:t>
      </w:r>
      <w:proofErr w:type="gramEnd"/>
      <w:r w:rsidR="00B270B1">
        <w:rPr>
          <w:sz w:val="20"/>
          <w:szCs w:val="20"/>
        </w:rPr>
        <w:t xml:space="preserve"> infants </w:t>
      </w:r>
      <w:r w:rsidR="00DA5D58">
        <w:rPr>
          <w:sz w:val="20"/>
          <w:szCs w:val="20"/>
        </w:rPr>
        <w:t>who presented with bile stained vomiting with associated acute abdomen and were clinically unstable were excluded</w:t>
      </w:r>
      <w:r w:rsidR="00B270B1">
        <w:rPr>
          <w:sz w:val="20"/>
          <w:szCs w:val="20"/>
        </w:rPr>
        <w:t xml:space="preserve"> since</w:t>
      </w:r>
      <w:r w:rsidR="00DA5D58">
        <w:rPr>
          <w:sz w:val="20"/>
          <w:szCs w:val="20"/>
        </w:rPr>
        <w:t xml:space="preserve"> these patients proceeded to emergency surger</w:t>
      </w:r>
      <w:r w:rsidR="00D162AF">
        <w:rPr>
          <w:sz w:val="20"/>
          <w:szCs w:val="20"/>
        </w:rPr>
        <w:t>y</w:t>
      </w:r>
      <w:r w:rsidR="00DA5D58">
        <w:rPr>
          <w:sz w:val="20"/>
          <w:szCs w:val="20"/>
        </w:rPr>
        <w:t xml:space="preserve">. </w:t>
      </w:r>
      <w:r w:rsidRPr="00BA724E">
        <w:rPr>
          <w:sz w:val="20"/>
          <w:szCs w:val="20"/>
        </w:rPr>
        <w:t>Demographic, clinical</w:t>
      </w:r>
      <w:r w:rsidR="005A4DBB" w:rsidRPr="00BA724E">
        <w:rPr>
          <w:sz w:val="20"/>
          <w:szCs w:val="20"/>
        </w:rPr>
        <w:t xml:space="preserve"> and outcome data were recorded and are reported descriptively</w:t>
      </w:r>
      <w:r w:rsidR="00636A99" w:rsidRPr="00BA724E">
        <w:rPr>
          <w:sz w:val="20"/>
          <w:szCs w:val="20"/>
        </w:rPr>
        <w:t xml:space="preserve"> as median (range)</w:t>
      </w:r>
      <w:r w:rsidR="005A4DBB" w:rsidRPr="00BA724E">
        <w:rPr>
          <w:sz w:val="20"/>
          <w:szCs w:val="20"/>
        </w:rPr>
        <w:t xml:space="preserve">. This study was registered </w:t>
      </w:r>
      <w:r w:rsidR="00B270B1">
        <w:rPr>
          <w:sz w:val="20"/>
          <w:szCs w:val="20"/>
        </w:rPr>
        <w:t xml:space="preserve">and approved </w:t>
      </w:r>
      <w:r w:rsidR="005A4DBB" w:rsidRPr="00BA724E">
        <w:rPr>
          <w:sz w:val="20"/>
          <w:szCs w:val="20"/>
        </w:rPr>
        <w:t>in our institution as a service evaluation.</w:t>
      </w:r>
      <w:r w:rsidR="00D162AF">
        <w:rPr>
          <w:sz w:val="20"/>
          <w:szCs w:val="20"/>
        </w:rPr>
        <w:t xml:space="preserve">  </w:t>
      </w:r>
    </w:p>
    <w:p w14:paraId="01A85CC6" w14:textId="77777777" w:rsidR="00FA77D1" w:rsidRPr="00BA724E" w:rsidRDefault="00FA77D1" w:rsidP="00FA77D1">
      <w:pPr>
        <w:spacing w:line="360" w:lineRule="auto"/>
        <w:rPr>
          <w:sz w:val="20"/>
          <w:szCs w:val="20"/>
        </w:rPr>
      </w:pPr>
    </w:p>
    <w:p w14:paraId="32FBD5D2" w14:textId="77777777" w:rsidR="005A4DBB" w:rsidRPr="00BA724E" w:rsidRDefault="00FA77D1" w:rsidP="00FA77D1">
      <w:pPr>
        <w:spacing w:line="360" w:lineRule="auto"/>
        <w:rPr>
          <w:sz w:val="20"/>
          <w:szCs w:val="20"/>
        </w:rPr>
      </w:pPr>
      <w:r w:rsidRPr="00BA724E">
        <w:rPr>
          <w:sz w:val="20"/>
          <w:szCs w:val="20"/>
        </w:rPr>
        <w:t xml:space="preserve">Diagnostic laparoscopy was performed using a 5mm umbilical port for insertion of a 5mm </w:t>
      </w:r>
      <w:proofErr w:type="gramStart"/>
      <w:r w:rsidRPr="00BA724E">
        <w:rPr>
          <w:sz w:val="20"/>
          <w:szCs w:val="20"/>
        </w:rPr>
        <w:t>30 degree</w:t>
      </w:r>
      <w:proofErr w:type="gramEnd"/>
      <w:r w:rsidRPr="00BA724E">
        <w:rPr>
          <w:sz w:val="20"/>
          <w:szCs w:val="20"/>
        </w:rPr>
        <w:t xml:space="preserve"> laparoscope and two 3 mm stab incisions for 3mm bowel grasping laparoscopic instruments. </w:t>
      </w:r>
      <w:r w:rsidR="00770DA7" w:rsidRPr="00BA724E">
        <w:rPr>
          <w:sz w:val="20"/>
          <w:szCs w:val="20"/>
        </w:rPr>
        <w:t xml:space="preserve">Pneumoperitoneum was established at 6-8mmHg. </w:t>
      </w:r>
      <w:r w:rsidRPr="00BA724E">
        <w:rPr>
          <w:sz w:val="20"/>
          <w:szCs w:val="20"/>
        </w:rPr>
        <w:t xml:space="preserve">Under laparoscopic vision the caecum was </w:t>
      </w:r>
      <w:proofErr w:type="gramStart"/>
      <w:r w:rsidRPr="00BA724E">
        <w:rPr>
          <w:sz w:val="20"/>
          <w:szCs w:val="20"/>
        </w:rPr>
        <w:t>identified</w:t>
      </w:r>
      <w:proofErr w:type="gramEnd"/>
      <w:r w:rsidRPr="00BA724E">
        <w:rPr>
          <w:sz w:val="20"/>
          <w:szCs w:val="20"/>
        </w:rPr>
        <w:t xml:space="preserve"> and its position and degree of fixation noted. The small intestine was run proximally to the </w:t>
      </w:r>
      <w:r w:rsidR="005A4DBB" w:rsidRPr="00BA724E">
        <w:rPr>
          <w:sz w:val="20"/>
          <w:szCs w:val="20"/>
        </w:rPr>
        <w:t>DJ</w:t>
      </w:r>
      <w:r w:rsidRPr="00BA724E">
        <w:rPr>
          <w:sz w:val="20"/>
          <w:szCs w:val="20"/>
        </w:rPr>
        <w:t xml:space="preserve"> flexure at the ligament of Treitz.  The position of this was noted in relation to infant’s midline by applying pressure externally in the midline in the epigastric region </w:t>
      </w:r>
      <w:r w:rsidR="005A4DBB" w:rsidRPr="00BA724E">
        <w:rPr>
          <w:sz w:val="20"/>
          <w:szCs w:val="20"/>
        </w:rPr>
        <w:t xml:space="preserve">and </w:t>
      </w:r>
      <w:r w:rsidRPr="00BA724E">
        <w:rPr>
          <w:sz w:val="20"/>
          <w:szCs w:val="20"/>
        </w:rPr>
        <w:t>visually inspecting the position of the resulting bulge that appeared on the internal surface</w:t>
      </w:r>
      <w:r w:rsidR="005A4DBB" w:rsidRPr="00BA724E">
        <w:rPr>
          <w:sz w:val="20"/>
          <w:szCs w:val="20"/>
        </w:rPr>
        <w:t xml:space="preserve"> of the anterior abdominal wall. The position of the proximal duoden</w:t>
      </w:r>
      <w:r w:rsidR="00177E2D" w:rsidRPr="00BA724E">
        <w:rPr>
          <w:sz w:val="20"/>
          <w:szCs w:val="20"/>
        </w:rPr>
        <w:t>um</w:t>
      </w:r>
      <w:r w:rsidR="005A4DBB" w:rsidRPr="00BA724E">
        <w:rPr>
          <w:sz w:val="20"/>
          <w:szCs w:val="20"/>
        </w:rPr>
        <w:t xml:space="preserve"> passing behind the root of the mesentery in a fixed retroperitoneal position was noted and an overall assessment was made of the width of the mesentery between these two points (DJ flexure and caecum). The rotation was considered to be normal or not in need of i</w:t>
      </w:r>
      <w:r w:rsidR="00770DA7" w:rsidRPr="00BA724E">
        <w:rPr>
          <w:sz w:val="20"/>
          <w:szCs w:val="20"/>
        </w:rPr>
        <w:t xml:space="preserve">ntervention </w:t>
      </w:r>
      <w:r w:rsidR="005A4DBB" w:rsidRPr="00BA724E">
        <w:rPr>
          <w:sz w:val="20"/>
          <w:szCs w:val="20"/>
        </w:rPr>
        <w:t>if the D</w:t>
      </w:r>
      <w:r w:rsidR="00770DA7" w:rsidRPr="00BA724E">
        <w:rPr>
          <w:sz w:val="20"/>
          <w:szCs w:val="20"/>
        </w:rPr>
        <w:t xml:space="preserve">J flexure was to the left of </w:t>
      </w:r>
      <w:r w:rsidR="005A4DBB" w:rsidRPr="00BA724E">
        <w:rPr>
          <w:sz w:val="20"/>
          <w:szCs w:val="20"/>
        </w:rPr>
        <w:t>the infant</w:t>
      </w:r>
      <w:r w:rsidR="00770DA7" w:rsidRPr="00BA724E">
        <w:rPr>
          <w:sz w:val="20"/>
          <w:szCs w:val="20"/>
        </w:rPr>
        <w:t>’</w:t>
      </w:r>
      <w:r w:rsidR="005A4DBB" w:rsidRPr="00BA724E">
        <w:rPr>
          <w:sz w:val="20"/>
          <w:szCs w:val="20"/>
        </w:rPr>
        <w:t>s midline and in a fixed position with the proximal duodenum passing behind the root of the mesentery, the caecum fixed i</w:t>
      </w:r>
      <w:r w:rsidRPr="00BA724E">
        <w:rPr>
          <w:sz w:val="20"/>
          <w:szCs w:val="20"/>
        </w:rPr>
        <w:t xml:space="preserve">n the right lower quadrant, </w:t>
      </w:r>
      <w:r w:rsidR="005A4DBB" w:rsidRPr="00BA724E">
        <w:rPr>
          <w:sz w:val="20"/>
          <w:szCs w:val="20"/>
        </w:rPr>
        <w:t xml:space="preserve">and the mesenteric root wide. In the presence of a mobile caecum but the other two features </w:t>
      </w:r>
      <w:r w:rsidR="00177E2D" w:rsidRPr="00BA724E">
        <w:rPr>
          <w:sz w:val="20"/>
          <w:szCs w:val="20"/>
        </w:rPr>
        <w:t xml:space="preserve">being within </w:t>
      </w:r>
      <w:r w:rsidR="005A4DBB" w:rsidRPr="00BA724E">
        <w:rPr>
          <w:sz w:val="20"/>
          <w:szCs w:val="20"/>
        </w:rPr>
        <w:t>acceptable</w:t>
      </w:r>
      <w:r w:rsidR="00177E2D" w:rsidRPr="00BA724E">
        <w:rPr>
          <w:sz w:val="20"/>
          <w:szCs w:val="20"/>
        </w:rPr>
        <w:t xml:space="preserve"> limits</w:t>
      </w:r>
      <w:r w:rsidR="005A4DBB" w:rsidRPr="00BA724E">
        <w:rPr>
          <w:sz w:val="20"/>
          <w:szCs w:val="20"/>
        </w:rPr>
        <w:t>, particular assessment was made of the width of the root of the mesentery and a judgement made as to whether the situation would be improved (and hence the risk of volvulus reduced) by performing a Ladd’s procedure.</w:t>
      </w:r>
    </w:p>
    <w:p w14:paraId="0246B47B" w14:textId="77777777" w:rsidR="00C17838" w:rsidRPr="00BA724E" w:rsidRDefault="00C17838" w:rsidP="00636A99">
      <w:pPr>
        <w:spacing w:line="360" w:lineRule="auto"/>
        <w:rPr>
          <w:sz w:val="20"/>
          <w:szCs w:val="20"/>
        </w:rPr>
      </w:pPr>
    </w:p>
    <w:p w14:paraId="6D8693D5" w14:textId="77777777" w:rsidR="00C17838" w:rsidRPr="00BA724E" w:rsidRDefault="00C17838" w:rsidP="00C17838">
      <w:pPr>
        <w:rPr>
          <w:sz w:val="20"/>
          <w:szCs w:val="20"/>
        </w:rPr>
      </w:pPr>
    </w:p>
    <w:p w14:paraId="7152D80F" w14:textId="6C222716" w:rsidR="00BC32EF" w:rsidRPr="00BA724E" w:rsidRDefault="00C17838" w:rsidP="009948AC">
      <w:pPr>
        <w:pStyle w:val="Heading2"/>
        <w:rPr>
          <w:rFonts w:ascii="Times New Roman" w:hAnsi="Times New Roman" w:cs="Times New Roman"/>
          <w:b w:val="0"/>
          <w:bCs w:val="0"/>
          <w:sz w:val="20"/>
          <w:szCs w:val="20"/>
        </w:rPr>
      </w:pPr>
      <w:r w:rsidRPr="00232395">
        <w:rPr>
          <w:rFonts w:ascii="Times New Roman" w:hAnsi="Times New Roman" w:cs="Times New Roman"/>
          <w:color w:val="000000" w:themeColor="text1"/>
          <w:sz w:val="20"/>
          <w:szCs w:val="20"/>
        </w:rPr>
        <w:t>Results</w:t>
      </w:r>
      <w:r w:rsidRPr="00BA724E">
        <w:rPr>
          <w:rFonts w:ascii="Times New Roman" w:hAnsi="Times New Roman" w:cs="Times New Roman"/>
          <w:sz w:val="20"/>
          <w:szCs w:val="20"/>
        </w:rPr>
        <w:t xml:space="preserve"> </w:t>
      </w:r>
    </w:p>
    <w:p w14:paraId="43FAFEC8" w14:textId="77777777" w:rsidR="00BC32EF" w:rsidRPr="00BA724E" w:rsidRDefault="00BC32EF" w:rsidP="00C17838">
      <w:pPr>
        <w:rPr>
          <w:sz w:val="20"/>
          <w:szCs w:val="20"/>
        </w:rPr>
      </w:pPr>
    </w:p>
    <w:p w14:paraId="2FC3F7A4" w14:textId="09C09607" w:rsidR="00C17838" w:rsidRPr="00BA724E" w:rsidRDefault="00C17838" w:rsidP="00C17838">
      <w:pPr>
        <w:spacing w:line="360" w:lineRule="auto"/>
        <w:rPr>
          <w:i/>
          <w:sz w:val="20"/>
          <w:szCs w:val="20"/>
        </w:rPr>
      </w:pPr>
      <w:r w:rsidRPr="00BA724E">
        <w:rPr>
          <w:i/>
          <w:sz w:val="20"/>
          <w:szCs w:val="20"/>
        </w:rPr>
        <w:t>Patient characteristics</w:t>
      </w:r>
    </w:p>
    <w:p w14:paraId="2F57E54D" w14:textId="5BAAB010" w:rsidR="00013B82" w:rsidRPr="00BA724E" w:rsidRDefault="00C17838" w:rsidP="00C17838">
      <w:pPr>
        <w:spacing w:line="360" w:lineRule="auto"/>
        <w:rPr>
          <w:sz w:val="20"/>
          <w:szCs w:val="20"/>
        </w:rPr>
      </w:pPr>
      <w:r w:rsidRPr="00BA724E">
        <w:rPr>
          <w:sz w:val="20"/>
          <w:szCs w:val="20"/>
        </w:rPr>
        <w:t>A total of</w:t>
      </w:r>
      <w:r w:rsidR="006F76BA" w:rsidRPr="00BA724E">
        <w:rPr>
          <w:sz w:val="20"/>
          <w:szCs w:val="20"/>
        </w:rPr>
        <w:t xml:space="preserve"> </w:t>
      </w:r>
      <w:r w:rsidR="00B76457" w:rsidRPr="00BA724E">
        <w:rPr>
          <w:sz w:val="20"/>
          <w:szCs w:val="20"/>
        </w:rPr>
        <w:t>8</w:t>
      </w:r>
      <w:r w:rsidR="00636A99" w:rsidRPr="00BA724E">
        <w:rPr>
          <w:sz w:val="20"/>
          <w:szCs w:val="20"/>
        </w:rPr>
        <w:t xml:space="preserve"> </w:t>
      </w:r>
      <w:r w:rsidR="00B403A3" w:rsidRPr="00BA724E">
        <w:rPr>
          <w:sz w:val="20"/>
          <w:szCs w:val="20"/>
        </w:rPr>
        <w:t>infants</w:t>
      </w:r>
      <w:r w:rsidR="00636A99" w:rsidRPr="00BA724E">
        <w:rPr>
          <w:sz w:val="20"/>
          <w:szCs w:val="20"/>
        </w:rPr>
        <w:t xml:space="preserve"> </w:t>
      </w:r>
      <w:r w:rsidRPr="00BA724E">
        <w:rPr>
          <w:sz w:val="20"/>
          <w:szCs w:val="20"/>
        </w:rPr>
        <w:t xml:space="preserve">underwent a diagnostic laparoscopy. Mean gestational age </w:t>
      </w:r>
      <w:r w:rsidR="00636A99" w:rsidRPr="00BA724E">
        <w:rPr>
          <w:sz w:val="20"/>
          <w:szCs w:val="20"/>
        </w:rPr>
        <w:t xml:space="preserve">at birth was </w:t>
      </w:r>
      <w:r w:rsidRPr="00BA724E">
        <w:rPr>
          <w:sz w:val="20"/>
          <w:szCs w:val="20"/>
        </w:rPr>
        <w:t>4</w:t>
      </w:r>
      <w:r w:rsidR="00C84DCA" w:rsidRPr="00BA724E">
        <w:rPr>
          <w:sz w:val="20"/>
          <w:szCs w:val="20"/>
        </w:rPr>
        <w:t>0</w:t>
      </w:r>
      <w:r w:rsidRPr="00BA724E">
        <w:rPr>
          <w:sz w:val="20"/>
          <w:szCs w:val="20"/>
        </w:rPr>
        <w:t xml:space="preserve"> w</w:t>
      </w:r>
      <w:r w:rsidR="005A4DBB" w:rsidRPr="00BA724E">
        <w:rPr>
          <w:sz w:val="20"/>
          <w:szCs w:val="20"/>
        </w:rPr>
        <w:t xml:space="preserve">eeks (range </w:t>
      </w:r>
      <w:r w:rsidR="009C7F69" w:rsidRPr="00BA724E">
        <w:rPr>
          <w:sz w:val="20"/>
          <w:szCs w:val="20"/>
        </w:rPr>
        <w:t>38</w:t>
      </w:r>
      <w:r w:rsidR="005A4DBB" w:rsidRPr="00BA724E">
        <w:rPr>
          <w:sz w:val="20"/>
          <w:szCs w:val="20"/>
        </w:rPr>
        <w:t>-42weeks)</w:t>
      </w:r>
      <w:r w:rsidR="008D05DA" w:rsidRPr="00BA724E">
        <w:rPr>
          <w:sz w:val="20"/>
          <w:szCs w:val="20"/>
        </w:rPr>
        <w:t xml:space="preserve"> and</w:t>
      </w:r>
      <w:r w:rsidR="005A4DBB" w:rsidRPr="00BA724E">
        <w:rPr>
          <w:sz w:val="20"/>
          <w:szCs w:val="20"/>
        </w:rPr>
        <w:t xml:space="preserve"> </w:t>
      </w:r>
      <w:r w:rsidR="00636A99" w:rsidRPr="00BA724E">
        <w:rPr>
          <w:sz w:val="20"/>
          <w:szCs w:val="20"/>
        </w:rPr>
        <w:t xml:space="preserve">birth weight </w:t>
      </w:r>
      <w:r w:rsidR="005A4DBB" w:rsidRPr="00BA724E">
        <w:rPr>
          <w:sz w:val="20"/>
          <w:szCs w:val="20"/>
        </w:rPr>
        <w:t>39</w:t>
      </w:r>
      <w:r w:rsidR="008D05DA" w:rsidRPr="00BA724E">
        <w:rPr>
          <w:sz w:val="20"/>
          <w:szCs w:val="20"/>
        </w:rPr>
        <w:t>65</w:t>
      </w:r>
      <w:r w:rsidRPr="00BA724E">
        <w:rPr>
          <w:sz w:val="20"/>
          <w:szCs w:val="20"/>
        </w:rPr>
        <w:t>kg (3</w:t>
      </w:r>
      <w:r w:rsidR="005A4DBB" w:rsidRPr="00BA724E">
        <w:rPr>
          <w:sz w:val="20"/>
          <w:szCs w:val="20"/>
        </w:rPr>
        <w:t>0</w:t>
      </w:r>
      <w:r w:rsidR="008D05DA" w:rsidRPr="00BA724E">
        <w:rPr>
          <w:sz w:val="20"/>
          <w:szCs w:val="20"/>
        </w:rPr>
        <w:t>30</w:t>
      </w:r>
      <w:r w:rsidRPr="00BA724E">
        <w:rPr>
          <w:sz w:val="20"/>
          <w:szCs w:val="20"/>
        </w:rPr>
        <w:t>-49</w:t>
      </w:r>
      <w:r w:rsidR="008D05DA" w:rsidRPr="00BA724E">
        <w:rPr>
          <w:sz w:val="20"/>
          <w:szCs w:val="20"/>
        </w:rPr>
        <w:t>10</w:t>
      </w:r>
      <w:r w:rsidRPr="00BA724E">
        <w:rPr>
          <w:sz w:val="20"/>
          <w:szCs w:val="20"/>
        </w:rPr>
        <w:t>kg)</w:t>
      </w:r>
      <w:r w:rsidR="00210BE6" w:rsidRPr="00BA724E">
        <w:rPr>
          <w:sz w:val="20"/>
          <w:szCs w:val="20"/>
        </w:rPr>
        <w:t xml:space="preserve">. </w:t>
      </w:r>
      <w:r w:rsidR="008D05DA" w:rsidRPr="00BA724E">
        <w:rPr>
          <w:sz w:val="20"/>
          <w:szCs w:val="20"/>
        </w:rPr>
        <w:t xml:space="preserve">Six </w:t>
      </w:r>
      <w:r w:rsidRPr="00BA724E">
        <w:rPr>
          <w:sz w:val="20"/>
          <w:szCs w:val="20"/>
        </w:rPr>
        <w:t>present</w:t>
      </w:r>
      <w:r w:rsidR="00B76457" w:rsidRPr="00BA724E">
        <w:rPr>
          <w:sz w:val="20"/>
          <w:szCs w:val="20"/>
        </w:rPr>
        <w:t>ed</w:t>
      </w:r>
      <w:r w:rsidRPr="00BA724E">
        <w:rPr>
          <w:sz w:val="20"/>
          <w:szCs w:val="20"/>
        </w:rPr>
        <w:t xml:space="preserve"> </w:t>
      </w:r>
      <w:r w:rsidR="00636A99" w:rsidRPr="00BA724E">
        <w:rPr>
          <w:sz w:val="20"/>
          <w:szCs w:val="20"/>
        </w:rPr>
        <w:t xml:space="preserve">with </w:t>
      </w:r>
      <w:r w:rsidR="00013B82" w:rsidRPr="00BA724E">
        <w:rPr>
          <w:sz w:val="20"/>
          <w:szCs w:val="20"/>
        </w:rPr>
        <w:t>a bilious vomit</w:t>
      </w:r>
      <w:r w:rsidR="00210BE6" w:rsidRPr="00BA724E">
        <w:rPr>
          <w:sz w:val="20"/>
          <w:szCs w:val="20"/>
        </w:rPr>
        <w:t xml:space="preserve">, </w:t>
      </w:r>
      <w:r w:rsidR="00013B82" w:rsidRPr="00BA724E">
        <w:rPr>
          <w:sz w:val="20"/>
          <w:szCs w:val="20"/>
        </w:rPr>
        <w:t xml:space="preserve">unremarkable clinical examination and </w:t>
      </w:r>
      <w:r w:rsidR="00B403A3" w:rsidRPr="00BA724E">
        <w:rPr>
          <w:sz w:val="20"/>
          <w:szCs w:val="20"/>
        </w:rPr>
        <w:t xml:space="preserve">normal </w:t>
      </w:r>
      <w:r w:rsidR="00013B82" w:rsidRPr="00BA724E">
        <w:rPr>
          <w:sz w:val="20"/>
          <w:szCs w:val="20"/>
        </w:rPr>
        <w:t xml:space="preserve">blood work-up </w:t>
      </w:r>
      <w:r w:rsidR="00B76457" w:rsidRPr="00BA724E">
        <w:rPr>
          <w:sz w:val="20"/>
          <w:szCs w:val="20"/>
        </w:rPr>
        <w:t>during the first few days of life</w:t>
      </w:r>
      <w:r w:rsidR="00210BE6" w:rsidRPr="00BA724E">
        <w:rPr>
          <w:sz w:val="20"/>
          <w:szCs w:val="20"/>
        </w:rPr>
        <w:t xml:space="preserve">; </w:t>
      </w:r>
      <w:r w:rsidR="0028061B" w:rsidRPr="00BA724E">
        <w:rPr>
          <w:sz w:val="20"/>
          <w:szCs w:val="20"/>
        </w:rPr>
        <w:t>one presented with bile vomiting in association with a distended abdomen</w:t>
      </w:r>
      <w:r w:rsidR="00B403A3" w:rsidRPr="00BA724E">
        <w:rPr>
          <w:sz w:val="20"/>
          <w:szCs w:val="20"/>
        </w:rPr>
        <w:t xml:space="preserve"> at a month of age</w:t>
      </w:r>
      <w:r w:rsidR="0028061B" w:rsidRPr="00BA724E">
        <w:rPr>
          <w:sz w:val="20"/>
          <w:szCs w:val="20"/>
        </w:rPr>
        <w:t xml:space="preserve"> and </w:t>
      </w:r>
      <w:r w:rsidR="00B76457" w:rsidRPr="00BA724E">
        <w:rPr>
          <w:sz w:val="20"/>
          <w:szCs w:val="20"/>
        </w:rPr>
        <w:t xml:space="preserve">one infant presented with a bile stained vomit </w:t>
      </w:r>
      <w:r w:rsidR="00013B82" w:rsidRPr="00BA724E">
        <w:rPr>
          <w:sz w:val="20"/>
          <w:szCs w:val="20"/>
        </w:rPr>
        <w:t xml:space="preserve">and dehydration </w:t>
      </w:r>
      <w:r w:rsidR="00B76457" w:rsidRPr="00BA724E">
        <w:rPr>
          <w:sz w:val="20"/>
          <w:szCs w:val="20"/>
        </w:rPr>
        <w:t xml:space="preserve">on a background of </w:t>
      </w:r>
      <w:r w:rsidR="00013B82" w:rsidRPr="00BA724E">
        <w:rPr>
          <w:sz w:val="20"/>
          <w:szCs w:val="20"/>
        </w:rPr>
        <w:t xml:space="preserve">more chronic non-bilious vomiting and </w:t>
      </w:r>
      <w:r w:rsidR="00B76457" w:rsidRPr="00BA724E">
        <w:rPr>
          <w:sz w:val="20"/>
          <w:szCs w:val="20"/>
        </w:rPr>
        <w:t>failure to thrive at 70 days of age</w:t>
      </w:r>
      <w:r w:rsidR="006D70BA">
        <w:rPr>
          <w:sz w:val="20"/>
          <w:szCs w:val="20"/>
        </w:rPr>
        <w:t xml:space="preserve">. </w:t>
      </w:r>
      <w:r w:rsidR="00636A99" w:rsidRPr="00BA724E">
        <w:rPr>
          <w:sz w:val="20"/>
          <w:szCs w:val="20"/>
        </w:rPr>
        <w:t>Following plain a</w:t>
      </w:r>
      <w:r w:rsidRPr="00BA724E">
        <w:rPr>
          <w:sz w:val="20"/>
          <w:szCs w:val="20"/>
        </w:rPr>
        <w:t>bdominal radiograph</w:t>
      </w:r>
      <w:r w:rsidR="00636A99" w:rsidRPr="00BA724E">
        <w:rPr>
          <w:sz w:val="20"/>
          <w:szCs w:val="20"/>
        </w:rPr>
        <w:t xml:space="preserve">y </w:t>
      </w:r>
      <w:r w:rsidR="00013B82" w:rsidRPr="00BA724E">
        <w:rPr>
          <w:sz w:val="20"/>
          <w:szCs w:val="20"/>
        </w:rPr>
        <w:t>all</w:t>
      </w:r>
      <w:r w:rsidR="00636A99" w:rsidRPr="00BA724E">
        <w:rPr>
          <w:sz w:val="20"/>
          <w:szCs w:val="20"/>
        </w:rPr>
        <w:t xml:space="preserve"> proceeded to UGI contrast study</w:t>
      </w:r>
      <w:r w:rsidR="00770DA7" w:rsidRPr="00BA724E">
        <w:rPr>
          <w:sz w:val="20"/>
          <w:szCs w:val="20"/>
        </w:rPr>
        <w:t>.</w:t>
      </w:r>
      <w:r w:rsidRPr="00BA724E">
        <w:rPr>
          <w:sz w:val="20"/>
          <w:szCs w:val="20"/>
        </w:rPr>
        <w:t xml:space="preserve">  In all cases the </w:t>
      </w:r>
      <w:r w:rsidR="00636A99" w:rsidRPr="00BA724E">
        <w:rPr>
          <w:sz w:val="20"/>
          <w:szCs w:val="20"/>
        </w:rPr>
        <w:t xml:space="preserve">contrast study was equivocal (Table 1) and </w:t>
      </w:r>
      <w:r w:rsidRPr="00BA724E">
        <w:rPr>
          <w:sz w:val="20"/>
          <w:szCs w:val="20"/>
        </w:rPr>
        <w:t xml:space="preserve">a diagnosis of intestinal malrotation </w:t>
      </w:r>
      <w:r w:rsidR="00636A99" w:rsidRPr="00BA724E">
        <w:rPr>
          <w:sz w:val="20"/>
          <w:szCs w:val="20"/>
        </w:rPr>
        <w:t xml:space="preserve">could not be excluded by </w:t>
      </w:r>
      <w:r w:rsidR="00913B72" w:rsidRPr="00BA724E">
        <w:rPr>
          <w:sz w:val="20"/>
          <w:szCs w:val="20"/>
        </w:rPr>
        <w:t xml:space="preserve">an experienced </w:t>
      </w:r>
      <w:r w:rsidR="007E4E44" w:rsidRPr="00BA724E">
        <w:rPr>
          <w:sz w:val="20"/>
          <w:szCs w:val="20"/>
        </w:rPr>
        <w:t xml:space="preserve">consultant </w:t>
      </w:r>
      <w:r w:rsidR="006D70BA">
        <w:rPr>
          <w:sz w:val="20"/>
          <w:szCs w:val="20"/>
        </w:rPr>
        <w:t xml:space="preserve">paediatric </w:t>
      </w:r>
      <w:r w:rsidR="006D70BA" w:rsidRPr="00BA724E">
        <w:rPr>
          <w:sz w:val="20"/>
          <w:szCs w:val="20"/>
        </w:rPr>
        <w:t>radiologist</w:t>
      </w:r>
      <w:r w:rsidR="006D70BA">
        <w:rPr>
          <w:sz w:val="20"/>
          <w:szCs w:val="20"/>
        </w:rPr>
        <w:t xml:space="preserve"> (Figure 1)</w:t>
      </w:r>
      <w:r w:rsidR="006D70BA" w:rsidRPr="00BA724E">
        <w:rPr>
          <w:sz w:val="20"/>
          <w:szCs w:val="20"/>
        </w:rPr>
        <w:t xml:space="preserve">. </w:t>
      </w:r>
      <w:r w:rsidR="00636A99" w:rsidRPr="00BA724E">
        <w:rPr>
          <w:sz w:val="20"/>
          <w:szCs w:val="20"/>
        </w:rPr>
        <w:t>Three subsequently underwent abdominal ultrasound to assess the orientation of the superior mesenteric vessels. Ultrasound revealed normal SM</w:t>
      </w:r>
      <w:r w:rsidR="00770DA7" w:rsidRPr="00BA724E">
        <w:rPr>
          <w:sz w:val="20"/>
          <w:szCs w:val="20"/>
        </w:rPr>
        <w:t>A/SM</w:t>
      </w:r>
      <w:r w:rsidR="00636A99" w:rsidRPr="00BA724E">
        <w:rPr>
          <w:sz w:val="20"/>
          <w:szCs w:val="20"/>
        </w:rPr>
        <w:t xml:space="preserve">V orientation in two and </w:t>
      </w:r>
      <w:r w:rsidR="00770DA7" w:rsidRPr="00BA724E">
        <w:rPr>
          <w:sz w:val="20"/>
          <w:szCs w:val="20"/>
        </w:rPr>
        <w:t>abnormal in one. In all infants the U</w:t>
      </w:r>
      <w:r w:rsidR="00636A99" w:rsidRPr="00BA724E">
        <w:rPr>
          <w:sz w:val="20"/>
          <w:szCs w:val="20"/>
        </w:rPr>
        <w:t>GI contrast study with or without US could not conclusively exclude a diagnosis of malrotation</w:t>
      </w:r>
      <w:r w:rsidR="00913B72" w:rsidRPr="00BA724E">
        <w:rPr>
          <w:sz w:val="20"/>
          <w:szCs w:val="20"/>
        </w:rPr>
        <w:t>.  Upon discussion with the consultant surgeon and radiologist</w:t>
      </w:r>
      <w:r w:rsidR="0092406D" w:rsidRPr="00BA724E">
        <w:rPr>
          <w:sz w:val="20"/>
          <w:szCs w:val="20"/>
        </w:rPr>
        <w:t xml:space="preserve"> </w:t>
      </w:r>
      <w:r w:rsidR="009B27FE" w:rsidRPr="00BA724E">
        <w:rPr>
          <w:sz w:val="20"/>
          <w:szCs w:val="20"/>
        </w:rPr>
        <w:t>it was felt safe</w:t>
      </w:r>
      <w:r w:rsidR="00013B82" w:rsidRPr="00BA724E">
        <w:rPr>
          <w:sz w:val="20"/>
          <w:szCs w:val="20"/>
        </w:rPr>
        <w:t>st</w:t>
      </w:r>
      <w:r w:rsidR="009B27FE" w:rsidRPr="00BA724E">
        <w:rPr>
          <w:sz w:val="20"/>
          <w:szCs w:val="20"/>
        </w:rPr>
        <w:t xml:space="preserve"> to </w:t>
      </w:r>
      <w:r w:rsidR="00A622DC" w:rsidRPr="00BA724E">
        <w:rPr>
          <w:sz w:val="20"/>
          <w:szCs w:val="20"/>
        </w:rPr>
        <w:t>proceed to diagnostic laparoscopy</w:t>
      </w:r>
      <w:r w:rsidR="009B27FE" w:rsidRPr="00BA724E">
        <w:rPr>
          <w:sz w:val="20"/>
          <w:szCs w:val="20"/>
        </w:rPr>
        <w:t xml:space="preserve"> </w:t>
      </w:r>
      <w:r w:rsidR="00013B82" w:rsidRPr="00BA724E">
        <w:rPr>
          <w:sz w:val="20"/>
          <w:szCs w:val="20"/>
        </w:rPr>
        <w:t>to provide diagnostic certainty.</w:t>
      </w:r>
    </w:p>
    <w:p w14:paraId="5415AAF1" w14:textId="77777777" w:rsidR="00D56A5C" w:rsidRPr="00BA724E" w:rsidRDefault="00D56A5C" w:rsidP="00C17838">
      <w:pPr>
        <w:spacing w:line="360" w:lineRule="auto"/>
        <w:rPr>
          <w:b/>
          <w:sz w:val="20"/>
          <w:szCs w:val="20"/>
        </w:rPr>
      </w:pPr>
    </w:p>
    <w:p w14:paraId="52B1F4CD" w14:textId="209E60BB" w:rsidR="00C17838" w:rsidRPr="00BA724E" w:rsidRDefault="00D90AB5" w:rsidP="00C17838">
      <w:pPr>
        <w:spacing w:line="360" w:lineRule="auto"/>
        <w:rPr>
          <w:i/>
          <w:sz w:val="20"/>
          <w:szCs w:val="20"/>
        </w:rPr>
      </w:pPr>
      <w:r w:rsidRPr="00BA724E">
        <w:rPr>
          <w:i/>
          <w:sz w:val="20"/>
          <w:szCs w:val="20"/>
        </w:rPr>
        <w:lastRenderedPageBreak/>
        <w:t>Surgery</w:t>
      </w:r>
    </w:p>
    <w:p w14:paraId="10092F92" w14:textId="591F735B" w:rsidR="009F0899" w:rsidRPr="00BA724E" w:rsidRDefault="00C17838" w:rsidP="00C17838">
      <w:pPr>
        <w:spacing w:line="360" w:lineRule="auto"/>
        <w:rPr>
          <w:sz w:val="20"/>
          <w:szCs w:val="20"/>
        </w:rPr>
      </w:pPr>
      <w:r w:rsidRPr="00BA724E">
        <w:rPr>
          <w:sz w:val="20"/>
          <w:szCs w:val="20"/>
        </w:rPr>
        <w:t>The</w:t>
      </w:r>
      <w:r w:rsidR="00770DA7" w:rsidRPr="00BA724E">
        <w:rPr>
          <w:sz w:val="20"/>
          <w:szCs w:val="20"/>
        </w:rPr>
        <w:t xml:space="preserve"> procedure was performed as described</w:t>
      </w:r>
      <w:r w:rsidR="00913B72" w:rsidRPr="00BA724E">
        <w:rPr>
          <w:sz w:val="20"/>
          <w:szCs w:val="20"/>
        </w:rPr>
        <w:t xml:space="preserve"> in the methods</w:t>
      </w:r>
      <w:r w:rsidR="00770DA7" w:rsidRPr="00BA724E">
        <w:rPr>
          <w:sz w:val="20"/>
          <w:szCs w:val="20"/>
        </w:rPr>
        <w:t xml:space="preserve"> in </w:t>
      </w:r>
      <w:r w:rsidR="00A1404D" w:rsidRPr="00BA724E">
        <w:rPr>
          <w:sz w:val="20"/>
          <w:szCs w:val="20"/>
        </w:rPr>
        <w:t xml:space="preserve">all </w:t>
      </w:r>
      <w:r w:rsidR="00013B82" w:rsidRPr="00BA724E">
        <w:rPr>
          <w:sz w:val="20"/>
          <w:szCs w:val="20"/>
        </w:rPr>
        <w:t>8</w:t>
      </w:r>
      <w:r w:rsidR="00770DA7" w:rsidRPr="00BA724E">
        <w:rPr>
          <w:sz w:val="20"/>
          <w:szCs w:val="20"/>
        </w:rPr>
        <w:t xml:space="preserve"> cases. There was no evidence of intestinal </w:t>
      </w:r>
      <w:r w:rsidR="00780320" w:rsidRPr="00BA724E">
        <w:rPr>
          <w:sz w:val="20"/>
          <w:szCs w:val="20"/>
        </w:rPr>
        <w:t>malrotation</w:t>
      </w:r>
      <w:r w:rsidR="00770DA7" w:rsidRPr="00BA724E">
        <w:rPr>
          <w:sz w:val="20"/>
          <w:szCs w:val="20"/>
        </w:rPr>
        <w:t xml:space="preserve"> in </w:t>
      </w:r>
      <w:r w:rsidR="00A1404D" w:rsidRPr="00BA724E">
        <w:rPr>
          <w:sz w:val="20"/>
          <w:szCs w:val="20"/>
        </w:rPr>
        <w:t xml:space="preserve">6 </w:t>
      </w:r>
      <w:r w:rsidR="00770DA7" w:rsidRPr="00BA724E">
        <w:rPr>
          <w:sz w:val="20"/>
          <w:szCs w:val="20"/>
        </w:rPr>
        <w:t>case</w:t>
      </w:r>
      <w:r w:rsidR="00A1404D" w:rsidRPr="00BA724E">
        <w:rPr>
          <w:sz w:val="20"/>
          <w:szCs w:val="20"/>
        </w:rPr>
        <w:t>s</w:t>
      </w:r>
      <w:r w:rsidR="00770DA7" w:rsidRPr="00BA724E">
        <w:rPr>
          <w:sz w:val="20"/>
          <w:szCs w:val="20"/>
        </w:rPr>
        <w:t>.</w:t>
      </w:r>
      <w:r w:rsidRPr="00BA724E">
        <w:rPr>
          <w:sz w:val="20"/>
          <w:szCs w:val="20"/>
        </w:rPr>
        <w:t xml:space="preserve"> In </w:t>
      </w:r>
      <w:r w:rsidR="00A1404D" w:rsidRPr="00BA724E">
        <w:rPr>
          <w:sz w:val="20"/>
          <w:szCs w:val="20"/>
        </w:rPr>
        <w:t xml:space="preserve">these 6 </w:t>
      </w:r>
      <w:r w:rsidRPr="00BA724E">
        <w:rPr>
          <w:sz w:val="20"/>
          <w:szCs w:val="20"/>
        </w:rPr>
        <w:t xml:space="preserve">cases the DJ flexure was positively identified in the left upper quadrant to the left of the midline with the proximal duodenum passing behind the root of the mesentery in a fixed retroperitoneal position.  The caecum was positively identified on the right and found to be fixed to the </w:t>
      </w:r>
      <w:r w:rsidR="00770DA7" w:rsidRPr="00BA724E">
        <w:rPr>
          <w:sz w:val="20"/>
          <w:szCs w:val="20"/>
        </w:rPr>
        <w:t>posterior/</w:t>
      </w:r>
      <w:r w:rsidRPr="00BA724E">
        <w:rPr>
          <w:sz w:val="20"/>
          <w:szCs w:val="20"/>
        </w:rPr>
        <w:t>lateral peritoneal wall</w:t>
      </w:r>
      <w:r w:rsidR="00770DA7" w:rsidRPr="00BA724E">
        <w:rPr>
          <w:sz w:val="20"/>
          <w:szCs w:val="20"/>
        </w:rPr>
        <w:t xml:space="preserve"> in all cases although in 2 cases this was midway down the right side of the abdomen rather than truly in the right iliac fossa. </w:t>
      </w:r>
      <w:r w:rsidR="006A6201" w:rsidRPr="00BA724E">
        <w:rPr>
          <w:sz w:val="20"/>
          <w:szCs w:val="20"/>
        </w:rPr>
        <w:t>In</w:t>
      </w:r>
      <w:r w:rsidR="00A1404D" w:rsidRPr="00BA724E">
        <w:rPr>
          <w:sz w:val="20"/>
          <w:szCs w:val="20"/>
        </w:rPr>
        <w:t xml:space="preserve"> these 6</w:t>
      </w:r>
      <w:r w:rsidR="00770DA7" w:rsidRPr="00BA724E">
        <w:rPr>
          <w:sz w:val="20"/>
          <w:szCs w:val="20"/>
        </w:rPr>
        <w:t xml:space="preserve"> infant</w:t>
      </w:r>
      <w:r w:rsidR="006A6201" w:rsidRPr="00BA724E">
        <w:rPr>
          <w:sz w:val="20"/>
          <w:szCs w:val="20"/>
        </w:rPr>
        <w:t>s</w:t>
      </w:r>
      <w:r w:rsidR="00A1404D" w:rsidRPr="00BA724E">
        <w:rPr>
          <w:sz w:val="20"/>
          <w:szCs w:val="20"/>
        </w:rPr>
        <w:t>, none were</w:t>
      </w:r>
      <w:r w:rsidR="00770DA7" w:rsidRPr="00BA724E">
        <w:rPr>
          <w:sz w:val="20"/>
          <w:szCs w:val="20"/>
        </w:rPr>
        <w:t xml:space="preserve"> found to have Ladd’s bands</w:t>
      </w:r>
      <w:r w:rsidR="000F0D1D" w:rsidRPr="00BA724E">
        <w:rPr>
          <w:sz w:val="20"/>
          <w:szCs w:val="20"/>
        </w:rPr>
        <w:t>,</w:t>
      </w:r>
      <w:r w:rsidR="00770DA7" w:rsidRPr="00BA724E">
        <w:rPr>
          <w:sz w:val="20"/>
          <w:szCs w:val="20"/>
        </w:rPr>
        <w:t xml:space="preserve"> </w:t>
      </w:r>
      <w:r w:rsidR="00D90AB5" w:rsidRPr="00BA724E">
        <w:rPr>
          <w:sz w:val="20"/>
          <w:szCs w:val="20"/>
        </w:rPr>
        <w:t>nor any other cause of extrinsic duodenal compression and n</w:t>
      </w:r>
      <w:r w:rsidR="00770DA7" w:rsidRPr="00BA724E">
        <w:rPr>
          <w:sz w:val="20"/>
          <w:szCs w:val="20"/>
        </w:rPr>
        <w:t>o other causative pathology was noted during laparoscopy</w:t>
      </w:r>
      <w:r w:rsidR="006A6201" w:rsidRPr="00BA724E">
        <w:rPr>
          <w:sz w:val="20"/>
          <w:szCs w:val="20"/>
        </w:rPr>
        <w:t>.</w:t>
      </w:r>
      <w:r w:rsidR="00A1404D" w:rsidRPr="00BA724E">
        <w:rPr>
          <w:sz w:val="20"/>
          <w:szCs w:val="20"/>
        </w:rPr>
        <w:t xml:space="preserve"> </w:t>
      </w:r>
      <w:r w:rsidR="006A6201" w:rsidRPr="00BA724E">
        <w:rPr>
          <w:sz w:val="20"/>
          <w:szCs w:val="20"/>
        </w:rPr>
        <w:t>A</w:t>
      </w:r>
      <w:r w:rsidR="009F0899" w:rsidRPr="00BA724E">
        <w:rPr>
          <w:sz w:val="20"/>
          <w:szCs w:val="20"/>
        </w:rPr>
        <w:t xml:space="preserve">ll </w:t>
      </w:r>
      <w:r w:rsidR="00D90AB5" w:rsidRPr="00BA724E">
        <w:rPr>
          <w:sz w:val="20"/>
          <w:szCs w:val="20"/>
        </w:rPr>
        <w:t xml:space="preserve">were found to have a wide based mesentery. </w:t>
      </w:r>
      <w:r w:rsidR="00216AA9" w:rsidRPr="00BA724E">
        <w:rPr>
          <w:sz w:val="20"/>
          <w:szCs w:val="20"/>
        </w:rPr>
        <w:t>Infant</w:t>
      </w:r>
      <w:r w:rsidR="008D05DA" w:rsidRPr="00BA724E">
        <w:rPr>
          <w:sz w:val="20"/>
          <w:szCs w:val="20"/>
        </w:rPr>
        <w:t>s</w:t>
      </w:r>
      <w:r w:rsidR="006A6201" w:rsidRPr="00BA724E">
        <w:rPr>
          <w:sz w:val="20"/>
          <w:szCs w:val="20"/>
        </w:rPr>
        <w:t xml:space="preserve"> 7</w:t>
      </w:r>
      <w:r w:rsidR="00216AA9" w:rsidRPr="00BA724E">
        <w:rPr>
          <w:sz w:val="20"/>
          <w:szCs w:val="20"/>
        </w:rPr>
        <w:t xml:space="preserve"> and 8</w:t>
      </w:r>
      <w:r w:rsidR="00AB24B8" w:rsidRPr="00BA724E">
        <w:rPr>
          <w:sz w:val="20"/>
          <w:szCs w:val="20"/>
        </w:rPr>
        <w:t xml:space="preserve"> had confirmed malrotation</w:t>
      </w:r>
      <w:r w:rsidR="00B403A3" w:rsidRPr="00BA724E">
        <w:rPr>
          <w:sz w:val="20"/>
          <w:szCs w:val="20"/>
        </w:rPr>
        <w:t xml:space="preserve"> on laparoscopy;</w:t>
      </w:r>
      <w:r w:rsidR="00216AA9" w:rsidRPr="00BA724E">
        <w:rPr>
          <w:sz w:val="20"/>
          <w:szCs w:val="20"/>
        </w:rPr>
        <w:t xml:space="preserve"> one </w:t>
      </w:r>
      <w:r w:rsidR="00780320" w:rsidRPr="00BA724E">
        <w:rPr>
          <w:sz w:val="20"/>
          <w:szCs w:val="20"/>
        </w:rPr>
        <w:t>with volvulus</w:t>
      </w:r>
      <w:r w:rsidR="00216AA9" w:rsidRPr="00BA724E">
        <w:rPr>
          <w:sz w:val="20"/>
          <w:szCs w:val="20"/>
        </w:rPr>
        <w:t xml:space="preserve"> and one without. Both </w:t>
      </w:r>
      <w:r w:rsidR="00B403A3" w:rsidRPr="00BA724E">
        <w:rPr>
          <w:sz w:val="20"/>
          <w:szCs w:val="20"/>
        </w:rPr>
        <w:t xml:space="preserve">cases </w:t>
      </w:r>
      <w:r w:rsidR="00216AA9" w:rsidRPr="00BA724E">
        <w:rPr>
          <w:sz w:val="20"/>
          <w:szCs w:val="20"/>
        </w:rPr>
        <w:t xml:space="preserve">were </w:t>
      </w:r>
      <w:r w:rsidR="00AB24B8" w:rsidRPr="00BA724E">
        <w:rPr>
          <w:sz w:val="20"/>
          <w:szCs w:val="20"/>
        </w:rPr>
        <w:t>converted to</w:t>
      </w:r>
      <w:r w:rsidRPr="00BA724E">
        <w:rPr>
          <w:sz w:val="20"/>
          <w:szCs w:val="20"/>
        </w:rPr>
        <w:t xml:space="preserve"> laparotomy </w:t>
      </w:r>
      <w:r w:rsidR="00B403A3" w:rsidRPr="00BA724E">
        <w:rPr>
          <w:sz w:val="20"/>
          <w:szCs w:val="20"/>
        </w:rPr>
        <w:t>for</w:t>
      </w:r>
      <w:r w:rsidR="00AB24B8" w:rsidRPr="00BA724E">
        <w:rPr>
          <w:sz w:val="20"/>
          <w:szCs w:val="20"/>
        </w:rPr>
        <w:t xml:space="preserve"> correction of malrotation performed (</w:t>
      </w:r>
      <w:r w:rsidRPr="00BA724E">
        <w:rPr>
          <w:sz w:val="20"/>
          <w:szCs w:val="20"/>
        </w:rPr>
        <w:t>Ladd’s procedure</w:t>
      </w:r>
      <w:r w:rsidR="00AB24B8" w:rsidRPr="00BA724E">
        <w:rPr>
          <w:sz w:val="20"/>
          <w:szCs w:val="20"/>
        </w:rPr>
        <w:t>)</w:t>
      </w:r>
      <w:r w:rsidR="00B403A3" w:rsidRPr="00BA724E">
        <w:rPr>
          <w:sz w:val="20"/>
          <w:szCs w:val="20"/>
        </w:rPr>
        <w:t xml:space="preserve"> as per surgeon preference</w:t>
      </w:r>
      <w:r w:rsidRPr="00BA724E">
        <w:rPr>
          <w:sz w:val="20"/>
          <w:szCs w:val="20"/>
        </w:rPr>
        <w:t>.</w:t>
      </w:r>
    </w:p>
    <w:p w14:paraId="4B72B860" w14:textId="77777777" w:rsidR="00C17838" w:rsidRPr="00BA724E" w:rsidRDefault="00C17838" w:rsidP="00C17838">
      <w:pPr>
        <w:spacing w:line="360" w:lineRule="auto"/>
        <w:rPr>
          <w:sz w:val="20"/>
          <w:szCs w:val="20"/>
        </w:rPr>
      </w:pPr>
      <w:r w:rsidRPr="00BA724E">
        <w:rPr>
          <w:sz w:val="20"/>
          <w:szCs w:val="20"/>
        </w:rPr>
        <w:t xml:space="preserve"> </w:t>
      </w:r>
    </w:p>
    <w:p w14:paraId="0B180788" w14:textId="77777777" w:rsidR="00C17838" w:rsidRPr="00BA724E" w:rsidRDefault="00C17838" w:rsidP="00C17838">
      <w:pPr>
        <w:spacing w:line="360" w:lineRule="auto"/>
        <w:rPr>
          <w:i/>
          <w:sz w:val="20"/>
          <w:szCs w:val="20"/>
        </w:rPr>
      </w:pPr>
      <w:r w:rsidRPr="00BA724E">
        <w:rPr>
          <w:i/>
          <w:sz w:val="20"/>
          <w:szCs w:val="20"/>
        </w:rPr>
        <w:t xml:space="preserve">Postoperative </w:t>
      </w:r>
      <w:r w:rsidR="00A622DC" w:rsidRPr="00BA724E">
        <w:rPr>
          <w:i/>
          <w:sz w:val="20"/>
          <w:szCs w:val="20"/>
        </w:rPr>
        <w:t>course</w:t>
      </w:r>
      <w:r w:rsidRPr="00BA724E">
        <w:rPr>
          <w:i/>
          <w:sz w:val="20"/>
          <w:szCs w:val="20"/>
        </w:rPr>
        <w:t xml:space="preserve"> </w:t>
      </w:r>
    </w:p>
    <w:p w14:paraId="33E598EA" w14:textId="5A716281" w:rsidR="00C17838" w:rsidRPr="00BA724E" w:rsidRDefault="006A6201" w:rsidP="00C17838">
      <w:pPr>
        <w:spacing w:line="360" w:lineRule="auto"/>
        <w:rPr>
          <w:sz w:val="20"/>
          <w:szCs w:val="20"/>
        </w:rPr>
      </w:pPr>
      <w:r w:rsidRPr="00BA724E">
        <w:rPr>
          <w:sz w:val="20"/>
          <w:szCs w:val="20"/>
        </w:rPr>
        <w:t xml:space="preserve">In the 6 infants without malrotation, </w:t>
      </w:r>
      <w:r w:rsidR="00C17838" w:rsidRPr="00BA724E">
        <w:rPr>
          <w:sz w:val="20"/>
          <w:szCs w:val="20"/>
        </w:rPr>
        <w:t>median postoperative hospital stay was 2 days (range 2-3</w:t>
      </w:r>
      <w:r w:rsidR="00C32C2C" w:rsidRPr="00BA724E">
        <w:rPr>
          <w:sz w:val="20"/>
          <w:szCs w:val="20"/>
        </w:rPr>
        <w:t xml:space="preserve"> </w:t>
      </w:r>
      <w:r w:rsidR="00C17838" w:rsidRPr="00BA724E">
        <w:rPr>
          <w:sz w:val="20"/>
          <w:szCs w:val="20"/>
        </w:rPr>
        <w:t xml:space="preserve">days). </w:t>
      </w:r>
      <w:r w:rsidR="00B403A3" w:rsidRPr="00BA724E">
        <w:rPr>
          <w:sz w:val="20"/>
          <w:szCs w:val="20"/>
        </w:rPr>
        <w:t>These 6 i</w:t>
      </w:r>
      <w:r w:rsidR="00A6152D" w:rsidRPr="00BA724E">
        <w:rPr>
          <w:sz w:val="20"/>
          <w:szCs w:val="20"/>
        </w:rPr>
        <w:t>nfants</w:t>
      </w:r>
      <w:r w:rsidR="00C17838" w:rsidRPr="00BA724E">
        <w:rPr>
          <w:sz w:val="20"/>
          <w:szCs w:val="20"/>
        </w:rPr>
        <w:t xml:space="preserve"> </w:t>
      </w:r>
      <w:proofErr w:type="gramStart"/>
      <w:r w:rsidR="00C17838" w:rsidRPr="00BA724E">
        <w:rPr>
          <w:sz w:val="20"/>
          <w:szCs w:val="20"/>
        </w:rPr>
        <w:t>were allowed to</w:t>
      </w:r>
      <w:proofErr w:type="gramEnd"/>
      <w:r w:rsidR="00C17838" w:rsidRPr="00BA724E">
        <w:rPr>
          <w:sz w:val="20"/>
          <w:szCs w:val="20"/>
        </w:rPr>
        <w:t xml:space="preserve"> feed upon re</w:t>
      </w:r>
      <w:r w:rsidR="00A6152D" w:rsidRPr="00BA724E">
        <w:rPr>
          <w:sz w:val="20"/>
          <w:szCs w:val="20"/>
        </w:rPr>
        <w:t>covery from anaesthesia</w:t>
      </w:r>
      <w:r w:rsidR="00C17838" w:rsidRPr="00BA724E">
        <w:rPr>
          <w:sz w:val="20"/>
          <w:szCs w:val="20"/>
        </w:rPr>
        <w:t xml:space="preserve"> and </w:t>
      </w:r>
      <w:r w:rsidR="00A6152D" w:rsidRPr="00BA724E">
        <w:rPr>
          <w:sz w:val="20"/>
          <w:szCs w:val="20"/>
        </w:rPr>
        <w:t xml:space="preserve">rapidly established on full enteral feeds with no infant receiving parenteral nutrition. </w:t>
      </w:r>
      <w:r w:rsidR="00C17838" w:rsidRPr="00BA724E">
        <w:rPr>
          <w:sz w:val="20"/>
          <w:szCs w:val="20"/>
        </w:rPr>
        <w:t xml:space="preserve">All </w:t>
      </w:r>
      <w:r w:rsidR="00B403A3" w:rsidRPr="00BA724E">
        <w:rPr>
          <w:sz w:val="20"/>
          <w:szCs w:val="20"/>
        </w:rPr>
        <w:t xml:space="preserve">6 </w:t>
      </w:r>
      <w:r w:rsidR="00C17838" w:rsidRPr="00BA724E">
        <w:rPr>
          <w:sz w:val="20"/>
          <w:szCs w:val="20"/>
        </w:rPr>
        <w:t xml:space="preserve">infants recovered without complication and were discharged home. </w:t>
      </w:r>
      <w:r w:rsidR="00A3609F" w:rsidRPr="00BA724E">
        <w:rPr>
          <w:sz w:val="20"/>
          <w:szCs w:val="20"/>
        </w:rPr>
        <w:t>No</w:t>
      </w:r>
      <w:r w:rsidR="00B403A3" w:rsidRPr="00BA724E">
        <w:rPr>
          <w:sz w:val="20"/>
          <w:szCs w:val="20"/>
        </w:rPr>
        <w:t>ne</w:t>
      </w:r>
      <w:r w:rsidR="00A3609F" w:rsidRPr="00BA724E">
        <w:rPr>
          <w:sz w:val="20"/>
          <w:szCs w:val="20"/>
        </w:rPr>
        <w:t xml:space="preserve"> has experienced a recurrence of </w:t>
      </w:r>
      <w:r w:rsidR="00B403A3" w:rsidRPr="00BA724E">
        <w:rPr>
          <w:sz w:val="20"/>
          <w:szCs w:val="20"/>
        </w:rPr>
        <w:t xml:space="preserve">symptoms </w:t>
      </w:r>
      <w:r w:rsidR="00A3609F" w:rsidRPr="00BA724E">
        <w:rPr>
          <w:sz w:val="20"/>
          <w:szCs w:val="20"/>
        </w:rPr>
        <w:t xml:space="preserve">requiring further investigation </w:t>
      </w:r>
      <w:r w:rsidR="00B403A3" w:rsidRPr="00BA724E">
        <w:rPr>
          <w:sz w:val="20"/>
          <w:szCs w:val="20"/>
        </w:rPr>
        <w:t>n</w:t>
      </w:r>
      <w:r w:rsidR="00A3609F" w:rsidRPr="00BA724E">
        <w:rPr>
          <w:sz w:val="20"/>
          <w:szCs w:val="20"/>
        </w:rPr>
        <w:t xml:space="preserve">or operative management at median follow-up 27.5 months (range 9 - 46 months). </w:t>
      </w:r>
      <w:r w:rsidR="00B403A3" w:rsidRPr="00BA724E">
        <w:rPr>
          <w:sz w:val="20"/>
          <w:szCs w:val="20"/>
        </w:rPr>
        <w:t>Infant</w:t>
      </w:r>
      <w:r w:rsidR="007F2557" w:rsidRPr="00BA724E">
        <w:rPr>
          <w:sz w:val="20"/>
          <w:szCs w:val="20"/>
        </w:rPr>
        <w:t xml:space="preserve"> 7 </w:t>
      </w:r>
      <w:r w:rsidR="00013B82" w:rsidRPr="00BA724E">
        <w:rPr>
          <w:sz w:val="20"/>
          <w:szCs w:val="20"/>
        </w:rPr>
        <w:t>required a longer hospital stay due to post-</w:t>
      </w:r>
      <w:r w:rsidR="00E6474B" w:rsidRPr="00BA724E">
        <w:rPr>
          <w:sz w:val="20"/>
          <w:szCs w:val="20"/>
        </w:rPr>
        <w:t>operative</w:t>
      </w:r>
      <w:r w:rsidR="00013B82" w:rsidRPr="00BA724E">
        <w:rPr>
          <w:sz w:val="20"/>
          <w:szCs w:val="20"/>
        </w:rPr>
        <w:t xml:space="preserve"> ileus, need to </w:t>
      </w:r>
      <w:r w:rsidR="00DC3ECA" w:rsidRPr="00BA724E">
        <w:rPr>
          <w:sz w:val="20"/>
          <w:szCs w:val="20"/>
        </w:rPr>
        <w:t>re-establish</w:t>
      </w:r>
      <w:r w:rsidR="00013B82" w:rsidRPr="00BA724E">
        <w:rPr>
          <w:sz w:val="20"/>
          <w:szCs w:val="20"/>
        </w:rPr>
        <w:t xml:space="preserve"> feeds</w:t>
      </w:r>
      <w:r w:rsidR="00DC3ECA" w:rsidRPr="00BA724E">
        <w:rPr>
          <w:sz w:val="20"/>
          <w:szCs w:val="20"/>
        </w:rPr>
        <w:t xml:space="preserve"> and </w:t>
      </w:r>
      <w:r w:rsidR="00013B82" w:rsidRPr="00BA724E">
        <w:rPr>
          <w:sz w:val="20"/>
          <w:szCs w:val="20"/>
        </w:rPr>
        <w:t xml:space="preserve">demonstrate </w:t>
      </w:r>
      <w:r w:rsidR="00DC3ECA" w:rsidRPr="00BA724E">
        <w:rPr>
          <w:sz w:val="20"/>
          <w:szCs w:val="20"/>
        </w:rPr>
        <w:t>weight gain</w:t>
      </w:r>
      <w:r w:rsidR="00013B82" w:rsidRPr="00BA724E">
        <w:rPr>
          <w:sz w:val="20"/>
          <w:szCs w:val="20"/>
        </w:rPr>
        <w:t>.</w:t>
      </w:r>
      <w:r w:rsidR="0028061B" w:rsidRPr="00BA724E">
        <w:rPr>
          <w:sz w:val="20"/>
          <w:szCs w:val="20"/>
        </w:rPr>
        <w:t xml:space="preserve"> </w:t>
      </w:r>
      <w:r w:rsidR="00B403A3" w:rsidRPr="00BA724E">
        <w:rPr>
          <w:sz w:val="20"/>
          <w:szCs w:val="20"/>
        </w:rPr>
        <w:t xml:space="preserve">Infant </w:t>
      </w:r>
      <w:r w:rsidR="0028061B" w:rsidRPr="00BA724E">
        <w:rPr>
          <w:sz w:val="20"/>
          <w:szCs w:val="20"/>
        </w:rPr>
        <w:t xml:space="preserve">8 </w:t>
      </w:r>
      <w:r w:rsidR="00A3609F" w:rsidRPr="00BA724E">
        <w:rPr>
          <w:sz w:val="20"/>
          <w:szCs w:val="20"/>
        </w:rPr>
        <w:t xml:space="preserve">progressed well postoperatively and was discharged on day 5. </w:t>
      </w:r>
      <w:r w:rsidR="00DC3ECA" w:rsidRPr="00BA724E">
        <w:rPr>
          <w:sz w:val="20"/>
          <w:szCs w:val="20"/>
        </w:rPr>
        <w:t xml:space="preserve"> </w:t>
      </w:r>
    </w:p>
    <w:p w14:paraId="0A281ECE" w14:textId="77777777" w:rsidR="00C17838" w:rsidRPr="00BA724E" w:rsidRDefault="00C17838" w:rsidP="00C17838">
      <w:pPr>
        <w:spacing w:line="360" w:lineRule="auto"/>
        <w:rPr>
          <w:sz w:val="20"/>
          <w:szCs w:val="20"/>
        </w:rPr>
      </w:pPr>
    </w:p>
    <w:p w14:paraId="4032777D" w14:textId="77777777" w:rsidR="00C17838" w:rsidRPr="0016486B" w:rsidRDefault="00C17838" w:rsidP="00021BFF">
      <w:pPr>
        <w:pStyle w:val="Heading2"/>
        <w:rPr>
          <w:rFonts w:ascii="Times New Roman" w:hAnsi="Times New Roman" w:cs="Times New Roman"/>
          <w:color w:val="000000" w:themeColor="text1"/>
          <w:sz w:val="20"/>
          <w:szCs w:val="20"/>
        </w:rPr>
      </w:pPr>
      <w:r w:rsidRPr="0016486B">
        <w:rPr>
          <w:rFonts w:ascii="Times New Roman" w:hAnsi="Times New Roman" w:cs="Times New Roman"/>
          <w:color w:val="000000" w:themeColor="text1"/>
          <w:sz w:val="20"/>
          <w:szCs w:val="20"/>
        </w:rPr>
        <w:t xml:space="preserve">Discussion </w:t>
      </w:r>
    </w:p>
    <w:p w14:paraId="6B1EC828" w14:textId="77777777" w:rsidR="00C17838" w:rsidRPr="00BA724E" w:rsidRDefault="00C17838" w:rsidP="00C17838">
      <w:pPr>
        <w:spacing w:line="360" w:lineRule="auto"/>
        <w:rPr>
          <w:sz w:val="20"/>
          <w:szCs w:val="20"/>
        </w:rPr>
      </w:pPr>
    </w:p>
    <w:p w14:paraId="16F186E4" w14:textId="3E17102A" w:rsidR="00275FA9" w:rsidRPr="00BA724E" w:rsidRDefault="00C17838" w:rsidP="00C17838">
      <w:pPr>
        <w:spacing w:line="360" w:lineRule="auto"/>
        <w:rPr>
          <w:sz w:val="20"/>
          <w:szCs w:val="20"/>
        </w:rPr>
      </w:pPr>
      <w:r w:rsidRPr="00BA724E">
        <w:rPr>
          <w:sz w:val="20"/>
          <w:szCs w:val="20"/>
        </w:rPr>
        <w:t xml:space="preserve">In cases </w:t>
      </w:r>
      <w:r w:rsidR="00275FA9" w:rsidRPr="00BA724E">
        <w:rPr>
          <w:sz w:val="20"/>
          <w:szCs w:val="20"/>
        </w:rPr>
        <w:t xml:space="preserve">with clinical features concerning for malrotation the paediatric surgeon seeks diagnostic certainty. If radiological investigations cannot provide such </w:t>
      </w:r>
      <w:proofErr w:type="gramStart"/>
      <w:r w:rsidR="00275FA9" w:rsidRPr="00BA724E">
        <w:rPr>
          <w:sz w:val="20"/>
          <w:szCs w:val="20"/>
        </w:rPr>
        <w:t>certainty</w:t>
      </w:r>
      <w:proofErr w:type="gramEnd"/>
      <w:r w:rsidR="00275FA9" w:rsidRPr="00BA724E">
        <w:rPr>
          <w:sz w:val="20"/>
          <w:szCs w:val="20"/>
        </w:rPr>
        <w:t xml:space="preserve"> then historically most</w:t>
      </w:r>
      <w:r w:rsidRPr="00BA724E">
        <w:rPr>
          <w:sz w:val="20"/>
          <w:szCs w:val="20"/>
        </w:rPr>
        <w:t xml:space="preserve"> infants would undergo a laparotomy</w:t>
      </w:r>
      <w:r w:rsidR="00275FA9" w:rsidRPr="00BA724E">
        <w:rPr>
          <w:sz w:val="20"/>
          <w:szCs w:val="20"/>
        </w:rPr>
        <w:t xml:space="preserve"> to examine the orientation and position of the midgut within the abdominal cavity</w:t>
      </w:r>
      <w:r w:rsidRPr="00BA724E">
        <w:rPr>
          <w:sz w:val="20"/>
          <w:szCs w:val="20"/>
        </w:rPr>
        <w:t xml:space="preserve">. </w:t>
      </w:r>
      <w:r w:rsidR="00275FA9" w:rsidRPr="00BA724E">
        <w:rPr>
          <w:sz w:val="20"/>
          <w:szCs w:val="20"/>
        </w:rPr>
        <w:t xml:space="preserve">It is well recognised that </w:t>
      </w:r>
      <w:r w:rsidRPr="00BA724E">
        <w:rPr>
          <w:sz w:val="20"/>
          <w:szCs w:val="20"/>
        </w:rPr>
        <w:t>open abd</w:t>
      </w:r>
      <w:r w:rsidR="00275FA9" w:rsidRPr="00BA724E">
        <w:rPr>
          <w:sz w:val="20"/>
          <w:szCs w:val="20"/>
        </w:rPr>
        <w:t xml:space="preserve">ominal surgery in children has a </w:t>
      </w:r>
      <w:r w:rsidRPr="00BA724E">
        <w:rPr>
          <w:sz w:val="20"/>
          <w:szCs w:val="20"/>
        </w:rPr>
        <w:t>long-term morbidity with an overall readmission rate with small bowel obstruction of 5.3%</w:t>
      </w:r>
      <w:r w:rsidR="00202B57">
        <w:rPr>
          <w:sz w:val="20"/>
          <w:szCs w:val="20"/>
        </w:rPr>
        <w:t xml:space="preserve"> [</w:t>
      </w:r>
      <w:r w:rsidR="0021105E">
        <w:rPr>
          <w:sz w:val="20"/>
          <w:szCs w:val="20"/>
        </w:rPr>
        <w:t>8</w:t>
      </w:r>
      <w:r w:rsidR="00202B57">
        <w:rPr>
          <w:sz w:val="20"/>
          <w:szCs w:val="20"/>
        </w:rPr>
        <w:t>]</w:t>
      </w:r>
      <w:r w:rsidRPr="00BA724E">
        <w:rPr>
          <w:sz w:val="20"/>
          <w:szCs w:val="20"/>
        </w:rPr>
        <w:t xml:space="preserve">, </w:t>
      </w:r>
      <w:r w:rsidR="00275FA9" w:rsidRPr="00BA724E">
        <w:rPr>
          <w:sz w:val="20"/>
          <w:szCs w:val="20"/>
        </w:rPr>
        <w:t xml:space="preserve">rising to </w:t>
      </w:r>
      <w:r w:rsidRPr="00BA724E">
        <w:rPr>
          <w:sz w:val="20"/>
          <w:szCs w:val="20"/>
        </w:rPr>
        <w:t>8.3% following neonatal laparotomy</w:t>
      </w:r>
      <w:r w:rsidR="00202B57">
        <w:rPr>
          <w:sz w:val="20"/>
          <w:szCs w:val="20"/>
        </w:rPr>
        <w:t xml:space="preserve"> [</w:t>
      </w:r>
      <w:r w:rsidR="0021105E">
        <w:rPr>
          <w:sz w:val="20"/>
          <w:szCs w:val="20"/>
        </w:rPr>
        <w:t>9</w:t>
      </w:r>
      <w:r w:rsidR="00202B57">
        <w:rPr>
          <w:sz w:val="20"/>
          <w:szCs w:val="20"/>
        </w:rPr>
        <w:t>]</w:t>
      </w:r>
      <w:r w:rsidRPr="00BA724E">
        <w:rPr>
          <w:sz w:val="20"/>
          <w:szCs w:val="20"/>
        </w:rPr>
        <w:t xml:space="preserve"> and 10-15% specifically for malrotation</w:t>
      </w:r>
      <w:r w:rsidR="00202B57">
        <w:rPr>
          <w:sz w:val="20"/>
          <w:szCs w:val="20"/>
          <w:vertAlign w:val="superscript"/>
        </w:rPr>
        <w:t xml:space="preserve"> </w:t>
      </w:r>
      <w:r w:rsidR="00202B57">
        <w:rPr>
          <w:sz w:val="20"/>
          <w:szCs w:val="20"/>
        </w:rPr>
        <w:t>[9</w:t>
      </w:r>
      <w:r w:rsidR="0021105E">
        <w:rPr>
          <w:sz w:val="20"/>
          <w:szCs w:val="20"/>
        </w:rPr>
        <w:t>, 10</w:t>
      </w:r>
      <w:r w:rsidR="00202B57">
        <w:rPr>
          <w:sz w:val="20"/>
          <w:szCs w:val="20"/>
        </w:rPr>
        <w:t>]</w:t>
      </w:r>
      <w:r w:rsidRPr="00BA724E">
        <w:rPr>
          <w:sz w:val="20"/>
          <w:szCs w:val="20"/>
        </w:rPr>
        <w:t xml:space="preserve">. </w:t>
      </w:r>
      <w:r w:rsidR="00275FA9" w:rsidRPr="00BA724E">
        <w:rPr>
          <w:sz w:val="20"/>
          <w:szCs w:val="20"/>
        </w:rPr>
        <w:t xml:space="preserve"> </w:t>
      </w:r>
      <w:proofErr w:type="gramStart"/>
      <w:r w:rsidR="00275FA9" w:rsidRPr="00BA724E">
        <w:rPr>
          <w:sz w:val="20"/>
          <w:szCs w:val="20"/>
        </w:rPr>
        <w:t>Additionally</w:t>
      </w:r>
      <w:proofErr w:type="gramEnd"/>
      <w:r w:rsidR="00275FA9" w:rsidRPr="00BA724E">
        <w:rPr>
          <w:sz w:val="20"/>
          <w:szCs w:val="20"/>
        </w:rPr>
        <w:t xml:space="preserve"> short term recovery </w:t>
      </w:r>
      <w:r w:rsidR="00AA3D5D">
        <w:rPr>
          <w:sz w:val="20"/>
          <w:szCs w:val="20"/>
        </w:rPr>
        <w:t xml:space="preserve">has been reported </w:t>
      </w:r>
      <w:r w:rsidR="00275FA9" w:rsidRPr="00BA724E">
        <w:rPr>
          <w:sz w:val="20"/>
          <w:szCs w:val="20"/>
        </w:rPr>
        <w:t xml:space="preserve">to be </w:t>
      </w:r>
      <w:r w:rsidR="00177E2D" w:rsidRPr="00BA724E">
        <w:rPr>
          <w:sz w:val="20"/>
          <w:szCs w:val="20"/>
        </w:rPr>
        <w:t>swifter</w:t>
      </w:r>
      <w:r w:rsidR="0093577F" w:rsidRPr="00BA724E">
        <w:rPr>
          <w:sz w:val="20"/>
          <w:szCs w:val="20"/>
        </w:rPr>
        <w:t xml:space="preserve"> </w:t>
      </w:r>
      <w:r w:rsidR="00275FA9" w:rsidRPr="00BA724E">
        <w:rPr>
          <w:sz w:val="20"/>
          <w:szCs w:val="20"/>
        </w:rPr>
        <w:t xml:space="preserve">following minimally invasive </w:t>
      </w:r>
      <w:r w:rsidR="000C4412" w:rsidRPr="00BA724E">
        <w:rPr>
          <w:sz w:val="20"/>
          <w:szCs w:val="20"/>
        </w:rPr>
        <w:t>compared to open surgery</w:t>
      </w:r>
      <w:r w:rsidR="000C4412">
        <w:rPr>
          <w:sz w:val="20"/>
          <w:szCs w:val="20"/>
        </w:rPr>
        <w:t xml:space="preserve"> [11].  </w:t>
      </w:r>
      <w:r w:rsidR="00275FA9" w:rsidRPr="00BA724E">
        <w:rPr>
          <w:sz w:val="20"/>
          <w:szCs w:val="20"/>
        </w:rPr>
        <w:t xml:space="preserve">In an attempt to reduce </w:t>
      </w:r>
      <w:proofErr w:type="gramStart"/>
      <w:r w:rsidR="00275FA9" w:rsidRPr="00BA724E">
        <w:rPr>
          <w:sz w:val="20"/>
          <w:szCs w:val="20"/>
        </w:rPr>
        <w:t>short and long term</w:t>
      </w:r>
      <w:proofErr w:type="gramEnd"/>
      <w:r w:rsidR="00275FA9" w:rsidRPr="00BA724E">
        <w:rPr>
          <w:sz w:val="20"/>
          <w:szCs w:val="20"/>
        </w:rPr>
        <w:t xml:space="preserve"> morbidity associated with diagnostic surgery we have </w:t>
      </w:r>
      <w:r w:rsidR="00FF23ED">
        <w:rPr>
          <w:sz w:val="20"/>
          <w:szCs w:val="20"/>
        </w:rPr>
        <w:t>performed</w:t>
      </w:r>
      <w:r w:rsidR="00FF23ED" w:rsidRPr="00BA724E">
        <w:rPr>
          <w:sz w:val="20"/>
          <w:szCs w:val="20"/>
        </w:rPr>
        <w:t xml:space="preserve"> </w:t>
      </w:r>
      <w:r w:rsidR="00275FA9" w:rsidRPr="00BA724E">
        <w:rPr>
          <w:sz w:val="20"/>
          <w:szCs w:val="20"/>
        </w:rPr>
        <w:t>diagnostic laparoscopy</w:t>
      </w:r>
      <w:r w:rsidR="00100BF4" w:rsidRPr="00BA724E">
        <w:rPr>
          <w:sz w:val="20"/>
          <w:szCs w:val="20"/>
        </w:rPr>
        <w:t xml:space="preserve"> in cases concerning for malrotation </w:t>
      </w:r>
      <w:r w:rsidR="00FF23ED">
        <w:rPr>
          <w:sz w:val="20"/>
          <w:szCs w:val="20"/>
        </w:rPr>
        <w:t xml:space="preserve">with equivocal imaging </w:t>
      </w:r>
      <w:r w:rsidR="00013B82" w:rsidRPr="00BA724E">
        <w:rPr>
          <w:sz w:val="20"/>
          <w:szCs w:val="20"/>
        </w:rPr>
        <w:t>despite the involvement of an experienced paediatric radiologist.</w:t>
      </w:r>
      <w:r w:rsidR="00D70E4F" w:rsidRPr="00BA724E">
        <w:rPr>
          <w:sz w:val="20"/>
          <w:szCs w:val="20"/>
        </w:rPr>
        <w:t xml:space="preserve"> </w:t>
      </w:r>
    </w:p>
    <w:p w14:paraId="4AD0A315" w14:textId="77777777" w:rsidR="00C17838" w:rsidRPr="00BA724E" w:rsidRDefault="00C17838" w:rsidP="00C17838">
      <w:pPr>
        <w:spacing w:line="360" w:lineRule="auto"/>
        <w:rPr>
          <w:sz w:val="20"/>
          <w:szCs w:val="20"/>
        </w:rPr>
      </w:pPr>
    </w:p>
    <w:p w14:paraId="410D36B1" w14:textId="18CC47CF" w:rsidR="005816EB" w:rsidRPr="00BA724E" w:rsidRDefault="00275FA9" w:rsidP="00275FA9">
      <w:pPr>
        <w:spacing w:line="360" w:lineRule="auto"/>
        <w:rPr>
          <w:sz w:val="20"/>
          <w:szCs w:val="20"/>
        </w:rPr>
      </w:pPr>
      <w:r w:rsidRPr="00BA724E">
        <w:rPr>
          <w:sz w:val="20"/>
          <w:szCs w:val="20"/>
        </w:rPr>
        <w:t xml:space="preserve">Using this </w:t>
      </w:r>
      <w:proofErr w:type="gramStart"/>
      <w:r w:rsidRPr="00BA724E">
        <w:rPr>
          <w:sz w:val="20"/>
          <w:szCs w:val="20"/>
        </w:rPr>
        <w:t>approach</w:t>
      </w:r>
      <w:proofErr w:type="gramEnd"/>
      <w:r w:rsidRPr="00BA724E">
        <w:rPr>
          <w:sz w:val="20"/>
          <w:szCs w:val="20"/>
        </w:rPr>
        <w:t xml:space="preserve"> we have been able to examine the orientation and position of the midgut within the abdominal cavity to provide the certainty we seek that the rotation </w:t>
      </w:r>
      <w:r w:rsidR="000C4412">
        <w:rPr>
          <w:sz w:val="20"/>
          <w:szCs w:val="20"/>
        </w:rPr>
        <w:t>i</w:t>
      </w:r>
      <w:r w:rsidRPr="00BA724E">
        <w:rPr>
          <w:sz w:val="20"/>
          <w:szCs w:val="20"/>
        </w:rPr>
        <w:t>s normal</w:t>
      </w:r>
      <w:r w:rsidR="00C42AAE">
        <w:rPr>
          <w:sz w:val="20"/>
          <w:szCs w:val="20"/>
        </w:rPr>
        <w:t xml:space="preserve"> </w:t>
      </w:r>
      <w:r w:rsidR="0000264E">
        <w:rPr>
          <w:sz w:val="20"/>
          <w:szCs w:val="20"/>
        </w:rPr>
        <w:t>whilst</w:t>
      </w:r>
      <w:r w:rsidR="00C42AAE">
        <w:rPr>
          <w:sz w:val="20"/>
          <w:szCs w:val="20"/>
        </w:rPr>
        <w:t xml:space="preserve"> </w:t>
      </w:r>
      <w:r w:rsidR="00B270B1">
        <w:rPr>
          <w:sz w:val="20"/>
          <w:szCs w:val="20"/>
        </w:rPr>
        <w:t>minimis</w:t>
      </w:r>
      <w:r w:rsidR="0000264E">
        <w:rPr>
          <w:sz w:val="20"/>
          <w:szCs w:val="20"/>
        </w:rPr>
        <w:t>ing</w:t>
      </w:r>
      <w:r w:rsidR="00B270B1">
        <w:rPr>
          <w:sz w:val="20"/>
          <w:szCs w:val="20"/>
        </w:rPr>
        <w:t xml:space="preserve"> the morbidity </w:t>
      </w:r>
      <w:r w:rsidR="0000264E">
        <w:rPr>
          <w:sz w:val="20"/>
          <w:szCs w:val="20"/>
        </w:rPr>
        <w:t xml:space="preserve">of the procedure through the use of laparoscopy rather than </w:t>
      </w:r>
      <w:r w:rsidR="00C42AAE">
        <w:rPr>
          <w:sz w:val="20"/>
          <w:szCs w:val="20"/>
        </w:rPr>
        <w:t xml:space="preserve">laparotomy. </w:t>
      </w:r>
      <w:r w:rsidRPr="00BA724E">
        <w:rPr>
          <w:sz w:val="20"/>
          <w:szCs w:val="20"/>
        </w:rPr>
        <w:t xml:space="preserve"> </w:t>
      </w:r>
      <w:r w:rsidR="007D7FC8" w:rsidRPr="00BA724E">
        <w:rPr>
          <w:sz w:val="20"/>
          <w:szCs w:val="20"/>
        </w:rPr>
        <w:t xml:space="preserve">In </w:t>
      </w:r>
      <w:r w:rsidR="00D51C5F" w:rsidRPr="00BA724E">
        <w:rPr>
          <w:sz w:val="20"/>
          <w:szCs w:val="20"/>
        </w:rPr>
        <w:t xml:space="preserve">two </w:t>
      </w:r>
      <w:r w:rsidR="007D7FC8" w:rsidRPr="00BA724E">
        <w:rPr>
          <w:sz w:val="20"/>
          <w:szCs w:val="20"/>
        </w:rPr>
        <w:t>case</w:t>
      </w:r>
      <w:r w:rsidR="00D51C5F" w:rsidRPr="00BA724E">
        <w:rPr>
          <w:sz w:val="20"/>
          <w:szCs w:val="20"/>
        </w:rPr>
        <w:t>s</w:t>
      </w:r>
      <w:r w:rsidR="007D7FC8" w:rsidRPr="00BA724E">
        <w:rPr>
          <w:sz w:val="20"/>
          <w:szCs w:val="20"/>
        </w:rPr>
        <w:t xml:space="preserve"> of malrotation, the laparoscopic findings were clear cut and we proceeded to laparotomy</w:t>
      </w:r>
      <w:r w:rsidR="00785BB4">
        <w:rPr>
          <w:sz w:val="20"/>
          <w:szCs w:val="20"/>
        </w:rPr>
        <w:t xml:space="preserve">. </w:t>
      </w:r>
      <w:r w:rsidRPr="00BA724E">
        <w:rPr>
          <w:sz w:val="20"/>
          <w:szCs w:val="20"/>
        </w:rPr>
        <w:t>In no</w:t>
      </w:r>
      <w:r w:rsidR="007D7FC8" w:rsidRPr="00BA724E">
        <w:rPr>
          <w:sz w:val="20"/>
          <w:szCs w:val="20"/>
        </w:rPr>
        <w:t>ne of the</w:t>
      </w:r>
      <w:r w:rsidRPr="00BA724E">
        <w:rPr>
          <w:sz w:val="20"/>
          <w:szCs w:val="20"/>
        </w:rPr>
        <w:t xml:space="preserve"> </w:t>
      </w:r>
      <w:r w:rsidR="007D7FC8" w:rsidRPr="00BA724E">
        <w:rPr>
          <w:sz w:val="20"/>
          <w:szCs w:val="20"/>
        </w:rPr>
        <w:t>remaining cases</w:t>
      </w:r>
      <w:r w:rsidRPr="00BA724E">
        <w:rPr>
          <w:sz w:val="20"/>
          <w:szCs w:val="20"/>
        </w:rPr>
        <w:t xml:space="preserve"> did we identify any </w:t>
      </w:r>
      <w:r w:rsidR="007D7FC8" w:rsidRPr="00BA724E">
        <w:rPr>
          <w:sz w:val="20"/>
          <w:szCs w:val="20"/>
        </w:rPr>
        <w:t xml:space="preserve">additional </w:t>
      </w:r>
      <w:r w:rsidRPr="00BA724E">
        <w:rPr>
          <w:sz w:val="20"/>
          <w:szCs w:val="20"/>
        </w:rPr>
        <w:t>anatomical findings requiring</w:t>
      </w:r>
      <w:r w:rsidR="00203047" w:rsidRPr="00BA724E">
        <w:rPr>
          <w:sz w:val="20"/>
          <w:szCs w:val="20"/>
        </w:rPr>
        <w:t xml:space="preserve"> further</w:t>
      </w:r>
      <w:r w:rsidRPr="00BA724E">
        <w:rPr>
          <w:sz w:val="20"/>
          <w:szCs w:val="20"/>
        </w:rPr>
        <w:t xml:space="preserve"> surgical intervention. Although our experience is </w:t>
      </w:r>
      <w:proofErr w:type="gramStart"/>
      <w:r w:rsidRPr="00BA724E">
        <w:rPr>
          <w:sz w:val="20"/>
          <w:szCs w:val="20"/>
        </w:rPr>
        <w:t>limited</w:t>
      </w:r>
      <w:proofErr w:type="gramEnd"/>
      <w:r w:rsidRPr="00BA724E">
        <w:rPr>
          <w:sz w:val="20"/>
          <w:szCs w:val="20"/>
        </w:rPr>
        <w:t xml:space="preserve"> we believe there are key steps to the diagnostic </w:t>
      </w:r>
      <w:r w:rsidR="0093577F" w:rsidRPr="00BA724E">
        <w:rPr>
          <w:sz w:val="20"/>
          <w:szCs w:val="20"/>
        </w:rPr>
        <w:t>laparoscopy that</w:t>
      </w:r>
      <w:r w:rsidR="000A5B86" w:rsidRPr="00BA724E">
        <w:rPr>
          <w:sz w:val="20"/>
          <w:szCs w:val="20"/>
        </w:rPr>
        <w:t xml:space="preserve"> </w:t>
      </w:r>
      <w:r w:rsidRPr="00BA724E">
        <w:rPr>
          <w:sz w:val="20"/>
          <w:szCs w:val="20"/>
        </w:rPr>
        <w:t>will help avoi</w:t>
      </w:r>
      <w:r w:rsidR="005816EB" w:rsidRPr="00BA724E">
        <w:rPr>
          <w:sz w:val="20"/>
          <w:szCs w:val="20"/>
        </w:rPr>
        <w:t>d false negative examinations. I</w:t>
      </w:r>
      <w:r w:rsidRPr="00BA724E">
        <w:rPr>
          <w:sz w:val="20"/>
          <w:szCs w:val="20"/>
        </w:rPr>
        <w:t>t is paramount to have clear visualisation and confirm key anatom</w:t>
      </w:r>
      <w:r w:rsidR="005816EB" w:rsidRPr="00BA724E">
        <w:rPr>
          <w:sz w:val="20"/>
          <w:szCs w:val="20"/>
        </w:rPr>
        <w:t>ical structures including (i) the</w:t>
      </w:r>
      <w:r w:rsidRPr="00BA724E">
        <w:rPr>
          <w:sz w:val="20"/>
          <w:szCs w:val="20"/>
        </w:rPr>
        <w:t xml:space="preserve"> </w:t>
      </w:r>
      <w:r w:rsidRPr="00BA724E">
        <w:rPr>
          <w:sz w:val="20"/>
          <w:szCs w:val="20"/>
        </w:rPr>
        <w:lastRenderedPageBreak/>
        <w:t>DJ flexure to the left of the midline</w:t>
      </w:r>
      <w:r w:rsidR="005816EB" w:rsidRPr="00BA724E">
        <w:rPr>
          <w:sz w:val="20"/>
          <w:szCs w:val="20"/>
        </w:rPr>
        <w:t xml:space="preserve"> fixed by a ligament of Treitz and sited in the left upper quadrant; (ii) </w:t>
      </w:r>
      <w:r w:rsidRPr="00BA724E">
        <w:rPr>
          <w:sz w:val="20"/>
          <w:szCs w:val="20"/>
        </w:rPr>
        <w:t xml:space="preserve">the proximal duodenum passing behind the root of the mesentery in a fixed retroperitoneal position; </w:t>
      </w:r>
      <w:r w:rsidR="005816EB" w:rsidRPr="00BA724E">
        <w:rPr>
          <w:sz w:val="20"/>
          <w:szCs w:val="20"/>
        </w:rPr>
        <w:t xml:space="preserve">(iii) </w:t>
      </w:r>
      <w:r w:rsidRPr="00BA724E">
        <w:rPr>
          <w:sz w:val="20"/>
          <w:szCs w:val="20"/>
        </w:rPr>
        <w:t xml:space="preserve">the caecum on the right and fixed to the </w:t>
      </w:r>
      <w:r w:rsidR="005816EB" w:rsidRPr="00BA724E">
        <w:rPr>
          <w:sz w:val="20"/>
          <w:szCs w:val="20"/>
        </w:rPr>
        <w:t>postero</w:t>
      </w:r>
      <w:r w:rsidRPr="00BA724E">
        <w:rPr>
          <w:sz w:val="20"/>
          <w:szCs w:val="20"/>
        </w:rPr>
        <w:t xml:space="preserve">lateral peritoneal wall; </w:t>
      </w:r>
      <w:r w:rsidR="005816EB" w:rsidRPr="00BA724E">
        <w:rPr>
          <w:sz w:val="20"/>
          <w:szCs w:val="20"/>
        </w:rPr>
        <w:t xml:space="preserve">(iv) </w:t>
      </w:r>
      <w:r w:rsidRPr="00BA724E">
        <w:rPr>
          <w:sz w:val="20"/>
          <w:szCs w:val="20"/>
        </w:rPr>
        <w:t xml:space="preserve">no Ladd’s bands from the caecum or right colon crossing the duodenum; </w:t>
      </w:r>
      <w:r w:rsidR="005816EB" w:rsidRPr="00BA724E">
        <w:rPr>
          <w:sz w:val="20"/>
          <w:szCs w:val="20"/>
        </w:rPr>
        <w:t xml:space="preserve">(v) a </w:t>
      </w:r>
      <w:r w:rsidRPr="00BA724E">
        <w:rPr>
          <w:sz w:val="20"/>
          <w:szCs w:val="20"/>
        </w:rPr>
        <w:t xml:space="preserve">wide-based mesentery and no other causative pathology. </w:t>
      </w:r>
      <w:r w:rsidR="005816EB" w:rsidRPr="00BA724E">
        <w:rPr>
          <w:sz w:val="20"/>
          <w:szCs w:val="20"/>
        </w:rPr>
        <w:t xml:space="preserve">Using this structured </w:t>
      </w:r>
      <w:proofErr w:type="gramStart"/>
      <w:r w:rsidR="005816EB" w:rsidRPr="00BA724E">
        <w:rPr>
          <w:sz w:val="20"/>
          <w:szCs w:val="20"/>
        </w:rPr>
        <w:t>approach</w:t>
      </w:r>
      <w:proofErr w:type="gramEnd"/>
      <w:r w:rsidR="005816EB" w:rsidRPr="00BA724E">
        <w:rPr>
          <w:sz w:val="20"/>
          <w:szCs w:val="20"/>
        </w:rPr>
        <w:t xml:space="preserve"> we have achieved diagnostic certainty, avoided open laparotomy and importantly not missed any cases of malrotation (although we acknowledge relatively short follow-up). If there were to be uncertainty regarding the laparoscopic </w:t>
      </w:r>
      <w:proofErr w:type="gramStart"/>
      <w:r w:rsidR="005816EB" w:rsidRPr="00BA724E">
        <w:rPr>
          <w:sz w:val="20"/>
          <w:szCs w:val="20"/>
        </w:rPr>
        <w:t>findings</w:t>
      </w:r>
      <w:proofErr w:type="gramEnd"/>
      <w:r w:rsidR="005816EB" w:rsidRPr="00BA724E">
        <w:rPr>
          <w:sz w:val="20"/>
          <w:szCs w:val="20"/>
        </w:rPr>
        <w:t xml:space="preserve"> we recommend a low threshold for conversion to open procedure.</w:t>
      </w:r>
    </w:p>
    <w:p w14:paraId="32F80AE1" w14:textId="77777777" w:rsidR="005816EB" w:rsidRPr="00BA724E" w:rsidRDefault="005816EB" w:rsidP="00275FA9">
      <w:pPr>
        <w:spacing w:line="360" w:lineRule="auto"/>
        <w:rPr>
          <w:sz w:val="20"/>
          <w:szCs w:val="20"/>
        </w:rPr>
      </w:pPr>
    </w:p>
    <w:p w14:paraId="70C626C3" w14:textId="78B1E23C" w:rsidR="005816EB" w:rsidRPr="00BA724E" w:rsidRDefault="005816EB" w:rsidP="00275FA9">
      <w:pPr>
        <w:spacing w:line="360" w:lineRule="auto"/>
        <w:rPr>
          <w:sz w:val="20"/>
          <w:szCs w:val="20"/>
        </w:rPr>
      </w:pPr>
      <w:r w:rsidRPr="00BA724E">
        <w:rPr>
          <w:sz w:val="20"/>
          <w:szCs w:val="20"/>
        </w:rPr>
        <w:t xml:space="preserve">Whilst the lack of a comparison group precludes firm </w:t>
      </w:r>
      <w:proofErr w:type="gramStart"/>
      <w:r w:rsidRPr="00BA724E">
        <w:rPr>
          <w:sz w:val="20"/>
          <w:szCs w:val="20"/>
        </w:rPr>
        <w:t>conclusions</w:t>
      </w:r>
      <w:proofErr w:type="gramEnd"/>
      <w:r w:rsidRPr="00BA724E">
        <w:rPr>
          <w:sz w:val="20"/>
          <w:szCs w:val="20"/>
        </w:rPr>
        <w:t xml:space="preserve"> we believe there are benefits to</w:t>
      </w:r>
      <w:r w:rsidR="00886D31">
        <w:rPr>
          <w:sz w:val="20"/>
          <w:szCs w:val="20"/>
        </w:rPr>
        <w:t xml:space="preserve"> diagnostic</w:t>
      </w:r>
      <w:r w:rsidRPr="00BA724E">
        <w:rPr>
          <w:sz w:val="20"/>
          <w:szCs w:val="20"/>
        </w:rPr>
        <w:t xml:space="preserve"> laparoscopy over an open </w:t>
      </w:r>
      <w:r w:rsidR="0000264E">
        <w:rPr>
          <w:sz w:val="20"/>
          <w:szCs w:val="20"/>
        </w:rPr>
        <w:t>diagnostic p</w:t>
      </w:r>
      <w:r w:rsidRPr="00BA724E">
        <w:rPr>
          <w:sz w:val="20"/>
          <w:szCs w:val="20"/>
        </w:rPr>
        <w:t xml:space="preserve">rocedure including improved cosmesis, rapid </w:t>
      </w:r>
      <w:r w:rsidR="00275FA9" w:rsidRPr="00BA724E">
        <w:rPr>
          <w:sz w:val="20"/>
          <w:szCs w:val="20"/>
        </w:rPr>
        <w:t xml:space="preserve">return to full feeds, </w:t>
      </w:r>
      <w:r w:rsidRPr="00BA724E">
        <w:rPr>
          <w:sz w:val="20"/>
          <w:szCs w:val="20"/>
        </w:rPr>
        <w:t xml:space="preserve">short post-operative </w:t>
      </w:r>
      <w:r w:rsidR="00275FA9" w:rsidRPr="00BA724E">
        <w:rPr>
          <w:sz w:val="20"/>
          <w:szCs w:val="20"/>
        </w:rPr>
        <w:t>hospital stay and reduced long-term ri</w:t>
      </w:r>
      <w:r w:rsidRPr="00BA724E">
        <w:rPr>
          <w:sz w:val="20"/>
          <w:szCs w:val="20"/>
        </w:rPr>
        <w:t xml:space="preserve">sk of </w:t>
      </w:r>
      <w:proofErr w:type="spellStart"/>
      <w:r w:rsidRPr="00BA724E">
        <w:rPr>
          <w:sz w:val="20"/>
          <w:szCs w:val="20"/>
        </w:rPr>
        <w:t>adhesional</w:t>
      </w:r>
      <w:proofErr w:type="spellEnd"/>
      <w:r w:rsidRPr="00BA724E">
        <w:rPr>
          <w:sz w:val="20"/>
          <w:szCs w:val="20"/>
        </w:rPr>
        <w:t xml:space="preserve"> complications.</w:t>
      </w:r>
      <w:r w:rsidR="00DE654F">
        <w:rPr>
          <w:sz w:val="20"/>
          <w:szCs w:val="20"/>
        </w:rPr>
        <w:t xml:space="preserve"> We acknowledge other minimal incision surgery via </w:t>
      </w:r>
      <w:proofErr w:type="spellStart"/>
      <w:r w:rsidR="00DE654F">
        <w:rPr>
          <w:sz w:val="20"/>
          <w:szCs w:val="20"/>
        </w:rPr>
        <w:t>transumbilical</w:t>
      </w:r>
      <w:proofErr w:type="spellEnd"/>
      <w:r w:rsidR="00DE654F">
        <w:rPr>
          <w:sz w:val="20"/>
          <w:szCs w:val="20"/>
        </w:rPr>
        <w:t xml:space="preserve"> incision has being reported [20], however only a limited number </w:t>
      </w:r>
      <w:proofErr w:type="gramStart"/>
      <w:r w:rsidR="00DE654F">
        <w:rPr>
          <w:sz w:val="20"/>
          <w:szCs w:val="20"/>
        </w:rPr>
        <w:t>for  malrotation</w:t>
      </w:r>
      <w:proofErr w:type="gramEnd"/>
      <w:r w:rsidR="00DE654F">
        <w:rPr>
          <w:sz w:val="20"/>
          <w:szCs w:val="20"/>
        </w:rPr>
        <w:t xml:space="preserve">. </w:t>
      </w:r>
      <w:r w:rsidR="000F3A80">
        <w:rPr>
          <w:sz w:val="20"/>
          <w:szCs w:val="20"/>
        </w:rPr>
        <w:t>Although cosmetically appealing, s</w:t>
      </w:r>
      <w:r w:rsidR="00DE654F">
        <w:rPr>
          <w:sz w:val="20"/>
          <w:szCs w:val="20"/>
        </w:rPr>
        <w:t xml:space="preserve">uch an approach would still require bowel handing with greater possibility of post-operative ileus and </w:t>
      </w:r>
      <w:proofErr w:type="spellStart"/>
      <w:r w:rsidR="00DE654F">
        <w:rPr>
          <w:sz w:val="20"/>
          <w:szCs w:val="20"/>
        </w:rPr>
        <w:t>adhesional</w:t>
      </w:r>
      <w:proofErr w:type="spellEnd"/>
      <w:r w:rsidR="00DE654F">
        <w:rPr>
          <w:sz w:val="20"/>
          <w:szCs w:val="20"/>
        </w:rPr>
        <w:t xml:space="preserve"> bowel obstruction than laparoscopy.</w:t>
      </w:r>
    </w:p>
    <w:p w14:paraId="7CC9FC8C" w14:textId="77777777" w:rsidR="00275FA9" w:rsidRPr="00BA724E" w:rsidRDefault="00275FA9" w:rsidP="00C17838">
      <w:pPr>
        <w:spacing w:line="360" w:lineRule="auto"/>
        <w:rPr>
          <w:sz w:val="20"/>
          <w:szCs w:val="20"/>
        </w:rPr>
      </w:pPr>
    </w:p>
    <w:p w14:paraId="741D09BA" w14:textId="5B411B98" w:rsidR="007C3AC0" w:rsidRDefault="005816EB" w:rsidP="00C17838">
      <w:pPr>
        <w:spacing w:line="360" w:lineRule="auto"/>
        <w:rPr>
          <w:sz w:val="20"/>
          <w:szCs w:val="20"/>
        </w:rPr>
      </w:pPr>
      <w:r w:rsidRPr="00BA724E">
        <w:rPr>
          <w:sz w:val="20"/>
          <w:szCs w:val="20"/>
        </w:rPr>
        <w:t xml:space="preserve">We acknowledge that some may challenge the use of surgical intervention in these infants at all citing high sensitivity and specificity from radiological investigations including </w:t>
      </w:r>
      <w:proofErr w:type="gramStart"/>
      <w:r w:rsidRPr="00BA724E">
        <w:rPr>
          <w:sz w:val="20"/>
          <w:szCs w:val="20"/>
        </w:rPr>
        <w:t>in particular advanced</w:t>
      </w:r>
      <w:proofErr w:type="gramEnd"/>
      <w:r w:rsidRPr="00BA724E">
        <w:rPr>
          <w:sz w:val="20"/>
          <w:szCs w:val="20"/>
        </w:rPr>
        <w:t xml:space="preserve"> ultrasound technologies. </w:t>
      </w:r>
      <w:r w:rsidR="005C0A83" w:rsidRPr="00BA724E">
        <w:rPr>
          <w:sz w:val="20"/>
          <w:szCs w:val="20"/>
        </w:rPr>
        <w:t xml:space="preserve">Whilst the literature does indeed support high sensitivity and specificity of upper GI contrast study and ultrasound, particularly when used in combination, it is well recognised that these investigations may be user dependent and simply do not provide diagnostic certainty 100% </w:t>
      </w:r>
      <w:r w:rsidR="00037B55" w:rsidRPr="00BA724E">
        <w:rPr>
          <w:sz w:val="20"/>
          <w:szCs w:val="20"/>
        </w:rPr>
        <w:t>o</w:t>
      </w:r>
      <w:r w:rsidR="005C0A83" w:rsidRPr="00BA724E">
        <w:rPr>
          <w:sz w:val="20"/>
          <w:szCs w:val="20"/>
        </w:rPr>
        <w:t xml:space="preserve">f the time in all infants. </w:t>
      </w:r>
      <w:proofErr w:type="gramStart"/>
      <w:r w:rsidR="005C0A83" w:rsidRPr="00BA724E">
        <w:rPr>
          <w:sz w:val="20"/>
          <w:szCs w:val="20"/>
        </w:rPr>
        <w:t>Thus</w:t>
      </w:r>
      <w:proofErr w:type="gramEnd"/>
      <w:r w:rsidR="005C0A83" w:rsidRPr="00BA724E">
        <w:rPr>
          <w:sz w:val="20"/>
          <w:szCs w:val="20"/>
        </w:rPr>
        <w:t xml:space="preserve"> when </w:t>
      </w:r>
      <w:r w:rsidR="00886D31">
        <w:rPr>
          <w:sz w:val="20"/>
          <w:szCs w:val="20"/>
        </w:rPr>
        <w:t>in the rare situation that t</w:t>
      </w:r>
      <w:r w:rsidR="005C0A83" w:rsidRPr="00BA724E">
        <w:rPr>
          <w:sz w:val="20"/>
          <w:szCs w:val="20"/>
        </w:rPr>
        <w:t>he radiologist cannot provide the certainty that is sought, the surgeon is obliged to continue the process of investigation.</w:t>
      </w:r>
      <w:r w:rsidR="007C3AC0">
        <w:rPr>
          <w:sz w:val="20"/>
          <w:szCs w:val="20"/>
        </w:rPr>
        <w:t xml:space="preserve"> Some may also suggest that a repeat delayed UGI contrast study may be appropriate rather than proceeding to diagnostic laparoscopy. It has been our institutional preference to achieve diagnostic certainty as soon as possible in cases of possible malrotation since there are potentially catastrophic outcomes associated with delay </w:t>
      </w:r>
      <w:proofErr w:type="gramStart"/>
      <w:r w:rsidR="007C3AC0">
        <w:rPr>
          <w:sz w:val="20"/>
          <w:szCs w:val="20"/>
        </w:rPr>
        <w:t>in the event that</w:t>
      </w:r>
      <w:proofErr w:type="gramEnd"/>
      <w:r w:rsidR="007C3AC0">
        <w:rPr>
          <w:sz w:val="20"/>
          <w:szCs w:val="20"/>
        </w:rPr>
        <w:t xml:space="preserve"> an infant has intestinal malrotation with volvulus. </w:t>
      </w:r>
      <w:proofErr w:type="gramStart"/>
      <w:r w:rsidR="007C3AC0">
        <w:rPr>
          <w:sz w:val="20"/>
          <w:szCs w:val="20"/>
        </w:rPr>
        <w:t>Furthermore</w:t>
      </w:r>
      <w:proofErr w:type="gramEnd"/>
      <w:r w:rsidR="007C3AC0">
        <w:rPr>
          <w:sz w:val="20"/>
          <w:szCs w:val="20"/>
        </w:rPr>
        <w:t xml:space="preserve"> repeat delayed UGI contrast study does not always improve the diagnostic certainty. Our opinion is that this minimally invasive approach is therefore justified.</w:t>
      </w:r>
    </w:p>
    <w:p w14:paraId="215D2AC4" w14:textId="77777777" w:rsidR="008425E0" w:rsidRPr="00BA724E" w:rsidRDefault="008425E0" w:rsidP="00C17838">
      <w:pPr>
        <w:spacing w:line="360" w:lineRule="auto"/>
        <w:rPr>
          <w:sz w:val="20"/>
          <w:szCs w:val="20"/>
        </w:rPr>
      </w:pPr>
    </w:p>
    <w:p w14:paraId="0E3E6444" w14:textId="53914AF8" w:rsidR="008425E0" w:rsidRDefault="008425E0" w:rsidP="00C17838">
      <w:pPr>
        <w:spacing w:line="360" w:lineRule="auto"/>
        <w:rPr>
          <w:sz w:val="20"/>
          <w:szCs w:val="20"/>
        </w:rPr>
      </w:pPr>
      <w:r w:rsidRPr="00BA724E">
        <w:rPr>
          <w:sz w:val="20"/>
          <w:szCs w:val="20"/>
        </w:rPr>
        <w:t>We also acknowledge that many others have proposed the use of therapeutic laparoscopy in the management of patients with proven rotational abnormality including non- and malrotation</w:t>
      </w:r>
      <w:r w:rsidR="00202B57">
        <w:rPr>
          <w:sz w:val="20"/>
          <w:szCs w:val="20"/>
        </w:rPr>
        <w:t xml:space="preserve"> [1</w:t>
      </w:r>
      <w:r w:rsidR="00C42AAE">
        <w:rPr>
          <w:sz w:val="20"/>
          <w:szCs w:val="20"/>
        </w:rPr>
        <w:t>3</w:t>
      </w:r>
      <w:r w:rsidR="009C721D">
        <w:rPr>
          <w:sz w:val="20"/>
          <w:szCs w:val="20"/>
        </w:rPr>
        <w:t>-</w:t>
      </w:r>
      <w:r w:rsidR="00202B57">
        <w:rPr>
          <w:sz w:val="20"/>
          <w:szCs w:val="20"/>
        </w:rPr>
        <w:t>1</w:t>
      </w:r>
      <w:r w:rsidR="00C42AAE">
        <w:rPr>
          <w:sz w:val="20"/>
          <w:szCs w:val="20"/>
        </w:rPr>
        <w:t>6</w:t>
      </w:r>
      <w:r w:rsidR="00202B57">
        <w:rPr>
          <w:sz w:val="20"/>
          <w:szCs w:val="20"/>
        </w:rPr>
        <w:t>]</w:t>
      </w:r>
      <w:r w:rsidRPr="00BA724E">
        <w:rPr>
          <w:sz w:val="20"/>
          <w:szCs w:val="20"/>
        </w:rPr>
        <w:t xml:space="preserve"> </w:t>
      </w:r>
      <w:r w:rsidR="001134A3" w:rsidRPr="00BA724E">
        <w:rPr>
          <w:sz w:val="20"/>
          <w:szCs w:val="20"/>
        </w:rPr>
        <w:t>and that there are a small number of previous reports of diagnostic laparoscopy in cases of suspected malrotati</w:t>
      </w:r>
      <w:r w:rsidR="008A151B" w:rsidRPr="00BA724E">
        <w:rPr>
          <w:sz w:val="20"/>
          <w:szCs w:val="20"/>
        </w:rPr>
        <w:t>o</w:t>
      </w:r>
      <w:r w:rsidR="001134A3" w:rsidRPr="00BA724E">
        <w:rPr>
          <w:sz w:val="20"/>
          <w:szCs w:val="20"/>
        </w:rPr>
        <w:t>n in older children</w:t>
      </w:r>
      <w:r w:rsidR="00202B57">
        <w:rPr>
          <w:sz w:val="20"/>
          <w:szCs w:val="20"/>
        </w:rPr>
        <w:t xml:space="preserve"> [1</w:t>
      </w:r>
      <w:r w:rsidR="00C42AAE">
        <w:rPr>
          <w:sz w:val="20"/>
          <w:szCs w:val="20"/>
        </w:rPr>
        <w:t>7</w:t>
      </w:r>
      <w:r w:rsidR="00202B57">
        <w:rPr>
          <w:sz w:val="20"/>
          <w:szCs w:val="20"/>
        </w:rPr>
        <w:t>, 1</w:t>
      </w:r>
      <w:r w:rsidR="00C42AAE">
        <w:rPr>
          <w:sz w:val="20"/>
          <w:szCs w:val="20"/>
        </w:rPr>
        <w:t>8</w:t>
      </w:r>
      <w:r w:rsidR="00202B57">
        <w:rPr>
          <w:sz w:val="20"/>
          <w:szCs w:val="20"/>
        </w:rPr>
        <w:t>]</w:t>
      </w:r>
      <w:r w:rsidR="00244B43" w:rsidRPr="00BA724E">
        <w:rPr>
          <w:sz w:val="20"/>
          <w:szCs w:val="20"/>
        </w:rPr>
        <w:t xml:space="preserve">. </w:t>
      </w:r>
      <w:r w:rsidR="001134A3" w:rsidRPr="00BA724E">
        <w:rPr>
          <w:color w:val="000000"/>
          <w:sz w:val="20"/>
          <w:szCs w:val="20"/>
          <w:shd w:val="clear" w:color="auto" w:fill="FFFFFF"/>
        </w:rPr>
        <w:t>To our knowledge there is just one previous report of diagnostic laparoscopy for this indication in infants</w:t>
      </w:r>
      <w:r w:rsidR="00202B57">
        <w:rPr>
          <w:color w:val="000000"/>
          <w:sz w:val="20"/>
          <w:szCs w:val="20"/>
          <w:shd w:val="clear" w:color="auto" w:fill="FFFFFF"/>
        </w:rPr>
        <w:t xml:space="preserve"> [1</w:t>
      </w:r>
      <w:r w:rsidR="00C42AAE">
        <w:rPr>
          <w:color w:val="000000"/>
          <w:sz w:val="20"/>
          <w:szCs w:val="20"/>
          <w:shd w:val="clear" w:color="auto" w:fill="FFFFFF"/>
        </w:rPr>
        <w:t>9</w:t>
      </w:r>
      <w:r w:rsidR="00202B57">
        <w:rPr>
          <w:color w:val="000000"/>
          <w:sz w:val="20"/>
          <w:szCs w:val="20"/>
          <w:shd w:val="clear" w:color="auto" w:fill="FFFFFF"/>
        </w:rPr>
        <w:t>]</w:t>
      </w:r>
      <w:r w:rsidR="00244B43" w:rsidRPr="00BA724E">
        <w:rPr>
          <w:color w:val="000000"/>
          <w:sz w:val="20"/>
          <w:szCs w:val="20"/>
          <w:shd w:val="clear" w:color="auto" w:fill="FFFFFF"/>
        </w:rPr>
        <w:t>.</w:t>
      </w:r>
      <w:r w:rsidR="00A9478E" w:rsidRPr="00BA724E">
        <w:rPr>
          <w:sz w:val="20"/>
          <w:szCs w:val="20"/>
        </w:rPr>
        <w:t xml:space="preserve"> </w:t>
      </w:r>
      <w:r w:rsidR="00B50954">
        <w:rPr>
          <w:sz w:val="20"/>
          <w:szCs w:val="20"/>
        </w:rPr>
        <w:t>W</w:t>
      </w:r>
      <w:r w:rsidR="00A9478E" w:rsidRPr="00BA724E">
        <w:rPr>
          <w:sz w:val="20"/>
          <w:szCs w:val="20"/>
        </w:rPr>
        <w:t>e recognise that neonatal laparoscopy is an advanced skill set, therefore only recommend this procedure be performed by surgical and anaesthetic teams with appropriate experience and expertise.</w:t>
      </w:r>
      <w:r w:rsidR="00B50954">
        <w:rPr>
          <w:sz w:val="20"/>
          <w:szCs w:val="20"/>
        </w:rPr>
        <w:t xml:space="preserve">  </w:t>
      </w:r>
    </w:p>
    <w:p w14:paraId="0A994DFD" w14:textId="77777777" w:rsidR="005C0A83" w:rsidRPr="00BA724E" w:rsidRDefault="005C0A83" w:rsidP="00C17838">
      <w:pPr>
        <w:spacing w:line="360" w:lineRule="auto"/>
        <w:rPr>
          <w:sz w:val="20"/>
          <w:szCs w:val="20"/>
        </w:rPr>
      </w:pPr>
    </w:p>
    <w:p w14:paraId="365188C0" w14:textId="713985C9" w:rsidR="005C0A83" w:rsidRPr="00BA724E" w:rsidRDefault="005C0A83" w:rsidP="00C17838">
      <w:pPr>
        <w:spacing w:line="360" w:lineRule="auto"/>
        <w:rPr>
          <w:sz w:val="20"/>
          <w:szCs w:val="20"/>
        </w:rPr>
      </w:pPr>
      <w:r w:rsidRPr="00BA724E">
        <w:rPr>
          <w:sz w:val="20"/>
          <w:szCs w:val="20"/>
        </w:rPr>
        <w:t>In summary we recommend the use of diagnostic laparoscopy as we have described as an adjunct investigation for this small group of infants with clinical concern for malrotation but in whom radiological investigations are inconclusive.</w:t>
      </w:r>
    </w:p>
    <w:p w14:paraId="70F7FD2C" w14:textId="616914E9" w:rsidR="00D90677" w:rsidRDefault="00D90677" w:rsidP="00C17838">
      <w:pPr>
        <w:spacing w:line="360" w:lineRule="auto"/>
        <w:rPr>
          <w:sz w:val="20"/>
          <w:szCs w:val="20"/>
        </w:rPr>
      </w:pPr>
    </w:p>
    <w:p w14:paraId="17540EDB" w14:textId="77777777" w:rsidR="003B2EF6" w:rsidRPr="00BA724E" w:rsidRDefault="003B2EF6" w:rsidP="00C17838">
      <w:pPr>
        <w:spacing w:line="360" w:lineRule="auto"/>
        <w:rPr>
          <w:sz w:val="20"/>
          <w:szCs w:val="20"/>
        </w:rPr>
      </w:pPr>
    </w:p>
    <w:p w14:paraId="055D2C6F" w14:textId="5BDDA753" w:rsidR="003B2EF6" w:rsidRPr="003B2EF6" w:rsidRDefault="003B2EF6" w:rsidP="00C17838">
      <w:pPr>
        <w:spacing w:line="360" w:lineRule="auto"/>
        <w:rPr>
          <w:b/>
          <w:bCs/>
          <w:sz w:val="20"/>
          <w:szCs w:val="20"/>
        </w:rPr>
      </w:pPr>
      <w:r w:rsidRPr="003B2EF6">
        <w:rPr>
          <w:b/>
          <w:bCs/>
          <w:sz w:val="20"/>
          <w:szCs w:val="20"/>
        </w:rPr>
        <w:lastRenderedPageBreak/>
        <w:t>Compliance with Ethical Standards:</w:t>
      </w:r>
    </w:p>
    <w:p w14:paraId="249905B0" w14:textId="1A865626" w:rsidR="003B2EF6" w:rsidRPr="00FC1C40" w:rsidRDefault="003B2EF6" w:rsidP="00A65F40">
      <w:pPr>
        <w:spacing w:line="360" w:lineRule="auto"/>
        <w:rPr>
          <w:color w:val="000000" w:themeColor="text1"/>
          <w:sz w:val="20"/>
          <w:szCs w:val="20"/>
        </w:rPr>
      </w:pPr>
      <w:r w:rsidRPr="00FC1C40">
        <w:rPr>
          <w:color w:val="000000" w:themeColor="text1"/>
          <w:sz w:val="20"/>
          <w:szCs w:val="20"/>
        </w:rPr>
        <w:t xml:space="preserve">Funding: </w:t>
      </w:r>
      <w:r w:rsidR="00A65F40">
        <w:rPr>
          <w:color w:val="000000" w:themeColor="text1"/>
          <w:sz w:val="20"/>
          <w:szCs w:val="20"/>
        </w:rPr>
        <w:tab/>
      </w:r>
      <w:r w:rsidR="00A65F40">
        <w:rPr>
          <w:color w:val="000000" w:themeColor="text1"/>
          <w:sz w:val="20"/>
          <w:szCs w:val="20"/>
        </w:rPr>
        <w:tab/>
      </w:r>
      <w:r w:rsidRPr="00FC1C40">
        <w:rPr>
          <w:color w:val="000000" w:themeColor="text1"/>
          <w:sz w:val="20"/>
          <w:szCs w:val="20"/>
        </w:rPr>
        <w:t xml:space="preserve">Nil </w:t>
      </w:r>
    </w:p>
    <w:p w14:paraId="11A56F8C" w14:textId="12B512A6" w:rsidR="00A65F40" w:rsidRDefault="003B2EF6" w:rsidP="00A65F40">
      <w:pPr>
        <w:spacing w:line="360" w:lineRule="auto"/>
        <w:rPr>
          <w:color w:val="000000" w:themeColor="text1"/>
          <w:sz w:val="20"/>
          <w:szCs w:val="20"/>
        </w:rPr>
      </w:pPr>
      <w:r w:rsidRPr="00FC1C40">
        <w:rPr>
          <w:color w:val="000000" w:themeColor="text1"/>
          <w:sz w:val="20"/>
          <w:szCs w:val="20"/>
        </w:rPr>
        <w:t xml:space="preserve">Conflict of interest: </w:t>
      </w:r>
      <w:r w:rsidR="00A65F40">
        <w:rPr>
          <w:color w:val="000000" w:themeColor="text1"/>
          <w:sz w:val="20"/>
          <w:szCs w:val="20"/>
        </w:rPr>
        <w:tab/>
      </w:r>
      <w:r w:rsidR="00FC1C40" w:rsidRPr="00FC1C40">
        <w:rPr>
          <w:color w:val="000000" w:themeColor="text1"/>
          <w:sz w:val="20"/>
          <w:szCs w:val="20"/>
        </w:rPr>
        <w:t xml:space="preserve">Authors K Sloan, </w:t>
      </w:r>
      <w:proofErr w:type="gramStart"/>
      <w:r w:rsidR="00FC1C40" w:rsidRPr="00FC1C40">
        <w:rPr>
          <w:color w:val="000000" w:themeColor="text1"/>
          <w:sz w:val="20"/>
          <w:szCs w:val="20"/>
        </w:rPr>
        <w:t>A</w:t>
      </w:r>
      <w:proofErr w:type="gramEnd"/>
      <w:r w:rsidR="00FC1C40" w:rsidRPr="00FC1C40">
        <w:rPr>
          <w:color w:val="000000" w:themeColor="text1"/>
          <w:sz w:val="20"/>
          <w:szCs w:val="20"/>
        </w:rPr>
        <w:t xml:space="preserve"> </w:t>
      </w:r>
      <w:proofErr w:type="spellStart"/>
      <w:r w:rsidR="00FC1C40" w:rsidRPr="00FC1C40">
        <w:rPr>
          <w:color w:val="000000" w:themeColor="text1"/>
          <w:sz w:val="20"/>
          <w:szCs w:val="20"/>
        </w:rPr>
        <w:t>Alzamrooni</w:t>
      </w:r>
      <w:proofErr w:type="spellEnd"/>
      <w:r w:rsidR="00FC1C40" w:rsidRPr="00FC1C40">
        <w:rPr>
          <w:color w:val="000000" w:themeColor="text1"/>
          <w:sz w:val="20"/>
          <w:szCs w:val="20"/>
        </w:rPr>
        <w:t xml:space="preserve">, FE Stedman, O Ron, NJ Hall declare no conflict of </w:t>
      </w:r>
    </w:p>
    <w:p w14:paraId="0B98299D" w14:textId="5C2BA6A8" w:rsidR="003B2EF6" w:rsidRPr="00FC1C40" w:rsidRDefault="00FC1C40" w:rsidP="00A65F40">
      <w:pPr>
        <w:spacing w:line="360" w:lineRule="auto"/>
        <w:ind w:left="1440" w:firstLine="720"/>
        <w:rPr>
          <w:color w:val="000000" w:themeColor="text1"/>
          <w:sz w:val="20"/>
          <w:szCs w:val="20"/>
        </w:rPr>
      </w:pPr>
      <w:r w:rsidRPr="00FC1C40">
        <w:rPr>
          <w:color w:val="000000" w:themeColor="text1"/>
          <w:sz w:val="20"/>
          <w:szCs w:val="20"/>
        </w:rPr>
        <w:t xml:space="preserve">interest. </w:t>
      </w:r>
    </w:p>
    <w:p w14:paraId="6497085B" w14:textId="4CA3C836" w:rsidR="007C3AC0" w:rsidRDefault="003B2EF6" w:rsidP="004F5C3D">
      <w:pPr>
        <w:spacing w:line="360" w:lineRule="auto"/>
        <w:ind w:left="2127" w:hanging="2127"/>
        <w:rPr>
          <w:sz w:val="20"/>
          <w:szCs w:val="20"/>
        </w:rPr>
      </w:pPr>
      <w:r w:rsidRPr="003B2EF6">
        <w:rPr>
          <w:color w:val="000000" w:themeColor="text1"/>
          <w:sz w:val="20"/>
          <w:szCs w:val="20"/>
          <w:shd w:val="clear" w:color="auto" w:fill="FFFFFF"/>
        </w:rPr>
        <w:t xml:space="preserve">Ethical approval: </w:t>
      </w:r>
      <w:r w:rsidR="00A65F40">
        <w:rPr>
          <w:color w:val="000000" w:themeColor="text1"/>
          <w:sz w:val="20"/>
          <w:szCs w:val="20"/>
          <w:shd w:val="clear" w:color="auto" w:fill="FFFFFF"/>
        </w:rPr>
        <w:tab/>
      </w:r>
      <w:r w:rsidR="007C3AC0" w:rsidRPr="00BA724E">
        <w:rPr>
          <w:sz w:val="20"/>
          <w:szCs w:val="20"/>
        </w:rPr>
        <w:t>This study was registered in our institution as a service evaluation</w:t>
      </w:r>
      <w:r w:rsidR="007C3AC0">
        <w:rPr>
          <w:sz w:val="20"/>
          <w:szCs w:val="20"/>
        </w:rPr>
        <w:t xml:space="preserve"> in accordance with local requirements for ethical approval.</w:t>
      </w:r>
    </w:p>
    <w:p w14:paraId="7697E3DB" w14:textId="2BA1380F" w:rsidR="00FC1C40" w:rsidRPr="003B2EF6" w:rsidRDefault="007C3AC0" w:rsidP="004F5C3D">
      <w:pPr>
        <w:spacing w:line="360" w:lineRule="auto"/>
        <w:rPr>
          <w:sz w:val="20"/>
          <w:szCs w:val="20"/>
        </w:rPr>
      </w:pPr>
      <w:r w:rsidRPr="003B2EF6" w:rsidDel="007C3AC0">
        <w:rPr>
          <w:color w:val="000000" w:themeColor="text1"/>
          <w:sz w:val="20"/>
          <w:szCs w:val="20"/>
          <w:shd w:val="clear" w:color="auto" w:fill="FFFFFF"/>
        </w:rPr>
        <w:t xml:space="preserve"> </w:t>
      </w:r>
      <w:r w:rsidR="00FC1C40" w:rsidRPr="00FC1C40">
        <w:rPr>
          <w:color w:val="000000" w:themeColor="text1"/>
          <w:sz w:val="20"/>
          <w:szCs w:val="20"/>
          <w:shd w:val="clear" w:color="auto" w:fill="FFFFFF"/>
        </w:rPr>
        <w:t xml:space="preserve">Informed consent: </w:t>
      </w:r>
      <w:r w:rsidR="00A65F40">
        <w:rPr>
          <w:color w:val="000000" w:themeColor="text1"/>
          <w:sz w:val="20"/>
          <w:szCs w:val="20"/>
          <w:shd w:val="clear" w:color="auto" w:fill="FFFFFF"/>
        </w:rPr>
        <w:tab/>
        <w:t>Informed consent not applicable for this r</w:t>
      </w:r>
      <w:r w:rsidR="00A65F40" w:rsidRPr="00BA724E">
        <w:rPr>
          <w:sz w:val="20"/>
          <w:szCs w:val="20"/>
        </w:rPr>
        <w:t>etrospective case note review</w:t>
      </w:r>
      <w:r w:rsidR="00A65F40">
        <w:rPr>
          <w:sz w:val="20"/>
          <w:szCs w:val="20"/>
        </w:rPr>
        <w:t xml:space="preserve">.  </w:t>
      </w:r>
    </w:p>
    <w:p w14:paraId="2AF17D78" w14:textId="77777777" w:rsidR="003B2EF6" w:rsidRPr="00BA724E" w:rsidRDefault="003B2EF6" w:rsidP="00C17838">
      <w:pPr>
        <w:spacing w:line="360" w:lineRule="auto"/>
        <w:rPr>
          <w:sz w:val="20"/>
          <w:szCs w:val="20"/>
        </w:rPr>
      </w:pPr>
    </w:p>
    <w:p w14:paraId="74B86F80" w14:textId="77777777" w:rsidR="00C17838" w:rsidRPr="00BA724E" w:rsidRDefault="00C17838" w:rsidP="00C17838">
      <w:pPr>
        <w:rPr>
          <w:sz w:val="20"/>
          <w:szCs w:val="20"/>
        </w:rPr>
      </w:pPr>
    </w:p>
    <w:p w14:paraId="629A7EB4" w14:textId="77777777" w:rsidR="00C17838" w:rsidRPr="00BA724E" w:rsidRDefault="00C17838" w:rsidP="00C17838">
      <w:pPr>
        <w:rPr>
          <w:sz w:val="20"/>
          <w:szCs w:val="20"/>
        </w:rPr>
      </w:pPr>
    </w:p>
    <w:p w14:paraId="611DE27E" w14:textId="7A0A2FE8" w:rsidR="0021105E" w:rsidRPr="004F5C3D" w:rsidRDefault="00D66370" w:rsidP="0021105E">
      <w:pPr>
        <w:pStyle w:val="ListParagraph"/>
        <w:numPr>
          <w:ilvl w:val="0"/>
          <w:numId w:val="2"/>
        </w:numPr>
        <w:rPr>
          <w:rFonts w:eastAsia="Times New Roman"/>
          <w:color w:val="000000" w:themeColor="text1"/>
          <w:sz w:val="20"/>
          <w:szCs w:val="20"/>
          <w:lang w:eastAsia="en-US"/>
        </w:rPr>
      </w:pPr>
      <w:r w:rsidRPr="00BA724E">
        <w:rPr>
          <w:color w:val="000000" w:themeColor="text1"/>
          <w:sz w:val="20"/>
          <w:szCs w:val="20"/>
          <w:lang w:eastAsia="en-US"/>
        </w:rPr>
        <w:t xml:space="preserve">Ladd WE (1932) Congenital obstruction of the duodenum in children. N </w:t>
      </w:r>
      <w:proofErr w:type="spellStart"/>
      <w:r w:rsidRPr="00BA724E">
        <w:rPr>
          <w:color w:val="000000" w:themeColor="text1"/>
          <w:sz w:val="20"/>
          <w:szCs w:val="20"/>
          <w:lang w:eastAsia="en-US"/>
        </w:rPr>
        <w:t>Eng</w:t>
      </w:r>
      <w:proofErr w:type="spellEnd"/>
      <w:r w:rsidRPr="00BA724E">
        <w:rPr>
          <w:color w:val="000000" w:themeColor="text1"/>
          <w:sz w:val="20"/>
          <w:szCs w:val="20"/>
          <w:lang w:eastAsia="en-US"/>
        </w:rPr>
        <w:t xml:space="preserve"> J Med</w:t>
      </w:r>
      <w:r w:rsidR="00BA724E" w:rsidRPr="00BA724E">
        <w:rPr>
          <w:color w:val="000000" w:themeColor="text1"/>
          <w:sz w:val="20"/>
          <w:szCs w:val="20"/>
          <w:lang w:eastAsia="en-US"/>
        </w:rPr>
        <w:t xml:space="preserve"> </w:t>
      </w:r>
      <w:r w:rsidRPr="00BA724E">
        <w:rPr>
          <w:color w:val="000000" w:themeColor="text1"/>
          <w:sz w:val="20"/>
          <w:szCs w:val="20"/>
          <w:lang w:eastAsia="en-US"/>
        </w:rPr>
        <w:t xml:space="preserve">206: 273-83. </w:t>
      </w:r>
      <w:r w:rsidR="0021105E" w:rsidRPr="004F5C3D">
        <w:rPr>
          <w:color w:val="000000" w:themeColor="text1"/>
        </w:rPr>
        <w:t>https://doi.org/10.1056/NEJM193202112060604</w:t>
      </w:r>
    </w:p>
    <w:p w14:paraId="43A37567" w14:textId="0B015096" w:rsidR="0021105E" w:rsidRPr="004F5C3D" w:rsidRDefault="0021105E" w:rsidP="0021105E">
      <w:pPr>
        <w:pStyle w:val="ListParagraph"/>
        <w:numPr>
          <w:ilvl w:val="0"/>
          <w:numId w:val="2"/>
        </w:numPr>
        <w:rPr>
          <w:rFonts w:eastAsia="Times New Roman"/>
          <w:color w:val="000000" w:themeColor="text1"/>
          <w:sz w:val="20"/>
          <w:szCs w:val="20"/>
          <w:lang w:eastAsia="en-US"/>
        </w:rPr>
      </w:pPr>
      <w:r w:rsidRPr="004F5C3D">
        <w:rPr>
          <w:color w:val="000000" w:themeColor="text1"/>
          <w:sz w:val="20"/>
          <w:szCs w:val="20"/>
        </w:rPr>
        <w:t xml:space="preserve">Adams SD, Stanton MP (2014) Malrotation and intestinal atresia.  Early </w:t>
      </w:r>
      <w:r>
        <w:rPr>
          <w:color w:val="000000" w:themeColor="text1"/>
          <w:sz w:val="20"/>
          <w:szCs w:val="20"/>
        </w:rPr>
        <w:t>H</w:t>
      </w:r>
      <w:r w:rsidRPr="004F5C3D">
        <w:rPr>
          <w:color w:val="000000" w:themeColor="text1"/>
          <w:sz w:val="20"/>
          <w:szCs w:val="20"/>
        </w:rPr>
        <w:t>um Dev 90)12): 921-925. https://doi.org/</w:t>
      </w:r>
      <w:hyperlink r:id="rId6" w:tgtFrame="_blank" w:history="1">
        <w:r w:rsidRPr="004F5C3D">
          <w:rPr>
            <w:rStyle w:val="Hyperlink"/>
            <w:color w:val="205493"/>
            <w:sz w:val="20"/>
            <w:szCs w:val="20"/>
            <w:shd w:val="clear" w:color="auto" w:fill="FFFFFF"/>
          </w:rPr>
          <w:t>10.1016/j.earlhumdev.2014.09.017</w:t>
        </w:r>
      </w:hyperlink>
    </w:p>
    <w:p w14:paraId="4A8040C8" w14:textId="77777777" w:rsidR="0098392E" w:rsidRPr="00BA724E" w:rsidRDefault="00684ED4" w:rsidP="0098392E">
      <w:pPr>
        <w:pStyle w:val="ListParagraph"/>
        <w:widowControl w:val="0"/>
        <w:numPr>
          <w:ilvl w:val="0"/>
          <w:numId w:val="2"/>
        </w:numPr>
        <w:tabs>
          <w:tab w:val="left" w:pos="220"/>
          <w:tab w:val="left" w:pos="720"/>
        </w:tabs>
        <w:autoSpaceDE w:val="0"/>
        <w:autoSpaceDN w:val="0"/>
        <w:adjustRightInd w:val="0"/>
        <w:spacing w:after="213" w:line="260" w:lineRule="atLeast"/>
        <w:rPr>
          <w:color w:val="000000" w:themeColor="text1"/>
          <w:sz w:val="20"/>
          <w:szCs w:val="20"/>
          <w:lang w:eastAsia="en-US"/>
        </w:rPr>
      </w:pPr>
      <w:r w:rsidRPr="004F5C3D">
        <w:rPr>
          <w:color w:val="000000" w:themeColor="text1"/>
          <w:sz w:val="20"/>
          <w:szCs w:val="20"/>
          <w:lang w:val="pt-BR" w:eastAsia="en-US"/>
        </w:rPr>
        <w:t>Stringer DA</w:t>
      </w:r>
      <w:r w:rsidR="00D66370" w:rsidRPr="004F5C3D">
        <w:rPr>
          <w:color w:val="000000" w:themeColor="text1"/>
          <w:sz w:val="20"/>
          <w:szCs w:val="20"/>
          <w:lang w:val="pt-BR" w:eastAsia="en-US"/>
        </w:rPr>
        <w:t xml:space="preserve"> (1989)</w:t>
      </w:r>
      <w:r w:rsidRPr="004F5C3D">
        <w:rPr>
          <w:color w:val="000000" w:themeColor="text1"/>
          <w:sz w:val="20"/>
          <w:szCs w:val="20"/>
          <w:lang w:val="pt-BR" w:eastAsia="en-US"/>
        </w:rPr>
        <w:t xml:space="preserve"> Pediatric Gastrointestinal Imaging. </w:t>
      </w:r>
      <w:r w:rsidRPr="00BA724E">
        <w:rPr>
          <w:color w:val="000000" w:themeColor="text1"/>
          <w:sz w:val="20"/>
          <w:szCs w:val="20"/>
          <w:lang w:eastAsia="en-US"/>
        </w:rPr>
        <w:t>Toronto: B C Decker</w:t>
      </w:r>
      <w:r w:rsidR="00D66370" w:rsidRPr="00BA724E">
        <w:rPr>
          <w:color w:val="000000" w:themeColor="text1"/>
          <w:sz w:val="20"/>
          <w:szCs w:val="20"/>
          <w:lang w:eastAsia="en-US"/>
        </w:rPr>
        <w:t>,</w:t>
      </w:r>
      <w:r w:rsidRPr="00BA724E">
        <w:rPr>
          <w:color w:val="000000" w:themeColor="text1"/>
          <w:sz w:val="20"/>
          <w:szCs w:val="20"/>
          <w:lang w:eastAsia="en-US"/>
        </w:rPr>
        <w:t xml:space="preserve"> </w:t>
      </w:r>
      <w:r w:rsidR="00D66370" w:rsidRPr="00BA724E">
        <w:rPr>
          <w:color w:val="000000" w:themeColor="text1"/>
          <w:sz w:val="20"/>
          <w:szCs w:val="20"/>
          <w:lang w:eastAsia="en-US"/>
        </w:rPr>
        <w:t>pp</w:t>
      </w:r>
      <w:r w:rsidRPr="00BA724E">
        <w:rPr>
          <w:color w:val="000000" w:themeColor="text1"/>
          <w:sz w:val="20"/>
          <w:szCs w:val="20"/>
          <w:lang w:eastAsia="en-US"/>
        </w:rPr>
        <w:t>235</w:t>
      </w:r>
    </w:p>
    <w:p w14:paraId="50560F7C" w14:textId="5CEE620E" w:rsidR="0098392E" w:rsidRPr="00BA724E" w:rsidRDefault="00C17838" w:rsidP="0098392E">
      <w:pPr>
        <w:pStyle w:val="ListParagraph"/>
        <w:widowControl w:val="0"/>
        <w:numPr>
          <w:ilvl w:val="0"/>
          <w:numId w:val="2"/>
        </w:numPr>
        <w:tabs>
          <w:tab w:val="left" w:pos="220"/>
          <w:tab w:val="left" w:pos="720"/>
        </w:tabs>
        <w:autoSpaceDE w:val="0"/>
        <w:autoSpaceDN w:val="0"/>
        <w:adjustRightInd w:val="0"/>
        <w:spacing w:after="213" w:line="260" w:lineRule="atLeast"/>
        <w:rPr>
          <w:color w:val="000000" w:themeColor="text1"/>
          <w:sz w:val="20"/>
          <w:szCs w:val="20"/>
          <w:lang w:eastAsia="en-US"/>
        </w:rPr>
      </w:pPr>
      <w:r w:rsidRPr="00BA724E">
        <w:rPr>
          <w:rFonts w:eastAsia="Times New Roman"/>
          <w:color w:val="000000" w:themeColor="text1"/>
          <w:sz w:val="20"/>
          <w:szCs w:val="20"/>
        </w:rPr>
        <w:t xml:space="preserve">Sizemore AW, </w:t>
      </w:r>
      <w:proofErr w:type="spellStart"/>
      <w:r w:rsidRPr="00BA724E">
        <w:rPr>
          <w:rFonts w:eastAsia="Times New Roman"/>
          <w:color w:val="000000" w:themeColor="text1"/>
          <w:sz w:val="20"/>
          <w:szCs w:val="20"/>
        </w:rPr>
        <w:t>Rabbain</w:t>
      </w:r>
      <w:proofErr w:type="spellEnd"/>
      <w:r w:rsidRPr="00BA724E">
        <w:rPr>
          <w:rFonts w:eastAsia="Times New Roman"/>
          <w:color w:val="000000" w:themeColor="text1"/>
          <w:sz w:val="20"/>
          <w:szCs w:val="20"/>
        </w:rPr>
        <w:t xml:space="preserve"> KZ, Ladd A, </w:t>
      </w:r>
      <w:proofErr w:type="spellStart"/>
      <w:r w:rsidRPr="00BA724E">
        <w:rPr>
          <w:rFonts w:eastAsia="Times New Roman"/>
          <w:color w:val="000000" w:themeColor="text1"/>
          <w:sz w:val="20"/>
          <w:szCs w:val="20"/>
        </w:rPr>
        <w:t>Apllegate</w:t>
      </w:r>
      <w:proofErr w:type="spellEnd"/>
      <w:r w:rsidRPr="00BA724E">
        <w:rPr>
          <w:rFonts w:eastAsia="Times New Roman"/>
          <w:color w:val="000000" w:themeColor="text1"/>
          <w:sz w:val="20"/>
          <w:szCs w:val="20"/>
        </w:rPr>
        <w:t xml:space="preserve"> KE</w:t>
      </w:r>
      <w:r w:rsidR="00D66370" w:rsidRPr="00BA724E">
        <w:rPr>
          <w:rFonts w:eastAsia="Times New Roman"/>
          <w:color w:val="000000" w:themeColor="text1"/>
          <w:sz w:val="20"/>
          <w:szCs w:val="20"/>
        </w:rPr>
        <w:t xml:space="preserve"> (2008)</w:t>
      </w:r>
      <w:r w:rsidRPr="00BA724E">
        <w:rPr>
          <w:rFonts w:eastAsia="Times New Roman"/>
          <w:color w:val="000000" w:themeColor="text1"/>
          <w:sz w:val="20"/>
          <w:szCs w:val="20"/>
        </w:rPr>
        <w:t xml:space="preserve"> </w:t>
      </w:r>
      <w:r w:rsidRPr="00BA724E">
        <w:rPr>
          <w:rFonts w:eastAsia="Times New Roman"/>
          <w:color w:val="000000" w:themeColor="text1"/>
          <w:kern w:val="36"/>
          <w:sz w:val="20"/>
          <w:szCs w:val="20"/>
        </w:rPr>
        <w:t xml:space="preserve">Diagnostic performance of the upper gastrointestinal series in the evaluation of children with clinically suspected malrotation. </w:t>
      </w:r>
      <w:proofErr w:type="spellStart"/>
      <w:r w:rsidRPr="00BA724E">
        <w:rPr>
          <w:rFonts w:eastAsia="Times New Roman"/>
          <w:color w:val="000000" w:themeColor="text1"/>
          <w:kern w:val="36"/>
          <w:sz w:val="20"/>
          <w:szCs w:val="20"/>
        </w:rPr>
        <w:t>Pediatr</w:t>
      </w:r>
      <w:proofErr w:type="spellEnd"/>
      <w:r w:rsidRPr="00BA724E">
        <w:rPr>
          <w:rFonts w:eastAsia="Times New Roman"/>
          <w:color w:val="000000" w:themeColor="text1"/>
          <w:kern w:val="36"/>
          <w:sz w:val="20"/>
          <w:szCs w:val="20"/>
        </w:rPr>
        <w:t xml:space="preserve"> </w:t>
      </w:r>
      <w:proofErr w:type="spellStart"/>
      <w:r w:rsidRPr="00BA724E">
        <w:rPr>
          <w:rFonts w:eastAsia="Times New Roman"/>
          <w:color w:val="000000" w:themeColor="text1"/>
          <w:kern w:val="36"/>
          <w:sz w:val="20"/>
          <w:szCs w:val="20"/>
        </w:rPr>
        <w:t>Radiol</w:t>
      </w:r>
      <w:proofErr w:type="spellEnd"/>
      <w:r w:rsidRPr="00BA724E">
        <w:rPr>
          <w:rFonts w:eastAsia="Times New Roman"/>
          <w:color w:val="000000" w:themeColor="text1"/>
          <w:kern w:val="36"/>
          <w:sz w:val="20"/>
          <w:szCs w:val="20"/>
        </w:rPr>
        <w:t xml:space="preserve"> 38(5): 518-28</w:t>
      </w:r>
      <w:r w:rsidR="00D66370" w:rsidRPr="00BA724E">
        <w:rPr>
          <w:rFonts w:eastAsia="Times New Roman"/>
          <w:color w:val="000000" w:themeColor="text1"/>
          <w:kern w:val="36"/>
          <w:sz w:val="20"/>
          <w:szCs w:val="20"/>
        </w:rPr>
        <w:t xml:space="preserve">. </w:t>
      </w:r>
      <w:r w:rsidR="00D66370" w:rsidRPr="00BA724E">
        <w:rPr>
          <w:color w:val="000000" w:themeColor="text1"/>
          <w:sz w:val="20"/>
          <w:szCs w:val="20"/>
        </w:rPr>
        <w:t> </w:t>
      </w:r>
      <w:r w:rsidR="0098392E" w:rsidRPr="00BA724E">
        <w:rPr>
          <w:rFonts w:eastAsia="Times New Roman"/>
          <w:color w:val="000000" w:themeColor="text1"/>
          <w:sz w:val="20"/>
          <w:szCs w:val="20"/>
          <w:shd w:val="clear" w:color="auto" w:fill="FFFFFF"/>
          <w:lang w:eastAsia="en-US"/>
        </w:rPr>
        <w:t>https://dx.doi.org/10.1007/s00247-008-0762-8</w:t>
      </w:r>
    </w:p>
    <w:p w14:paraId="4BAE67FD" w14:textId="40349551" w:rsidR="007B2B51" w:rsidRPr="00BA724E" w:rsidRDefault="00B87580" w:rsidP="007B2B51">
      <w:pPr>
        <w:pStyle w:val="ListParagraph"/>
        <w:widowControl w:val="0"/>
        <w:numPr>
          <w:ilvl w:val="0"/>
          <w:numId w:val="2"/>
        </w:numPr>
        <w:tabs>
          <w:tab w:val="left" w:pos="220"/>
          <w:tab w:val="left" w:pos="720"/>
        </w:tabs>
        <w:autoSpaceDE w:val="0"/>
        <w:autoSpaceDN w:val="0"/>
        <w:adjustRightInd w:val="0"/>
        <w:spacing w:after="213" w:line="260" w:lineRule="atLeast"/>
        <w:rPr>
          <w:color w:val="000000" w:themeColor="text1"/>
          <w:sz w:val="20"/>
          <w:szCs w:val="20"/>
          <w:lang w:eastAsia="en-US"/>
        </w:rPr>
      </w:pPr>
      <w:r w:rsidRPr="00BA724E">
        <w:rPr>
          <w:color w:val="000000" w:themeColor="text1"/>
          <w:sz w:val="20"/>
          <w:szCs w:val="20"/>
          <w:lang w:eastAsia="en-US"/>
        </w:rPr>
        <w:t>Hennessey I, John R, Gent R</w:t>
      </w:r>
      <w:r w:rsidR="007B2B51" w:rsidRPr="00BA724E">
        <w:rPr>
          <w:color w:val="000000" w:themeColor="text1"/>
          <w:sz w:val="20"/>
          <w:szCs w:val="20"/>
          <w:lang w:eastAsia="en-US"/>
        </w:rPr>
        <w:t>, Goh D (2014)</w:t>
      </w:r>
      <w:r w:rsidRPr="00BA724E">
        <w:rPr>
          <w:color w:val="000000" w:themeColor="text1"/>
          <w:sz w:val="20"/>
          <w:szCs w:val="20"/>
          <w:lang w:eastAsia="en-US"/>
        </w:rPr>
        <w:t xml:space="preserve"> </w:t>
      </w:r>
      <w:r w:rsidRPr="00BA724E">
        <w:rPr>
          <w:rFonts w:eastAsia="Times New Roman"/>
          <w:color w:val="000000" w:themeColor="text1"/>
          <w:sz w:val="20"/>
          <w:szCs w:val="20"/>
        </w:rPr>
        <w:t>Utility of sonographic assessment of the position of the third part of the duodenum using water instillation in intestinal </w:t>
      </w:r>
      <w:r w:rsidRPr="00BA724E">
        <w:rPr>
          <w:rStyle w:val="highlight"/>
          <w:rFonts w:eastAsia="Times New Roman"/>
          <w:color w:val="000000" w:themeColor="text1"/>
          <w:sz w:val="20"/>
          <w:szCs w:val="20"/>
        </w:rPr>
        <w:t>malrotation</w:t>
      </w:r>
      <w:r w:rsidRPr="00BA724E">
        <w:rPr>
          <w:rFonts w:eastAsia="Times New Roman"/>
          <w:color w:val="000000" w:themeColor="text1"/>
          <w:sz w:val="20"/>
          <w:szCs w:val="20"/>
        </w:rPr>
        <w:t>: a single-</w:t>
      </w:r>
      <w:proofErr w:type="spellStart"/>
      <w:r w:rsidRPr="00BA724E">
        <w:rPr>
          <w:rFonts w:eastAsia="Times New Roman"/>
          <w:color w:val="000000" w:themeColor="text1"/>
          <w:sz w:val="20"/>
          <w:szCs w:val="20"/>
        </w:rPr>
        <w:t>center</w:t>
      </w:r>
      <w:proofErr w:type="spellEnd"/>
      <w:r w:rsidRPr="00BA724E">
        <w:rPr>
          <w:rFonts w:eastAsia="Times New Roman"/>
          <w:color w:val="000000" w:themeColor="text1"/>
          <w:sz w:val="20"/>
          <w:szCs w:val="20"/>
        </w:rPr>
        <w:t xml:space="preserve"> retrospective audit. </w:t>
      </w:r>
      <w:proofErr w:type="spellStart"/>
      <w:r w:rsidRPr="00BA724E">
        <w:rPr>
          <w:rFonts w:eastAsia="Times New Roman"/>
          <w:color w:val="000000" w:themeColor="text1"/>
          <w:sz w:val="20"/>
          <w:szCs w:val="20"/>
        </w:rPr>
        <w:t>Pediatr</w:t>
      </w:r>
      <w:proofErr w:type="spellEnd"/>
      <w:r w:rsidRPr="00BA724E">
        <w:rPr>
          <w:rFonts w:eastAsia="Times New Roman"/>
          <w:color w:val="000000" w:themeColor="text1"/>
          <w:sz w:val="20"/>
          <w:szCs w:val="20"/>
        </w:rPr>
        <w:t xml:space="preserve"> </w:t>
      </w:r>
      <w:proofErr w:type="spellStart"/>
      <w:r w:rsidRPr="00BA724E">
        <w:rPr>
          <w:rFonts w:eastAsia="Times New Roman"/>
          <w:color w:val="000000" w:themeColor="text1"/>
          <w:sz w:val="20"/>
          <w:szCs w:val="20"/>
        </w:rPr>
        <w:t>Radiol</w:t>
      </w:r>
      <w:proofErr w:type="spellEnd"/>
      <w:r w:rsidRPr="00BA724E">
        <w:rPr>
          <w:rFonts w:eastAsia="Times New Roman"/>
          <w:color w:val="000000" w:themeColor="text1"/>
          <w:sz w:val="20"/>
          <w:szCs w:val="20"/>
        </w:rPr>
        <w:t xml:space="preserve"> 44: 387-91</w:t>
      </w:r>
      <w:r w:rsidR="007B2B51" w:rsidRPr="00BA724E">
        <w:rPr>
          <w:rFonts w:eastAsia="Times New Roman"/>
          <w:color w:val="000000" w:themeColor="text1"/>
          <w:sz w:val="20"/>
          <w:szCs w:val="20"/>
        </w:rPr>
        <w:t xml:space="preserve">. </w:t>
      </w:r>
      <w:r w:rsidR="007B2B51" w:rsidRPr="00BA724E">
        <w:rPr>
          <w:rFonts w:eastAsia="Times New Roman"/>
          <w:color w:val="000000" w:themeColor="text1"/>
          <w:sz w:val="20"/>
          <w:szCs w:val="20"/>
          <w:shd w:val="clear" w:color="auto" w:fill="FFFFFF"/>
          <w:lang w:eastAsia="en-US"/>
        </w:rPr>
        <w:t>https://doi.org/10.1007/s00247-013-2839-2</w:t>
      </w:r>
    </w:p>
    <w:p w14:paraId="03EB9B54" w14:textId="5A073AF0" w:rsidR="007B2B51" w:rsidRPr="004F5C3D" w:rsidRDefault="00B87580" w:rsidP="00AC7840">
      <w:pPr>
        <w:pStyle w:val="ListParagraph"/>
        <w:widowControl w:val="0"/>
        <w:numPr>
          <w:ilvl w:val="0"/>
          <w:numId w:val="2"/>
        </w:numPr>
        <w:tabs>
          <w:tab w:val="left" w:pos="220"/>
          <w:tab w:val="left" w:pos="720"/>
        </w:tabs>
        <w:autoSpaceDE w:val="0"/>
        <w:autoSpaceDN w:val="0"/>
        <w:adjustRightInd w:val="0"/>
        <w:spacing w:after="213" w:line="260" w:lineRule="atLeast"/>
        <w:rPr>
          <w:color w:val="000000" w:themeColor="text1"/>
          <w:sz w:val="20"/>
          <w:szCs w:val="20"/>
          <w:lang w:val="it-IT" w:eastAsia="en-US"/>
        </w:rPr>
      </w:pPr>
      <w:r w:rsidRPr="004F5C3D">
        <w:rPr>
          <w:color w:val="000000" w:themeColor="text1"/>
          <w:sz w:val="20"/>
          <w:szCs w:val="20"/>
          <w:lang w:val="it-IT" w:eastAsia="en-US"/>
        </w:rPr>
        <w:t>Esposito F, Vitale V, Noviello D</w:t>
      </w:r>
      <w:r w:rsidR="007B2B51" w:rsidRPr="004F5C3D">
        <w:rPr>
          <w:color w:val="000000" w:themeColor="text1"/>
          <w:sz w:val="20"/>
          <w:szCs w:val="20"/>
          <w:lang w:val="it-IT" w:eastAsia="en-US"/>
        </w:rPr>
        <w:t>, Di Serafaino Marco, Vallone G, Salvatore M, Oresta P (2014</w:t>
      </w:r>
      <w:r w:rsidR="00BA724E" w:rsidRPr="004F5C3D">
        <w:rPr>
          <w:color w:val="000000" w:themeColor="text1"/>
          <w:sz w:val="20"/>
          <w:szCs w:val="20"/>
          <w:lang w:val="it-IT" w:eastAsia="en-US"/>
        </w:rPr>
        <w:t>)</w:t>
      </w:r>
      <w:r w:rsidRPr="004F5C3D">
        <w:rPr>
          <w:color w:val="000000" w:themeColor="text1"/>
          <w:sz w:val="20"/>
          <w:szCs w:val="20"/>
          <w:lang w:val="it-IT" w:eastAsia="en-US"/>
        </w:rPr>
        <w:t xml:space="preserve">.  Ultrasonographic </w:t>
      </w:r>
      <w:r w:rsidR="007B2B51" w:rsidRPr="004F5C3D">
        <w:rPr>
          <w:color w:val="000000" w:themeColor="text1"/>
          <w:sz w:val="20"/>
          <w:szCs w:val="20"/>
          <w:lang w:val="it-IT" w:eastAsia="en-US"/>
        </w:rPr>
        <w:t>D</w:t>
      </w:r>
      <w:r w:rsidRPr="004F5C3D">
        <w:rPr>
          <w:color w:val="000000" w:themeColor="text1"/>
          <w:sz w:val="20"/>
          <w:szCs w:val="20"/>
          <w:lang w:val="it-IT" w:eastAsia="en-US"/>
        </w:rPr>
        <w:t xml:space="preserve">iagnosis of </w:t>
      </w:r>
      <w:r w:rsidR="007B2B51" w:rsidRPr="004F5C3D">
        <w:rPr>
          <w:color w:val="000000" w:themeColor="text1"/>
          <w:sz w:val="20"/>
          <w:szCs w:val="20"/>
          <w:lang w:val="it-IT" w:eastAsia="en-US"/>
        </w:rPr>
        <w:t>M</w:t>
      </w:r>
      <w:r w:rsidRPr="004F5C3D">
        <w:rPr>
          <w:color w:val="000000" w:themeColor="text1"/>
          <w:sz w:val="20"/>
          <w:szCs w:val="20"/>
          <w:lang w:val="it-IT" w:eastAsia="en-US"/>
        </w:rPr>
        <w:t>i</w:t>
      </w:r>
      <w:r w:rsidR="007B2B51" w:rsidRPr="004F5C3D">
        <w:rPr>
          <w:color w:val="000000" w:themeColor="text1"/>
          <w:sz w:val="20"/>
          <w:szCs w:val="20"/>
          <w:lang w:val="it-IT" w:eastAsia="en-US"/>
        </w:rPr>
        <w:t>d</w:t>
      </w:r>
      <w:r w:rsidRPr="004F5C3D">
        <w:rPr>
          <w:color w:val="000000" w:themeColor="text1"/>
          <w:sz w:val="20"/>
          <w:szCs w:val="20"/>
          <w:lang w:val="it-IT" w:eastAsia="en-US"/>
        </w:rPr>
        <w:t xml:space="preserve">gut </w:t>
      </w:r>
      <w:r w:rsidR="007B2B51" w:rsidRPr="004F5C3D">
        <w:rPr>
          <w:color w:val="000000" w:themeColor="text1"/>
          <w:sz w:val="20"/>
          <w:szCs w:val="20"/>
          <w:lang w:val="it-IT" w:eastAsia="en-US"/>
        </w:rPr>
        <w:t>V</w:t>
      </w:r>
      <w:r w:rsidRPr="004F5C3D">
        <w:rPr>
          <w:color w:val="000000" w:themeColor="text1"/>
          <w:sz w:val="20"/>
          <w:szCs w:val="20"/>
          <w:lang w:val="it-IT" w:eastAsia="en-US"/>
        </w:rPr>
        <w:t xml:space="preserve">olvulus </w:t>
      </w:r>
      <w:r w:rsidR="007B2B51" w:rsidRPr="004F5C3D">
        <w:rPr>
          <w:color w:val="000000" w:themeColor="text1"/>
          <w:sz w:val="20"/>
          <w:szCs w:val="20"/>
          <w:lang w:val="it-IT" w:eastAsia="en-US"/>
        </w:rPr>
        <w:t>W</w:t>
      </w:r>
      <w:r w:rsidRPr="004F5C3D">
        <w:rPr>
          <w:color w:val="000000" w:themeColor="text1"/>
          <w:sz w:val="20"/>
          <w:szCs w:val="20"/>
          <w:lang w:val="it-IT" w:eastAsia="en-US"/>
        </w:rPr>
        <w:t xml:space="preserve">ith </w:t>
      </w:r>
      <w:r w:rsidR="007B2B51" w:rsidRPr="004F5C3D">
        <w:rPr>
          <w:color w:val="000000" w:themeColor="text1"/>
          <w:sz w:val="20"/>
          <w:szCs w:val="20"/>
          <w:lang w:val="it-IT" w:eastAsia="en-US"/>
        </w:rPr>
        <w:t>M</w:t>
      </w:r>
      <w:r w:rsidRPr="004F5C3D">
        <w:rPr>
          <w:color w:val="000000" w:themeColor="text1"/>
          <w:sz w:val="20"/>
          <w:szCs w:val="20"/>
          <w:lang w:val="it-IT" w:eastAsia="en-US"/>
        </w:rPr>
        <w:t xml:space="preserve">alrotation in </w:t>
      </w:r>
      <w:r w:rsidR="007B2B51" w:rsidRPr="004F5C3D">
        <w:rPr>
          <w:color w:val="000000" w:themeColor="text1"/>
          <w:sz w:val="20"/>
          <w:szCs w:val="20"/>
          <w:lang w:val="it-IT" w:eastAsia="en-US"/>
        </w:rPr>
        <w:t>C</w:t>
      </w:r>
      <w:r w:rsidRPr="004F5C3D">
        <w:rPr>
          <w:color w:val="000000" w:themeColor="text1"/>
          <w:sz w:val="20"/>
          <w:szCs w:val="20"/>
          <w:lang w:val="it-IT" w:eastAsia="en-US"/>
        </w:rPr>
        <w:t>hildren. J Pediatr Gastroenterol Nutr 59(6): 786-8</w:t>
      </w:r>
      <w:r w:rsidR="007B2B51" w:rsidRPr="004F5C3D">
        <w:rPr>
          <w:color w:val="000000" w:themeColor="text1"/>
          <w:sz w:val="20"/>
          <w:szCs w:val="20"/>
          <w:lang w:val="it-IT" w:eastAsia="en-US"/>
        </w:rPr>
        <w:t>. https://doi.org/10.1097/MPG.</w:t>
      </w:r>
      <w:r w:rsidR="007B2B51" w:rsidRPr="004F5C3D">
        <w:rPr>
          <w:rStyle w:val="id-label"/>
          <w:color w:val="000000" w:themeColor="text1"/>
          <w:sz w:val="20"/>
          <w:szCs w:val="20"/>
          <w:lang w:val="it-IT"/>
        </w:rPr>
        <w:t>0000000000000505</w:t>
      </w:r>
    </w:p>
    <w:p w14:paraId="02F73852" w14:textId="626CF083" w:rsidR="00242615" w:rsidRPr="00BA724E" w:rsidRDefault="00B87580"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4F5C3D">
        <w:rPr>
          <w:rFonts w:eastAsia="Times New Roman"/>
          <w:color w:val="000000"/>
          <w:sz w:val="20"/>
          <w:szCs w:val="20"/>
          <w:lang w:val="it-IT"/>
        </w:rPr>
        <w:t>Orzech N, Navarro OM, Langer JC</w:t>
      </w:r>
      <w:r w:rsidR="00242615" w:rsidRPr="004F5C3D">
        <w:rPr>
          <w:rFonts w:eastAsia="Times New Roman"/>
          <w:color w:val="000000"/>
          <w:sz w:val="20"/>
          <w:szCs w:val="20"/>
          <w:lang w:val="it-IT"/>
        </w:rPr>
        <w:t xml:space="preserve"> (2</w:t>
      </w:r>
      <w:r w:rsidR="00242615" w:rsidRPr="004F5C3D">
        <w:rPr>
          <w:rFonts w:eastAsia="Times New Roman"/>
          <w:color w:val="000000" w:themeColor="text1"/>
          <w:sz w:val="20"/>
          <w:szCs w:val="20"/>
          <w:lang w:val="it-IT"/>
        </w:rPr>
        <w:t>006)</w:t>
      </w:r>
      <w:r w:rsidRPr="004F5C3D">
        <w:rPr>
          <w:rFonts w:eastAsia="Times New Roman"/>
          <w:color w:val="000000" w:themeColor="text1"/>
          <w:sz w:val="20"/>
          <w:szCs w:val="20"/>
          <w:lang w:val="it-IT"/>
        </w:rPr>
        <w:t xml:space="preserve"> Is ultraonography a good screening test for intestinal malrotation? </w:t>
      </w:r>
      <w:r w:rsidRPr="00BA724E">
        <w:rPr>
          <w:rFonts w:eastAsia="Times New Roman"/>
          <w:color w:val="000000" w:themeColor="text1"/>
          <w:sz w:val="20"/>
          <w:szCs w:val="20"/>
        </w:rPr>
        <w:t xml:space="preserve">J </w:t>
      </w:r>
      <w:proofErr w:type="spellStart"/>
      <w:r w:rsidRPr="00BA724E">
        <w:rPr>
          <w:rFonts w:eastAsia="Times New Roman"/>
          <w:color w:val="000000" w:themeColor="text1"/>
          <w:sz w:val="20"/>
          <w:szCs w:val="20"/>
        </w:rPr>
        <w:t>Pediatr</w:t>
      </w:r>
      <w:proofErr w:type="spellEnd"/>
      <w:r w:rsidRPr="00BA724E">
        <w:rPr>
          <w:rFonts w:eastAsia="Times New Roman"/>
          <w:color w:val="000000" w:themeColor="text1"/>
          <w:sz w:val="20"/>
          <w:szCs w:val="20"/>
        </w:rPr>
        <w:t xml:space="preserve"> </w:t>
      </w:r>
      <w:proofErr w:type="spellStart"/>
      <w:r w:rsidRPr="00BA724E">
        <w:rPr>
          <w:rFonts w:eastAsia="Times New Roman"/>
          <w:color w:val="000000" w:themeColor="text1"/>
          <w:sz w:val="20"/>
          <w:szCs w:val="20"/>
        </w:rPr>
        <w:t>Surg</w:t>
      </w:r>
      <w:proofErr w:type="spellEnd"/>
      <w:r w:rsidRPr="00BA724E">
        <w:rPr>
          <w:rFonts w:eastAsia="Times New Roman"/>
          <w:color w:val="000000" w:themeColor="text1"/>
          <w:sz w:val="20"/>
          <w:szCs w:val="20"/>
        </w:rPr>
        <w:t xml:space="preserve"> 41(5): 152-6</w:t>
      </w:r>
      <w:r w:rsidR="00242615" w:rsidRPr="00BA724E">
        <w:rPr>
          <w:rFonts w:eastAsia="Times New Roman"/>
          <w:color w:val="000000" w:themeColor="text1"/>
          <w:sz w:val="20"/>
          <w:szCs w:val="20"/>
        </w:rPr>
        <w:t xml:space="preserve">. </w:t>
      </w:r>
      <w:hyperlink r:id="rId7" w:tgtFrame="_blank" w:tooltip="Persistent link using digital object identifier" w:history="1">
        <w:r w:rsidR="00242615" w:rsidRPr="00BA724E">
          <w:rPr>
            <w:rStyle w:val="Hyperlink"/>
            <w:color w:val="000000" w:themeColor="text1"/>
            <w:sz w:val="20"/>
            <w:szCs w:val="20"/>
            <w:u w:val="none"/>
          </w:rPr>
          <w:t>https://doi.org/10.1016/j.jpedsurg.2005.12.070</w:t>
        </w:r>
      </w:hyperlink>
    </w:p>
    <w:p w14:paraId="2DBCCA6C" w14:textId="0853BDF1" w:rsidR="00242615" w:rsidRPr="00BA724E" w:rsidRDefault="00B87580"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BA724E">
        <w:rPr>
          <w:rFonts w:eastAsia="Times New Roman"/>
          <w:color w:val="000000"/>
          <w:sz w:val="20"/>
          <w:szCs w:val="20"/>
        </w:rPr>
        <w:t>Grant HW, Parker MC, Wilson MS</w:t>
      </w:r>
      <w:r w:rsidR="00242615" w:rsidRPr="00BA724E">
        <w:rPr>
          <w:rFonts w:eastAsia="Times New Roman"/>
          <w:color w:val="000000"/>
          <w:sz w:val="20"/>
          <w:szCs w:val="20"/>
        </w:rPr>
        <w:t>, Menzies D, Sunderland G, Thompson J, Clark D, Knight A, Crowe A, Ellis H (2008)</w:t>
      </w:r>
      <w:r w:rsidRPr="00BA724E">
        <w:rPr>
          <w:rFonts w:eastAsia="Times New Roman"/>
          <w:color w:val="000000"/>
          <w:sz w:val="20"/>
          <w:szCs w:val="20"/>
        </w:rPr>
        <w:t xml:space="preserve"> Adhesions after abdominal surgery in children. J </w:t>
      </w:r>
      <w:proofErr w:type="spellStart"/>
      <w:r w:rsidRPr="00BA724E">
        <w:rPr>
          <w:rFonts w:eastAsia="Times New Roman"/>
          <w:color w:val="000000"/>
          <w:sz w:val="20"/>
          <w:szCs w:val="20"/>
        </w:rPr>
        <w:t>Pediatr</w:t>
      </w:r>
      <w:proofErr w:type="spellEnd"/>
      <w:r w:rsidRPr="00BA724E">
        <w:rPr>
          <w:rFonts w:eastAsia="Times New Roman"/>
          <w:color w:val="000000"/>
          <w:sz w:val="20"/>
          <w:szCs w:val="20"/>
        </w:rPr>
        <w:t xml:space="preserve"> </w:t>
      </w:r>
      <w:proofErr w:type="spellStart"/>
      <w:r w:rsidRPr="00BA724E">
        <w:rPr>
          <w:rFonts w:eastAsia="Times New Roman"/>
          <w:color w:val="000000"/>
          <w:sz w:val="20"/>
          <w:szCs w:val="20"/>
        </w:rPr>
        <w:t>Surg</w:t>
      </w:r>
      <w:proofErr w:type="spellEnd"/>
      <w:r w:rsidRPr="00BA724E">
        <w:rPr>
          <w:rFonts w:eastAsia="Times New Roman"/>
          <w:color w:val="000000"/>
          <w:sz w:val="20"/>
          <w:szCs w:val="20"/>
        </w:rPr>
        <w:t xml:space="preserve"> 43(1): 152-6</w:t>
      </w:r>
      <w:r w:rsidR="00242615" w:rsidRPr="00BA724E">
        <w:rPr>
          <w:rFonts w:eastAsia="Times New Roman"/>
          <w:color w:val="000000" w:themeColor="text1"/>
          <w:sz w:val="20"/>
          <w:szCs w:val="20"/>
        </w:rPr>
        <w:t xml:space="preserve">. </w:t>
      </w:r>
      <w:hyperlink r:id="rId8" w:history="1">
        <w:r w:rsidR="00242615" w:rsidRPr="00BA724E">
          <w:rPr>
            <w:rStyle w:val="Hyperlink"/>
            <w:rFonts w:eastAsia="Times New Roman"/>
            <w:color w:val="000000" w:themeColor="text1"/>
            <w:sz w:val="20"/>
            <w:szCs w:val="20"/>
            <w:u w:val="none"/>
          </w:rPr>
          <w:t>https://doi.org/10.1016/j.jpedsurg.2007.09.038</w:t>
        </w:r>
      </w:hyperlink>
    </w:p>
    <w:p w14:paraId="7CD0D0F6" w14:textId="1818873D" w:rsidR="00242615" w:rsidRPr="00BA724E" w:rsidRDefault="00B87580"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BA724E">
        <w:rPr>
          <w:rFonts w:eastAsia="Times New Roman"/>
          <w:color w:val="000000"/>
          <w:sz w:val="20"/>
          <w:szCs w:val="20"/>
        </w:rPr>
        <w:t>Wilkins BM, Spitz L</w:t>
      </w:r>
      <w:r w:rsidR="00242615" w:rsidRPr="00BA724E">
        <w:rPr>
          <w:rFonts w:eastAsia="Times New Roman"/>
          <w:color w:val="000000"/>
          <w:sz w:val="20"/>
          <w:szCs w:val="20"/>
        </w:rPr>
        <w:t xml:space="preserve"> (1986)</w:t>
      </w:r>
      <w:r w:rsidRPr="00BA724E">
        <w:rPr>
          <w:rFonts w:eastAsia="Times New Roman"/>
          <w:color w:val="000000"/>
          <w:sz w:val="20"/>
          <w:szCs w:val="20"/>
        </w:rPr>
        <w:t xml:space="preserve"> Incidence of postoperative adhesion obstruction following neonatal laparotomy.  Br J </w:t>
      </w:r>
      <w:proofErr w:type="spellStart"/>
      <w:r w:rsidRPr="00BA724E">
        <w:rPr>
          <w:rFonts w:eastAsia="Times New Roman"/>
          <w:color w:val="000000"/>
          <w:sz w:val="20"/>
          <w:szCs w:val="20"/>
        </w:rPr>
        <w:t>Surg</w:t>
      </w:r>
      <w:proofErr w:type="spellEnd"/>
      <w:r w:rsidRPr="00BA724E">
        <w:rPr>
          <w:rFonts w:eastAsia="Times New Roman"/>
          <w:color w:val="000000"/>
          <w:sz w:val="20"/>
          <w:szCs w:val="20"/>
        </w:rPr>
        <w:t xml:space="preserve"> 73(9):76-4</w:t>
      </w:r>
      <w:r w:rsidR="00242615" w:rsidRPr="00BA724E">
        <w:rPr>
          <w:rFonts w:eastAsia="Times New Roman"/>
          <w:color w:val="000000"/>
          <w:sz w:val="20"/>
          <w:szCs w:val="20"/>
        </w:rPr>
        <w:t xml:space="preserve">. https://doi.org/10.1002/bjs.1800730929 </w:t>
      </w:r>
    </w:p>
    <w:p w14:paraId="321C21FC" w14:textId="5C63757D" w:rsidR="00242615" w:rsidRPr="00BA724E" w:rsidRDefault="00B87580"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BA724E">
        <w:rPr>
          <w:rFonts w:eastAsia="Times New Roman"/>
          <w:color w:val="000000"/>
          <w:sz w:val="20"/>
          <w:szCs w:val="20"/>
        </w:rPr>
        <w:t>Chen LE, Minkes R, Langer J</w:t>
      </w:r>
      <w:r w:rsidR="00242615" w:rsidRPr="00BA724E">
        <w:rPr>
          <w:rFonts w:eastAsia="Times New Roman"/>
          <w:color w:val="000000"/>
          <w:sz w:val="20"/>
          <w:szCs w:val="20"/>
        </w:rPr>
        <w:t xml:space="preserve"> (2003</w:t>
      </w:r>
      <w:proofErr w:type="gramStart"/>
      <w:r w:rsidR="00242615" w:rsidRPr="00BA724E">
        <w:rPr>
          <w:rFonts w:eastAsia="Times New Roman"/>
          <w:color w:val="000000"/>
          <w:sz w:val="20"/>
          <w:szCs w:val="20"/>
        </w:rPr>
        <w:t>)</w:t>
      </w:r>
      <w:r w:rsidRPr="00BA724E">
        <w:rPr>
          <w:rFonts w:eastAsia="Times New Roman"/>
          <w:color w:val="000000"/>
          <w:sz w:val="20"/>
          <w:szCs w:val="20"/>
        </w:rPr>
        <w:t xml:space="preserve">  Laparoscopic</w:t>
      </w:r>
      <w:proofErr w:type="gramEnd"/>
      <w:r w:rsidRPr="00BA724E">
        <w:rPr>
          <w:rFonts w:eastAsia="Times New Roman"/>
          <w:color w:val="000000"/>
          <w:sz w:val="20"/>
          <w:szCs w:val="20"/>
        </w:rPr>
        <w:t xml:space="preserve"> versus open surgery for malrotation without volvulus.</w:t>
      </w:r>
      <w:r w:rsidRPr="00BA724E">
        <w:rPr>
          <w:color w:val="000000"/>
          <w:sz w:val="20"/>
          <w:szCs w:val="20"/>
          <w:lang w:eastAsia="en-US"/>
        </w:rPr>
        <w:t xml:space="preserve"> </w:t>
      </w:r>
      <w:proofErr w:type="spellStart"/>
      <w:r w:rsidRPr="00BA724E">
        <w:rPr>
          <w:color w:val="000000"/>
          <w:sz w:val="20"/>
          <w:szCs w:val="20"/>
          <w:lang w:eastAsia="en-US"/>
        </w:rPr>
        <w:t>Pediatri</w:t>
      </w:r>
      <w:proofErr w:type="spellEnd"/>
      <w:r w:rsidRPr="00BA724E">
        <w:rPr>
          <w:color w:val="000000"/>
          <w:sz w:val="20"/>
          <w:szCs w:val="20"/>
          <w:lang w:eastAsia="en-US"/>
        </w:rPr>
        <w:t xml:space="preserve"> </w:t>
      </w:r>
      <w:proofErr w:type="spellStart"/>
      <w:r w:rsidRPr="00BA724E">
        <w:rPr>
          <w:color w:val="000000"/>
          <w:sz w:val="20"/>
          <w:szCs w:val="20"/>
          <w:lang w:eastAsia="en-US"/>
        </w:rPr>
        <w:t>Endosurg</w:t>
      </w:r>
      <w:proofErr w:type="spellEnd"/>
      <w:r w:rsidRPr="00BA724E">
        <w:rPr>
          <w:color w:val="000000"/>
          <w:sz w:val="20"/>
          <w:szCs w:val="20"/>
          <w:lang w:eastAsia="en-US"/>
        </w:rPr>
        <w:t xml:space="preserve"> </w:t>
      </w:r>
      <w:proofErr w:type="spellStart"/>
      <w:r w:rsidRPr="00BA724E">
        <w:rPr>
          <w:color w:val="000000"/>
          <w:sz w:val="20"/>
          <w:szCs w:val="20"/>
          <w:lang w:eastAsia="en-US"/>
        </w:rPr>
        <w:t>Innov</w:t>
      </w:r>
      <w:proofErr w:type="spellEnd"/>
      <w:r w:rsidRPr="00BA724E">
        <w:rPr>
          <w:color w:val="000000"/>
          <w:sz w:val="20"/>
          <w:szCs w:val="20"/>
          <w:lang w:eastAsia="en-US"/>
        </w:rPr>
        <w:t xml:space="preserve"> Tech; 7:433-8.</w:t>
      </w:r>
      <w:r w:rsidR="00242615" w:rsidRPr="00BA724E">
        <w:rPr>
          <w:color w:val="000000"/>
          <w:sz w:val="20"/>
          <w:szCs w:val="20"/>
          <w:lang w:eastAsia="en-US"/>
        </w:rPr>
        <w:t xml:space="preserve"> </w:t>
      </w:r>
      <w:hyperlink r:id="rId9" w:history="1">
        <w:r w:rsidR="00242615" w:rsidRPr="00BA724E">
          <w:rPr>
            <w:rStyle w:val="Hyperlink"/>
            <w:color w:val="000000" w:themeColor="text1"/>
            <w:sz w:val="20"/>
            <w:szCs w:val="20"/>
            <w:u w:val="none"/>
            <w:lang w:eastAsia="en-US"/>
          </w:rPr>
          <w:t>https://doi.org/10.1089/109264103322614312</w:t>
        </w:r>
      </w:hyperlink>
      <w:r w:rsidR="00242615" w:rsidRPr="00BA724E">
        <w:rPr>
          <w:color w:val="000000" w:themeColor="text1"/>
          <w:sz w:val="20"/>
          <w:szCs w:val="20"/>
          <w:lang w:eastAsia="en-US"/>
        </w:rPr>
        <w:t xml:space="preserve"> </w:t>
      </w:r>
    </w:p>
    <w:p w14:paraId="001D7F71" w14:textId="1BC3BFCF" w:rsidR="00FF23ED" w:rsidRDefault="00FF23ED"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Pr>
          <w:color w:val="000000"/>
          <w:sz w:val="20"/>
          <w:szCs w:val="20"/>
          <w:lang w:eastAsia="en-US"/>
        </w:rPr>
        <w:t xml:space="preserve">Catania VD, </w:t>
      </w:r>
      <w:proofErr w:type="spellStart"/>
      <w:r>
        <w:rPr>
          <w:color w:val="000000"/>
          <w:sz w:val="20"/>
          <w:szCs w:val="20"/>
          <w:lang w:eastAsia="en-US"/>
        </w:rPr>
        <w:t>Lauriti</w:t>
      </w:r>
      <w:proofErr w:type="spellEnd"/>
      <w:r>
        <w:rPr>
          <w:color w:val="000000"/>
          <w:sz w:val="20"/>
          <w:szCs w:val="20"/>
          <w:lang w:eastAsia="en-US"/>
        </w:rPr>
        <w:t xml:space="preserve"> G, </w:t>
      </w:r>
      <w:proofErr w:type="spellStart"/>
      <w:r>
        <w:rPr>
          <w:color w:val="000000"/>
          <w:sz w:val="20"/>
          <w:szCs w:val="20"/>
          <w:lang w:eastAsia="en-US"/>
        </w:rPr>
        <w:t>Pierro</w:t>
      </w:r>
      <w:proofErr w:type="spellEnd"/>
      <w:r>
        <w:rPr>
          <w:color w:val="000000"/>
          <w:sz w:val="20"/>
          <w:szCs w:val="20"/>
          <w:lang w:eastAsia="en-US"/>
        </w:rPr>
        <w:t xml:space="preserve"> A, Zani A (2016) Open versus laparoscopic approach for intestinal malrotation in infants with children: a systematic review and meta-analysis. </w:t>
      </w:r>
      <w:proofErr w:type="spellStart"/>
      <w:r>
        <w:rPr>
          <w:color w:val="000000"/>
          <w:sz w:val="20"/>
          <w:szCs w:val="20"/>
          <w:lang w:eastAsia="en-US"/>
        </w:rPr>
        <w:t>Pediatr</w:t>
      </w:r>
      <w:proofErr w:type="spellEnd"/>
      <w:r>
        <w:rPr>
          <w:color w:val="000000"/>
          <w:sz w:val="20"/>
          <w:szCs w:val="20"/>
          <w:lang w:eastAsia="en-US"/>
        </w:rPr>
        <w:t xml:space="preserve"> </w:t>
      </w:r>
      <w:proofErr w:type="spellStart"/>
      <w:r>
        <w:rPr>
          <w:color w:val="000000"/>
          <w:sz w:val="20"/>
          <w:szCs w:val="20"/>
          <w:lang w:eastAsia="en-US"/>
        </w:rPr>
        <w:t>Surg</w:t>
      </w:r>
      <w:proofErr w:type="spellEnd"/>
      <w:r>
        <w:rPr>
          <w:color w:val="000000"/>
          <w:sz w:val="20"/>
          <w:szCs w:val="20"/>
          <w:lang w:eastAsia="en-US"/>
        </w:rPr>
        <w:t xml:space="preserve"> Int 32(12):1157-1164. https://doi.org/10.1007/s00383-016-3974-2</w:t>
      </w:r>
    </w:p>
    <w:p w14:paraId="587932DE" w14:textId="78C4F10C" w:rsidR="00C42AAE" w:rsidRDefault="00C42AAE"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Pr>
          <w:color w:val="000000"/>
          <w:sz w:val="20"/>
          <w:szCs w:val="20"/>
          <w:lang w:eastAsia="en-US"/>
        </w:rPr>
        <w:t xml:space="preserve">Zhu H, Zheng S, </w:t>
      </w:r>
      <w:proofErr w:type="spellStart"/>
      <w:r>
        <w:rPr>
          <w:color w:val="000000"/>
          <w:sz w:val="20"/>
          <w:szCs w:val="20"/>
          <w:lang w:eastAsia="en-US"/>
        </w:rPr>
        <w:t>Alganabi</w:t>
      </w:r>
      <w:proofErr w:type="spellEnd"/>
      <w:r>
        <w:rPr>
          <w:color w:val="000000"/>
          <w:sz w:val="20"/>
          <w:szCs w:val="20"/>
          <w:lang w:eastAsia="en-US"/>
        </w:rPr>
        <w:t xml:space="preserve"> M, Peng X, Dong K, Pierro A, Shen C (2018) Reoperation after Ladd’s procedure in neonatal period. </w:t>
      </w:r>
      <w:proofErr w:type="spellStart"/>
      <w:r>
        <w:rPr>
          <w:color w:val="000000"/>
          <w:sz w:val="20"/>
          <w:szCs w:val="20"/>
          <w:lang w:eastAsia="en-US"/>
        </w:rPr>
        <w:t>Pediatr</w:t>
      </w:r>
      <w:proofErr w:type="spellEnd"/>
      <w:r>
        <w:rPr>
          <w:color w:val="000000"/>
          <w:sz w:val="20"/>
          <w:szCs w:val="20"/>
          <w:lang w:eastAsia="en-US"/>
        </w:rPr>
        <w:t xml:space="preserve"> </w:t>
      </w:r>
      <w:proofErr w:type="spellStart"/>
      <w:r>
        <w:rPr>
          <w:color w:val="000000"/>
          <w:sz w:val="20"/>
          <w:szCs w:val="20"/>
          <w:lang w:eastAsia="en-US"/>
        </w:rPr>
        <w:t>Surg</w:t>
      </w:r>
      <w:proofErr w:type="spellEnd"/>
      <w:r>
        <w:rPr>
          <w:color w:val="000000"/>
          <w:sz w:val="20"/>
          <w:szCs w:val="20"/>
          <w:lang w:eastAsia="en-US"/>
        </w:rPr>
        <w:t xml:space="preserve"> Int; 35(1):117-120</w:t>
      </w:r>
    </w:p>
    <w:p w14:paraId="35F82F8E" w14:textId="0DA6F106" w:rsidR="00C17838" w:rsidRPr="00BA724E" w:rsidRDefault="00C17838" w:rsidP="00242615">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BA724E">
        <w:rPr>
          <w:color w:val="000000"/>
          <w:sz w:val="20"/>
          <w:szCs w:val="20"/>
          <w:lang w:eastAsia="en-US"/>
        </w:rPr>
        <w:t xml:space="preserve">Fraser JD, Aguayo P, Sharp SW, </w:t>
      </w:r>
      <w:proofErr w:type="spellStart"/>
      <w:r w:rsidRPr="00BA724E">
        <w:rPr>
          <w:color w:val="000000"/>
          <w:sz w:val="20"/>
          <w:szCs w:val="20"/>
          <w:lang w:eastAsia="en-US"/>
        </w:rPr>
        <w:t>Ostlie</w:t>
      </w:r>
      <w:proofErr w:type="spellEnd"/>
      <w:r w:rsidRPr="00BA724E">
        <w:rPr>
          <w:color w:val="000000"/>
          <w:sz w:val="20"/>
          <w:szCs w:val="20"/>
          <w:lang w:eastAsia="en-US"/>
        </w:rPr>
        <w:t xml:space="preserve"> DJ, St Peter SD</w:t>
      </w:r>
      <w:r w:rsidR="00242615" w:rsidRPr="00BA724E">
        <w:rPr>
          <w:color w:val="000000"/>
          <w:sz w:val="20"/>
          <w:szCs w:val="20"/>
          <w:lang w:eastAsia="en-US"/>
        </w:rPr>
        <w:t xml:space="preserve"> (2009)</w:t>
      </w:r>
      <w:r w:rsidRPr="00BA724E">
        <w:rPr>
          <w:color w:val="000000"/>
          <w:sz w:val="20"/>
          <w:szCs w:val="20"/>
          <w:lang w:eastAsia="en-US"/>
        </w:rPr>
        <w:t xml:space="preserve"> The role of laparoscopy in the management of malrotation. J </w:t>
      </w:r>
      <w:proofErr w:type="spellStart"/>
      <w:r w:rsidRPr="00BA724E">
        <w:rPr>
          <w:color w:val="000000"/>
          <w:sz w:val="20"/>
          <w:szCs w:val="20"/>
          <w:lang w:eastAsia="en-US"/>
        </w:rPr>
        <w:t>Surg</w:t>
      </w:r>
      <w:proofErr w:type="spellEnd"/>
      <w:r w:rsidRPr="00BA724E">
        <w:rPr>
          <w:color w:val="000000"/>
          <w:sz w:val="20"/>
          <w:szCs w:val="20"/>
          <w:lang w:eastAsia="en-US"/>
        </w:rPr>
        <w:t xml:space="preserve"> Res 156:80–82</w:t>
      </w:r>
      <w:r w:rsidR="00242615" w:rsidRPr="00BA724E">
        <w:rPr>
          <w:color w:val="000000"/>
          <w:sz w:val="20"/>
          <w:szCs w:val="20"/>
          <w:lang w:eastAsia="en-US"/>
        </w:rPr>
        <w:t>.  https://doi.org/10.1016/j.jss.2009.03.063</w:t>
      </w:r>
    </w:p>
    <w:p w14:paraId="6465F646" w14:textId="6836A625" w:rsidR="00B87580" w:rsidRPr="00BA724E" w:rsidRDefault="00B87580" w:rsidP="00B87580">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BA724E">
        <w:rPr>
          <w:color w:val="000000"/>
          <w:sz w:val="20"/>
          <w:szCs w:val="20"/>
          <w:lang w:eastAsia="en-US"/>
        </w:rPr>
        <w:t>Bass KD, Rothenberg SS, Chang JH</w:t>
      </w:r>
      <w:r w:rsidR="00242615" w:rsidRPr="00BA724E">
        <w:rPr>
          <w:color w:val="000000"/>
          <w:sz w:val="20"/>
          <w:szCs w:val="20"/>
          <w:lang w:eastAsia="en-US"/>
        </w:rPr>
        <w:t xml:space="preserve"> (1998)</w:t>
      </w:r>
      <w:r w:rsidRPr="00BA724E">
        <w:rPr>
          <w:color w:val="000000"/>
          <w:sz w:val="20"/>
          <w:szCs w:val="20"/>
          <w:lang w:eastAsia="en-US"/>
        </w:rPr>
        <w:t xml:space="preserve"> Laparoscopic Ladd’s procedure in infants with malrotation. J </w:t>
      </w:r>
      <w:proofErr w:type="spellStart"/>
      <w:r w:rsidRPr="00BA724E">
        <w:rPr>
          <w:color w:val="000000"/>
          <w:sz w:val="20"/>
          <w:szCs w:val="20"/>
          <w:lang w:eastAsia="en-US"/>
        </w:rPr>
        <w:t>Pediatr</w:t>
      </w:r>
      <w:proofErr w:type="spellEnd"/>
      <w:r w:rsidRPr="00BA724E">
        <w:rPr>
          <w:color w:val="000000"/>
          <w:sz w:val="20"/>
          <w:szCs w:val="20"/>
          <w:lang w:eastAsia="en-US"/>
        </w:rPr>
        <w:t xml:space="preserve"> </w:t>
      </w:r>
      <w:proofErr w:type="spellStart"/>
      <w:r w:rsidRPr="00BA724E">
        <w:rPr>
          <w:color w:val="000000"/>
          <w:sz w:val="20"/>
          <w:szCs w:val="20"/>
          <w:lang w:eastAsia="en-US"/>
        </w:rPr>
        <w:t>Surg</w:t>
      </w:r>
      <w:proofErr w:type="spellEnd"/>
      <w:r w:rsidRPr="00BA724E">
        <w:rPr>
          <w:color w:val="000000"/>
          <w:sz w:val="20"/>
          <w:szCs w:val="20"/>
          <w:lang w:eastAsia="en-US"/>
        </w:rPr>
        <w:t>; 33:279–28</w:t>
      </w:r>
      <w:r w:rsidR="00242615" w:rsidRPr="00BA724E">
        <w:rPr>
          <w:color w:val="000000"/>
          <w:sz w:val="20"/>
          <w:szCs w:val="20"/>
          <w:lang w:eastAsia="en-US"/>
        </w:rPr>
        <w:t>1. https://doi.org/</w:t>
      </w:r>
      <w:r w:rsidR="00023D0C" w:rsidRPr="00BA724E">
        <w:rPr>
          <w:color w:val="000000"/>
          <w:sz w:val="20"/>
          <w:szCs w:val="20"/>
          <w:lang w:eastAsia="en-US"/>
        </w:rPr>
        <w:t>10.1016/S0022-3468(98)90447-x</w:t>
      </w:r>
    </w:p>
    <w:p w14:paraId="18D40F07" w14:textId="708C51A4" w:rsidR="00B87580" w:rsidRPr="00BA724E" w:rsidRDefault="00B87580" w:rsidP="00B87580">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proofErr w:type="spellStart"/>
      <w:r w:rsidRPr="00BA724E">
        <w:rPr>
          <w:color w:val="000000"/>
          <w:sz w:val="20"/>
          <w:szCs w:val="20"/>
          <w:lang w:eastAsia="en-US"/>
        </w:rPr>
        <w:t>Mazziotti</w:t>
      </w:r>
      <w:proofErr w:type="spellEnd"/>
      <w:r w:rsidRPr="00BA724E">
        <w:rPr>
          <w:color w:val="000000"/>
          <w:sz w:val="20"/>
          <w:szCs w:val="20"/>
          <w:lang w:eastAsia="en-US"/>
        </w:rPr>
        <w:t xml:space="preserve"> MV, Strasberg SM, Langer JC</w:t>
      </w:r>
      <w:r w:rsidR="00305AC6" w:rsidRPr="00BA724E">
        <w:rPr>
          <w:color w:val="000000"/>
          <w:sz w:val="20"/>
          <w:szCs w:val="20"/>
          <w:lang w:eastAsia="en-US"/>
        </w:rPr>
        <w:t xml:space="preserve"> (1997)</w:t>
      </w:r>
      <w:r w:rsidRPr="00BA724E">
        <w:rPr>
          <w:color w:val="000000"/>
          <w:sz w:val="20"/>
          <w:szCs w:val="20"/>
          <w:lang w:eastAsia="en-US"/>
        </w:rPr>
        <w:t xml:space="preserve"> Intestinal rotation abnormalities without volvulus: the role of laparoscopy. J Am Coll </w:t>
      </w:r>
      <w:proofErr w:type="spellStart"/>
      <w:r w:rsidRPr="00BA724E">
        <w:rPr>
          <w:color w:val="000000"/>
          <w:sz w:val="20"/>
          <w:szCs w:val="20"/>
          <w:lang w:eastAsia="en-US"/>
        </w:rPr>
        <w:t>Surg</w:t>
      </w:r>
      <w:proofErr w:type="spellEnd"/>
      <w:r w:rsidRPr="00BA724E">
        <w:rPr>
          <w:color w:val="000000"/>
          <w:sz w:val="20"/>
          <w:szCs w:val="20"/>
          <w:lang w:eastAsia="en-US"/>
        </w:rPr>
        <w:t xml:space="preserve"> 185:172–176</w:t>
      </w:r>
      <w:r w:rsidR="00242615" w:rsidRPr="00BA724E">
        <w:rPr>
          <w:color w:val="000000"/>
          <w:sz w:val="20"/>
          <w:szCs w:val="20"/>
          <w:lang w:eastAsia="en-US"/>
        </w:rPr>
        <w:t>. https://doi.org/</w:t>
      </w:r>
      <w:r w:rsidR="00023D0C" w:rsidRPr="00BA724E">
        <w:rPr>
          <w:color w:val="000000"/>
          <w:sz w:val="20"/>
          <w:szCs w:val="20"/>
          <w:lang w:eastAsia="en-US"/>
        </w:rPr>
        <w:t>10.1016/</w:t>
      </w:r>
      <w:r w:rsidR="00DC09F7" w:rsidRPr="00BA724E">
        <w:rPr>
          <w:color w:val="000000"/>
          <w:sz w:val="20"/>
          <w:szCs w:val="20"/>
          <w:lang w:eastAsia="en-US"/>
        </w:rPr>
        <w:t>s1072</w:t>
      </w:r>
      <w:r w:rsidR="00023D0C" w:rsidRPr="00BA724E">
        <w:rPr>
          <w:color w:val="000000"/>
          <w:sz w:val="20"/>
          <w:szCs w:val="20"/>
          <w:lang w:eastAsia="en-US"/>
        </w:rPr>
        <w:t>-7515(</w:t>
      </w:r>
      <w:r w:rsidR="00DC09F7" w:rsidRPr="00BA724E">
        <w:rPr>
          <w:color w:val="000000"/>
          <w:sz w:val="20"/>
          <w:szCs w:val="20"/>
          <w:lang w:eastAsia="en-US"/>
        </w:rPr>
        <w:t>97)00058-6</w:t>
      </w:r>
      <w:r w:rsidRPr="00BA724E">
        <w:rPr>
          <w:color w:val="000000"/>
          <w:sz w:val="20"/>
          <w:szCs w:val="20"/>
          <w:lang w:eastAsia="en-US"/>
        </w:rPr>
        <w:t xml:space="preserve"> </w:t>
      </w:r>
    </w:p>
    <w:p w14:paraId="2CD20801" w14:textId="33348C11" w:rsidR="00DC09F7" w:rsidRPr="00BA724E" w:rsidRDefault="00B87580" w:rsidP="00DC09F7">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proofErr w:type="spellStart"/>
      <w:r w:rsidRPr="00BA724E">
        <w:rPr>
          <w:color w:val="000000"/>
          <w:sz w:val="20"/>
          <w:szCs w:val="20"/>
          <w:lang w:eastAsia="en-US"/>
        </w:rPr>
        <w:t>Draus</w:t>
      </w:r>
      <w:proofErr w:type="spellEnd"/>
      <w:r w:rsidRPr="00BA724E">
        <w:rPr>
          <w:color w:val="000000"/>
          <w:sz w:val="20"/>
          <w:szCs w:val="20"/>
          <w:lang w:eastAsia="en-US"/>
        </w:rPr>
        <w:t xml:space="preserve"> JM Jr, Foley DS, Bond SJ</w:t>
      </w:r>
      <w:r w:rsidR="00305AC6" w:rsidRPr="00BA724E">
        <w:rPr>
          <w:color w:val="000000"/>
          <w:sz w:val="20"/>
          <w:szCs w:val="20"/>
          <w:lang w:eastAsia="en-US"/>
        </w:rPr>
        <w:t xml:space="preserve"> (2007)</w:t>
      </w:r>
      <w:r w:rsidRPr="00BA724E">
        <w:rPr>
          <w:color w:val="000000"/>
          <w:sz w:val="20"/>
          <w:szCs w:val="20"/>
          <w:lang w:eastAsia="en-US"/>
        </w:rPr>
        <w:t xml:space="preserve"> Laparoscopic Ladd procedure: a minimally invasive approach to malrotation without midgut volvulus. Am </w:t>
      </w:r>
      <w:proofErr w:type="spellStart"/>
      <w:r w:rsidRPr="00BA724E">
        <w:rPr>
          <w:color w:val="000000"/>
          <w:sz w:val="20"/>
          <w:szCs w:val="20"/>
          <w:lang w:eastAsia="en-US"/>
        </w:rPr>
        <w:t>Surg</w:t>
      </w:r>
      <w:proofErr w:type="spellEnd"/>
      <w:r w:rsidRPr="00BA724E">
        <w:rPr>
          <w:color w:val="000000"/>
          <w:sz w:val="20"/>
          <w:szCs w:val="20"/>
          <w:lang w:eastAsia="en-US"/>
        </w:rPr>
        <w:t>; 73:693–696</w:t>
      </w:r>
      <w:r w:rsidR="00242615" w:rsidRPr="00BA724E">
        <w:rPr>
          <w:rFonts w:eastAsia="MS Mincho"/>
          <w:color w:val="000000"/>
          <w:sz w:val="20"/>
          <w:szCs w:val="20"/>
          <w:lang w:eastAsia="en-US"/>
        </w:rPr>
        <w:t xml:space="preserve">. </w:t>
      </w:r>
    </w:p>
    <w:p w14:paraId="12082166" w14:textId="01EE452A" w:rsidR="00DC09F7" w:rsidRPr="00BA724E" w:rsidRDefault="00C17838" w:rsidP="00DC09F7">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proofErr w:type="spellStart"/>
      <w:r w:rsidRPr="00BA724E">
        <w:rPr>
          <w:color w:val="000000"/>
          <w:sz w:val="20"/>
          <w:szCs w:val="20"/>
        </w:rPr>
        <w:t>Palanivelu</w:t>
      </w:r>
      <w:proofErr w:type="spellEnd"/>
      <w:r w:rsidRPr="00BA724E">
        <w:rPr>
          <w:color w:val="000000"/>
          <w:sz w:val="20"/>
          <w:szCs w:val="20"/>
        </w:rPr>
        <w:t xml:space="preserve"> C, Rangarajan M, Shetty AR, Jani K</w:t>
      </w:r>
      <w:r w:rsidR="00305AC6" w:rsidRPr="00BA724E">
        <w:rPr>
          <w:color w:val="000000"/>
          <w:sz w:val="20"/>
          <w:szCs w:val="20"/>
        </w:rPr>
        <w:t xml:space="preserve"> (2007)</w:t>
      </w:r>
      <w:r w:rsidRPr="00BA724E">
        <w:rPr>
          <w:color w:val="000000"/>
          <w:sz w:val="20"/>
          <w:szCs w:val="20"/>
        </w:rPr>
        <w:t xml:space="preserve"> Intestinal malrotation with midgut volvulus presenting as acute abdomen in children: value of diagnostic and therapeutic laparoscopy. J </w:t>
      </w:r>
      <w:proofErr w:type="spellStart"/>
      <w:r w:rsidRPr="00BA724E">
        <w:rPr>
          <w:color w:val="000000"/>
          <w:sz w:val="20"/>
          <w:szCs w:val="20"/>
        </w:rPr>
        <w:t>Laparoendosc</w:t>
      </w:r>
      <w:proofErr w:type="spellEnd"/>
      <w:r w:rsidRPr="00BA724E">
        <w:rPr>
          <w:color w:val="000000"/>
          <w:sz w:val="20"/>
          <w:szCs w:val="20"/>
        </w:rPr>
        <w:t xml:space="preserve"> Adv </w:t>
      </w:r>
      <w:proofErr w:type="spellStart"/>
      <w:r w:rsidRPr="00BA724E">
        <w:rPr>
          <w:color w:val="000000"/>
          <w:sz w:val="20"/>
          <w:szCs w:val="20"/>
        </w:rPr>
        <w:t>Surg</w:t>
      </w:r>
      <w:proofErr w:type="spellEnd"/>
      <w:r w:rsidRPr="00BA724E">
        <w:rPr>
          <w:color w:val="000000"/>
          <w:sz w:val="20"/>
          <w:szCs w:val="20"/>
        </w:rPr>
        <w:t xml:space="preserve"> Tech A; 17:490–492</w:t>
      </w:r>
      <w:r w:rsidR="00242615" w:rsidRPr="00BA724E">
        <w:rPr>
          <w:color w:val="000000"/>
          <w:sz w:val="20"/>
          <w:szCs w:val="20"/>
        </w:rPr>
        <w:t xml:space="preserve">. </w:t>
      </w:r>
      <w:hyperlink r:id="rId10" w:history="1">
        <w:r w:rsidR="00DC09F7" w:rsidRPr="00BA724E">
          <w:rPr>
            <w:color w:val="000000" w:themeColor="text1"/>
            <w:sz w:val="20"/>
            <w:szCs w:val="20"/>
            <w:shd w:val="clear" w:color="auto" w:fill="FFFFFF"/>
          </w:rPr>
          <w:t>https://doi.org/10.1089/vor.2018.0560</w:t>
        </w:r>
      </w:hyperlink>
    </w:p>
    <w:p w14:paraId="00B90A54" w14:textId="168A8DE7" w:rsidR="008D330F" w:rsidRPr="00BA724E" w:rsidRDefault="008D330F" w:rsidP="00DC09F7">
      <w:pPr>
        <w:pStyle w:val="ListParagraph"/>
        <w:widowControl w:val="0"/>
        <w:numPr>
          <w:ilvl w:val="0"/>
          <w:numId w:val="2"/>
        </w:numPr>
        <w:tabs>
          <w:tab w:val="left" w:pos="220"/>
          <w:tab w:val="left" w:pos="720"/>
        </w:tabs>
        <w:autoSpaceDE w:val="0"/>
        <w:autoSpaceDN w:val="0"/>
        <w:adjustRightInd w:val="0"/>
        <w:spacing w:after="213" w:line="260" w:lineRule="atLeast"/>
        <w:rPr>
          <w:color w:val="000000"/>
          <w:sz w:val="20"/>
          <w:szCs w:val="20"/>
          <w:lang w:eastAsia="en-US"/>
        </w:rPr>
      </w:pPr>
      <w:r w:rsidRPr="00BA724E">
        <w:rPr>
          <w:color w:val="000000"/>
          <w:sz w:val="20"/>
          <w:szCs w:val="20"/>
        </w:rPr>
        <w:t>Hsiao M, Langer JC</w:t>
      </w:r>
      <w:r w:rsidR="00305AC6" w:rsidRPr="00BA724E">
        <w:rPr>
          <w:color w:val="000000"/>
          <w:sz w:val="20"/>
          <w:szCs w:val="20"/>
        </w:rPr>
        <w:t xml:space="preserve"> (2011)</w:t>
      </w:r>
      <w:r w:rsidR="00EC367F" w:rsidRPr="00BA724E">
        <w:rPr>
          <w:color w:val="000000"/>
          <w:sz w:val="20"/>
          <w:szCs w:val="20"/>
        </w:rPr>
        <w:t xml:space="preserve"> </w:t>
      </w:r>
      <w:r w:rsidRPr="00BA724E">
        <w:rPr>
          <w:color w:val="000000"/>
          <w:sz w:val="20"/>
          <w:szCs w:val="20"/>
        </w:rPr>
        <w:t xml:space="preserve">Value of laparoscopy in children with suspected rotation abnormality on imaging. </w:t>
      </w:r>
      <w:proofErr w:type="gramStart"/>
      <w:r w:rsidRPr="00BA724E">
        <w:rPr>
          <w:color w:val="000000"/>
          <w:sz w:val="20"/>
          <w:szCs w:val="20"/>
        </w:rPr>
        <w:t>J</w:t>
      </w:r>
      <w:r w:rsidR="00BA724E" w:rsidRPr="00BA724E">
        <w:rPr>
          <w:rFonts w:eastAsia="Times New Roman"/>
          <w:color w:val="000000"/>
          <w:sz w:val="20"/>
          <w:szCs w:val="20"/>
        </w:rPr>
        <w:t xml:space="preserve">  </w:t>
      </w:r>
      <w:proofErr w:type="spellStart"/>
      <w:r w:rsidR="00BA724E" w:rsidRPr="00BA724E">
        <w:rPr>
          <w:rFonts w:eastAsia="Times New Roman"/>
          <w:color w:val="000000"/>
          <w:sz w:val="20"/>
          <w:szCs w:val="20"/>
        </w:rPr>
        <w:t>Pediatr</w:t>
      </w:r>
      <w:proofErr w:type="spellEnd"/>
      <w:proofErr w:type="gramEnd"/>
      <w:r w:rsidR="00BA724E" w:rsidRPr="00BA724E">
        <w:rPr>
          <w:rFonts w:eastAsia="Times New Roman"/>
          <w:color w:val="000000"/>
          <w:sz w:val="20"/>
          <w:szCs w:val="20"/>
        </w:rPr>
        <w:t xml:space="preserve"> </w:t>
      </w:r>
      <w:proofErr w:type="spellStart"/>
      <w:r w:rsidR="00BA724E" w:rsidRPr="00BA724E">
        <w:rPr>
          <w:rFonts w:eastAsia="Times New Roman"/>
          <w:color w:val="000000"/>
          <w:sz w:val="20"/>
          <w:szCs w:val="20"/>
        </w:rPr>
        <w:t>Surg</w:t>
      </w:r>
      <w:proofErr w:type="spellEnd"/>
      <w:r w:rsidRPr="00BA724E">
        <w:rPr>
          <w:color w:val="000000"/>
          <w:sz w:val="20"/>
          <w:szCs w:val="20"/>
        </w:rPr>
        <w:t xml:space="preserve"> 46:1347-1352</w:t>
      </w:r>
      <w:r w:rsidR="00242615" w:rsidRPr="00BA724E">
        <w:rPr>
          <w:color w:val="000000"/>
          <w:sz w:val="20"/>
          <w:szCs w:val="20"/>
        </w:rPr>
        <w:t>. https://doi.org/</w:t>
      </w:r>
      <w:r w:rsidR="006216FB" w:rsidRPr="00BA724E">
        <w:rPr>
          <w:color w:val="000000"/>
          <w:sz w:val="20"/>
          <w:szCs w:val="20"/>
        </w:rPr>
        <w:t>10.1016/j.jpedsurg.2010.12.008</w:t>
      </w:r>
    </w:p>
    <w:p w14:paraId="51454998" w14:textId="09D845E7" w:rsidR="00C17838" w:rsidRPr="004F5C3D" w:rsidRDefault="00B87580" w:rsidP="00BA724E">
      <w:pPr>
        <w:pStyle w:val="ListParagraph"/>
        <w:widowControl w:val="0"/>
        <w:numPr>
          <w:ilvl w:val="0"/>
          <w:numId w:val="2"/>
        </w:numPr>
        <w:autoSpaceDE w:val="0"/>
        <w:autoSpaceDN w:val="0"/>
        <w:adjustRightInd w:val="0"/>
        <w:spacing w:after="240" w:line="260" w:lineRule="atLeast"/>
        <w:rPr>
          <w:color w:val="000000" w:themeColor="text1"/>
          <w:sz w:val="20"/>
          <w:szCs w:val="20"/>
          <w:lang w:eastAsia="en-US"/>
        </w:rPr>
      </w:pPr>
      <w:r w:rsidRPr="00BA724E">
        <w:rPr>
          <w:color w:val="000000" w:themeColor="text1"/>
          <w:sz w:val="20"/>
          <w:szCs w:val="20"/>
          <w:lang w:eastAsia="en-US"/>
        </w:rPr>
        <w:lastRenderedPageBreak/>
        <w:t xml:space="preserve">Gross E, Chen MK, Lobe TE (1996) Laparoscopic evaluation and treatment of intestinal malrotation in infants. </w:t>
      </w:r>
      <w:proofErr w:type="spellStart"/>
      <w:r w:rsidRPr="00BA724E">
        <w:rPr>
          <w:color w:val="000000" w:themeColor="text1"/>
          <w:sz w:val="20"/>
          <w:szCs w:val="20"/>
          <w:lang w:eastAsia="en-US"/>
        </w:rPr>
        <w:t>Surg</w:t>
      </w:r>
      <w:proofErr w:type="spellEnd"/>
      <w:r w:rsidRPr="00BA724E">
        <w:rPr>
          <w:color w:val="000000" w:themeColor="text1"/>
          <w:sz w:val="20"/>
          <w:szCs w:val="20"/>
          <w:lang w:eastAsia="en-US"/>
        </w:rPr>
        <w:t xml:space="preserve"> </w:t>
      </w:r>
      <w:proofErr w:type="spellStart"/>
      <w:r w:rsidRPr="00BA724E">
        <w:rPr>
          <w:color w:val="000000" w:themeColor="text1"/>
          <w:sz w:val="20"/>
          <w:szCs w:val="20"/>
          <w:lang w:eastAsia="en-US"/>
        </w:rPr>
        <w:t>Endosc</w:t>
      </w:r>
      <w:proofErr w:type="spellEnd"/>
      <w:r w:rsidRPr="00BA724E">
        <w:rPr>
          <w:color w:val="000000" w:themeColor="text1"/>
          <w:sz w:val="20"/>
          <w:szCs w:val="20"/>
          <w:lang w:eastAsia="en-US"/>
        </w:rPr>
        <w:t xml:space="preserve"> 10:936–937</w:t>
      </w:r>
      <w:r w:rsidR="00242615" w:rsidRPr="00BA724E">
        <w:rPr>
          <w:color w:val="000000" w:themeColor="text1"/>
          <w:sz w:val="20"/>
          <w:szCs w:val="20"/>
          <w:lang w:eastAsia="en-US"/>
        </w:rPr>
        <w:t xml:space="preserve">. </w:t>
      </w:r>
      <w:bookmarkStart w:id="1" w:name="OLE_LINK1"/>
      <w:bookmarkStart w:id="2" w:name="OLE_LINK2"/>
      <w:r w:rsidR="00B50954">
        <w:rPr>
          <w:color w:val="000000"/>
          <w:sz w:val="20"/>
          <w:szCs w:val="20"/>
          <w:lang w:eastAsia="en-US"/>
        </w:rPr>
        <w:fldChar w:fldCharType="begin"/>
      </w:r>
      <w:r w:rsidR="00B50954">
        <w:rPr>
          <w:color w:val="000000"/>
          <w:sz w:val="20"/>
          <w:szCs w:val="20"/>
          <w:lang w:eastAsia="en-US"/>
        </w:rPr>
        <w:instrText xml:space="preserve"> HYPERLINK "</w:instrText>
      </w:r>
      <w:r w:rsidR="00B50954" w:rsidRPr="00BA724E">
        <w:rPr>
          <w:color w:val="000000"/>
          <w:sz w:val="20"/>
          <w:szCs w:val="20"/>
          <w:lang w:eastAsia="en-US"/>
        </w:rPr>
        <w:instrText>https://doi.org/10.1007/bf00188488</w:instrText>
      </w:r>
      <w:r w:rsidR="00B50954">
        <w:rPr>
          <w:color w:val="000000"/>
          <w:sz w:val="20"/>
          <w:szCs w:val="20"/>
          <w:lang w:eastAsia="en-US"/>
        </w:rPr>
        <w:instrText xml:space="preserve">" </w:instrText>
      </w:r>
      <w:r w:rsidR="00B50954">
        <w:rPr>
          <w:color w:val="000000"/>
          <w:sz w:val="20"/>
          <w:szCs w:val="20"/>
          <w:lang w:eastAsia="en-US"/>
        </w:rPr>
        <w:fldChar w:fldCharType="separate"/>
      </w:r>
      <w:r w:rsidR="00B50954" w:rsidRPr="00B245FD">
        <w:rPr>
          <w:rStyle w:val="Hyperlink"/>
          <w:sz w:val="20"/>
          <w:szCs w:val="20"/>
          <w:lang w:eastAsia="en-US"/>
        </w:rPr>
        <w:t>https://doi.org/10.1007/bf00188488</w:t>
      </w:r>
      <w:bookmarkEnd w:id="1"/>
      <w:bookmarkEnd w:id="2"/>
      <w:r w:rsidR="00B50954">
        <w:rPr>
          <w:color w:val="000000"/>
          <w:sz w:val="20"/>
          <w:szCs w:val="20"/>
          <w:lang w:eastAsia="en-US"/>
        </w:rPr>
        <w:fldChar w:fldCharType="end"/>
      </w:r>
    </w:p>
    <w:p w14:paraId="6852BE8E" w14:textId="62FE20ED" w:rsidR="00B50954" w:rsidRPr="00BA724E" w:rsidRDefault="00B50954" w:rsidP="00BA724E">
      <w:pPr>
        <w:pStyle w:val="ListParagraph"/>
        <w:widowControl w:val="0"/>
        <w:numPr>
          <w:ilvl w:val="0"/>
          <w:numId w:val="2"/>
        </w:numPr>
        <w:autoSpaceDE w:val="0"/>
        <w:autoSpaceDN w:val="0"/>
        <w:adjustRightInd w:val="0"/>
        <w:spacing w:after="240" w:line="260" w:lineRule="atLeast"/>
        <w:rPr>
          <w:color w:val="000000" w:themeColor="text1"/>
          <w:sz w:val="20"/>
          <w:szCs w:val="20"/>
          <w:lang w:eastAsia="en-US"/>
        </w:rPr>
      </w:pPr>
      <w:r>
        <w:rPr>
          <w:color w:val="000000" w:themeColor="text1"/>
          <w:sz w:val="20"/>
          <w:szCs w:val="20"/>
          <w:lang w:eastAsia="en-US"/>
        </w:rPr>
        <w:t>Tsuji Y, Maeda K, Ono S, Yanagisawa S, Baba K, Usui Y (2014) A new paradig</w:t>
      </w:r>
      <w:r w:rsidR="003718F7">
        <w:rPr>
          <w:color w:val="000000" w:themeColor="text1"/>
          <w:sz w:val="20"/>
          <w:szCs w:val="20"/>
          <w:lang w:eastAsia="en-US"/>
        </w:rPr>
        <w:t>m</w:t>
      </w:r>
      <w:r>
        <w:rPr>
          <w:color w:val="000000" w:themeColor="text1"/>
          <w:sz w:val="20"/>
          <w:szCs w:val="20"/>
          <w:lang w:eastAsia="en-US"/>
        </w:rPr>
        <w:t xml:space="preserve"> of </w:t>
      </w:r>
      <w:proofErr w:type="spellStart"/>
      <w:r>
        <w:rPr>
          <w:color w:val="000000" w:themeColor="text1"/>
          <w:sz w:val="20"/>
          <w:szCs w:val="20"/>
          <w:lang w:eastAsia="en-US"/>
        </w:rPr>
        <w:t>scarless</w:t>
      </w:r>
      <w:proofErr w:type="spellEnd"/>
      <w:r>
        <w:rPr>
          <w:color w:val="000000" w:themeColor="text1"/>
          <w:sz w:val="20"/>
          <w:szCs w:val="20"/>
          <w:lang w:eastAsia="en-US"/>
        </w:rPr>
        <w:t xml:space="preserve"> abdominal surgery in children: </w:t>
      </w:r>
      <w:proofErr w:type="spellStart"/>
      <w:r>
        <w:rPr>
          <w:color w:val="000000" w:themeColor="text1"/>
          <w:sz w:val="20"/>
          <w:szCs w:val="20"/>
          <w:lang w:eastAsia="en-US"/>
        </w:rPr>
        <w:t>transumbilical</w:t>
      </w:r>
      <w:proofErr w:type="spellEnd"/>
      <w:r>
        <w:rPr>
          <w:color w:val="000000" w:themeColor="text1"/>
          <w:sz w:val="20"/>
          <w:szCs w:val="20"/>
          <w:lang w:eastAsia="en-US"/>
        </w:rPr>
        <w:t xml:space="preserve"> minimal incision surgery</w:t>
      </w:r>
      <w:r w:rsidR="003718F7">
        <w:rPr>
          <w:color w:val="000000" w:themeColor="text1"/>
          <w:sz w:val="20"/>
          <w:szCs w:val="20"/>
          <w:lang w:eastAsia="en-US"/>
        </w:rPr>
        <w:t xml:space="preserve">. J </w:t>
      </w:r>
      <w:proofErr w:type="spellStart"/>
      <w:r w:rsidR="003718F7">
        <w:rPr>
          <w:color w:val="000000" w:themeColor="text1"/>
          <w:sz w:val="20"/>
          <w:szCs w:val="20"/>
          <w:lang w:eastAsia="en-US"/>
        </w:rPr>
        <w:t>Pediatr</w:t>
      </w:r>
      <w:proofErr w:type="spellEnd"/>
      <w:r w:rsidR="003718F7">
        <w:rPr>
          <w:color w:val="000000" w:themeColor="text1"/>
          <w:sz w:val="20"/>
          <w:szCs w:val="20"/>
          <w:lang w:eastAsia="en-US"/>
        </w:rPr>
        <w:t xml:space="preserve"> </w:t>
      </w:r>
      <w:proofErr w:type="spellStart"/>
      <w:r w:rsidR="003718F7">
        <w:rPr>
          <w:color w:val="000000" w:themeColor="text1"/>
          <w:sz w:val="20"/>
          <w:szCs w:val="20"/>
          <w:lang w:eastAsia="en-US"/>
        </w:rPr>
        <w:t>Surg</w:t>
      </w:r>
      <w:proofErr w:type="spellEnd"/>
      <w:r w:rsidR="00CA7155">
        <w:rPr>
          <w:color w:val="000000" w:themeColor="text1"/>
          <w:sz w:val="20"/>
          <w:szCs w:val="20"/>
          <w:lang w:eastAsia="en-US"/>
        </w:rPr>
        <w:t xml:space="preserve"> </w:t>
      </w:r>
      <w:r w:rsidR="003718F7">
        <w:rPr>
          <w:color w:val="000000" w:themeColor="text1"/>
          <w:sz w:val="20"/>
          <w:szCs w:val="20"/>
          <w:lang w:eastAsia="en-US"/>
        </w:rPr>
        <w:t>49(110: 1605-9. https://doi.org/10.1016/j.jpedsurg.2014.06.009</w:t>
      </w:r>
    </w:p>
    <w:p w14:paraId="6A253E55" w14:textId="77777777" w:rsidR="00C17838" w:rsidRPr="00BA724E" w:rsidRDefault="00C17838" w:rsidP="00C17838">
      <w:pPr>
        <w:rPr>
          <w:sz w:val="20"/>
          <w:szCs w:val="20"/>
        </w:rPr>
      </w:pPr>
    </w:p>
    <w:p w14:paraId="31D53538" w14:textId="77777777" w:rsidR="00AA68A6" w:rsidRPr="00BA724E" w:rsidRDefault="00AA68A6" w:rsidP="00C17838">
      <w:pPr>
        <w:rPr>
          <w:sz w:val="20"/>
          <w:szCs w:val="20"/>
        </w:rPr>
      </w:pPr>
    </w:p>
    <w:sectPr w:rsidR="00AA68A6" w:rsidRPr="00BA724E" w:rsidSect="006B36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631004"/>
    <w:multiLevelType w:val="multilevel"/>
    <w:tmpl w:val="418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73955"/>
    <w:multiLevelType w:val="hybridMultilevel"/>
    <w:tmpl w:val="710C5FF2"/>
    <w:lvl w:ilvl="0" w:tplc="79AC261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12458"/>
    <w:multiLevelType w:val="multilevel"/>
    <w:tmpl w:val="11BC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E34E9"/>
    <w:multiLevelType w:val="hybridMultilevel"/>
    <w:tmpl w:val="0CC67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292964"/>
    <w:multiLevelType w:val="multilevel"/>
    <w:tmpl w:val="52C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16C95"/>
    <w:multiLevelType w:val="hybridMultilevel"/>
    <w:tmpl w:val="CC0C6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EE4B51"/>
    <w:multiLevelType w:val="multilevel"/>
    <w:tmpl w:val="37D8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15EA8"/>
    <w:multiLevelType w:val="hybridMultilevel"/>
    <w:tmpl w:val="CC0C6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F65D61"/>
    <w:multiLevelType w:val="hybridMultilevel"/>
    <w:tmpl w:val="CC0C6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749E5"/>
    <w:multiLevelType w:val="multilevel"/>
    <w:tmpl w:val="306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E0C16"/>
    <w:multiLevelType w:val="multilevel"/>
    <w:tmpl w:val="C0B2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9"/>
  </w:num>
  <w:num w:numId="5">
    <w:abstractNumId w:val="7"/>
  </w:num>
  <w:num w:numId="6">
    <w:abstractNumId w:val="3"/>
  </w:num>
  <w:num w:numId="7">
    <w:abstractNumId w:val="5"/>
  </w:num>
  <w:num w:numId="8">
    <w:abstractNumId w:val="4"/>
  </w:num>
  <w:num w:numId="9">
    <w:abstractNumId w:val="2"/>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8A"/>
    <w:rsid w:val="0000264E"/>
    <w:rsid w:val="00002C25"/>
    <w:rsid w:val="00013B82"/>
    <w:rsid w:val="00021BFF"/>
    <w:rsid w:val="00023D0C"/>
    <w:rsid w:val="0003415F"/>
    <w:rsid w:val="00037B55"/>
    <w:rsid w:val="00046577"/>
    <w:rsid w:val="000501F2"/>
    <w:rsid w:val="00064E28"/>
    <w:rsid w:val="000A5B86"/>
    <w:rsid w:val="000A618A"/>
    <w:rsid w:val="000B2663"/>
    <w:rsid w:val="000C4412"/>
    <w:rsid w:val="000D533E"/>
    <w:rsid w:val="000D77C2"/>
    <w:rsid w:val="000E5174"/>
    <w:rsid w:val="000F0D1D"/>
    <w:rsid w:val="000F33BA"/>
    <w:rsid w:val="000F3A80"/>
    <w:rsid w:val="000F7AE4"/>
    <w:rsid w:val="000F7F01"/>
    <w:rsid w:val="00100650"/>
    <w:rsid w:val="00100BF4"/>
    <w:rsid w:val="001134A3"/>
    <w:rsid w:val="001300FF"/>
    <w:rsid w:val="00160AF3"/>
    <w:rsid w:val="0016486B"/>
    <w:rsid w:val="0017194D"/>
    <w:rsid w:val="00177E2D"/>
    <w:rsid w:val="0019009D"/>
    <w:rsid w:val="001A10EC"/>
    <w:rsid w:val="001D07BC"/>
    <w:rsid w:val="001F3A31"/>
    <w:rsid w:val="001F7F8B"/>
    <w:rsid w:val="00202B57"/>
    <w:rsid w:val="00203047"/>
    <w:rsid w:val="0020414A"/>
    <w:rsid w:val="00210BE6"/>
    <w:rsid w:val="0021105E"/>
    <w:rsid w:val="00213F5C"/>
    <w:rsid w:val="00216AA9"/>
    <w:rsid w:val="00222F15"/>
    <w:rsid w:val="00223410"/>
    <w:rsid w:val="00227097"/>
    <w:rsid w:val="00232395"/>
    <w:rsid w:val="00242615"/>
    <w:rsid w:val="00244B43"/>
    <w:rsid w:val="00275FA9"/>
    <w:rsid w:val="0027625F"/>
    <w:rsid w:val="0028061B"/>
    <w:rsid w:val="00281E49"/>
    <w:rsid w:val="002B0730"/>
    <w:rsid w:val="002B359D"/>
    <w:rsid w:val="002C1DD8"/>
    <w:rsid w:val="002C73DF"/>
    <w:rsid w:val="002D28C2"/>
    <w:rsid w:val="002D4735"/>
    <w:rsid w:val="002E178A"/>
    <w:rsid w:val="00305AC6"/>
    <w:rsid w:val="00307D61"/>
    <w:rsid w:val="00312543"/>
    <w:rsid w:val="003345E3"/>
    <w:rsid w:val="003357E8"/>
    <w:rsid w:val="003375E3"/>
    <w:rsid w:val="00345741"/>
    <w:rsid w:val="003551A7"/>
    <w:rsid w:val="0036409A"/>
    <w:rsid w:val="003718F7"/>
    <w:rsid w:val="00375742"/>
    <w:rsid w:val="00376541"/>
    <w:rsid w:val="0039138A"/>
    <w:rsid w:val="00394409"/>
    <w:rsid w:val="003B2EF6"/>
    <w:rsid w:val="003C7FA9"/>
    <w:rsid w:val="003D619B"/>
    <w:rsid w:val="003E3EC1"/>
    <w:rsid w:val="00431CE4"/>
    <w:rsid w:val="00431F91"/>
    <w:rsid w:val="00436988"/>
    <w:rsid w:val="00445A39"/>
    <w:rsid w:val="0046108A"/>
    <w:rsid w:val="00466357"/>
    <w:rsid w:val="004668AF"/>
    <w:rsid w:val="004719CA"/>
    <w:rsid w:val="00476C78"/>
    <w:rsid w:val="00486B5B"/>
    <w:rsid w:val="0049737D"/>
    <w:rsid w:val="004A53E6"/>
    <w:rsid w:val="004C5C13"/>
    <w:rsid w:val="004C6DF1"/>
    <w:rsid w:val="004C7A9E"/>
    <w:rsid w:val="004D0120"/>
    <w:rsid w:val="004D045D"/>
    <w:rsid w:val="004D2CC4"/>
    <w:rsid w:val="004D5A65"/>
    <w:rsid w:val="004E3BEC"/>
    <w:rsid w:val="004F5C3D"/>
    <w:rsid w:val="004F7063"/>
    <w:rsid w:val="005075D9"/>
    <w:rsid w:val="00510333"/>
    <w:rsid w:val="005163F5"/>
    <w:rsid w:val="0055337E"/>
    <w:rsid w:val="005628DA"/>
    <w:rsid w:val="005816EB"/>
    <w:rsid w:val="005863FD"/>
    <w:rsid w:val="00595FEB"/>
    <w:rsid w:val="005A4DBB"/>
    <w:rsid w:val="005C0281"/>
    <w:rsid w:val="005C0A83"/>
    <w:rsid w:val="005C226B"/>
    <w:rsid w:val="005C23A3"/>
    <w:rsid w:val="005D3564"/>
    <w:rsid w:val="005F4324"/>
    <w:rsid w:val="00605135"/>
    <w:rsid w:val="00605EDF"/>
    <w:rsid w:val="00606917"/>
    <w:rsid w:val="00611DBA"/>
    <w:rsid w:val="006216FB"/>
    <w:rsid w:val="00621AC4"/>
    <w:rsid w:val="00632781"/>
    <w:rsid w:val="00636A99"/>
    <w:rsid w:val="00642556"/>
    <w:rsid w:val="00653268"/>
    <w:rsid w:val="00667BCC"/>
    <w:rsid w:val="00684ED4"/>
    <w:rsid w:val="00685B20"/>
    <w:rsid w:val="0069532D"/>
    <w:rsid w:val="00697B48"/>
    <w:rsid w:val="006A61FE"/>
    <w:rsid w:val="006A6201"/>
    <w:rsid w:val="006B362A"/>
    <w:rsid w:val="006C3F6D"/>
    <w:rsid w:val="006C4BD6"/>
    <w:rsid w:val="006D70BA"/>
    <w:rsid w:val="006E094D"/>
    <w:rsid w:val="006F76BA"/>
    <w:rsid w:val="0070486E"/>
    <w:rsid w:val="00710412"/>
    <w:rsid w:val="007138D8"/>
    <w:rsid w:val="00713D5C"/>
    <w:rsid w:val="00720041"/>
    <w:rsid w:val="007470EE"/>
    <w:rsid w:val="00765BD0"/>
    <w:rsid w:val="00770DA7"/>
    <w:rsid w:val="00780320"/>
    <w:rsid w:val="00785BB4"/>
    <w:rsid w:val="00792D05"/>
    <w:rsid w:val="00796F73"/>
    <w:rsid w:val="007A1199"/>
    <w:rsid w:val="007B2B51"/>
    <w:rsid w:val="007C3AC0"/>
    <w:rsid w:val="007D56BF"/>
    <w:rsid w:val="007D7FC8"/>
    <w:rsid w:val="007E20FD"/>
    <w:rsid w:val="007E26C1"/>
    <w:rsid w:val="007E4E44"/>
    <w:rsid w:val="007E7284"/>
    <w:rsid w:val="007F2557"/>
    <w:rsid w:val="008031DC"/>
    <w:rsid w:val="008078EE"/>
    <w:rsid w:val="00810AC9"/>
    <w:rsid w:val="00826E8C"/>
    <w:rsid w:val="008337F0"/>
    <w:rsid w:val="008425E0"/>
    <w:rsid w:val="00847A60"/>
    <w:rsid w:val="0085085B"/>
    <w:rsid w:val="0086063F"/>
    <w:rsid w:val="00886D31"/>
    <w:rsid w:val="008A06D7"/>
    <w:rsid w:val="008A151B"/>
    <w:rsid w:val="008A1A77"/>
    <w:rsid w:val="008B66E3"/>
    <w:rsid w:val="008C0400"/>
    <w:rsid w:val="008C097C"/>
    <w:rsid w:val="008C1877"/>
    <w:rsid w:val="008D05DA"/>
    <w:rsid w:val="008D330F"/>
    <w:rsid w:val="008F28D5"/>
    <w:rsid w:val="008F4469"/>
    <w:rsid w:val="008F5600"/>
    <w:rsid w:val="0090672E"/>
    <w:rsid w:val="00913B72"/>
    <w:rsid w:val="0092406D"/>
    <w:rsid w:val="0093577F"/>
    <w:rsid w:val="00940438"/>
    <w:rsid w:val="00941ED7"/>
    <w:rsid w:val="00951CCB"/>
    <w:rsid w:val="00962291"/>
    <w:rsid w:val="009658AF"/>
    <w:rsid w:val="00971415"/>
    <w:rsid w:val="0098392E"/>
    <w:rsid w:val="00985AB0"/>
    <w:rsid w:val="009948AC"/>
    <w:rsid w:val="00996539"/>
    <w:rsid w:val="009B27FE"/>
    <w:rsid w:val="009B5A42"/>
    <w:rsid w:val="009C721D"/>
    <w:rsid w:val="009C7F69"/>
    <w:rsid w:val="009D6CB5"/>
    <w:rsid w:val="009E1643"/>
    <w:rsid w:val="009F0899"/>
    <w:rsid w:val="00A03603"/>
    <w:rsid w:val="00A1404D"/>
    <w:rsid w:val="00A17E45"/>
    <w:rsid w:val="00A23F01"/>
    <w:rsid w:val="00A3609F"/>
    <w:rsid w:val="00A46A2C"/>
    <w:rsid w:val="00A47875"/>
    <w:rsid w:val="00A5653E"/>
    <w:rsid w:val="00A6152D"/>
    <w:rsid w:val="00A61BF8"/>
    <w:rsid w:val="00A622DC"/>
    <w:rsid w:val="00A65388"/>
    <w:rsid w:val="00A65F40"/>
    <w:rsid w:val="00A9478E"/>
    <w:rsid w:val="00A96402"/>
    <w:rsid w:val="00AA3D5D"/>
    <w:rsid w:val="00AA68A6"/>
    <w:rsid w:val="00AB24B8"/>
    <w:rsid w:val="00B0041B"/>
    <w:rsid w:val="00B01E82"/>
    <w:rsid w:val="00B03C12"/>
    <w:rsid w:val="00B062BB"/>
    <w:rsid w:val="00B06701"/>
    <w:rsid w:val="00B2025E"/>
    <w:rsid w:val="00B2222E"/>
    <w:rsid w:val="00B270B1"/>
    <w:rsid w:val="00B31A88"/>
    <w:rsid w:val="00B403A3"/>
    <w:rsid w:val="00B407C6"/>
    <w:rsid w:val="00B50954"/>
    <w:rsid w:val="00B52161"/>
    <w:rsid w:val="00B64508"/>
    <w:rsid w:val="00B76457"/>
    <w:rsid w:val="00B87580"/>
    <w:rsid w:val="00B93227"/>
    <w:rsid w:val="00BA5682"/>
    <w:rsid w:val="00BA618C"/>
    <w:rsid w:val="00BA724E"/>
    <w:rsid w:val="00BB5EC5"/>
    <w:rsid w:val="00BC32EF"/>
    <w:rsid w:val="00BE391A"/>
    <w:rsid w:val="00C07927"/>
    <w:rsid w:val="00C17838"/>
    <w:rsid w:val="00C32C2C"/>
    <w:rsid w:val="00C42AAE"/>
    <w:rsid w:val="00C473C3"/>
    <w:rsid w:val="00C66FAA"/>
    <w:rsid w:val="00C82721"/>
    <w:rsid w:val="00C84DCA"/>
    <w:rsid w:val="00C87BF0"/>
    <w:rsid w:val="00CA7155"/>
    <w:rsid w:val="00CB63FB"/>
    <w:rsid w:val="00CD0C3F"/>
    <w:rsid w:val="00CD43B1"/>
    <w:rsid w:val="00CD697F"/>
    <w:rsid w:val="00CD79AF"/>
    <w:rsid w:val="00CE02D8"/>
    <w:rsid w:val="00CE4FEC"/>
    <w:rsid w:val="00D01716"/>
    <w:rsid w:val="00D04B60"/>
    <w:rsid w:val="00D07407"/>
    <w:rsid w:val="00D162AF"/>
    <w:rsid w:val="00D167F7"/>
    <w:rsid w:val="00D269DF"/>
    <w:rsid w:val="00D36BBF"/>
    <w:rsid w:val="00D44CD0"/>
    <w:rsid w:val="00D51C5F"/>
    <w:rsid w:val="00D53CA0"/>
    <w:rsid w:val="00D56A5C"/>
    <w:rsid w:val="00D66370"/>
    <w:rsid w:val="00D70E4F"/>
    <w:rsid w:val="00D90677"/>
    <w:rsid w:val="00D90AB5"/>
    <w:rsid w:val="00DA5D58"/>
    <w:rsid w:val="00DB2A05"/>
    <w:rsid w:val="00DB2BE8"/>
    <w:rsid w:val="00DB6B8B"/>
    <w:rsid w:val="00DC09F7"/>
    <w:rsid w:val="00DC3ECA"/>
    <w:rsid w:val="00DD2C5A"/>
    <w:rsid w:val="00DD3907"/>
    <w:rsid w:val="00DE0E48"/>
    <w:rsid w:val="00DE237C"/>
    <w:rsid w:val="00DE654F"/>
    <w:rsid w:val="00E03310"/>
    <w:rsid w:val="00E0758C"/>
    <w:rsid w:val="00E36BC8"/>
    <w:rsid w:val="00E42CFB"/>
    <w:rsid w:val="00E46B57"/>
    <w:rsid w:val="00E47079"/>
    <w:rsid w:val="00E476B4"/>
    <w:rsid w:val="00E61C66"/>
    <w:rsid w:val="00E6474B"/>
    <w:rsid w:val="00EB0672"/>
    <w:rsid w:val="00EC367F"/>
    <w:rsid w:val="00EC4EA8"/>
    <w:rsid w:val="00ED64EA"/>
    <w:rsid w:val="00EE5EB1"/>
    <w:rsid w:val="00EE6CEA"/>
    <w:rsid w:val="00EF01A1"/>
    <w:rsid w:val="00EF6D69"/>
    <w:rsid w:val="00F069E8"/>
    <w:rsid w:val="00F1215A"/>
    <w:rsid w:val="00F15601"/>
    <w:rsid w:val="00F20287"/>
    <w:rsid w:val="00F4592C"/>
    <w:rsid w:val="00F526BC"/>
    <w:rsid w:val="00F713FB"/>
    <w:rsid w:val="00F7294E"/>
    <w:rsid w:val="00FA77D1"/>
    <w:rsid w:val="00FC1C40"/>
    <w:rsid w:val="00FD5A03"/>
    <w:rsid w:val="00FF23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E9C1B"/>
  <w15:docId w15:val="{BD21147A-5E85-E44A-AECF-A1D85967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F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C0400"/>
    <w:pPr>
      <w:spacing w:before="100" w:beforeAutospacing="1" w:after="100" w:afterAutospacing="1"/>
      <w:outlineLvl w:val="0"/>
    </w:pPr>
    <w:rPr>
      <w:rFonts w:eastAsiaTheme="minorHAnsi"/>
      <w:b/>
      <w:bCs/>
      <w:kern w:val="36"/>
      <w:sz w:val="48"/>
      <w:szCs w:val="48"/>
      <w:lang w:eastAsia="en-GB"/>
    </w:rPr>
  </w:style>
  <w:style w:type="paragraph" w:styleId="Heading2">
    <w:name w:val="heading 2"/>
    <w:basedOn w:val="Normal"/>
    <w:next w:val="Normal"/>
    <w:link w:val="Heading2Char"/>
    <w:uiPriority w:val="9"/>
    <w:unhideWhenUsed/>
    <w:qFormat/>
    <w:rsid w:val="00E03310"/>
    <w:pPr>
      <w:keepNext/>
      <w:keepLines/>
      <w:spacing w:before="20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38A"/>
    <w:rPr>
      <w:rFonts w:ascii="Lucida Grande" w:eastAsiaTheme="minorHAnsi" w:hAnsi="Lucida Grande" w:cs="Lucida Grande"/>
      <w:sz w:val="18"/>
      <w:szCs w:val="18"/>
      <w:lang w:eastAsia="en-GB"/>
    </w:rPr>
  </w:style>
  <w:style w:type="character" w:customStyle="1" w:styleId="BalloonTextChar">
    <w:name w:val="Balloon Text Char"/>
    <w:basedOn w:val="DefaultParagraphFont"/>
    <w:link w:val="BalloonText"/>
    <w:uiPriority w:val="99"/>
    <w:semiHidden/>
    <w:rsid w:val="0039138A"/>
    <w:rPr>
      <w:rFonts w:ascii="Lucida Grande" w:hAnsi="Lucida Grande" w:cs="Lucida Grande"/>
      <w:sz w:val="18"/>
      <w:szCs w:val="18"/>
      <w:lang w:eastAsia="en-GB"/>
    </w:rPr>
  </w:style>
  <w:style w:type="paragraph" w:styleId="ListParagraph">
    <w:name w:val="List Paragraph"/>
    <w:basedOn w:val="Normal"/>
    <w:uiPriority w:val="34"/>
    <w:qFormat/>
    <w:rsid w:val="00E476B4"/>
    <w:pPr>
      <w:ind w:left="720"/>
      <w:contextualSpacing/>
    </w:pPr>
    <w:rPr>
      <w:rFonts w:eastAsiaTheme="minorHAnsi"/>
      <w:lang w:eastAsia="en-GB"/>
    </w:rPr>
  </w:style>
  <w:style w:type="character" w:customStyle="1" w:styleId="Heading1Char">
    <w:name w:val="Heading 1 Char"/>
    <w:basedOn w:val="DefaultParagraphFont"/>
    <w:link w:val="Heading1"/>
    <w:uiPriority w:val="9"/>
    <w:rsid w:val="008C0400"/>
    <w:rPr>
      <w:rFonts w:ascii="Times New Roman" w:hAnsi="Times New Roman" w:cs="Times New Roman"/>
      <w:b/>
      <w:bCs/>
      <w:kern w:val="36"/>
      <w:sz w:val="48"/>
      <w:szCs w:val="48"/>
      <w:lang w:eastAsia="en-GB"/>
    </w:rPr>
  </w:style>
  <w:style w:type="character" w:styleId="Hyperlink">
    <w:name w:val="Hyperlink"/>
    <w:basedOn w:val="DefaultParagraphFont"/>
    <w:uiPriority w:val="99"/>
    <w:unhideWhenUsed/>
    <w:rsid w:val="008C0400"/>
    <w:rPr>
      <w:color w:val="0000FF"/>
      <w:u w:val="single"/>
    </w:rPr>
  </w:style>
  <w:style w:type="character" w:customStyle="1" w:styleId="highlight">
    <w:name w:val="highlight"/>
    <w:basedOn w:val="DefaultParagraphFont"/>
    <w:rsid w:val="008C0400"/>
  </w:style>
  <w:style w:type="character" w:styleId="FollowedHyperlink">
    <w:name w:val="FollowedHyperlink"/>
    <w:basedOn w:val="DefaultParagraphFont"/>
    <w:uiPriority w:val="99"/>
    <w:semiHidden/>
    <w:unhideWhenUsed/>
    <w:rsid w:val="00C87BF0"/>
    <w:rPr>
      <w:color w:val="800080" w:themeColor="followedHyperlink"/>
      <w:u w:val="single"/>
    </w:rPr>
  </w:style>
  <w:style w:type="table" w:styleId="TableGrid">
    <w:name w:val="Table Grid"/>
    <w:basedOn w:val="TableNormal"/>
    <w:uiPriority w:val="59"/>
    <w:rsid w:val="008A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3310"/>
    <w:rPr>
      <w:rFonts w:asciiTheme="majorHAnsi" w:eastAsiaTheme="majorEastAsia" w:hAnsiTheme="majorHAnsi" w:cstheme="majorBidi"/>
      <w:b/>
      <w:bCs/>
      <w:color w:val="4F81BD" w:themeColor="accent1"/>
      <w:sz w:val="26"/>
      <w:szCs w:val="26"/>
      <w:lang w:eastAsia="en-GB"/>
    </w:rPr>
  </w:style>
  <w:style w:type="character" w:styleId="CommentReference">
    <w:name w:val="annotation reference"/>
    <w:basedOn w:val="DefaultParagraphFont"/>
    <w:uiPriority w:val="99"/>
    <w:semiHidden/>
    <w:unhideWhenUsed/>
    <w:rsid w:val="00046577"/>
    <w:rPr>
      <w:sz w:val="16"/>
      <w:szCs w:val="16"/>
    </w:rPr>
  </w:style>
  <w:style w:type="paragraph" w:styleId="CommentText">
    <w:name w:val="annotation text"/>
    <w:basedOn w:val="Normal"/>
    <w:link w:val="CommentTextChar"/>
    <w:uiPriority w:val="99"/>
    <w:semiHidden/>
    <w:unhideWhenUsed/>
    <w:rsid w:val="00046577"/>
    <w:rPr>
      <w:rFonts w:eastAsiaTheme="minorHAnsi"/>
      <w:sz w:val="20"/>
      <w:szCs w:val="20"/>
      <w:lang w:eastAsia="en-GB"/>
    </w:rPr>
  </w:style>
  <w:style w:type="character" w:customStyle="1" w:styleId="CommentTextChar">
    <w:name w:val="Comment Text Char"/>
    <w:basedOn w:val="DefaultParagraphFont"/>
    <w:link w:val="CommentText"/>
    <w:uiPriority w:val="99"/>
    <w:semiHidden/>
    <w:rsid w:val="00046577"/>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46577"/>
    <w:rPr>
      <w:b/>
      <w:bCs/>
    </w:rPr>
  </w:style>
  <w:style w:type="character" w:customStyle="1" w:styleId="CommentSubjectChar">
    <w:name w:val="Comment Subject Char"/>
    <w:basedOn w:val="CommentTextChar"/>
    <w:link w:val="CommentSubject"/>
    <w:uiPriority w:val="99"/>
    <w:semiHidden/>
    <w:rsid w:val="00046577"/>
    <w:rPr>
      <w:rFonts w:ascii="Times New Roman" w:hAnsi="Times New Roman" w:cs="Times New Roman"/>
      <w:b/>
      <w:bCs/>
      <w:sz w:val="20"/>
      <w:szCs w:val="20"/>
      <w:lang w:eastAsia="en-GB"/>
    </w:rPr>
  </w:style>
  <w:style w:type="paragraph" w:customStyle="1" w:styleId="c-article-identifiersitem">
    <w:name w:val="c-article-identifiers__item"/>
    <w:basedOn w:val="Normal"/>
    <w:rsid w:val="00940438"/>
    <w:pPr>
      <w:spacing w:before="100" w:beforeAutospacing="1" w:after="100" w:afterAutospacing="1"/>
    </w:pPr>
  </w:style>
  <w:style w:type="paragraph" w:customStyle="1" w:styleId="c-author-listitem">
    <w:name w:val="c-author-list__item"/>
    <w:basedOn w:val="Normal"/>
    <w:rsid w:val="00940438"/>
    <w:pPr>
      <w:spacing w:before="100" w:beforeAutospacing="1" w:after="100" w:afterAutospacing="1"/>
    </w:pPr>
  </w:style>
  <w:style w:type="paragraph" w:customStyle="1" w:styleId="c-article-info-details">
    <w:name w:val="c-article-info-details"/>
    <w:basedOn w:val="Normal"/>
    <w:rsid w:val="00940438"/>
    <w:pPr>
      <w:spacing w:before="100" w:beforeAutospacing="1" w:after="100" w:afterAutospacing="1"/>
    </w:pPr>
  </w:style>
  <w:style w:type="character" w:customStyle="1" w:styleId="u-visually-hidden">
    <w:name w:val="u-visually-hidden"/>
    <w:basedOn w:val="DefaultParagraphFont"/>
    <w:rsid w:val="00940438"/>
  </w:style>
  <w:style w:type="paragraph" w:customStyle="1" w:styleId="c-article-metrics-barcount">
    <w:name w:val="c-article-metrics-bar__count"/>
    <w:basedOn w:val="Normal"/>
    <w:rsid w:val="00940438"/>
    <w:pPr>
      <w:spacing w:before="100" w:beforeAutospacing="1" w:after="100" w:afterAutospacing="1"/>
    </w:pPr>
  </w:style>
  <w:style w:type="character" w:customStyle="1" w:styleId="c-article-metrics-barlabel">
    <w:name w:val="c-article-metrics-bar__label"/>
    <w:basedOn w:val="DefaultParagraphFont"/>
    <w:rsid w:val="00940438"/>
  </w:style>
  <w:style w:type="paragraph" w:customStyle="1" w:styleId="c-article-metrics-bardetails">
    <w:name w:val="c-article-metrics-bar__details"/>
    <w:basedOn w:val="Normal"/>
    <w:rsid w:val="00940438"/>
    <w:pPr>
      <w:spacing w:before="100" w:beforeAutospacing="1" w:after="100" w:afterAutospacing="1"/>
    </w:pPr>
  </w:style>
  <w:style w:type="paragraph" w:styleId="Revision">
    <w:name w:val="Revision"/>
    <w:hidden/>
    <w:uiPriority w:val="99"/>
    <w:semiHidden/>
    <w:rsid w:val="00210BE6"/>
    <w:pPr>
      <w:spacing w:after="0" w:line="240" w:lineRule="auto"/>
    </w:pPr>
    <w:rPr>
      <w:rFonts w:ascii="Times New Roman" w:hAnsi="Times New Roman" w:cs="Times New Roman"/>
      <w:sz w:val="24"/>
      <w:szCs w:val="24"/>
      <w:lang w:eastAsia="en-GB"/>
    </w:rPr>
  </w:style>
  <w:style w:type="character" w:customStyle="1" w:styleId="identifier">
    <w:name w:val="identifier"/>
    <w:basedOn w:val="DefaultParagraphFont"/>
    <w:rsid w:val="00D66370"/>
  </w:style>
  <w:style w:type="character" w:customStyle="1" w:styleId="id-label">
    <w:name w:val="id-label"/>
    <w:basedOn w:val="DefaultParagraphFont"/>
    <w:rsid w:val="00D66370"/>
  </w:style>
  <w:style w:type="character" w:styleId="Emphasis">
    <w:name w:val="Emphasis"/>
    <w:basedOn w:val="DefaultParagraphFont"/>
    <w:uiPriority w:val="20"/>
    <w:qFormat/>
    <w:rsid w:val="0098392E"/>
    <w:rPr>
      <w:i/>
      <w:iCs/>
    </w:rPr>
  </w:style>
  <w:style w:type="character" w:styleId="UnresolvedMention">
    <w:name w:val="Unresolved Mention"/>
    <w:basedOn w:val="DefaultParagraphFont"/>
    <w:uiPriority w:val="99"/>
    <w:semiHidden/>
    <w:unhideWhenUsed/>
    <w:rsid w:val="0024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4684">
      <w:bodyDiv w:val="1"/>
      <w:marLeft w:val="0"/>
      <w:marRight w:val="0"/>
      <w:marTop w:val="0"/>
      <w:marBottom w:val="0"/>
      <w:divBdr>
        <w:top w:val="none" w:sz="0" w:space="0" w:color="auto"/>
        <w:left w:val="none" w:sz="0" w:space="0" w:color="auto"/>
        <w:bottom w:val="none" w:sz="0" w:space="0" w:color="auto"/>
        <w:right w:val="none" w:sz="0" w:space="0" w:color="auto"/>
      </w:divBdr>
    </w:div>
    <w:div w:id="73548852">
      <w:bodyDiv w:val="1"/>
      <w:marLeft w:val="0"/>
      <w:marRight w:val="0"/>
      <w:marTop w:val="0"/>
      <w:marBottom w:val="0"/>
      <w:divBdr>
        <w:top w:val="none" w:sz="0" w:space="0" w:color="auto"/>
        <w:left w:val="none" w:sz="0" w:space="0" w:color="auto"/>
        <w:bottom w:val="none" w:sz="0" w:space="0" w:color="auto"/>
        <w:right w:val="none" w:sz="0" w:space="0" w:color="auto"/>
      </w:divBdr>
      <w:divsChild>
        <w:div w:id="1207989543">
          <w:marLeft w:val="0"/>
          <w:marRight w:val="0"/>
          <w:marTop w:val="0"/>
          <w:marBottom w:val="0"/>
          <w:divBdr>
            <w:top w:val="none" w:sz="0" w:space="0" w:color="auto"/>
            <w:left w:val="none" w:sz="0" w:space="0" w:color="auto"/>
            <w:bottom w:val="none" w:sz="0" w:space="0" w:color="auto"/>
            <w:right w:val="none" w:sz="0" w:space="0" w:color="auto"/>
          </w:divBdr>
          <w:divsChild>
            <w:div w:id="1117019428">
              <w:marLeft w:val="0"/>
              <w:marRight w:val="0"/>
              <w:marTop w:val="0"/>
              <w:marBottom w:val="0"/>
              <w:divBdr>
                <w:top w:val="none" w:sz="0" w:space="0" w:color="auto"/>
                <w:left w:val="none" w:sz="0" w:space="0" w:color="auto"/>
                <w:bottom w:val="none" w:sz="0" w:space="0" w:color="auto"/>
                <w:right w:val="none" w:sz="0" w:space="0" w:color="auto"/>
              </w:divBdr>
              <w:divsChild>
                <w:div w:id="5136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702">
      <w:bodyDiv w:val="1"/>
      <w:marLeft w:val="0"/>
      <w:marRight w:val="0"/>
      <w:marTop w:val="0"/>
      <w:marBottom w:val="0"/>
      <w:divBdr>
        <w:top w:val="none" w:sz="0" w:space="0" w:color="auto"/>
        <w:left w:val="none" w:sz="0" w:space="0" w:color="auto"/>
        <w:bottom w:val="none" w:sz="0" w:space="0" w:color="auto"/>
        <w:right w:val="none" w:sz="0" w:space="0" w:color="auto"/>
      </w:divBdr>
    </w:div>
    <w:div w:id="198589792">
      <w:bodyDiv w:val="1"/>
      <w:marLeft w:val="0"/>
      <w:marRight w:val="0"/>
      <w:marTop w:val="0"/>
      <w:marBottom w:val="0"/>
      <w:divBdr>
        <w:top w:val="none" w:sz="0" w:space="0" w:color="auto"/>
        <w:left w:val="none" w:sz="0" w:space="0" w:color="auto"/>
        <w:bottom w:val="none" w:sz="0" w:space="0" w:color="auto"/>
        <w:right w:val="none" w:sz="0" w:space="0" w:color="auto"/>
      </w:divBdr>
    </w:div>
    <w:div w:id="298996295">
      <w:bodyDiv w:val="1"/>
      <w:marLeft w:val="0"/>
      <w:marRight w:val="0"/>
      <w:marTop w:val="0"/>
      <w:marBottom w:val="0"/>
      <w:divBdr>
        <w:top w:val="none" w:sz="0" w:space="0" w:color="auto"/>
        <w:left w:val="none" w:sz="0" w:space="0" w:color="auto"/>
        <w:bottom w:val="none" w:sz="0" w:space="0" w:color="auto"/>
        <w:right w:val="none" w:sz="0" w:space="0" w:color="auto"/>
      </w:divBdr>
    </w:div>
    <w:div w:id="303775329">
      <w:bodyDiv w:val="1"/>
      <w:marLeft w:val="0"/>
      <w:marRight w:val="0"/>
      <w:marTop w:val="0"/>
      <w:marBottom w:val="0"/>
      <w:divBdr>
        <w:top w:val="none" w:sz="0" w:space="0" w:color="auto"/>
        <w:left w:val="none" w:sz="0" w:space="0" w:color="auto"/>
        <w:bottom w:val="none" w:sz="0" w:space="0" w:color="auto"/>
        <w:right w:val="none" w:sz="0" w:space="0" w:color="auto"/>
      </w:divBdr>
    </w:div>
    <w:div w:id="357393442">
      <w:bodyDiv w:val="1"/>
      <w:marLeft w:val="0"/>
      <w:marRight w:val="0"/>
      <w:marTop w:val="0"/>
      <w:marBottom w:val="0"/>
      <w:divBdr>
        <w:top w:val="none" w:sz="0" w:space="0" w:color="auto"/>
        <w:left w:val="none" w:sz="0" w:space="0" w:color="auto"/>
        <w:bottom w:val="none" w:sz="0" w:space="0" w:color="auto"/>
        <w:right w:val="none" w:sz="0" w:space="0" w:color="auto"/>
      </w:divBdr>
    </w:div>
    <w:div w:id="417482738">
      <w:bodyDiv w:val="1"/>
      <w:marLeft w:val="0"/>
      <w:marRight w:val="0"/>
      <w:marTop w:val="0"/>
      <w:marBottom w:val="0"/>
      <w:divBdr>
        <w:top w:val="none" w:sz="0" w:space="0" w:color="auto"/>
        <w:left w:val="none" w:sz="0" w:space="0" w:color="auto"/>
        <w:bottom w:val="none" w:sz="0" w:space="0" w:color="auto"/>
        <w:right w:val="none" w:sz="0" w:space="0" w:color="auto"/>
      </w:divBdr>
    </w:div>
    <w:div w:id="536703545">
      <w:bodyDiv w:val="1"/>
      <w:marLeft w:val="0"/>
      <w:marRight w:val="0"/>
      <w:marTop w:val="0"/>
      <w:marBottom w:val="0"/>
      <w:divBdr>
        <w:top w:val="none" w:sz="0" w:space="0" w:color="auto"/>
        <w:left w:val="none" w:sz="0" w:space="0" w:color="auto"/>
        <w:bottom w:val="none" w:sz="0" w:space="0" w:color="auto"/>
        <w:right w:val="none" w:sz="0" w:space="0" w:color="auto"/>
      </w:divBdr>
    </w:div>
    <w:div w:id="686755082">
      <w:bodyDiv w:val="1"/>
      <w:marLeft w:val="0"/>
      <w:marRight w:val="0"/>
      <w:marTop w:val="0"/>
      <w:marBottom w:val="0"/>
      <w:divBdr>
        <w:top w:val="none" w:sz="0" w:space="0" w:color="auto"/>
        <w:left w:val="none" w:sz="0" w:space="0" w:color="auto"/>
        <w:bottom w:val="none" w:sz="0" w:space="0" w:color="auto"/>
        <w:right w:val="none" w:sz="0" w:space="0" w:color="auto"/>
      </w:divBdr>
    </w:div>
    <w:div w:id="740060341">
      <w:bodyDiv w:val="1"/>
      <w:marLeft w:val="0"/>
      <w:marRight w:val="0"/>
      <w:marTop w:val="0"/>
      <w:marBottom w:val="0"/>
      <w:divBdr>
        <w:top w:val="none" w:sz="0" w:space="0" w:color="auto"/>
        <w:left w:val="none" w:sz="0" w:space="0" w:color="auto"/>
        <w:bottom w:val="none" w:sz="0" w:space="0" w:color="auto"/>
        <w:right w:val="none" w:sz="0" w:space="0" w:color="auto"/>
      </w:divBdr>
    </w:div>
    <w:div w:id="775977090">
      <w:bodyDiv w:val="1"/>
      <w:marLeft w:val="0"/>
      <w:marRight w:val="0"/>
      <w:marTop w:val="0"/>
      <w:marBottom w:val="0"/>
      <w:divBdr>
        <w:top w:val="none" w:sz="0" w:space="0" w:color="auto"/>
        <w:left w:val="none" w:sz="0" w:space="0" w:color="auto"/>
        <w:bottom w:val="none" w:sz="0" w:space="0" w:color="auto"/>
        <w:right w:val="none" w:sz="0" w:space="0" w:color="auto"/>
      </w:divBdr>
    </w:div>
    <w:div w:id="833883754">
      <w:bodyDiv w:val="1"/>
      <w:marLeft w:val="0"/>
      <w:marRight w:val="0"/>
      <w:marTop w:val="0"/>
      <w:marBottom w:val="0"/>
      <w:divBdr>
        <w:top w:val="none" w:sz="0" w:space="0" w:color="auto"/>
        <w:left w:val="none" w:sz="0" w:space="0" w:color="auto"/>
        <w:bottom w:val="none" w:sz="0" w:space="0" w:color="auto"/>
        <w:right w:val="none" w:sz="0" w:space="0" w:color="auto"/>
      </w:divBdr>
    </w:div>
    <w:div w:id="879322042">
      <w:bodyDiv w:val="1"/>
      <w:marLeft w:val="0"/>
      <w:marRight w:val="0"/>
      <w:marTop w:val="0"/>
      <w:marBottom w:val="0"/>
      <w:divBdr>
        <w:top w:val="none" w:sz="0" w:space="0" w:color="auto"/>
        <w:left w:val="none" w:sz="0" w:space="0" w:color="auto"/>
        <w:bottom w:val="none" w:sz="0" w:space="0" w:color="auto"/>
        <w:right w:val="none" w:sz="0" w:space="0" w:color="auto"/>
      </w:divBdr>
    </w:div>
    <w:div w:id="913008015">
      <w:bodyDiv w:val="1"/>
      <w:marLeft w:val="0"/>
      <w:marRight w:val="0"/>
      <w:marTop w:val="0"/>
      <w:marBottom w:val="0"/>
      <w:divBdr>
        <w:top w:val="none" w:sz="0" w:space="0" w:color="auto"/>
        <w:left w:val="none" w:sz="0" w:space="0" w:color="auto"/>
        <w:bottom w:val="none" w:sz="0" w:space="0" w:color="auto"/>
        <w:right w:val="none" w:sz="0" w:space="0" w:color="auto"/>
      </w:divBdr>
    </w:div>
    <w:div w:id="913659953">
      <w:bodyDiv w:val="1"/>
      <w:marLeft w:val="0"/>
      <w:marRight w:val="0"/>
      <w:marTop w:val="0"/>
      <w:marBottom w:val="0"/>
      <w:divBdr>
        <w:top w:val="none" w:sz="0" w:space="0" w:color="auto"/>
        <w:left w:val="none" w:sz="0" w:space="0" w:color="auto"/>
        <w:bottom w:val="none" w:sz="0" w:space="0" w:color="auto"/>
        <w:right w:val="none" w:sz="0" w:space="0" w:color="auto"/>
      </w:divBdr>
    </w:div>
    <w:div w:id="1196849976">
      <w:bodyDiv w:val="1"/>
      <w:marLeft w:val="0"/>
      <w:marRight w:val="0"/>
      <w:marTop w:val="0"/>
      <w:marBottom w:val="0"/>
      <w:divBdr>
        <w:top w:val="none" w:sz="0" w:space="0" w:color="auto"/>
        <w:left w:val="none" w:sz="0" w:space="0" w:color="auto"/>
        <w:bottom w:val="none" w:sz="0" w:space="0" w:color="auto"/>
        <w:right w:val="none" w:sz="0" w:space="0" w:color="auto"/>
      </w:divBdr>
    </w:div>
    <w:div w:id="1278561409">
      <w:bodyDiv w:val="1"/>
      <w:marLeft w:val="0"/>
      <w:marRight w:val="0"/>
      <w:marTop w:val="0"/>
      <w:marBottom w:val="0"/>
      <w:divBdr>
        <w:top w:val="none" w:sz="0" w:space="0" w:color="auto"/>
        <w:left w:val="none" w:sz="0" w:space="0" w:color="auto"/>
        <w:bottom w:val="none" w:sz="0" w:space="0" w:color="auto"/>
        <w:right w:val="none" w:sz="0" w:space="0" w:color="auto"/>
      </w:divBdr>
    </w:div>
    <w:div w:id="1322468281">
      <w:bodyDiv w:val="1"/>
      <w:marLeft w:val="0"/>
      <w:marRight w:val="0"/>
      <w:marTop w:val="0"/>
      <w:marBottom w:val="0"/>
      <w:divBdr>
        <w:top w:val="none" w:sz="0" w:space="0" w:color="auto"/>
        <w:left w:val="none" w:sz="0" w:space="0" w:color="auto"/>
        <w:bottom w:val="none" w:sz="0" w:space="0" w:color="auto"/>
        <w:right w:val="none" w:sz="0" w:space="0" w:color="auto"/>
      </w:divBdr>
      <w:divsChild>
        <w:div w:id="1862938809">
          <w:marLeft w:val="0"/>
          <w:marRight w:val="0"/>
          <w:marTop w:val="0"/>
          <w:marBottom w:val="0"/>
          <w:divBdr>
            <w:top w:val="none" w:sz="0" w:space="0" w:color="auto"/>
            <w:left w:val="none" w:sz="0" w:space="0" w:color="auto"/>
            <w:bottom w:val="none" w:sz="0" w:space="0" w:color="auto"/>
            <w:right w:val="none" w:sz="0" w:space="0" w:color="auto"/>
          </w:divBdr>
          <w:divsChild>
            <w:div w:id="1411849064">
              <w:marLeft w:val="0"/>
              <w:marRight w:val="0"/>
              <w:marTop w:val="0"/>
              <w:marBottom w:val="0"/>
              <w:divBdr>
                <w:top w:val="none" w:sz="0" w:space="0" w:color="auto"/>
                <w:left w:val="none" w:sz="0" w:space="0" w:color="auto"/>
                <w:bottom w:val="none" w:sz="0" w:space="0" w:color="auto"/>
                <w:right w:val="none" w:sz="0" w:space="0" w:color="auto"/>
              </w:divBdr>
              <w:divsChild>
                <w:div w:id="642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608">
      <w:bodyDiv w:val="1"/>
      <w:marLeft w:val="0"/>
      <w:marRight w:val="0"/>
      <w:marTop w:val="0"/>
      <w:marBottom w:val="0"/>
      <w:divBdr>
        <w:top w:val="none" w:sz="0" w:space="0" w:color="auto"/>
        <w:left w:val="none" w:sz="0" w:space="0" w:color="auto"/>
        <w:bottom w:val="none" w:sz="0" w:space="0" w:color="auto"/>
        <w:right w:val="none" w:sz="0" w:space="0" w:color="auto"/>
      </w:divBdr>
    </w:div>
    <w:div w:id="1481919205">
      <w:bodyDiv w:val="1"/>
      <w:marLeft w:val="0"/>
      <w:marRight w:val="0"/>
      <w:marTop w:val="0"/>
      <w:marBottom w:val="0"/>
      <w:divBdr>
        <w:top w:val="none" w:sz="0" w:space="0" w:color="auto"/>
        <w:left w:val="none" w:sz="0" w:space="0" w:color="auto"/>
        <w:bottom w:val="none" w:sz="0" w:space="0" w:color="auto"/>
        <w:right w:val="none" w:sz="0" w:space="0" w:color="auto"/>
      </w:divBdr>
    </w:div>
    <w:div w:id="1509756916">
      <w:bodyDiv w:val="1"/>
      <w:marLeft w:val="0"/>
      <w:marRight w:val="0"/>
      <w:marTop w:val="0"/>
      <w:marBottom w:val="0"/>
      <w:divBdr>
        <w:top w:val="none" w:sz="0" w:space="0" w:color="auto"/>
        <w:left w:val="none" w:sz="0" w:space="0" w:color="auto"/>
        <w:bottom w:val="none" w:sz="0" w:space="0" w:color="auto"/>
        <w:right w:val="none" w:sz="0" w:space="0" w:color="auto"/>
      </w:divBdr>
    </w:div>
    <w:div w:id="1738626086">
      <w:bodyDiv w:val="1"/>
      <w:marLeft w:val="0"/>
      <w:marRight w:val="0"/>
      <w:marTop w:val="0"/>
      <w:marBottom w:val="0"/>
      <w:divBdr>
        <w:top w:val="none" w:sz="0" w:space="0" w:color="auto"/>
        <w:left w:val="none" w:sz="0" w:space="0" w:color="auto"/>
        <w:bottom w:val="none" w:sz="0" w:space="0" w:color="auto"/>
        <w:right w:val="none" w:sz="0" w:space="0" w:color="auto"/>
      </w:divBdr>
    </w:div>
    <w:div w:id="1825270494">
      <w:bodyDiv w:val="1"/>
      <w:marLeft w:val="0"/>
      <w:marRight w:val="0"/>
      <w:marTop w:val="0"/>
      <w:marBottom w:val="0"/>
      <w:divBdr>
        <w:top w:val="none" w:sz="0" w:space="0" w:color="auto"/>
        <w:left w:val="none" w:sz="0" w:space="0" w:color="auto"/>
        <w:bottom w:val="none" w:sz="0" w:space="0" w:color="auto"/>
        <w:right w:val="none" w:sz="0" w:space="0" w:color="auto"/>
      </w:divBdr>
    </w:div>
    <w:div w:id="1831553734">
      <w:bodyDiv w:val="1"/>
      <w:marLeft w:val="0"/>
      <w:marRight w:val="0"/>
      <w:marTop w:val="0"/>
      <w:marBottom w:val="0"/>
      <w:divBdr>
        <w:top w:val="none" w:sz="0" w:space="0" w:color="auto"/>
        <w:left w:val="none" w:sz="0" w:space="0" w:color="auto"/>
        <w:bottom w:val="none" w:sz="0" w:space="0" w:color="auto"/>
        <w:right w:val="none" w:sz="0" w:space="0" w:color="auto"/>
      </w:divBdr>
    </w:div>
    <w:div w:id="1870725437">
      <w:bodyDiv w:val="1"/>
      <w:marLeft w:val="0"/>
      <w:marRight w:val="0"/>
      <w:marTop w:val="0"/>
      <w:marBottom w:val="0"/>
      <w:divBdr>
        <w:top w:val="none" w:sz="0" w:space="0" w:color="auto"/>
        <w:left w:val="none" w:sz="0" w:space="0" w:color="auto"/>
        <w:bottom w:val="none" w:sz="0" w:space="0" w:color="auto"/>
        <w:right w:val="none" w:sz="0" w:space="0" w:color="auto"/>
      </w:divBdr>
    </w:div>
    <w:div w:id="1957442923">
      <w:bodyDiv w:val="1"/>
      <w:marLeft w:val="0"/>
      <w:marRight w:val="0"/>
      <w:marTop w:val="0"/>
      <w:marBottom w:val="0"/>
      <w:divBdr>
        <w:top w:val="none" w:sz="0" w:space="0" w:color="auto"/>
        <w:left w:val="none" w:sz="0" w:space="0" w:color="auto"/>
        <w:bottom w:val="none" w:sz="0" w:space="0" w:color="auto"/>
        <w:right w:val="none" w:sz="0" w:space="0" w:color="auto"/>
      </w:divBdr>
    </w:div>
    <w:div w:id="1962806374">
      <w:bodyDiv w:val="1"/>
      <w:marLeft w:val="0"/>
      <w:marRight w:val="0"/>
      <w:marTop w:val="0"/>
      <w:marBottom w:val="0"/>
      <w:divBdr>
        <w:top w:val="none" w:sz="0" w:space="0" w:color="auto"/>
        <w:left w:val="none" w:sz="0" w:space="0" w:color="auto"/>
        <w:bottom w:val="none" w:sz="0" w:space="0" w:color="auto"/>
        <w:right w:val="none" w:sz="0" w:space="0" w:color="auto"/>
      </w:divBdr>
    </w:div>
    <w:div w:id="20514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edsurg.2007.09.038" TargetMode="External"/><Relationship Id="rId3" Type="http://schemas.openxmlformats.org/officeDocument/2006/relationships/styles" Target="styles.xml"/><Relationship Id="rId7" Type="http://schemas.openxmlformats.org/officeDocument/2006/relationships/hyperlink" Target="https://doi.org/10.1016/j.jpedsurg.2005.12.07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earlhumdev.2014.09.01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9/vor.2018.0560" TargetMode="External"/><Relationship Id="rId4" Type="http://schemas.openxmlformats.org/officeDocument/2006/relationships/settings" Target="settings.xml"/><Relationship Id="rId9" Type="http://schemas.openxmlformats.org/officeDocument/2006/relationships/hyperlink" Target="https://doi.org/10.1089/109264103322614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7483-8429-466E-A270-F7EB1A7B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3113</Words>
  <Characters>17750</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N</dc:creator>
  <cp:lastModifiedBy>Simon De Montfalcon</cp:lastModifiedBy>
  <cp:revision>2</cp:revision>
  <cp:lastPrinted>2020-03-17T15:21:00Z</cp:lastPrinted>
  <dcterms:created xsi:type="dcterms:W3CDTF">2020-09-10T10:37:00Z</dcterms:created>
  <dcterms:modified xsi:type="dcterms:W3CDTF">2020-09-10T10:37:00Z</dcterms:modified>
</cp:coreProperties>
</file>