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FFBC1" w14:textId="616D6854" w:rsidR="006A2652" w:rsidRDefault="006A2652" w:rsidP="0004451E">
      <w:pPr>
        <w:spacing w:line="480" w:lineRule="auto"/>
        <w:jc w:val="both"/>
        <w:rPr>
          <w:rFonts w:ascii="Calibri" w:eastAsia="Calibri" w:hAnsi="Calibri" w:cs="Times New Roman"/>
          <w:b/>
          <w:iCs/>
        </w:rPr>
      </w:pPr>
      <w:r w:rsidRPr="0004451E">
        <w:rPr>
          <w:rFonts w:ascii="Calibri" w:eastAsia="Calibri" w:hAnsi="Calibri" w:cs="Times New Roman"/>
          <w:b/>
          <w:iCs/>
        </w:rPr>
        <w:t>Creating pre-conditions for change in clinical practice: the influence of interactions between multiple contexts and human agency</w:t>
      </w:r>
    </w:p>
    <w:p w14:paraId="5159EA50" w14:textId="2C9C5A43" w:rsidR="006A2652" w:rsidRPr="009459FA" w:rsidRDefault="004619AE" w:rsidP="009459FA">
      <w:pPr>
        <w:spacing w:line="360" w:lineRule="auto"/>
        <w:jc w:val="both"/>
        <w:rPr>
          <w:rFonts w:ascii="Calibri" w:eastAsia="Calibri" w:hAnsi="Calibri" w:cs="Times New Roman"/>
          <w:iCs/>
          <w:lang w:val="fr-FR"/>
        </w:rPr>
      </w:pPr>
      <w:r w:rsidRPr="004619AE">
        <w:rPr>
          <w:rFonts w:ascii="Calibri" w:eastAsia="Calibri" w:hAnsi="Calibri" w:cs="Times New Roman"/>
          <w:iCs/>
          <w:lang w:val="fr-FR"/>
        </w:rPr>
        <w:t xml:space="preserve"> </w:t>
      </w:r>
      <w:r w:rsidR="006A2652" w:rsidRPr="000C1886">
        <w:rPr>
          <w:rFonts w:ascii="Calibri" w:eastAsia="Calibri" w:hAnsi="Calibri" w:cs="Times New Roman"/>
          <w:b/>
        </w:rPr>
        <w:t>A</w:t>
      </w:r>
      <w:r w:rsidR="006A2652">
        <w:rPr>
          <w:rFonts w:ascii="Calibri" w:eastAsia="Calibri" w:hAnsi="Calibri" w:cs="Times New Roman"/>
          <w:b/>
        </w:rPr>
        <w:t xml:space="preserve">bstract </w:t>
      </w:r>
    </w:p>
    <w:p w14:paraId="017ED8AE" w14:textId="24938106" w:rsidR="006A2652" w:rsidRDefault="006A2652" w:rsidP="000C1886">
      <w:pPr>
        <w:spacing w:line="480" w:lineRule="auto"/>
        <w:jc w:val="both"/>
        <w:rPr>
          <w:rFonts w:ascii="Calibri" w:eastAsia="Calibri" w:hAnsi="Calibri" w:cs="Times New Roman"/>
        </w:rPr>
      </w:pPr>
      <w:r>
        <w:rPr>
          <w:rFonts w:ascii="Calibri" w:eastAsia="Calibri" w:hAnsi="Calibri" w:cs="Times New Roman"/>
        </w:rPr>
        <w:t xml:space="preserve">Purpose: </w:t>
      </w:r>
      <w:r w:rsidRPr="000C1886">
        <w:rPr>
          <w:rFonts w:ascii="Calibri" w:eastAsia="Calibri" w:hAnsi="Calibri" w:cs="Times New Roman"/>
        </w:rPr>
        <w:t xml:space="preserve">This paper explores what </w:t>
      </w:r>
      <w:r>
        <w:rPr>
          <w:rFonts w:ascii="Calibri" w:eastAsia="Calibri" w:hAnsi="Calibri" w:cs="Times New Roman"/>
        </w:rPr>
        <w:t xml:space="preserve">happens when </w:t>
      </w:r>
      <w:r w:rsidRPr="000C1886">
        <w:rPr>
          <w:rFonts w:ascii="Calibri" w:eastAsia="Calibri" w:hAnsi="Calibri" w:cs="Times New Roman"/>
        </w:rPr>
        <w:t>change</w:t>
      </w:r>
      <w:r>
        <w:rPr>
          <w:rFonts w:ascii="Calibri" w:eastAsia="Calibri" w:hAnsi="Calibri" w:cs="Times New Roman"/>
        </w:rPr>
        <w:t>s</w:t>
      </w:r>
      <w:r w:rsidRPr="000C1886">
        <w:rPr>
          <w:rFonts w:ascii="Calibri" w:eastAsia="Calibri" w:hAnsi="Calibri" w:cs="Times New Roman"/>
        </w:rPr>
        <w:t xml:space="preserve"> </w:t>
      </w:r>
      <w:r>
        <w:rPr>
          <w:rFonts w:ascii="Calibri" w:eastAsia="Calibri" w:hAnsi="Calibri" w:cs="Times New Roman"/>
        </w:rPr>
        <w:t xml:space="preserve">to clinical practice are proposed and introduced in healthcare organisations. </w:t>
      </w:r>
      <w:r w:rsidR="006566F1">
        <w:rPr>
          <w:rFonts w:ascii="Calibri" w:eastAsia="Calibri" w:hAnsi="Calibri" w:cs="Times New Roman"/>
        </w:rPr>
        <w:t>We use the implementation</w:t>
      </w:r>
      <w:r>
        <w:rPr>
          <w:rFonts w:ascii="Calibri" w:eastAsia="Calibri" w:hAnsi="Calibri" w:cs="Times New Roman"/>
        </w:rPr>
        <w:t xml:space="preserve"> of Treatment Escalation Plans</w:t>
      </w:r>
      <w:r w:rsidR="006566F1">
        <w:rPr>
          <w:rFonts w:ascii="Calibri" w:eastAsia="Calibri" w:hAnsi="Calibri" w:cs="Times New Roman"/>
        </w:rPr>
        <w:t xml:space="preserve"> to explore </w:t>
      </w:r>
      <w:r>
        <w:rPr>
          <w:rFonts w:ascii="Calibri" w:eastAsia="Calibri" w:hAnsi="Calibri" w:cs="Times New Roman"/>
        </w:rPr>
        <w:t xml:space="preserve">the dynamics shaping the translational journey of a complex intervention from research into the everyday context of real world health care settings. </w:t>
      </w:r>
    </w:p>
    <w:p w14:paraId="7A4B47F9" w14:textId="77777777" w:rsidR="006A2652" w:rsidRDefault="006A2652" w:rsidP="000C1886">
      <w:pPr>
        <w:spacing w:line="480" w:lineRule="auto"/>
        <w:jc w:val="both"/>
        <w:rPr>
          <w:rFonts w:ascii="Calibri" w:eastAsia="Calibri" w:hAnsi="Calibri" w:cs="Times New Roman"/>
        </w:rPr>
      </w:pPr>
      <w:r w:rsidRPr="00AB7E9C">
        <w:rPr>
          <w:rFonts w:ascii="Calibri" w:eastAsia="Calibri" w:hAnsi="Calibri" w:cs="Times New Roman"/>
        </w:rPr>
        <w:t>Design/methodology/approach</w:t>
      </w:r>
      <w:r>
        <w:rPr>
          <w:rFonts w:ascii="Calibri" w:eastAsia="Calibri" w:hAnsi="Calibri" w:cs="Times New Roman"/>
        </w:rPr>
        <w:t xml:space="preserve">:  A </w:t>
      </w:r>
      <w:r w:rsidRPr="003754FB">
        <w:rPr>
          <w:rFonts w:ascii="Calibri" w:eastAsia="Calibri" w:hAnsi="Calibri" w:cs="Times New Roman"/>
        </w:rPr>
        <w:t xml:space="preserve">qualitative instrumental collective case study design </w:t>
      </w:r>
      <w:r>
        <w:rPr>
          <w:rFonts w:ascii="Calibri" w:eastAsia="Calibri" w:hAnsi="Calibri" w:cs="Times New Roman"/>
        </w:rPr>
        <w:t>was used. Data were gathered using q</w:t>
      </w:r>
      <w:r w:rsidRPr="000C1886">
        <w:rPr>
          <w:rFonts w:ascii="Calibri" w:eastAsia="Calibri" w:hAnsi="Calibri" w:cs="Times New Roman"/>
        </w:rPr>
        <w:t xml:space="preserve">ualitative interviews </w:t>
      </w:r>
      <w:r>
        <w:rPr>
          <w:rFonts w:ascii="Calibri" w:eastAsia="Calibri" w:hAnsi="Calibri" w:cs="Times New Roman"/>
        </w:rPr>
        <w:t xml:space="preserve">(n=36) </w:t>
      </w:r>
      <w:r w:rsidRPr="000C1886">
        <w:rPr>
          <w:rFonts w:ascii="Calibri" w:eastAsia="Calibri" w:hAnsi="Calibri" w:cs="Times New Roman"/>
        </w:rPr>
        <w:t xml:space="preserve">and </w:t>
      </w:r>
      <w:r>
        <w:rPr>
          <w:rFonts w:ascii="Calibri" w:eastAsia="Calibri" w:hAnsi="Calibri" w:cs="Times New Roman"/>
        </w:rPr>
        <w:t>observations (n=46)</w:t>
      </w:r>
      <w:r w:rsidRPr="000C1886">
        <w:rPr>
          <w:rFonts w:ascii="Calibri" w:eastAsia="Calibri" w:hAnsi="Calibri" w:cs="Times New Roman"/>
        </w:rPr>
        <w:t xml:space="preserve"> in three </w:t>
      </w:r>
      <w:r>
        <w:rPr>
          <w:rFonts w:ascii="Calibri" w:eastAsia="Calibri" w:hAnsi="Calibri" w:cs="Times New Roman"/>
        </w:rPr>
        <w:t xml:space="preserve">English </w:t>
      </w:r>
      <w:r w:rsidRPr="000C1886">
        <w:rPr>
          <w:rFonts w:ascii="Calibri" w:eastAsia="Calibri" w:hAnsi="Calibri" w:cs="Times New Roman"/>
        </w:rPr>
        <w:t xml:space="preserve">acute </w:t>
      </w:r>
      <w:proofErr w:type="gramStart"/>
      <w:r w:rsidRPr="000C1886">
        <w:rPr>
          <w:rFonts w:ascii="Calibri" w:eastAsia="Calibri" w:hAnsi="Calibri" w:cs="Times New Roman"/>
        </w:rPr>
        <w:t>hosp</w:t>
      </w:r>
      <w:r>
        <w:rPr>
          <w:rFonts w:ascii="Calibri" w:eastAsia="Calibri" w:hAnsi="Calibri" w:cs="Times New Roman"/>
        </w:rPr>
        <w:t>ital</w:t>
      </w:r>
      <w:proofErr w:type="gramEnd"/>
      <w:r>
        <w:rPr>
          <w:rFonts w:ascii="Calibri" w:eastAsia="Calibri" w:hAnsi="Calibri" w:cs="Times New Roman"/>
        </w:rPr>
        <w:t xml:space="preserve"> trusts. </w:t>
      </w:r>
      <w:r w:rsidRPr="003754FB">
        <w:rPr>
          <w:rFonts w:ascii="Calibri" w:eastAsia="Calibri" w:hAnsi="Calibri" w:cs="Times New Roman"/>
        </w:rPr>
        <w:t xml:space="preserve">Normalisation Process Theory provided the theoretical lens </w:t>
      </w:r>
      <w:r>
        <w:rPr>
          <w:rFonts w:ascii="Calibri" w:eastAsia="Calibri" w:hAnsi="Calibri" w:cs="Times New Roman"/>
        </w:rPr>
        <w:t>and informed data collection and analysis.</w:t>
      </w:r>
    </w:p>
    <w:p w14:paraId="35152793" w14:textId="7EF5D4BB" w:rsidR="006A2652" w:rsidRDefault="006A2652" w:rsidP="000C1886">
      <w:pPr>
        <w:spacing w:line="480" w:lineRule="auto"/>
        <w:jc w:val="both"/>
        <w:rPr>
          <w:rFonts w:ascii="Calibri" w:eastAsia="Calibri" w:hAnsi="Calibri" w:cs="Times New Roman"/>
        </w:rPr>
      </w:pPr>
      <w:r>
        <w:rPr>
          <w:rFonts w:ascii="Calibri" w:eastAsia="Calibri" w:hAnsi="Calibri" w:cs="Times New Roman"/>
        </w:rPr>
        <w:t>Findings: W</w:t>
      </w:r>
      <w:r w:rsidRPr="000C1886">
        <w:rPr>
          <w:rFonts w:ascii="Calibri" w:eastAsia="Calibri" w:hAnsi="Calibri" w:cs="Times New Roman"/>
        </w:rPr>
        <w:t xml:space="preserve">hile each organisation faced the same </w:t>
      </w:r>
      <w:r>
        <w:rPr>
          <w:rFonts w:ascii="Calibri" w:eastAsia="Calibri" w:hAnsi="Calibri" w:cs="Times New Roman"/>
        </w:rPr>
        <w:t xml:space="preserve">translational </w:t>
      </w:r>
      <w:r w:rsidRPr="000C1886">
        <w:rPr>
          <w:rFonts w:ascii="Calibri" w:eastAsia="Calibri" w:hAnsi="Calibri" w:cs="Times New Roman"/>
        </w:rPr>
        <w:t>problem</w:t>
      </w:r>
      <w:r>
        <w:rPr>
          <w:rFonts w:ascii="Calibri" w:eastAsia="Calibri" w:hAnsi="Calibri" w:cs="Times New Roman"/>
        </w:rPr>
        <w:t xml:space="preserve">, </w:t>
      </w:r>
      <w:r w:rsidRPr="000C1886">
        <w:rPr>
          <w:rFonts w:ascii="Calibri" w:eastAsia="Calibri" w:hAnsi="Calibri" w:cs="Times New Roman"/>
        </w:rPr>
        <w:t>there was variation between</w:t>
      </w:r>
      <w:r>
        <w:rPr>
          <w:rFonts w:ascii="Calibri" w:eastAsia="Calibri" w:hAnsi="Calibri" w:cs="Times New Roman"/>
        </w:rPr>
        <w:t xml:space="preserve"> </w:t>
      </w:r>
      <w:r w:rsidRPr="000C1886">
        <w:rPr>
          <w:rFonts w:ascii="Calibri" w:eastAsia="Calibri" w:hAnsi="Calibri" w:cs="Times New Roman"/>
        </w:rPr>
        <w:t>se</w:t>
      </w:r>
      <w:r>
        <w:rPr>
          <w:rFonts w:ascii="Calibri" w:eastAsia="Calibri" w:hAnsi="Calibri" w:cs="Times New Roman"/>
        </w:rPr>
        <w:t>ttings regarding adoption</w:t>
      </w:r>
      <w:r w:rsidR="00F74CD3">
        <w:rPr>
          <w:rFonts w:ascii="Calibri" w:eastAsia="Calibri" w:hAnsi="Calibri" w:cs="Times New Roman"/>
        </w:rPr>
        <w:t xml:space="preserve"> and implementation</w:t>
      </w:r>
      <w:r w:rsidRPr="000C1886">
        <w:rPr>
          <w:rFonts w:ascii="Calibri" w:eastAsia="Calibri" w:hAnsi="Calibri" w:cs="Times New Roman"/>
        </w:rPr>
        <w:t>. Successful change was dependent on participants’ ability to manage and shape contexts and the work</w:t>
      </w:r>
      <w:r>
        <w:rPr>
          <w:rFonts w:ascii="Calibri" w:eastAsia="Calibri" w:hAnsi="Calibri" w:cs="Times New Roman"/>
        </w:rPr>
        <w:t xml:space="preserve"> this</w:t>
      </w:r>
      <w:r w:rsidRPr="000C1886">
        <w:rPr>
          <w:rFonts w:ascii="Calibri" w:eastAsia="Calibri" w:hAnsi="Calibri" w:cs="Times New Roman"/>
        </w:rPr>
        <w:t xml:space="preserve"> involved was reliant on individual capacity to create a new, receptive context for change.  </w:t>
      </w:r>
      <w:r>
        <w:rPr>
          <w:rFonts w:ascii="Calibri" w:eastAsia="Calibri" w:hAnsi="Calibri" w:cs="Times New Roman"/>
        </w:rPr>
        <w:t>M</w:t>
      </w:r>
      <w:r w:rsidRPr="000C1886">
        <w:rPr>
          <w:rFonts w:ascii="Calibri" w:eastAsia="Calibri" w:hAnsi="Calibri" w:cs="Times New Roman"/>
        </w:rPr>
        <w:t xml:space="preserve">anaging </w:t>
      </w:r>
      <w:r>
        <w:rPr>
          <w:rFonts w:ascii="Calibri" w:eastAsia="Calibri" w:hAnsi="Calibri" w:cs="Times New Roman"/>
        </w:rPr>
        <w:t xml:space="preserve">contexts to facilitate the move from research into clinical practice was </w:t>
      </w:r>
      <w:r w:rsidRPr="000C1886">
        <w:rPr>
          <w:rFonts w:ascii="Calibri" w:eastAsia="Calibri" w:hAnsi="Calibri" w:cs="Times New Roman"/>
        </w:rPr>
        <w:t>a complex interactive and iterative process.</w:t>
      </w:r>
    </w:p>
    <w:p w14:paraId="079C0B0C" w14:textId="1E87E6F4" w:rsidR="006A2652" w:rsidRPr="001A6FBC" w:rsidRDefault="006A2652" w:rsidP="001A6FBC">
      <w:pPr>
        <w:spacing w:line="480" w:lineRule="auto"/>
        <w:jc w:val="both"/>
        <w:rPr>
          <w:rFonts w:ascii="Calibri" w:eastAsia="Calibri" w:hAnsi="Calibri" w:cs="Times New Roman"/>
        </w:rPr>
      </w:pPr>
      <w:r>
        <w:rPr>
          <w:rFonts w:ascii="Calibri" w:eastAsia="Calibri" w:hAnsi="Calibri" w:cs="Times New Roman"/>
        </w:rPr>
        <w:t>Practical implications: The paper advocates a</w:t>
      </w:r>
      <w:r w:rsidRPr="001A6FBC">
        <w:rPr>
          <w:rFonts w:ascii="Calibri" w:eastAsia="Calibri" w:hAnsi="Calibri" w:cs="Times New Roman"/>
        </w:rPr>
        <w:t xml:space="preserve"> move away from</w:t>
      </w:r>
      <w:r w:rsidR="006566F1">
        <w:rPr>
          <w:rFonts w:ascii="Calibri" w:eastAsia="Calibri" w:hAnsi="Calibri" w:cs="Times New Roman"/>
        </w:rPr>
        <w:t xml:space="preserve"> </w:t>
      </w:r>
      <w:r w:rsidRPr="001A6FBC">
        <w:rPr>
          <w:rFonts w:ascii="Calibri" w:eastAsia="Calibri" w:hAnsi="Calibri" w:cs="Times New Roman"/>
        </w:rPr>
        <w:t xml:space="preserve">contextual factors </w:t>
      </w:r>
      <w:r>
        <w:rPr>
          <w:rFonts w:ascii="Calibri" w:eastAsia="Calibri" w:hAnsi="Calibri" w:cs="Times New Roman"/>
        </w:rPr>
        <w:t>influencing</w:t>
      </w:r>
      <w:r w:rsidRPr="001A6FBC">
        <w:rPr>
          <w:rFonts w:ascii="Calibri" w:eastAsia="Calibri" w:hAnsi="Calibri" w:cs="Times New Roman"/>
        </w:rPr>
        <w:t xml:space="preserve"> </w:t>
      </w:r>
      <w:r>
        <w:rPr>
          <w:rFonts w:ascii="Calibri" w:eastAsia="Calibri" w:hAnsi="Calibri" w:cs="Times New Roman"/>
        </w:rPr>
        <w:t>change and adoption</w:t>
      </w:r>
      <w:r w:rsidR="006566F1">
        <w:rPr>
          <w:rFonts w:ascii="Calibri" w:eastAsia="Calibri" w:hAnsi="Calibri" w:cs="Times New Roman"/>
        </w:rPr>
        <w:t>,</w:t>
      </w:r>
      <w:r w:rsidRPr="001A6FBC">
        <w:rPr>
          <w:rFonts w:ascii="Calibri" w:eastAsia="Calibri" w:hAnsi="Calibri" w:cs="Times New Roman"/>
        </w:rPr>
        <w:t xml:space="preserve"> to contextual patterns and processes that acc</w:t>
      </w:r>
      <w:r>
        <w:rPr>
          <w:rFonts w:ascii="Calibri" w:eastAsia="Calibri" w:hAnsi="Calibri" w:cs="Times New Roman"/>
        </w:rPr>
        <w:t>ommodate different elements of whole systems</w:t>
      </w:r>
      <w:r w:rsidRPr="001A6FBC">
        <w:rPr>
          <w:rFonts w:ascii="Calibri" w:eastAsia="Calibri" w:hAnsi="Calibri" w:cs="Times New Roman"/>
        </w:rPr>
        <w:t xml:space="preserve"> and the work required to manage and sh</w:t>
      </w:r>
      <w:r>
        <w:rPr>
          <w:rFonts w:ascii="Calibri" w:eastAsia="Calibri" w:hAnsi="Calibri" w:cs="Times New Roman"/>
        </w:rPr>
        <w:t>ape them.</w:t>
      </w:r>
    </w:p>
    <w:p w14:paraId="08607A45" w14:textId="77777777" w:rsidR="006A2652" w:rsidRPr="000C1886" w:rsidRDefault="006A2652" w:rsidP="000C1886">
      <w:pPr>
        <w:spacing w:line="480" w:lineRule="auto"/>
        <w:jc w:val="both"/>
        <w:rPr>
          <w:rFonts w:ascii="Calibri" w:eastAsia="Calibri" w:hAnsi="Calibri" w:cs="Times New Roman"/>
        </w:rPr>
      </w:pPr>
      <w:r>
        <w:rPr>
          <w:rFonts w:ascii="Calibri" w:eastAsia="Calibri" w:hAnsi="Calibri" w:cs="Times New Roman"/>
        </w:rPr>
        <w:t xml:space="preserve">Originality and value:  The paper addresses </w:t>
      </w:r>
      <w:r w:rsidRPr="001A6FBC">
        <w:rPr>
          <w:rFonts w:ascii="Calibri" w:eastAsia="Calibri" w:hAnsi="Calibri" w:cs="Times New Roman"/>
        </w:rPr>
        <w:t>importa</w:t>
      </w:r>
      <w:r>
        <w:rPr>
          <w:rFonts w:ascii="Calibri" w:eastAsia="Calibri" w:hAnsi="Calibri" w:cs="Times New Roman"/>
        </w:rPr>
        <w:t xml:space="preserve">nt and timely issues of change </w:t>
      </w:r>
      <w:r w:rsidRPr="001A6FBC">
        <w:rPr>
          <w:rFonts w:ascii="Calibri" w:eastAsia="Calibri" w:hAnsi="Calibri" w:cs="Times New Roman"/>
        </w:rPr>
        <w:t xml:space="preserve">in healthcare, particularly </w:t>
      </w:r>
      <w:r>
        <w:rPr>
          <w:rFonts w:ascii="Calibri" w:eastAsia="Calibri" w:hAnsi="Calibri" w:cs="Times New Roman"/>
        </w:rPr>
        <w:t>for</w:t>
      </w:r>
      <w:r w:rsidRPr="001A6FBC">
        <w:rPr>
          <w:rFonts w:ascii="Calibri" w:eastAsia="Calibri" w:hAnsi="Calibri" w:cs="Times New Roman"/>
        </w:rPr>
        <w:t xml:space="preserve"> </w:t>
      </w:r>
      <w:r>
        <w:rPr>
          <w:rFonts w:ascii="Calibri" w:eastAsia="Calibri" w:hAnsi="Calibri" w:cs="Times New Roman"/>
        </w:rPr>
        <w:t>new regulatory and service-</w:t>
      </w:r>
      <w:r w:rsidRPr="001A6FBC">
        <w:rPr>
          <w:rFonts w:ascii="Calibri" w:eastAsia="Calibri" w:hAnsi="Calibri" w:cs="Times New Roman"/>
        </w:rPr>
        <w:t xml:space="preserve">oriented </w:t>
      </w:r>
      <w:r>
        <w:rPr>
          <w:rFonts w:ascii="Calibri" w:eastAsia="Calibri" w:hAnsi="Calibri" w:cs="Times New Roman"/>
        </w:rPr>
        <w:t>processes</w:t>
      </w:r>
      <w:r w:rsidRPr="001A6FBC">
        <w:rPr>
          <w:rFonts w:ascii="Calibri" w:eastAsia="Calibri" w:hAnsi="Calibri" w:cs="Times New Roman"/>
        </w:rPr>
        <w:t xml:space="preserve"> and practices. </w:t>
      </w:r>
      <w:r>
        <w:rPr>
          <w:rFonts w:ascii="Calibri" w:eastAsia="Calibri" w:hAnsi="Calibri" w:cs="Times New Roman"/>
        </w:rPr>
        <w:t>I</w:t>
      </w:r>
      <w:r w:rsidRPr="001A6FBC">
        <w:rPr>
          <w:rFonts w:ascii="Calibri" w:eastAsia="Calibri" w:hAnsi="Calibri" w:cs="Times New Roman"/>
        </w:rPr>
        <w:t>nsights and explanations of variations in implementation</w:t>
      </w:r>
      <w:r>
        <w:rPr>
          <w:rFonts w:ascii="Calibri" w:eastAsia="Calibri" w:hAnsi="Calibri" w:cs="Times New Roman"/>
        </w:rPr>
        <w:t xml:space="preserve"> are revealed</w:t>
      </w:r>
      <w:r w:rsidRPr="001A6FBC">
        <w:rPr>
          <w:rFonts w:ascii="Calibri" w:eastAsia="Calibri" w:hAnsi="Calibri" w:cs="Times New Roman"/>
        </w:rPr>
        <w:t xml:space="preserve"> which could contribute to conceptual generalization of context and implementatio</w:t>
      </w:r>
      <w:r>
        <w:rPr>
          <w:rFonts w:ascii="Calibri" w:eastAsia="Calibri" w:hAnsi="Calibri" w:cs="Times New Roman"/>
        </w:rPr>
        <w:t>n.</w:t>
      </w:r>
      <w:r w:rsidR="006566F1">
        <w:rPr>
          <w:rFonts w:ascii="Calibri" w:eastAsia="Calibri" w:hAnsi="Calibri" w:cs="Times New Roman"/>
        </w:rPr>
        <w:t xml:space="preserve"> </w:t>
      </w:r>
    </w:p>
    <w:p w14:paraId="783F514D" w14:textId="77777777" w:rsidR="006A2652" w:rsidRPr="002E78A1" w:rsidRDefault="006A2652" w:rsidP="00A66E8F">
      <w:pPr>
        <w:spacing w:line="480" w:lineRule="auto"/>
        <w:jc w:val="both"/>
        <w:rPr>
          <w:rFonts w:ascii="Calibri" w:eastAsia="Calibri" w:hAnsi="Calibri" w:cs="Times New Roman"/>
          <w:color w:val="FF0000"/>
        </w:rPr>
      </w:pPr>
      <w:r>
        <w:rPr>
          <w:rFonts w:ascii="Calibri" w:eastAsia="Calibri" w:hAnsi="Calibri" w:cs="Times New Roman"/>
          <w:b/>
        </w:rPr>
        <w:lastRenderedPageBreak/>
        <w:t xml:space="preserve">Key words: </w:t>
      </w:r>
      <w:r>
        <w:rPr>
          <w:rFonts w:ascii="Calibri" w:eastAsia="Calibri" w:hAnsi="Calibri" w:cs="Times New Roman"/>
        </w:rPr>
        <w:t>National Health Service; England; implementation; organisational change; context, agency; Treatment Escalation Plan; Normalisation Process Theory; case study</w:t>
      </w:r>
    </w:p>
    <w:p w14:paraId="301EE591" w14:textId="77777777" w:rsidR="006A2652" w:rsidRPr="0029728A" w:rsidRDefault="006A2652" w:rsidP="00A66E8F">
      <w:pPr>
        <w:spacing w:line="480" w:lineRule="auto"/>
        <w:jc w:val="both"/>
        <w:rPr>
          <w:rFonts w:ascii="Calibri" w:eastAsia="Calibri" w:hAnsi="Calibri" w:cs="Times New Roman"/>
        </w:rPr>
      </w:pPr>
      <w:r>
        <w:rPr>
          <w:rFonts w:ascii="Calibri" w:eastAsia="Calibri" w:hAnsi="Calibri" w:cs="Times New Roman"/>
          <w:b/>
        </w:rPr>
        <w:t xml:space="preserve">Article classification: </w:t>
      </w:r>
      <w:r w:rsidRPr="009E1ED3">
        <w:rPr>
          <w:rFonts w:ascii="Calibri" w:eastAsia="Calibri" w:hAnsi="Calibri" w:cs="Times New Roman"/>
        </w:rPr>
        <w:t>Research paper</w:t>
      </w:r>
    </w:p>
    <w:p w14:paraId="5866BB89" w14:textId="77777777" w:rsidR="008F0224" w:rsidRDefault="008F0224" w:rsidP="00A66E8F">
      <w:pPr>
        <w:spacing w:line="480" w:lineRule="auto"/>
        <w:jc w:val="both"/>
        <w:rPr>
          <w:rFonts w:ascii="Calibri" w:eastAsia="Calibri" w:hAnsi="Calibri" w:cs="Times New Roman"/>
          <w:b/>
        </w:rPr>
      </w:pPr>
    </w:p>
    <w:p w14:paraId="2C59C96A" w14:textId="692C0272" w:rsidR="006A2652" w:rsidRPr="00052B6C" w:rsidRDefault="006A2652" w:rsidP="00A66E8F">
      <w:pPr>
        <w:spacing w:line="480" w:lineRule="auto"/>
        <w:jc w:val="both"/>
        <w:rPr>
          <w:rFonts w:ascii="Calibri" w:eastAsia="Calibri" w:hAnsi="Calibri" w:cs="Times New Roman"/>
          <w:b/>
          <w:color w:val="FF0000"/>
        </w:rPr>
      </w:pPr>
      <w:r w:rsidRPr="00BB666E">
        <w:rPr>
          <w:rFonts w:ascii="Calibri" w:eastAsia="Calibri" w:hAnsi="Calibri" w:cs="Times New Roman"/>
          <w:b/>
        </w:rPr>
        <w:t>I</w:t>
      </w:r>
      <w:r>
        <w:rPr>
          <w:rFonts w:ascii="Calibri" w:eastAsia="Calibri" w:hAnsi="Calibri" w:cs="Times New Roman"/>
          <w:b/>
        </w:rPr>
        <w:t xml:space="preserve">ntroduction </w:t>
      </w:r>
    </w:p>
    <w:p w14:paraId="5A322D04" w14:textId="07E0DF92" w:rsidR="001C0B47" w:rsidRPr="001C0B47" w:rsidRDefault="006A2652" w:rsidP="001C0B47">
      <w:pPr>
        <w:spacing w:line="480" w:lineRule="auto"/>
        <w:jc w:val="both"/>
        <w:rPr>
          <w:rFonts w:ascii="Calibri" w:eastAsia="Calibri" w:hAnsi="Calibri" w:cs="Times New Roman"/>
        </w:rPr>
      </w:pPr>
      <w:r>
        <w:rPr>
          <w:rFonts w:ascii="Calibri" w:eastAsia="Calibri" w:hAnsi="Calibri" w:cs="Times New Roman"/>
        </w:rPr>
        <w:t xml:space="preserve">This paper focuses on a long-standing problem for </w:t>
      </w:r>
      <w:r w:rsidR="00F74CD3">
        <w:rPr>
          <w:rFonts w:ascii="Calibri" w:eastAsia="Calibri" w:hAnsi="Calibri" w:cs="Times New Roman"/>
        </w:rPr>
        <w:t>healthcare: that</w:t>
      </w:r>
      <w:r>
        <w:rPr>
          <w:rFonts w:ascii="Calibri" w:eastAsia="Calibri" w:hAnsi="Calibri" w:cs="Times New Roman"/>
        </w:rPr>
        <w:t xml:space="preserve"> of changing clinical practice </w:t>
      </w:r>
      <w:r>
        <w:rPr>
          <w:rFonts w:ascii="Calibri" w:eastAsia="Calibri" w:hAnsi="Calibri" w:cs="Times New Roman"/>
          <w:noProof/>
        </w:rPr>
        <w:t>(Davidoff and Batalden, 2005)</w:t>
      </w:r>
      <w:r>
        <w:rPr>
          <w:rFonts w:ascii="Calibri" w:eastAsia="Calibri" w:hAnsi="Calibri" w:cs="Times New Roman"/>
        </w:rPr>
        <w:t xml:space="preserve">. </w:t>
      </w:r>
      <w:r w:rsidRPr="00F82E0C">
        <w:rPr>
          <w:rFonts w:ascii="Calibri" w:eastAsia="Calibri" w:hAnsi="Calibri" w:cs="Times New Roman"/>
        </w:rPr>
        <w:t>Altering established behaviour of any kind is difficult</w:t>
      </w:r>
      <w:r>
        <w:rPr>
          <w:rFonts w:ascii="Calibri" w:eastAsia="Calibri" w:hAnsi="Calibri" w:cs="Times New Roman"/>
        </w:rPr>
        <w:t>. It is</w:t>
      </w:r>
      <w:r w:rsidRPr="00F82E0C">
        <w:rPr>
          <w:rFonts w:ascii="Calibri" w:eastAsia="Calibri" w:hAnsi="Calibri" w:cs="Times New Roman"/>
        </w:rPr>
        <w:t xml:space="preserve"> particu</w:t>
      </w:r>
      <w:r>
        <w:rPr>
          <w:rFonts w:ascii="Calibri" w:eastAsia="Calibri" w:hAnsi="Calibri" w:cs="Times New Roman"/>
        </w:rPr>
        <w:t xml:space="preserve">larly challenging in healthcare because of the </w:t>
      </w:r>
      <w:r w:rsidRPr="00F82E0C">
        <w:rPr>
          <w:rFonts w:ascii="Calibri" w:eastAsia="Calibri" w:hAnsi="Calibri" w:cs="Times New Roman"/>
        </w:rPr>
        <w:t>complex</w:t>
      </w:r>
      <w:r>
        <w:rPr>
          <w:rFonts w:ascii="Calibri" w:eastAsia="Calibri" w:hAnsi="Calibri" w:cs="Times New Roman"/>
        </w:rPr>
        <w:t xml:space="preserve"> relationships</w:t>
      </w:r>
      <w:r w:rsidRPr="00F82E0C">
        <w:rPr>
          <w:rFonts w:ascii="Calibri" w:eastAsia="Calibri" w:hAnsi="Calibri" w:cs="Times New Roman"/>
        </w:rPr>
        <w:t xml:space="preserve"> between professionals, patients and carers</w:t>
      </w:r>
      <w:r>
        <w:rPr>
          <w:rFonts w:ascii="Calibri" w:eastAsia="Calibri" w:hAnsi="Calibri" w:cs="Times New Roman"/>
        </w:rPr>
        <w:t xml:space="preserve"> and the interplay with contexts in which change is to be operationalised</w:t>
      </w:r>
      <w:r w:rsidRPr="00F82E0C">
        <w:rPr>
          <w:rFonts w:ascii="Calibri" w:eastAsia="Calibri" w:hAnsi="Calibri" w:cs="Times New Roman"/>
        </w:rPr>
        <w:t xml:space="preserve">. </w:t>
      </w:r>
      <w:r>
        <w:rPr>
          <w:rFonts w:ascii="Calibri" w:eastAsia="Calibri" w:hAnsi="Calibri" w:cs="Times New Roman"/>
        </w:rPr>
        <w:t xml:space="preserve"> This paper </w:t>
      </w:r>
      <w:r w:rsidRPr="00BB666E">
        <w:rPr>
          <w:rFonts w:ascii="Calibri" w:eastAsia="Calibri" w:hAnsi="Calibri" w:cs="Times New Roman"/>
        </w:rPr>
        <w:t>explore</w:t>
      </w:r>
      <w:r>
        <w:rPr>
          <w:rFonts w:ascii="Calibri" w:eastAsia="Calibri" w:hAnsi="Calibri" w:cs="Times New Roman"/>
        </w:rPr>
        <w:t xml:space="preserve">s how changing clinical practice in three English acute hospital trusts, through the proposed introduction of a newly developed complex clinical decision-making intervention, a </w:t>
      </w:r>
      <w:r w:rsidRPr="00BB666E">
        <w:rPr>
          <w:rFonts w:ascii="Calibri" w:eastAsia="Calibri" w:hAnsi="Calibri" w:cs="Times New Roman"/>
        </w:rPr>
        <w:t>Treat</w:t>
      </w:r>
      <w:r>
        <w:rPr>
          <w:rFonts w:ascii="Calibri" w:eastAsia="Calibri" w:hAnsi="Calibri" w:cs="Times New Roman"/>
        </w:rPr>
        <w:t>ment Escalation Plan (TEP), necessitated interactions between the participants attempting to make changes and multiple contexts which influenced and shaped the process within the organisation</w:t>
      </w:r>
      <w:r w:rsidRPr="00BB666E">
        <w:rPr>
          <w:rFonts w:ascii="Calibri" w:eastAsia="Calibri" w:hAnsi="Calibri" w:cs="Times New Roman"/>
        </w:rPr>
        <w:t>.</w:t>
      </w:r>
      <w:r>
        <w:rPr>
          <w:rFonts w:ascii="Calibri" w:eastAsia="Calibri" w:hAnsi="Calibri" w:cs="Times New Roman"/>
        </w:rPr>
        <w:t xml:space="preserve"> </w:t>
      </w:r>
      <w:r w:rsidR="006566F1">
        <w:rPr>
          <w:rFonts w:ascii="Calibri" w:eastAsia="Calibri" w:hAnsi="Calibri" w:cs="Times New Roman"/>
        </w:rPr>
        <w:t xml:space="preserve">The key question to be addressed is “what happens when changes to clinical practices are proposed and introduced in healthcare organisations”?  </w:t>
      </w:r>
      <w:r w:rsidR="001C0B47">
        <w:rPr>
          <w:rFonts w:ascii="Calibri" w:eastAsia="Calibri" w:hAnsi="Calibri" w:cs="Times New Roman"/>
        </w:rPr>
        <w:t xml:space="preserve">  </w:t>
      </w:r>
    </w:p>
    <w:p w14:paraId="46EC97D4" w14:textId="72336BE8" w:rsidR="006A2652" w:rsidRPr="008F0224" w:rsidRDefault="006A2652" w:rsidP="00A66E8F">
      <w:pPr>
        <w:spacing w:line="480" w:lineRule="auto"/>
        <w:jc w:val="both"/>
        <w:rPr>
          <w:rFonts w:ascii="Calibri" w:eastAsia="Calibri" w:hAnsi="Calibri" w:cs="Times New Roman"/>
          <w:i/>
        </w:rPr>
      </w:pPr>
      <w:r w:rsidRPr="008F0224">
        <w:rPr>
          <w:rFonts w:ascii="Calibri" w:eastAsia="Calibri" w:hAnsi="Calibri" w:cs="Times New Roman"/>
          <w:i/>
        </w:rPr>
        <w:t>What is the role of a Treatment Escalation Plan?</w:t>
      </w:r>
    </w:p>
    <w:p w14:paraId="7D8981B8" w14:textId="25A3F3C3" w:rsidR="006A2652" w:rsidRPr="00D52BF1" w:rsidRDefault="006A2652" w:rsidP="00D52BF1">
      <w:pPr>
        <w:spacing w:line="480" w:lineRule="auto"/>
        <w:jc w:val="both"/>
        <w:rPr>
          <w:rFonts w:ascii="Calibri" w:eastAsia="Calibri" w:hAnsi="Calibri" w:cs="Times New Roman"/>
        </w:rPr>
      </w:pPr>
      <w:r w:rsidRPr="00D52BF1">
        <w:rPr>
          <w:rFonts w:ascii="Calibri" w:eastAsia="Calibri" w:hAnsi="Calibri" w:cs="Times New Roman"/>
        </w:rPr>
        <w:t xml:space="preserve">In the UK TEPs have been in use since 2006 (Mercer, 2009) and internationally since the 1990s (Schmidt </w:t>
      </w:r>
      <w:r w:rsidR="002563C9" w:rsidRPr="002563C9">
        <w:rPr>
          <w:rFonts w:ascii="Calibri" w:eastAsia="Calibri" w:hAnsi="Calibri" w:cs="Times New Roman"/>
          <w:i/>
        </w:rPr>
        <w:t>et al</w:t>
      </w:r>
      <w:r w:rsidRPr="00D52BF1">
        <w:rPr>
          <w:rFonts w:ascii="Calibri" w:eastAsia="Calibri" w:hAnsi="Calibri" w:cs="Times New Roman"/>
        </w:rPr>
        <w:t xml:space="preserve">., 2014; Thomas </w:t>
      </w:r>
      <w:r w:rsidR="002563C9" w:rsidRPr="002563C9">
        <w:rPr>
          <w:rFonts w:ascii="Calibri" w:eastAsia="Calibri" w:hAnsi="Calibri" w:cs="Times New Roman"/>
          <w:i/>
        </w:rPr>
        <w:t>et al</w:t>
      </w:r>
      <w:r w:rsidRPr="00D52BF1">
        <w:rPr>
          <w:rFonts w:ascii="Calibri" w:eastAsia="Calibri" w:hAnsi="Calibri" w:cs="Times New Roman"/>
        </w:rPr>
        <w:t xml:space="preserve">., 2014; Godfrey </w:t>
      </w:r>
      <w:r w:rsidR="002563C9" w:rsidRPr="002563C9">
        <w:rPr>
          <w:rFonts w:ascii="Calibri" w:eastAsia="Calibri" w:hAnsi="Calibri" w:cs="Times New Roman"/>
          <w:i/>
        </w:rPr>
        <w:t>et al</w:t>
      </w:r>
      <w:r w:rsidRPr="00D52BF1">
        <w:rPr>
          <w:rFonts w:ascii="Calibri" w:eastAsia="Calibri" w:hAnsi="Calibri" w:cs="Times New Roman"/>
        </w:rPr>
        <w:t>., 2012).  They offer an alternative approach to stand alone Do Not Attempt Cardiopulmonary Resuscitation</w:t>
      </w:r>
      <w:r w:rsidR="00B16C86">
        <w:rPr>
          <w:rFonts w:ascii="Calibri" w:eastAsia="Calibri" w:hAnsi="Calibri" w:cs="Times New Roman"/>
        </w:rPr>
        <w:t xml:space="preserve"> (DNACPR) orders, which provide </w:t>
      </w:r>
      <w:r w:rsidRPr="00D52BF1">
        <w:rPr>
          <w:rFonts w:ascii="Calibri" w:eastAsia="Calibri" w:hAnsi="Calibri" w:cs="Times New Roman"/>
          <w:lang w:val="en"/>
        </w:rPr>
        <w:t>instruction in the event of a cardiorespiratory arrest, and are designed to avoid futile invasive procedures, but for which</w:t>
      </w:r>
      <w:r w:rsidRPr="00D52BF1">
        <w:rPr>
          <w:rFonts w:ascii="Calibri" w:eastAsia="Calibri" w:hAnsi="Calibri" w:cs="Times New Roman"/>
        </w:rPr>
        <w:t xml:space="preserve"> there is strong evidence of variation and sub-optimal practice (Gibbs </w:t>
      </w:r>
      <w:r w:rsidR="002563C9" w:rsidRPr="002563C9">
        <w:rPr>
          <w:rFonts w:ascii="Calibri" w:eastAsia="Calibri" w:hAnsi="Calibri" w:cs="Times New Roman"/>
          <w:i/>
        </w:rPr>
        <w:t>et al</w:t>
      </w:r>
      <w:r w:rsidRPr="00D52BF1">
        <w:rPr>
          <w:rFonts w:ascii="Calibri" w:eastAsia="Calibri" w:hAnsi="Calibri" w:cs="Times New Roman"/>
        </w:rPr>
        <w:t xml:space="preserve">., 2016; Hurst </w:t>
      </w:r>
      <w:r w:rsidR="002563C9" w:rsidRPr="002563C9">
        <w:rPr>
          <w:rFonts w:ascii="Calibri" w:eastAsia="Calibri" w:hAnsi="Calibri" w:cs="Times New Roman"/>
          <w:i/>
        </w:rPr>
        <w:t>et al</w:t>
      </w:r>
      <w:r w:rsidRPr="00D52BF1">
        <w:rPr>
          <w:rFonts w:ascii="Calibri" w:eastAsia="Calibri" w:hAnsi="Calibri" w:cs="Times New Roman"/>
        </w:rPr>
        <w:t>., 2013). DNACPRs have also been the focus of ethical concern and legal challenge (</w:t>
      </w:r>
      <w:proofErr w:type="spellStart"/>
      <w:r w:rsidRPr="00D52BF1">
        <w:rPr>
          <w:rFonts w:ascii="Calibri" w:eastAsia="Calibri" w:hAnsi="Calibri" w:cs="Times New Roman"/>
        </w:rPr>
        <w:t>Sokol</w:t>
      </w:r>
      <w:proofErr w:type="spellEnd"/>
      <w:r w:rsidRPr="00D52BF1">
        <w:rPr>
          <w:rFonts w:ascii="Calibri" w:eastAsia="Calibri" w:hAnsi="Calibri" w:cs="Times New Roman"/>
        </w:rPr>
        <w:t xml:space="preserve">, 2016). </w:t>
      </w:r>
      <w:r w:rsidRPr="00F72153">
        <w:rPr>
          <w:rFonts w:ascii="Calibri" w:eastAsia="Calibri" w:hAnsi="Calibri" w:cs="Times New Roman"/>
        </w:rPr>
        <w:t xml:space="preserve">In the UK such concerns led to </w:t>
      </w:r>
      <w:r w:rsidR="007830D1" w:rsidRPr="00F72153">
        <w:rPr>
          <w:rFonts w:ascii="Calibri" w:eastAsia="Calibri" w:hAnsi="Calibri" w:cs="Times New Roman"/>
        </w:rPr>
        <w:t xml:space="preserve">a call to prioritise </w:t>
      </w:r>
      <w:r w:rsidR="007C5B98" w:rsidRPr="00F72153">
        <w:rPr>
          <w:rFonts w:ascii="Calibri" w:eastAsia="Calibri" w:hAnsi="Calibri" w:cs="Times New Roman"/>
        </w:rPr>
        <w:t>situat</w:t>
      </w:r>
      <w:r w:rsidR="007830D1" w:rsidRPr="00F72153">
        <w:rPr>
          <w:rFonts w:ascii="Calibri" w:eastAsia="Calibri" w:hAnsi="Calibri" w:cs="Times New Roman"/>
        </w:rPr>
        <w:t>ing</w:t>
      </w:r>
      <w:r w:rsidR="007C5B98" w:rsidRPr="00F72153">
        <w:rPr>
          <w:rFonts w:ascii="Calibri" w:eastAsia="Calibri" w:hAnsi="Calibri" w:cs="Times New Roman"/>
        </w:rPr>
        <w:t xml:space="preserve"> </w:t>
      </w:r>
      <w:r w:rsidRPr="00F72153">
        <w:rPr>
          <w:rFonts w:ascii="Calibri" w:eastAsia="Calibri" w:hAnsi="Calibri" w:cs="Times New Roman"/>
        </w:rPr>
        <w:t>DNACPR decisions within a nationally, recognised overall plan for emergency care and treatment</w:t>
      </w:r>
      <w:r w:rsidRPr="00D52BF1">
        <w:rPr>
          <w:rFonts w:ascii="Calibri" w:eastAsia="Calibri" w:hAnsi="Calibri" w:cs="Times New Roman"/>
        </w:rPr>
        <w:t xml:space="preserve"> (Perkins </w:t>
      </w:r>
      <w:r w:rsidR="002563C9" w:rsidRPr="002563C9">
        <w:rPr>
          <w:rFonts w:ascii="Calibri" w:eastAsia="Calibri" w:hAnsi="Calibri" w:cs="Times New Roman"/>
          <w:i/>
        </w:rPr>
        <w:t>et al</w:t>
      </w:r>
      <w:r w:rsidRPr="00D52BF1">
        <w:rPr>
          <w:rFonts w:ascii="Calibri" w:eastAsia="Calibri" w:hAnsi="Calibri" w:cs="Times New Roman"/>
        </w:rPr>
        <w:t xml:space="preserve">., 2016) and to the </w:t>
      </w:r>
      <w:r w:rsidRPr="00D52BF1">
        <w:rPr>
          <w:rFonts w:ascii="Calibri" w:eastAsia="Calibri" w:hAnsi="Calibri" w:cs="Times New Roman"/>
        </w:rPr>
        <w:lastRenderedPageBreak/>
        <w:t xml:space="preserve">development of a national TEP process, the Recommended Summary Plan for Emergency Care and Treatment (ReSPECT) (Fritz </w:t>
      </w:r>
      <w:r w:rsidR="002563C9" w:rsidRPr="002563C9">
        <w:rPr>
          <w:rFonts w:ascii="Calibri" w:eastAsia="Calibri" w:hAnsi="Calibri" w:cs="Times New Roman"/>
          <w:i/>
        </w:rPr>
        <w:t>et al</w:t>
      </w:r>
      <w:r w:rsidRPr="00D52BF1">
        <w:rPr>
          <w:rFonts w:ascii="Calibri" w:eastAsia="Calibri" w:hAnsi="Calibri" w:cs="Times New Roman"/>
        </w:rPr>
        <w:t xml:space="preserve">., 2017). TEPs situate the DNACPR decision within an overall plan for treatment, offering a process for supporting clinical decision-making that take into account the treatment preferences of patients and their families, and define the scope and limits that can be applied to care (Fritz </w:t>
      </w:r>
      <w:r w:rsidR="002563C9" w:rsidRPr="002563C9">
        <w:rPr>
          <w:rFonts w:ascii="Calibri" w:eastAsia="Calibri" w:hAnsi="Calibri" w:cs="Times New Roman"/>
          <w:i/>
        </w:rPr>
        <w:t>et al</w:t>
      </w:r>
      <w:r w:rsidRPr="00D52BF1">
        <w:rPr>
          <w:rFonts w:ascii="Calibri" w:eastAsia="Calibri" w:hAnsi="Calibri" w:cs="Times New Roman"/>
        </w:rPr>
        <w:t xml:space="preserve">., 2013; </w:t>
      </w:r>
      <w:proofErr w:type="spellStart"/>
      <w:r w:rsidRPr="00D52BF1">
        <w:rPr>
          <w:rFonts w:ascii="Calibri" w:eastAsia="Calibri" w:hAnsi="Calibri" w:cs="Times New Roman"/>
        </w:rPr>
        <w:t>Mo</w:t>
      </w:r>
      <w:r w:rsidR="00B16C86">
        <w:rPr>
          <w:rFonts w:ascii="Calibri" w:eastAsia="Calibri" w:hAnsi="Calibri" w:cs="Times New Roman"/>
        </w:rPr>
        <w:t>ckford</w:t>
      </w:r>
      <w:proofErr w:type="spellEnd"/>
      <w:r w:rsidR="00B16C86">
        <w:rPr>
          <w:rFonts w:ascii="Calibri" w:eastAsia="Calibri" w:hAnsi="Calibri" w:cs="Times New Roman"/>
        </w:rPr>
        <w:t xml:space="preserve"> </w:t>
      </w:r>
      <w:r w:rsidR="002563C9" w:rsidRPr="002563C9">
        <w:rPr>
          <w:rFonts w:ascii="Calibri" w:eastAsia="Calibri" w:hAnsi="Calibri" w:cs="Times New Roman"/>
          <w:i/>
        </w:rPr>
        <w:t>et al</w:t>
      </w:r>
      <w:r w:rsidRPr="00D52BF1">
        <w:rPr>
          <w:rFonts w:ascii="Calibri" w:eastAsia="Calibri" w:hAnsi="Calibri" w:cs="Times New Roman"/>
        </w:rPr>
        <w:t xml:space="preserve">., 2015; Fritz </w:t>
      </w:r>
      <w:r w:rsidR="002563C9" w:rsidRPr="002563C9">
        <w:rPr>
          <w:rFonts w:ascii="Calibri" w:eastAsia="Calibri" w:hAnsi="Calibri" w:cs="Times New Roman"/>
          <w:i/>
        </w:rPr>
        <w:t>et al</w:t>
      </w:r>
      <w:r w:rsidRPr="00D52BF1">
        <w:rPr>
          <w:rFonts w:ascii="Calibri" w:eastAsia="Calibri" w:hAnsi="Calibri" w:cs="Times New Roman"/>
        </w:rPr>
        <w:t xml:space="preserve">., 2017; Jesu </w:t>
      </w:r>
      <w:r w:rsidR="002563C9" w:rsidRPr="002563C9">
        <w:rPr>
          <w:rFonts w:ascii="Calibri" w:eastAsia="Calibri" w:hAnsi="Calibri" w:cs="Times New Roman"/>
          <w:i/>
        </w:rPr>
        <w:t>et al</w:t>
      </w:r>
      <w:r w:rsidRPr="00D52BF1">
        <w:rPr>
          <w:rFonts w:ascii="Calibri" w:eastAsia="Calibri" w:hAnsi="Calibri" w:cs="Times New Roman"/>
        </w:rPr>
        <w:t xml:space="preserve">., 2014; Schmidt </w:t>
      </w:r>
      <w:r w:rsidR="002563C9" w:rsidRPr="002563C9">
        <w:rPr>
          <w:rFonts w:ascii="Calibri" w:eastAsia="Calibri" w:hAnsi="Calibri" w:cs="Times New Roman"/>
          <w:i/>
        </w:rPr>
        <w:t>et al</w:t>
      </w:r>
      <w:r w:rsidRPr="00D52BF1">
        <w:rPr>
          <w:rFonts w:ascii="Calibri" w:eastAsia="Calibri" w:hAnsi="Calibri" w:cs="Times New Roman"/>
        </w:rPr>
        <w:t xml:space="preserve">., 2014). </w:t>
      </w:r>
    </w:p>
    <w:p w14:paraId="1F426AA7" w14:textId="3E0D9834" w:rsidR="006A2652" w:rsidRPr="00D52BF1" w:rsidRDefault="006A2652" w:rsidP="00D52BF1">
      <w:pPr>
        <w:spacing w:line="480" w:lineRule="auto"/>
        <w:jc w:val="both"/>
        <w:rPr>
          <w:rFonts w:ascii="Calibri" w:eastAsia="Calibri" w:hAnsi="Calibri" w:cs="Times New Roman"/>
        </w:rPr>
      </w:pPr>
      <w:r w:rsidRPr="00D52BF1">
        <w:rPr>
          <w:rFonts w:ascii="Calibri" w:eastAsia="Calibri" w:hAnsi="Calibri" w:cs="Times New Roman"/>
        </w:rPr>
        <w:t>Evidence suggests that the clinical community welcome and support TEP use as a plan that is transportable between multiple clinical contexts and settings, not service or disease specific, and shared between professionals, pa</w:t>
      </w:r>
      <w:r w:rsidR="00F74CD3">
        <w:rPr>
          <w:rFonts w:ascii="Calibri" w:eastAsia="Calibri" w:hAnsi="Calibri" w:cs="Times New Roman"/>
        </w:rPr>
        <w:t>tients and families (</w:t>
      </w:r>
      <w:proofErr w:type="spellStart"/>
      <w:r w:rsidR="00F74CD3">
        <w:rPr>
          <w:rFonts w:ascii="Calibri" w:eastAsia="Calibri" w:hAnsi="Calibri" w:cs="Times New Roman"/>
        </w:rPr>
        <w:t>Mockford</w:t>
      </w:r>
      <w:proofErr w:type="spellEnd"/>
      <w:r w:rsidR="00F74CD3">
        <w:rPr>
          <w:rFonts w:ascii="Calibri" w:eastAsia="Calibri" w:hAnsi="Calibri" w:cs="Times New Roman"/>
        </w:rPr>
        <w:t xml:space="preserve"> </w:t>
      </w:r>
      <w:r w:rsidR="002563C9" w:rsidRPr="002563C9">
        <w:rPr>
          <w:rFonts w:ascii="Calibri" w:eastAsia="Calibri" w:hAnsi="Calibri" w:cs="Times New Roman"/>
          <w:i/>
        </w:rPr>
        <w:t>et al</w:t>
      </w:r>
      <w:r w:rsidR="00F74CD3">
        <w:rPr>
          <w:rFonts w:ascii="Calibri" w:eastAsia="Calibri" w:hAnsi="Calibri" w:cs="Times New Roman"/>
        </w:rPr>
        <w:t>., 2015; Field</w:t>
      </w:r>
      <w:r w:rsidRPr="00D52BF1">
        <w:rPr>
          <w:rFonts w:ascii="Calibri" w:eastAsia="Calibri" w:hAnsi="Calibri" w:cs="Times New Roman"/>
        </w:rPr>
        <w:t xml:space="preserve"> </w:t>
      </w:r>
      <w:r w:rsidR="002563C9" w:rsidRPr="002563C9">
        <w:rPr>
          <w:rFonts w:ascii="Calibri" w:eastAsia="Calibri" w:hAnsi="Calibri" w:cs="Times New Roman"/>
          <w:i/>
        </w:rPr>
        <w:t>et al</w:t>
      </w:r>
      <w:r w:rsidRPr="00D52BF1">
        <w:rPr>
          <w:rFonts w:ascii="Calibri" w:eastAsia="Calibri" w:hAnsi="Calibri" w:cs="Times New Roman"/>
        </w:rPr>
        <w:t xml:space="preserve">., 2014). Increasingly UK healthcare providers are expected to consider and discuss patient preferences for treatment and care and this has informed the development and dissemination of ReSPECT (Pitcher </w:t>
      </w:r>
      <w:r w:rsidR="002563C9" w:rsidRPr="002563C9">
        <w:rPr>
          <w:rFonts w:ascii="Calibri" w:eastAsia="Calibri" w:hAnsi="Calibri" w:cs="Times New Roman"/>
          <w:i/>
        </w:rPr>
        <w:t>et al</w:t>
      </w:r>
      <w:r w:rsidRPr="00D52BF1">
        <w:rPr>
          <w:rFonts w:ascii="Calibri" w:eastAsia="Calibri" w:hAnsi="Calibri" w:cs="Times New Roman"/>
        </w:rPr>
        <w:t xml:space="preserve">., 2017). </w:t>
      </w:r>
    </w:p>
    <w:p w14:paraId="5202576B" w14:textId="5B002B9F" w:rsidR="006A2652" w:rsidRPr="00D52BF1" w:rsidRDefault="006A2652" w:rsidP="00D52BF1">
      <w:pPr>
        <w:spacing w:line="480" w:lineRule="auto"/>
        <w:jc w:val="both"/>
        <w:rPr>
          <w:rFonts w:ascii="Calibri" w:eastAsia="Calibri" w:hAnsi="Calibri" w:cs="Times New Roman"/>
        </w:rPr>
      </w:pPr>
      <w:r w:rsidRPr="00D52BF1">
        <w:rPr>
          <w:rFonts w:ascii="Calibri" w:eastAsia="Calibri" w:hAnsi="Calibri" w:cs="Times New Roman"/>
        </w:rPr>
        <w:t>Discussions about a patient’s wishes for treatment and care in the event of clinical deterioration have particular relevance in times of crisis, such as the global C</w:t>
      </w:r>
      <w:r>
        <w:rPr>
          <w:rFonts w:ascii="Calibri" w:eastAsia="Calibri" w:hAnsi="Calibri" w:cs="Times New Roman"/>
        </w:rPr>
        <w:t>OVID</w:t>
      </w:r>
      <w:r w:rsidRPr="00D52BF1">
        <w:rPr>
          <w:rFonts w:ascii="Calibri" w:eastAsia="Calibri" w:hAnsi="Calibri" w:cs="Times New Roman"/>
        </w:rPr>
        <w:t>-19 pandemic that first emerged in late 2019 (Liverpool, 2020).  In these situations TEPs can offer a framework for prompting and conducting conversations about a patient’s wishes in the event of acute life threatening illness, especially for those with chronic life-limiting diseases</w:t>
      </w:r>
      <w:r w:rsidR="00B16C86">
        <w:rPr>
          <w:rFonts w:ascii="Calibri" w:eastAsia="Calibri" w:hAnsi="Calibri" w:cs="Times New Roman"/>
        </w:rPr>
        <w:t xml:space="preserve"> </w:t>
      </w:r>
      <w:r w:rsidRPr="00D52BF1">
        <w:rPr>
          <w:rFonts w:ascii="Calibri" w:eastAsia="Calibri" w:hAnsi="Calibri" w:cs="Times New Roman"/>
        </w:rPr>
        <w:t>(</w:t>
      </w:r>
      <w:r w:rsidR="00B16C86">
        <w:rPr>
          <w:rFonts w:ascii="Calibri" w:eastAsia="Calibri" w:hAnsi="Calibri" w:cs="Times New Roman"/>
        </w:rPr>
        <w:t>RCUK</w:t>
      </w:r>
      <w:r w:rsidRPr="00D52BF1">
        <w:rPr>
          <w:rFonts w:ascii="Calibri" w:eastAsia="Calibri" w:hAnsi="Calibri" w:cs="Times New Roman"/>
        </w:rPr>
        <w:t>, 2020). This not only enables patient and family preferences to be taken into account, but give confidence to clinicians to have the discussions.</w:t>
      </w:r>
      <w:r w:rsidRPr="00CE6A0A">
        <w:rPr>
          <w:rFonts w:ascii="Calibri" w:eastAsia="Calibri" w:hAnsi="Calibri" w:cs="Times New Roman"/>
        </w:rPr>
        <w:t xml:space="preserve"> TEPs can preclude a moral imperative to treat, if that </w:t>
      </w:r>
      <w:r w:rsidR="007C5B98" w:rsidRPr="00F72153">
        <w:rPr>
          <w:rFonts w:ascii="Calibri" w:eastAsia="Calibri" w:hAnsi="Calibri" w:cs="Times New Roman"/>
        </w:rPr>
        <w:t>is</w:t>
      </w:r>
      <w:r w:rsidR="007C5B98" w:rsidRPr="00CE6A0A">
        <w:rPr>
          <w:rFonts w:ascii="Calibri" w:eastAsia="Calibri" w:hAnsi="Calibri" w:cs="Times New Roman"/>
        </w:rPr>
        <w:t xml:space="preserve"> </w:t>
      </w:r>
      <w:r w:rsidRPr="00CE6A0A">
        <w:rPr>
          <w:rFonts w:ascii="Calibri" w:eastAsia="Calibri" w:hAnsi="Calibri" w:cs="Times New Roman"/>
        </w:rPr>
        <w:t>the patient’s wish, reducing the burden on healthcare professionals, patients and families</w:t>
      </w:r>
      <w:r w:rsidRPr="00D52BF1">
        <w:rPr>
          <w:rFonts w:ascii="Calibri" w:eastAsia="Calibri" w:hAnsi="Calibri" w:cs="Times New Roman"/>
        </w:rPr>
        <w:t xml:space="preserve"> </w:t>
      </w:r>
      <w:r>
        <w:rPr>
          <w:rFonts w:ascii="Calibri" w:eastAsia="Calibri" w:hAnsi="Calibri" w:cs="Times New Roman"/>
        </w:rPr>
        <w:t xml:space="preserve">and </w:t>
      </w:r>
      <w:r w:rsidRPr="00D52BF1">
        <w:rPr>
          <w:rFonts w:ascii="Calibri" w:eastAsia="Calibri" w:hAnsi="Calibri" w:cs="Times New Roman"/>
        </w:rPr>
        <w:t xml:space="preserve">have the potential to reduce the need to ‘react and treat’ in times when usual communications and interactions between healthcare professionals and family members are difficult. </w:t>
      </w:r>
    </w:p>
    <w:p w14:paraId="3EE07A0A" w14:textId="2D97E810" w:rsidR="006A2652" w:rsidRDefault="006A2652" w:rsidP="00D52BF1">
      <w:pPr>
        <w:spacing w:line="480" w:lineRule="auto"/>
        <w:jc w:val="both"/>
        <w:rPr>
          <w:rFonts w:ascii="Calibri" w:eastAsia="Calibri" w:hAnsi="Calibri" w:cs="Times New Roman"/>
        </w:rPr>
      </w:pPr>
      <w:r w:rsidRPr="00D52BF1">
        <w:rPr>
          <w:rFonts w:ascii="Calibri" w:eastAsia="Calibri" w:hAnsi="Calibri" w:cs="Times New Roman"/>
        </w:rPr>
        <w:t xml:space="preserve">However, implementing TEPs into routine practice can be challenging at an individual, organisational and system level, making them difficult to introduce and embed in a healthcare setting. It has been argued this can be attributable to the complex and contentious nature of TEPs </w:t>
      </w:r>
      <w:r>
        <w:rPr>
          <w:rFonts w:ascii="Calibri" w:eastAsia="Calibri" w:hAnsi="Calibri" w:cs="Times New Roman"/>
          <w:noProof/>
        </w:rPr>
        <w:t xml:space="preserve">(Cummings </w:t>
      </w:r>
      <w:r w:rsidR="002563C9" w:rsidRPr="002563C9">
        <w:rPr>
          <w:rFonts w:ascii="Calibri" w:eastAsia="Calibri" w:hAnsi="Calibri" w:cs="Times New Roman"/>
          <w:i/>
          <w:noProof/>
        </w:rPr>
        <w:t>et al</w:t>
      </w:r>
      <w:r>
        <w:rPr>
          <w:rFonts w:ascii="Calibri" w:eastAsia="Calibri" w:hAnsi="Calibri" w:cs="Times New Roman"/>
          <w:noProof/>
        </w:rPr>
        <w:t xml:space="preserve">., 2017; </w:t>
      </w:r>
      <w:r>
        <w:rPr>
          <w:rFonts w:ascii="Calibri" w:eastAsia="Calibri" w:hAnsi="Calibri" w:cs="Times New Roman"/>
          <w:noProof/>
        </w:rPr>
        <w:lastRenderedPageBreak/>
        <w:t xml:space="preserve">May </w:t>
      </w:r>
      <w:r w:rsidR="002563C9" w:rsidRPr="002563C9">
        <w:rPr>
          <w:rFonts w:ascii="Calibri" w:eastAsia="Calibri" w:hAnsi="Calibri" w:cs="Times New Roman"/>
          <w:i/>
          <w:noProof/>
        </w:rPr>
        <w:t>et al</w:t>
      </w:r>
      <w:r w:rsidR="00B16C86">
        <w:rPr>
          <w:rFonts w:ascii="Calibri" w:eastAsia="Calibri" w:hAnsi="Calibri" w:cs="Times New Roman"/>
          <w:noProof/>
        </w:rPr>
        <w:t>.</w:t>
      </w:r>
      <w:r>
        <w:rPr>
          <w:rFonts w:ascii="Calibri" w:eastAsia="Calibri" w:hAnsi="Calibri" w:cs="Times New Roman"/>
          <w:noProof/>
        </w:rPr>
        <w:t xml:space="preserve">, </w:t>
      </w:r>
      <w:r w:rsidR="00B16C86">
        <w:rPr>
          <w:rFonts w:ascii="Calibri" w:eastAsia="Calibri" w:hAnsi="Calibri" w:cs="Times New Roman"/>
          <w:noProof/>
        </w:rPr>
        <w:t>2020</w:t>
      </w:r>
      <w:r>
        <w:rPr>
          <w:rFonts w:ascii="Calibri" w:eastAsia="Calibri" w:hAnsi="Calibri" w:cs="Times New Roman"/>
          <w:noProof/>
        </w:rPr>
        <w:t>)</w:t>
      </w:r>
      <w:r w:rsidRPr="00D52BF1">
        <w:rPr>
          <w:rFonts w:ascii="Calibri" w:eastAsia="Calibri" w:hAnsi="Calibri" w:cs="Times New Roman"/>
        </w:rPr>
        <w:t>.</w:t>
      </w:r>
      <w:r>
        <w:rPr>
          <w:rFonts w:ascii="Calibri" w:eastAsia="Calibri" w:hAnsi="Calibri" w:cs="Times New Roman"/>
        </w:rPr>
        <w:t xml:space="preserve"> </w:t>
      </w:r>
      <w:r w:rsidRPr="00D52BF1">
        <w:rPr>
          <w:rFonts w:ascii="Calibri" w:eastAsia="Calibri" w:hAnsi="Calibri" w:cs="Times New Roman"/>
        </w:rPr>
        <w:t xml:space="preserve">TEPs are an example of a contentious intervention in practice because they are distinguishable from other complex interventions </w:t>
      </w:r>
      <w:r w:rsidRPr="00F364A8">
        <w:rPr>
          <w:rFonts w:ascii="Calibri" w:eastAsia="Calibri" w:hAnsi="Calibri" w:cs="Times New Roman"/>
        </w:rPr>
        <w:t>in that they</w:t>
      </w:r>
      <w:r w:rsidR="00CE7066">
        <w:rPr>
          <w:rFonts w:ascii="Calibri" w:eastAsia="Calibri" w:hAnsi="Calibri" w:cs="Times New Roman"/>
        </w:rPr>
        <w:t xml:space="preserve"> involve </w:t>
      </w:r>
      <w:r w:rsidRPr="00D52BF1">
        <w:rPr>
          <w:rFonts w:ascii="Calibri" w:eastAsia="Calibri" w:hAnsi="Calibri" w:cs="Times New Roman"/>
        </w:rPr>
        <w:t xml:space="preserve">challenging interactions between </w:t>
      </w:r>
      <w:r w:rsidR="00CE7066">
        <w:rPr>
          <w:rFonts w:ascii="Calibri" w:eastAsia="Calibri" w:hAnsi="Calibri" w:cs="Times New Roman"/>
        </w:rPr>
        <w:t xml:space="preserve">patient, family and clinicians which </w:t>
      </w:r>
      <w:r w:rsidR="005708F1">
        <w:rPr>
          <w:rFonts w:ascii="Calibri" w:eastAsia="Calibri" w:hAnsi="Calibri" w:cs="Times New Roman"/>
        </w:rPr>
        <w:t>can arise because of their</w:t>
      </w:r>
      <w:r w:rsidR="00CE7066">
        <w:rPr>
          <w:rFonts w:ascii="Calibri" w:eastAsia="Calibri" w:hAnsi="Calibri" w:cs="Times New Roman"/>
        </w:rPr>
        <w:t xml:space="preserve"> </w:t>
      </w:r>
      <w:r w:rsidRPr="00D52BF1">
        <w:rPr>
          <w:rFonts w:ascii="Calibri" w:eastAsia="Calibri" w:hAnsi="Calibri" w:cs="Times New Roman"/>
        </w:rPr>
        <w:t>moral purpose and value; and seek to</w:t>
      </w:r>
      <w:r w:rsidR="00CE7066">
        <w:rPr>
          <w:rFonts w:ascii="Calibri" w:eastAsia="Calibri" w:hAnsi="Calibri" w:cs="Times New Roman"/>
        </w:rPr>
        <w:t xml:space="preserve"> formalise or make concrete clinical judgements in the face of </w:t>
      </w:r>
      <w:r w:rsidR="001367DF">
        <w:rPr>
          <w:rFonts w:ascii="Calibri" w:eastAsia="Calibri" w:hAnsi="Calibri" w:cs="Times New Roman"/>
        </w:rPr>
        <w:t>rapidly changing situations</w:t>
      </w:r>
      <w:r w:rsidRPr="00D52BF1">
        <w:rPr>
          <w:rFonts w:ascii="Calibri" w:eastAsia="Calibri" w:hAnsi="Calibri" w:cs="Times New Roman"/>
        </w:rPr>
        <w:t xml:space="preserve">. </w:t>
      </w:r>
      <w:r w:rsidR="000C14C5" w:rsidRPr="00D52BF1">
        <w:rPr>
          <w:rFonts w:ascii="Calibri" w:eastAsia="Calibri" w:hAnsi="Calibri" w:cs="Times New Roman"/>
        </w:rPr>
        <w:t xml:space="preserve">Contentiousness </w:t>
      </w:r>
      <w:r w:rsidR="000C14C5">
        <w:rPr>
          <w:rFonts w:ascii="Calibri" w:eastAsia="Calibri" w:hAnsi="Calibri" w:cs="Times New Roman"/>
        </w:rPr>
        <w:t>can</w:t>
      </w:r>
      <w:r w:rsidR="00CE7066">
        <w:rPr>
          <w:rFonts w:ascii="Calibri" w:eastAsia="Calibri" w:hAnsi="Calibri" w:cs="Times New Roman"/>
        </w:rPr>
        <w:t xml:space="preserve"> arise at any point in the life cycle of an intervention. </w:t>
      </w:r>
      <w:r w:rsidR="00F364A8">
        <w:rPr>
          <w:rFonts w:ascii="Calibri" w:eastAsia="Calibri" w:hAnsi="Calibri" w:cs="Times New Roman"/>
        </w:rPr>
        <w:t xml:space="preserve">In this way TEPs characterise a contentious intervention which can include one or more facets of their workability, legitimacy and integration with existing practices. </w:t>
      </w:r>
    </w:p>
    <w:p w14:paraId="44B6A720" w14:textId="77777777" w:rsidR="006A2652" w:rsidRPr="008F0224" w:rsidRDefault="006A2652" w:rsidP="00D52BF1">
      <w:pPr>
        <w:spacing w:line="480" w:lineRule="auto"/>
        <w:jc w:val="both"/>
        <w:rPr>
          <w:rFonts w:ascii="Calibri" w:eastAsia="Calibri" w:hAnsi="Calibri" w:cs="Times New Roman"/>
          <w:i/>
        </w:rPr>
      </w:pPr>
      <w:r w:rsidRPr="008F0224">
        <w:rPr>
          <w:rFonts w:ascii="Calibri" w:eastAsia="Calibri" w:hAnsi="Calibri" w:cs="Times New Roman"/>
          <w:i/>
        </w:rPr>
        <w:t xml:space="preserve">Context, agency and implementation </w:t>
      </w:r>
    </w:p>
    <w:p w14:paraId="2E365A22" w14:textId="6AD888B3" w:rsidR="006A2652" w:rsidRDefault="006A2652" w:rsidP="00A66E8F">
      <w:pPr>
        <w:spacing w:line="480" w:lineRule="auto"/>
        <w:jc w:val="both"/>
        <w:rPr>
          <w:rFonts w:ascii="Calibri" w:eastAsia="Calibri" w:hAnsi="Calibri" w:cs="Times New Roman"/>
        </w:rPr>
      </w:pPr>
      <w:r w:rsidRPr="00F914E1">
        <w:rPr>
          <w:rFonts w:ascii="Calibri" w:eastAsia="Calibri" w:hAnsi="Calibri" w:cs="Times New Roman"/>
        </w:rPr>
        <w:t xml:space="preserve">The role of context is well established in implementation science and </w:t>
      </w:r>
      <w:r>
        <w:rPr>
          <w:rFonts w:ascii="Calibri" w:eastAsia="Calibri" w:hAnsi="Calibri" w:cs="Times New Roman"/>
        </w:rPr>
        <w:t xml:space="preserve">in recent years attention has been paid to understanding the relationship between context and implementation in mediating change processes in healthcare organisations </w:t>
      </w:r>
      <w:r w:rsidR="00B16C86">
        <w:rPr>
          <w:rFonts w:ascii="Calibri" w:eastAsia="Calibri" w:hAnsi="Calibri" w:cs="Times New Roman"/>
          <w:noProof/>
        </w:rPr>
        <w:t xml:space="preserve">(Damschroder </w:t>
      </w:r>
      <w:r w:rsidR="002563C9" w:rsidRPr="002563C9">
        <w:rPr>
          <w:rFonts w:ascii="Calibri" w:eastAsia="Calibri" w:hAnsi="Calibri" w:cs="Times New Roman"/>
          <w:i/>
          <w:noProof/>
        </w:rPr>
        <w:t>et al</w:t>
      </w:r>
      <w:r w:rsidR="00B16C86">
        <w:rPr>
          <w:rFonts w:ascii="Calibri" w:eastAsia="Calibri" w:hAnsi="Calibri" w:cs="Times New Roman"/>
          <w:noProof/>
        </w:rPr>
        <w:t xml:space="preserve">., 2009; Pfadenhauer </w:t>
      </w:r>
      <w:r w:rsidR="002563C9" w:rsidRPr="002563C9">
        <w:rPr>
          <w:rFonts w:ascii="Calibri" w:eastAsia="Calibri" w:hAnsi="Calibri" w:cs="Times New Roman"/>
          <w:i/>
          <w:noProof/>
        </w:rPr>
        <w:t>et al</w:t>
      </w:r>
      <w:r w:rsidR="00B16C86">
        <w:rPr>
          <w:rFonts w:ascii="Calibri" w:eastAsia="Calibri" w:hAnsi="Calibri" w:cs="Times New Roman"/>
          <w:noProof/>
        </w:rPr>
        <w:t xml:space="preserve">., 2016; Pfadenhauer </w:t>
      </w:r>
      <w:r>
        <w:rPr>
          <w:rFonts w:ascii="Calibri" w:eastAsia="Calibri" w:hAnsi="Calibri" w:cs="Times New Roman"/>
          <w:noProof/>
        </w:rPr>
        <w:t xml:space="preserve"> </w:t>
      </w:r>
      <w:r w:rsidR="002563C9" w:rsidRPr="002563C9">
        <w:rPr>
          <w:rFonts w:ascii="Calibri" w:eastAsia="Calibri" w:hAnsi="Calibri" w:cs="Times New Roman"/>
          <w:i/>
          <w:noProof/>
        </w:rPr>
        <w:t>et al</w:t>
      </w:r>
      <w:r>
        <w:rPr>
          <w:rFonts w:ascii="Calibri" w:eastAsia="Calibri" w:hAnsi="Calibri" w:cs="Times New Roman"/>
          <w:noProof/>
        </w:rPr>
        <w:t xml:space="preserve">., 2015; Dopson and Fitzgerald, 2005; Kaplan </w:t>
      </w:r>
      <w:r w:rsidR="002563C9" w:rsidRPr="002563C9">
        <w:rPr>
          <w:rFonts w:ascii="Calibri" w:eastAsia="Calibri" w:hAnsi="Calibri" w:cs="Times New Roman"/>
          <w:i/>
          <w:noProof/>
        </w:rPr>
        <w:t>et al</w:t>
      </w:r>
      <w:r>
        <w:rPr>
          <w:rFonts w:ascii="Calibri" w:eastAsia="Calibri" w:hAnsi="Calibri" w:cs="Times New Roman"/>
          <w:noProof/>
        </w:rPr>
        <w:t xml:space="preserve">., 2010; Aarons </w:t>
      </w:r>
      <w:r w:rsidR="002563C9" w:rsidRPr="002563C9">
        <w:rPr>
          <w:rFonts w:ascii="Calibri" w:eastAsia="Calibri" w:hAnsi="Calibri" w:cs="Times New Roman"/>
          <w:i/>
          <w:noProof/>
        </w:rPr>
        <w:t>et al</w:t>
      </w:r>
      <w:r>
        <w:rPr>
          <w:rFonts w:ascii="Calibri" w:eastAsia="Calibri" w:hAnsi="Calibri" w:cs="Times New Roman"/>
          <w:noProof/>
        </w:rPr>
        <w:t xml:space="preserve">., 2011; Bate, 2014; Robert, 2014; Squires </w:t>
      </w:r>
      <w:r w:rsidR="002563C9" w:rsidRPr="002563C9">
        <w:rPr>
          <w:rFonts w:ascii="Calibri" w:eastAsia="Calibri" w:hAnsi="Calibri" w:cs="Times New Roman"/>
          <w:i/>
          <w:noProof/>
        </w:rPr>
        <w:t>et al</w:t>
      </w:r>
      <w:r>
        <w:rPr>
          <w:rFonts w:ascii="Calibri" w:eastAsia="Calibri" w:hAnsi="Calibri" w:cs="Times New Roman"/>
          <w:noProof/>
        </w:rPr>
        <w:t xml:space="preserve">., 2015; May </w:t>
      </w:r>
      <w:r w:rsidR="002563C9" w:rsidRPr="002563C9">
        <w:rPr>
          <w:rFonts w:ascii="Calibri" w:eastAsia="Calibri" w:hAnsi="Calibri" w:cs="Times New Roman"/>
          <w:i/>
          <w:noProof/>
        </w:rPr>
        <w:t>et al</w:t>
      </w:r>
      <w:r>
        <w:rPr>
          <w:rFonts w:ascii="Calibri" w:eastAsia="Calibri" w:hAnsi="Calibri" w:cs="Times New Roman"/>
          <w:noProof/>
        </w:rPr>
        <w:t xml:space="preserve">., 2016; Maniatopoulos </w:t>
      </w:r>
      <w:r w:rsidR="002563C9" w:rsidRPr="002563C9">
        <w:rPr>
          <w:rFonts w:ascii="Calibri" w:eastAsia="Calibri" w:hAnsi="Calibri" w:cs="Times New Roman"/>
          <w:i/>
          <w:noProof/>
        </w:rPr>
        <w:t>et al</w:t>
      </w:r>
      <w:r>
        <w:rPr>
          <w:rFonts w:ascii="Calibri" w:eastAsia="Calibri" w:hAnsi="Calibri" w:cs="Times New Roman"/>
          <w:noProof/>
        </w:rPr>
        <w:t>., 2020)</w:t>
      </w:r>
      <w:r>
        <w:rPr>
          <w:rFonts w:ascii="Calibri" w:eastAsia="Calibri" w:hAnsi="Calibri" w:cs="Times New Roman"/>
        </w:rPr>
        <w:t xml:space="preserve">. This paper </w:t>
      </w:r>
      <w:r w:rsidRPr="00BB666E">
        <w:rPr>
          <w:rFonts w:ascii="Calibri" w:eastAsia="Calibri" w:hAnsi="Calibri" w:cs="Times New Roman"/>
        </w:rPr>
        <w:t>identif</w:t>
      </w:r>
      <w:r>
        <w:rPr>
          <w:rFonts w:ascii="Calibri" w:eastAsia="Calibri" w:hAnsi="Calibri" w:cs="Times New Roman"/>
        </w:rPr>
        <w:t>ies</w:t>
      </w:r>
      <w:r w:rsidRPr="00BB666E">
        <w:rPr>
          <w:rFonts w:ascii="Calibri" w:eastAsia="Calibri" w:hAnsi="Calibri" w:cs="Times New Roman"/>
        </w:rPr>
        <w:t xml:space="preserve"> and characterise</w:t>
      </w:r>
      <w:r>
        <w:rPr>
          <w:rFonts w:ascii="Calibri" w:eastAsia="Calibri" w:hAnsi="Calibri" w:cs="Times New Roman"/>
        </w:rPr>
        <w:t>s</w:t>
      </w:r>
      <w:r w:rsidRPr="00BB666E">
        <w:rPr>
          <w:rFonts w:ascii="Calibri" w:eastAsia="Calibri" w:hAnsi="Calibri" w:cs="Times New Roman"/>
        </w:rPr>
        <w:t xml:space="preserve"> </w:t>
      </w:r>
      <w:r w:rsidR="00F364A8">
        <w:rPr>
          <w:rFonts w:ascii="Calibri" w:eastAsia="Calibri" w:hAnsi="Calibri" w:cs="Times New Roman"/>
        </w:rPr>
        <w:t>elements of</w:t>
      </w:r>
      <w:r>
        <w:rPr>
          <w:rFonts w:ascii="Calibri" w:eastAsia="Calibri" w:hAnsi="Calibri" w:cs="Times New Roman"/>
        </w:rPr>
        <w:t xml:space="preserve"> contexts that influenced the introduction (or not) of TEP and </w:t>
      </w:r>
      <w:r w:rsidRPr="00BB666E">
        <w:rPr>
          <w:rFonts w:ascii="Calibri" w:eastAsia="Calibri" w:hAnsi="Calibri" w:cs="Times New Roman"/>
        </w:rPr>
        <w:t xml:space="preserve">the nature of the work </w:t>
      </w:r>
      <w:r>
        <w:rPr>
          <w:rFonts w:ascii="Calibri" w:eastAsia="Calibri" w:hAnsi="Calibri" w:cs="Times New Roman"/>
        </w:rPr>
        <w:t>to manage them.</w:t>
      </w:r>
    </w:p>
    <w:p w14:paraId="762C8637" w14:textId="62408D17" w:rsidR="006A2652" w:rsidRDefault="006A2652" w:rsidP="00B43BCC">
      <w:pPr>
        <w:spacing w:line="480" w:lineRule="auto"/>
        <w:jc w:val="both"/>
        <w:rPr>
          <w:rFonts w:ascii="Calibri" w:eastAsia="Calibri" w:hAnsi="Calibri" w:cs="Times New Roman"/>
          <w:bCs/>
        </w:rPr>
      </w:pPr>
      <w:r>
        <w:rPr>
          <w:rFonts w:ascii="Calibri" w:eastAsia="Calibri" w:hAnsi="Calibri" w:cs="Times New Roman"/>
          <w:bCs/>
        </w:rPr>
        <w:t xml:space="preserve">In defining context a number of existing frameworks, </w:t>
      </w:r>
      <w:r w:rsidR="006F5497">
        <w:rPr>
          <w:rFonts w:ascii="Calibri" w:eastAsia="Calibri" w:hAnsi="Calibri" w:cs="Times New Roman"/>
          <w:bCs/>
        </w:rPr>
        <w:t>exploring</w:t>
      </w:r>
      <w:r>
        <w:rPr>
          <w:rFonts w:ascii="Calibri" w:eastAsia="Calibri" w:hAnsi="Calibri" w:cs="Times New Roman"/>
          <w:bCs/>
        </w:rPr>
        <w:t xml:space="preserve"> the recursive relationship between human agency and context, are drawn upon in this paper </w:t>
      </w:r>
      <w:r>
        <w:rPr>
          <w:rFonts w:ascii="Calibri" w:eastAsia="Calibri" w:hAnsi="Calibri" w:cs="Times New Roman"/>
          <w:bCs/>
          <w:noProof/>
        </w:rPr>
        <w:t xml:space="preserve">(Greenhalgh </w:t>
      </w:r>
      <w:r w:rsidR="002563C9" w:rsidRPr="002563C9">
        <w:rPr>
          <w:rFonts w:ascii="Calibri" w:eastAsia="Calibri" w:hAnsi="Calibri" w:cs="Times New Roman"/>
          <w:bCs/>
          <w:i/>
          <w:noProof/>
        </w:rPr>
        <w:t>et al</w:t>
      </w:r>
      <w:r>
        <w:rPr>
          <w:rFonts w:ascii="Calibri" w:eastAsia="Calibri" w:hAnsi="Calibri" w:cs="Times New Roman"/>
          <w:bCs/>
          <w:noProof/>
        </w:rPr>
        <w:t xml:space="preserve">., 2016; Damschroder </w:t>
      </w:r>
      <w:r w:rsidR="002563C9" w:rsidRPr="002563C9">
        <w:rPr>
          <w:rFonts w:ascii="Calibri" w:eastAsia="Calibri" w:hAnsi="Calibri" w:cs="Times New Roman"/>
          <w:bCs/>
          <w:i/>
          <w:noProof/>
        </w:rPr>
        <w:t>et al</w:t>
      </w:r>
      <w:r>
        <w:rPr>
          <w:rFonts w:ascii="Calibri" w:eastAsia="Calibri" w:hAnsi="Calibri" w:cs="Times New Roman"/>
          <w:bCs/>
          <w:noProof/>
        </w:rPr>
        <w:t>., 2009)</w:t>
      </w:r>
      <w:r>
        <w:rPr>
          <w:rFonts w:ascii="Calibri" w:eastAsia="Calibri" w:hAnsi="Calibri" w:cs="Times New Roman"/>
          <w:bCs/>
        </w:rPr>
        <w:t>. Rather than a</w:t>
      </w:r>
      <w:r w:rsidRPr="00C87EC4">
        <w:rPr>
          <w:rFonts w:ascii="Calibri" w:eastAsia="Calibri" w:hAnsi="Calibri" w:cs="Times New Roman"/>
          <w:bCs/>
        </w:rPr>
        <w:t xml:space="preserve"> physical </w:t>
      </w:r>
      <w:r>
        <w:rPr>
          <w:rFonts w:ascii="Calibri" w:eastAsia="Calibri" w:hAnsi="Calibri" w:cs="Times New Roman"/>
          <w:bCs/>
        </w:rPr>
        <w:t xml:space="preserve">or environmental </w:t>
      </w:r>
      <w:r w:rsidRPr="00C87EC4">
        <w:rPr>
          <w:rFonts w:ascii="Calibri" w:eastAsia="Calibri" w:hAnsi="Calibri" w:cs="Times New Roman"/>
          <w:bCs/>
        </w:rPr>
        <w:t xml:space="preserve">setting in which </w:t>
      </w:r>
      <w:r>
        <w:rPr>
          <w:rFonts w:ascii="Calibri" w:eastAsia="Calibri" w:hAnsi="Calibri" w:cs="Times New Roman"/>
          <w:bCs/>
        </w:rPr>
        <w:t xml:space="preserve">change </w:t>
      </w:r>
      <w:r w:rsidRPr="00C87EC4">
        <w:rPr>
          <w:rFonts w:ascii="Calibri" w:eastAsia="Calibri" w:hAnsi="Calibri" w:cs="Times New Roman"/>
          <w:bCs/>
        </w:rPr>
        <w:t xml:space="preserve">takes place, </w:t>
      </w:r>
      <w:r>
        <w:rPr>
          <w:rFonts w:ascii="Calibri" w:eastAsia="Calibri" w:hAnsi="Calibri" w:cs="Times New Roman"/>
          <w:bCs/>
        </w:rPr>
        <w:t xml:space="preserve">or a backdrop for implementation </w:t>
      </w:r>
      <w:r>
        <w:rPr>
          <w:rFonts w:ascii="Calibri" w:eastAsia="Calibri" w:hAnsi="Calibri" w:cs="Times New Roman"/>
          <w:bCs/>
          <w:noProof/>
        </w:rPr>
        <w:t xml:space="preserve">(Kitson </w:t>
      </w:r>
      <w:r w:rsidR="002563C9" w:rsidRPr="002563C9">
        <w:rPr>
          <w:rFonts w:ascii="Calibri" w:eastAsia="Calibri" w:hAnsi="Calibri" w:cs="Times New Roman"/>
          <w:bCs/>
          <w:i/>
          <w:noProof/>
        </w:rPr>
        <w:t>et al</w:t>
      </w:r>
      <w:r>
        <w:rPr>
          <w:rFonts w:ascii="Calibri" w:eastAsia="Calibri" w:hAnsi="Calibri" w:cs="Times New Roman"/>
          <w:bCs/>
          <w:noProof/>
        </w:rPr>
        <w:t xml:space="preserve">., 1998; McCormack </w:t>
      </w:r>
      <w:r w:rsidR="002563C9" w:rsidRPr="002563C9">
        <w:rPr>
          <w:rFonts w:ascii="Calibri" w:eastAsia="Calibri" w:hAnsi="Calibri" w:cs="Times New Roman"/>
          <w:bCs/>
          <w:i/>
          <w:noProof/>
        </w:rPr>
        <w:t>et al</w:t>
      </w:r>
      <w:r>
        <w:rPr>
          <w:rFonts w:ascii="Calibri" w:eastAsia="Calibri" w:hAnsi="Calibri" w:cs="Times New Roman"/>
          <w:bCs/>
          <w:noProof/>
        </w:rPr>
        <w:t>., 2002)</w:t>
      </w:r>
      <w:r>
        <w:rPr>
          <w:rFonts w:ascii="Calibri" w:eastAsia="Calibri" w:hAnsi="Calibri" w:cs="Times New Roman"/>
          <w:bCs/>
        </w:rPr>
        <w:t xml:space="preserve">, this paper views context as a </w:t>
      </w:r>
      <w:r w:rsidRPr="00B43BCC">
        <w:rPr>
          <w:rFonts w:ascii="Calibri" w:eastAsia="Calibri" w:hAnsi="Calibri" w:cs="Times New Roman"/>
          <w:bCs/>
        </w:rPr>
        <w:t>dynamic and fluid entity involving multiple interactions and mobilisation by actors</w:t>
      </w:r>
      <w:r>
        <w:rPr>
          <w:rFonts w:ascii="Calibri" w:eastAsia="Calibri" w:hAnsi="Calibri" w:cs="Times New Roman"/>
          <w:bCs/>
        </w:rPr>
        <w:t>.</w:t>
      </w:r>
      <w:r w:rsidRPr="00B43BCC">
        <w:rPr>
          <w:rFonts w:ascii="Calibri" w:eastAsia="Calibri" w:hAnsi="Calibri" w:cs="Times New Roman"/>
          <w:bCs/>
        </w:rPr>
        <w:t xml:space="preserve"> </w:t>
      </w:r>
      <w:r w:rsidR="00B16C86">
        <w:rPr>
          <w:rFonts w:ascii="Calibri" w:eastAsia="Calibri" w:hAnsi="Calibri" w:cs="Times New Roman"/>
          <w:bCs/>
          <w:noProof/>
        </w:rPr>
        <w:t xml:space="preserve">(Fitzgerald </w:t>
      </w:r>
      <w:r w:rsidR="002563C9" w:rsidRPr="002563C9">
        <w:rPr>
          <w:rFonts w:ascii="Calibri" w:eastAsia="Calibri" w:hAnsi="Calibri" w:cs="Times New Roman"/>
          <w:bCs/>
          <w:i/>
          <w:noProof/>
        </w:rPr>
        <w:t>et al</w:t>
      </w:r>
      <w:r>
        <w:rPr>
          <w:rFonts w:ascii="Calibri" w:eastAsia="Calibri" w:hAnsi="Calibri" w:cs="Times New Roman"/>
          <w:bCs/>
          <w:noProof/>
        </w:rPr>
        <w:t>., 2002; Dopson and Fitzgerald, 2005)</w:t>
      </w:r>
      <w:r w:rsidRPr="00B43BCC">
        <w:rPr>
          <w:rFonts w:ascii="Calibri" w:eastAsia="Calibri" w:hAnsi="Calibri" w:cs="Times New Roman"/>
          <w:bCs/>
        </w:rPr>
        <w:t xml:space="preserve">.  </w:t>
      </w:r>
      <w:r>
        <w:rPr>
          <w:rFonts w:ascii="Calibri" w:eastAsia="Calibri" w:hAnsi="Calibri" w:cs="Times New Roman"/>
          <w:bCs/>
        </w:rPr>
        <w:t xml:space="preserve">Context is characterised as </w:t>
      </w:r>
      <w:r w:rsidRPr="00B43BCC">
        <w:rPr>
          <w:rFonts w:ascii="Calibri" w:eastAsia="Calibri" w:hAnsi="Calibri" w:cs="Times New Roman"/>
          <w:bCs/>
        </w:rPr>
        <w:t xml:space="preserve">a set of interactive processes encompassing the social, cultural and political, constantly </w:t>
      </w:r>
      <w:r w:rsidR="00F364A8">
        <w:rPr>
          <w:rFonts w:ascii="Calibri" w:eastAsia="Calibri" w:hAnsi="Calibri" w:cs="Times New Roman"/>
          <w:bCs/>
        </w:rPr>
        <w:t>changing and evolving over time. It is</w:t>
      </w:r>
      <w:r w:rsidRPr="00B43BCC">
        <w:rPr>
          <w:rFonts w:ascii="Calibri" w:eastAsia="Calibri" w:hAnsi="Calibri" w:cs="Times New Roman"/>
          <w:bCs/>
        </w:rPr>
        <w:t xml:space="preserve"> characterised by complex connections, interdependencies and interactions</w:t>
      </w:r>
      <w:r w:rsidR="00F364A8">
        <w:rPr>
          <w:rFonts w:ascii="Calibri" w:eastAsia="Calibri" w:hAnsi="Calibri" w:cs="Times New Roman"/>
          <w:bCs/>
        </w:rPr>
        <w:t>,</w:t>
      </w:r>
      <w:r w:rsidRPr="00B43BCC">
        <w:rPr>
          <w:rFonts w:ascii="Calibri" w:eastAsia="Calibri" w:hAnsi="Calibri" w:cs="Times New Roman"/>
          <w:bCs/>
        </w:rPr>
        <w:t xml:space="preserve"> not only between human actors</w:t>
      </w:r>
      <w:r w:rsidR="00F364A8">
        <w:rPr>
          <w:rFonts w:ascii="Calibri" w:eastAsia="Calibri" w:hAnsi="Calibri" w:cs="Times New Roman"/>
          <w:bCs/>
        </w:rPr>
        <w:t>,</w:t>
      </w:r>
      <w:r w:rsidRPr="00B43BCC">
        <w:rPr>
          <w:rFonts w:ascii="Calibri" w:eastAsia="Calibri" w:hAnsi="Calibri" w:cs="Times New Roman"/>
          <w:bCs/>
        </w:rPr>
        <w:t xml:space="preserve"> but also between actors and context that impact on change </w:t>
      </w:r>
      <w:r w:rsidR="00B16C86">
        <w:rPr>
          <w:rFonts w:ascii="Calibri" w:eastAsia="Calibri" w:hAnsi="Calibri" w:cs="Times New Roman"/>
          <w:bCs/>
          <w:noProof/>
        </w:rPr>
        <w:t xml:space="preserve">(Dopson </w:t>
      </w:r>
      <w:r w:rsidR="002563C9" w:rsidRPr="002563C9">
        <w:rPr>
          <w:rFonts w:ascii="Calibri" w:eastAsia="Calibri" w:hAnsi="Calibri" w:cs="Times New Roman"/>
          <w:bCs/>
          <w:i/>
          <w:noProof/>
        </w:rPr>
        <w:t>et al</w:t>
      </w:r>
      <w:r>
        <w:rPr>
          <w:rFonts w:ascii="Calibri" w:eastAsia="Calibri" w:hAnsi="Calibri" w:cs="Times New Roman"/>
          <w:bCs/>
          <w:noProof/>
        </w:rPr>
        <w:t xml:space="preserve">., 2008; Pfadenhauer </w:t>
      </w:r>
      <w:r w:rsidR="002563C9" w:rsidRPr="002563C9">
        <w:rPr>
          <w:rFonts w:ascii="Calibri" w:eastAsia="Calibri" w:hAnsi="Calibri" w:cs="Times New Roman"/>
          <w:bCs/>
          <w:i/>
          <w:noProof/>
        </w:rPr>
        <w:t>et al</w:t>
      </w:r>
      <w:r>
        <w:rPr>
          <w:rFonts w:ascii="Calibri" w:eastAsia="Calibri" w:hAnsi="Calibri" w:cs="Times New Roman"/>
          <w:bCs/>
          <w:noProof/>
        </w:rPr>
        <w:t xml:space="preserve">., 2017; Kirk </w:t>
      </w:r>
      <w:r w:rsidR="002563C9" w:rsidRPr="002563C9">
        <w:rPr>
          <w:rFonts w:ascii="Calibri" w:eastAsia="Calibri" w:hAnsi="Calibri" w:cs="Times New Roman"/>
          <w:bCs/>
          <w:i/>
          <w:noProof/>
        </w:rPr>
        <w:t>et al</w:t>
      </w:r>
      <w:r>
        <w:rPr>
          <w:rFonts w:ascii="Calibri" w:eastAsia="Calibri" w:hAnsi="Calibri" w:cs="Times New Roman"/>
          <w:bCs/>
          <w:noProof/>
        </w:rPr>
        <w:t>., 2016</w:t>
      </w:r>
      <w:r w:rsidR="00F364A8">
        <w:rPr>
          <w:rFonts w:ascii="Calibri" w:eastAsia="Calibri" w:hAnsi="Calibri" w:cs="Times New Roman"/>
          <w:bCs/>
          <w:noProof/>
        </w:rPr>
        <w:t xml:space="preserve">; May </w:t>
      </w:r>
      <w:r w:rsidR="002563C9" w:rsidRPr="002563C9">
        <w:rPr>
          <w:rFonts w:ascii="Calibri" w:eastAsia="Calibri" w:hAnsi="Calibri" w:cs="Times New Roman"/>
          <w:bCs/>
          <w:i/>
          <w:noProof/>
        </w:rPr>
        <w:t>et al</w:t>
      </w:r>
      <w:r w:rsidR="00F364A8">
        <w:rPr>
          <w:rFonts w:ascii="Calibri" w:eastAsia="Calibri" w:hAnsi="Calibri" w:cs="Times New Roman"/>
          <w:bCs/>
          <w:noProof/>
        </w:rPr>
        <w:t>., 2016</w:t>
      </w:r>
      <w:r>
        <w:rPr>
          <w:rFonts w:ascii="Calibri" w:eastAsia="Calibri" w:hAnsi="Calibri" w:cs="Times New Roman"/>
          <w:bCs/>
          <w:noProof/>
        </w:rPr>
        <w:t>)</w:t>
      </w:r>
      <w:r w:rsidRPr="00B43BCC">
        <w:rPr>
          <w:rFonts w:ascii="Calibri" w:eastAsia="Calibri" w:hAnsi="Calibri" w:cs="Times New Roman"/>
          <w:bCs/>
        </w:rPr>
        <w:t xml:space="preserve">. </w:t>
      </w:r>
      <w:r>
        <w:rPr>
          <w:rFonts w:ascii="Calibri" w:eastAsia="Calibri" w:hAnsi="Calibri" w:cs="Times New Roman"/>
          <w:bCs/>
        </w:rPr>
        <w:t>The definition used here is also informed</w:t>
      </w:r>
      <w:r w:rsidR="005708F1">
        <w:rPr>
          <w:rFonts w:ascii="Calibri" w:eastAsia="Calibri" w:hAnsi="Calibri" w:cs="Times New Roman"/>
          <w:bCs/>
        </w:rPr>
        <w:t xml:space="preserve"> by </w:t>
      </w:r>
      <w:r>
        <w:rPr>
          <w:rFonts w:ascii="Calibri" w:eastAsia="Calibri" w:hAnsi="Calibri" w:cs="Times New Roman"/>
          <w:bCs/>
        </w:rPr>
        <w:t xml:space="preserve">the </w:t>
      </w:r>
      <w:r>
        <w:rPr>
          <w:rFonts w:ascii="Calibri" w:eastAsia="Calibri" w:hAnsi="Calibri" w:cs="Times New Roman"/>
          <w:bCs/>
        </w:rPr>
        <w:lastRenderedPageBreak/>
        <w:t xml:space="preserve">conceptual and theoretical contributions to understanding implementation processes by Normalisation Process Theory (NPT) </w:t>
      </w:r>
      <w:r>
        <w:rPr>
          <w:rFonts w:ascii="Calibri" w:eastAsia="Calibri" w:hAnsi="Calibri" w:cs="Times New Roman"/>
          <w:bCs/>
          <w:noProof/>
        </w:rPr>
        <w:t>(May and Finch, 2009)</w:t>
      </w:r>
      <w:r>
        <w:rPr>
          <w:rFonts w:ascii="Calibri" w:eastAsia="Calibri" w:hAnsi="Calibri" w:cs="Times New Roman"/>
          <w:bCs/>
        </w:rPr>
        <w:t xml:space="preserve"> which</w:t>
      </w:r>
      <w:r w:rsidRPr="00CB0047">
        <w:rPr>
          <w:rFonts w:ascii="Calibri" w:eastAsia="Calibri" w:hAnsi="Calibri" w:cs="Times New Roman"/>
          <w:bCs/>
        </w:rPr>
        <w:t xml:space="preserve"> has engaged with the problem of dynamic elements of context as both the sources of resources that can be mobilised by participants in implementation processes </w:t>
      </w:r>
      <w:r w:rsidR="00B16C86">
        <w:rPr>
          <w:rFonts w:ascii="Calibri" w:eastAsia="Calibri" w:hAnsi="Calibri" w:cs="Times New Roman"/>
          <w:bCs/>
          <w:noProof/>
        </w:rPr>
        <w:t>(May</w:t>
      </w:r>
      <w:r>
        <w:rPr>
          <w:rFonts w:ascii="Calibri" w:eastAsia="Calibri" w:hAnsi="Calibri" w:cs="Times New Roman"/>
          <w:bCs/>
          <w:noProof/>
        </w:rPr>
        <w:t>, 2013</w:t>
      </w:r>
      <w:r w:rsidR="00F364A8">
        <w:rPr>
          <w:rFonts w:ascii="Calibri" w:eastAsia="Calibri" w:hAnsi="Calibri" w:cs="Times New Roman"/>
          <w:bCs/>
          <w:noProof/>
        </w:rPr>
        <w:t>a</w:t>
      </w:r>
      <w:r>
        <w:rPr>
          <w:rFonts w:ascii="Calibri" w:eastAsia="Calibri" w:hAnsi="Calibri" w:cs="Times New Roman"/>
          <w:bCs/>
          <w:noProof/>
        </w:rPr>
        <w:t>)</w:t>
      </w:r>
      <w:r>
        <w:rPr>
          <w:rFonts w:ascii="Calibri" w:eastAsia="Calibri" w:hAnsi="Calibri" w:cs="Times New Roman"/>
          <w:bCs/>
        </w:rPr>
        <w:t xml:space="preserve"> </w:t>
      </w:r>
      <w:r w:rsidRPr="00CB0047">
        <w:rPr>
          <w:rFonts w:ascii="Calibri" w:eastAsia="Calibri" w:hAnsi="Calibri" w:cs="Times New Roman"/>
          <w:bCs/>
        </w:rPr>
        <w:t>and as sources of turbulence that affect their course and direction</w:t>
      </w:r>
      <w:r>
        <w:rPr>
          <w:rFonts w:ascii="Calibri" w:eastAsia="Calibri" w:hAnsi="Calibri" w:cs="Times New Roman"/>
          <w:bCs/>
        </w:rPr>
        <w:t xml:space="preserve"> of comp</w:t>
      </w:r>
      <w:r w:rsidRPr="00CB0047">
        <w:rPr>
          <w:rFonts w:ascii="Calibri" w:eastAsia="Calibri" w:hAnsi="Calibri" w:cs="Times New Roman"/>
          <w:bCs/>
        </w:rPr>
        <w:t>lex systems</w:t>
      </w:r>
      <w:r>
        <w:rPr>
          <w:rFonts w:ascii="Calibri" w:eastAsia="Calibri" w:hAnsi="Calibri" w:cs="Times New Roman"/>
          <w:bCs/>
        </w:rPr>
        <w:t xml:space="preserve"> </w:t>
      </w:r>
      <w:r w:rsidR="00B16C86">
        <w:rPr>
          <w:rFonts w:ascii="Calibri" w:eastAsia="Calibri" w:hAnsi="Calibri" w:cs="Times New Roman"/>
          <w:bCs/>
          <w:noProof/>
        </w:rPr>
        <w:t>(May</w:t>
      </w:r>
      <w:r>
        <w:rPr>
          <w:rFonts w:ascii="Calibri" w:eastAsia="Calibri" w:hAnsi="Calibri" w:cs="Times New Roman"/>
          <w:bCs/>
          <w:noProof/>
        </w:rPr>
        <w:t>, 2013</w:t>
      </w:r>
      <w:r w:rsidR="00F364A8">
        <w:rPr>
          <w:rFonts w:ascii="Calibri" w:eastAsia="Calibri" w:hAnsi="Calibri" w:cs="Times New Roman"/>
          <w:bCs/>
          <w:noProof/>
        </w:rPr>
        <w:t>b</w:t>
      </w:r>
      <w:r>
        <w:rPr>
          <w:rFonts w:ascii="Calibri" w:eastAsia="Calibri" w:hAnsi="Calibri" w:cs="Times New Roman"/>
          <w:bCs/>
          <w:noProof/>
        </w:rPr>
        <w:t>)</w:t>
      </w:r>
      <w:r>
        <w:rPr>
          <w:rFonts w:ascii="Calibri" w:eastAsia="Calibri" w:hAnsi="Calibri" w:cs="Times New Roman"/>
          <w:bCs/>
        </w:rPr>
        <w:t>. Through the lens of NPT t</w:t>
      </w:r>
      <w:r w:rsidRPr="00051523">
        <w:rPr>
          <w:rFonts w:ascii="Calibri" w:eastAsia="Calibri" w:hAnsi="Calibri" w:cs="Times New Roman"/>
          <w:bCs/>
        </w:rPr>
        <w:t xml:space="preserve">he translational </w:t>
      </w:r>
      <w:r>
        <w:rPr>
          <w:rFonts w:ascii="Calibri" w:eastAsia="Calibri" w:hAnsi="Calibri" w:cs="Times New Roman"/>
          <w:bCs/>
        </w:rPr>
        <w:t xml:space="preserve">process </w:t>
      </w:r>
      <w:r w:rsidRPr="00051523">
        <w:rPr>
          <w:rFonts w:ascii="Calibri" w:eastAsia="Calibri" w:hAnsi="Calibri" w:cs="Times New Roman"/>
          <w:bCs/>
        </w:rPr>
        <w:t xml:space="preserve">that </w:t>
      </w:r>
      <w:r>
        <w:rPr>
          <w:rFonts w:ascii="Calibri" w:eastAsia="Calibri" w:hAnsi="Calibri" w:cs="Times New Roman"/>
          <w:bCs/>
        </w:rPr>
        <w:t xml:space="preserve">moves </w:t>
      </w:r>
      <w:r w:rsidRPr="00051523">
        <w:rPr>
          <w:rFonts w:ascii="Calibri" w:eastAsia="Calibri" w:hAnsi="Calibri" w:cs="Times New Roman"/>
          <w:bCs/>
        </w:rPr>
        <w:t xml:space="preserve">healthcare interventions beyond the closed systems of </w:t>
      </w:r>
      <w:r>
        <w:rPr>
          <w:rFonts w:ascii="Calibri" w:eastAsia="Calibri" w:hAnsi="Calibri" w:cs="Times New Roman"/>
          <w:bCs/>
        </w:rPr>
        <w:t xml:space="preserve">research </w:t>
      </w:r>
      <w:r w:rsidRPr="00051523">
        <w:rPr>
          <w:rFonts w:ascii="Calibri" w:eastAsia="Calibri" w:hAnsi="Calibri" w:cs="Times New Roman"/>
          <w:bCs/>
        </w:rPr>
        <w:t xml:space="preserve">studies into the open systems of ‘real world’ </w:t>
      </w:r>
      <w:r>
        <w:rPr>
          <w:rFonts w:ascii="Calibri" w:eastAsia="Calibri" w:hAnsi="Calibri" w:cs="Times New Roman"/>
          <w:bCs/>
        </w:rPr>
        <w:t>clinical practice</w:t>
      </w:r>
      <w:r w:rsidRPr="00051523">
        <w:rPr>
          <w:rFonts w:ascii="Calibri" w:eastAsia="Calibri" w:hAnsi="Calibri" w:cs="Times New Roman"/>
          <w:bCs/>
        </w:rPr>
        <w:t xml:space="preserve"> depends on </w:t>
      </w:r>
      <w:r>
        <w:rPr>
          <w:rFonts w:ascii="Calibri" w:eastAsia="Calibri" w:hAnsi="Calibri" w:cs="Times New Roman"/>
          <w:bCs/>
        </w:rPr>
        <w:t xml:space="preserve">these </w:t>
      </w:r>
      <w:r w:rsidRPr="00051523">
        <w:rPr>
          <w:rFonts w:ascii="Calibri" w:eastAsia="Calibri" w:hAnsi="Calibri" w:cs="Times New Roman"/>
          <w:bCs/>
        </w:rPr>
        <w:t xml:space="preserve">interactions and negotiations between their participants and contexts. </w:t>
      </w:r>
    </w:p>
    <w:p w14:paraId="2525F134" w14:textId="7ED58033" w:rsidR="006A2652" w:rsidRPr="00BB666E" w:rsidRDefault="00363CD0" w:rsidP="00A66E8F">
      <w:pPr>
        <w:spacing w:line="480" w:lineRule="auto"/>
        <w:jc w:val="both"/>
        <w:rPr>
          <w:rFonts w:ascii="Calibri" w:eastAsia="Calibri" w:hAnsi="Calibri" w:cs="Times New Roman"/>
          <w:bCs/>
        </w:rPr>
      </w:pPr>
      <w:r>
        <w:rPr>
          <w:rFonts w:ascii="Calibri" w:eastAsia="Calibri" w:hAnsi="Calibri" w:cs="Times New Roman"/>
          <w:bCs/>
        </w:rPr>
        <w:t>In t</w:t>
      </w:r>
      <w:r w:rsidR="006A2652">
        <w:rPr>
          <w:rFonts w:ascii="Calibri" w:eastAsia="Calibri" w:hAnsi="Calibri" w:cs="Times New Roman"/>
          <w:bCs/>
        </w:rPr>
        <w:t xml:space="preserve">his paper </w:t>
      </w:r>
      <w:r w:rsidR="006A2652" w:rsidRPr="00B43BCC">
        <w:rPr>
          <w:rFonts w:ascii="Calibri" w:eastAsia="Calibri" w:hAnsi="Calibri" w:cs="Times New Roman"/>
          <w:bCs/>
        </w:rPr>
        <w:t>a move away from contextual factors that influence implementation</w:t>
      </w:r>
      <w:r>
        <w:rPr>
          <w:rFonts w:ascii="Calibri" w:eastAsia="Calibri" w:hAnsi="Calibri" w:cs="Times New Roman"/>
          <w:bCs/>
        </w:rPr>
        <w:t>,</w:t>
      </w:r>
      <w:r w:rsidR="006A2652" w:rsidRPr="00B43BCC">
        <w:rPr>
          <w:rFonts w:ascii="Calibri" w:eastAsia="Calibri" w:hAnsi="Calibri" w:cs="Times New Roman"/>
          <w:bCs/>
        </w:rPr>
        <w:t xml:space="preserve"> to considering contextual patterns and processes that accommodate different elements of ‘whole systems’</w:t>
      </w:r>
      <w:r>
        <w:rPr>
          <w:rFonts w:ascii="Calibri" w:eastAsia="Calibri" w:hAnsi="Calibri" w:cs="Times New Roman"/>
          <w:bCs/>
        </w:rPr>
        <w:t>,</w:t>
      </w:r>
      <w:r w:rsidR="006A2652">
        <w:rPr>
          <w:rFonts w:ascii="Calibri" w:eastAsia="Calibri" w:hAnsi="Calibri" w:cs="Times New Roman"/>
          <w:bCs/>
        </w:rPr>
        <w:t xml:space="preserve"> and </w:t>
      </w:r>
      <w:r w:rsidR="006A2652" w:rsidRPr="00B43BCC">
        <w:rPr>
          <w:rFonts w:ascii="Calibri" w:eastAsia="Calibri" w:hAnsi="Calibri" w:cs="Times New Roman"/>
          <w:bCs/>
        </w:rPr>
        <w:t>the work required by participants to manage and shape these to bring about change</w:t>
      </w:r>
      <w:r>
        <w:rPr>
          <w:rFonts w:ascii="Calibri" w:eastAsia="Calibri" w:hAnsi="Calibri" w:cs="Times New Roman"/>
          <w:bCs/>
        </w:rPr>
        <w:t xml:space="preserve"> is explored</w:t>
      </w:r>
      <w:r w:rsidR="006A2652" w:rsidRPr="00B43BCC">
        <w:rPr>
          <w:rFonts w:ascii="Calibri" w:eastAsia="Calibri" w:hAnsi="Calibri" w:cs="Times New Roman"/>
          <w:bCs/>
        </w:rPr>
        <w:t>.</w:t>
      </w:r>
      <w:r w:rsidR="006A2652">
        <w:rPr>
          <w:rFonts w:ascii="Calibri" w:eastAsia="Calibri" w:hAnsi="Calibri" w:cs="Times New Roman"/>
          <w:bCs/>
        </w:rPr>
        <w:t xml:space="preserve"> It </w:t>
      </w:r>
      <w:r w:rsidR="006A2652" w:rsidRPr="00BB666E">
        <w:rPr>
          <w:rFonts w:ascii="Calibri" w:eastAsia="Calibri" w:hAnsi="Calibri" w:cs="Times New Roman"/>
        </w:rPr>
        <w:t>show</w:t>
      </w:r>
      <w:r w:rsidR="006A2652">
        <w:rPr>
          <w:rFonts w:ascii="Calibri" w:eastAsia="Calibri" w:hAnsi="Calibri" w:cs="Times New Roman"/>
        </w:rPr>
        <w:t>s</w:t>
      </w:r>
      <w:r w:rsidR="006A2652" w:rsidRPr="00BB666E">
        <w:rPr>
          <w:rFonts w:ascii="Calibri" w:eastAsia="Calibri" w:hAnsi="Calibri" w:cs="Times New Roman"/>
        </w:rPr>
        <w:t xml:space="preserve"> how participants interact and mobilise aspects of context, and </w:t>
      </w:r>
      <w:r w:rsidR="006A2652">
        <w:rPr>
          <w:rFonts w:ascii="Calibri" w:eastAsia="Calibri" w:hAnsi="Calibri" w:cs="Times New Roman"/>
        </w:rPr>
        <w:t>how</w:t>
      </w:r>
      <w:r w:rsidR="006A2652" w:rsidRPr="00BB666E">
        <w:rPr>
          <w:rFonts w:ascii="Calibri" w:eastAsia="Calibri" w:hAnsi="Calibri" w:cs="Times New Roman"/>
        </w:rPr>
        <w:t xml:space="preserve"> individuals can influence context and shape action as they negotiate the normative and relational environment in which they are set.</w:t>
      </w:r>
      <w:r w:rsidR="006A2652">
        <w:rPr>
          <w:rFonts w:ascii="Calibri" w:eastAsia="Calibri" w:hAnsi="Calibri" w:cs="Times New Roman"/>
        </w:rPr>
        <w:t xml:space="preserve"> It is</w:t>
      </w:r>
      <w:r w:rsidR="006A2652" w:rsidRPr="00BB666E">
        <w:rPr>
          <w:rFonts w:ascii="Calibri" w:eastAsia="Calibri" w:hAnsi="Calibri" w:cs="Times New Roman"/>
        </w:rPr>
        <w:t xml:space="preserve"> argue</w:t>
      </w:r>
      <w:r w:rsidR="006A2652">
        <w:rPr>
          <w:rFonts w:ascii="Calibri" w:eastAsia="Calibri" w:hAnsi="Calibri" w:cs="Times New Roman"/>
        </w:rPr>
        <w:t>d</w:t>
      </w:r>
      <w:r w:rsidR="006A2652" w:rsidRPr="00BB666E">
        <w:rPr>
          <w:rFonts w:ascii="Calibri" w:eastAsia="Calibri" w:hAnsi="Calibri" w:cs="Times New Roman"/>
        </w:rPr>
        <w:t xml:space="preserve"> the relationship between participants and contexts in which change occurs is reciprocal, a two</w:t>
      </w:r>
      <w:r w:rsidR="006A2652">
        <w:rPr>
          <w:rFonts w:ascii="Calibri" w:eastAsia="Calibri" w:hAnsi="Calibri" w:cs="Times New Roman"/>
        </w:rPr>
        <w:t>-</w:t>
      </w:r>
      <w:r w:rsidR="006A2652" w:rsidRPr="00BB666E">
        <w:rPr>
          <w:rFonts w:ascii="Calibri" w:eastAsia="Calibri" w:hAnsi="Calibri" w:cs="Times New Roman"/>
        </w:rPr>
        <w:t xml:space="preserve">way non-linear process which </w:t>
      </w:r>
      <w:r w:rsidR="006A2652">
        <w:rPr>
          <w:rFonts w:ascii="Calibri" w:eastAsia="Calibri" w:hAnsi="Calibri" w:cs="Times New Roman"/>
        </w:rPr>
        <w:t>is often</w:t>
      </w:r>
      <w:r w:rsidR="006A2652" w:rsidRPr="00BB666E">
        <w:rPr>
          <w:rFonts w:ascii="Calibri" w:eastAsia="Calibri" w:hAnsi="Calibri" w:cs="Times New Roman"/>
        </w:rPr>
        <w:t xml:space="preserve"> under-played.</w:t>
      </w:r>
      <w:r w:rsidR="006A2652" w:rsidRPr="003172CB">
        <w:rPr>
          <w:rFonts w:ascii="Calibri" w:eastAsia="Calibri" w:hAnsi="Calibri" w:cs="Times New Roman"/>
          <w:bCs/>
        </w:rPr>
        <w:t xml:space="preserve"> This may help to both understand how some interventions fail to gain traction in everyday practice settings and why it can be difficult to de-normalise already embedded practices</w:t>
      </w:r>
      <w:r w:rsidR="006A2652">
        <w:rPr>
          <w:rFonts w:ascii="Calibri" w:eastAsia="Calibri" w:hAnsi="Calibri" w:cs="Times New Roman"/>
          <w:bCs/>
        </w:rPr>
        <w:t xml:space="preserve"> </w:t>
      </w:r>
      <w:r w:rsidR="006A2652">
        <w:rPr>
          <w:rFonts w:ascii="Calibri" w:eastAsia="Calibri" w:hAnsi="Calibri" w:cs="Times New Roman"/>
          <w:bCs/>
          <w:noProof/>
        </w:rPr>
        <w:t xml:space="preserve">(Malham </w:t>
      </w:r>
      <w:r w:rsidR="002563C9" w:rsidRPr="002563C9">
        <w:rPr>
          <w:rFonts w:ascii="Calibri" w:eastAsia="Calibri" w:hAnsi="Calibri" w:cs="Times New Roman"/>
          <w:bCs/>
          <w:i/>
          <w:noProof/>
        </w:rPr>
        <w:t>et al</w:t>
      </w:r>
      <w:r w:rsidR="006A2652">
        <w:rPr>
          <w:rFonts w:ascii="Calibri" w:eastAsia="Calibri" w:hAnsi="Calibri" w:cs="Times New Roman"/>
          <w:bCs/>
          <w:noProof/>
        </w:rPr>
        <w:t xml:space="preserve">., 2019; May </w:t>
      </w:r>
      <w:r w:rsidR="002563C9" w:rsidRPr="002563C9">
        <w:rPr>
          <w:rFonts w:ascii="Calibri" w:eastAsia="Calibri" w:hAnsi="Calibri" w:cs="Times New Roman"/>
          <w:bCs/>
          <w:i/>
          <w:noProof/>
        </w:rPr>
        <w:t>et al</w:t>
      </w:r>
      <w:r w:rsidR="006A2652">
        <w:rPr>
          <w:rFonts w:ascii="Calibri" w:eastAsia="Calibri" w:hAnsi="Calibri" w:cs="Times New Roman"/>
          <w:bCs/>
          <w:noProof/>
        </w:rPr>
        <w:t xml:space="preserve">., 2016; Greenhalgh </w:t>
      </w:r>
      <w:r w:rsidR="002563C9" w:rsidRPr="002563C9">
        <w:rPr>
          <w:rFonts w:ascii="Calibri" w:eastAsia="Calibri" w:hAnsi="Calibri" w:cs="Times New Roman"/>
          <w:bCs/>
          <w:i/>
          <w:noProof/>
        </w:rPr>
        <w:t>et al</w:t>
      </w:r>
      <w:r w:rsidR="006A2652">
        <w:rPr>
          <w:rFonts w:ascii="Calibri" w:eastAsia="Calibri" w:hAnsi="Calibri" w:cs="Times New Roman"/>
          <w:bCs/>
          <w:noProof/>
        </w:rPr>
        <w:t>., 2017)</w:t>
      </w:r>
      <w:r w:rsidR="006A2652">
        <w:rPr>
          <w:rFonts w:ascii="Calibri" w:eastAsia="Calibri" w:hAnsi="Calibri" w:cs="Times New Roman"/>
          <w:bCs/>
        </w:rPr>
        <w:t>.</w:t>
      </w:r>
    </w:p>
    <w:p w14:paraId="3BA3303B" w14:textId="77777777" w:rsidR="006A2652" w:rsidRDefault="006A2652" w:rsidP="00A66E8F">
      <w:pPr>
        <w:spacing w:line="480" w:lineRule="auto"/>
        <w:jc w:val="both"/>
        <w:rPr>
          <w:rFonts w:ascii="Calibri" w:eastAsia="Calibri" w:hAnsi="Calibri" w:cs="Times New Roman"/>
        </w:rPr>
      </w:pPr>
      <w:r>
        <w:rPr>
          <w:rFonts w:ascii="Calibri" w:eastAsia="Calibri" w:hAnsi="Calibri" w:cs="Times New Roman"/>
        </w:rPr>
        <w:t>Findings presented here are</w:t>
      </w:r>
      <w:r w:rsidRPr="00BB666E">
        <w:rPr>
          <w:rFonts w:ascii="Calibri" w:eastAsia="Calibri" w:hAnsi="Calibri" w:cs="Times New Roman"/>
        </w:rPr>
        <w:t xml:space="preserve"> drawn from a wider research programme that inv</w:t>
      </w:r>
      <w:r>
        <w:rPr>
          <w:rFonts w:ascii="Calibri" w:eastAsia="Calibri" w:hAnsi="Calibri" w:cs="Times New Roman"/>
        </w:rPr>
        <w:t xml:space="preserve">estigated the dynamic processes </w:t>
      </w:r>
      <w:r w:rsidRPr="00BB666E">
        <w:rPr>
          <w:rFonts w:ascii="Calibri" w:eastAsia="Calibri" w:hAnsi="Calibri" w:cs="Times New Roman"/>
        </w:rPr>
        <w:t xml:space="preserve">involved in the implementation of a Treatment Escalation Plan (TEP) within and across healthcare systems in England. </w:t>
      </w:r>
      <w:r>
        <w:rPr>
          <w:rFonts w:ascii="Calibri" w:eastAsia="Calibri" w:hAnsi="Calibri" w:cs="Times New Roman"/>
        </w:rPr>
        <w:t>The</w:t>
      </w:r>
      <w:r w:rsidRPr="00BB666E">
        <w:rPr>
          <w:rFonts w:ascii="Calibri" w:eastAsia="Calibri" w:hAnsi="Calibri" w:cs="Times New Roman"/>
        </w:rPr>
        <w:t xml:space="preserve"> work was underpinned by the research question: </w:t>
      </w:r>
      <w:r w:rsidRPr="00BB666E">
        <w:rPr>
          <w:rFonts w:ascii="Calibri" w:eastAsia="Calibri" w:hAnsi="Calibri" w:cs="Times New Roman"/>
          <w:i/>
          <w:iCs/>
        </w:rPr>
        <w:t xml:space="preserve">How are rules and resources implemented and integrated in practice across a whole system, and how are variations in implementation and integration, experienced and explained?  </w:t>
      </w:r>
      <w:r>
        <w:rPr>
          <w:rFonts w:ascii="Calibri" w:eastAsia="Calibri" w:hAnsi="Calibri" w:cs="Times New Roman"/>
        </w:rPr>
        <w:t>This sought</w:t>
      </w:r>
      <w:r w:rsidRPr="00BB666E">
        <w:rPr>
          <w:rFonts w:ascii="Calibri" w:eastAsia="Calibri" w:hAnsi="Calibri" w:cs="Times New Roman"/>
        </w:rPr>
        <w:t xml:space="preserve"> to understand </w:t>
      </w:r>
      <w:r w:rsidRPr="00BB666E">
        <w:rPr>
          <w:rFonts w:ascii="Calibri" w:eastAsia="Calibri" w:hAnsi="Calibri" w:cs="Times New Roman"/>
          <w:bCs/>
        </w:rPr>
        <w:t xml:space="preserve">how participants in the implementation process conceptualised the value and purpose of a TEP, and its integration into existing practices. </w:t>
      </w:r>
      <w:r>
        <w:rPr>
          <w:rFonts w:ascii="Calibri" w:eastAsia="Calibri" w:hAnsi="Calibri" w:cs="Times New Roman"/>
          <w:bCs/>
        </w:rPr>
        <w:t>It</w:t>
      </w:r>
      <w:r w:rsidRPr="00BB666E">
        <w:rPr>
          <w:rFonts w:ascii="Calibri" w:eastAsia="Calibri" w:hAnsi="Calibri" w:cs="Times New Roman"/>
          <w:bCs/>
        </w:rPr>
        <w:t xml:space="preserve"> also </w:t>
      </w:r>
      <w:r>
        <w:rPr>
          <w:rFonts w:ascii="Calibri" w:eastAsia="Calibri" w:hAnsi="Calibri" w:cs="Times New Roman"/>
          <w:bCs/>
        </w:rPr>
        <w:t>looked</w:t>
      </w:r>
      <w:r w:rsidRPr="00BB666E">
        <w:rPr>
          <w:rFonts w:ascii="Calibri" w:eastAsia="Calibri" w:hAnsi="Calibri" w:cs="Times New Roman"/>
          <w:bCs/>
        </w:rPr>
        <w:t xml:space="preserve"> to extricate both factors and processes that </w:t>
      </w:r>
      <w:r w:rsidRPr="00BB666E">
        <w:rPr>
          <w:rFonts w:ascii="Calibri" w:eastAsia="Calibri" w:hAnsi="Calibri" w:cs="Times New Roman"/>
          <w:bCs/>
        </w:rPr>
        <w:lastRenderedPageBreak/>
        <w:t>influenced successful TEP implementation in participants’ organisation</w:t>
      </w:r>
      <w:r>
        <w:rPr>
          <w:rFonts w:ascii="Calibri" w:eastAsia="Calibri" w:hAnsi="Calibri" w:cs="Times New Roman"/>
          <w:bCs/>
        </w:rPr>
        <w:t>s</w:t>
      </w:r>
      <w:r w:rsidRPr="00BB666E">
        <w:rPr>
          <w:rFonts w:ascii="Calibri" w:eastAsia="Calibri" w:hAnsi="Calibri" w:cs="Times New Roman"/>
          <w:bCs/>
        </w:rPr>
        <w:t xml:space="preserve">, and </w:t>
      </w:r>
      <w:r w:rsidRPr="00BB666E">
        <w:rPr>
          <w:rFonts w:ascii="Calibri" w:eastAsia="Calibri" w:hAnsi="Calibri" w:cs="Times New Roman"/>
        </w:rPr>
        <w:t xml:space="preserve">the intersection between local TEP initiatives and a national TEP process. </w:t>
      </w:r>
    </w:p>
    <w:p w14:paraId="2C9ACA1F" w14:textId="77777777" w:rsidR="00E662A6" w:rsidRDefault="00E662A6" w:rsidP="00A66E8F">
      <w:pPr>
        <w:spacing w:line="480" w:lineRule="auto"/>
        <w:jc w:val="both"/>
        <w:rPr>
          <w:rFonts w:ascii="Calibri" w:eastAsia="Calibri" w:hAnsi="Calibri" w:cs="Times New Roman"/>
          <w:b/>
        </w:rPr>
      </w:pPr>
    </w:p>
    <w:p w14:paraId="48B261E2" w14:textId="2A056906" w:rsidR="006A2652" w:rsidRPr="00BB666E" w:rsidRDefault="006A2652" w:rsidP="00A66E8F">
      <w:pPr>
        <w:spacing w:line="480" w:lineRule="auto"/>
        <w:jc w:val="both"/>
        <w:rPr>
          <w:rFonts w:ascii="Calibri" w:eastAsia="Calibri" w:hAnsi="Calibri" w:cs="Times New Roman"/>
          <w:b/>
        </w:rPr>
      </w:pPr>
      <w:r>
        <w:rPr>
          <w:rFonts w:ascii="Calibri" w:eastAsia="Calibri" w:hAnsi="Calibri" w:cs="Times New Roman"/>
          <w:b/>
        </w:rPr>
        <w:t>Design and Methods</w:t>
      </w:r>
    </w:p>
    <w:p w14:paraId="7E620845" w14:textId="77777777" w:rsidR="006A2652" w:rsidRPr="008F0224" w:rsidRDefault="006A2652" w:rsidP="00A66E8F">
      <w:pPr>
        <w:spacing w:line="480" w:lineRule="auto"/>
        <w:jc w:val="both"/>
        <w:rPr>
          <w:rFonts w:ascii="Calibri" w:eastAsia="Calibri" w:hAnsi="Calibri" w:cs="Times New Roman"/>
          <w:i/>
        </w:rPr>
      </w:pPr>
      <w:r w:rsidRPr="008F0224">
        <w:rPr>
          <w:rFonts w:ascii="Calibri" w:eastAsia="Calibri" w:hAnsi="Calibri" w:cs="Times New Roman"/>
          <w:i/>
        </w:rPr>
        <w:t>Theoretical framework</w:t>
      </w:r>
    </w:p>
    <w:p w14:paraId="11E431DC" w14:textId="35F96C8E" w:rsidR="006A2652" w:rsidRPr="00BB666E" w:rsidRDefault="006A2652" w:rsidP="00A66E8F">
      <w:pPr>
        <w:spacing w:line="480" w:lineRule="auto"/>
        <w:jc w:val="both"/>
        <w:rPr>
          <w:rFonts w:ascii="Calibri" w:eastAsia="Calibri" w:hAnsi="Calibri" w:cs="Times New Roman"/>
        </w:rPr>
      </w:pPr>
      <w:r w:rsidRPr="00BB666E">
        <w:rPr>
          <w:rFonts w:ascii="Calibri" w:eastAsia="Calibri" w:hAnsi="Calibri" w:cs="Times New Roman"/>
        </w:rPr>
        <w:t>Normalisation Process Theory (NPT) provided the theoretical lens for the study</w:t>
      </w:r>
      <w:r>
        <w:rPr>
          <w:rFonts w:ascii="Calibri" w:eastAsia="Calibri" w:hAnsi="Calibri" w:cs="Times New Roman"/>
        </w:rPr>
        <w:t xml:space="preserve"> </w:t>
      </w:r>
      <w:r>
        <w:rPr>
          <w:rFonts w:ascii="Calibri" w:eastAsia="Calibri" w:hAnsi="Calibri" w:cs="Times New Roman"/>
          <w:noProof/>
        </w:rPr>
        <w:t xml:space="preserve">(May </w:t>
      </w:r>
      <w:r w:rsidR="00B16C86">
        <w:rPr>
          <w:rFonts w:ascii="Calibri" w:eastAsia="Calibri" w:hAnsi="Calibri" w:cs="Times New Roman"/>
          <w:noProof/>
        </w:rPr>
        <w:t xml:space="preserve">and Finch </w:t>
      </w:r>
      <w:r>
        <w:rPr>
          <w:rFonts w:ascii="Calibri" w:eastAsia="Calibri" w:hAnsi="Calibri" w:cs="Times New Roman"/>
          <w:noProof/>
        </w:rPr>
        <w:t>, 2009)</w:t>
      </w:r>
      <w:r w:rsidRPr="00BB666E">
        <w:rPr>
          <w:rFonts w:ascii="Calibri" w:eastAsia="Calibri" w:hAnsi="Calibri" w:cs="Times New Roman"/>
        </w:rPr>
        <w:t>. NPT offers a framework to support understanding of the dynamic processes encountered during implementation and is concerned with aspects of individual and collective behaviour and the mechanisms that drive them</w:t>
      </w:r>
      <w:r>
        <w:rPr>
          <w:rFonts w:ascii="Calibri" w:eastAsia="Calibri" w:hAnsi="Calibri" w:cs="Times New Roman"/>
        </w:rPr>
        <w:t xml:space="preserve"> </w:t>
      </w:r>
      <w:r w:rsidR="00B16C86">
        <w:rPr>
          <w:rFonts w:ascii="Calibri" w:eastAsia="Calibri" w:hAnsi="Calibri" w:cs="Times New Roman"/>
          <w:noProof/>
        </w:rPr>
        <w:t xml:space="preserve">(Murray </w:t>
      </w:r>
      <w:r w:rsidR="002563C9" w:rsidRPr="002563C9">
        <w:rPr>
          <w:rFonts w:ascii="Calibri" w:eastAsia="Calibri" w:hAnsi="Calibri" w:cs="Times New Roman"/>
          <w:i/>
          <w:noProof/>
        </w:rPr>
        <w:t>et al</w:t>
      </w:r>
      <w:r w:rsidR="00B16C86">
        <w:rPr>
          <w:rFonts w:ascii="Calibri" w:eastAsia="Calibri" w:hAnsi="Calibri" w:cs="Times New Roman"/>
          <w:noProof/>
        </w:rPr>
        <w:t xml:space="preserve">., 2010; Finch </w:t>
      </w:r>
      <w:r w:rsidR="002563C9" w:rsidRPr="002563C9">
        <w:rPr>
          <w:rFonts w:ascii="Calibri" w:eastAsia="Calibri" w:hAnsi="Calibri" w:cs="Times New Roman"/>
          <w:i/>
          <w:noProof/>
        </w:rPr>
        <w:t>et al</w:t>
      </w:r>
      <w:r>
        <w:rPr>
          <w:rFonts w:ascii="Calibri" w:eastAsia="Calibri" w:hAnsi="Calibri" w:cs="Times New Roman"/>
          <w:noProof/>
        </w:rPr>
        <w:t>., 2013)</w:t>
      </w:r>
      <w:r w:rsidRPr="00BB666E">
        <w:rPr>
          <w:rFonts w:ascii="Calibri" w:eastAsia="Calibri" w:hAnsi="Calibri" w:cs="Times New Roman"/>
        </w:rPr>
        <w:t xml:space="preserve">.  NPT is concerned with how participants come to make sense </w:t>
      </w:r>
      <w:r w:rsidRPr="00BB666E">
        <w:rPr>
          <w:rFonts w:ascii="Calibri" w:eastAsia="Calibri" w:hAnsi="Calibri" w:cs="Arial"/>
          <w:szCs w:val="28"/>
        </w:rPr>
        <w:t>(coherence), engage and commit (cognitive participation), enact (collective action), and reflect upon and evaluate (reflexive monitoring)</w:t>
      </w:r>
      <w:r>
        <w:rPr>
          <w:rFonts w:ascii="Calibri" w:eastAsia="Calibri" w:hAnsi="Calibri" w:cs="Arial"/>
          <w:szCs w:val="28"/>
        </w:rPr>
        <w:t xml:space="preserve"> a practice</w:t>
      </w:r>
      <w:r w:rsidRPr="00BB666E">
        <w:rPr>
          <w:rFonts w:ascii="Calibri" w:eastAsia="Calibri" w:hAnsi="Calibri" w:cs="Arial"/>
        </w:rPr>
        <w:t>.</w:t>
      </w:r>
      <w:r w:rsidRPr="00BB666E">
        <w:rPr>
          <w:rFonts w:ascii="Calibri" w:eastAsia="Calibri" w:hAnsi="Calibri" w:cs="Times New Roman"/>
        </w:rPr>
        <w:t xml:space="preserve"> </w:t>
      </w:r>
      <w:r>
        <w:rPr>
          <w:rFonts w:ascii="Calibri" w:eastAsia="Calibri" w:hAnsi="Calibri" w:cs="Times New Roman"/>
        </w:rPr>
        <w:t xml:space="preserve"> </w:t>
      </w:r>
      <w:r w:rsidRPr="00BB666E">
        <w:rPr>
          <w:rFonts w:ascii="Calibri" w:eastAsia="Calibri" w:hAnsi="Calibri" w:cs="Times New Roman"/>
        </w:rPr>
        <w:t>It is focused on how these elements are mobilised by participants in the implementation process</w:t>
      </w:r>
      <w:r>
        <w:rPr>
          <w:rFonts w:ascii="Calibri" w:eastAsia="Calibri" w:hAnsi="Calibri" w:cs="Times New Roman"/>
        </w:rPr>
        <w:t xml:space="preserve"> </w:t>
      </w:r>
      <w:r w:rsidR="00B16C86">
        <w:rPr>
          <w:rFonts w:ascii="Calibri" w:eastAsia="Calibri" w:hAnsi="Calibri" w:cs="Times New Roman"/>
          <w:noProof/>
        </w:rPr>
        <w:t>(May</w:t>
      </w:r>
      <w:r>
        <w:rPr>
          <w:rFonts w:ascii="Calibri" w:eastAsia="Calibri" w:hAnsi="Calibri" w:cs="Times New Roman"/>
          <w:noProof/>
        </w:rPr>
        <w:t>, 2013</w:t>
      </w:r>
      <w:r w:rsidR="002563C9">
        <w:rPr>
          <w:rFonts w:ascii="Calibri" w:eastAsia="Calibri" w:hAnsi="Calibri" w:cs="Times New Roman"/>
          <w:noProof/>
        </w:rPr>
        <w:t>a</w:t>
      </w:r>
      <w:r>
        <w:rPr>
          <w:rFonts w:ascii="Calibri" w:eastAsia="Calibri" w:hAnsi="Calibri" w:cs="Times New Roman"/>
          <w:noProof/>
        </w:rPr>
        <w:t>)</w:t>
      </w:r>
      <w:r>
        <w:rPr>
          <w:rFonts w:ascii="Calibri" w:eastAsia="Calibri" w:hAnsi="Calibri" w:cs="Times New Roman"/>
        </w:rPr>
        <w:t xml:space="preserve">; </w:t>
      </w:r>
      <w:r w:rsidRPr="00BB666E">
        <w:rPr>
          <w:rFonts w:ascii="Calibri" w:eastAsia="Calibri" w:hAnsi="Calibri" w:cs="Times New Roman"/>
        </w:rPr>
        <w:t>act as sources of tumult and turmoil that influence the direction of implementation</w:t>
      </w:r>
      <w:r>
        <w:rPr>
          <w:rFonts w:ascii="Calibri" w:eastAsia="Calibri" w:hAnsi="Calibri" w:cs="Times New Roman"/>
        </w:rPr>
        <w:t xml:space="preserve"> </w:t>
      </w:r>
      <w:r w:rsidR="00B16C86">
        <w:rPr>
          <w:rFonts w:ascii="Calibri" w:eastAsia="Calibri" w:hAnsi="Calibri" w:cs="Times New Roman"/>
          <w:noProof/>
        </w:rPr>
        <w:t>(May</w:t>
      </w:r>
      <w:r>
        <w:rPr>
          <w:rFonts w:ascii="Calibri" w:eastAsia="Calibri" w:hAnsi="Calibri" w:cs="Times New Roman"/>
          <w:noProof/>
        </w:rPr>
        <w:t>, 2013</w:t>
      </w:r>
      <w:r w:rsidR="002563C9">
        <w:rPr>
          <w:rFonts w:ascii="Calibri" w:eastAsia="Calibri" w:hAnsi="Calibri" w:cs="Times New Roman"/>
          <w:noProof/>
        </w:rPr>
        <w:t>b</w:t>
      </w:r>
      <w:r>
        <w:rPr>
          <w:rFonts w:ascii="Calibri" w:eastAsia="Calibri" w:hAnsi="Calibri" w:cs="Times New Roman"/>
          <w:noProof/>
        </w:rPr>
        <w:t>)</w:t>
      </w:r>
      <w:r>
        <w:rPr>
          <w:rFonts w:ascii="Calibri" w:eastAsia="Calibri" w:hAnsi="Calibri" w:cs="Times New Roman"/>
        </w:rPr>
        <w:t xml:space="preserve">; </w:t>
      </w:r>
      <w:r w:rsidRPr="00BB666E">
        <w:rPr>
          <w:rFonts w:ascii="Calibri" w:eastAsia="Calibri" w:hAnsi="Calibri" w:cs="Times New Roman"/>
        </w:rPr>
        <w:t>and how participants in implementation processes interact with other actors and elements in the context in which they are set</w:t>
      </w:r>
      <w:r>
        <w:rPr>
          <w:rFonts w:ascii="Calibri" w:eastAsia="Calibri" w:hAnsi="Calibri" w:cs="Times New Roman"/>
        </w:rPr>
        <w:t xml:space="preserve"> </w:t>
      </w:r>
      <w:r w:rsidR="00B16C86">
        <w:rPr>
          <w:rFonts w:ascii="Calibri" w:eastAsia="Calibri" w:hAnsi="Calibri" w:cs="Times New Roman"/>
          <w:noProof/>
        </w:rPr>
        <w:t xml:space="preserve">(May </w:t>
      </w:r>
      <w:r w:rsidR="002563C9" w:rsidRPr="002563C9">
        <w:rPr>
          <w:rFonts w:ascii="Calibri" w:eastAsia="Calibri" w:hAnsi="Calibri" w:cs="Times New Roman"/>
          <w:i/>
          <w:noProof/>
        </w:rPr>
        <w:t>et al</w:t>
      </w:r>
      <w:r>
        <w:rPr>
          <w:rFonts w:ascii="Calibri" w:eastAsia="Calibri" w:hAnsi="Calibri" w:cs="Times New Roman"/>
          <w:noProof/>
        </w:rPr>
        <w:t>., 2016)</w:t>
      </w:r>
      <w:r w:rsidRPr="00BB666E">
        <w:rPr>
          <w:rFonts w:ascii="Calibri" w:eastAsia="Calibri" w:hAnsi="Calibri" w:cs="Times New Roman"/>
        </w:rPr>
        <w:t xml:space="preserve">. NPT has been shown as a </w:t>
      </w:r>
      <w:r>
        <w:rPr>
          <w:rFonts w:ascii="Calibri" w:eastAsia="Calibri" w:hAnsi="Calibri" w:cs="Times New Roman"/>
        </w:rPr>
        <w:t>valuable</w:t>
      </w:r>
      <w:r w:rsidRPr="00BB666E">
        <w:rPr>
          <w:rFonts w:ascii="Calibri" w:eastAsia="Calibri" w:hAnsi="Calibri" w:cs="Times New Roman"/>
        </w:rPr>
        <w:t xml:space="preserve"> heuristic device for increasing understanding of implementation journeys of a variety of interventions</w:t>
      </w:r>
      <w:r w:rsidR="00363CD0">
        <w:rPr>
          <w:rFonts w:ascii="Calibri" w:eastAsia="Calibri" w:hAnsi="Calibri" w:cs="Times New Roman"/>
        </w:rPr>
        <w:t>, including TEPs,</w:t>
      </w:r>
      <w:r w:rsidRPr="00BB666E">
        <w:rPr>
          <w:rFonts w:ascii="Calibri" w:eastAsia="Calibri" w:hAnsi="Calibri" w:cs="Times New Roman"/>
        </w:rPr>
        <w:t xml:space="preserve"> in healthcare settings</w:t>
      </w:r>
      <w:r>
        <w:rPr>
          <w:rFonts w:ascii="Calibri" w:eastAsia="Calibri" w:hAnsi="Calibri" w:cs="Times New Roman"/>
        </w:rPr>
        <w:t xml:space="preserve"> </w:t>
      </w:r>
      <w:r w:rsidR="00B16C86">
        <w:rPr>
          <w:rFonts w:ascii="Calibri" w:eastAsia="Calibri" w:hAnsi="Calibri" w:cs="Times New Roman"/>
          <w:noProof/>
        </w:rPr>
        <w:t xml:space="preserve">(McEvoy </w:t>
      </w:r>
      <w:r w:rsidR="002563C9" w:rsidRPr="002563C9">
        <w:rPr>
          <w:rFonts w:ascii="Calibri" w:eastAsia="Calibri" w:hAnsi="Calibri" w:cs="Times New Roman"/>
          <w:i/>
          <w:noProof/>
        </w:rPr>
        <w:t>et al</w:t>
      </w:r>
      <w:r>
        <w:rPr>
          <w:rFonts w:ascii="Calibri" w:eastAsia="Calibri" w:hAnsi="Calibri" w:cs="Times New Roman"/>
          <w:noProof/>
        </w:rPr>
        <w:t xml:space="preserve">., 2014; </w:t>
      </w:r>
      <w:r w:rsidR="00363CD0">
        <w:rPr>
          <w:rFonts w:ascii="Calibri" w:eastAsia="Calibri" w:hAnsi="Calibri" w:cs="Times New Roman"/>
          <w:noProof/>
        </w:rPr>
        <w:t xml:space="preserve">Cummings </w:t>
      </w:r>
      <w:r w:rsidR="002563C9" w:rsidRPr="002563C9">
        <w:rPr>
          <w:rFonts w:ascii="Calibri" w:eastAsia="Calibri" w:hAnsi="Calibri" w:cs="Times New Roman"/>
          <w:i/>
          <w:noProof/>
        </w:rPr>
        <w:t>et al</w:t>
      </w:r>
      <w:r w:rsidR="00363CD0">
        <w:rPr>
          <w:rFonts w:ascii="Calibri" w:eastAsia="Calibri" w:hAnsi="Calibri" w:cs="Times New Roman"/>
          <w:noProof/>
        </w:rPr>
        <w:t xml:space="preserve">., 2017; </w:t>
      </w:r>
      <w:r>
        <w:rPr>
          <w:rFonts w:ascii="Calibri" w:eastAsia="Calibri" w:hAnsi="Calibri" w:cs="Times New Roman"/>
          <w:noProof/>
        </w:rPr>
        <w:t xml:space="preserve">Huddlestone </w:t>
      </w:r>
      <w:r w:rsidR="002563C9" w:rsidRPr="002563C9">
        <w:rPr>
          <w:rFonts w:ascii="Calibri" w:eastAsia="Calibri" w:hAnsi="Calibri" w:cs="Times New Roman"/>
          <w:i/>
          <w:noProof/>
        </w:rPr>
        <w:t>et al</w:t>
      </w:r>
      <w:r>
        <w:rPr>
          <w:rFonts w:ascii="Calibri" w:eastAsia="Calibri" w:hAnsi="Calibri" w:cs="Times New Roman"/>
          <w:noProof/>
        </w:rPr>
        <w:t>., 2020)</w:t>
      </w:r>
      <w:r>
        <w:rPr>
          <w:rFonts w:ascii="Calibri" w:eastAsia="Calibri" w:hAnsi="Calibri" w:cs="Times New Roman"/>
        </w:rPr>
        <w:t xml:space="preserve">. </w:t>
      </w:r>
      <w:r w:rsidRPr="00BB666E">
        <w:rPr>
          <w:rFonts w:ascii="Calibri" w:eastAsia="Calibri" w:hAnsi="Calibri" w:cs="Times New Roman"/>
        </w:rPr>
        <w:t xml:space="preserve">In this study, NPT </w:t>
      </w:r>
      <w:r>
        <w:rPr>
          <w:rFonts w:ascii="Calibri" w:eastAsia="Calibri" w:hAnsi="Calibri" w:cs="Times New Roman"/>
        </w:rPr>
        <w:t>provided</w:t>
      </w:r>
      <w:r w:rsidRPr="00BB666E">
        <w:rPr>
          <w:rFonts w:ascii="Calibri" w:eastAsia="Calibri" w:hAnsi="Calibri" w:cs="Times New Roman"/>
        </w:rPr>
        <w:t xml:space="preserve"> a useful set of conceptual tools to understand the </w:t>
      </w:r>
      <w:r>
        <w:rPr>
          <w:rFonts w:ascii="Calibri" w:eastAsia="Calibri" w:hAnsi="Calibri" w:cs="Times New Roman"/>
        </w:rPr>
        <w:t>process of translating TEP into practice</w:t>
      </w:r>
      <w:r w:rsidRPr="00BB666E">
        <w:rPr>
          <w:rFonts w:ascii="Calibri" w:eastAsia="Calibri" w:hAnsi="Calibri" w:cs="Times New Roman"/>
        </w:rPr>
        <w:t>, informing the development of our research question, and shaping data collection and analysis.</w:t>
      </w:r>
    </w:p>
    <w:p w14:paraId="7A5982E2" w14:textId="16CBF988" w:rsidR="006A2652" w:rsidRPr="008F0224" w:rsidRDefault="006A2652" w:rsidP="00A66E8F">
      <w:pPr>
        <w:spacing w:line="480" w:lineRule="auto"/>
        <w:jc w:val="both"/>
        <w:rPr>
          <w:rFonts w:ascii="Calibri" w:eastAsia="Calibri" w:hAnsi="Calibri" w:cs="Times New Roman"/>
          <w:i/>
        </w:rPr>
      </w:pPr>
      <w:r w:rsidRPr="008F0224">
        <w:rPr>
          <w:rFonts w:ascii="Calibri" w:eastAsia="Calibri" w:hAnsi="Calibri" w:cs="Times New Roman"/>
          <w:i/>
        </w:rPr>
        <w:t>Study design</w:t>
      </w:r>
    </w:p>
    <w:p w14:paraId="56FF209F" w14:textId="77777777" w:rsidR="006A2652" w:rsidRPr="00BB666E" w:rsidRDefault="006A2652" w:rsidP="00A66E8F">
      <w:pPr>
        <w:spacing w:line="480" w:lineRule="auto"/>
        <w:jc w:val="both"/>
        <w:rPr>
          <w:rFonts w:ascii="Calibri" w:eastAsia="Calibri" w:hAnsi="Calibri" w:cs="Times New Roman"/>
        </w:rPr>
      </w:pPr>
      <w:r w:rsidRPr="00BB666E">
        <w:rPr>
          <w:rFonts w:ascii="Calibri" w:eastAsia="Calibri" w:hAnsi="Calibri" w:cs="Times New Roman"/>
        </w:rPr>
        <w:t>We employed a qualitative instrumental collective case study design in which each participating healthcare organisation was conceptualised as a ‘case’</w:t>
      </w:r>
      <w:r w:rsidR="00B16C86">
        <w:rPr>
          <w:rFonts w:ascii="Calibri" w:eastAsia="Calibri" w:hAnsi="Calibri" w:cs="Times New Roman"/>
        </w:rPr>
        <w:t xml:space="preserve"> </w:t>
      </w:r>
      <w:r w:rsidR="00B16C86">
        <w:rPr>
          <w:rFonts w:ascii="Calibri" w:eastAsia="Calibri" w:hAnsi="Calibri" w:cs="Times New Roman"/>
          <w:noProof/>
        </w:rPr>
        <w:t>(Stake</w:t>
      </w:r>
      <w:r>
        <w:rPr>
          <w:rFonts w:ascii="Calibri" w:eastAsia="Calibri" w:hAnsi="Calibri" w:cs="Times New Roman"/>
          <w:noProof/>
        </w:rPr>
        <w:t>, 1995)</w:t>
      </w:r>
      <w:r>
        <w:rPr>
          <w:rFonts w:ascii="Calibri" w:eastAsia="Calibri" w:hAnsi="Calibri" w:cs="Times New Roman"/>
        </w:rPr>
        <w:t xml:space="preserve">. </w:t>
      </w:r>
      <w:r w:rsidRPr="00BB666E">
        <w:rPr>
          <w:rFonts w:ascii="Calibri" w:eastAsia="Calibri" w:hAnsi="Calibri" w:cs="Times New Roman"/>
        </w:rPr>
        <w:t xml:space="preserve">The unit of analysis was the process </w:t>
      </w:r>
      <w:r>
        <w:rPr>
          <w:rFonts w:ascii="Calibri" w:eastAsia="Calibri" w:hAnsi="Calibri" w:cs="Times New Roman"/>
        </w:rPr>
        <w:t>to introduce TEP</w:t>
      </w:r>
      <w:r w:rsidRPr="00BB666E">
        <w:rPr>
          <w:rFonts w:ascii="Calibri" w:eastAsia="Calibri" w:hAnsi="Calibri" w:cs="Times New Roman"/>
        </w:rPr>
        <w:t xml:space="preserve"> in order to explicate the relationship between participants and contexts. </w:t>
      </w:r>
      <w:r>
        <w:rPr>
          <w:rFonts w:ascii="Calibri" w:eastAsia="Calibri" w:hAnsi="Calibri" w:cs="Times New Roman"/>
        </w:rPr>
        <w:t>E</w:t>
      </w:r>
      <w:r w:rsidRPr="00BB666E">
        <w:rPr>
          <w:rFonts w:ascii="Calibri" w:eastAsia="Calibri" w:hAnsi="Calibri" w:cs="Times New Roman"/>
        </w:rPr>
        <w:t>ach case offers a narrative of the</w:t>
      </w:r>
      <w:r>
        <w:rPr>
          <w:rFonts w:ascii="Calibri" w:eastAsia="Calibri" w:hAnsi="Calibri" w:cs="Times New Roman"/>
        </w:rPr>
        <w:t xml:space="preserve"> implementation journey </w:t>
      </w:r>
      <w:r w:rsidRPr="00BB666E">
        <w:rPr>
          <w:rFonts w:ascii="Calibri" w:eastAsia="Calibri" w:hAnsi="Calibri" w:cs="Times New Roman"/>
        </w:rPr>
        <w:t xml:space="preserve">in each organisation, constructed from </w:t>
      </w:r>
      <w:r w:rsidRPr="00BB666E">
        <w:rPr>
          <w:rFonts w:ascii="Calibri" w:eastAsia="Calibri" w:hAnsi="Calibri" w:cs="Times New Roman"/>
        </w:rPr>
        <w:lastRenderedPageBreak/>
        <w:t xml:space="preserve">empirical findings generated from interviews and observations. Approval for the study was obtained from the University of Southampton Research Ethics Committee (Ref: 24886).  </w:t>
      </w:r>
    </w:p>
    <w:p w14:paraId="71CFE1B8" w14:textId="7F01C9A6" w:rsidR="006A2652" w:rsidRPr="008F0224" w:rsidRDefault="006A2652" w:rsidP="00A66E8F">
      <w:pPr>
        <w:spacing w:line="480" w:lineRule="auto"/>
        <w:jc w:val="both"/>
        <w:rPr>
          <w:rFonts w:ascii="Calibri" w:eastAsia="Calibri" w:hAnsi="Calibri" w:cs="Times New Roman"/>
          <w:i/>
        </w:rPr>
      </w:pPr>
      <w:r w:rsidRPr="008F0224">
        <w:rPr>
          <w:rFonts w:ascii="Calibri" w:eastAsia="Calibri" w:hAnsi="Calibri" w:cs="Times New Roman"/>
          <w:i/>
        </w:rPr>
        <w:t>Setting and participants</w:t>
      </w:r>
    </w:p>
    <w:p w14:paraId="4F133F69" w14:textId="0CAC3252" w:rsidR="006A2652" w:rsidRDefault="006A2652" w:rsidP="00A66E8F">
      <w:pPr>
        <w:spacing w:line="480" w:lineRule="auto"/>
        <w:jc w:val="both"/>
        <w:rPr>
          <w:rFonts w:ascii="Calibri" w:eastAsia="Calibri" w:hAnsi="Calibri" w:cs="Times New Roman"/>
        </w:rPr>
      </w:pPr>
      <w:r w:rsidRPr="00BB666E">
        <w:rPr>
          <w:rFonts w:ascii="Calibri" w:eastAsia="Calibri" w:hAnsi="Calibri" w:cs="Times New Roman"/>
        </w:rPr>
        <w:t>Research was carried out in three National Health Service (NHS) acute hospital trusts in one region in England</w:t>
      </w:r>
      <w:r w:rsidRPr="00F72153">
        <w:rPr>
          <w:rFonts w:ascii="Calibri" w:eastAsia="Calibri" w:hAnsi="Calibri" w:cs="Times New Roman"/>
        </w:rPr>
        <w:t xml:space="preserve">. </w:t>
      </w:r>
      <w:r w:rsidR="002E7A84" w:rsidRPr="00F72153">
        <w:rPr>
          <w:rFonts w:ascii="Calibri" w:eastAsia="Calibri" w:hAnsi="Calibri" w:cs="Times New Roman"/>
        </w:rPr>
        <w:t>Despite attempts to recruit primary care organisations to the study none chose to participate and we acknowledge this as a potential limitation.</w:t>
      </w:r>
      <w:r w:rsidR="002E7A84">
        <w:rPr>
          <w:rFonts w:ascii="Calibri" w:eastAsia="Calibri" w:hAnsi="Calibri" w:cs="Times New Roman"/>
        </w:rPr>
        <w:t xml:space="preserve"> </w:t>
      </w:r>
      <w:r w:rsidRPr="00BB666E">
        <w:rPr>
          <w:rFonts w:ascii="Calibri" w:eastAsia="Calibri" w:hAnsi="Calibri" w:cs="Times New Roman"/>
        </w:rPr>
        <w:t xml:space="preserve">Purposive sampling was used to identify participants who represented different stakeholder groups and roles in settings </w:t>
      </w:r>
      <w:r>
        <w:rPr>
          <w:rFonts w:ascii="Calibri" w:eastAsia="Calibri" w:hAnsi="Calibri" w:cs="Times New Roman"/>
        </w:rPr>
        <w:t>considering</w:t>
      </w:r>
      <w:r w:rsidRPr="00BB666E">
        <w:rPr>
          <w:rFonts w:ascii="Calibri" w:eastAsia="Calibri" w:hAnsi="Calibri" w:cs="Times New Roman"/>
        </w:rPr>
        <w:t xml:space="preserve"> implement</w:t>
      </w:r>
      <w:r>
        <w:rPr>
          <w:rFonts w:ascii="Calibri" w:eastAsia="Calibri" w:hAnsi="Calibri" w:cs="Times New Roman"/>
        </w:rPr>
        <w:t>ing</w:t>
      </w:r>
      <w:r w:rsidRPr="00BB666E">
        <w:rPr>
          <w:rFonts w:ascii="Calibri" w:eastAsia="Calibri" w:hAnsi="Calibri" w:cs="Times New Roman"/>
        </w:rPr>
        <w:t xml:space="preserve"> a local TEP or the national R</w:t>
      </w:r>
      <w:r>
        <w:rPr>
          <w:rFonts w:ascii="Calibri" w:eastAsia="Calibri" w:hAnsi="Calibri" w:cs="Times New Roman"/>
        </w:rPr>
        <w:t>e</w:t>
      </w:r>
      <w:r w:rsidRPr="00BB666E">
        <w:rPr>
          <w:rFonts w:ascii="Calibri" w:eastAsia="Calibri" w:hAnsi="Calibri" w:cs="Times New Roman"/>
        </w:rPr>
        <w:t>SPECT process</w:t>
      </w:r>
      <w:r w:rsidR="00AC0148">
        <w:rPr>
          <w:rFonts w:ascii="Calibri" w:eastAsia="Calibri" w:hAnsi="Calibri" w:cs="Times New Roman"/>
        </w:rPr>
        <w:t xml:space="preserve"> </w:t>
      </w:r>
      <w:r w:rsidR="00AC0148" w:rsidRPr="00F72153">
        <w:rPr>
          <w:rFonts w:ascii="Calibri" w:eastAsia="Calibri" w:hAnsi="Calibri" w:cs="Times New Roman"/>
        </w:rPr>
        <w:t>(Table I)</w:t>
      </w:r>
      <w:r w:rsidRPr="00F72153">
        <w:rPr>
          <w:rFonts w:ascii="Calibri" w:eastAsia="Calibri" w:hAnsi="Calibri" w:cs="Times New Roman"/>
        </w:rPr>
        <w:t>.</w:t>
      </w:r>
      <w:r w:rsidRPr="00BB666E">
        <w:rPr>
          <w:rFonts w:ascii="Calibri" w:eastAsia="Calibri" w:hAnsi="Calibri" w:cs="Times New Roman"/>
        </w:rPr>
        <w:t xml:space="preserve"> These included healthcare professionals</w:t>
      </w:r>
      <w:r>
        <w:rPr>
          <w:rFonts w:ascii="Calibri" w:eastAsia="Calibri" w:hAnsi="Calibri" w:cs="Times New Roman"/>
        </w:rPr>
        <w:t>,</w:t>
      </w:r>
      <w:r w:rsidRPr="00BB666E">
        <w:rPr>
          <w:rFonts w:ascii="Calibri" w:eastAsia="Calibri" w:hAnsi="Calibri" w:cs="Times New Roman"/>
        </w:rPr>
        <w:t xml:space="preserve"> with knowledge and experience of clinical situations where TEPs would be operationalised</w:t>
      </w:r>
      <w:r>
        <w:rPr>
          <w:rFonts w:ascii="Calibri" w:eastAsia="Calibri" w:hAnsi="Calibri" w:cs="Times New Roman"/>
        </w:rPr>
        <w:t>, and</w:t>
      </w:r>
      <w:r w:rsidRPr="00BB666E">
        <w:rPr>
          <w:rFonts w:ascii="Calibri" w:eastAsia="Calibri" w:hAnsi="Calibri" w:cs="Times New Roman"/>
        </w:rPr>
        <w:t xml:space="preserve"> members of implementation working groups established within and across Trusts to undertake different types of work required prior to implementation. </w:t>
      </w:r>
    </w:p>
    <w:p w14:paraId="7D44C99A" w14:textId="4EA8DF54" w:rsidR="00AC0148" w:rsidRPr="00BB666E" w:rsidRDefault="00AC0148" w:rsidP="00A66E8F">
      <w:pPr>
        <w:spacing w:line="480" w:lineRule="auto"/>
        <w:jc w:val="both"/>
        <w:rPr>
          <w:rFonts w:ascii="Calibri" w:eastAsia="Calibri" w:hAnsi="Calibri" w:cs="Times New Roman"/>
        </w:rPr>
      </w:pPr>
      <w:r w:rsidRPr="00F72153">
        <w:rPr>
          <w:rFonts w:ascii="Calibri" w:eastAsia="Calibri" w:hAnsi="Calibri" w:cs="Times New Roman"/>
        </w:rPr>
        <w:t xml:space="preserve">TABLE I: KEY INFORMANTS </w:t>
      </w:r>
    </w:p>
    <w:p w14:paraId="30748AD1" w14:textId="77777777" w:rsidR="006A2652" w:rsidRPr="008F0224" w:rsidRDefault="006A2652" w:rsidP="00A66E8F">
      <w:pPr>
        <w:spacing w:line="480" w:lineRule="auto"/>
        <w:jc w:val="both"/>
        <w:rPr>
          <w:rFonts w:ascii="Calibri" w:eastAsia="Calibri" w:hAnsi="Calibri" w:cs="Times New Roman"/>
          <w:i/>
        </w:rPr>
      </w:pPr>
      <w:r w:rsidRPr="008F0224">
        <w:rPr>
          <w:rFonts w:ascii="Calibri" w:eastAsia="Calibri" w:hAnsi="Calibri" w:cs="Times New Roman"/>
          <w:i/>
        </w:rPr>
        <w:t>Data collection</w:t>
      </w:r>
    </w:p>
    <w:p w14:paraId="01FE4E71" w14:textId="77777777" w:rsidR="006A2652" w:rsidRPr="008F0224" w:rsidRDefault="006A2652" w:rsidP="00A66E8F">
      <w:pPr>
        <w:spacing w:line="480" w:lineRule="auto"/>
        <w:jc w:val="both"/>
        <w:rPr>
          <w:rFonts w:ascii="Calibri" w:eastAsia="Calibri" w:hAnsi="Calibri" w:cs="Times New Roman"/>
        </w:rPr>
      </w:pPr>
      <w:r w:rsidRPr="008F0224">
        <w:rPr>
          <w:rFonts w:ascii="Calibri" w:eastAsia="Calibri" w:hAnsi="Calibri" w:cs="Times New Roman"/>
        </w:rPr>
        <w:t>Interviews</w:t>
      </w:r>
    </w:p>
    <w:p w14:paraId="141408B7" w14:textId="77777777" w:rsidR="006A2652" w:rsidRPr="00BB666E" w:rsidRDefault="006A2652" w:rsidP="00A66E8F">
      <w:pPr>
        <w:spacing w:line="480" w:lineRule="auto"/>
        <w:jc w:val="both"/>
        <w:rPr>
          <w:rFonts w:ascii="Calibri" w:eastAsia="Calibri" w:hAnsi="Calibri" w:cs="Times New Roman"/>
        </w:rPr>
      </w:pPr>
      <w:r w:rsidRPr="00BB666E">
        <w:rPr>
          <w:rFonts w:ascii="Calibri" w:eastAsia="Calibri" w:hAnsi="Calibri" w:cs="Times New Roman"/>
        </w:rPr>
        <w:t xml:space="preserve">Interviews </w:t>
      </w:r>
      <w:r>
        <w:rPr>
          <w:rFonts w:ascii="Calibri" w:eastAsia="Calibri" w:hAnsi="Calibri" w:cs="Times New Roman"/>
        </w:rPr>
        <w:t xml:space="preserve">(n=36) </w:t>
      </w:r>
      <w:r w:rsidRPr="00BB666E">
        <w:rPr>
          <w:rFonts w:ascii="Calibri" w:eastAsia="Calibri" w:hAnsi="Calibri" w:cs="Times New Roman"/>
        </w:rPr>
        <w:t>were conducted between January 2017 and July 2018 by MM, SL and NC</w:t>
      </w:r>
      <w:r>
        <w:rPr>
          <w:rFonts w:ascii="Calibri" w:eastAsia="Calibri" w:hAnsi="Calibri" w:cs="Times New Roman"/>
        </w:rPr>
        <w:t xml:space="preserve"> and audio-recorded (with consent)</w:t>
      </w:r>
      <w:r w:rsidRPr="00BB666E">
        <w:rPr>
          <w:rFonts w:ascii="Calibri" w:eastAsia="Calibri" w:hAnsi="Calibri" w:cs="Times New Roman"/>
        </w:rPr>
        <w:t xml:space="preserve">. </w:t>
      </w:r>
      <w:r>
        <w:rPr>
          <w:rFonts w:ascii="Calibri" w:eastAsia="Calibri" w:hAnsi="Calibri" w:cs="Times New Roman"/>
        </w:rPr>
        <w:t>A</w:t>
      </w:r>
      <w:r w:rsidRPr="00BB666E">
        <w:rPr>
          <w:rFonts w:ascii="Calibri" w:eastAsia="Calibri" w:hAnsi="Calibri" w:cs="Times New Roman"/>
        </w:rPr>
        <w:t xml:space="preserve">verage duration </w:t>
      </w:r>
      <w:r>
        <w:rPr>
          <w:rFonts w:ascii="Calibri" w:eastAsia="Calibri" w:hAnsi="Calibri" w:cs="Times New Roman"/>
        </w:rPr>
        <w:t xml:space="preserve">was </w:t>
      </w:r>
      <w:r w:rsidRPr="00BB666E">
        <w:rPr>
          <w:rFonts w:ascii="Calibri" w:eastAsia="Calibri" w:hAnsi="Calibri" w:cs="Times New Roman"/>
        </w:rPr>
        <w:t xml:space="preserve">between 25-60 minutes. Interviews were carried out using a topic guide informed by NPT </w:t>
      </w:r>
      <w:r w:rsidR="00B16C86">
        <w:rPr>
          <w:rFonts w:ascii="Calibri" w:eastAsia="Calibri" w:hAnsi="Calibri" w:cs="Times New Roman"/>
          <w:noProof/>
        </w:rPr>
        <w:t>(May and Finch</w:t>
      </w:r>
      <w:r>
        <w:rPr>
          <w:rFonts w:ascii="Calibri" w:eastAsia="Calibri" w:hAnsi="Calibri" w:cs="Times New Roman"/>
          <w:noProof/>
        </w:rPr>
        <w:t>, 2009)</w:t>
      </w:r>
      <w:r w:rsidRPr="00BB666E">
        <w:rPr>
          <w:rFonts w:ascii="Calibri" w:eastAsia="Calibri" w:hAnsi="Calibri" w:cs="Times New Roman"/>
        </w:rPr>
        <w:t xml:space="preserve"> </w:t>
      </w:r>
      <w:r>
        <w:rPr>
          <w:rFonts w:ascii="Calibri" w:eastAsia="Calibri" w:hAnsi="Calibri" w:cs="Times New Roman"/>
        </w:rPr>
        <w:t>and</w:t>
      </w:r>
      <w:r w:rsidRPr="00BB666E">
        <w:rPr>
          <w:rFonts w:ascii="Calibri" w:eastAsia="Calibri" w:hAnsi="Calibri" w:cs="Times New Roman"/>
        </w:rPr>
        <w:t xml:space="preserve"> sought to capture data </w:t>
      </w:r>
      <w:r>
        <w:rPr>
          <w:rFonts w:ascii="Calibri" w:eastAsia="Calibri" w:hAnsi="Calibri" w:cs="Times New Roman"/>
        </w:rPr>
        <w:t>on</w:t>
      </w:r>
      <w:r w:rsidRPr="00BB666E">
        <w:rPr>
          <w:rFonts w:ascii="Calibri" w:eastAsia="Calibri" w:hAnsi="Calibri" w:cs="Times New Roman"/>
        </w:rPr>
        <w:t xml:space="preserve"> the value and purpose of TEP (coherence), participants involved (cognitive participation), the work involved (collective action) and appraisal undertaken as part of the </w:t>
      </w:r>
      <w:r>
        <w:rPr>
          <w:rFonts w:ascii="Calibri" w:eastAsia="Calibri" w:hAnsi="Calibri" w:cs="Times New Roman"/>
        </w:rPr>
        <w:t>process to introduce and implement TEP</w:t>
      </w:r>
      <w:r w:rsidRPr="00BB666E">
        <w:rPr>
          <w:rFonts w:ascii="Calibri" w:eastAsia="Calibri" w:hAnsi="Calibri" w:cs="Times New Roman"/>
        </w:rPr>
        <w:t xml:space="preserve"> (reflexive monitoring). </w:t>
      </w:r>
    </w:p>
    <w:p w14:paraId="5F9F08C8" w14:textId="77777777" w:rsidR="006A2652" w:rsidRPr="008F0224" w:rsidRDefault="006A2652" w:rsidP="00A66E8F">
      <w:pPr>
        <w:spacing w:line="480" w:lineRule="auto"/>
        <w:jc w:val="both"/>
        <w:rPr>
          <w:rFonts w:ascii="Calibri" w:eastAsia="Calibri" w:hAnsi="Calibri" w:cs="Times New Roman"/>
        </w:rPr>
      </w:pPr>
      <w:r w:rsidRPr="008F0224">
        <w:rPr>
          <w:rFonts w:ascii="Calibri" w:eastAsia="Calibri" w:hAnsi="Calibri" w:cs="Times New Roman"/>
        </w:rPr>
        <w:t>Observations</w:t>
      </w:r>
    </w:p>
    <w:p w14:paraId="7320C941" w14:textId="77777777" w:rsidR="006A2652" w:rsidRPr="00BB666E" w:rsidRDefault="006A2652" w:rsidP="00A66E8F">
      <w:pPr>
        <w:spacing w:line="480" w:lineRule="auto"/>
        <w:jc w:val="both"/>
        <w:rPr>
          <w:rFonts w:ascii="Calibri" w:eastAsia="Calibri" w:hAnsi="Calibri" w:cs="Times New Roman"/>
        </w:rPr>
      </w:pPr>
      <w:r w:rsidRPr="00BB666E">
        <w:rPr>
          <w:rFonts w:ascii="Calibri" w:eastAsia="Calibri" w:hAnsi="Calibri" w:cs="Times New Roman"/>
        </w:rPr>
        <w:t>Observations of locality-wide workshops</w:t>
      </w:r>
      <w:r>
        <w:rPr>
          <w:rFonts w:ascii="Calibri" w:eastAsia="Calibri" w:hAnsi="Calibri" w:cs="Times New Roman"/>
        </w:rPr>
        <w:t>,</w:t>
      </w:r>
      <w:r w:rsidRPr="00BB666E">
        <w:rPr>
          <w:rFonts w:ascii="Calibri" w:eastAsia="Calibri" w:hAnsi="Calibri" w:cs="Times New Roman"/>
        </w:rPr>
        <w:t xml:space="preserve"> held to explicate views on the scope, design, content and process of TE</w:t>
      </w:r>
      <w:r>
        <w:rPr>
          <w:rFonts w:ascii="Calibri" w:eastAsia="Calibri" w:hAnsi="Calibri" w:cs="Times New Roman"/>
        </w:rPr>
        <w:t>P, and TEP</w:t>
      </w:r>
      <w:r w:rsidRPr="00BB666E">
        <w:rPr>
          <w:rFonts w:ascii="Calibri" w:eastAsia="Calibri" w:hAnsi="Calibri" w:cs="Times New Roman"/>
        </w:rPr>
        <w:t>/ReSPECT implementation working groups</w:t>
      </w:r>
      <w:r>
        <w:rPr>
          <w:rFonts w:ascii="Calibri" w:eastAsia="Calibri" w:hAnsi="Calibri" w:cs="Times New Roman"/>
        </w:rPr>
        <w:t>,</w:t>
      </w:r>
      <w:r w:rsidRPr="00BB666E">
        <w:rPr>
          <w:rFonts w:ascii="Calibri" w:eastAsia="Calibri" w:hAnsi="Calibri" w:cs="Times New Roman"/>
        </w:rPr>
        <w:t xml:space="preserve"> were undertaken by MM, SL, SB, and AR. Over 60 hours of observation were carried out over the course of the study resulting in 46 </w:t>
      </w:r>
      <w:r w:rsidRPr="00BB666E">
        <w:rPr>
          <w:rFonts w:ascii="Calibri" w:eastAsia="Calibri" w:hAnsi="Calibri" w:cs="Times New Roman"/>
        </w:rPr>
        <w:lastRenderedPageBreak/>
        <w:t xml:space="preserve">sets of notes for analysis. Observations were crucial to providing insight into aspects of the </w:t>
      </w:r>
      <w:r>
        <w:rPr>
          <w:rFonts w:ascii="Calibri" w:eastAsia="Calibri" w:hAnsi="Calibri" w:cs="Times New Roman"/>
        </w:rPr>
        <w:t>TEP implementation journey</w:t>
      </w:r>
      <w:r w:rsidRPr="00BB666E">
        <w:rPr>
          <w:rFonts w:ascii="Calibri" w:eastAsia="Calibri" w:hAnsi="Calibri" w:cs="Times New Roman"/>
        </w:rPr>
        <w:t xml:space="preserve"> that could not always be captured by interviews. </w:t>
      </w:r>
      <w:r>
        <w:rPr>
          <w:rFonts w:ascii="Calibri" w:eastAsia="Calibri" w:hAnsi="Calibri" w:cs="Times New Roman"/>
        </w:rPr>
        <w:t xml:space="preserve">They enabled a real time </w:t>
      </w:r>
      <w:r w:rsidRPr="00BB666E">
        <w:rPr>
          <w:rFonts w:ascii="Calibri" w:eastAsia="Calibri" w:hAnsi="Calibri" w:cs="Times New Roman"/>
        </w:rPr>
        <w:t xml:space="preserve">understanding of the different contexts intersecting in the process to introduce a TEP and an opportunity to witness first-hand the interactions between different </w:t>
      </w:r>
      <w:r>
        <w:rPr>
          <w:rFonts w:ascii="Calibri" w:eastAsia="Calibri" w:hAnsi="Calibri" w:cs="Times New Roman"/>
        </w:rPr>
        <w:t>participants</w:t>
      </w:r>
      <w:r w:rsidRPr="00BB666E">
        <w:rPr>
          <w:rFonts w:ascii="Calibri" w:eastAsia="Calibri" w:hAnsi="Calibri" w:cs="Times New Roman"/>
        </w:rPr>
        <w:t xml:space="preserve"> and contexts to be managed and navigated</w:t>
      </w:r>
      <w:r>
        <w:rPr>
          <w:rFonts w:ascii="Calibri" w:eastAsia="Calibri" w:hAnsi="Calibri" w:cs="Times New Roman"/>
        </w:rPr>
        <w:t>.</w:t>
      </w:r>
    </w:p>
    <w:p w14:paraId="4BD5B255" w14:textId="77777777" w:rsidR="006A2652" w:rsidRPr="008F0224" w:rsidRDefault="006A2652" w:rsidP="00A66E8F">
      <w:pPr>
        <w:spacing w:line="480" w:lineRule="auto"/>
        <w:jc w:val="both"/>
        <w:rPr>
          <w:rFonts w:ascii="Calibri" w:eastAsia="Calibri" w:hAnsi="Calibri" w:cs="Times New Roman"/>
          <w:i/>
        </w:rPr>
      </w:pPr>
      <w:r w:rsidRPr="008F0224">
        <w:rPr>
          <w:rFonts w:ascii="Calibri" w:eastAsia="Calibri" w:hAnsi="Calibri" w:cs="Times New Roman"/>
          <w:i/>
        </w:rPr>
        <w:t xml:space="preserve">Data analysis </w:t>
      </w:r>
    </w:p>
    <w:p w14:paraId="60273A1F" w14:textId="45162EEE" w:rsidR="006A2652" w:rsidRPr="00BB666E" w:rsidRDefault="006A2652" w:rsidP="00A66E8F">
      <w:pPr>
        <w:spacing w:line="480" w:lineRule="auto"/>
        <w:jc w:val="both"/>
        <w:rPr>
          <w:rFonts w:ascii="Calibri" w:eastAsia="Calibri" w:hAnsi="Calibri" w:cs="Times New Roman"/>
        </w:rPr>
      </w:pPr>
      <w:r w:rsidRPr="00BB666E">
        <w:rPr>
          <w:rFonts w:ascii="Calibri" w:eastAsia="Calibri" w:hAnsi="Calibri" w:cs="Times New Roman"/>
        </w:rPr>
        <w:t xml:space="preserve">A sample of interview transcripts and fieldnotes were read and coded independently by MM, SL and NC using initial codes, developed from a priori concepts derived from the study research questions against the backdrop of NPT, and new codes derived from the data. </w:t>
      </w:r>
      <w:r w:rsidR="00363CD0">
        <w:rPr>
          <w:rFonts w:ascii="Calibri" w:eastAsia="Calibri" w:hAnsi="Calibri" w:cs="Times New Roman"/>
        </w:rPr>
        <w:t>Data</w:t>
      </w:r>
      <w:r w:rsidRPr="00BB666E">
        <w:rPr>
          <w:rFonts w:ascii="Calibri" w:eastAsia="Calibri" w:hAnsi="Calibri" w:cs="Times New Roman"/>
        </w:rPr>
        <w:t xml:space="preserve"> clinic</w:t>
      </w:r>
      <w:r w:rsidR="00363CD0">
        <w:rPr>
          <w:rFonts w:ascii="Calibri" w:eastAsia="Calibri" w:hAnsi="Calibri" w:cs="Times New Roman"/>
        </w:rPr>
        <w:t>s</w:t>
      </w:r>
      <w:r w:rsidRPr="00BB666E">
        <w:rPr>
          <w:rFonts w:ascii="Calibri" w:eastAsia="Calibri" w:hAnsi="Calibri" w:cs="Times New Roman"/>
        </w:rPr>
        <w:t xml:space="preserve"> w</w:t>
      </w:r>
      <w:r w:rsidR="00363CD0">
        <w:rPr>
          <w:rFonts w:ascii="Calibri" w:eastAsia="Calibri" w:hAnsi="Calibri" w:cs="Times New Roman"/>
        </w:rPr>
        <w:t>ere</w:t>
      </w:r>
      <w:r w:rsidRPr="00BB666E">
        <w:rPr>
          <w:rFonts w:ascii="Calibri" w:eastAsia="Calibri" w:hAnsi="Calibri" w:cs="Times New Roman"/>
        </w:rPr>
        <w:t xml:space="preserve"> held to review and refine codes to determine fit with the initial code list and validity of codes. Once a set of codes were agreed a framework was developed </w:t>
      </w:r>
      <w:r>
        <w:rPr>
          <w:rFonts w:ascii="Calibri" w:eastAsia="Calibri" w:hAnsi="Calibri" w:cs="Times New Roman"/>
        </w:rPr>
        <w:t>and</w:t>
      </w:r>
      <w:r w:rsidRPr="00BB666E">
        <w:rPr>
          <w:rFonts w:ascii="Calibri" w:eastAsia="Calibri" w:hAnsi="Calibri" w:cs="Times New Roman"/>
        </w:rPr>
        <w:t xml:space="preserve"> applied to the whole data set. Interviews were transcribed verbatim and transcripts, along with observation fieldnotes</w:t>
      </w:r>
      <w:r>
        <w:rPr>
          <w:rFonts w:ascii="Calibri" w:eastAsia="Calibri" w:hAnsi="Calibri" w:cs="Times New Roman"/>
        </w:rPr>
        <w:t xml:space="preserve"> </w:t>
      </w:r>
      <w:r w:rsidRPr="00BB666E">
        <w:rPr>
          <w:rFonts w:ascii="Calibri" w:eastAsia="Calibri" w:hAnsi="Calibri" w:cs="Times New Roman"/>
        </w:rPr>
        <w:t xml:space="preserve">imported into </w:t>
      </w:r>
      <w:proofErr w:type="spellStart"/>
      <w:r w:rsidRPr="00BB666E">
        <w:rPr>
          <w:rFonts w:ascii="Calibri" w:eastAsia="Calibri" w:hAnsi="Calibri" w:cs="Times New Roman"/>
        </w:rPr>
        <w:t>NVivo</w:t>
      </w:r>
      <w:proofErr w:type="spellEnd"/>
      <w:r w:rsidRPr="00BB666E">
        <w:rPr>
          <w:rFonts w:ascii="Calibri" w:eastAsia="Calibri" w:hAnsi="Calibri" w:cs="Times New Roman"/>
        </w:rPr>
        <w:t xml:space="preserve"> </w:t>
      </w:r>
      <w:r>
        <w:rPr>
          <w:rFonts w:ascii="Calibri" w:eastAsia="Calibri" w:hAnsi="Calibri" w:cs="Times New Roman"/>
        </w:rPr>
        <w:t>V</w:t>
      </w:r>
      <w:r w:rsidRPr="00BB666E">
        <w:rPr>
          <w:rFonts w:ascii="Calibri" w:eastAsia="Calibri" w:hAnsi="Calibri" w:cs="Times New Roman"/>
        </w:rPr>
        <w:t>ersion 10 (QSR International P</w:t>
      </w:r>
      <w:r>
        <w:rPr>
          <w:rFonts w:ascii="Calibri" w:eastAsia="Calibri" w:hAnsi="Calibri" w:cs="Times New Roman"/>
        </w:rPr>
        <w:t>ty</w:t>
      </w:r>
      <w:r w:rsidRPr="00BB666E">
        <w:rPr>
          <w:rFonts w:ascii="Calibri" w:eastAsia="Calibri" w:hAnsi="Calibri" w:cs="Times New Roman"/>
        </w:rPr>
        <w:t xml:space="preserve"> Ltd) software to aid coding and general management of the data. Codes were collated into potential themes that were discussed at subsequent data clinics where we also looked for patterns and connections across the themes to produce an interim analysis w</w:t>
      </w:r>
      <w:r>
        <w:rPr>
          <w:rFonts w:ascii="Calibri" w:eastAsia="Calibri" w:hAnsi="Calibri" w:cs="Times New Roman"/>
        </w:rPr>
        <w:t xml:space="preserve">ithin and across the settings. </w:t>
      </w:r>
      <w:r w:rsidRPr="00BB666E">
        <w:rPr>
          <w:rFonts w:ascii="Calibri" w:eastAsia="Calibri" w:hAnsi="Calibri" w:cs="Times New Roman"/>
        </w:rPr>
        <w:t>Our analysis of the relationship between context and agency in trying to initiate change developed out of a series of team discussions where we generated key ideas about different contexts that required navigati</w:t>
      </w:r>
      <w:r>
        <w:rPr>
          <w:rFonts w:ascii="Calibri" w:eastAsia="Calibri" w:hAnsi="Calibri" w:cs="Times New Roman"/>
        </w:rPr>
        <w:t>ng</w:t>
      </w:r>
      <w:r w:rsidRPr="00BB666E">
        <w:rPr>
          <w:rFonts w:ascii="Calibri" w:eastAsia="Calibri" w:hAnsi="Calibri" w:cs="Times New Roman"/>
        </w:rPr>
        <w:t xml:space="preserve"> and the work involved to manage them</w:t>
      </w:r>
      <w:r>
        <w:rPr>
          <w:rFonts w:ascii="Calibri" w:eastAsia="Calibri" w:hAnsi="Calibri" w:cs="Times New Roman"/>
        </w:rPr>
        <w:t>.</w:t>
      </w:r>
      <w:r w:rsidRPr="00BB666E">
        <w:rPr>
          <w:rFonts w:ascii="Calibri" w:eastAsia="Calibri" w:hAnsi="Calibri" w:cs="Times New Roman"/>
        </w:rPr>
        <w:t xml:space="preserve"> We also used matrices and charting to facilitate comparisons</w:t>
      </w:r>
      <w:r w:rsidR="001E7E63">
        <w:rPr>
          <w:rFonts w:ascii="Calibri" w:eastAsia="Calibri" w:hAnsi="Calibri" w:cs="Times New Roman"/>
        </w:rPr>
        <w:t xml:space="preserve"> which identified differences between settings</w:t>
      </w:r>
      <w:r>
        <w:rPr>
          <w:rFonts w:ascii="Calibri" w:eastAsia="Calibri" w:hAnsi="Calibri" w:cs="Times New Roman"/>
        </w:rPr>
        <w:t xml:space="preserve"> </w:t>
      </w:r>
      <w:r w:rsidR="00B16C86">
        <w:rPr>
          <w:rFonts w:ascii="Calibri" w:eastAsia="Calibri" w:hAnsi="Calibri" w:cs="Times New Roman"/>
          <w:noProof/>
        </w:rPr>
        <w:t>(Ritchie and Lewis</w:t>
      </w:r>
      <w:r>
        <w:rPr>
          <w:rFonts w:ascii="Calibri" w:eastAsia="Calibri" w:hAnsi="Calibri" w:cs="Times New Roman"/>
          <w:noProof/>
        </w:rPr>
        <w:t>, 2003)</w:t>
      </w:r>
      <w:r w:rsidRPr="00BB666E">
        <w:rPr>
          <w:rFonts w:ascii="Calibri" w:eastAsia="Calibri" w:hAnsi="Calibri" w:cs="Times New Roman"/>
        </w:rPr>
        <w:t xml:space="preserve"> a</w:t>
      </w:r>
      <w:r w:rsidR="001E7E63">
        <w:rPr>
          <w:rFonts w:ascii="Calibri" w:eastAsia="Calibri" w:hAnsi="Calibri" w:cs="Times New Roman"/>
        </w:rPr>
        <w:t>s well as</w:t>
      </w:r>
      <w:r w:rsidRPr="00BB666E">
        <w:rPr>
          <w:rFonts w:ascii="Calibri" w:eastAsia="Calibri" w:hAnsi="Calibri" w:cs="Times New Roman"/>
        </w:rPr>
        <w:t xml:space="preserve"> ongoing discussions within the research team to test our interpretations.</w:t>
      </w:r>
      <w:r>
        <w:rPr>
          <w:rFonts w:ascii="Calibri" w:eastAsia="Calibri" w:hAnsi="Calibri" w:cs="Times New Roman"/>
        </w:rPr>
        <w:t xml:space="preserve"> </w:t>
      </w:r>
    </w:p>
    <w:p w14:paraId="62FF9073" w14:textId="77777777" w:rsidR="00AC0148" w:rsidRDefault="00AC0148" w:rsidP="00A66E8F">
      <w:pPr>
        <w:spacing w:line="480" w:lineRule="auto"/>
        <w:jc w:val="both"/>
        <w:rPr>
          <w:b/>
        </w:rPr>
      </w:pPr>
    </w:p>
    <w:p w14:paraId="5BEDAFE5" w14:textId="023C6BC8" w:rsidR="006A2652" w:rsidRPr="00DA2FA1" w:rsidRDefault="006A2652" w:rsidP="00A66E8F">
      <w:pPr>
        <w:spacing w:line="480" w:lineRule="auto"/>
        <w:jc w:val="both"/>
        <w:rPr>
          <w:b/>
        </w:rPr>
      </w:pPr>
      <w:r>
        <w:rPr>
          <w:b/>
        </w:rPr>
        <w:t>Findings</w:t>
      </w:r>
    </w:p>
    <w:p w14:paraId="4881CEF7" w14:textId="77777777" w:rsidR="006A2652" w:rsidRDefault="006A2652" w:rsidP="00A66E8F">
      <w:pPr>
        <w:spacing w:line="480" w:lineRule="auto"/>
        <w:jc w:val="both"/>
      </w:pPr>
      <w:r>
        <w:t xml:space="preserve">To explicate the relationship between participants and context, and their influence on each other, we offer three case studies of the journey to introduce a change to practice in each organisation. The </w:t>
      </w:r>
      <w:r>
        <w:lastRenderedPageBreak/>
        <w:t>starting point of which was an initial expression of interest in designing and co-producing a local TEP. However, the introduction of ReSPECT offered a turning point as the decision was made to continue with considering implementation of a local version or move towards the national ReSPECT process.</w:t>
      </w:r>
    </w:p>
    <w:p w14:paraId="2AB41FF1" w14:textId="77777777" w:rsidR="008F0224" w:rsidRDefault="008F0224" w:rsidP="00A66E8F">
      <w:pPr>
        <w:spacing w:line="480" w:lineRule="auto"/>
        <w:jc w:val="both"/>
        <w:rPr>
          <w:i/>
        </w:rPr>
      </w:pPr>
    </w:p>
    <w:p w14:paraId="36EDAD5A" w14:textId="1D5D989A" w:rsidR="006A2652" w:rsidRPr="008F0224" w:rsidRDefault="006A2652" w:rsidP="00A66E8F">
      <w:pPr>
        <w:spacing w:line="480" w:lineRule="auto"/>
        <w:jc w:val="both"/>
        <w:rPr>
          <w:i/>
        </w:rPr>
      </w:pPr>
      <w:r w:rsidRPr="008F0224">
        <w:rPr>
          <w:i/>
        </w:rPr>
        <w:t>Case 1: Site A</w:t>
      </w:r>
    </w:p>
    <w:p w14:paraId="57202472" w14:textId="77777777" w:rsidR="006A2652" w:rsidRDefault="006A2652" w:rsidP="00A66E8F">
      <w:pPr>
        <w:spacing w:line="480" w:lineRule="auto"/>
        <w:jc w:val="both"/>
      </w:pPr>
      <w:r>
        <w:t xml:space="preserve">At the outset, in terms of the goals of care in place, the Trust was utilising an established DNACPR order, for use by the whole of the local healthcare economy. This had been implemented by the Trust six years previously and taken time to embed, leading to concerns by some about its integration with or replacement by a TEP. </w:t>
      </w:r>
    </w:p>
    <w:p w14:paraId="0722FF96" w14:textId="77777777" w:rsidR="006A2652" w:rsidRDefault="006A2652" w:rsidP="00A66E8F">
      <w:pPr>
        <w:spacing w:line="480" w:lineRule="auto"/>
        <w:ind w:left="720"/>
        <w:jc w:val="both"/>
        <w:rPr>
          <w:i/>
        </w:rPr>
      </w:pPr>
      <w:r w:rsidRPr="00AC0F8C">
        <w:rPr>
          <w:i/>
        </w:rPr>
        <w:t>Certainly here in [name of Trust],</w:t>
      </w:r>
      <w:r>
        <w:rPr>
          <w:i/>
        </w:rPr>
        <w:t xml:space="preserve"> </w:t>
      </w:r>
      <w:r w:rsidRPr="00AC0F8C">
        <w:rPr>
          <w:i/>
        </w:rPr>
        <w:t>we have a local DNACPR which is very well established and fairly well done system of recording if somebody is not for attempted resuscitation. The danger for me then is that something that is working well potentially is not cast aside and replaced with something else.</w:t>
      </w:r>
      <w:r>
        <w:rPr>
          <w:i/>
        </w:rPr>
        <w:t xml:space="preserve"> So my worry would be losing what is already working well. [Senior Nurse ID G11]</w:t>
      </w:r>
    </w:p>
    <w:p w14:paraId="64B3CC9F" w14:textId="77777777" w:rsidR="006A2652" w:rsidRDefault="006A2652" w:rsidP="00A66E8F">
      <w:pPr>
        <w:spacing w:line="480" w:lineRule="auto"/>
        <w:jc w:val="both"/>
      </w:pPr>
      <w:r>
        <w:t xml:space="preserve">In its electronic format, the DNACPR was considered to offer a well-functioning system but it was acknowledged that it incorporated one specific treatment decision and only initiated conversations with patients who were seriously unwell.   </w:t>
      </w:r>
    </w:p>
    <w:p w14:paraId="60BDD344" w14:textId="77777777" w:rsidR="006A2652" w:rsidRDefault="006A2652" w:rsidP="00A66E8F">
      <w:pPr>
        <w:spacing w:line="480" w:lineRule="auto"/>
        <w:jc w:val="both"/>
      </w:pPr>
      <w:r>
        <w:t xml:space="preserve">Initial discussions regarding TEP implementation coincided with an upcoming review of the Trust resuscitation policy and development of other goals of care plans, and presented an opportunity to make a change. A working group was convened to consider the Trust’s position in relation to implementation. A chair was appointed and the core membership comprised a range of clinical specialities.  Regular meetings were held over a two-year period to consider, undertake and delegate the work needed for implementation. Initially, there was strong support from clinicians who could see value in aligning the introduction of TEP with the Trust’s strategic priorities, including reduction in </w:t>
      </w:r>
      <w:r>
        <w:lastRenderedPageBreak/>
        <w:t>patient complaints and admission avoidance. While improving patient experience was acknowledged, the focus was on meeting targets. Work began to make the case for change and discussions focused on the target patient population, education and training required, and bringing about a culture change within the organisation. Widening the working group membership was considered important to obtaining buy-in and while engagement routes and potential individuals were identified, these rarely materialised.</w:t>
      </w:r>
    </w:p>
    <w:p w14:paraId="6D5EB9EF" w14:textId="77777777" w:rsidR="006A2652" w:rsidRDefault="006A2652" w:rsidP="00A66E8F">
      <w:pPr>
        <w:spacing w:line="480" w:lineRule="auto"/>
        <w:ind w:left="720"/>
        <w:jc w:val="both"/>
      </w:pPr>
      <w:r>
        <w:rPr>
          <w:i/>
        </w:rPr>
        <w:t xml:space="preserve">In reviewing the actions of the previous meeting, work had been done to invite more people to join the group. This included a clinician from Emergency Care. There was also discussion about including other specialisms for which it was agreed ‘it was worth exploring’. </w:t>
      </w:r>
      <w:r w:rsidRPr="00F10DF8">
        <w:t xml:space="preserve">[Observation Fieldnotes, Site </w:t>
      </w:r>
      <w:proofErr w:type="gramStart"/>
      <w:r w:rsidRPr="00F10DF8">
        <w:t>A</w:t>
      </w:r>
      <w:proofErr w:type="gramEnd"/>
      <w:r w:rsidRPr="00F10DF8">
        <w:t>, 8</w:t>
      </w:r>
      <w:r w:rsidRPr="00F10DF8">
        <w:rPr>
          <w:vertAlign w:val="superscript"/>
        </w:rPr>
        <w:t>th</w:t>
      </w:r>
      <w:r w:rsidRPr="00F10DF8">
        <w:t xml:space="preserve"> Working Group Meeting]</w:t>
      </w:r>
    </w:p>
    <w:p w14:paraId="660FE4AE" w14:textId="77777777" w:rsidR="006A2652" w:rsidRPr="006F3A28" w:rsidRDefault="006A2652" w:rsidP="00A66E8F">
      <w:pPr>
        <w:spacing w:line="480" w:lineRule="auto"/>
        <w:ind w:left="720"/>
        <w:jc w:val="both"/>
        <w:rPr>
          <w:i/>
        </w:rPr>
      </w:pPr>
      <w:r>
        <w:rPr>
          <w:i/>
        </w:rPr>
        <w:t xml:space="preserve">Low attendance at today’s meeting and new members present at the previous couple of meetings were absent. It was reported that the Emergency Care Clinician who had been invited to join was now unlikely to participate and they would need to identify someone else. An Emergency Medicine Consultant was suggested as a potential but no action was assigned for someone to contact them. </w:t>
      </w:r>
      <w:r w:rsidRPr="00F10DF8">
        <w:t>[Observation Fieldnote</w:t>
      </w:r>
      <w:r>
        <w:t>s</w:t>
      </w:r>
      <w:r w:rsidRPr="00F10DF8">
        <w:t xml:space="preserve">, Site </w:t>
      </w:r>
      <w:proofErr w:type="gramStart"/>
      <w:r w:rsidRPr="00F10DF8">
        <w:t>A</w:t>
      </w:r>
      <w:proofErr w:type="gramEnd"/>
      <w:r w:rsidRPr="00F10DF8">
        <w:t>, 11</w:t>
      </w:r>
      <w:r w:rsidRPr="00F10DF8">
        <w:rPr>
          <w:vertAlign w:val="superscript"/>
        </w:rPr>
        <w:t>th</w:t>
      </w:r>
      <w:r w:rsidRPr="00F10DF8">
        <w:t xml:space="preserve"> Working Group Meeting]</w:t>
      </w:r>
    </w:p>
    <w:p w14:paraId="0AC4E5EB" w14:textId="77777777" w:rsidR="006A2652" w:rsidRDefault="006A2652" w:rsidP="00A66E8F">
      <w:pPr>
        <w:spacing w:line="480" w:lineRule="auto"/>
        <w:jc w:val="both"/>
      </w:pPr>
      <w:r>
        <w:t xml:space="preserve">From the outset, fundamental issues evident within the group early on remained unresolved. In particular, a preference for a local TEP rather than the ReSPECT process, despite the latter having organisational support and recognition that ReSPECT was being promoted for national adoption.  Previous acknowledgement of gaps in the DNACPR, with regard to treatment escalation, were superseded with increasing concerns that TEP would replace the DNACPR, as the national process required incorporating DNACPR within ReSPECT. In essence a TEP was sought that was locally contextualised, leading to a reluctance to relinquish the DNACPR that persisted. </w:t>
      </w:r>
    </w:p>
    <w:p w14:paraId="3EB521C4" w14:textId="77777777" w:rsidR="006A2652" w:rsidRDefault="006A2652" w:rsidP="00A66E8F">
      <w:pPr>
        <w:spacing w:line="480" w:lineRule="auto"/>
        <w:jc w:val="both"/>
      </w:pPr>
      <w:r>
        <w:t xml:space="preserve">In addition, dissatisfaction with the content and format of the ReSPECT form led to a pre-occupation with the form, rather than the overall process. It also revealed some concerns about risk and uncertainty with regard to the national process that extended to professional fears regarding </w:t>
      </w:r>
      <w:r>
        <w:lastRenderedPageBreak/>
        <w:t xml:space="preserve">clinicians’ ability to carry out the work of ReSPECT, which necessitated conducting sensitive conversations with patients and families. </w:t>
      </w:r>
    </w:p>
    <w:p w14:paraId="53384C9D" w14:textId="77777777" w:rsidR="006A2652" w:rsidRDefault="006A2652" w:rsidP="00A66E8F">
      <w:pPr>
        <w:spacing w:line="480" w:lineRule="auto"/>
        <w:jc w:val="both"/>
      </w:pPr>
      <w:r>
        <w:t>Observation fieldnotes recorded on several occasions that the issue of “</w:t>
      </w:r>
      <w:r w:rsidRPr="006F00F3">
        <w:rPr>
          <w:i/>
        </w:rPr>
        <w:t>staff being scared to have the conversation due to lack of confidence”</w:t>
      </w:r>
      <w:r>
        <w:t xml:space="preserve"> and </w:t>
      </w:r>
      <w:r w:rsidRPr="006F00F3">
        <w:rPr>
          <w:i/>
        </w:rPr>
        <w:t>“a need to increase confidence in having the conversation across the board”</w:t>
      </w:r>
      <w:r>
        <w:t xml:space="preserve"> being raised at working group meetings.</w:t>
      </w:r>
    </w:p>
    <w:p w14:paraId="31E00EDC" w14:textId="77777777" w:rsidR="006A2652" w:rsidRDefault="006A2652" w:rsidP="00A66E8F">
      <w:pPr>
        <w:spacing w:line="480" w:lineRule="auto"/>
        <w:jc w:val="both"/>
      </w:pPr>
      <w:r>
        <w:t xml:space="preserve">There was a lack of coherence by some working group members of the difference between TEP and other end of life care plans, leading to a lack of concordance regarding the purpose and value of TEP.  Agreement also failed to be reached on the target population for TEP and if it should be initiated in the community or acute sector. Similarly, a lack of consensus persisted with particular implementation issues such as resources, ownership and leadership. </w:t>
      </w:r>
    </w:p>
    <w:p w14:paraId="7BA6D001" w14:textId="77777777" w:rsidR="006A2652" w:rsidRDefault="006A2652" w:rsidP="00A66E8F">
      <w:pPr>
        <w:spacing w:line="480" w:lineRule="auto"/>
        <w:jc w:val="both"/>
      </w:pPr>
      <w:r>
        <w:t>After the first six months, there was a gradual loss of momentum and commitment appeared to wane. Meetings were poorly attended, with only two or three members present at some, the Chair was often absent resulting in actions from previous meetings not being followed up, and work between meetings was limited or did not happen. As progress slowed, gradually resistance grew from some who had originally been supportive and a professional defensiveness about TEP implementation became increasingly evident. By the end of the second year, no plans were made to hold further meetings and attempts to introduce TEP ceased.</w:t>
      </w:r>
    </w:p>
    <w:p w14:paraId="4B2A7912" w14:textId="3220319A" w:rsidR="006F00F3" w:rsidRPr="008F0224" w:rsidRDefault="006A2652" w:rsidP="00A66E8F">
      <w:pPr>
        <w:spacing w:line="480" w:lineRule="auto"/>
        <w:jc w:val="both"/>
        <w:rPr>
          <w:i/>
        </w:rPr>
      </w:pPr>
      <w:r w:rsidRPr="008F0224">
        <w:rPr>
          <w:i/>
        </w:rPr>
        <w:t>Case 2: Site B</w:t>
      </w:r>
    </w:p>
    <w:p w14:paraId="51475CB7" w14:textId="5EF31D6B" w:rsidR="006A2652" w:rsidRDefault="006A2652" w:rsidP="00A66E8F">
      <w:pPr>
        <w:spacing w:line="480" w:lineRule="auto"/>
        <w:jc w:val="both"/>
      </w:pPr>
      <w:r>
        <w:t xml:space="preserve">The Trust had a history of implementing change, with a preference for national rather than local solutions. </w:t>
      </w:r>
      <w:r w:rsidRPr="00C9368E">
        <w:t>They had been early adopters of previous pathways for delivering care to patients at end of life and were experienced at enacting both local and national goals of care programmes.</w:t>
      </w:r>
      <w:r>
        <w:t xml:space="preserve"> The Trust used the national DNACPR form for all </w:t>
      </w:r>
      <w:r w:rsidRPr="00344636">
        <w:rPr>
          <w:i/>
        </w:rPr>
        <w:t>do not resuscitate</w:t>
      </w:r>
      <w:r>
        <w:t xml:space="preserve"> decisions, having not signed up to the local version in operation across the neighbouring region, following concerns from the Trust’s legal team regarding accepting a DNACPR form that went to different care settings.  The use of a non-</w:t>
      </w:r>
      <w:r>
        <w:lastRenderedPageBreak/>
        <w:t xml:space="preserve">transferrable DNACPR that was only suitable for use in the hospital resulted in limited cross boundary communication. Frustrations were also expressed regarding the Trust requirement of a new form having to be completed each time a patient was admitted, even if readmission was within a few hours of discharge, leading to clinicians feeling disempowered to change inefficient processes. </w:t>
      </w:r>
    </w:p>
    <w:p w14:paraId="39BCAA01" w14:textId="77777777" w:rsidR="006A2652" w:rsidRDefault="006A2652" w:rsidP="00A66E8F">
      <w:pPr>
        <w:spacing w:line="480" w:lineRule="auto"/>
        <w:jc w:val="both"/>
      </w:pPr>
      <w:r>
        <w:t xml:space="preserve">The hospice linked to the Trust used a local TEP at discharge and there was a history of external pressure for the hospital to do the same. While there was support for a TEP process in the Trust there were concerns that this local TEP, developed for use in the community, was not fit for purpose in a hospital setting. This led to any attempts to impose the TEP being rejected in favour of waiting for a national solution. The lack of an effective DNACPR and TEP process suggested there was potential to make a case for change. </w:t>
      </w:r>
    </w:p>
    <w:p w14:paraId="15D2B3D2" w14:textId="77777777" w:rsidR="006A2652" w:rsidRDefault="006A2652" w:rsidP="00A66E8F">
      <w:pPr>
        <w:spacing w:line="480" w:lineRule="auto"/>
        <w:jc w:val="both"/>
      </w:pPr>
      <w:r>
        <w:t>Initial interest in working towards TEP implementation led to the setting up of a working group with a range of specialities represented, and potential individuals identified who could extend the membership. At the time, a national TEP process was not on the immediate horizon but the group decided to go ahead. At the inaugural meeting, there was strong engagement. Agreement was reached about the target population for TEP, and consensus that the process was not just about the form but more importantly the conversation with patients and families. This was an opportunity to bring about a change in culture within the organisation and improve patient care and experience and the group were clear as to what mattered most.</w:t>
      </w:r>
    </w:p>
    <w:p w14:paraId="4F492F64" w14:textId="77777777" w:rsidR="006A2652" w:rsidRPr="005B35F0" w:rsidRDefault="006A2652" w:rsidP="00A66E8F">
      <w:pPr>
        <w:spacing w:line="480" w:lineRule="auto"/>
        <w:ind w:left="720"/>
        <w:jc w:val="both"/>
      </w:pPr>
      <w:r>
        <w:rPr>
          <w:i/>
        </w:rPr>
        <w:t xml:space="preserve">The discussion moved on to what was important with regard to TEP. It was agreed it was less about the form and there should be a focus on cultures and behaviours to understand why people do not do things. Keeping the form simple and </w:t>
      </w:r>
      <w:r w:rsidRPr="0099712D">
        <w:rPr>
          <w:i/>
        </w:rPr>
        <w:t xml:space="preserve">transferrable between settings </w:t>
      </w:r>
      <w:r>
        <w:rPr>
          <w:i/>
        </w:rPr>
        <w:t xml:space="preserve">was key. The patient should be the custodian of the form with an electronic version so it could be shared. A clear way to indicate when decisions had been superseded was crucial and the form needed to be workable for confidential use by junior doctors and nurses. </w:t>
      </w:r>
      <w:r>
        <w:t>[Observation Fieldnotes, Site B, 1</w:t>
      </w:r>
      <w:r w:rsidRPr="005B35F0">
        <w:rPr>
          <w:vertAlign w:val="superscript"/>
        </w:rPr>
        <w:t>st</w:t>
      </w:r>
      <w:r>
        <w:t xml:space="preserve"> Working Group Meeting]</w:t>
      </w:r>
    </w:p>
    <w:p w14:paraId="45AC00B2" w14:textId="77777777" w:rsidR="006A2652" w:rsidRDefault="006A2652" w:rsidP="00A66E8F">
      <w:pPr>
        <w:spacing w:line="480" w:lineRule="auto"/>
        <w:jc w:val="both"/>
      </w:pPr>
      <w:r>
        <w:lastRenderedPageBreak/>
        <w:t xml:space="preserve">However, while there was initial enthusiasm, little was discussed in terms of next steps or an action plan. Eight months elapsed between the first and second meetings.  By the time of the second (and final) meeting, plans were underway to introduce the national ReSPECT process. However, organisational priorities had now changed with an imminent inspection from the independent health and social care regulator. The Chair reported challenges around securing time commitments from the group and a lack of buy-in at senior level. </w:t>
      </w:r>
    </w:p>
    <w:p w14:paraId="72A37FAF" w14:textId="77777777" w:rsidR="006A2652" w:rsidRDefault="006A2652" w:rsidP="00A66E8F">
      <w:pPr>
        <w:spacing w:line="480" w:lineRule="auto"/>
        <w:ind w:left="720"/>
        <w:jc w:val="both"/>
      </w:pPr>
      <w:r>
        <w:t xml:space="preserve"> </w:t>
      </w:r>
      <w:r>
        <w:rPr>
          <w:i/>
        </w:rPr>
        <w:t xml:space="preserve">It </w:t>
      </w:r>
      <w:r w:rsidRPr="00370814">
        <w:rPr>
          <w:i/>
        </w:rPr>
        <w:t xml:space="preserve">feels that nobody has </w:t>
      </w:r>
      <w:r>
        <w:rPr>
          <w:i/>
        </w:rPr>
        <w:t xml:space="preserve">got </w:t>
      </w:r>
      <w:r w:rsidRPr="00370814">
        <w:rPr>
          <w:i/>
        </w:rPr>
        <w:t>any time for it and it’s taking a back burner. For me, the first thing is that everybody actually wants to do it particularly from the kind of management perspective</w:t>
      </w:r>
      <w:r>
        <w:rPr>
          <w:i/>
        </w:rPr>
        <w:t xml:space="preserve"> … </w:t>
      </w:r>
      <w:r w:rsidRPr="00370814">
        <w:rPr>
          <w:i/>
        </w:rPr>
        <w:t>if you don’t have everyone engaged and knowing the reason why i</w:t>
      </w:r>
      <w:r>
        <w:rPr>
          <w:i/>
        </w:rPr>
        <w:t xml:space="preserve">t’s needing to be done, </w:t>
      </w:r>
      <w:r w:rsidRPr="00370814">
        <w:rPr>
          <w:i/>
        </w:rPr>
        <w:t>then you fail at the first hurdle. So, I think, it’s--- it’s having that support from management preferably with some form of resource and then</w:t>
      </w:r>
      <w:r>
        <w:rPr>
          <w:i/>
        </w:rPr>
        <w:t xml:space="preserve"> having the shop floor support. </w:t>
      </w:r>
      <w:r>
        <w:t>[Consultant, Site B, ID SO4]</w:t>
      </w:r>
    </w:p>
    <w:p w14:paraId="0566404F" w14:textId="77777777" w:rsidR="006A2652" w:rsidRDefault="006A2652" w:rsidP="00A66E8F">
      <w:pPr>
        <w:spacing w:line="480" w:lineRule="auto"/>
        <w:jc w:val="both"/>
      </w:pPr>
      <w:r>
        <w:t xml:space="preserve">The interest and engagement that was evident early on had largely evaporated. While a financial incentive was mooted as a way of renewing interest, there was a reluctance to pursue implementing the national process and go it alone if other Trusts in the locality did not adopt. The Working Group Chair continued to engage in regional meetings with other organisations who were considering adopting ReSPECT but no further meetings to consider its introduction in the Trust were convened. </w:t>
      </w:r>
    </w:p>
    <w:p w14:paraId="3EBDC12F" w14:textId="77777777" w:rsidR="006A2652" w:rsidRPr="008F0224" w:rsidRDefault="006A2652" w:rsidP="00A66E8F">
      <w:pPr>
        <w:spacing w:line="480" w:lineRule="auto"/>
        <w:jc w:val="both"/>
        <w:rPr>
          <w:i/>
        </w:rPr>
      </w:pPr>
      <w:r w:rsidRPr="008F0224">
        <w:rPr>
          <w:i/>
        </w:rPr>
        <w:t>Case 3: Site C</w:t>
      </w:r>
    </w:p>
    <w:p w14:paraId="10A9018B" w14:textId="77777777" w:rsidR="006A2652" w:rsidRDefault="006A2652" w:rsidP="00A66E8F">
      <w:pPr>
        <w:spacing w:line="480" w:lineRule="auto"/>
        <w:jc w:val="both"/>
      </w:pPr>
      <w:r>
        <w:t xml:space="preserve">The use of care pathways was well established within the Trust, with regular audits of their completion, and education and training initiatives to support their use. The locality wide DNACPR was in operation and viewed as functioning well. However, it was recognised that there was a gap when it came to conversations about goals of care that were not focused solely on resuscitation.  A need to improve treatment decision-making and work to make the case for change, including an audit of ‘out of hours’ calls, was already underway when several key protagonists were alerted to the opportunity in the region to develop a local TEP. From the outset, coherence around the purpose of a TEP was </w:t>
      </w:r>
      <w:r>
        <w:lastRenderedPageBreak/>
        <w:t>generated and there was a clear collective vision within the working group as to its value.</w:t>
      </w:r>
      <w:r w:rsidRPr="00176CE1">
        <w:t xml:space="preserve"> </w:t>
      </w:r>
      <w:r>
        <w:t xml:space="preserve">The drive to implement focused firmly on the benefits for patients and their families.  </w:t>
      </w:r>
    </w:p>
    <w:p w14:paraId="3EACE054" w14:textId="77777777" w:rsidR="006A2652" w:rsidRPr="0011271E" w:rsidRDefault="006A2652" w:rsidP="00A66E8F">
      <w:pPr>
        <w:spacing w:line="480" w:lineRule="auto"/>
        <w:ind w:left="720"/>
        <w:jc w:val="both"/>
      </w:pPr>
      <w:r w:rsidRPr="0011271E">
        <w:rPr>
          <w:i/>
        </w:rPr>
        <w:t xml:space="preserve">I think, there’s huge value for all professionals </w:t>
      </w:r>
      <w:r>
        <w:rPr>
          <w:i/>
        </w:rPr>
        <w:t xml:space="preserve">involved to make sure that </w:t>
      </w:r>
      <w:r w:rsidRPr="0011271E">
        <w:rPr>
          <w:i/>
        </w:rPr>
        <w:t>we’re meeting the patient’s expressed wishes about their medical treatment and, importantly, I think for out of hours care where ther</w:t>
      </w:r>
      <w:r>
        <w:rPr>
          <w:i/>
        </w:rPr>
        <w:t>e’s a lot of uncertainty, a l</w:t>
      </w:r>
      <w:r w:rsidRPr="0011271E">
        <w:rPr>
          <w:i/>
        </w:rPr>
        <w:t>o</w:t>
      </w:r>
      <w:r>
        <w:rPr>
          <w:i/>
        </w:rPr>
        <w:t>t o</w:t>
      </w:r>
      <w:r w:rsidRPr="0011271E">
        <w:rPr>
          <w:i/>
        </w:rPr>
        <w:t>f limited professionals around who may or may not know the patient. So, if a patient particularly deteriorates out of hours then everybody, including the nursing staff, know how they are to treat and manage the care for that person, again, in line with the person’s preferred wish and with family involvement too</w:t>
      </w:r>
      <w:r>
        <w:rPr>
          <w:i/>
        </w:rPr>
        <w:t>. W</w:t>
      </w:r>
      <w:r w:rsidRPr="0011271E">
        <w:rPr>
          <w:i/>
        </w:rPr>
        <w:t>hether that’s including a DNACPR or whether it’s just escalation to a high dependency unit, or not, so that we’re not doing unnecessary investigations or interventions</w:t>
      </w:r>
      <w:r>
        <w:rPr>
          <w:i/>
        </w:rPr>
        <w:t xml:space="preserve"> [Nurse, Site C, ID B07]</w:t>
      </w:r>
    </w:p>
    <w:p w14:paraId="0926BE27" w14:textId="77777777" w:rsidR="006A2652" w:rsidRDefault="006A2652" w:rsidP="00A66E8F">
      <w:pPr>
        <w:spacing w:line="480" w:lineRule="auto"/>
        <w:jc w:val="both"/>
      </w:pPr>
      <w:r>
        <w:t>There was evidence to suggest that TEP was viewed as a means to offer person centred individualised care with recognition that the conversation was more important than the form.</w:t>
      </w:r>
    </w:p>
    <w:p w14:paraId="2E598428" w14:textId="77777777" w:rsidR="006A2652" w:rsidRPr="0011271E" w:rsidRDefault="006A2652" w:rsidP="00A66E8F">
      <w:pPr>
        <w:spacing w:line="480" w:lineRule="auto"/>
        <w:ind w:left="720"/>
        <w:jc w:val="both"/>
        <w:rPr>
          <w:i/>
        </w:rPr>
      </w:pPr>
      <w:r>
        <w:rPr>
          <w:i/>
        </w:rPr>
        <w:t>TEP</w:t>
      </w:r>
      <w:r w:rsidRPr="0011271E">
        <w:rPr>
          <w:i/>
        </w:rPr>
        <w:t xml:space="preserve"> actually prompts patients to think about this and to discuss what their wishes are with their close family, and their carers, and their medical team, so that we can then make the right decisions at the crisis point, or have more information about what the patient’s wishes are because often we don’t actually have all of that information. </w:t>
      </w:r>
      <w:r>
        <w:rPr>
          <w:i/>
        </w:rPr>
        <w:t>[</w:t>
      </w:r>
      <w:r w:rsidRPr="0011271E">
        <w:rPr>
          <w:i/>
        </w:rPr>
        <w:t>Consultant, Site C, I</w:t>
      </w:r>
      <w:r>
        <w:rPr>
          <w:i/>
        </w:rPr>
        <w:t>D</w:t>
      </w:r>
      <w:r w:rsidRPr="0011271E">
        <w:rPr>
          <w:i/>
        </w:rPr>
        <w:t xml:space="preserve"> B05]</w:t>
      </w:r>
    </w:p>
    <w:p w14:paraId="3B2FCFE4" w14:textId="77777777" w:rsidR="006A2652" w:rsidRDefault="006A2652" w:rsidP="00A66E8F">
      <w:pPr>
        <w:spacing w:line="480" w:lineRule="auto"/>
        <w:jc w:val="both"/>
      </w:pPr>
      <w:r>
        <w:t>While there was some initial uncertainty about the target patient population, this was quickly resolved and the process to implement commenced</w:t>
      </w:r>
      <w:r w:rsidRPr="009B3FD7">
        <w:t xml:space="preserve">. </w:t>
      </w:r>
      <w:r>
        <w:t xml:space="preserve">A working group, convened by a palliative care consultant, comprised membership from a range of clinicians. However, while there was a determination for TEP to be seen as broader than a palliative care initiative, attempts to shift the leadership to other specialities were unsuccessful and with no one else to drive it, the role of Chair remained with palliative care for the duration of the process. </w:t>
      </w:r>
    </w:p>
    <w:p w14:paraId="3447441B" w14:textId="77777777" w:rsidR="006A2652" w:rsidRDefault="006A2652" w:rsidP="00A66E8F">
      <w:pPr>
        <w:spacing w:line="480" w:lineRule="auto"/>
        <w:jc w:val="both"/>
      </w:pPr>
      <w:r>
        <w:lastRenderedPageBreak/>
        <w:t>The requirements of the leadership role changed over the implementation process from promoting the value of TEP, to how they were going to make it happen and engaging others outside of the organisation. While the role of the leader continued to be important, this lessened as the collective influence and strength of the group increased.  A keenness to work cross-organisationally and involve others outside of the trust was voiced from the start and in-between meetings new members were engaged from the community, general practice, ambulance service, and local healthcare planning and commissioning services.</w:t>
      </w:r>
    </w:p>
    <w:p w14:paraId="2D0C9754" w14:textId="77777777" w:rsidR="006A2652" w:rsidRDefault="006A2652" w:rsidP="00A66E8F">
      <w:pPr>
        <w:spacing w:line="480" w:lineRule="auto"/>
        <w:jc w:val="both"/>
      </w:pPr>
      <w:r>
        <w:t xml:space="preserve">Recognition of </w:t>
      </w:r>
      <w:r w:rsidRPr="00E5403F">
        <w:t xml:space="preserve">the impact of implementing </w:t>
      </w:r>
      <w:r>
        <w:t>a TEP</w:t>
      </w:r>
      <w:r w:rsidRPr="00E5403F">
        <w:t xml:space="preserve"> on partner agencies within the local health and care communities led to key stakeholders being informed</w:t>
      </w:r>
      <w:r>
        <w:t xml:space="preserve"> </w:t>
      </w:r>
      <w:r w:rsidRPr="00E5403F">
        <w:t>and included early in the process</w:t>
      </w:r>
      <w:r>
        <w:t xml:space="preserve">. This was essential to achieving buy-in and linking with other networks ensured that the group did not work in isolation and had legitimacy to make decisions. </w:t>
      </w:r>
      <w:r w:rsidRPr="00E5403F">
        <w:t xml:space="preserve"> </w:t>
      </w:r>
      <w:r>
        <w:t>In addition, the diversity of the membership and continual engagement with a range of stakeholders served to strengthen the group and provided them with the credibility to challenge dissenters who sought to block or derail implementation. At several points in the implementation journey significant opposition, or at a minimum neutrality, was expressed by individuals within the Trust and the wider clinical community. This necessitated the management of complex relationships and interactions by the group whose approach was always to listen to and engage those opposed to implementation.</w:t>
      </w:r>
    </w:p>
    <w:p w14:paraId="57162AFC" w14:textId="54151642" w:rsidR="006A2652" w:rsidRPr="00127143" w:rsidRDefault="006A2652" w:rsidP="00127143">
      <w:pPr>
        <w:spacing w:line="480" w:lineRule="auto"/>
        <w:jc w:val="both"/>
      </w:pPr>
      <w:r w:rsidRPr="00127143">
        <w:t xml:space="preserve">Patient representation was also considered integral to the membership and the patient voice was important to maintaining group momentum when clinicians were sometimes in danger of losing their way and becoming enmeshed in the process and the challenges of reaching consensus and agreeing implementation plans. </w:t>
      </w:r>
      <w:r>
        <w:t xml:space="preserve">This was evident from the comments of one patient contributor who urged the healthcare professionals “I </w:t>
      </w:r>
      <w:r w:rsidRPr="006F5497">
        <w:rPr>
          <w:i/>
        </w:rPr>
        <w:t>don’t care what colour the form is, or what system [is used] please find a way to make it work</w:t>
      </w:r>
      <w:r>
        <w:t>”</w:t>
      </w:r>
      <w:r w:rsidR="006F5497">
        <w:t>.</w:t>
      </w:r>
      <w:r>
        <w:t xml:space="preserve"> [Observation Fieldnotes, Site C Working Group 8]</w:t>
      </w:r>
    </w:p>
    <w:p w14:paraId="087BEB9A" w14:textId="77777777" w:rsidR="006A2652" w:rsidRDefault="006A2652" w:rsidP="00A66E8F">
      <w:pPr>
        <w:spacing w:line="480" w:lineRule="auto"/>
        <w:jc w:val="both"/>
      </w:pPr>
      <w:r>
        <w:t xml:space="preserve">The working group functioned as a collaborative with each member having their own area of responsibility and drawing on their specialist knowledge, derived from both professional and personal </w:t>
      </w:r>
      <w:r>
        <w:lastRenderedPageBreak/>
        <w:t>experience.  From the first meeting there was recognition that processes were required to manage the introduction of TEP in the Trust. Terms of reference and a reporting structure were developed and by the third meeting, these were agreed and then reviewed during key points in the process, for example following the transition from a working group to a ReSPECT implementation network when the decision was made to pursue the national process. A core working group and identified leads for various aspects of the implementation work meant consistent progress was made on completing different tasks. This included development and application of a formalised implementation framework; a sustained communication strategy involving both practitioner and non-practitioner routes; training and education sessions to engage staff and raise awareness; and strategies to overcome technology and practical resource issues. Engaging with the public to avoid misinformation about ReSPECT, and its purpose, and prevent negative media attention was also seen as important work of the group.</w:t>
      </w:r>
    </w:p>
    <w:p w14:paraId="150A358F" w14:textId="77777777" w:rsidR="006A2652" w:rsidRPr="00A07947" w:rsidRDefault="006A2652" w:rsidP="00A07947">
      <w:pPr>
        <w:spacing w:line="480" w:lineRule="auto"/>
        <w:ind w:left="720"/>
        <w:jc w:val="both"/>
      </w:pPr>
      <w:r w:rsidRPr="00A07947">
        <w:rPr>
          <w:i/>
        </w:rPr>
        <w:t>The Chair raised concerns about possible media interest that could be either very positive or extremely negative. They said there had already been a fairly negative piece in an English tabloid newspaper with regard to ReSPECT so it was necessary to consider early engagement with local media as they start moving on this</w:t>
      </w:r>
      <w:r w:rsidRPr="00A07947">
        <w:t>. [Observation Fieldnotes, Site C, 3</w:t>
      </w:r>
      <w:r w:rsidRPr="00A07947">
        <w:rPr>
          <w:vertAlign w:val="superscript"/>
        </w:rPr>
        <w:t>rd</w:t>
      </w:r>
      <w:r w:rsidRPr="00A07947">
        <w:t xml:space="preserve"> Working Group Meeting]</w:t>
      </w:r>
    </w:p>
    <w:p w14:paraId="43B574C8" w14:textId="77777777" w:rsidR="006A2652" w:rsidRDefault="006A2652" w:rsidP="00A66E8F">
      <w:pPr>
        <w:spacing w:line="480" w:lineRule="auto"/>
        <w:jc w:val="both"/>
      </w:pPr>
      <w:r>
        <w:t xml:space="preserve">Following sustained levels of engagement and commitment and a process characterised by a pragmatic and ‘solutions not problems’ approach to implementation, ReSPECT was introduced in the Trust two years after the first meeting was held. </w:t>
      </w:r>
    </w:p>
    <w:p w14:paraId="22230E62" w14:textId="77777777" w:rsidR="00E662A6" w:rsidRDefault="00E662A6" w:rsidP="00A66E8F">
      <w:pPr>
        <w:spacing w:line="480" w:lineRule="auto"/>
        <w:jc w:val="both"/>
        <w:rPr>
          <w:rFonts w:ascii="Calibri" w:eastAsia="Calibri" w:hAnsi="Calibri" w:cs="Times New Roman"/>
          <w:b/>
        </w:rPr>
      </w:pPr>
    </w:p>
    <w:p w14:paraId="234E0196" w14:textId="3D5C89E6" w:rsidR="006A2652" w:rsidRPr="00DF1780" w:rsidRDefault="006A2652" w:rsidP="00A66E8F">
      <w:pPr>
        <w:spacing w:line="480" w:lineRule="auto"/>
        <w:jc w:val="both"/>
        <w:rPr>
          <w:rFonts w:ascii="Calibri" w:eastAsia="Calibri" w:hAnsi="Calibri" w:cs="Times New Roman"/>
          <w:b/>
        </w:rPr>
      </w:pPr>
      <w:r w:rsidRPr="00DF1780">
        <w:rPr>
          <w:rFonts w:ascii="Calibri" w:eastAsia="Calibri" w:hAnsi="Calibri" w:cs="Times New Roman"/>
          <w:b/>
        </w:rPr>
        <w:t>D</w:t>
      </w:r>
      <w:r>
        <w:rPr>
          <w:rFonts w:ascii="Calibri" w:eastAsia="Calibri" w:hAnsi="Calibri" w:cs="Times New Roman"/>
          <w:b/>
        </w:rPr>
        <w:t>iscussion</w:t>
      </w:r>
    </w:p>
    <w:p w14:paraId="029FA4AC" w14:textId="58D6C7F7" w:rsidR="006A2652" w:rsidRPr="00DF1780" w:rsidRDefault="006A2652" w:rsidP="00A66E8F">
      <w:pPr>
        <w:spacing w:line="480" w:lineRule="auto"/>
        <w:jc w:val="both"/>
        <w:rPr>
          <w:rFonts w:ascii="Calibri" w:eastAsia="Calibri" w:hAnsi="Calibri" w:cs="Times New Roman"/>
        </w:rPr>
      </w:pPr>
      <w:r w:rsidRPr="00DF1780">
        <w:rPr>
          <w:rFonts w:ascii="Calibri" w:eastAsia="Calibri" w:hAnsi="Calibri" w:cs="Times New Roman"/>
        </w:rPr>
        <w:t xml:space="preserve">The focus of this paper has been to explicate the relationship between agency and context when attempting to bring about change in an organisation. The use of case study design enabled a rich and </w:t>
      </w:r>
      <w:r w:rsidRPr="00DF1780">
        <w:rPr>
          <w:rFonts w:ascii="Calibri" w:eastAsia="Calibri" w:hAnsi="Calibri" w:cs="Times New Roman"/>
        </w:rPr>
        <w:lastRenderedPageBreak/>
        <w:t xml:space="preserve">detailed insight to be developed within and across </w:t>
      </w:r>
      <w:r>
        <w:rPr>
          <w:rFonts w:ascii="Calibri" w:eastAsia="Calibri" w:hAnsi="Calibri" w:cs="Times New Roman"/>
        </w:rPr>
        <w:t xml:space="preserve">multiple </w:t>
      </w:r>
      <w:r w:rsidRPr="00DF1780">
        <w:rPr>
          <w:rFonts w:ascii="Calibri" w:eastAsia="Calibri" w:hAnsi="Calibri" w:cs="Times New Roman"/>
        </w:rPr>
        <w:t xml:space="preserve">organisational settings. This helped to identify and characterise the internal and external dynamics of implementation processes and understand how interactions between participants and contexts can influence change. </w:t>
      </w:r>
      <w:r w:rsidRPr="0008013F">
        <w:rPr>
          <w:rFonts w:ascii="Calibri" w:eastAsia="Calibri" w:hAnsi="Calibri" w:cs="Times New Roman"/>
        </w:rPr>
        <w:t xml:space="preserve">Using NPT enabled the identification of </w:t>
      </w:r>
      <w:r>
        <w:rPr>
          <w:rFonts w:ascii="Calibri" w:eastAsia="Calibri" w:hAnsi="Calibri" w:cs="Times New Roman"/>
        </w:rPr>
        <w:t xml:space="preserve">the </w:t>
      </w:r>
      <w:r w:rsidRPr="0008013F">
        <w:rPr>
          <w:rFonts w:ascii="Calibri" w:eastAsia="Calibri" w:hAnsi="Calibri" w:cs="Times New Roman"/>
        </w:rPr>
        <w:t>different types of work needed to manage contexts during the</w:t>
      </w:r>
      <w:r>
        <w:rPr>
          <w:rFonts w:ascii="Calibri" w:eastAsia="Calibri" w:hAnsi="Calibri" w:cs="Times New Roman"/>
        </w:rPr>
        <w:t xml:space="preserve"> translation</w:t>
      </w:r>
      <w:r w:rsidRPr="0008013F">
        <w:rPr>
          <w:rFonts w:ascii="Calibri" w:eastAsia="Calibri" w:hAnsi="Calibri" w:cs="Times New Roman"/>
        </w:rPr>
        <w:t xml:space="preserve"> phase.</w:t>
      </w:r>
      <w:r>
        <w:rPr>
          <w:rFonts w:ascii="Calibri" w:eastAsia="Calibri" w:hAnsi="Calibri" w:cs="Times New Roman"/>
        </w:rPr>
        <w:t xml:space="preserve"> F</w:t>
      </w:r>
      <w:r w:rsidRPr="00DF1780">
        <w:rPr>
          <w:rFonts w:ascii="Calibri" w:eastAsia="Calibri" w:hAnsi="Calibri" w:cs="Times New Roman"/>
        </w:rPr>
        <w:t xml:space="preserve">indings show that while each organisation faced the same implementation problem, there was variation between settings with regard to adoption. We suggest this </w:t>
      </w:r>
      <w:r>
        <w:rPr>
          <w:rFonts w:ascii="Calibri" w:eastAsia="Calibri" w:hAnsi="Calibri" w:cs="Times New Roman"/>
        </w:rPr>
        <w:t xml:space="preserve">can </w:t>
      </w:r>
      <w:r w:rsidRPr="00DF1780">
        <w:rPr>
          <w:rFonts w:ascii="Calibri" w:eastAsia="Calibri" w:hAnsi="Calibri" w:cs="Times New Roman"/>
        </w:rPr>
        <w:t>be explained by participants’ interaction with, and mobilisation of, aspects of contexts and the work carried out</w:t>
      </w:r>
      <w:r>
        <w:rPr>
          <w:rFonts w:ascii="Calibri" w:eastAsia="Calibri" w:hAnsi="Calibri" w:cs="Times New Roman"/>
        </w:rPr>
        <w:t xml:space="preserve"> to shape and manage contexts. </w:t>
      </w:r>
    </w:p>
    <w:p w14:paraId="79E12CB6" w14:textId="2E4D8988" w:rsidR="00197CEF" w:rsidRPr="00197CEF" w:rsidRDefault="006A2652" w:rsidP="00A1445C">
      <w:pPr>
        <w:spacing w:line="480" w:lineRule="auto"/>
        <w:jc w:val="both"/>
        <w:rPr>
          <w:rFonts w:ascii="Calibri" w:eastAsia="Calibri" w:hAnsi="Calibri" w:cs="Times New Roman"/>
        </w:rPr>
      </w:pPr>
      <w:r w:rsidRPr="00DF1780">
        <w:rPr>
          <w:rFonts w:ascii="Calibri" w:eastAsia="Calibri" w:hAnsi="Calibri" w:cs="Times New Roman"/>
        </w:rPr>
        <w:t xml:space="preserve">We identified a number of contexts that operated at </w:t>
      </w:r>
      <w:r>
        <w:rPr>
          <w:rFonts w:ascii="Calibri" w:eastAsia="Calibri" w:hAnsi="Calibri" w:cs="Times New Roman"/>
        </w:rPr>
        <w:t xml:space="preserve">multiple levels (micro, </w:t>
      </w:r>
      <w:proofErr w:type="spellStart"/>
      <w:r w:rsidRPr="00DF1780">
        <w:rPr>
          <w:rFonts w:ascii="Calibri" w:eastAsia="Calibri" w:hAnsi="Calibri" w:cs="Times New Roman"/>
        </w:rPr>
        <w:t>m</w:t>
      </w:r>
      <w:r>
        <w:rPr>
          <w:rFonts w:ascii="Calibri" w:eastAsia="Calibri" w:hAnsi="Calibri" w:cs="Times New Roman"/>
        </w:rPr>
        <w:t>eso</w:t>
      </w:r>
      <w:proofErr w:type="spellEnd"/>
      <w:r>
        <w:rPr>
          <w:rFonts w:ascii="Calibri" w:eastAsia="Calibri" w:hAnsi="Calibri" w:cs="Times New Roman"/>
        </w:rPr>
        <w:t xml:space="preserve">, and macro) which helped to explain and understand organisational change and the reasons for variation across the different settings </w:t>
      </w:r>
      <w:r>
        <w:rPr>
          <w:rFonts w:ascii="Calibri" w:eastAsia="Calibri" w:hAnsi="Calibri" w:cs="Times New Roman"/>
          <w:noProof/>
        </w:rPr>
        <w:t xml:space="preserve">(Maniatopoulos </w:t>
      </w:r>
      <w:r w:rsidR="002563C9" w:rsidRPr="002563C9">
        <w:rPr>
          <w:rFonts w:ascii="Calibri" w:eastAsia="Calibri" w:hAnsi="Calibri" w:cs="Times New Roman"/>
          <w:i/>
          <w:noProof/>
        </w:rPr>
        <w:t>et al</w:t>
      </w:r>
      <w:r>
        <w:rPr>
          <w:rFonts w:ascii="Calibri" w:eastAsia="Calibri" w:hAnsi="Calibri" w:cs="Times New Roman"/>
          <w:noProof/>
        </w:rPr>
        <w:t xml:space="preserve">., 2015; Hunter </w:t>
      </w:r>
      <w:r w:rsidR="002563C9" w:rsidRPr="002563C9">
        <w:rPr>
          <w:rFonts w:ascii="Calibri" w:eastAsia="Calibri" w:hAnsi="Calibri" w:cs="Times New Roman"/>
          <w:i/>
          <w:noProof/>
        </w:rPr>
        <w:t>et al</w:t>
      </w:r>
      <w:r>
        <w:rPr>
          <w:rFonts w:ascii="Calibri" w:eastAsia="Calibri" w:hAnsi="Calibri" w:cs="Times New Roman"/>
          <w:noProof/>
        </w:rPr>
        <w:t>., 2015)</w:t>
      </w:r>
      <w:r w:rsidRPr="00DF1780">
        <w:rPr>
          <w:rFonts w:ascii="Calibri" w:eastAsia="Calibri" w:hAnsi="Calibri" w:cs="Times New Roman"/>
        </w:rPr>
        <w:t xml:space="preserve">. </w:t>
      </w:r>
      <w:r w:rsidR="00A1445C" w:rsidRPr="00F72153">
        <w:rPr>
          <w:rFonts w:ascii="Calibri" w:eastAsia="Calibri" w:hAnsi="Calibri" w:cs="Times New Roman"/>
        </w:rPr>
        <w:t>Previous studies have shown that implementing complex and contentious interventions presents challenges at the individual, organisational and systems level. It is these interaction level processes that make an intervention contentious, as well as making it challenging to introduce and embed (Cumming et al., 2017).</w:t>
      </w:r>
      <w:r w:rsidR="00A1445C">
        <w:rPr>
          <w:rFonts w:ascii="Calibri" w:eastAsia="Calibri" w:hAnsi="Calibri" w:cs="Times New Roman"/>
        </w:rPr>
        <w:t xml:space="preserve">  In this study there</w:t>
      </w:r>
      <w:r w:rsidRPr="00DF1780">
        <w:rPr>
          <w:rFonts w:ascii="Calibri" w:eastAsia="Calibri" w:hAnsi="Calibri" w:cs="Times New Roman"/>
        </w:rPr>
        <w:t xml:space="preserve"> was not always a clear demarcation between </w:t>
      </w:r>
      <w:r>
        <w:rPr>
          <w:rFonts w:ascii="Calibri" w:eastAsia="Calibri" w:hAnsi="Calibri" w:cs="Times New Roman"/>
        </w:rPr>
        <w:t xml:space="preserve">these three levels of context and the </w:t>
      </w:r>
      <w:r w:rsidRPr="00DF1780">
        <w:rPr>
          <w:rFonts w:ascii="Calibri" w:eastAsia="Calibri" w:hAnsi="Calibri" w:cs="Times New Roman"/>
        </w:rPr>
        <w:t xml:space="preserve">lines between </w:t>
      </w:r>
      <w:r>
        <w:rPr>
          <w:rFonts w:ascii="Calibri" w:eastAsia="Calibri" w:hAnsi="Calibri" w:cs="Times New Roman"/>
        </w:rPr>
        <w:t>were often blurred. O</w:t>
      </w:r>
      <w:r w:rsidRPr="00DF1780">
        <w:rPr>
          <w:rFonts w:ascii="Calibri" w:eastAsia="Calibri" w:hAnsi="Calibri" w:cs="Times New Roman"/>
        </w:rPr>
        <w:t xml:space="preserve">n their own each context did not exert influence on </w:t>
      </w:r>
      <w:r>
        <w:rPr>
          <w:rFonts w:ascii="Calibri" w:eastAsia="Calibri" w:hAnsi="Calibri" w:cs="Times New Roman"/>
        </w:rPr>
        <w:t>whether change happened. Instead there were</w:t>
      </w:r>
      <w:r w:rsidRPr="00717E93">
        <w:rPr>
          <w:rFonts w:ascii="Calibri" w:eastAsia="Calibri" w:hAnsi="Calibri" w:cs="Times New Roman"/>
        </w:rPr>
        <w:t xml:space="preserve"> different intersecting contexts with complex connections, interdependencies and interactions</w:t>
      </w:r>
      <w:r>
        <w:rPr>
          <w:rFonts w:ascii="Calibri" w:eastAsia="Calibri" w:hAnsi="Calibri" w:cs="Times New Roman"/>
        </w:rPr>
        <w:t xml:space="preserve"> played out over multiple timeframes within and between organisational settings </w:t>
      </w:r>
      <w:r>
        <w:rPr>
          <w:rFonts w:ascii="Calibri" w:eastAsia="Calibri" w:hAnsi="Calibri" w:cs="Times New Roman"/>
          <w:noProof/>
        </w:rPr>
        <w:t xml:space="preserve">(Maniatopoulos </w:t>
      </w:r>
      <w:r w:rsidR="002563C9" w:rsidRPr="002563C9">
        <w:rPr>
          <w:rFonts w:ascii="Calibri" w:eastAsia="Calibri" w:hAnsi="Calibri" w:cs="Times New Roman"/>
          <w:i/>
          <w:noProof/>
        </w:rPr>
        <w:t>et al</w:t>
      </w:r>
      <w:r>
        <w:rPr>
          <w:rFonts w:ascii="Calibri" w:eastAsia="Calibri" w:hAnsi="Calibri" w:cs="Times New Roman"/>
          <w:noProof/>
        </w:rPr>
        <w:t>., 2020)</w:t>
      </w:r>
      <w:r>
        <w:rPr>
          <w:rFonts w:ascii="Calibri" w:eastAsia="Calibri" w:hAnsi="Calibri" w:cs="Times New Roman"/>
        </w:rPr>
        <w:t xml:space="preserve">. </w:t>
      </w:r>
      <w:r w:rsidRPr="002C721A">
        <w:rPr>
          <w:rFonts w:ascii="Calibri" w:eastAsia="Calibri" w:hAnsi="Calibri" w:cs="Times New Roman"/>
        </w:rPr>
        <w:t xml:space="preserve">In the discussion that follows, we identify and characterise the contexts and the work required to create a receptive context for </w:t>
      </w:r>
      <w:r>
        <w:rPr>
          <w:rFonts w:ascii="Calibri" w:eastAsia="Calibri" w:hAnsi="Calibri" w:cs="Times New Roman"/>
        </w:rPr>
        <w:t>change</w:t>
      </w:r>
      <w:r w:rsidR="00D16209">
        <w:rPr>
          <w:rFonts w:ascii="Calibri" w:eastAsia="Calibri" w:hAnsi="Calibri" w:cs="Times New Roman"/>
        </w:rPr>
        <w:t>.</w:t>
      </w:r>
      <w:r w:rsidR="00197CEF">
        <w:rPr>
          <w:rFonts w:ascii="Calibri" w:eastAsia="Calibri" w:hAnsi="Calibri" w:cs="Times New Roman"/>
        </w:rPr>
        <w:t xml:space="preserve"> </w:t>
      </w:r>
    </w:p>
    <w:p w14:paraId="7611A217" w14:textId="7BA0708D" w:rsidR="006A2652" w:rsidRPr="008F0224" w:rsidRDefault="006A2652" w:rsidP="00A66E8F">
      <w:pPr>
        <w:spacing w:line="480" w:lineRule="auto"/>
        <w:jc w:val="both"/>
        <w:rPr>
          <w:rFonts w:ascii="Calibri" w:eastAsia="Calibri" w:hAnsi="Calibri" w:cs="Times New Roman"/>
          <w:i/>
        </w:rPr>
      </w:pPr>
      <w:r w:rsidRPr="008F0224">
        <w:rPr>
          <w:rFonts w:ascii="Calibri" w:eastAsia="Calibri" w:hAnsi="Calibri" w:cs="Times New Roman"/>
          <w:i/>
        </w:rPr>
        <w:t>Political and regulatory context</w:t>
      </w:r>
    </w:p>
    <w:p w14:paraId="1D843F00" w14:textId="321BEFD5" w:rsidR="006A2652" w:rsidRPr="00DF1780" w:rsidRDefault="006A2652" w:rsidP="00A66E8F">
      <w:pPr>
        <w:spacing w:line="480" w:lineRule="auto"/>
        <w:jc w:val="both"/>
        <w:rPr>
          <w:rFonts w:ascii="Calibri" w:eastAsia="Calibri" w:hAnsi="Calibri" w:cs="Times New Roman"/>
        </w:rPr>
      </w:pPr>
      <w:r w:rsidRPr="00DF1780">
        <w:rPr>
          <w:rFonts w:ascii="Calibri" w:eastAsia="Calibri" w:hAnsi="Calibri" w:cs="Times New Roman"/>
        </w:rPr>
        <w:t>All healthcare organisations are influenced by the political and regulatory context in which they are situated and by broader social processes in which actions take place</w:t>
      </w:r>
      <w:r>
        <w:rPr>
          <w:rFonts w:ascii="Calibri" w:eastAsia="Calibri" w:hAnsi="Calibri" w:cs="Times New Roman"/>
        </w:rPr>
        <w:t xml:space="preserve"> </w:t>
      </w:r>
      <w:r>
        <w:rPr>
          <w:rFonts w:ascii="Calibri" w:eastAsia="Calibri" w:hAnsi="Calibri" w:cs="Times New Roman"/>
          <w:noProof/>
        </w:rPr>
        <w:t xml:space="preserve">(Shaw </w:t>
      </w:r>
      <w:r w:rsidR="002563C9" w:rsidRPr="002563C9">
        <w:rPr>
          <w:rFonts w:ascii="Calibri" w:eastAsia="Calibri" w:hAnsi="Calibri" w:cs="Times New Roman"/>
          <w:i/>
          <w:noProof/>
        </w:rPr>
        <w:t>et al</w:t>
      </w:r>
      <w:r>
        <w:rPr>
          <w:rFonts w:ascii="Calibri" w:eastAsia="Calibri" w:hAnsi="Calibri" w:cs="Times New Roman"/>
          <w:noProof/>
        </w:rPr>
        <w:t>., 2017)</w:t>
      </w:r>
      <w:r w:rsidRPr="00DF1780">
        <w:rPr>
          <w:rFonts w:ascii="Calibri" w:eastAsia="Calibri" w:hAnsi="Calibri" w:cs="Times New Roman"/>
        </w:rPr>
        <w:t xml:space="preserve">. For the organisations in </w:t>
      </w:r>
      <w:r>
        <w:rPr>
          <w:rFonts w:ascii="Calibri" w:eastAsia="Calibri" w:hAnsi="Calibri" w:cs="Times New Roman"/>
        </w:rPr>
        <w:t xml:space="preserve">this </w:t>
      </w:r>
      <w:r w:rsidRPr="00DF1780">
        <w:rPr>
          <w:rFonts w:ascii="Calibri" w:eastAsia="Calibri" w:hAnsi="Calibri" w:cs="Times New Roman"/>
        </w:rPr>
        <w:t xml:space="preserve">study, one aspect of the political and regulatory context was the </w:t>
      </w:r>
      <w:r>
        <w:rPr>
          <w:rFonts w:ascii="Calibri" w:eastAsia="Calibri" w:hAnsi="Calibri" w:cs="Times New Roman"/>
        </w:rPr>
        <w:t xml:space="preserve">documentation of </w:t>
      </w:r>
      <w:r w:rsidRPr="00DF1780">
        <w:rPr>
          <w:rFonts w:ascii="Calibri" w:eastAsia="Calibri" w:hAnsi="Calibri" w:cs="Times New Roman"/>
        </w:rPr>
        <w:t xml:space="preserve">decision-making around future treatment and care. The legacy of legal issues in the UK with regard </w:t>
      </w:r>
      <w:r w:rsidRPr="00DF1780">
        <w:rPr>
          <w:rFonts w:ascii="Calibri" w:eastAsia="Calibri" w:hAnsi="Calibri" w:cs="Times New Roman"/>
        </w:rPr>
        <w:lastRenderedPageBreak/>
        <w:t>to sub-optimal discussions around DNACPR decisions made by clinicians</w:t>
      </w:r>
      <w:r>
        <w:rPr>
          <w:rFonts w:ascii="Calibri" w:eastAsia="Calibri" w:hAnsi="Calibri" w:cs="Times New Roman"/>
        </w:rPr>
        <w:t xml:space="preserve"> </w:t>
      </w:r>
      <w:r>
        <w:rPr>
          <w:rFonts w:ascii="Calibri" w:eastAsia="Calibri" w:hAnsi="Calibri" w:cs="Times New Roman"/>
          <w:noProof/>
        </w:rPr>
        <w:t>(Sokol, 2016)</w:t>
      </w:r>
      <w:r w:rsidRPr="00DF1780">
        <w:rPr>
          <w:rFonts w:ascii="Calibri" w:eastAsia="Calibri" w:hAnsi="Calibri" w:cs="Times New Roman"/>
        </w:rPr>
        <w:t xml:space="preserve"> created an ethical and legal imperative of involving patient and family members in DNACPR decisions and led to a professional recognition of a need for change that created the political pre-conditions for ReSPECT. However, while the use of ReSPECT is advocated by UK professional bodies</w:t>
      </w:r>
      <w:r>
        <w:rPr>
          <w:rFonts w:ascii="Calibri" w:eastAsia="Calibri" w:hAnsi="Calibri" w:cs="Times New Roman"/>
        </w:rPr>
        <w:t>,</w:t>
      </w:r>
      <w:r w:rsidRPr="00DF1780">
        <w:rPr>
          <w:rFonts w:ascii="Calibri" w:eastAsia="Calibri" w:hAnsi="Calibri" w:cs="Times New Roman"/>
        </w:rPr>
        <w:t xml:space="preserve"> </w:t>
      </w:r>
      <w:r>
        <w:rPr>
          <w:rFonts w:ascii="Calibri" w:eastAsia="Calibri" w:hAnsi="Calibri" w:cs="Times New Roman"/>
        </w:rPr>
        <w:t>including</w:t>
      </w:r>
      <w:r w:rsidRPr="00DF1780">
        <w:rPr>
          <w:rFonts w:ascii="Calibri" w:eastAsia="Calibri" w:hAnsi="Calibri" w:cs="Times New Roman"/>
        </w:rPr>
        <w:t xml:space="preserve"> the Royal College of Physicians</w:t>
      </w:r>
      <w:r>
        <w:rPr>
          <w:rFonts w:ascii="Calibri" w:eastAsia="Calibri" w:hAnsi="Calibri" w:cs="Times New Roman"/>
        </w:rPr>
        <w:t xml:space="preserve"> </w:t>
      </w:r>
      <w:r w:rsidR="00C64EE0">
        <w:rPr>
          <w:rFonts w:ascii="Calibri" w:eastAsia="Calibri" w:hAnsi="Calibri" w:cs="Times New Roman"/>
          <w:noProof/>
        </w:rPr>
        <w:t>(Bailey and Cogle</w:t>
      </w:r>
      <w:r>
        <w:rPr>
          <w:rFonts w:ascii="Calibri" w:eastAsia="Calibri" w:hAnsi="Calibri" w:cs="Times New Roman"/>
          <w:noProof/>
        </w:rPr>
        <w:t>, 2018)</w:t>
      </w:r>
      <w:r w:rsidRPr="00DF1780">
        <w:rPr>
          <w:rFonts w:ascii="Calibri" w:eastAsia="Calibri" w:hAnsi="Calibri" w:cs="Times New Roman"/>
        </w:rPr>
        <w:t>, it operates within a de-centralised health service, resulting in a lack of a national mandate and no regulatory imperative for its implementation.</w:t>
      </w:r>
      <w:r w:rsidR="00B96A2A" w:rsidRPr="00B96A2A">
        <w:rPr>
          <w:rFonts w:ascii="Calibri" w:eastAsia="Calibri" w:hAnsi="Calibri" w:cs="Times New Roman"/>
        </w:rPr>
        <w:t xml:space="preserve"> </w:t>
      </w:r>
      <w:r w:rsidR="00B96A2A" w:rsidRPr="00F72153">
        <w:rPr>
          <w:rFonts w:ascii="Calibri" w:eastAsia="Calibri" w:hAnsi="Calibri" w:cs="Times New Roman"/>
        </w:rPr>
        <w:t>Organisational responsiveness to national policy and guidance has been shown to promote value amongst staff and thereby influence implementation of complex healthcare interventions (Fritz et al., 2013</w:t>
      </w:r>
      <w:r w:rsidR="003237AF" w:rsidRPr="00F72153">
        <w:rPr>
          <w:rFonts w:ascii="Calibri" w:eastAsia="Calibri" w:hAnsi="Calibri" w:cs="Times New Roman"/>
        </w:rPr>
        <w:t>; Cummings et al., 2017)</w:t>
      </w:r>
      <w:r w:rsidR="003237AF">
        <w:rPr>
          <w:rFonts w:ascii="Calibri" w:eastAsia="Calibri" w:hAnsi="Calibri" w:cs="Times New Roman"/>
        </w:rPr>
        <w:t xml:space="preserve">. </w:t>
      </w:r>
      <w:r>
        <w:rPr>
          <w:rFonts w:ascii="Calibri" w:eastAsia="Calibri" w:hAnsi="Calibri" w:cs="Times New Roman"/>
        </w:rPr>
        <w:t>In the organisations included in this study the absence of a mandate of ReSPECT</w:t>
      </w:r>
      <w:r w:rsidRPr="00DF1780">
        <w:rPr>
          <w:rFonts w:ascii="Calibri" w:eastAsia="Calibri" w:hAnsi="Calibri" w:cs="Times New Roman"/>
        </w:rPr>
        <w:t xml:space="preserve"> influenced the direction of travel for its implementation and </w:t>
      </w:r>
      <w:r>
        <w:rPr>
          <w:rFonts w:ascii="Calibri" w:eastAsia="Calibri" w:hAnsi="Calibri" w:cs="Times New Roman"/>
        </w:rPr>
        <w:t>required work to</w:t>
      </w:r>
      <w:r w:rsidRPr="00DF1780">
        <w:rPr>
          <w:rFonts w:ascii="Calibri" w:eastAsia="Calibri" w:hAnsi="Calibri" w:cs="Times New Roman"/>
        </w:rPr>
        <w:t xml:space="preserve"> generat</w:t>
      </w:r>
      <w:r>
        <w:rPr>
          <w:rFonts w:ascii="Calibri" w:eastAsia="Calibri" w:hAnsi="Calibri" w:cs="Times New Roman"/>
        </w:rPr>
        <w:t>e</w:t>
      </w:r>
      <w:r w:rsidRPr="00DF1780">
        <w:rPr>
          <w:rFonts w:ascii="Calibri" w:eastAsia="Calibri" w:hAnsi="Calibri" w:cs="Times New Roman"/>
        </w:rPr>
        <w:t xml:space="preserve"> coherence</w:t>
      </w:r>
      <w:r>
        <w:rPr>
          <w:rFonts w:ascii="Calibri" w:eastAsia="Calibri" w:hAnsi="Calibri" w:cs="Times New Roman"/>
        </w:rPr>
        <w:t xml:space="preserve"> and cognitive participation</w:t>
      </w:r>
      <w:r w:rsidRPr="00DF1780">
        <w:rPr>
          <w:rFonts w:ascii="Calibri" w:eastAsia="Calibri" w:hAnsi="Calibri" w:cs="Times New Roman"/>
        </w:rPr>
        <w:t>, around not only the purpose and value of introducing a TEP, which would replac</w:t>
      </w:r>
      <w:r>
        <w:rPr>
          <w:rFonts w:ascii="Calibri" w:eastAsia="Calibri" w:hAnsi="Calibri" w:cs="Times New Roman"/>
        </w:rPr>
        <w:t>e</w:t>
      </w:r>
      <w:r w:rsidRPr="00DF1780">
        <w:rPr>
          <w:rFonts w:ascii="Calibri" w:eastAsia="Calibri" w:hAnsi="Calibri" w:cs="Times New Roman"/>
        </w:rPr>
        <w:t xml:space="preserve"> existing practices, but also as to the merits of implementing ReSPECT or a local version.</w:t>
      </w:r>
      <w:r w:rsidR="005F5B9D">
        <w:rPr>
          <w:rFonts w:ascii="Calibri" w:eastAsia="Calibri" w:hAnsi="Calibri" w:cs="Times New Roman"/>
        </w:rPr>
        <w:t xml:space="preserve"> </w:t>
      </w:r>
    </w:p>
    <w:p w14:paraId="7571932D" w14:textId="0F306A15" w:rsidR="006A2652" w:rsidRPr="00DF1780" w:rsidRDefault="006A2652" w:rsidP="00A66E8F">
      <w:pPr>
        <w:spacing w:line="480" w:lineRule="auto"/>
        <w:jc w:val="both"/>
        <w:rPr>
          <w:rFonts w:ascii="Calibri" w:eastAsia="Calibri" w:hAnsi="Calibri" w:cs="Times New Roman"/>
        </w:rPr>
      </w:pPr>
      <w:r w:rsidRPr="00DF1780">
        <w:rPr>
          <w:rFonts w:ascii="Calibri" w:eastAsia="Calibri" w:hAnsi="Calibri" w:cs="Times New Roman"/>
        </w:rPr>
        <w:t>In order for coherence to be achieved, those driving change had to believe, and demonstrate to others, how a local TEP or ReSPECT would offer something better for patients, families, clinicians and the organisation, particularly in an environment where there was no strong imperative to make that change. For this reason, the people leading the process</w:t>
      </w:r>
      <w:r>
        <w:rPr>
          <w:rFonts w:ascii="Calibri" w:eastAsia="Calibri" w:hAnsi="Calibri" w:cs="Times New Roman"/>
        </w:rPr>
        <w:t xml:space="preserve"> required the </w:t>
      </w:r>
      <w:r w:rsidRPr="00DF1780">
        <w:rPr>
          <w:rFonts w:ascii="Calibri" w:eastAsia="Calibri" w:hAnsi="Calibri" w:cs="Times New Roman"/>
        </w:rPr>
        <w:t>ability and capacity to mobilise others and encourage them to be participants</w:t>
      </w:r>
      <w:r>
        <w:rPr>
          <w:rFonts w:ascii="Calibri" w:eastAsia="Calibri" w:hAnsi="Calibri" w:cs="Times New Roman"/>
        </w:rPr>
        <w:t>,</w:t>
      </w:r>
      <w:r w:rsidRPr="00DF1780">
        <w:rPr>
          <w:rFonts w:ascii="Calibri" w:eastAsia="Calibri" w:hAnsi="Calibri" w:cs="Times New Roman"/>
        </w:rPr>
        <w:t xml:space="preserve"> not by-standers in </w:t>
      </w:r>
      <w:r>
        <w:rPr>
          <w:rFonts w:ascii="Calibri" w:eastAsia="Calibri" w:hAnsi="Calibri" w:cs="Times New Roman"/>
        </w:rPr>
        <w:t>implementation</w:t>
      </w:r>
      <w:r w:rsidRPr="00DF1780">
        <w:rPr>
          <w:rFonts w:ascii="Calibri" w:eastAsia="Calibri" w:hAnsi="Calibri" w:cs="Times New Roman"/>
        </w:rPr>
        <w:t>. Here the work of active leadership was to enact, not simply react to</w:t>
      </w:r>
      <w:r>
        <w:rPr>
          <w:rFonts w:ascii="Calibri" w:eastAsia="Calibri" w:hAnsi="Calibri" w:cs="Times New Roman"/>
        </w:rPr>
        <w:t>,</w:t>
      </w:r>
      <w:r w:rsidRPr="00DF1780">
        <w:rPr>
          <w:rFonts w:ascii="Calibri" w:eastAsia="Calibri" w:hAnsi="Calibri" w:cs="Times New Roman"/>
        </w:rPr>
        <w:t xml:space="preserve"> the context in which implementation t</w:t>
      </w:r>
      <w:r>
        <w:rPr>
          <w:rFonts w:ascii="Calibri" w:eastAsia="Calibri" w:hAnsi="Calibri" w:cs="Times New Roman"/>
        </w:rPr>
        <w:t xml:space="preserve">ook </w:t>
      </w:r>
      <w:r w:rsidRPr="00DF1780">
        <w:rPr>
          <w:rFonts w:ascii="Calibri" w:eastAsia="Calibri" w:hAnsi="Calibri" w:cs="Times New Roman"/>
        </w:rPr>
        <w:t>place</w:t>
      </w:r>
      <w:r>
        <w:rPr>
          <w:rFonts w:ascii="Calibri" w:eastAsia="Calibri" w:hAnsi="Calibri" w:cs="Times New Roman"/>
        </w:rPr>
        <w:t xml:space="preserve"> </w:t>
      </w:r>
      <w:r w:rsidR="00C64EE0">
        <w:rPr>
          <w:rFonts w:ascii="Calibri" w:eastAsia="Calibri" w:hAnsi="Calibri" w:cs="Times New Roman"/>
          <w:noProof/>
        </w:rPr>
        <w:t>(Weick</w:t>
      </w:r>
      <w:r>
        <w:rPr>
          <w:rFonts w:ascii="Calibri" w:eastAsia="Calibri" w:hAnsi="Calibri" w:cs="Times New Roman"/>
          <w:noProof/>
        </w:rPr>
        <w:t>, 1979)</w:t>
      </w:r>
      <w:r>
        <w:rPr>
          <w:rFonts w:ascii="Calibri" w:eastAsia="Calibri" w:hAnsi="Calibri" w:cs="Times New Roman"/>
        </w:rPr>
        <w:t xml:space="preserve"> </w:t>
      </w:r>
      <w:r w:rsidRPr="00DF1780">
        <w:rPr>
          <w:rFonts w:ascii="Calibri" w:eastAsia="Calibri" w:hAnsi="Calibri" w:cs="Times New Roman"/>
        </w:rPr>
        <w:t xml:space="preserve">and </w:t>
      </w:r>
      <w:r>
        <w:rPr>
          <w:rFonts w:ascii="Calibri" w:eastAsia="Calibri" w:hAnsi="Calibri" w:cs="Times New Roman"/>
        </w:rPr>
        <w:t xml:space="preserve">to </w:t>
      </w:r>
      <w:r w:rsidRPr="00DF1780">
        <w:rPr>
          <w:rFonts w:ascii="Calibri" w:eastAsia="Calibri" w:hAnsi="Calibri" w:cs="Times New Roman"/>
        </w:rPr>
        <w:t xml:space="preserve">enable collective action to shape and manage contexts to </w:t>
      </w:r>
      <w:r>
        <w:rPr>
          <w:rFonts w:ascii="Calibri" w:eastAsia="Calibri" w:hAnsi="Calibri" w:cs="Times New Roman"/>
        </w:rPr>
        <w:t xml:space="preserve">bring about </w:t>
      </w:r>
      <w:r w:rsidRPr="00DF1780">
        <w:rPr>
          <w:rFonts w:ascii="Calibri" w:eastAsia="Calibri" w:hAnsi="Calibri" w:cs="Times New Roman"/>
        </w:rPr>
        <w:t xml:space="preserve">change. </w:t>
      </w:r>
      <w:r>
        <w:rPr>
          <w:rFonts w:ascii="Calibri" w:eastAsia="Calibri" w:hAnsi="Calibri" w:cs="Times New Roman"/>
        </w:rPr>
        <w:t>Leadership</w:t>
      </w:r>
      <w:r w:rsidRPr="00DF1780">
        <w:rPr>
          <w:rFonts w:ascii="Calibri" w:eastAsia="Calibri" w:hAnsi="Calibri" w:cs="Times New Roman"/>
        </w:rPr>
        <w:t xml:space="preserve"> was critical to securing cognitive participation and buy-in to the process from different levels within the organisation, including senior management</w:t>
      </w:r>
      <w:r w:rsidR="0028056D" w:rsidRPr="00F72153">
        <w:rPr>
          <w:rFonts w:ascii="Calibri" w:eastAsia="Calibri" w:hAnsi="Calibri" w:cs="Times New Roman"/>
        </w:rPr>
        <w:t>. While high-level endorsement ha</w:t>
      </w:r>
      <w:r w:rsidR="00B5767F" w:rsidRPr="00F72153">
        <w:rPr>
          <w:rFonts w:ascii="Calibri" w:eastAsia="Calibri" w:hAnsi="Calibri" w:cs="Times New Roman"/>
        </w:rPr>
        <w:t>s</w:t>
      </w:r>
      <w:r w:rsidR="0028056D" w:rsidRPr="00F72153">
        <w:rPr>
          <w:rFonts w:ascii="Calibri" w:eastAsia="Calibri" w:hAnsi="Calibri" w:cs="Times New Roman"/>
        </w:rPr>
        <w:t xml:space="preserve"> been recognised as important to successful implementation</w:t>
      </w:r>
      <w:r w:rsidR="00B5767F" w:rsidRPr="00F72153">
        <w:rPr>
          <w:rFonts w:ascii="Calibri" w:eastAsia="Calibri" w:hAnsi="Calibri" w:cs="Times New Roman"/>
        </w:rPr>
        <w:t xml:space="preserve"> of complex interventions</w:t>
      </w:r>
      <w:r w:rsidR="0028056D" w:rsidRPr="00F72153">
        <w:rPr>
          <w:rFonts w:ascii="Calibri" w:eastAsia="Calibri" w:hAnsi="Calibri" w:cs="Times New Roman"/>
        </w:rPr>
        <w:t xml:space="preserve"> (Cummings et al., 2017</w:t>
      </w:r>
      <w:r w:rsidR="00B5767F" w:rsidRPr="00F72153">
        <w:rPr>
          <w:rFonts w:ascii="Calibri" w:eastAsia="Calibri" w:hAnsi="Calibri" w:cs="Times New Roman"/>
        </w:rPr>
        <w:t>)</w:t>
      </w:r>
      <w:r w:rsidR="0028056D">
        <w:rPr>
          <w:rFonts w:ascii="Calibri" w:eastAsia="Calibri" w:hAnsi="Calibri" w:cs="Times New Roman"/>
        </w:rPr>
        <w:t xml:space="preserve"> we</w:t>
      </w:r>
      <w:r>
        <w:rPr>
          <w:rFonts w:ascii="Calibri" w:eastAsia="Calibri" w:hAnsi="Calibri" w:cs="Times New Roman"/>
        </w:rPr>
        <w:t xml:space="preserve"> observed that </w:t>
      </w:r>
      <w:r w:rsidR="00B5767F">
        <w:rPr>
          <w:rFonts w:ascii="Calibri" w:eastAsia="Calibri" w:hAnsi="Calibri" w:cs="Times New Roman"/>
        </w:rPr>
        <w:t xml:space="preserve">this </w:t>
      </w:r>
      <w:r w:rsidRPr="00DF1780">
        <w:rPr>
          <w:rFonts w:ascii="Calibri" w:eastAsia="Calibri" w:hAnsi="Calibri" w:cs="Times New Roman"/>
        </w:rPr>
        <w:t>did not necessarily guarantee success</w:t>
      </w:r>
      <w:r>
        <w:rPr>
          <w:rFonts w:ascii="Calibri" w:eastAsia="Calibri" w:hAnsi="Calibri" w:cs="Times New Roman"/>
        </w:rPr>
        <w:t>,</w:t>
      </w:r>
      <w:r w:rsidRPr="00DF1780">
        <w:rPr>
          <w:rFonts w:ascii="Calibri" w:eastAsia="Calibri" w:hAnsi="Calibri" w:cs="Times New Roman"/>
        </w:rPr>
        <w:t xml:space="preserve"> and the influence of </w:t>
      </w:r>
      <w:r>
        <w:rPr>
          <w:rFonts w:ascii="Calibri" w:eastAsia="Calibri" w:hAnsi="Calibri" w:cs="Times New Roman"/>
        </w:rPr>
        <w:t>determined</w:t>
      </w:r>
      <w:r w:rsidRPr="00DF1780">
        <w:rPr>
          <w:rFonts w:ascii="Calibri" w:eastAsia="Calibri" w:hAnsi="Calibri" w:cs="Times New Roman"/>
        </w:rPr>
        <w:t xml:space="preserve"> clinicians could outweigh executive direction. In organisations where leaders could not achieve coherence</w:t>
      </w:r>
      <w:r>
        <w:rPr>
          <w:rFonts w:ascii="Calibri" w:eastAsia="Calibri" w:hAnsi="Calibri" w:cs="Times New Roman"/>
        </w:rPr>
        <w:t>,</w:t>
      </w:r>
      <w:r w:rsidRPr="00DF1780">
        <w:rPr>
          <w:rFonts w:ascii="Calibri" w:eastAsia="Calibri" w:hAnsi="Calibri" w:cs="Times New Roman"/>
        </w:rPr>
        <w:t xml:space="preserve"> and cognitive participation was limited, implementation did not happen. </w:t>
      </w:r>
    </w:p>
    <w:p w14:paraId="21281DAF" w14:textId="77777777" w:rsidR="006A2652" w:rsidRPr="008F0224" w:rsidRDefault="006A2652" w:rsidP="00A66E8F">
      <w:pPr>
        <w:spacing w:line="480" w:lineRule="auto"/>
        <w:jc w:val="both"/>
        <w:rPr>
          <w:rFonts w:ascii="Calibri" w:eastAsia="Calibri" w:hAnsi="Calibri" w:cs="Times New Roman"/>
          <w:i/>
        </w:rPr>
      </w:pPr>
      <w:r w:rsidRPr="008F0224">
        <w:rPr>
          <w:rFonts w:ascii="Calibri" w:eastAsia="Calibri" w:hAnsi="Calibri" w:cs="Times New Roman"/>
          <w:i/>
        </w:rPr>
        <w:lastRenderedPageBreak/>
        <w:t>Historical/temporal context</w:t>
      </w:r>
    </w:p>
    <w:p w14:paraId="1B0791A0" w14:textId="19114F55" w:rsidR="006A2652" w:rsidRPr="00DF1780" w:rsidRDefault="006A2652" w:rsidP="00F71CCB">
      <w:pPr>
        <w:spacing w:line="480" w:lineRule="auto"/>
        <w:jc w:val="both"/>
        <w:rPr>
          <w:rFonts w:ascii="Calibri" w:eastAsia="Calibri" w:hAnsi="Calibri" w:cs="Times New Roman"/>
        </w:rPr>
      </w:pPr>
      <w:r w:rsidRPr="00DF1780">
        <w:rPr>
          <w:rFonts w:ascii="Calibri" w:eastAsia="Calibri" w:hAnsi="Calibri" w:cs="Times New Roman"/>
        </w:rPr>
        <w:t xml:space="preserve">In </w:t>
      </w:r>
      <w:r>
        <w:rPr>
          <w:rFonts w:ascii="Calibri" w:eastAsia="Calibri" w:hAnsi="Calibri" w:cs="Times New Roman"/>
        </w:rPr>
        <w:t>all</w:t>
      </w:r>
      <w:r w:rsidRPr="00DF1780">
        <w:rPr>
          <w:rFonts w:ascii="Calibri" w:eastAsia="Calibri" w:hAnsi="Calibri" w:cs="Times New Roman"/>
        </w:rPr>
        <w:t xml:space="preserve"> three organisations participants had to manage and navigate a historical/temporal context which operated at the local level</w:t>
      </w:r>
      <w:r>
        <w:rPr>
          <w:rFonts w:ascii="Calibri" w:eastAsia="Calibri" w:hAnsi="Calibri" w:cs="Times New Roman"/>
        </w:rPr>
        <w:t xml:space="preserve"> and</w:t>
      </w:r>
      <w:r w:rsidRPr="00DF1780">
        <w:rPr>
          <w:rFonts w:ascii="Calibri" w:eastAsia="Calibri" w:hAnsi="Calibri" w:cs="Times New Roman"/>
        </w:rPr>
        <w:t xml:space="preserve"> characterised by the “shadow of past periods and historic decisions”</w:t>
      </w:r>
      <w:r>
        <w:rPr>
          <w:rFonts w:ascii="Calibri" w:eastAsia="Calibri" w:hAnsi="Calibri" w:cs="Times New Roman"/>
        </w:rPr>
        <w:t xml:space="preserve"> </w:t>
      </w:r>
      <w:r w:rsidR="00C64EE0">
        <w:rPr>
          <w:rFonts w:ascii="Calibri" w:eastAsia="Calibri" w:hAnsi="Calibri" w:cs="Times New Roman"/>
          <w:noProof/>
        </w:rPr>
        <w:t xml:space="preserve">(Dopson </w:t>
      </w:r>
      <w:r w:rsidR="002563C9" w:rsidRPr="002563C9">
        <w:rPr>
          <w:rFonts w:ascii="Calibri" w:eastAsia="Calibri" w:hAnsi="Calibri" w:cs="Times New Roman"/>
          <w:i/>
          <w:noProof/>
        </w:rPr>
        <w:t>et al</w:t>
      </w:r>
      <w:r>
        <w:rPr>
          <w:rFonts w:ascii="Calibri" w:eastAsia="Calibri" w:hAnsi="Calibri" w:cs="Times New Roman"/>
          <w:noProof/>
        </w:rPr>
        <w:t>., 2008)</w:t>
      </w:r>
      <w:r w:rsidRPr="00DF1780">
        <w:rPr>
          <w:rFonts w:ascii="Calibri" w:eastAsia="Calibri" w:hAnsi="Calibri" w:cs="Times New Roman"/>
        </w:rPr>
        <w:t xml:space="preserve"> they had inherited. A legacy of previous experiences of implementation resided in the collective memory of participants. </w:t>
      </w:r>
      <w:r w:rsidR="00C57817">
        <w:rPr>
          <w:rFonts w:ascii="Calibri" w:eastAsia="Calibri" w:hAnsi="Calibri" w:cs="Times New Roman"/>
        </w:rPr>
        <w:t xml:space="preserve"> </w:t>
      </w:r>
      <w:r w:rsidRPr="00DF1780">
        <w:rPr>
          <w:rFonts w:ascii="Calibri" w:eastAsia="Calibri" w:hAnsi="Calibri" w:cs="Times New Roman"/>
        </w:rPr>
        <w:t>A socially constructed shared interpretation of past attempts at i</w:t>
      </w:r>
      <w:r>
        <w:rPr>
          <w:rFonts w:ascii="Calibri" w:eastAsia="Calibri" w:hAnsi="Calibri" w:cs="Times New Roman"/>
        </w:rPr>
        <w:t>ntroducing change</w:t>
      </w:r>
      <w:r w:rsidRPr="00DF1780">
        <w:rPr>
          <w:rFonts w:ascii="Calibri" w:eastAsia="Calibri" w:hAnsi="Calibri" w:cs="Times New Roman"/>
        </w:rPr>
        <w:t xml:space="preserve"> meant that different types of work were needed to create the right conditions at the outset of the implementation journey that would enable the constraints of the historical context to be minimised. In NPT terms</w:t>
      </w:r>
      <w:r>
        <w:rPr>
          <w:rFonts w:ascii="Calibri" w:eastAsia="Calibri" w:hAnsi="Calibri" w:cs="Times New Roman"/>
        </w:rPr>
        <w:t>,</w:t>
      </w:r>
      <w:r w:rsidRPr="00DF1780">
        <w:rPr>
          <w:rFonts w:ascii="Calibri" w:eastAsia="Calibri" w:hAnsi="Calibri" w:cs="Times New Roman"/>
        </w:rPr>
        <w:t xml:space="preserve"> this required establishing coherence </w:t>
      </w:r>
      <w:r>
        <w:rPr>
          <w:rFonts w:ascii="Calibri" w:eastAsia="Calibri" w:hAnsi="Calibri" w:cs="Times New Roman"/>
        </w:rPr>
        <w:t>to enable</w:t>
      </w:r>
      <w:r w:rsidRPr="00DF1780">
        <w:rPr>
          <w:rFonts w:ascii="Calibri" w:eastAsia="Calibri" w:hAnsi="Calibri" w:cs="Times New Roman"/>
        </w:rPr>
        <w:t xml:space="preserve"> participants to exploit past learning for future change and engage in reflexive monitoring to evaluate the success, or lack of, past implementation efforts</w:t>
      </w:r>
      <w:r w:rsidRPr="00DF1780" w:rsidDel="000511A8">
        <w:rPr>
          <w:rFonts w:ascii="Calibri" w:eastAsia="Calibri" w:hAnsi="Calibri" w:cs="Times New Roman"/>
        </w:rPr>
        <w:t xml:space="preserve"> </w:t>
      </w:r>
      <w:r w:rsidR="00C64EE0">
        <w:rPr>
          <w:rFonts w:ascii="Calibri" w:eastAsia="Calibri" w:hAnsi="Calibri" w:cs="Times New Roman"/>
          <w:noProof/>
        </w:rPr>
        <w:t xml:space="preserve">(Bevan </w:t>
      </w:r>
      <w:r w:rsidR="002563C9" w:rsidRPr="002563C9">
        <w:rPr>
          <w:rFonts w:ascii="Calibri" w:eastAsia="Calibri" w:hAnsi="Calibri" w:cs="Times New Roman"/>
          <w:i/>
          <w:noProof/>
        </w:rPr>
        <w:t>et al</w:t>
      </w:r>
      <w:r>
        <w:rPr>
          <w:rFonts w:ascii="Calibri" w:eastAsia="Calibri" w:hAnsi="Calibri" w:cs="Times New Roman"/>
          <w:noProof/>
        </w:rPr>
        <w:t>., 2007</w:t>
      </w:r>
      <w:r w:rsidR="00F71CCB">
        <w:rPr>
          <w:rFonts w:ascii="Calibri" w:eastAsia="Calibri" w:hAnsi="Calibri" w:cs="Times New Roman"/>
          <w:noProof/>
        </w:rPr>
        <w:t>).</w:t>
      </w:r>
      <w:r w:rsidRPr="00DF1780">
        <w:rPr>
          <w:rFonts w:ascii="Calibri" w:eastAsia="Calibri" w:hAnsi="Calibri" w:cs="Times New Roman"/>
        </w:rPr>
        <w:t xml:space="preserve"> </w:t>
      </w:r>
      <w:r>
        <w:rPr>
          <w:rFonts w:ascii="Calibri" w:eastAsia="Calibri" w:hAnsi="Calibri" w:cs="Times New Roman"/>
        </w:rPr>
        <w:t>W</w:t>
      </w:r>
      <w:r w:rsidRPr="00DF1780">
        <w:rPr>
          <w:rFonts w:ascii="Calibri" w:eastAsia="Calibri" w:hAnsi="Calibri" w:cs="Times New Roman"/>
        </w:rPr>
        <w:t xml:space="preserve">ork was </w:t>
      </w:r>
      <w:r>
        <w:rPr>
          <w:rFonts w:ascii="Calibri" w:eastAsia="Calibri" w:hAnsi="Calibri" w:cs="Times New Roman"/>
        </w:rPr>
        <w:t xml:space="preserve">also </w:t>
      </w:r>
      <w:r w:rsidRPr="00DF1780">
        <w:rPr>
          <w:rFonts w:ascii="Calibri" w:eastAsia="Calibri" w:hAnsi="Calibri" w:cs="Times New Roman"/>
        </w:rPr>
        <w:t>need</w:t>
      </w:r>
      <w:r>
        <w:rPr>
          <w:rFonts w:ascii="Calibri" w:eastAsia="Calibri" w:hAnsi="Calibri" w:cs="Times New Roman"/>
        </w:rPr>
        <w:t>ed</w:t>
      </w:r>
      <w:r w:rsidRPr="00DF1780">
        <w:rPr>
          <w:rFonts w:ascii="Calibri" w:eastAsia="Calibri" w:hAnsi="Calibri" w:cs="Times New Roman"/>
        </w:rPr>
        <w:t xml:space="preserve"> to raise consciousness </w:t>
      </w:r>
      <w:r>
        <w:rPr>
          <w:rFonts w:ascii="Calibri" w:eastAsia="Calibri" w:hAnsi="Calibri" w:cs="Times New Roman"/>
        </w:rPr>
        <w:t>regarding</w:t>
      </w:r>
      <w:r w:rsidRPr="00DF1780">
        <w:rPr>
          <w:rFonts w:ascii="Calibri" w:eastAsia="Calibri" w:hAnsi="Calibri" w:cs="Times New Roman"/>
        </w:rPr>
        <w:t xml:space="preserve"> what </w:t>
      </w:r>
      <w:r>
        <w:rPr>
          <w:rFonts w:ascii="Calibri" w:eastAsia="Calibri" w:hAnsi="Calibri" w:cs="Times New Roman"/>
        </w:rPr>
        <w:t xml:space="preserve">a </w:t>
      </w:r>
      <w:r w:rsidRPr="00DF1780">
        <w:rPr>
          <w:rFonts w:ascii="Calibri" w:eastAsia="Calibri" w:hAnsi="Calibri" w:cs="Times New Roman"/>
        </w:rPr>
        <w:t>TEP, local or national, could achieve for patients and families. This required creat</w:t>
      </w:r>
      <w:r>
        <w:rPr>
          <w:rFonts w:ascii="Calibri" w:eastAsia="Calibri" w:hAnsi="Calibri" w:cs="Times New Roman"/>
        </w:rPr>
        <w:t>ing</w:t>
      </w:r>
      <w:r w:rsidRPr="00DF1780">
        <w:rPr>
          <w:rFonts w:ascii="Calibri" w:eastAsia="Calibri" w:hAnsi="Calibri" w:cs="Times New Roman"/>
        </w:rPr>
        <w:t xml:space="preserve"> understanding of the historical/temporal context as an opportunity, rather than </w:t>
      </w:r>
      <w:r>
        <w:rPr>
          <w:rFonts w:ascii="Calibri" w:eastAsia="Calibri" w:hAnsi="Calibri" w:cs="Times New Roman"/>
        </w:rPr>
        <w:t>a threat</w:t>
      </w:r>
      <w:r w:rsidRPr="00DF1780">
        <w:rPr>
          <w:rFonts w:ascii="Calibri" w:eastAsia="Calibri" w:hAnsi="Calibri" w:cs="Times New Roman"/>
        </w:rPr>
        <w:t xml:space="preserve"> and reason not to introduce a change to practice.  This was achieved in Site C who drew on a history of adopting initiatives to support practice, which contributed to securing cognitive participation and building a network to support implementation. In contrast, Site B was unable to generate the coherence and acquire cognitive participation in the form of a critical mass</w:t>
      </w:r>
      <w:r>
        <w:rPr>
          <w:rFonts w:ascii="Calibri" w:eastAsia="Calibri" w:hAnsi="Calibri" w:cs="Times New Roman"/>
        </w:rPr>
        <w:t>,</w:t>
      </w:r>
      <w:r w:rsidRPr="00DF1780">
        <w:rPr>
          <w:rFonts w:ascii="Calibri" w:eastAsia="Calibri" w:hAnsi="Calibri" w:cs="Times New Roman"/>
        </w:rPr>
        <w:t xml:space="preserve"> and escape </w:t>
      </w:r>
      <w:r>
        <w:rPr>
          <w:rFonts w:ascii="Calibri" w:eastAsia="Calibri" w:hAnsi="Calibri" w:cs="Times New Roman"/>
        </w:rPr>
        <w:t xml:space="preserve">the </w:t>
      </w:r>
      <w:r w:rsidRPr="00DF1780">
        <w:rPr>
          <w:rFonts w:ascii="Calibri" w:eastAsia="Calibri" w:hAnsi="Calibri" w:cs="Times New Roman"/>
        </w:rPr>
        <w:t>perceived constraints of</w:t>
      </w:r>
      <w:r>
        <w:rPr>
          <w:rFonts w:ascii="Calibri" w:eastAsia="Calibri" w:hAnsi="Calibri" w:cs="Times New Roman"/>
        </w:rPr>
        <w:t xml:space="preserve"> its legal legacy and </w:t>
      </w:r>
      <w:r w:rsidRPr="00DF1780">
        <w:rPr>
          <w:rFonts w:ascii="Calibri" w:eastAsia="Calibri" w:hAnsi="Calibri" w:cs="Times New Roman"/>
        </w:rPr>
        <w:t xml:space="preserve">relationship with other organisations in the </w:t>
      </w:r>
      <w:r>
        <w:rPr>
          <w:rFonts w:ascii="Calibri" w:eastAsia="Calibri" w:hAnsi="Calibri" w:cs="Times New Roman"/>
        </w:rPr>
        <w:t xml:space="preserve">healthcare </w:t>
      </w:r>
      <w:r w:rsidRPr="00DF1780">
        <w:rPr>
          <w:rFonts w:ascii="Calibri" w:eastAsia="Calibri" w:hAnsi="Calibri" w:cs="Times New Roman"/>
        </w:rPr>
        <w:t>system.</w:t>
      </w:r>
    </w:p>
    <w:p w14:paraId="0C6A72CE" w14:textId="77777777" w:rsidR="006A2652" w:rsidRPr="008F0224" w:rsidRDefault="006A2652" w:rsidP="00A66E8F">
      <w:pPr>
        <w:spacing w:line="480" w:lineRule="auto"/>
        <w:jc w:val="both"/>
        <w:rPr>
          <w:rFonts w:ascii="Calibri" w:eastAsia="Calibri" w:hAnsi="Calibri" w:cs="Times New Roman"/>
          <w:i/>
        </w:rPr>
      </w:pPr>
      <w:r w:rsidRPr="008F0224">
        <w:rPr>
          <w:rFonts w:ascii="Calibri" w:eastAsia="Calibri" w:hAnsi="Calibri" w:cs="Times New Roman"/>
          <w:i/>
        </w:rPr>
        <w:t>Organisational context</w:t>
      </w:r>
    </w:p>
    <w:p w14:paraId="6AC30DD8" w14:textId="31FE4B64" w:rsidR="006A2652" w:rsidRPr="00DF1780" w:rsidRDefault="006A2652" w:rsidP="008F6E08">
      <w:pPr>
        <w:spacing w:line="480" w:lineRule="auto"/>
        <w:jc w:val="both"/>
        <w:rPr>
          <w:rFonts w:ascii="Calibri" w:eastAsia="Calibri" w:hAnsi="Calibri" w:cs="Times New Roman"/>
        </w:rPr>
      </w:pPr>
      <w:r w:rsidRPr="00DF1780">
        <w:rPr>
          <w:rFonts w:ascii="Calibri" w:eastAsia="Calibri" w:hAnsi="Calibri" w:cs="Times New Roman"/>
        </w:rPr>
        <w:t xml:space="preserve">One element of organisational context </w:t>
      </w:r>
      <w:r>
        <w:rPr>
          <w:rFonts w:ascii="Calibri" w:eastAsia="Calibri" w:hAnsi="Calibri" w:cs="Times New Roman"/>
        </w:rPr>
        <w:t xml:space="preserve">that was </w:t>
      </w:r>
      <w:r w:rsidRPr="00DF1780">
        <w:rPr>
          <w:rFonts w:ascii="Calibri" w:eastAsia="Calibri" w:hAnsi="Calibri" w:cs="Times New Roman"/>
        </w:rPr>
        <w:t xml:space="preserve">observed </w:t>
      </w:r>
      <w:r>
        <w:rPr>
          <w:rFonts w:ascii="Calibri" w:eastAsia="Calibri" w:hAnsi="Calibri" w:cs="Times New Roman"/>
        </w:rPr>
        <w:t>was willingness to commit to changing practice, which</w:t>
      </w:r>
      <w:r w:rsidRPr="00DF1780">
        <w:rPr>
          <w:rFonts w:ascii="Calibri" w:eastAsia="Calibri" w:hAnsi="Calibri" w:cs="Times New Roman"/>
        </w:rPr>
        <w:t xml:space="preserve"> </w:t>
      </w:r>
      <w:r>
        <w:rPr>
          <w:rFonts w:ascii="Calibri" w:eastAsia="Calibri" w:hAnsi="Calibri" w:cs="Times New Roman"/>
        </w:rPr>
        <w:t xml:space="preserve">was </w:t>
      </w:r>
      <w:r w:rsidRPr="00DF1780">
        <w:rPr>
          <w:rFonts w:ascii="Calibri" w:eastAsia="Calibri" w:hAnsi="Calibri" w:cs="Times New Roman"/>
        </w:rPr>
        <w:t xml:space="preserve">particularly evident in Sites </w:t>
      </w:r>
      <w:proofErr w:type="gramStart"/>
      <w:r w:rsidRPr="00DF1780">
        <w:rPr>
          <w:rFonts w:ascii="Calibri" w:eastAsia="Calibri" w:hAnsi="Calibri" w:cs="Times New Roman"/>
        </w:rPr>
        <w:t>A</w:t>
      </w:r>
      <w:proofErr w:type="gramEnd"/>
      <w:r w:rsidRPr="00DF1780">
        <w:rPr>
          <w:rFonts w:ascii="Calibri" w:eastAsia="Calibri" w:hAnsi="Calibri" w:cs="Times New Roman"/>
        </w:rPr>
        <w:t xml:space="preserve"> &amp; B. In Site A, this related to ReSPECT as </w:t>
      </w:r>
      <w:r>
        <w:rPr>
          <w:rFonts w:ascii="Calibri" w:eastAsia="Calibri" w:hAnsi="Calibri" w:cs="Times New Roman"/>
        </w:rPr>
        <w:t>potentially</w:t>
      </w:r>
      <w:r w:rsidRPr="00DF1780">
        <w:rPr>
          <w:rFonts w:ascii="Calibri" w:eastAsia="Calibri" w:hAnsi="Calibri" w:cs="Times New Roman"/>
        </w:rPr>
        <w:t xml:space="preserve"> disrupt</w:t>
      </w:r>
      <w:r>
        <w:rPr>
          <w:rFonts w:ascii="Calibri" w:eastAsia="Calibri" w:hAnsi="Calibri" w:cs="Times New Roman"/>
        </w:rPr>
        <w:t>ing</w:t>
      </w:r>
      <w:r w:rsidRPr="00DF1780">
        <w:rPr>
          <w:rFonts w:ascii="Calibri" w:eastAsia="Calibri" w:hAnsi="Calibri" w:cs="Times New Roman"/>
        </w:rPr>
        <w:t xml:space="preserve"> or destabilis</w:t>
      </w:r>
      <w:r>
        <w:rPr>
          <w:rFonts w:ascii="Calibri" w:eastAsia="Calibri" w:hAnsi="Calibri" w:cs="Times New Roman"/>
        </w:rPr>
        <w:t>ing</w:t>
      </w:r>
      <w:r w:rsidRPr="00DF1780">
        <w:rPr>
          <w:rFonts w:ascii="Calibri" w:eastAsia="Calibri" w:hAnsi="Calibri" w:cs="Times New Roman"/>
        </w:rPr>
        <w:t xml:space="preserve"> </w:t>
      </w:r>
      <w:r>
        <w:rPr>
          <w:rFonts w:ascii="Calibri" w:eastAsia="Calibri" w:hAnsi="Calibri" w:cs="Times New Roman"/>
        </w:rPr>
        <w:t xml:space="preserve">to </w:t>
      </w:r>
      <w:r w:rsidRPr="00DF1780">
        <w:rPr>
          <w:rFonts w:ascii="Calibri" w:eastAsia="Calibri" w:hAnsi="Calibri" w:cs="Times New Roman"/>
        </w:rPr>
        <w:t xml:space="preserve">existing policies and procedures, specifically the local DNACPR. </w:t>
      </w:r>
      <w:r>
        <w:rPr>
          <w:rFonts w:ascii="Calibri" w:eastAsia="Calibri" w:hAnsi="Calibri" w:cs="Times New Roman"/>
        </w:rPr>
        <w:t>While this was a</w:t>
      </w:r>
      <w:r w:rsidRPr="00DF1780">
        <w:rPr>
          <w:rFonts w:ascii="Calibri" w:eastAsia="Calibri" w:hAnsi="Calibri" w:cs="Times New Roman"/>
        </w:rPr>
        <w:t xml:space="preserve"> misunderstanding of the difference between ReSPECT and DNACPR processes, </w:t>
      </w:r>
      <w:r>
        <w:rPr>
          <w:rFonts w:ascii="Calibri" w:eastAsia="Calibri" w:hAnsi="Calibri" w:cs="Times New Roman"/>
        </w:rPr>
        <w:t xml:space="preserve">the result was a </w:t>
      </w:r>
      <w:r w:rsidRPr="00DF1780">
        <w:rPr>
          <w:rFonts w:ascii="Calibri" w:eastAsia="Calibri" w:hAnsi="Calibri" w:cs="Times New Roman"/>
        </w:rPr>
        <w:t xml:space="preserve">reduced impetus to change. ReSPECT could not compete in an organisation overwhelmed by normalised practices and </w:t>
      </w:r>
      <w:r>
        <w:rPr>
          <w:rFonts w:ascii="Calibri" w:eastAsia="Calibri" w:hAnsi="Calibri" w:cs="Times New Roman"/>
        </w:rPr>
        <w:t>in</w:t>
      </w:r>
      <w:r w:rsidRPr="00DF1780">
        <w:rPr>
          <w:rFonts w:ascii="Calibri" w:eastAsia="Calibri" w:hAnsi="Calibri" w:cs="Times New Roman"/>
        </w:rPr>
        <w:t xml:space="preserve">sufficient </w:t>
      </w:r>
      <w:r>
        <w:rPr>
          <w:rFonts w:ascii="Calibri" w:eastAsia="Calibri" w:hAnsi="Calibri" w:cs="Times New Roman"/>
        </w:rPr>
        <w:t xml:space="preserve">levels of </w:t>
      </w:r>
      <w:r w:rsidRPr="00DF1780">
        <w:rPr>
          <w:rFonts w:ascii="Calibri" w:eastAsia="Calibri" w:hAnsi="Calibri" w:cs="Times New Roman"/>
        </w:rPr>
        <w:t xml:space="preserve">coherence and cognitive participation </w:t>
      </w:r>
      <w:r>
        <w:rPr>
          <w:rFonts w:ascii="Calibri" w:eastAsia="Calibri" w:hAnsi="Calibri" w:cs="Times New Roman"/>
        </w:rPr>
        <w:t>needed to</w:t>
      </w:r>
      <w:r w:rsidRPr="00DF1780">
        <w:rPr>
          <w:rFonts w:ascii="Calibri" w:eastAsia="Calibri" w:hAnsi="Calibri" w:cs="Times New Roman"/>
        </w:rPr>
        <w:t xml:space="preserve"> achieve the collective action required to make </w:t>
      </w:r>
      <w:r>
        <w:rPr>
          <w:rFonts w:ascii="Calibri" w:eastAsia="Calibri" w:hAnsi="Calibri" w:cs="Times New Roman"/>
        </w:rPr>
        <w:t>a</w:t>
      </w:r>
      <w:r w:rsidRPr="00DF1780">
        <w:rPr>
          <w:rFonts w:ascii="Calibri" w:eastAsia="Calibri" w:hAnsi="Calibri" w:cs="Times New Roman"/>
        </w:rPr>
        <w:t xml:space="preserve"> case for change or produce the evidence to do so.</w:t>
      </w:r>
      <w:r w:rsidR="008F6E08">
        <w:rPr>
          <w:rFonts w:ascii="Calibri" w:eastAsia="Calibri" w:hAnsi="Calibri" w:cs="Times New Roman"/>
        </w:rPr>
        <w:t xml:space="preserve"> </w:t>
      </w:r>
      <w:r w:rsidR="008F6E08" w:rsidRPr="00F72153">
        <w:rPr>
          <w:rFonts w:ascii="Calibri" w:eastAsia="Calibri" w:hAnsi="Calibri" w:cs="Times New Roman"/>
        </w:rPr>
        <w:lastRenderedPageBreak/>
        <w:t xml:space="preserve">Previous studies have shown that one facet of successful implementation lies in minimal disruption to existing working practices and </w:t>
      </w:r>
      <w:r w:rsidR="004C6F3E" w:rsidRPr="00F72153">
        <w:rPr>
          <w:rFonts w:ascii="Calibri" w:eastAsia="Calibri" w:hAnsi="Calibri" w:cs="Times New Roman"/>
        </w:rPr>
        <w:t>its differentiation</w:t>
      </w:r>
      <w:r w:rsidR="008F6E08" w:rsidRPr="00F72153">
        <w:rPr>
          <w:rFonts w:ascii="Calibri" w:eastAsia="Calibri" w:hAnsi="Calibri" w:cs="Times New Roman"/>
        </w:rPr>
        <w:t xml:space="preserve"> from other practices to be valued </w:t>
      </w:r>
      <w:r w:rsidR="004C6F3E" w:rsidRPr="00F72153">
        <w:rPr>
          <w:rFonts w:ascii="Calibri" w:eastAsia="Calibri" w:hAnsi="Calibri" w:cs="Times New Roman"/>
        </w:rPr>
        <w:t xml:space="preserve">(May 2013b). Furthermore, </w:t>
      </w:r>
      <w:r w:rsidR="008F6E08" w:rsidRPr="00F72153">
        <w:rPr>
          <w:rFonts w:ascii="Calibri" w:eastAsia="Calibri" w:hAnsi="Calibri" w:cs="Times New Roman"/>
        </w:rPr>
        <w:t xml:space="preserve">clarity regarding the practices </w:t>
      </w:r>
      <w:r w:rsidR="004C6F3E" w:rsidRPr="00F72153">
        <w:rPr>
          <w:rFonts w:ascii="Calibri" w:eastAsia="Calibri" w:hAnsi="Calibri" w:cs="Times New Roman"/>
        </w:rPr>
        <w:t>to be</w:t>
      </w:r>
      <w:r w:rsidR="008F6E08" w:rsidRPr="00F72153">
        <w:rPr>
          <w:rFonts w:ascii="Calibri" w:eastAsia="Calibri" w:hAnsi="Calibri" w:cs="Times New Roman"/>
        </w:rPr>
        <w:t xml:space="preserve"> discontinued, preventing unnecessary duplication, and clear identification of the benefits of the new intervention</w:t>
      </w:r>
      <w:r w:rsidR="004C6F3E" w:rsidRPr="00F72153">
        <w:rPr>
          <w:rFonts w:ascii="Calibri" w:eastAsia="Calibri" w:hAnsi="Calibri" w:cs="Times New Roman"/>
        </w:rPr>
        <w:t xml:space="preserve"> have also been identified as key to adoption (Cummings et al</w:t>
      </w:r>
      <w:r w:rsidR="008F6E08" w:rsidRPr="00F72153">
        <w:rPr>
          <w:rFonts w:ascii="Calibri" w:eastAsia="Calibri" w:hAnsi="Calibri" w:cs="Times New Roman"/>
        </w:rPr>
        <w:t>.</w:t>
      </w:r>
      <w:r w:rsidR="004C6F3E" w:rsidRPr="00F72153">
        <w:rPr>
          <w:rFonts w:ascii="Calibri" w:eastAsia="Calibri" w:hAnsi="Calibri" w:cs="Times New Roman"/>
        </w:rPr>
        <w:t>, 2017).</w:t>
      </w:r>
      <w:r w:rsidR="008F6E08">
        <w:rPr>
          <w:rFonts w:ascii="Calibri" w:eastAsia="Calibri" w:hAnsi="Calibri" w:cs="Times New Roman"/>
        </w:rPr>
        <w:t xml:space="preserve">  </w:t>
      </w:r>
      <w:r w:rsidRPr="00DF1780">
        <w:rPr>
          <w:rFonts w:ascii="Calibri" w:eastAsia="Calibri" w:hAnsi="Calibri" w:cs="Times New Roman"/>
        </w:rPr>
        <w:t xml:space="preserve">  In Site B, a</w:t>
      </w:r>
      <w:r>
        <w:rPr>
          <w:rFonts w:ascii="Calibri" w:eastAsia="Calibri" w:hAnsi="Calibri" w:cs="Times New Roman"/>
        </w:rPr>
        <w:t>n apparent</w:t>
      </w:r>
      <w:r w:rsidRPr="00DF1780">
        <w:rPr>
          <w:rFonts w:ascii="Calibri" w:eastAsia="Calibri" w:hAnsi="Calibri" w:cs="Times New Roman"/>
        </w:rPr>
        <w:t xml:space="preserve"> cultural stubbornness and a tendency to be risk adverse manifested in </w:t>
      </w:r>
      <w:r>
        <w:rPr>
          <w:rFonts w:ascii="Calibri" w:eastAsia="Calibri" w:hAnsi="Calibri" w:cs="Times New Roman"/>
        </w:rPr>
        <w:t>a</w:t>
      </w:r>
      <w:r w:rsidRPr="00DF1780">
        <w:rPr>
          <w:rFonts w:ascii="Calibri" w:eastAsia="Calibri" w:hAnsi="Calibri" w:cs="Times New Roman"/>
        </w:rPr>
        <w:t xml:space="preserve"> preference for a national solution </w:t>
      </w:r>
      <w:r>
        <w:rPr>
          <w:rFonts w:ascii="Calibri" w:eastAsia="Calibri" w:hAnsi="Calibri" w:cs="Times New Roman"/>
        </w:rPr>
        <w:t>but</w:t>
      </w:r>
      <w:r w:rsidRPr="00DF1780">
        <w:rPr>
          <w:rFonts w:ascii="Calibri" w:eastAsia="Calibri" w:hAnsi="Calibri" w:cs="Times New Roman"/>
        </w:rPr>
        <w:t xml:space="preserve"> reluctance to go it alone </w:t>
      </w:r>
      <w:r>
        <w:rPr>
          <w:rFonts w:ascii="Calibri" w:eastAsia="Calibri" w:hAnsi="Calibri" w:cs="Times New Roman"/>
        </w:rPr>
        <w:t>with</w:t>
      </w:r>
      <w:r w:rsidRPr="00DF1780">
        <w:rPr>
          <w:rFonts w:ascii="Calibri" w:eastAsia="Calibri" w:hAnsi="Calibri" w:cs="Times New Roman"/>
        </w:rPr>
        <w:t xml:space="preserve"> implementing ReSPECT. Instead, </w:t>
      </w:r>
      <w:r>
        <w:rPr>
          <w:rFonts w:ascii="Calibri" w:eastAsia="Calibri" w:hAnsi="Calibri" w:cs="Times New Roman"/>
        </w:rPr>
        <w:t>they preferred</w:t>
      </w:r>
      <w:r w:rsidRPr="00DF1780">
        <w:rPr>
          <w:rFonts w:ascii="Calibri" w:eastAsia="Calibri" w:hAnsi="Calibri" w:cs="Times New Roman"/>
        </w:rPr>
        <w:t xml:space="preserve"> to wait for sufficient system-wide engagement, signifying a need to be driven rather than to drive the process. This suggests a reactive strategy representing </w:t>
      </w:r>
      <w:r>
        <w:rPr>
          <w:rFonts w:ascii="Calibri" w:eastAsia="Calibri" w:hAnsi="Calibri" w:cs="Times New Roman"/>
        </w:rPr>
        <w:t>facets of existing organisational</w:t>
      </w:r>
      <w:r w:rsidRPr="00DF1780">
        <w:rPr>
          <w:rFonts w:ascii="Calibri" w:eastAsia="Calibri" w:hAnsi="Calibri" w:cs="Times New Roman"/>
        </w:rPr>
        <w:t xml:space="preserve"> culture, rather than clinical priorities, and an environment where clinicians </w:t>
      </w:r>
      <w:r>
        <w:rPr>
          <w:rFonts w:ascii="Calibri" w:eastAsia="Calibri" w:hAnsi="Calibri" w:cs="Times New Roman"/>
        </w:rPr>
        <w:t xml:space="preserve">did not feel </w:t>
      </w:r>
      <w:r w:rsidRPr="00DF1780">
        <w:rPr>
          <w:rFonts w:ascii="Calibri" w:eastAsia="Calibri" w:hAnsi="Calibri" w:cs="Times New Roman"/>
        </w:rPr>
        <w:t xml:space="preserve">empowered to act or initiate the work needed to lead change. </w:t>
      </w:r>
    </w:p>
    <w:p w14:paraId="57F6FC79" w14:textId="03175541" w:rsidR="006A2652" w:rsidRPr="00DF1780" w:rsidRDefault="006A2652" w:rsidP="00A66E8F">
      <w:pPr>
        <w:spacing w:line="480" w:lineRule="auto"/>
        <w:jc w:val="both"/>
        <w:rPr>
          <w:rFonts w:ascii="Calibri" w:eastAsia="Calibri" w:hAnsi="Calibri" w:cs="Times New Roman"/>
        </w:rPr>
      </w:pPr>
      <w:r w:rsidRPr="00DF1780">
        <w:rPr>
          <w:rFonts w:ascii="Calibri" w:eastAsia="Calibri" w:hAnsi="Calibri" w:cs="Times New Roman"/>
        </w:rPr>
        <w:t xml:space="preserve">The extent to which organisations </w:t>
      </w:r>
      <w:r>
        <w:rPr>
          <w:rFonts w:ascii="Calibri" w:eastAsia="Calibri" w:hAnsi="Calibri" w:cs="Times New Roman"/>
        </w:rPr>
        <w:t xml:space="preserve">were </w:t>
      </w:r>
      <w:r w:rsidRPr="00DF1780">
        <w:rPr>
          <w:rFonts w:ascii="Calibri" w:eastAsia="Calibri" w:hAnsi="Calibri" w:cs="Times New Roman"/>
        </w:rPr>
        <w:t>inward</w:t>
      </w:r>
      <w:r>
        <w:rPr>
          <w:rFonts w:ascii="Calibri" w:eastAsia="Calibri" w:hAnsi="Calibri" w:cs="Times New Roman"/>
        </w:rPr>
        <w:t>ly</w:t>
      </w:r>
      <w:r w:rsidRPr="00DF1780">
        <w:rPr>
          <w:rFonts w:ascii="Calibri" w:eastAsia="Calibri" w:hAnsi="Calibri" w:cs="Times New Roman"/>
        </w:rPr>
        <w:t xml:space="preserve"> or outward</w:t>
      </w:r>
      <w:r>
        <w:rPr>
          <w:rFonts w:ascii="Calibri" w:eastAsia="Calibri" w:hAnsi="Calibri" w:cs="Times New Roman"/>
        </w:rPr>
        <w:t>ly</w:t>
      </w:r>
      <w:r w:rsidRPr="00DF1780">
        <w:rPr>
          <w:rFonts w:ascii="Calibri" w:eastAsia="Calibri" w:hAnsi="Calibri" w:cs="Times New Roman"/>
        </w:rPr>
        <w:t xml:space="preserve"> focus</w:t>
      </w:r>
      <w:r>
        <w:rPr>
          <w:rFonts w:ascii="Calibri" w:eastAsia="Calibri" w:hAnsi="Calibri" w:cs="Times New Roman"/>
        </w:rPr>
        <w:t>ed</w:t>
      </w:r>
      <w:r w:rsidRPr="00DF1780">
        <w:rPr>
          <w:rFonts w:ascii="Calibri" w:eastAsia="Calibri" w:hAnsi="Calibri" w:cs="Times New Roman"/>
        </w:rPr>
        <w:t xml:space="preserve"> also contributed to the implementation effort. The willingness and/or ability to engage beyond one’s own organisation and establish networks with the wider health and care community was important for ensuring the translation of ideas within and across organisations. To be successful, work had to be invested in building and sustaining a group or network who were committed </w:t>
      </w:r>
      <w:r>
        <w:rPr>
          <w:rFonts w:ascii="Calibri" w:eastAsia="Calibri" w:hAnsi="Calibri" w:cs="Times New Roman"/>
        </w:rPr>
        <w:t xml:space="preserve">to </w:t>
      </w:r>
      <w:r w:rsidRPr="00DF1780">
        <w:rPr>
          <w:rFonts w:ascii="Calibri" w:eastAsia="Calibri" w:hAnsi="Calibri" w:cs="Times New Roman"/>
        </w:rPr>
        <w:t>the long haul</w:t>
      </w:r>
      <w:r>
        <w:rPr>
          <w:rFonts w:ascii="Calibri" w:eastAsia="Calibri" w:hAnsi="Calibri" w:cs="Times New Roman"/>
        </w:rPr>
        <w:t xml:space="preserve">, where there was engaged participation, </w:t>
      </w:r>
      <w:r w:rsidRPr="00DF1780">
        <w:rPr>
          <w:rFonts w:ascii="Calibri" w:eastAsia="Calibri" w:hAnsi="Calibri" w:cs="Times New Roman"/>
        </w:rPr>
        <w:t xml:space="preserve">willingness for sustained collaboration, sharing of power at an individual and organisation level, </w:t>
      </w:r>
      <w:r>
        <w:rPr>
          <w:rFonts w:ascii="Calibri" w:eastAsia="Calibri" w:hAnsi="Calibri" w:cs="Times New Roman"/>
        </w:rPr>
        <w:t xml:space="preserve">and </w:t>
      </w:r>
      <w:r w:rsidRPr="00DF1780">
        <w:rPr>
          <w:rFonts w:ascii="Calibri" w:eastAsia="Calibri" w:hAnsi="Calibri" w:cs="Times New Roman"/>
        </w:rPr>
        <w:t>clear objectives and a process to achieve them</w:t>
      </w:r>
      <w:r>
        <w:rPr>
          <w:rFonts w:ascii="Calibri" w:eastAsia="Calibri" w:hAnsi="Calibri" w:cs="Times New Roman"/>
        </w:rPr>
        <w:t xml:space="preserve"> </w:t>
      </w:r>
      <w:r>
        <w:rPr>
          <w:rFonts w:ascii="Calibri" w:eastAsia="Calibri" w:hAnsi="Calibri" w:cs="Times New Roman"/>
          <w:noProof/>
        </w:rPr>
        <w:t xml:space="preserve">(Goodman </w:t>
      </w:r>
      <w:r w:rsidR="002563C9" w:rsidRPr="002563C9">
        <w:rPr>
          <w:rFonts w:ascii="Calibri" w:eastAsia="Calibri" w:hAnsi="Calibri" w:cs="Times New Roman"/>
          <w:i/>
          <w:noProof/>
        </w:rPr>
        <w:t>et al</w:t>
      </w:r>
      <w:r w:rsidR="00C64EE0">
        <w:rPr>
          <w:rFonts w:ascii="Calibri" w:eastAsia="Calibri" w:hAnsi="Calibri" w:cs="Times New Roman"/>
          <w:noProof/>
        </w:rPr>
        <w:t>.</w:t>
      </w:r>
      <w:r>
        <w:rPr>
          <w:rFonts w:ascii="Calibri" w:eastAsia="Calibri" w:hAnsi="Calibri" w:cs="Times New Roman"/>
          <w:noProof/>
        </w:rPr>
        <w:t>, 2017)</w:t>
      </w:r>
      <w:r w:rsidRPr="00DF1780">
        <w:rPr>
          <w:rFonts w:ascii="Calibri" w:eastAsia="Calibri" w:hAnsi="Calibri" w:cs="Times New Roman"/>
        </w:rPr>
        <w:t xml:space="preserve">. </w:t>
      </w:r>
      <w:r>
        <w:rPr>
          <w:rFonts w:ascii="Calibri" w:eastAsia="Calibri" w:hAnsi="Calibri" w:cs="Times New Roman"/>
        </w:rPr>
        <w:t>I</w:t>
      </w:r>
      <w:r w:rsidRPr="00DF1780">
        <w:rPr>
          <w:rFonts w:ascii="Calibri" w:eastAsia="Calibri" w:hAnsi="Calibri" w:cs="Times New Roman"/>
        </w:rPr>
        <w:t xml:space="preserve">t </w:t>
      </w:r>
      <w:r>
        <w:rPr>
          <w:rFonts w:ascii="Calibri" w:eastAsia="Calibri" w:hAnsi="Calibri" w:cs="Times New Roman"/>
        </w:rPr>
        <w:t>was not simply a matter of</w:t>
      </w:r>
      <w:r w:rsidRPr="00DF1780">
        <w:rPr>
          <w:rFonts w:ascii="Calibri" w:eastAsia="Calibri" w:hAnsi="Calibri" w:cs="Times New Roman"/>
        </w:rPr>
        <w:t xml:space="preserve"> securing cognitive participation</w:t>
      </w:r>
      <w:r>
        <w:rPr>
          <w:rFonts w:ascii="Calibri" w:eastAsia="Calibri" w:hAnsi="Calibri" w:cs="Times New Roman"/>
        </w:rPr>
        <w:t>,</w:t>
      </w:r>
      <w:r w:rsidRPr="00DF1780">
        <w:rPr>
          <w:rFonts w:ascii="Calibri" w:eastAsia="Calibri" w:hAnsi="Calibri" w:cs="Times New Roman"/>
        </w:rPr>
        <w:t xml:space="preserve"> but ensuring the </w:t>
      </w:r>
      <w:r>
        <w:rPr>
          <w:rFonts w:ascii="Calibri" w:eastAsia="Calibri" w:hAnsi="Calibri" w:cs="Times New Roman"/>
        </w:rPr>
        <w:t>enrolment of the ‘</w:t>
      </w:r>
      <w:r w:rsidRPr="00DF1780">
        <w:rPr>
          <w:rFonts w:ascii="Calibri" w:eastAsia="Calibri" w:hAnsi="Calibri" w:cs="Times New Roman"/>
        </w:rPr>
        <w:t>right’ people</w:t>
      </w:r>
      <w:r>
        <w:rPr>
          <w:rFonts w:ascii="Calibri" w:eastAsia="Calibri" w:hAnsi="Calibri" w:cs="Times New Roman"/>
        </w:rPr>
        <w:t>,</w:t>
      </w:r>
      <w:r w:rsidRPr="00DF1780">
        <w:rPr>
          <w:rFonts w:ascii="Calibri" w:eastAsia="Calibri" w:hAnsi="Calibri" w:cs="Times New Roman"/>
        </w:rPr>
        <w:t xml:space="preserve"> inside and outside of the organisation</w:t>
      </w:r>
      <w:r>
        <w:rPr>
          <w:rFonts w:ascii="Calibri" w:eastAsia="Calibri" w:hAnsi="Calibri" w:cs="Times New Roman"/>
        </w:rPr>
        <w:t>,</w:t>
      </w:r>
      <w:r w:rsidRPr="00DF1780">
        <w:rPr>
          <w:rFonts w:ascii="Calibri" w:eastAsia="Calibri" w:hAnsi="Calibri" w:cs="Times New Roman"/>
        </w:rPr>
        <w:t xml:space="preserve"> to </w:t>
      </w:r>
      <w:r>
        <w:rPr>
          <w:rFonts w:ascii="Calibri" w:eastAsia="Calibri" w:hAnsi="Calibri" w:cs="Times New Roman"/>
        </w:rPr>
        <w:t xml:space="preserve">carry out the </w:t>
      </w:r>
      <w:r w:rsidRPr="00DF1780">
        <w:rPr>
          <w:rFonts w:ascii="Calibri" w:eastAsia="Calibri" w:hAnsi="Calibri" w:cs="Times New Roman"/>
        </w:rPr>
        <w:t xml:space="preserve">collective action required </w:t>
      </w:r>
      <w:r>
        <w:rPr>
          <w:rFonts w:ascii="Calibri" w:eastAsia="Calibri" w:hAnsi="Calibri" w:cs="Times New Roman"/>
        </w:rPr>
        <w:t xml:space="preserve">for </w:t>
      </w:r>
      <w:r w:rsidRPr="00DF1780">
        <w:rPr>
          <w:rFonts w:ascii="Calibri" w:eastAsia="Calibri" w:hAnsi="Calibri" w:cs="Times New Roman"/>
        </w:rPr>
        <w:t xml:space="preserve">the work of </w:t>
      </w:r>
      <w:r>
        <w:rPr>
          <w:rFonts w:ascii="Calibri" w:eastAsia="Calibri" w:hAnsi="Calibri" w:cs="Times New Roman"/>
        </w:rPr>
        <w:t>implementing change</w:t>
      </w:r>
      <w:r w:rsidRPr="00DF1780">
        <w:rPr>
          <w:rFonts w:ascii="Calibri" w:eastAsia="Calibri" w:hAnsi="Calibri" w:cs="Times New Roman"/>
        </w:rPr>
        <w:t xml:space="preserve">. Furthermore, </w:t>
      </w:r>
      <w:r>
        <w:rPr>
          <w:rFonts w:ascii="Calibri" w:eastAsia="Calibri" w:hAnsi="Calibri" w:cs="Times New Roman"/>
        </w:rPr>
        <w:t xml:space="preserve">generating </w:t>
      </w:r>
      <w:r w:rsidRPr="00DF1780">
        <w:rPr>
          <w:rFonts w:ascii="Calibri" w:eastAsia="Calibri" w:hAnsi="Calibri" w:cs="Times New Roman"/>
        </w:rPr>
        <w:t xml:space="preserve">coherence around the purpose of the network </w:t>
      </w:r>
      <w:r>
        <w:rPr>
          <w:rFonts w:ascii="Calibri" w:eastAsia="Calibri" w:hAnsi="Calibri" w:cs="Times New Roman"/>
        </w:rPr>
        <w:t xml:space="preserve">was vital to members understanding their </w:t>
      </w:r>
      <w:r w:rsidRPr="00DF1780">
        <w:rPr>
          <w:rFonts w:ascii="Calibri" w:eastAsia="Calibri" w:hAnsi="Calibri" w:cs="Times New Roman"/>
        </w:rPr>
        <w:t xml:space="preserve">individual and collective roles within the group. </w:t>
      </w:r>
    </w:p>
    <w:p w14:paraId="3940821A" w14:textId="5AA83BAA" w:rsidR="006A2652" w:rsidRDefault="006A2652" w:rsidP="00A66E8F">
      <w:pPr>
        <w:spacing w:line="480" w:lineRule="auto"/>
        <w:jc w:val="both"/>
        <w:rPr>
          <w:rFonts w:ascii="Calibri" w:eastAsia="Calibri" w:hAnsi="Calibri" w:cs="Times New Roman"/>
        </w:rPr>
      </w:pPr>
      <w:r w:rsidRPr="00DF1780">
        <w:rPr>
          <w:rFonts w:ascii="Calibri" w:eastAsia="Calibri" w:hAnsi="Calibri" w:cs="Times New Roman"/>
        </w:rPr>
        <w:t xml:space="preserve">In </w:t>
      </w:r>
      <w:r>
        <w:rPr>
          <w:rFonts w:ascii="Calibri" w:eastAsia="Calibri" w:hAnsi="Calibri" w:cs="Times New Roman"/>
        </w:rPr>
        <w:t>this</w:t>
      </w:r>
      <w:r w:rsidRPr="00DF1780">
        <w:rPr>
          <w:rFonts w:ascii="Calibri" w:eastAsia="Calibri" w:hAnsi="Calibri" w:cs="Times New Roman"/>
        </w:rPr>
        <w:t xml:space="preserve"> study, Site A </w:t>
      </w:r>
      <w:r w:rsidRPr="00D44D75">
        <w:rPr>
          <w:rFonts w:ascii="Calibri" w:eastAsia="Calibri" w:hAnsi="Calibri" w:cs="Times New Roman"/>
        </w:rPr>
        <w:t>could be</w:t>
      </w:r>
      <w:r>
        <w:rPr>
          <w:rFonts w:ascii="Calibri" w:eastAsia="Calibri" w:hAnsi="Calibri" w:cs="Times New Roman"/>
        </w:rPr>
        <w:t xml:space="preserve"> characterised as</w:t>
      </w:r>
      <w:r w:rsidRPr="00DF1780">
        <w:rPr>
          <w:rFonts w:ascii="Calibri" w:eastAsia="Calibri" w:hAnsi="Calibri" w:cs="Times New Roman"/>
        </w:rPr>
        <w:t xml:space="preserve"> an inward</w:t>
      </w:r>
      <w:r>
        <w:rPr>
          <w:rFonts w:ascii="Calibri" w:eastAsia="Calibri" w:hAnsi="Calibri" w:cs="Times New Roman"/>
        </w:rPr>
        <w:t>ly</w:t>
      </w:r>
      <w:r w:rsidRPr="00DF1780">
        <w:rPr>
          <w:rFonts w:ascii="Calibri" w:eastAsia="Calibri" w:hAnsi="Calibri" w:cs="Times New Roman"/>
        </w:rPr>
        <w:t xml:space="preserve"> focused organisation. </w:t>
      </w:r>
      <w:r>
        <w:rPr>
          <w:rFonts w:ascii="Calibri" w:eastAsia="Calibri" w:hAnsi="Calibri" w:cs="Times New Roman"/>
        </w:rPr>
        <w:t>Attempts to</w:t>
      </w:r>
      <w:r w:rsidRPr="00DF1780">
        <w:rPr>
          <w:rFonts w:ascii="Calibri" w:eastAsia="Calibri" w:hAnsi="Calibri" w:cs="Times New Roman"/>
        </w:rPr>
        <w:t xml:space="preserve"> make sense of the purpose and value of TEP, and particularly ReSPECT, </w:t>
      </w:r>
      <w:r>
        <w:rPr>
          <w:rFonts w:ascii="Calibri" w:eastAsia="Calibri" w:hAnsi="Calibri" w:cs="Times New Roman"/>
        </w:rPr>
        <w:t xml:space="preserve">were confined within their </w:t>
      </w:r>
      <w:r w:rsidRPr="00DF1780">
        <w:rPr>
          <w:rFonts w:ascii="Calibri" w:eastAsia="Calibri" w:hAnsi="Calibri" w:cs="Times New Roman"/>
        </w:rPr>
        <w:t xml:space="preserve">own boundaries </w:t>
      </w:r>
      <w:r>
        <w:rPr>
          <w:rFonts w:ascii="Calibri" w:eastAsia="Calibri" w:hAnsi="Calibri" w:cs="Times New Roman"/>
        </w:rPr>
        <w:t xml:space="preserve">rather than </w:t>
      </w:r>
      <w:r w:rsidRPr="00DF1780">
        <w:rPr>
          <w:rFonts w:ascii="Calibri" w:eastAsia="Calibri" w:hAnsi="Calibri" w:cs="Times New Roman"/>
        </w:rPr>
        <w:t>the whole system</w:t>
      </w:r>
      <w:r>
        <w:rPr>
          <w:rFonts w:ascii="Calibri" w:eastAsia="Calibri" w:hAnsi="Calibri" w:cs="Times New Roman"/>
        </w:rPr>
        <w:t xml:space="preserve"> and a</w:t>
      </w:r>
      <w:r w:rsidRPr="00DF1780">
        <w:rPr>
          <w:rFonts w:ascii="Calibri" w:eastAsia="Calibri" w:hAnsi="Calibri" w:cs="Times New Roman"/>
        </w:rPr>
        <w:t xml:space="preserve"> focus on </w:t>
      </w:r>
      <w:r>
        <w:rPr>
          <w:rFonts w:ascii="Calibri" w:eastAsia="Calibri" w:hAnsi="Calibri" w:cs="Times New Roman"/>
        </w:rPr>
        <w:t>the operationalisation of</w:t>
      </w:r>
      <w:r w:rsidRPr="00DF1780">
        <w:rPr>
          <w:rFonts w:ascii="Calibri" w:eastAsia="Calibri" w:hAnsi="Calibri" w:cs="Times New Roman"/>
        </w:rPr>
        <w:t xml:space="preserve"> ReSPECT within </w:t>
      </w:r>
      <w:r w:rsidRPr="00DF1780">
        <w:rPr>
          <w:rFonts w:ascii="Calibri" w:eastAsia="Calibri" w:hAnsi="Calibri" w:cs="Times New Roman"/>
        </w:rPr>
        <w:lastRenderedPageBreak/>
        <w:t>specific clinical specialties rath</w:t>
      </w:r>
      <w:r w:rsidR="00C64EE0">
        <w:rPr>
          <w:rFonts w:ascii="Calibri" w:eastAsia="Calibri" w:hAnsi="Calibri" w:cs="Times New Roman"/>
        </w:rPr>
        <w:t xml:space="preserve">er than system-wide. </w:t>
      </w:r>
      <w:r w:rsidRPr="00D44D75">
        <w:rPr>
          <w:rFonts w:ascii="Calibri" w:eastAsia="Calibri" w:hAnsi="Calibri" w:cs="Times New Roman"/>
        </w:rPr>
        <w:t>Analysis of</w:t>
      </w:r>
      <w:r>
        <w:rPr>
          <w:rFonts w:ascii="Calibri" w:eastAsia="Calibri" w:hAnsi="Calibri" w:cs="Times New Roman"/>
        </w:rPr>
        <w:t xml:space="preserve"> Site B pointed towards</w:t>
      </w:r>
      <w:r w:rsidRPr="00DF1780">
        <w:rPr>
          <w:rFonts w:ascii="Calibri" w:eastAsia="Calibri" w:hAnsi="Calibri" w:cs="Times New Roman"/>
        </w:rPr>
        <w:t xml:space="preserve"> an </w:t>
      </w:r>
      <w:r>
        <w:rPr>
          <w:rFonts w:ascii="Calibri" w:eastAsia="Calibri" w:hAnsi="Calibri" w:cs="Times New Roman"/>
        </w:rPr>
        <w:t xml:space="preserve">environment that could be regarded as </w:t>
      </w:r>
      <w:r w:rsidRPr="00DF1780">
        <w:rPr>
          <w:rFonts w:ascii="Calibri" w:eastAsia="Calibri" w:hAnsi="Calibri" w:cs="Times New Roman"/>
        </w:rPr>
        <w:t xml:space="preserve">inflexible and impermeable. </w:t>
      </w:r>
      <w:r>
        <w:rPr>
          <w:rFonts w:ascii="Calibri" w:eastAsia="Calibri" w:hAnsi="Calibri" w:cs="Times New Roman"/>
        </w:rPr>
        <w:t>Its</w:t>
      </w:r>
      <w:r w:rsidRPr="00DF1780">
        <w:rPr>
          <w:rFonts w:ascii="Calibri" w:eastAsia="Calibri" w:hAnsi="Calibri" w:cs="Times New Roman"/>
        </w:rPr>
        <w:t xml:space="preserve"> negative historic relationship with the adjacent healthcare system, led to </w:t>
      </w:r>
      <w:r>
        <w:rPr>
          <w:rFonts w:ascii="Calibri" w:eastAsia="Calibri" w:hAnsi="Calibri" w:cs="Times New Roman"/>
        </w:rPr>
        <w:t>a resistance to</w:t>
      </w:r>
      <w:r w:rsidRPr="00DF1780">
        <w:rPr>
          <w:rFonts w:ascii="Calibri" w:eastAsia="Calibri" w:hAnsi="Calibri" w:cs="Times New Roman"/>
        </w:rPr>
        <w:t xml:space="preserve"> engag</w:t>
      </w:r>
      <w:r>
        <w:rPr>
          <w:rFonts w:ascii="Calibri" w:eastAsia="Calibri" w:hAnsi="Calibri" w:cs="Times New Roman"/>
        </w:rPr>
        <w:t xml:space="preserve">e with other Trusts. </w:t>
      </w:r>
      <w:r w:rsidRPr="00DF1780">
        <w:rPr>
          <w:rFonts w:ascii="Calibri" w:eastAsia="Calibri" w:hAnsi="Calibri" w:cs="Times New Roman"/>
        </w:rPr>
        <w:t>Despite individual level commitment from a small number of working-group members, the work needed to engage and mobilise within</w:t>
      </w:r>
      <w:r>
        <w:rPr>
          <w:rFonts w:ascii="Calibri" w:eastAsia="Calibri" w:hAnsi="Calibri" w:cs="Times New Roman"/>
        </w:rPr>
        <w:t>, l</w:t>
      </w:r>
      <w:r w:rsidR="002563C9" w:rsidRPr="002563C9">
        <w:rPr>
          <w:rFonts w:ascii="Calibri" w:eastAsia="Calibri" w:hAnsi="Calibri" w:cs="Times New Roman"/>
          <w:i/>
        </w:rPr>
        <w:t>et al</w:t>
      </w:r>
      <w:r>
        <w:rPr>
          <w:rFonts w:ascii="Calibri" w:eastAsia="Calibri" w:hAnsi="Calibri" w:cs="Times New Roman"/>
        </w:rPr>
        <w:t>one</w:t>
      </w:r>
      <w:r w:rsidRPr="00DF1780">
        <w:rPr>
          <w:rFonts w:ascii="Calibri" w:eastAsia="Calibri" w:hAnsi="Calibri" w:cs="Times New Roman"/>
        </w:rPr>
        <w:t xml:space="preserve"> beyond</w:t>
      </w:r>
      <w:r>
        <w:rPr>
          <w:rFonts w:ascii="Calibri" w:eastAsia="Calibri" w:hAnsi="Calibri" w:cs="Times New Roman"/>
        </w:rPr>
        <w:t>,</w:t>
      </w:r>
      <w:r w:rsidRPr="00DF1780">
        <w:rPr>
          <w:rFonts w:ascii="Calibri" w:eastAsia="Calibri" w:hAnsi="Calibri" w:cs="Times New Roman"/>
        </w:rPr>
        <w:t xml:space="preserve"> their organisation did not</w:t>
      </w:r>
      <w:r>
        <w:rPr>
          <w:rFonts w:ascii="Calibri" w:eastAsia="Calibri" w:hAnsi="Calibri" w:cs="Times New Roman"/>
        </w:rPr>
        <w:t xml:space="preserve"> materialise. Site C, on the other hand, </w:t>
      </w:r>
      <w:r w:rsidRPr="00DF1780">
        <w:rPr>
          <w:rFonts w:ascii="Calibri" w:eastAsia="Calibri" w:hAnsi="Calibri" w:cs="Times New Roman"/>
        </w:rPr>
        <w:t xml:space="preserve">sought to engage and enrol members </w:t>
      </w:r>
      <w:r>
        <w:rPr>
          <w:rFonts w:ascii="Calibri" w:eastAsia="Calibri" w:hAnsi="Calibri" w:cs="Times New Roman"/>
        </w:rPr>
        <w:t>who were internal and external to</w:t>
      </w:r>
      <w:r w:rsidRPr="00DF1780">
        <w:rPr>
          <w:rFonts w:ascii="Calibri" w:eastAsia="Calibri" w:hAnsi="Calibri" w:cs="Times New Roman"/>
        </w:rPr>
        <w:t xml:space="preserve"> </w:t>
      </w:r>
      <w:r>
        <w:rPr>
          <w:rFonts w:ascii="Calibri" w:eastAsia="Calibri" w:hAnsi="Calibri" w:cs="Times New Roman"/>
        </w:rPr>
        <w:t>the organisation</w:t>
      </w:r>
      <w:r w:rsidRPr="0070762B">
        <w:rPr>
          <w:rFonts w:ascii="Calibri" w:eastAsia="Calibri" w:hAnsi="Calibri" w:cs="Times New Roman"/>
        </w:rPr>
        <w:t xml:space="preserve"> from the outset</w:t>
      </w:r>
      <w:r>
        <w:rPr>
          <w:rFonts w:ascii="Calibri" w:eastAsia="Calibri" w:hAnsi="Calibri" w:cs="Times New Roman"/>
        </w:rPr>
        <w:t xml:space="preserve">. Participants were drawn from </w:t>
      </w:r>
      <w:r w:rsidRPr="00DF1780">
        <w:rPr>
          <w:rFonts w:ascii="Calibri" w:eastAsia="Calibri" w:hAnsi="Calibri" w:cs="Times New Roman"/>
        </w:rPr>
        <w:t>a range of professional gro</w:t>
      </w:r>
      <w:r>
        <w:rPr>
          <w:rFonts w:ascii="Calibri" w:eastAsia="Calibri" w:hAnsi="Calibri" w:cs="Times New Roman"/>
        </w:rPr>
        <w:t xml:space="preserve">ups, </w:t>
      </w:r>
      <w:r w:rsidRPr="00DF1780">
        <w:rPr>
          <w:rFonts w:ascii="Calibri" w:eastAsia="Calibri" w:hAnsi="Calibri" w:cs="Times New Roman"/>
        </w:rPr>
        <w:t xml:space="preserve">patient and public representatives and </w:t>
      </w:r>
      <w:r>
        <w:rPr>
          <w:rFonts w:ascii="Calibri" w:eastAsia="Calibri" w:hAnsi="Calibri" w:cs="Times New Roman"/>
        </w:rPr>
        <w:t xml:space="preserve">throughout the process they </w:t>
      </w:r>
      <w:r w:rsidRPr="00DF1780">
        <w:rPr>
          <w:rFonts w:ascii="Calibri" w:eastAsia="Calibri" w:hAnsi="Calibri" w:cs="Times New Roman"/>
        </w:rPr>
        <w:t>sustain</w:t>
      </w:r>
      <w:r>
        <w:rPr>
          <w:rFonts w:ascii="Calibri" w:eastAsia="Calibri" w:hAnsi="Calibri" w:cs="Times New Roman"/>
        </w:rPr>
        <w:t>ed</w:t>
      </w:r>
      <w:r w:rsidRPr="00DF1780">
        <w:rPr>
          <w:rFonts w:ascii="Calibri" w:eastAsia="Calibri" w:hAnsi="Calibri" w:cs="Times New Roman"/>
        </w:rPr>
        <w:t xml:space="preserve"> and maintain</w:t>
      </w:r>
      <w:r>
        <w:rPr>
          <w:rFonts w:ascii="Calibri" w:eastAsia="Calibri" w:hAnsi="Calibri" w:cs="Times New Roman"/>
        </w:rPr>
        <w:t>ed</w:t>
      </w:r>
      <w:r w:rsidRPr="00DF1780">
        <w:rPr>
          <w:rFonts w:ascii="Calibri" w:eastAsia="Calibri" w:hAnsi="Calibri" w:cs="Times New Roman"/>
        </w:rPr>
        <w:t xml:space="preserve"> interg</w:t>
      </w:r>
      <w:r>
        <w:rPr>
          <w:rFonts w:ascii="Calibri" w:eastAsia="Calibri" w:hAnsi="Calibri" w:cs="Times New Roman"/>
        </w:rPr>
        <w:t>roup relationships. Again, this appeared to be attributable to</w:t>
      </w:r>
      <w:r w:rsidRPr="00DF1780">
        <w:rPr>
          <w:rFonts w:ascii="Calibri" w:eastAsia="Calibri" w:hAnsi="Calibri" w:cs="Times New Roman"/>
        </w:rPr>
        <w:t xml:space="preserve"> the work of active leadership mediated </w:t>
      </w:r>
      <w:r>
        <w:rPr>
          <w:rFonts w:ascii="Calibri" w:eastAsia="Calibri" w:hAnsi="Calibri" w:cs="Times New Roman"/>
        </w:rPr>
        <w:t xml:space="preserve">through </w:t>
      </w:r>
      <w:r w:rsidRPr="00DF1780">
        <w:rPr>
          <w:rFonts w:ascii="Calibri" w:eastAsia="Calibri" w:hAnsi="Calibri" w:cs="Times New Roman"/>
        </w:rPr>
        <w:t>a local leader</w:t>
      </w:r>
      <w:r>
        <w:rPr>
          <w:rFonts w:ascii="Calibri" w:eastAsia="Calibri" w:hAnsi="Calibri" w:cs="Times New Roman"/>
        </w:rPr>
        <w:t>, regarded as credible by members,</w:t>
      </w:r>
      <w:r w:rsidRPr="00DF1780">
        <w:rPr>
          <w:rFonts w:ascii="Calibri" w:eastAsia="Calibri" w:hAnsi="Calibri" w:cs="Times New Roman"/>
        </w:rPr>
        <w:t xml:space="preserve"> and the presence of existing sound relations and informal networks</w:t>
      </w:r>
      <w:r>
        <w:rPr>
          <w:rFonts w:ascii="Calibri" w:eastAsia="Calibri" w:hAnsi="Calibri" w:cs="Times New Roman"/>
        </w:rPr>
        <w:t xml:space="preserve">, </w:t>
      </w:r>
      <w:r w:rsidRPr="00DF1780">
        <w:rPr>
          <w:rFonts w:ascii="Calibri" w:eastAsia="Calibri" w:hAnsi="Calibri" w:cs="Times New Roman"/>
        </w:rPr>
        <w:t xml:space="preserve">key to enabling collective action </w:t>
      </w:r>
      <w:r>
        <w:rPr>
          <w:rFonts w:ascii="Calibri" w:eastAsia="Calibri" w:hAnsi="Calibri" w:cs="Times New Roman"/>
        </w:rPr>
        <w:t>from</w:t>
      </w:r>
      <w:r w:rsidRPr="00DF1780">
        <w:rPr>
          <w:rFonts w:ascii="Calibri" w:eastAsia="Calibri" w:hAnsi="Calibri" w:cs="Times New Roman"/>
        </w:rPr>
        <w:t xml:space="preserve"> a range of participants. Collective action, not only comprised </w:t>
      </w:r>
      <w:r>
        <w:rPr>
          <w:rFonts w:ascii="Calibri" w:eastAsia="Calibri" w:hAnsi="Calibri" w:cs="Times New Roman"/>
        </w:rPr>
        <w:t xml:space="preserve">tangible </w:t>
      </w:r>
      <w:r w:rsidRPr="00DF1780">
        <w:rPr>
          <w:rFonts w:ascii="Calibri" w:eastAsia="Calibri" w:hAnsi="Calibri" w:cs="Times New Roman"/>
        </w:rPr>
        <w:t>activities such as enact</w:t>
      </w:r>
      <w:r>
        <w:rPr>
          <w:rFonts w:ascii="Calibri" w:eastAsia="Calibri" w:hAnsi="Calibri" w:cs="Times New Roman"/>
        </w:rPr>
        <w:t>ing</w:t>
      </w:r>
      <w:r w:rsidRPr="00DF1780">
        <w:rPr>
          <w:rFonts w:ascii="Calibri" w:eastAsia="Calibri" w:hAnsi="Calibri" w:cs="Times New Roman"/>
        </w:rPr>
        <w:t xml:space="preserve"> communication and education/training strategies</w:t>
      </w:r>
      <w:r>
        <w:rPr>
          <w:rFonts w:ascii="Calibri" w:eastAsia="Calibri" w:hAnsi="Calibri" w:cs="Times New Roman"/>
        </w:rPr>
        <w:t xml:space="preserve">, </w:t>
      </w:r>
      <w:r w:rsidRPr="00DF1780">
        <w:rPr>
          <w:rFonts w:ascii="Calibri" w:eastAsia="Calibri" w:hAnsi="Calibri" w:cs="Times New Roman"/>
        </w:rPr>
        <w:t>resolving resource issues, and having a clear process, but those less palpable</w:t>
      </w:r>
      <w:r>
        <w:rPr>
          <w:rFonts w:ascii="Calibri" w:eastAsia="Calibri" w:hAnsi="Calibri" w:cs="Times New Roman"/>
        </w:rPr>
        <w:t xml:space="preserve">. For example, </w:t>
      </w:r>
      <w:r w:rsidRPr="00DF1780">
        <w:rPr>
          <w:rFonts w:ascii="Calibri" w:eastAsia="Calibri" w:hAnsi="Calibri" w:cs="Times New Roman"/>
        </w:rPr>
        <w:t xml:space="preserve">establishing trust and confidence in the network and others in the </w:t>
      </w:r>
      <w:r>
        <w:rPr>
          <w:rFonts w:ascii="Calibri" w:eastAsia="Calibri" w:hAnsi="Calibri" w:cs="Times New Roman"/>
        </w:rPr>
        <w:t>change</w:t>
      </w:r>
      <w:r w:rsidRPr="00DF1780">
        <w:rPr>
          <w:rFonts w:ascii="Calibri" w:eastAsia="Calibri" w:hAnsi="Calibri" w:cs="Times New Roman"/>
        </w:rPr>
        <w:t xml:space="preserve"> process, and managing those who sought to derail </w:t>
      </w:r>
      <w:r>
        <w:rPr>
          <w:rFonts w:ascii="Calibri" w:eastAsia="Calibri" w:hAnsi="Calibri" w:cs="Times New Roman"/>
        </w:rPr>
        <w:t>the implementation effort.  Furthermore, in Site C reflexive monitoring through an established process of audit and evaluation contributed to generating coherence, obtaining cognitive participation and shaping collective action.</w:t>
      </w:r>
    </w:p>
    <w:p w14:paraId="7ACBF89B" w14:textId="77777777" w:rsidR="006A2652" w:rsidRPr="008F0224" w:rsidRDefault="006A2652" w:rsidP="00A66E8F">
      <w:pPr>
        <w:spacing w:line="480" w:lineRule="auto"/>
        <w:jc w:val="both"/>
        <w:rPr>
          <w:rFonts w:ascii="Calibri" w:eastAsia="Calibri" w:hAnsi="Calibri" w:cs="Times New Roman"/>
          <w:i/>
        </w:rPr>
      </w:pPr>
      <w:r w:rsidRPr="008F0224">
        <w:rPr>
          <w:rFonts w:ascii="Calibri" w:eastAsia="Calibri" w:hAnsi="Calibri" w:cs="Times New Roman"/>
          <w:i/>
        </w:rPr>
        <w:t>Interactional contextualisation and the moral dimension of practice</w:t>
      </w:r>
    </w:p>
    <w:p w14:paraId="7E0D585A" w14:textId="77777777" w:rsidR="006A2652" w:rsidRDefault="006A2652" w:rsidP="00A66E8F">
      <w:pPr>
        <w:spacing w:line="480" w:lineRule="auto"/>
        <w:jc w:val="both"/>
        <w:rPr>
          <w:rFonts w:ascii="Calibri" w:eastAsia="Calibri" w:hAnsi="Calibri" w:cs="Times New Roman"/>
        </w:rPr>
      </w:pPr>
      <w:r w:rsidRPr="00DF1780">
        <w:rPr>
          <w:rFonts w:ascii="Calibri" w:eastAsia="Calibri" w:hAnsi="Calibri" w:cs="Times New Roman"/>
        </w:rPr>
        <w:t>The professional context was a complex mediator of change and consequently more challenging to manage</w:t>
      </w:r>
      <w:r>
        <w:rPr>
          <w:rFonts w:ascii="Calibri" w:eastAsia="Calibri" w:hAnsi="Calibri" w:cs="Times New Roman"/>
        </w:rPr>
        <w:t xml:space="preserve">. It was in this context that contentiousness in practice was encountered </w:t>
      </w:r>
      <w:r w:rsidRPr="00DF1780">
        <w:rPr>
          <w:rFonts w:ascii="Calibri" w:eastAsia="Calibri" w:hAnsi="Calibri" w:cs="Times New Roman"/>
        </w:rPr>
        <w:t>encomp</w:t>
      </w:r>
      <w:r>
        <w:rPr>
          <w:rFonts w:ascii="Calibri" w:eastAsia="Calibri" w:hAnsi="Calibri" w:cs="Times New Roman"/>
        </w:rPr>
        <w:t>assing</w:t>
      </w:r>
      <w:r w:rsidRPr="00DF1780">
        <w:rPr>
          <w:rFonts w:ascii="Calibri" w:eastAsia="Calibri" w:hAnsi="Calibri" w:cs="Times New Roman"/>
        </w:rPr>
        <w:t xml:space="preserve"> aspects of </w:t>
      </w:r>
      <w:r>
        <w:rPr>
          <w:rFonts w:ascii="Calibri" w:eastAsia="Calibri" w:hAnsi="Calibri" w:cs="Times New Roman"/>
        </w:rPr>
        <w:t xml:space="preserve">individual </w:t>
      </w:r>
      <w:r w:rsidRPr="00DF1780">
        <w:rPr>
          <w:rFonts w:ascii="Calibri" w:eastAsia="Calibri" w:hAnsi="Calibri" w:cs="Times New Roman"/>
        </w:rPr>
        <w:t>professional roles and identity, professional fears and concerns, and the moral dimension of practice.</w:t>
      </w:r>
      <w:r>
        <w:rPr>
          <w:rFonts w:ascii="Calibri" w:eastAsia="Calibri" w:hAnsi="Calibri" w:cs="Times New Roman"/>
        </w:rPr>
        <w:t xml:space="preserve"> </w:t>
      </w:r>
      <w:r w:rsidRPr="00DF1780">
        <w:rPr>
          <w:rFonts w:ascii="Calibri" w:eastAsia="Calibri" w:hAnsi="Calibri" w:cs="Times New Roman"/>
        </w:rPr>
        <w:t xml:space="preserve"> In all sites, improving the quality of the patient and family experience by involving them in decision-making about future treatment and care was </w:t>
      </w:r>
      <w:r>
        <w:rPr>
          <w:rFonts w:ascii="Calibri" w:eastAsia="Calibri" w:hAnsi="Calibri" w:cs="Times New Roman"/>
        </w:rPr>
        <w:t xml:space="preserve">not disputed by participants as </w:t>
      </w:r>
      <w:r w:rsidRPr="00DF1780">
        <w:rPr>
          <w:rFonts w:ascii="Calibri" w:eastAsia="Calibri" w:hAnsi="Calibri" w:cs="Times New Roman"/>
        </w:rPr>
        <w:t>the ‘right thing to do’. This reflected the moral dimension of practice and the shared moral order</w:t>
      </w:r>
      <w:r>
        <w:rPr>
          <w:rFonts w:ascii="Calibri" w:eastAsia="Calibri" w:hAnsi="Calibri" w:cs="Times New Roman"/>
        </w:rPr>
        <w:t xml:space="preserve"> </w:t>
      </w:r>
      <w:r w:rsidR="00C64EE0">
        <w:rPr>
          <w:rFonts w:ascii="Calibri" w:eastAsia="Calibri" w:hAnsi="Calibri" w:cs="Times New Roman"/>
          <w:noProof/>
        </w:rPr>
        <w:lastRenderedPageBreak/>
        <w:t>(Harré and Van Langenhove</w:t>
      </w:r>
      <w:r>
        <w:rPr>
          <w:rFonts w:ascii="Calibri" w:eastAsia="Calibri" w:hAnsi="Calibri" w:cs="Times New Roman"/>
          <w:noProof/>
        </w:rPr>
        <w:t>, 1999)</w:t>
      </w:r>
      <w:r>
        <w:rPr>
          <w:rFonts w:ascii="Calibri" w:eastAsia="Calibri" w:hAnsi="Calibri" w:cs="Times New Roman"/>
        </w:rPr>
        <w:t xml:space="preserve"> </w:t>
      </w:r>
      <w:r w:rsidRPr="00DF1780">
        <w:rPr>
          <w:rFonts w:ascii="Calibri" w:eastAsia="Calibri" w:hAnsi="Calibri" w:cs="Times New Roman"/>
        </w:rPr>
        <w:t xml:space="preserve">governing healthcare with regard to fulfilling a moral obligation as a </w:t>
      </w:r>
      <w:r>
        <w:rPr>
          <w:rFonts w:ascii="Calibri" w:eastAsia="Calibri" w:hAnsi="Calibri" w:cs="Times New Roman"/>
        </w:rPr>
        <w:t>healthcare professional</w:t>
      </w:r>
      <w:r w:rsidRPr="00DF1780">
        <w:rPr>
          <w:rFonts w:ascii="Calibri" w:eastAsia="Calibri" w:hAnsi="Calibri" w:cs="Times New Roman"/>
        </w:rPr>
        <w:t xml:space="preserve"> and pursuing a correct course of action.</w:t>
      </w:r>
    </w:p>
    <w:p w14:paraId="6103733F" w14:textId="0B6F82ED" w:rsidR="006A2652" w:rsidRPr="00DF1780" w:rsidRDefault="006A2652" w:rsidP="00A66E8F">
      <w:pPr>
        <w:spacing w:line="480" w:lineRule="auto"/>
        <w:jc w:val="both"/>
        <w:rPr>
          <w:rFonts w:ascii="Calibri" w:eastAsia="Calibri" w:hAnsi="Calibri" w:cs="Times New Roman"/>
        </w:rPr>
      </w:pPr>
      <w:r w:rsidRPr="00DF1780">
        <w:rPr>
          <w:rFonts w:ascii="Calibri" w:eastAsia="Calibri" w:hAnsi="Calibri" w:cs="Times New Roman"/>
        </w:rPr>
        <w:t>Professional concerns related to how introducing TEP</w:t>
      </w:r>
      <w:r>
        <w:rPr>
          <w:rFonts w:ascii="Calibri" w:eastAsia="Calibri" w:hAnsi="Calibri" w:cs="Times New Roman"/>
        </w:rPr>
        <w:t>/</w:t>
      </w:r>
      <w:r w:rsidRPr="00DF1780">
        <w:rPr>
          <w:rFonts w:ascii="Calibri" w:eastAsia="Calibri" w:hAnsi="Calibri" w:cs="Times New Roman"/>
        </w:rPr>
        <w:t xml:space="preserve">ReSPECT could change the nature </w:t>
      </w:r>
      <w:r>
        <w:rPr>
          <w:rFonts w:ascii="Calibri" w:eastAsia="Calibri" w:hAnsi="Calibri" w:cs="Times New Roman"/>
        </w:rPr>
        <w:t xml:space="preserve">and expectations </w:t>
      </w:r>
      <w:r w:rsidRPr="00DF1780">
        <w:rPr>
          <w:rFonts w:ascii="Calibri" w:eastAsia="Calibri" w:hAnsi="Calibri" w:cs="Times New Roman"/>
        </w:rPr>
        <w:t xml:space="preserve">of the clinicians’ role, </w:t>
      </w:r>
      <w:r w:rsidR="00484527">
        <w:rPr>
          <w:rFonts w:ascii="Calibri" w:eastAsia="Calibri" w:hAnsi="Calibri" w:cs="Times New Roman"/>
        </w:rPr>
        <w:t>legitimacy of</w:t>
      </w:r>
      <w:r w:rsidRPr="00DF1780">
        <w:rPr>
          <w:rFonts w:ascii="Calibri" w:eastAsia="Calibri" w:hAnsi="Calibri" w:cs="Times New Roman"/>
        </w:rPr>
        <w:t xml:space="preserve"> participation and willingness to undertake collective action</w:t>
      </w:r>
      <w:r>
        <w:rPr>
          <w:rFonts w:ascii="Calibri" w:eastAsia="Calibri" w:hAnsi="Calibri" w:cs="Times New Roman"/>
        </w:rPr>
        <w:t>.</w:t>
      </w:r>
      <w:r w:rsidRPr="00DF1780">
        <w:rPr>
          <w:rFonts w:ascii="Calibri" w:eastAsia="Calibri" w:hAnsi="Calibri" w:cs="Times New Roman"/>
        </w:rPr>
        <w:t xml:space="preserve"> This manifested through an apprehension </w:t>
      </w:r>
      <w:r>
        <w:rPr>
          <w:rFonts w:ascii="Calibri" w:eastAsia="Calibri" w:hAnsi="Calibri" w:cs="Times New Roman"/>
        </w:rPr>
        <w:t>revealing</w:t>
      </w:r>
      <w:r w:rsidRPr="00DF1780">
        <w:rPr>
          <w:rFonts w:ascii="Calibri" w:eastAsia="Calibri" w:hAnsi="Calibri" w:cs="Times New Roman"/>
        </w:rPr>
        <w:t xml:space="preserve"> professional fears </w:t>
      </w:r>
      <w:r>
        <w:rPr>
          <w:rFonts w:ascii="Calibri" w:eastAsia="Calibri" w:hAnsi="Calibri" w:cs="Times New Roman"/>
        </w:rPr>
        <w:t xml:space="preserve">and </w:t>
      </w:r>
      <w:r w:rsidRPr="00DF1780">
        <w:rPr>
          <w:rFonts w:ascii="Calibri" w:eastAsia="Calibri" w:hAnsi="Calibri" w:cs="Times New Roman"/>
        </w:rPr>
        <w:t>articulated through a discourse of risk and risk mitigation</w:t>
      </w:r>
      <w:r>
        <w:rPr>
          <w:rFonts w:ascii="Calibri" w:eastAsia="Calibri" w:hAnsi="Calibri" w:cs="Times New Roman"/>
        </w:rPr>
        <w:t xml:space="preserve"> </w:t>
      </w:r>
      <w:r w:rsidR="00C64EE0">
        <w:rPr>
          <w:rFonts w:ascii="Calibri" w:eastAsia="Calibri" w:hAnsi="Calibri" w:cs="Times New Roman"/>
          <w:noProof/>
        </w:rPr>
        <w:t xml:space="preserve">(Gale </w:t>
      </w:r>
      <w:r w:rsidR="002563C9" w:rsidRPr="002563C9">
        <w:rPr>
          <w:rFonts w:ascii="Calibri" w:eastAsia="Calibri" w:hAnsi="Calibri" w:cs="Times New Roman"/>
          <w:i/>
          <w:noProof/>
        </w:rPr>
        <w:t>et al</w:t>
      </w:r>
      <w:r>
        <w:rPr>
          <w:rFonts w:ascii="Calibri" w:eastAsia="Calibri" w:hAnsi="Calibri" w:cs="Times New Roman"/>
          <w:noProof/>
        </w:rPr>
        <w:t>., 2016)</w:t>
      </w:r>
      <w:r>
        <w:rPr>
          <w:rFonts w:ascii="Calibri" w:eastAsia="Calibri" w:hAnsi="Calibri" w:cs="Times New Roman"/>
        </w:rPr>
        <w:t>,</w:t>
      </w:r>
      <w:r w:rsidRPr="00DF1780">
        <w:rPr>
          <w:rFonts w:ascii="Calibri" w:eastAsia="Calibri" w:hAnsi="Calibri" w:cs="Times New Roman"/>
        </w:rPr>
        <w:t xml:space="preserve"> related to the initiation and enactment of TEP/ReSPECT, the requirement for decisions to be documented</w:t>
      </w:r>
      <w:r>
        <w:rPr>
          <w:rFonts w:ascii="Calibri" w:eastAsia="Calibri" w:hAnsi="Calibri" w:cs="Times New Roman"/>
        </w:rPr>
        <w:t>,</w:t>
      </w:r>
      <w:r w:rsidRPr="00DF1780">
        <w:rPr>
          <w:rFonts w:ascii="Calibri" w:eastAsia="Calibri" w:hAnsi="Calibri" w:cs="Times New Roman"/>
        </w:rPr>
        <w:t xml:space="preserve"> and for a clinician to place trust in and operationalise decisions by others or multiple others. In this way, the operationalisation of TEP/ReSPECT involved a network of actors and decisions that were distributed </w:t>
      </w:r>
      <w:r>
        <w:rPr>
          <w:rFonts w:ascii="Calibri" w:eastAsia="Calibri" w:hAnsi="Calibri" w:cs="Times New Roman"/>
        </w:rPr>
        <w:t xml:space="preserve">across organisational space, </w:t>
      </w:r>
      <w:r w:rsidRPr="00DF1780">
        <w:rPr>
          <w:rFonts w:ascii="Calibri" w:eastAsia="Calibri" w:hAnsi="Calibri" w:cs="Times New Roman"/>
        </w:rPr>
        <w:t>time</w:t>
      </w:r>
      <w:r>
        <w:rPr>
          <w:rFonts w:ascii="Calibri" w:eastAsia="Calibri" w:hAnsi="Calibri" w:cs="Times New Roman"/>
        </w:rPr>
        <w:t xml:space="preserve"> and professional groups </w:t>
      </w:r>
      <w:r w:rsidR="00C64EE0">
        <w:rPr>
          <w:rFonts w:ascii="Calibri" w:eastAsia="Calibri" w:hAnsi="Calibri" w:cs="Times New Roman"/>
          <w:noProof/>
        </w:rPr>
        <w:t>(Rapley</w:t>
      </w:r>
      <w:r>
        <w:rPr>
          <w:rFonts w:ascii="Calibri" w:eastAsia="Calibri" w:hAnsi="Calibri" w:cs="Times New Roman"/>
          <w:noProof/>
        </w:rPr>
        <w:t>, 2008)</w:t>
      </w:r>
      <w:r>
        <w:rPr>
          <w:rFonts w:ascii="Calibri" w:eastAsia="Calibri" w:hAnsi="Calibri" w:cs="Times New Roman"/>
        </w:rPr>
        <w:t xml:space="preserve"> requiring </w:t>
      </w:r>
      <w:r w:rsidRPr="00DF1780">
        <w:rPr>
          <w:rFonts w:ascii="Calibri" w:eastAsia="Calibri" w:hAnsi="Calibri" w:cs="Times New Roman"/>
        </w:rPr>
        <w:t>change</w:t>
      </w:r>
      <w:r>
        <w:rPr>
          <w:rFonts w:ascii="Calibri" w:eastAsia="Calibri" w:hAnsi="Calibri" w:cs="Times New Roman"/>
        </w:rPr>
        <w:t>s</w:t>
      </w:r>
      <w:r w:rsidRPr="00DF1780">
        <w:rPr>
          <w:rFonts w:ascii="Calibri" w:eastAsia="Calibri" w:hAnsi="Calibri" w:cs="Times New Roman"/>
        </w:rPr>
        <w:t xml:space="preserve"> to the existing professional script</w:t>
      </w:r>
      <w:r>
        <w:rPr>
          <w:rFonts w:ascii="Calibri" w:eastAsia="Calibri" w:hAnsi="Calibri" w:cs="Times New Roman"/>
        </w:rPr>
        <w:t xml:space="preserve"> and threat of exposing oneself to sensitive conversations. This </w:t>
      </w:r>
      <w:r w:rsidRPr="00DF1780">
        <w:rPr>
          <w:rFonts w:ascii="Calibri" w:eastAsia="Calibri" w:hAnsi="Calibri" w:cs="Times New Roman"/>
        </w:rPr>
        <w:t xml:space="preserve">was further intensified through a lack of elasticity and malleability </w:t>
      </w:r>
      <w:r>
        <w:rPr>
          <w:rFonts w:ascii="Calibri" w:eastAsia="Calibri" w:hAnsi="Calibri" w:cs="Times New Roman"/>
        </w:rPr>
        <w:t xml:space="preserve">in the </w:t>
      </w:r>
      <w:r w:rsidRPr="00DF1780">
        <w:rPr>
          <w:rFonts w:ascii="Calibri" w:eastAsia="Calibri" w:hAnsi="Calibri" w:cs="Times New Roman"/>
        </w:rPr>
        <w:t xml:space="preserve">ReSPECT process, </w:t>
      </w:r>
      <w:r>
        <w:rPr>
          <w:rFonts w:ascii="Calibri" w:eastAsia="Calibri" w:hAnsi="Calibri" w:cs="Times New Roman"/>
        </w:rPr>
        <w:t>which prohibited local interpretation or flexibility regarding use, and</w:t>
      </w:r>
      <w:r w:rsidRPr="00DF1780">
        <w:rPr>
          <w:rFonts w:ascii="Calibri" w:eastAsia="Calibri" w:hAnsi="Calibri" w:cs="Times New Roman"/>
        </w:rPr>
        <w:t xml:space="preserve"> concerns about the ability of those tasked with </w:t>
      </w:r>
      <w:r>
        <w:rPr>
          <w:rFonts w:ascii="Calibri" w:eastAsia="Calibri" w:hAnsi="Calibri" w:cs="Times New Roman"/>
        </w:rPr>
        <w:t>its operationalisation</w:t>
      </w:r>
      <w:r w:rsidRPr="00DF1780">
        <w:rPr>
          <w:rFonts w:ascii="Calibri" w:eastAsia="Calibri" w:hAnsi="Calibri" w:cs="Times New Roman"/>
        </w:rPr>
        <w:t xml:space="preserve">.  In NPT terms, the role of relational integration </w:t>
      </w:r>
      <w:r w:rsidR="007C5B98" w:rsidRPr="00F72153">
        <w:rPr>
          <w:rFonts w:ascii="Calibri" w:eastAsia="Calibri" w:hAnsi="Calibri" w:cs="Times New Roman"/>
        </w:rPr>
        <w:t>(the knowledge work undertaken to build accountability and maintain confidence)</w:t>
      </w:r>
      <w:r w:rsidR="007C5B98" w:rsidRPr="007C5B98">
        <w:rPr>
          <w:rFonts w:ascii="Calibri" w:eastAsia="Calibri" w:hAnsi="Calibri" w:cs="Times New Roman"/>
        </w:rPr>
        <w:t xml:space="preserve"> </w:t>
      </w:r>
      <w:r w:rsidRPr="00DF1780">
        <w:rPr>
          <w:rFonts w:ascii="Calibri" w:eastAsia="Calibri" w:hAnsi="Calibri" w:cs="Times New Roman"/>
        </w:rPr>
        <w:t xml:space="preserve">and skill set workability </w:t>
      </w:r>
      <w:r w:rsidR="007C5B98">
        <w:rPr>
          <w:rFonts w:ascii="Calibri" w:eastAsia="Calibri" w:hAnsi="Calibri" w:cs="Times New Roman"/>
        </w:rPr>
        <w:t>(</w:t>
      </w:r>
      <w:r w:rsidR="007C5B98" w:rsidRPr="00F72153">
        <w:rPr>
          <w:rFonts w:ascii="Calibri" w:eastAsia="Calibri" w:hAnsi="Calibri" w:cs="Times New Roman"/>
        </w:rPr>
        <w:t>the appropriate allocation of work to operationalise practice)</w:t>
      </w:r>
      <w:r w:rsidR="007C5B98" w:rsidRPr="007C5B98">
        <w:rPr>
          <w:rFonts w:ascii="Calibri" w:eastAsia="Calibri" w:hAnsi="Calibri" w:cs="Times New Roman"/>
        </w:rPr>
        <w:t xml:space="preserve"> </w:t>
      </w:r>
      <w:r w:rsidRPr="00DF1780">
        <w:rPr>
          <w:rFonts w:ascii="Calibri" w:eastAsia="Calibri" w:hAnsi="Calibri" w:cs="Times New Roman"/>
        </w:rPr>
        <w:t>were pre-conditions for collective action in the process</w:t>
      </w:r>
      <w:r>
        <w:rPr>
          <w:rFonts w:ascii="Calibri" w:eastAsia="Calibri" w:hAnsi="Calibri" w:cs="Times New Roman"/>
        </w:rPr>
        <w:t xml:space="preserve"> to introduce change</w:t>
      </w:r>
      <w:r w:rsidRPr="00DF1780">
        <w:rPr>
          <w:rFonts w:ascii="Calibri" w:eastAsia="Calibri" w:hAnsi="Calibri" w:cs="Times New Roman"/>
        </w:rPr>
        <w:t xml:space="preserve"> as they reflected participants understanding of the work that would be required to manage an uncertain trajectory and </w:t>
      </w:r>
      <w:r>
        <w:rPr>
          <w:rFonts w:ascii="Calibri" w:eastAsia="Calibri" w:hAnsi="Calibri" w:cs="Times New Roman"/>
        </w:rPr>
        <w:t xml:space="preserve">associated </w:t>
      </w:r>
      <w:r w:rsidRPr="00DF1780">
        <w:rPr>
          <w:rFonts w:ascii="Calibri" w:eastAsia="Calibri" w:hAnsi="Calibri" w:cs="Times New Roman"/>
        </w:rPr>
        <w:t>i</w:t>
      </w:r>
      <w:r>
        <w:rPr>
          <w:rFonts w:ascii="Calibri" w:eastAsia="Calibri" w:hAnsi="Calibri" w:cs="Times New Roman"/>
        </w:rPr>
        <w:t>mplications</w:t>
      </w:r>
      <w:r w:rsidRPr="00DF1780">
        <w:rPr>
          <w:rFonts w:ascii="Calibri" w:eastAsia="Calibri" w:hAnsi="Calibri" w:cs="Times New Roman"/>
        </w:rPr>
        <w:t>.</w:t>
      </w:r>
    </w:p>
    <w:p w14:paraId="7B48199D" w14:textId="77777777" w:rsidR="001B75FF" w:rsidRDefault="006A2652" w:rsidP="00A66E8F">
      <w:pPr>
        <w:spacing w:line="480" w:lineRule="auto"/>
        <w:jc w:val="both"/>
        <w:rPr>
          <w:rFonts w:ascii="Calibri" w:eastAsia="Calibri" w:hAnsi="Calibri" w:cs="Times New Roman"/>
        </w:rPr>
      </w:pPr>
      <w:r w:rsidRPr="00DF1780">
        <w:rPr>
          <w:rFonts w:ascii="Calibri" w:eastAsia="Calibri" w:hAnsi="Calibri" w:cs="Times New Roman"/>
        </w:rPr>
        <w:t>This context operated at the micro level and its management and navigation were dependent on individual capacity, motivations and perceptions, perhaps more so than in other contexts identified. Here, perception of context and participants’ anticipation of how TEP/ReSPECT might alter professional roles was used to justify their actions and behaviours. Participants drew on a combination of cognitive and emotional judgements to make sense of this context that they then enacted</w:t>
      </w:r>
      <w:r>
        <w:rPr>
          <w:rFonts w:ascii="Calibri" w:eastAsia="Calibri" w:hAnsi="Calibri" w:cs="Times New Roman"/>
        </w:rPr>
        <w:t>,</w:t>
      </w:r>
      <w:r w:rsidRPr="00DF1780">
        <w:rPr>
          <w:rFonts w:ascii="Calibri" w:eastAsia="Calibri" w:hAnsi="Calibri" w:cs="Times New Roman"/>
        </w:rPr>
        <w:t xml:space="preserve"> and in turn</w:t>
      </w:r>
      <w:r>
        <w:rPr>
          <w:rFonts w:ascii="Calibri" w:eastAsia="Calibri" w:hAnsi="Calibri" w:cs="Times New Roman"/>
        </w:rPr>
        <w:t>,</w:t>
      </w:r>
      <w:r w:rsidRPr="00DF1780">
        <w:rPr>
          <w:rFonts w:ascii="Calibri" w:eastAsia="Calibri" w:hAnsi="Calibri" w:cs="Times New Roman"/>
        </w:rPr>
        <w:t xml:space="preserve"> affected their ability or willingness to bring about change</w:t>
      </w:r>
      <w:r>
        <w:rPr>
          <w:rFonts w:ascii="Calibri" w:eastAsia="Calibri" w:hAnsi="Calibri" w:cs="Times New Roman"/>
        </w:rPr>
        <w:t xml:space="preserve"> </w:t>
      </w:r>
      <w:r w:rsidR="00C64EE0">
        <w:rPr>
          <w:rFonts w:ascii="Calibri" w:eastAsia="Calibri" w:hAnsi="Calibri" w:cs="Times New Roman"/>
          <w:noProof/>
        </w:rPr>
        <w:t>(Weick</w:t>
      </w:r>
      <w:r>
        <w:rPr>
          <w:rFonts w:ascii="Calibri" w:eastAsia="Calibri" w:hAnsi="Calibri" w:cs="Times New Roman"/>
          <w:noProof/>
        </w:rPr>
        <w:t>, 1995)</w:t>
      </w:r>
      <w:r w:rsidRPr="00DF1780">
        <w:rPr>
          <w:rFonts w:ascii="Calibri" w:eastAsia="Calibri" w:hAnsi="Calibri" w:cs="Times New Roman"/>
        </w:rPr>
        <w:t>. This was particularly evident where professional defensiveness about TEP/ReSPECT</w:t>
      </w:r>
      <w:r>
        <w:rPr>
          <w:rFonts w:ascii="Calibri" w:eastAsia="Calibri" w:hAnsi="Calibri" w:cs="Times New Roman"/>
        </w:rPr>
        <w:t xml:space="preserve"> and perceptions of challenges to </w:t>
      </w:r>
      <w:r>
        <w:rPr>
          <w:rFonts w:ascii="Calibri" w:eastAsia="Calibri" w:hAnsi="Calibri" w:cs="Times New Roman"/>
        </w:rPr>
        <w:lastRenderedPageBreak/>
        <w:t xml:space="preserve">individual authority </w:t>
      </w:r>
      <w:r w:rsidRPr="00DF1780">
        <w:rPr>
          <w:rFonts w:ascii="Calibri" w:eastAsia="Calibri" w:hAnsi="Calibri" w:cs="Times New Roman"/>
        </w:rPr>
        <w:t>w</w:t>
      </w:r>
      <w:r>
        <w:rPr>
          <w:rFonts w:ascii="Calibri" w:eastAsia="Calibri" w:hAnsi="Calibri" w:cs="Times New Roman"/>
        </w:rPr>
        <w:t xml:space="preserve">ere observed. </w:t>
      </w:r>
      <w:r w:rsidRPr="00DF1780">
        <w:rPr>
          <w:rFonts w:ascii="Calibri" w:eastAsia="Calibri" w:hAnsi="Calibri" w:cs="Times New Roman"/>
        </w:rPr>
        <w:t>Furthermore, through their actions, participants opened up the possibility of resisting a shared moral order and instead creating a personal moral order</w:t>
      </w:r>
      <w:r>
        <w:rPr>
          <w:rFonts w:ascii="Calibri" w:eastAsia="Calibri" w:hAnsi="Calibri" w:cs="Times New Roman"/>
        </w:rPr>
        <w:t xml:space="preserve"> </w:t>
      </w:r>
      <w:r>
        <w:rPr>
          <w:rFonts w:ascii="Calibri" w:eastAsia="Calibri" w:hAnsi="Calibri" w:cs="Times New Roman"/>
          <w:noProof/>
        </w:rPr>
        <w:t>(Van Langenhove L, 2017)</w:t>
      </w:r>
      <w:r w:rsidRPr="00DF1780">
        <w:rPr>
          <w:rFonts w:ascii="Calibri" w:eastAsia="Calibri" w:hAnsi="Calibri" w:cs="Times New Roman"/>
        </w:rPr>
        <w:t xml:space="preserve"> based on individual motivations </w:t>
      </w:r>
      <w:r>
        <w:rPr>
          <w:rFonts w:ascii="Calibri" w:eastAsia="Calibri" w:hAnsi="Calibri" w:cs="Times New Roman"/>
        </w:rPr>
        <w:t xml:space="preserve">and </w:t>
      </w:r>
      <w:r w:rsidRPr="00DF1780">
        <w:rPr>
          <w:rFonts w:ascii="Calibri" w:eastAsia="Calibri" w:hAnsi="Calibri" w:cs="Times New Roman"/>
        </w:rPr>
        <w:t xml:space="preserve">influenced </w:t>
      </w:r>
      <w:r>
        <w:rPr>
          <w:rFonts w:ascii="Calibri" w:eastAsia="Calibri" w:hAnsi="Calibri" w:cs="Times New Roman"/>
        </w:rPr>
        <w:t xml:space="preserve">commitment and engagement in collective action to enact change. </w:t>
      </w:r>
    </w:p>
    <w:p w14:paraId="4A68E9BC" w14:textId="5FC3F2D7" w:rsidR="006A2652" w:rsidRPr="006F00F3" w:rsidRDefault="006A2652" w:rsidP="00A66E8F">
      <w:pPr>
        <w:spacing w:line="480" w:lineRule="auto"/>
        <w:jc w:val="both"/>
        <w:rPr>
          <w:rFonts w:ascii="Calibri" w:eastAsia="Calibri" w:hAnsi="Calibri" w:cs="Times New Roman"/>
        </w:rPr>
      </w:pPr>
      <w:r w:rsidRPr="00837D9E">
        <w:rPr>
          <w:b/>
        </w:rPr>
        <w:t>C</w:t>
      </w:r>
      <w:r>
        <w:rPr>
          <w:b/>
        </w:rPr>
        <w:t>onclusion</w:t>
      </w:r>
    </w:p>
    <w:p w14:paraId="65A943A5" w14:textId="076AC983" w:rsidR="008F0224" w:rsidRPr="00074D34" w:rsidRDefault="006A2652" w:rsidP="00074D34">
      <w:pPr>
        <w:spacing w:line="480" w:lineRule="auto"/>
        <w:jc w:val="both"/>
      </w:pPr>
      <w:r>
        <w:t>Through a focus on attempts to introduce a TEP into healthcare organisations, this paper offers empirical evidence to demonstrate how change in clinical practice is influenced by interactions between participants and multiple contexts, and how successful change is dependent on the extent to which participants have the ability to manage and shape these contexts</w:t>
      </w:r>
      <w:r w:rsidRPr="00EE3948">
        <w:t xml:space="preserve">.  </w:t>
      </w:r>
      <w:r>
        <w:t>I</w:t>
      </w:r>
      <w:r w:rsidRPr="00EE3948">
        <w:t>nteraction between participants and context can be influenced by the intervention and this is particularly evident when the intervention is contentious in nature</w:t>
      </w:r>
      <w:r>
        <w:t>. App</w:t>
      </w:r>
      <w:r w:rsidR="00363CD0">
        <w:t xml:space="preserve">lying the lens of NPT enabled an </w:t>
      </w:r>
      <w:r>
        <w:t xml:space="preserve">understanding of the work needed to negotiate and navigate these contexts in the implementation process and revealed how the work itself was reliant on individual capacity to create a new, receptive context for change.  </w:t>
      </w:r>
      <w:r w:rsidRPr="00BE5CCD">
        <w:t xml:space="preserve">The active role contexts play in fashioning pre-conditions for change means that no context is discreet. For this reason, managing them is a complex, interactive and iterative process, whereby </w:t>
      </w:r>
      <w:r>
        <w:t xml:space="preserve">participants </w:t>
      </w:r>
      <w:r w:rsidRPr="00BE5CCD">
        <w:t>influence the flow of events and context is constructed and re-structured to liberate or mobilise change.</w:t>
      </w:r>
      <w:r w:rsidR="00074D34">
        <w:t xml:space="preserve"> </w:t>
      </w:r>
      <w:r w:rsidR="00074D34" w:rsidRPr="00F72153">
        <w:t>A recommendation of this paper is</w:t>
      </w:r>
      <w:r w:rsidR="00D16209" w:rsidRPr="00F72153">
        <w:t>,</w:t>
      </w:r>
      <w:r w:rsidR="00074D34" w:rsidRPr="00F72153">
        <w:t xml:space="preserve"> therefore</w:t>
      </w:r>
      <w:r w:rsidR="00D16209" w:rsidRPr="00F72153">
        <w:t>,</w:t>
      </w:r>
      <w:r w:rsidR="00074D34" w:rsidRPr="00F72153">
        <w:t xml:space="preserve"> that an assessment of the understanding of organisational and relational requirements needs to be taken into account and acted upon prior to implementation. Undertaking such a pre-implementation assessment, appraising individual, team and organisations of leve</w:t>
      </w:r>
      <w:r w:rsidR="00A80326" w:rsidRPr="00F72153">
        <w:t>ls</w:t>
      </w:r>
      <w:r w:rsidR="00074D34" w:rsidRPr="00F72153">
        <w:t xml:space="preserve"> of preparedness before embarking on implementation will identify barriers and facilitators to successful implementation, and recognise what is already in place to support participants involved in this challenging work.</w:t>
      </w:r>
    </w:p>
    <w:p w14:paraId="7C9D3ED2" w14:textId="77777777" w:rsidR="00611FA8" w:rsidRDefault="00611FA8" w:rsidP="00B61DDD">
      <w:pPr>
        <w:spacing w:line="480" w:lineRule="auto"/>
        <w:rPr>
          <w:b/>
        </w:rPr>
      </w:pPr>
      <w:bookmarkStart w:id="0" w:name="_GoBack"/>
      <w:bookmarkEnd w:id="0"/>
    </w:p>
    <w:p w14:paraId="476FC1C3" w14:textId="77777777" w:rsidR="00E662A6" w:rsidRDefault="00E662A6" w:rsidP="00B61DDD">
      <w:pPr>
        <w:spacing w:line="480" w:lineRule="auto"/>
        <w:rPr>
          <w:b/>
        </w:rPr>
      </w:pPr>
    </w:p>
    <w:p w14:paraId="4969168E" w14:textId="5E85A09E" w:rsidR="006A2652" w:rsidRPr="0078099A" w:rsidRDefault="006A2652" w:rsidP="00B61DDD">
      <w:pPr>
        <w:spacing w:line="480" w:lineRule="auto"/>
        <w:rPr>
          <w:b/>
        </w:rPr>
      </w:pPr>
      <w:r w:rsidRPr="0078099A">
        <w:rPr>
          <w:b/>
        </w:rPr>
        <w:lastRenderedPageBreak/>
        <w:t>R</w:t>
      </w:r>
      <w:r w:rsidR="00C64EE0">
        <w:rPr>
          <w:b/>
        </w:rPr>
        <w:t>eferences</w:t>
      </w:r>
    </w:p>
    <w:p w14:paraId="5F932D5C" w14:textId="77777777" w:rsidR="006A2652" w:rsidRPr="00D5526A" w:rsidRDefault="006A2652" w:rsidP="00D5526A">
      <w:pPr>
        <w:pStyle w:val="EndNoteBibliography"/>
        <w:spacing w:after="0"/>
        <w:ind w:left="720" w:hanging="720"/>
      </w:pPr>
      <w:r w:rsidRPr="00D5526A">
        <w:t xml:space="preserve">Aarons GA, Hurlburt M and Horwitz SM. (2011) Advancing a conceptual model of evidence-based practice implementation in public service sectors. </w:t>
      </w:r>
      <w:r w:rsidRPr="00D5526A">
        <w:rPr>
          <w:i/>
        </w:rPr>
        <w:t>Adm</w:t>
      </w:r>
      <w:r w:rsidR="00C64EE0">
        <w:rPr>
          <w:i/>
        </w:rPr>
        <w:t>inistration and</w:t>
      </w:r>
      <w:r w:rsidRPr="00D5526A">
        <w:rPr>
          <w:i/>
        </w:rPr>
        <w:t xml:space="preserve"> Policy </w:t>
      </w:r>
      <w:r w:rsidR="00C64EE0">
        <w:rPr>
          <w:i/>
        </w:rPr>
        <w:t xml:space="preserve">in </w:t>
      </w:r>
      <w:r w:rsidRPr="00D5526A">
        <w:rPr>
          <w:i/>
        </w:rPr>
        <w:t>Ment</w:t>
      </w:r>
      <w:r w:rsidR="00C64EE0">
        <w:rPr>
          <w:i/>
        </w:rPr>
        <w:t>al</w:t>
      </w:r>
      <w:r w:rsidRPr="00D5526A">
        <w:rPr>
          <w:i/>
        </w:rPr>
        <w:t xml:space="preserve"> Health</w:t>
      </w:r>
      <w:r w:rsidRPr="00D5526A">
        <w:t xml:space="preserve"> </w:t>
      </w:r>
      <w:r w:rsidR="00C64EE0">
        <w:t xml:space="preserve">and Mental Health Services </w:t>
      </w:r>
      <w:r w:rsidRPr="00D5526A">
        <w:t xml:space="preserve"> </w:t>
      </w:r>
      <w:r w:rsidR="00C64EE0">
        <w:t>Vol. 38 No.1,  pp.</w:t>
      </w:r>
      <w:r w:rsidRPr="00D5526A">
        <w:t>4-23.</w:t>
      </w:r>
    </w:p>
    <w:p w14:paraId="2C401237" w14:textId="77777777" w:rsidR="006A2652" w:rsidRPr="00D5526A" w:rsidRDefault="006A2652" w:rsidP="00D5526A">
      <w:pPr>
        <w:pStyle w:val="EndNoteBibliography"/>
        <w:spacing w:after="0"/>
        <w:ind w:left="720" w:hanging="720"/>
      </w:pPr>
      <w:r w:rsidRPr="00D5526A">
        <w:t>Bailey SJ and Cogle K. (2018) Talking About Dying: How to begin honest conversations about what lies ahead. Royal College of Physicians.</w:t>
      </w:r>
      <w:r w:rsidR="00C64EE0">
        <w:t xml:space="preserve"> </w:t>
      </w:r>
      <w:hyperlink r:id="rId8" w:history="1">
        <w:r w:rsidR="00C64EE0" w:rsidRPr="00C64EE0">
          <w:rPr>
            <w:rStyle w:val="Hyperlink"/>
            <w:lang w:val="en-GB"/>
          </w:rPr>
          <w:t>https://www.rcplondon.ac.uk/projects/outputs/talking-about-dying-how-begin-honest-conversations-about-what-lies-ahead</w:t>
        </w:r>
      </w:hyperlink>
      <w:r w:rsidR="00C64EE0">
        <w:t xml:space="preserve"> </w:t>
      </w:r>
    </w:p>
    <w:p w14:paraId="3107A21F" w14:textId="77777777" w:rsidR="006A2652" w:rsidRPr="00D5526A" w:rsidRDefault="006A2652" w:rsidP="00D5526A">
      <w:pPr>
        <w:pStyle w:val="EndNoteBibliography"/>
        <w:spacing w:after="0"/>
        <w:ind w:left="720" w:hanging="720"/>
      </w:pPr>
      <w:r w:rsidRPr="00D5526A">
        <w:t xml:space="preserve">Bate P. (2014) Context is everything. </w:t>
      </w:r>
      <w:r w:rsidRPr="00D5526A">
        <w:rPr>
          <w:i/>
        </w:rPr>
        <w:t>Pe</w:t>
      </w:r>
      <w:r w:rsidR="00C64EE0">
        <w:rPr>
          <w:i/>
        </w:rPr>
        <w:t>r</w:t>
      </w:r>
      <w:r w:rsidRPr="00D5526A">
        <w:rPr>
          <w:i/>
        </w:rPr>
        <w:t>spectives on Context.</w:t>
      </w:r>
      <w:r w:rsidRPr="00D5526A">
        <w:t xml:space="preserve"> London: The Health Foundation.</w:t>
      </w:r>
    </w:p>
    <w:p w14:paraId="0CE34672" w14:textId="29663A44" w:rsidR="006A2652" w:rsidRPr="00D5526A" w:rsidRDefault="006A2652" w:rsidP="00D5526A">
      <w:pPr>
        <w:pStyle w:val="EndNoteBibliography"/>
        <w:spacing w:after="0"/>
        <w:ind w:left="720" w:hanging="720"/>
      </w:pPr>
      <w:r w:rsidRPr="00D5526A">
        <w:t>Bevan H, R</w:t>
      </w:r>
      <w:r w:rsidR="00C64EE0">
        <w:t>obert G</w:t>
      </w:r>
      <w:r w:rsidRPr="00D5526A">
        <w:t xml:space="preserve">, Bate P, </w:t>
      </w:r>
      <w:r w:rsidR="002563C9" w:rsidRPr="002563C9">
        <w:rPr>
          <w:i/>
        </w:rPr>
        <w:t>et al</w:t>
      </w:r>
      <w:r w:rsidRPr="00D5526A">
        <w:t xml:space="preserve">. (2007) Using a Design Approach to Assist Large-Scale Organizational Change: “10 High Impact Changes” to Improve the National Health Service in England. </w:t>
      </w:r>
      <w:r w:rsidRPr="00D5526A">
        <w:rPr>
          <w:i/>
        </w:rPr>
        <w:t>The Journal of Applied Behavioral Science</w:t>
      </w:r>
      <w:r w:rsidRPr="00D5526A">
        <w:t xml:space="preserve"> </w:t>
      </w:r>
      <w:r w:rsidR="00C64EE0">
        <w:t xml:space="preserve"> Vol. </w:t>
      </w:r>
      <w:r w:rsidRPr="00D5526A">
        <w:t>43</w:t>
      </w:r>
      <w:r w:rsidR="00C64EE0">
        <w:t xml:space="preserve"> No.1, pp.</w:t>
      </w:r>
      <w:r w:rsidRPr="00D5526A">
        <w:t>135-152.</w:t>
      </w:r>
    </w:p>
    <w:p w14:paraId="06124C53" w14:textId="1C572616" w:rsidR="006A2652" w:rsidRPr="00D5526A" w:rsidRDefault="006A2652" w:rsidP="00D5526A">
      <w:pPr>
        <w:pStyle w:val="EndNoteBibliography"/>
        <w:spacing w:after="0"/>
        <w:ind w:left="720" w:hanging="720"/>
      </w:pPr>
      <w:r w:rsidRPr="00D5526A">
        <w:t xml:space="preserve">Cummings A, Lund S, Campling N, </w:t>
      </w:r>
      <w:r w:rsidR="002563C9" w:rsidRPr="002563C9">
        <w:rPr>
          <w:i/>
        </w:rPr>
        <w:t>et al</w:t>
      </w:r>
      <w:r w:rsidRPr="00D5526A">
        <w:t xml:space="preserve">. (2017) Implementing communication and decision-making interventions directed at goals of care: a theory-led scoping review. </w:t>
      </w:r>
      <w:r w:rsidRPr="00D5526A">
        <w:rPr>
          <w:i/>
        </w:rPr>
        <w:t>BMJ Open</w:t>
      </w:r>
      <w:r w:rsidRPr="00D5526A">
        <w:t xml:space="preserve"> 7: e017056.</w:t>
      </w:r>
    </w:p>
    <w:p w14:paraId="0706B584" w14:textId="44512317" w:rsidR="006A2652" w:rsidRPr="00D5526A" w:rsidRDefault="006A2652" w:rsidP="00D5526A">
      <w:pPr>
        <w:pStyle w:val="EndNoteBibliography"/>
        <w:spacing w:after="0"/>
        <w:ind w:left="720" w:hanging="720"/>
      </w:pPr>
      <w:r w:rsidRPr="00D5526A">
        <w:t>Damschroder L</w:t>
      </w:r>
      <w:r w:rsidR="00C64EE0">
        <w:t>J</w:t>
      </w:r>
      <w:r w:rsidRPr="00D5526A">
        <w:t>, Aron D</w:t>
      </w:r>
      <w:r w:rsidR="00C64EE0">
        <w:t>C</w:t>
      </w:r>
      <w:r w:rsidRPr="00D5526A">
        <w:t>, Keith R</w:t>
      </w:r>
      <w:r w:rsidR="00C64EE0">
        <w:t>E</w:t>
      </w:r>
      <w:r w:rsidRPr="00D5526A">
        <w:t xml:space="preserve">, </w:t>
      </w:r>
      <w:r w:rsidR="002563C9" w:rsidRPr="002563C9">
        <w:rPr>
          <w:i/>
        </w:rPr>
        <w:t>et al</w:t>
      </w:r>
      <w:r w:rsidRPr="00D5526A">
        <w:t xml:space="preserve">. (2009) Fostering implementation of health services research findings into practice: a consolidated framework for advancing implementation science. </w:t>
      </w:r>
      <w:r w:rsidRPr="00D5526A">
        <w:rPr>
          <w:i/>
        </w:rPr>
        <w:t>Implementation Science</w:t>
      </w:r>
      <w:r w:rsidRPr="00D5526A">
        <w:t xml:space="preserve"> </w:t>
      </w:r>
      <w:r w:rsidR="005B41A3">
        <w:t>Vol. 4, No. 50, pp. 1-15.</w:t>
      </w:r>
    </w:p>
    <w:p w14:paraId="276E469F" w14:textId="77777777" w:rsidR="006A2652" w:rsidRPr="00D5526A" w:rsidRDefault="006A2652" w:rsidP="00D5526A">
      <w:pPr>
        <w:pStyle w:val="EndNoteBibliography"/>
        <w:spacing w:after="0"/>
        <w:ind w:left="720" w:hanging="720"/>
      </w:pPr>
      <w:r w:rsidRPr="00D5526A">
        <w:t xml:space="preserve">Davidoff F and Batalden P. (2005) Toward stronger evidence on quality improvement. Draft publication guidelines: the beginning of a consensus project. </w:t>
      </w:r>
      <w:r w:rsidRPr="00D5526A">
        <w:rPr>
          <w:i/>
        </w:rPr>
        <w:t>Quality &amp; safety in health care</w:t>
      </w:r>
      <w:r w:rsidRPr="00D5526A">
        <w:t xml:space="preserve"> </w:t>
      </w:r>
      <w:r w:rsidR="005B41A3">
        <w:t>Vol. 14, pp.</w:t>
      </w:r>
      <w:r w:rsidRPr="00D5526A">
        <w:t>319-325.</w:t>
      </w:r>
    </w:p>
    <w:p w14:paraId="4C98080B" w14:textId="77777777" w:rsidR="006A2652" w:rsidRPr="00D5526A" w:rsidRDefault="006A2652" w:rsidP="00D5526A">
      <w:pPr>
        <w:pStyle w:val="EndNoteBibliography"/>
        <w:spacing w:after="0"/>
        <w:ind w:left="720" w:hanging="720"/>
      </w:pPr>
      <w:r w:rsidRPr="00D5526A">
        <w:t xml:space="preserve">Dopson S, Fitzgerald L and Ferlie E. (2008) Understanding Change and Innovation in Healthcare Settings: Reconceptualizing the Active Role of Context. </w:t>
      </w:r>
      <w:r w:rsidRPr="00D5526A">
        <w:rPr>
          <w:i/>
        </w:rPr>
        <w:t>Journal of Change Management</w:t>
      </w:r>
      <w:r w:rsidRPr="00D5526A">
        <w:t xml:space="preserve"> </w:t>
      </w:r>
      <w:r w:rsidR="005B41A3">
        <w:t>Vol 8. No3-4, pp.</w:t>
      </w:r>
      <w:r w:rsidRPr="00D5526A">
        <w:t>213-231.</w:t>
      </w:r>
      <w:r w:rsidR="005B41A3" w:rsidRPr="005B41A3">
        <w:t xml:space="preserve"> </w:t>
      </w:r>
      <w:hyperlink r:id="rId9" w:history="1">
        <w:r w:rsidR="005B41A3" w:rsidRPr="007C73A5">
          <w:rPr>
            <w:rStyle w:val="Hyperlink"/>
          </w:rPr>
          <w:t>https://doi.org/10.1080/14697010802133577</w:t>
        </w:r>
      </w:hyperlink>
      <w:r w:rsidR="005B41A3">
        <w:t xml:space="preserve"> </w:t>
      </w:r>
    </w:p>
    <w:p w14:paraId="7F79765E" w14:textId="77777777" w:rsidR="006A2652" w:rsidRPr="00D5526A" w:rsidRDefault="006A2652" w:rsidP="00D5526A">
      <w:pPr>
        <w:pStyle w:val="EndNoteBibliography"/>
        <w:spacing w:after="0"/>
        <w:ind w:left="720" w:hanging="720"/>
      </w:pPr>
      <w:r w:rsidRPr="00D5526A">
        <w:t xml:space="preserve">Dopson S and Fitzgerald L. (2005) The Active Role of Context. In: Dopson S and Fitzgerald L (eds) </w:t>
      </w:r>
      <w:r w:rsidRPr="00D5526A">
        <w:rPr>
          <w:i/>
        </w:rPr>
        <w:t>Knowledge to Action? Evidence-Based Health Care in Context.</w:t>
      </w:r>
      <w:r w:rsidRPr="00D5526A">
        <w:t xml:space="preserve"> Oxford: Oxford University Press.</w:t>
      </w:r>
    </w:p>
    <w:p w14:paraId="71BEF552" w14:textId="0180361A" w:rsidR="006A2652" w:rsidRPr="00D5526A" w:rsidRDefault="006A2652" w:rsidP="00D5526A">
      <w:pPr>
        <w:pStyle w:val="EndNoteBibliography"/>
        <w:spacing w:after="0"/>
        <w:ind w:left="720" w:hanging="720"/>
      </w:pPr>
      <w:r w:rsidRPr="00D5526A">
        <w:t xml:space="preserve">Field RA, Fritz Z, Baker A, </w:t>
      </w:r>
      <w:r w:rsidR="002563C9" w:rsidRPr="002563C9">
        <w:rPr>
          <w:i/>
        </w:rPr>
        <w:t>et al</w:t>
      </w:r>
      <w:r w:rsidRPr="00D5526A">
        <w:t xml:space="preserve">. (2014) Systematic review of interventions to improve appropriate use and outcomes associated with do-not-attempt-cardiopulmonary-resuscitation decisions. </w:t>
      </w:r>
      <w:r w:rsidRPr="00D5526A">
        <w:rPr>
          <w:i/>
        </w:rPr>
        <w:t>Resuscitation</w:t>
      </w:r>
      <w:r w:rsidRPr="00D5526A">
        <w:t xml:space="preserve"> </w:t>
      </w:r>
      <w:r w:rsidR="005B41A3">
        <w:t xml:space="preserve">Vol. </w:t>
      </w:r>
      <w:r w:rsidRPr="00D5526A">
        <w:t>85</w:t>
      </w:r>
      <w:r w:rsidR="005B41A3">
        <w:t xml:space="preserve"> No. 11, pp.</w:t>
      </w:r>
      <w:r w:rsidRPr="00D5526A">
        <w:t>1418-1431.</w:t>
      </w:r>
      <w:r w:rsidR="005B41A3" w:rsidRPr="005B41A3">
        <w:rPr>
          <w:rFonts w:ascii="Segoe UI" w:hAnsi="Segoe UI" w:cs="Segoe UI"/>
          <w:noProof w:val="0"/>
          <w:color w:val="212121"/>
          <w:shd w:val="clear" w:color="auto" w:fill="FFFFFF"/>
          <w:lang w:val="en-GB"/>
        </w:rPr>
        <w:t xml:space="preserve"> </w:t>
      </w:r>
      <w:r w:rsidR="005B41A3" w:rsidRPr="005B41A3">
        <w:rPr>
          <w:lang w:val="en-GB"/>
        </w:rPr>
        <w:t>doi:10.1016/j.resuscitation.2014.08.024</w:t>
      </w:r>
      <w:r w:rsidR="005B41A3">
        <w:rPr>
          <w:lang w:val="en-GB"/>
        </w:rPr>
        <w:t xml:space="preserve"> </w:t>
      </w:r>
    </w:p>
    <w:p w14:paraId="45D650B0" w14:textId="046163A8" w:rsidR="006A2652" w:rsidRPr="00D5526A" w:rsidRDefault="006A2652" w:rsidP="00D5526A">
      <w:pPr>
        <w:pStyle w:val="EndNoteBibliography"/>
        <w:spacing w:after="0"/>
        <w:ind w:left="720" w:hanging="720"/>
      </w:pPr>
      <w:r w:rsidRPr="00D5526A">
        <w:t>Finc</w:t>
      </w:r>
      <w:r w:rsidR="005B41A3">
        <w:t>h T, Rapley T</w:t>
      </w:r>
      <w:r w:rsidRPr="00D5526A">
        <w:t xml:space="preserve">, </w:t>
      </w:r>
      <w:r w:rsidR="002563C9" w:rsidRPr="002563C9">
        <w:rPr>
          <w:i/>
        </w:rPr>
        <w:t>et al</w:t>
      </w:r>
      <w:r w:rsidRPr="00D5526A">
        <w:t xml:space="preserve">. (2013) Improving the normalization of complex interventions: measure development based on normalization process theory (NoMAD): study protocol. </w:t>
      </w:r>
      <w:r w:rsidRPr="00D5526A">
        <w:rPr>
          <w:i/>
        </w:rPr>
        <w:t>Implementation Science</w:t>
      </w:r>
      <w:r w:rsidRPr="00D5526A">
        <w:t xml:space="preserve"> </w:t>
      </w:r>
      <w:r w:rsidR="005B41A3">
        <w:t xml:space="preserve">Vol. 8 No. 43, </w:t>
      </w:r>
      <w:hyperlink r:id="rId10" w:history="1">
        <w:r w:rsidR="005B41A3" w:rsidRPr="007C73A5">
          <w:rPr>
            <w:rStyle w:val="Hyperlink"/>
            <w:lang w:val="en-GB"/>
          </w:rPr>
          <w:t>https://doi.org/10.1186/1748-5908-8-43</w:t>
        </w:r>
      </w:hyperlink>
      <w:r w:rsidR="005B41A3">
        <w:rPr>
          <w:lang w:val="en-GB"/>
        </w:rPr>
        <w:t xml:space="preserve"> </w:t>
      </w:r>
    </w:p>
    <w:p w14:paraId="49E23A31" w14:textId="4956077B" w:rsidR="006A2652" w:rsidRPr="00D5526A" w:rsidRDefault="006A2652" w:rsidP="00D5526A">
      <w:pPr>
        <w:pStyle w:val="EndNoteBibliography"/>
        <w:spacing w:after="0"/>
        <w:ind w:left="720" w:hanging="720"/>
      </w:pPr>
      <w:r w:rsidRPr="00D5526A">
        <w:t xml:space="preserve">Fitzgerald L, Ferlie E, Wood M, </w:t>
      </w:r>
      <w:r w:rsidR="002563C9" w:rsidRPr="002563C9">
        <w:rPr>
          <w:i/>
        </w:rPr>
        <w:t>et al</w:t>
      </w:r>
      <w:r w:rsidRPr="00D5526A">
        <w:t xml:space="preserve">. (2002) Interlocking Interactions, the Diffusion of Innovations in Health Care. </w:t>
      </w:r>
      <w:r w:rsidRPr="00D5526A">
        <w:rPr>
          <w:i/>
        </w:rPr>
        <w:t>Human Relations</w:t>
      </w:r>
      <w:r w:rsidRPr="00D5526A">
        <w:t xml:space="preserve"> 55: 1429-1449.</w:t>
      </w:r>
    </w:p>
    <w:p w14:paraId="06DF43DE" w14:textId="6D6140BE" w:rsidR="006A2652" w:rsidRPr="00D5526A" w:rsidRDefault="006A2652" w:rsidP="00D5526A">
      <w:pPr>
        <w:pStyle w:val="EndNoteBibliography"/>
        <w:spacing w:after="0"/>
        <w:ind w:left="720" w:hanging="720"/>
      </w:pPr>
      <w:r w:rsidRPr="00D5526A">
        <w:t xml:space="preserve">Fritz Z, Maylon A, Frankau JM, </w:t>
      </w:r>
      <w:r w:rsidR="002563C9" w:rsidRPr="002563C9">
        <w:rPr>
          <w:i/>
        </w:rPr>
        <w:t>et al</w:t>
      </w:r>
      <w:r w:rsidRPr="00D5526A">
        <w:t xml:space="preserve">. (2013) The Universal Form of Treatment Options (UFTO) as an Alternative to Do Not Attempt Cardiopulmonary Resuscitation (DNACPR) Orders: A Mixed Methods Evaluation of the Effects on Clinical Practice and Patient Care. </w:t>
      </w:r>
      <w:r w:rsidRPr="00D5526A">
        <w:rPr>
          <w:i/>
        </w:rPr>
        <w:t>PLOS ONE</w:t>
      </w:r>
      <w:r w:rsidRPr="00D5526A">
        <w:t xml:space="preserve"> 8: e70977.</w:t>
      </w:r>
    </w:p>
    <w:p w14:paraId="3E3B5BDD" w14:textId="77777777" w:rsidR="006A2652" w:rsidRPr="00D5526A" w:rsidRDefault="006A2652" w:rsidP="00D5526A">
      <w:pPr>
        <w:pStyle w:val="EndNoteBibliography"/>
        <w:spacing w:after="0"/>
        <w:ind w:left="720" w:hanging="720"/>
      </w:pPr>
      <w:r w:rsidRPr="00D5526A">
        <w:t xml:space="preserve">Fritz Z, Slowther AM and Perkins G. (2017) Resuscitation policy should focus on the patient, not the decision. </w:t>
      </w:r>
      <w:r w:rsidRPr="00D5526A">
        <w:rPr>
          <w:i/>
        </w:rPr>
        <w:t>BMJ</w:t>
      </w:r>
      <w:r w:rsidRPr="00D5526A">
        <w:t xml:space="preserve"> 356: j813.</w:t>
      </w:r>
    </w:p>
    <w:p w14:paraId="063FFA51" w14:textId="0A9BA727" w:rsidR="006A2652" w:rsidRPr="00D5526A" w:rsidRDefault="006A2652" w:rsidP="00D5526A">
      <w:pPr>
        <w:pStyle w:val="EndNoteBibliography"/>
        <w:spacing w:after="0"/>
        <w:ind w:left="720" w:hanging="720"/>
      </w:pPr>
      <w:r w:rsidRPr="00D5526A">
        <w:t xml:space="preserve">Gale NK, Thomas GM, Thwaites R, </w:t>
      </w:r>
      <w:r w:rsidR="002563C9" w:rsidRPr="002563C9">
        <w:rPr>
          <w:i/>
        </w:rPr>
        <w:t>et al</w:t>
      </w:r>
      <w:r w:rsidRPr="00D5526A">
        <w:t xml:space="preserve">. (2016) Towards a sociology of risk work: A narrative review and synthesis. </w:t>
      </w:r>
      <w:r w:rsidRPr="00D5526A">
        <w:rPr>
          <w:i/>
        </w:rPr>
        <w:t>Sociology Compass</w:t>
      </w:r>
      <w:r w:rsidRPr="00D5526A">
        <w:t xml:space="preserve"> 10: 1046-1071.</w:t>
      </w:r>
    </w:p>
    <w:p w14:paraId="5F729E69" w14:textId="77777777" w:rsidR="006A2652" w:rsidRPr="00D5526A" w:rsidRDefault="006A2652" w:rsidP="00D5526A">
      <w:pPr>
        <w:pStyle w:val="EndNoteBibliography"/>
        <w:spacing w:after="0"/>
        <w:ind w:left="720" w:hanging="720"/>
      </w:pPr>
      <w:r w:rsidRPr="00D5526A">
        <w:t xml:space="preserve">Gibbs AJ, Malyon AC and Fritz Z. (2016) Themes and variations: An exploratory international investigation into resuscitation decision-making. </w:t>
      </w:r>
      <w:r w:rsidRPr="00D5526A">
        <w:rPr>
          <w:i/>
        </w:rPr>
        <w:t>Resuscitation</w:t>
      </w:r>
      <w:r w:rsidRPr="00D5526A">
        <w:t xml:space="preserve"> 103: 75-81.</w:t>
      </w:r>
    </w:p>
    <w:p w14:paraId="4B3409B2" w14:textId="0BD0E96A" w:rsidR="006A2652" w:rsidRPr="00D5526A" w:rsidRDefault="006A2652" w:rsidP="00D5526A">
      <w:pPr>
        <w:pStyle w:val="EndNoteBibliography"/>
        <w:spacing w:after="0"/>
        <w:ind w:left="720" w:hanging="720"/>
      </w:pPr>
      <w:r w:rsidRPr="00D5526A">
        <w:t xml:space="preserve">Godfrey G, Pilcher D, Hilton A, </w:t>
      </w:r>
      <w:r w:rsidR="002563C9" w:rsidRPr="002563C9">
        <w:rPr>
          <w:i/>
        </w:rPr>
        <w:t>et al</w:t>
      </w:r>
      <w:r w:rsidRPr="00D5526A">
        <w:t xml:space="preserve">. (2012) Treatment limitations at admission to intensive care units in Australia and New Zealand: Prevalence, outcomes, and resource use*. </w:t>
      </w:r>
      <w:r w:rsidRPr="00D5526A">
        <w:rPr>
          <w:i/>
        </w:rPr>
        <w:t>Critical Care Medicine</w:t>
      </w:r>
      <w:r w:rsidRPr="00D5526A">
        <w:t xml:space="preserve"> 40: 2082-2089.</w:t>
      </w:r>
    </w:p>
    <w:p w14:paraId="2664CC8E" w14:textId="77777777" w:rsidR="006A2652" w:rsidRPr="00D5526A" w:rsidRDefault="006A2652" w:rsidP="00D5526A">
      <w:pPr>
        <w:pStyle w:val="EndNoteBibliography"/>
        <w:spacing w:after="0"/>
        <w:ind w:left="720" w:hanging="720"/>
      </w:pPr>
      <w:r w:rsidRPr="00D5526A">
        <w:t xml:space="preserve">Goodman MS and Sanders Thompson Vetta L. (2017) The science of stakeholder engagement in research: classification, implementation, and evaluation. </w:t>
      </w:r>
      <w:r w:rsidRPr="00D5526A">
        <w:rPr>
          <w:i/>
        </w:rPr>
        <w:t>Translational behavioral medicine</w:t>
      </w:r>
      <w:r w:rsidRPr="00D5526A">
        <w:t xml:space="preserve"> 7: 486-491.</w:t>
      </w:r>
    </w:p>
    <w:p w14:paraId="040823BB" w14:textId="0E203751" w:rsidR="006A2652" w:rsidRPr="00D5526A" w:rsidRDefault="006A2652" w:rsidP="00D5526A">
      <w:pPr>
        <w:pStyle w:val="EndNoteBibliography"/>
        <w:spacing w:after="0"/>
        <w:ind w:left="720" w:hanging="720"/>
      </w:pPr>
      <w:r w:rsidRPr="00D5526A">
        <w:lastRenderedPageBreak/>
        <w:t xml:space="preserve">Greenhalgh T, Shaw S, Wherton J, </w:t>
      </w:r>
      <w:r w:rsidR="002563C9" w:rsidRPr="002563C9">
        <w:rPr>
          <w:i/>
        </w:rPr>
        <w:t>et al</w:t>
      </w:r>
      <w:r w:rsidRPr="00D5526A">
        <w:t xml:space="preserve">. (2016) SCALS: a fourth-generation study of assisted living technologies in their organisational, social, political and policy context. </w:t>
      </w:r>
      <w:r w:rsidRPr="00D5526A">
        <w:rPr>
          <w:i/>
        </w:rPr>
        <w:t>BMJ Open</w:t>
      </w:r>
      <w:r w:rsidRPr="00D5526A">
        <w:t xml:space="preserve"> 6: e010208.</w:t>
      </w:r>
    </w:p>
    <w:p w14:paraId="474F5CA1" w14:textId="0A94CB77" w:rsidR="006A2652" w:rsidRPr="00D5526A" w:rsidRDefault="006A2652" w:rsidP="00D5526A">
      <w:pPr>
        <w:pStyle w:val="EndNoteBibliography"/>
        <w:spacing w:after="0"/>
        <w:ind w:left="720" w:hanging="720"/>
      </w:pPr>
      <w:r w:rsidRPr="00D5526A">
        <w:t xml:space="preserve">Greenhalgh T, Wherton J, Papoutsi C, </w:t>
      </w:r>
      <w:r w:rsidR="002563C9" w:rsidRPr="002563C9">
        <w:rPr>
          <w:i/>
        </w:rPr>
        <w:t>et al</w:t>
      </w:r>
      <w:r w:rsidRPr="00D5526A">
        <w:t xml:space="preserve">. (2017) Beyond Adoption: A New Framework for Theorizing and Evaluating Nonadoption, Abandonment, and Challenges to the Scale-Up, Spread, and Sustainability of Health and Care Technologies. </w:t>
      </w:r>
      <w:r w:rsidRPr="00D5526A">
        <w:rPr>
          <w:i/>
        </w:rPr>
        <w:t>Journal of medical Internet research</w:t>
      </w:r>
      <w:r w:rsidRPr="00D5526A">
        <w:t xml:space="preserve"> 19: e367-e367.</w:t>
      </w:r>
    </w:p>
    <w:p w14:paraId="4AA15FF5" w14:textId="77777777" w:rsidR="006A2652" w:rsidRPr="00D5526A" w:rsidRDefault="006A2652" w:rsidP="00D5526A">
      <w:pPr>
        <w:pStyle w:val="EndNoteBibliography"/>
        <w:spacing w:after="0"/>
        <w:ind w:left="720" w:hanging="720"/>
      </w:pPr>
      <w:r w:rsidRPr="00D5526A">
        <w:t>Harré R and Van Langenhove L. (1999) Positioning theory: Moral contexts of intentional action. Oxford: Blackwell, 1-13.</w:t>
      </w:r>
    </w:p>
    <w:p w14:paraId="2BEB212F" w14:textId="1D18C5CC" w:rsidR="006A2652" w:rsidRPr="00D5526A" w:rsidRDefault="006A2652" w:rsidP="00D5526A">
      <w:pPr>
        <w:pStyle w:val="EndNoteBibliography"/>
        <w:spacing w:after="0"/>
        <w:ind w:left="720" w:hanging="720"/>
      </w:pPr>
      <w:r w:rsidRPr="00D5526A">
        <w:t xml:space="preserve">Huddlestone L, Turner J, Eborall H, </w:t>
      </w:r>
      <w:r w:rsidR="002563C9" w:rsidRPr="002563C9">
        <w:rPr>
          <w:i/>
        </w:rPr>
        <w:t>et al</w:t>
      </w:r>
      <w:r w:rsidRPr="00D5526A">
        <w:t xml:space="preserve">. (2020) Application of normalisation process theory in understanding implementation processes in primary care settings in the UK: a systematic review. </w:t>
      </w:r>
      <w:r w:rsidRPr="00D5526A">
        <w:rPr>
          <w:i/>
        </w:rPr>
        <w:t>BMC Family Practice</w:t>
      </w:r>
      <w:r w:rsidRPr="00D5526A">
        <w:t xml:space="preserve"> 21: 52.</w:t>
      </w:r>
    </w:p>
    <w:p w14:paraId="7664C01E" w14:textId="0413DDA0" w:rsidR="006A2652" w:rsidRPr="00D5526A" w:rsidRDefault="006A2652" w:rsidP="00D5526A">
      <w:pPr>
        <w:pStyle w:val="EndNoteBibliography"/>
        <w:spacing w:after="0"/>
        <w:ind w:left="720" w:hanging="720"/>
      </w:pPr>
      <w:r w:rsidRPr="00D5526A">
        <w:t xml:space="preserve">Hunter David J, Erskine J, Small A, </w:t>
      </w:r>
      <w:r w:rsidR="002563C9" w:rsidRPr="002563C9">
        <w:rPr>
          <w:i/>
        </w:rPr>
        <w:t>et al</w:t>
      </w:r>
      <w:r w:rsidRPr="00D5526A">
        <w:t xml:space="preserve">. (2015) Doing transformational change in the English NHS in the context of “big bang” redisorganisation: Findings from the North East transformation system. </w:t>
      </w:r>
      <w:r w:rsidRPr="00D5526A">
        <w:rPr>
          <w:i/>
        </w:rPr>
        <w:t>Journal of Health Organization and Management</w:t>
      </w:r>
      <w:r w:rsidRPr="00D5526A">
        <w:t xml:space="preserve"> 29: 10-24.</w:t>
      </w:r>
    </w:p>
    <w:p w14:paraId="122B3A02" w14:textId="276B0033" w:rsidR="006A2652" w:rsidRPr="00D5526A" w:rsidRDefault="006A2652" w:rsidP="00D5526A">
      <w:pPr>
        <w:pStyle w:val="EndNoteBibliography"/>
        <w:spacing w:after="0"/>
        <w:ind w:left="720" w:hanging="720"/>
      </w:pPr>
      <w:r w:rsidRPr="00D5526A">
        <w:t xml:space="preserve">Hurst S, Becerra M, Perrier A, </w:t>
      </w:r>
      <w:r w:rsidR="002563C9" w:rsidRPr="002563C9">
        <w:rPr>
          <w:i/>
        </w:rPr>
        <w:t>et al</w:t>
      </w:r>
      <w:r w:rsidRPr="00D5526A">
        <w:t xml:space="preserve">. (2013) Including patients in resuscitation decisions in Switzerland: from doing more to doing better. </w:t>
      </w:r>
      <w:r w:rsidRPr="00D5526A">
        <w:rPr>
          <w:i/>
        </w:rPr>
        <w:t>Journal of Medical Ethics</w:t>
      </w:r>
      <w:r w:rsidRPr="00D5526A">
        <w:t xml:space="preserve"> 39: 158.</w:t>
      </w:r>
    </w:p>
    <w:p w14:paraId="1F5D22FD" w14:textId="6CB41FCB" w:rsidR="006A2652" w:rsidRPr="00D5526A" w:rsidRDefault="006A2652" w:rsidP="00D5526A">
      <w:pPr>
        <w:pStyle w:val="EndNoteBibliography"/>
        <w:spacing w:after="0"/>
        <w:ind w:left="720" w:hanging="720"/>
      </w:pPr>
      <w:r w:rsidRPr="00D5526A">
        <w:t xml:space="preserve">Jesus JE, Geiderman JM, Venkat A, </w:t>
      </w:r>
      <w:r w:rsidR="002563C9" w:rsidRPr="002563C9">
        <w:rPr>
          <w:i/>
        </w:rPr>
        <w:t>et al</w:t>
      </w:r>
      <w:r w:rsidRPr="00D5526A">
        <w:t xml:space="preserve">. (2014) Physician Orders for Life-Sustaining Treatment and Emergency Medicine: Ethical Considerations, Legal Issues, and Emerging Trends. </w:t>
      </w:r>
      <w:r w:rsidRPr="00D5526A">
        <w:rPr>
          <w:i/>
        </w:rPr>
        <w:t>Annals of Emergency Medicine</w:t>
      </w:r>
      <w:r w:rsidRPr="00D5526A">
        <w:t xml:space="preserve"> 64: 140-144.</w:t>
      </w:r>
    </w:p>
    <w:p w14:paraId="53140998" w14:textId="60B29766" w:rsidR="006A2652" w:rsidRPr="00D5526A" w:rsidRDefault="006A2652" w:rsidP="00D5526A">
      <w:pPr>
        <w:pStyle w:val="EndNoteBibliography"/>
        <w:spacing w:after="0"/>
        <w:ind w:left="720" w:hanging="720"/>
      </w:pPr>
      <w:r w:rsidRPr="00D5526A">
        <w:t xml:space="preserve">Kaplan HC, Brady PW, Dritz MC, </w:t>
      </w:r>
      <w:r w:rsidR="002563C9" w:rsidRPr="002563C9">
        <w:rPr>
          <w:i/>
        </w:rPr>
        <w:t>et al</w:t>
      </w:r>
      <w:r w:rsidRPr="00D5526A">
        <w:t xml:space="preserve">. (2010) The influence of context on quality improvement success in health care: a systematic review of the literature. </w:t>
      </w:r>
      <w:r w:rsidRPr="00D5526A">
        <w:rPr>
          <w:i/>
        </w:rPr>
        <w:t>Milbank Q</w:t>
      </w:r>
      <w:r w:rsidRPr="00D5526A">
        <w:t xml:space="preserve"> 88: 500-559.</w:t>
      </w:r>
    </w:p>
    <w:p w14:paraId="42C0E336" w14:textId="147F79D1" w:rsidR="006A2652" w:rsidRPr="00D5526A" w:rsidRDefault="006A2652" w:rsidP="00D5526A">
      <w:pPr>
        <w:pStyle w:val="EndNoteBibliography"/>
        <w:spacing w:after="0"/>
        <w:ind w:left="720" w:hanging="720"/>
      </w:pPr>
      <w:r w:rsidRPr="00D5526A">
        <w:t xml:space="preserve">Kirk MA, Kelley C, Yankey N, </w:t>
      </w:r>
      <w:r w:rsidR="002563C9" w:rsidRPr="002563C9">
        <w:rPr>
          <w:i/>
        </w:rPr>
        <w:t>et al</w:t>
      </w:r>
      <w:r w:rsidRPr="00D5526A">
        <w:t xml:space="preserve">. (2016) A systematic review of the use of the Consolidated Framework for Implementation Research. </w:t>
      </w:r>
      <w:r w:rsidRPr="00D5526A">
        <w:rPr>
          <w:i/>
        </w:rPr>
        <w:t>Implement Sci</w:t>
      </w:r>
      <w:r w:rsidRPr="00D5526A">
        <w:t xml:space="preserve"> 11: 72-72.</w:t>
      </w:r>
    </w:p>
    <w:p w14:paraId="7CD96408" w14:textId="77777777" w:rsidR="006A2652" w:rsidRPr="00D5526A" w:rsidRDefault="006A2652" w:rsidP="00D5526A">
      <w:pPr>
        <w:pStyle w:val="EndNoteBibliography"/>
        <w:spacing w:after="0"/>
        <w:ind w:left="720" w:hanging="720"/>
      </w:pPr>
      <w:r w:rsidRPr="00D5526A">
        <w:t xml:space="preserve">Kitson AL, Harvey G and McCormack B. (1998) Enabling the implementation of evidence-based practice: a conceptual framework. </w:t>
      </w:r>
      <w:r w:rsidRPr="00D5526A">
        <w:rPr>
          <w:i/>
        </w:rPr>
        <w:t>Qual Health Care</w:t>
      </w:r>
      <w:r w:rsidRPr="00D5526A">
        <w:t xml:space="preserve"> 7.</w:t>
      </w:r>
    </w:p>
    <w:p w14:paraId="3ADF89CE" w14:textId="77777777" w:rsidR="006A2652" w:rsidRPr="00D5526A" w:rsidRDefault="006A2652" w:rsidP="00D5526A">
      <w:pPr>
        <w:pStyle w:val="EndNoteBibliography"/>
        <w:spacing w:after="0"/>
        <w:ind w:left="720" w:hanging="720"/>
      </w:pPr>
      <w:r w:rsidRPr="00D5526A">
        <w:t xml:space="preserve">Liverpool L. (2020) Coronavirus. </w:t>
      </w:r>
      <w:r w:rsidRPr="00D5526A">
        <w:rPr>
          <w:i/>
        </w:rPr>
        <w:t>New Scientist</w:t>
      </w:r>
      <w:r w:rsidRPr="00D5526A">
        <w:t>. (accessed 30/4/2020).</w:t>
      </w:r>
    </w:p>
    <w:p w14:paraId="2CB68A44" w14:textId="00A7578C" w:rsidR="006A2652" w:rsidRPr="00D5526A" w:rsidRDefault="006A2652" w:rsidP="00D5526A">
      <w:pPr>
        <w:pStyle w:val="EndNoteBibliography"/>
        <w:spacing w:after="0"/>
        <w:ind w:left="720" w:hanging="720"/>
      </w:pPr>
      <w:r w:rsidRPr="00D5526A">
        <w:t xml:space="preserve">Malham SA, Smithman M-A, Touati N, </w:t>
      </w:r>
      <w:r w:rsidR="002563C9" w:rsidRPr="002563C9">
        <w:rPr>
          <w:i/>
        </w:rPr>
        <w:t>et al</w:t>
      </w:r>
      <w:r w:rsidRPr="00D5526A">
        <w:t xml:space="preserve">. (2019) Explaining variation of implementation outcomes of centralized waiting lists for unattached patients. </w:t>
      </w:r>
      <w:r w:rsidRPr="00D5526A">
        <w:rPr>
          <w:i/>
        </w:rPr>
        <w:t>Journal of Health Organization and Management</w:t>
      </w:r>
      <w:r w:rsidRPr="00D5526A">
        <w:t xml:space="preserve"> 33: 563-587.</w:t>
      </w:r>
    </w:p>
    <w:p w14:paraId="71E311CA" w14:textId="6E6932AC" w:rsidR="006A2652" w:rsidRPr="00D5526A" w:rsidRDefault="006A2652" w:rsidP="00D5526A">
      <w:pPr>
        <w:pStyle w:val="EndNoteBibliography"/>
        <w:spacing w:after="0"/>
        <w:ind w:left="720" w:hanging="720"/>
      </w:pPr>
      <w:r w:rsidRPr="00D5526A">
        <w:t xml:space="preserve">Maniatopoulos G, Hunter David J, Erskine J, </w:t>
      </w:r>
      <w:r w:rsidR="002563C9" w:rsidRPr="002563C9">
        <w:rPr>
          <w:i/>
        </w:rPr>
        <w:t>et al</w:t>
      </w:r>
      <w:r w:rsidRPr="00D5526A">
        <w:t xml:space="preserve">. (2020) Large-scale health system transformation in the United Kingdom: Implementing the new care models in the NHS. </w:t>
      </w:r>
      <w:r w:rsidRPr="00D5526A">
        <w:rPr>
          <w:i/>
        </w:rPr>
        <w:t>Journal of Health Organization and Management</w:t>
      </w:r>
      <w:r w:rsidRPr="00D5526A">
        <w:t xml:space="preserve"> 34: 325-344.</w:t>
      </w:r>
    </w:p>
    <w:p w14:paraId="2F2E7057" w14:textId="5DF4A1E5" w:rsidR="006A2652" w:rsidRDefault="006A2652" w:rsidP="00D5526A">
      <w:pPr>
        <w:pStyle w:val="EndNoteBibliography"/>
        <w:spacing w:after="0"/>
        <w:ind w:left="720" w:hanging="720"/>
      </w:pPr>
      <w:r w:rsidRPr="00D5526A">
        <w:t xml:space="preserve">Maniatopoulos G, Procter R, Llewellyn S, </w:t>
      </w:r>
      <w:r w:rsidR="002563C9" w:rsidRPr="002563C9">
        <w:rPr>
          <w:i/>
        </w:rPr>
        <w:t>et al</w:t>
      </w:r>
      <w:r w:rsidRPr="00D5526A">
        <w:t xml:space="preserve">. (2015) Moving beyond local practice: Reconfiguring the adoption of a breast cancer diagnostic technology. </w:t>
      </w:r>
      <w:r w:rsidRPr="00D5526A">
        <w:rPr>
          <w:i/>
        </w:rPr>
        <w:t>Social Science &amp; Medicine</w:t>
      </w:r>
      <w:r w:rsidRPr="00D5526A">
        <w:t xml:space="preserve"> 131: 98-106.</w:t>
      </w:r>
    </w:p>
    <w:p w14:paraId="25BD4AC0" w14:textId="58FE00F0" w:rsidR="00363CD0" w:rsidRDefault="00F364A8" w:rsidP="00363CD0">
      <w:pPr>
        <w:pStyle w:val="EndNoteBibliography"/>
        <w:ind w:left="709" w:hanging="709"/>
      </w:pPr>
      <w:r w:rsidRPr="00F364A8">
        <w:t xml:space="preserve">May CR and Finch T. (2009) Implementing, Embedding, and Integrating Practices: An Outline of </w:t>
      </w:r>
      <w:r w:rsidR="00363CD0">
        <w:t xml:space="preserve">    </w:t>
      </w:r>
      <w:r w:rsidRPr="00F364A8">
        <w:t xml:space="preserve">Normalization Process Theory. </w:t>
      </w:r>
      <w:r w:rsidRPr="00F364A8">
        <w:rPr>
          <w:i/>
        </w:rPr>
        <w:t>Sociology-the Journal of the British Sociological Association</w:t>
      </w:r>
      <w:r w:rsidRPr="00F364A8">
        <w:t xml:space="preserve"> 43: 535-554.</w:t>
      </w:r>
    </w:p>
    <w:p w14:paraId="5B282034" w14:textId="2E8454FD" w:rsidR="00F364A8" w:rsidRPr="00D5526A" w:rsidRDefault="00F364A8" w:rsidP="00363CD0">
      <w:pPr>
        <w:pStyle w:val="EndNoteBibliography"/>
      </w:pPr>
      <w:r w:rsidRPr="00F364A8">
        <w:t xml:space="preserve">May CR. (2013a) Towards a general theory of implementation. </w:t>
      </w:r>
      <w:r w:rsidRPr="00F364A8">
        <w:rPr>
          <w:i/>
        </w:rPr>
        <w:t>Implementation Science</w:t>
      </w:r>
      <w:r w:rsidRPr="00F364A8">
        <w:t xml:space="preserve"> 8: 18.</w:t>
      </w:r>
    </w:p>
    <w:p w14:paraId="23987A1F" w14:textId="3B87A11F" w:rsidR="006A2652" w:rsidRPr="00D5526A" w:rsidRDefault="006A2652" w:rsidP="00D5526A">
      <w:pPr>
        <w:pStyle w:val="EndNoteBibliography"/>
        <w:spacing w:after="0"/>
        <w:ind w:left="720" w:hanging="720"/>
      </w:pPr>
      <w:r w:rsidRPr="00D5526A">
        <w:t>May C</w:t>
      </w:r>
      <w:r w:rsidR="00153087">
        <w:t>R</w:t>
      </w:r>
      <w:r w:rsidRPr="00D5526A">
        <w:t>. (2013</w:t>
      </w:r>
      <w:r w:rsidR="00F364A8">
        <w:t>b</w:t>
      </w:r>
      <w:r w:rsidRPr="00D5526A">
        <w:t xml:space="preserve">) Agency and implementation: Understanding the embedding of healthcare innovations in practice. </w:t>
      </w:r>
      <w:r w:rsidRPr="00D5526A">
        <w:rPr>
          <w:i/>
        </w:rPr>
        <w:t>Social Science &amp; Medicine</w:t>
      </w:r>
      <w:r w:rsidRPr="00D5526A">
        <w:t xml:space="preserve"> 78: 26-33.</w:t>
      </w:r>
    </w:p>
    <w:p w14:paraId="2A1B320D" w14:textId="77777777" w:rsidR="006A2652" w:rsidRPr="00D5526A" w:rsidRDefault="006A2652" w:rsidP="00D5526A">
      <w:pPr>
        <w:pStyle w:val="EndNoteBibliography"/>
        <w:spacing w:after="0"/>
        <w:ind w:left="720" w:hanging="720"/>
      </w:pPr>
      <w:r w:rsidRPr="00D5526A">
        <w:t xml:space="preserve">May CR, Johnson M and Finch T. (2016) Implementation, context and complexity. </w:t>
      </w:r>
      <w:r w:rsidRPr="00D5526A">
        <w:rPr>
          <w:i/>
        </w:rPr>
        <w:t>Implementation Science</w:t>
      </w:r>
      <w:r w:rsidRPr="00D5526A">
        <w:t xml:space="preserve"> 11: 141.</w:t>
      </w:r>
    </w:p>
    <w:p w14:paraId="705BD72A" w14:textId="7C175A57" w:rsidR="006A2652" w:rsidRPr="00D5526A" w:rsidRDefault="006A2652" w:rsidP="00D5526A">
      <w:pPr>
        <w:pStyle w:val="EndNoteBibliography"/>
        <w:spacing w:after="0"/>
        <w:ind w:left="720" w:hanging="720"/>
      </w:pPr>
      <w:r w:rsidRPr="00D5526A">
        <w:t xml:space="preserve">May CR </w:t>
      </w:r>
      <w:r w:rsidR="002B3F0E">
        <w:t xml:space="preserve">, </w:t>
      </w:r>
      <w:r w:rsidRPr="00D5526A">
        <w:t>M</w:t>
      </w:r>
      <w:r w:rsidR="002B3F0E">
        <w:t xml:space="preserve">yall </w:t>
      </w:r>
      <w:r w:rsidR="00153087">
        <w:t xml:space="preserve">M </w:t>
      </w:r>
      <w:r w:rsidR="002563C9" w:rsidRPr="002563C9">
        <w:rPr>
          <w:i/>
        </w:rPr>
        <w:t>et al</w:t>
      </w:r>
      <w:r w:rsidR="002B3F0E">
        <w:t xml:space="preserve"> (2020) Managing patient preferences and clinical  resp</w:t>
      </w:r>
      <w:r w:rsidRPr="00D5526A">
        <w:t xml:space="preserve">onses in acute pathophysiological deterioration: what do clinicians think treatment escalation plans do? </w:t>
      </w:r>
      <w:r w:rsidRPr="00D5526A">
        <w:rPr>
          <w:i/>
        </w:rPr>
        <w:t>Social Science &amp; Medicine</w:t>
      </w:r>
      <w:r w:rsidRPr="00D5526A">
        <w:t xml:space="preserve"> </w:t>
      </w:r>
      <w:r w:rsidR="006F00F3">
        <w:t>In press</w:t>
      </w:r>
      <w:r w:rsidRPr="00D5526A">
        <w:t>.</w:t>
      </w:r>
    </w:p>
    <w:p w14:paraId="0E5A5A2D" w14:textId="21D5F080" w:rsidR="006A2652" w:rsidRPr="00D5526A" w:rsidRDefault="006A2652" w:rsidP="00D5526A">
      <w:pPr>
        <w:pStyle w:val="EndNoteBibliography"/>
        <w:spacing w:after="0"/>
        <w:ind w:left="720" w:hanging="720"/>
      </w:pPr>
      <w:r w:rsidRPr="00D5526A">
        <w:t xml:space="preserve">McCormack B, Kitson A, Harvey G, </w:t>
      </w:r>
      <w:r w:rsidR="002563C9" w:rsidRPr="002563C9">
        <w:rPr>
          <w:i/>
        </w:rPr>
        <w:t>et al</w:t>
      </w:r>
      <w:r w:rsidRPr="00D5526A">
        <w:t xml:space="preserve">. (2002) Getting evidence into practice: the meaning of ‘context’. </w:t>
      </w:r>
      <w:r w:rsidRPr="00D5526A">
        <w:rPr>
          <w:i/>
        </w:rPr>
        <w:t>J</w:t>
      </w:r>
      <w:r w:rsidR="006F00F3">
        <w:rPr>
          <w:i/>
        </w:rPr>
        <w:t>ournal of</w:t>
      </w:r>
      <w:r w:rsidRPr="00D5526A">
        <w:rPr>
          <w:i/>
        </w:rPr>
        <w:t xml:space="preserve"> Adv</w:t>
      </w:r>
      <w:r w:rsidR="006F00F3">
        <w:rPr>
          <w:i/>
        </w:rPr>
        <w:t xml:space="preserve">anced </w:t>
      </w:r>
      <w:r w:rsidRPr="00D5526A">
        <w:rPr>
          <w:i/>
        </w:rPr>
        <w:t xml:space="preserve"> Nurs</w:t>
      </w:r>
      <w:r w:rsidR="006F00F3">
        <w:rPr>
          <w:i/>
        </w:rPr>
        <w:t>ing</w:t>
      </w:r>
      <w:r w:rsidRPr="00D5526A">
        <w:t xml:space="preserve"> 38.</w:t>
      </w:r>
    </w:p>
    <w:p w14:paraId="3B4223D3" w14:textId="44A41200" w:rsidR="006A2652" w:rsidRPr="00D5526A" w:rsidRDefault="00853F13" w:rsidP="00D5526A">
      <w:pPr>
        <w:pStyle w:val="EndNoteBibliography"/>
        <w:spacing w:after="0"/>
        <w:ind w:left="720" w:hanging="720"/>
      </w:pPr>
      <w:r>
        <w:lastRenderedPageBreak/>
        <w:t xml:space="preserve">McEvoy R, Ballini L, </w:t>
      </w:r>
      <w:r w:rsidR="002563C9" w:rsidRPr="002563C9">
        <w:rPr>
          <w:i/>
        </w:rPr>
        <w:t>et al</w:t>
      </w:r>
      <w:r w:rsidR="006A2652" w:rsidRPr="00D5526A">
        <w:t xml:space="preserve">. (2014) A qualitative systematic review of studies using the normalization process theory to research implementation processes. </w:t>
      </w:r>
      <w:r w:rsidR="006A2652" w:rsidRPr="00D5526A">
        <w:rPr>
          <w:i/>
        </w:rPr>
        <w:t>Implementation Science</w:t>
      </w:r>
      <w:r w:rsidR="006A2652" w:rsidRPr="00D5526A">
        <w:t xml:space="preserve"> 9: 2.</w:t>
      </w:r>
    </w:p>
    <w:p w14:paraId="73652752" w14:textId="77777777" w:rsidR="006A2652" w:rsidRPr="00D5526A" w:rsidRDefault="006A2652" w:rsidP="00D5526A">
      <w:pPr>
        <w:pStyle w:val="EndNoteBibliography"/>
        <w:spacing w:after="0"/>
        <w:ind w:left="720" w:hanging="720"/>
      </w:pPr>
      <w:r w:rsidRPr="00D5526A">
        <w:t xml:space="preserve">Mercer MH. (2009) Treatment Escalation Plans. </w:t>
      </w:r>
      <w:r w:rsidRPr="00D5526A">
        <w:rPr>
          <w:i/>
        </w:rPr>
        <w:t>BMJ</w:t>
      </w:r>
      <w:r w:rsidRPr="00D5526A">
        <w:t xml:space="preserve"> 338.</w:t>
      </w:r>
    </w:p>
    <w:p w14:paraId="0AA2748C" w14:textId="4BAB5AF5" w:rsidR="006A2652" w:rsidRPr="00D5526A" w:rsidRDefault="006A2652" w:rsidP="00D5526A">
      <w:pPr>
        <w:pStyle w:val="EndNoteBibliography"/>
        <w:spacing w:after="0"/>
        <w:ind w:left="720" w:hanging="720"/>
      </w:pPr>
      <w:r w:rsidRPr="00D5526A">
        <w:t>Mockford C, Fritz Z</w:t>
      </w:r>
      <w:r w:rsidR="00853F13">
        <w:t>.</w:t>
      </w:r>
      <w:r w:rsidRPr="00D5526A">
        <w:t xml:space="preserve"> </w:t>
      </w:r>
      <w:r w:rsidR="002563C9" w:rsidRPr="002563C9">
        <w:rPr>
          <w:i/>
        </w:rPr>
        <w:t>et al</w:t>
      </w:r>
      <w:r w:rsidRPr="00D5526A">
        <w:t xml:space="preserve">. (2015) Do not attempt cardiopulmonary resuscitation (DNACPR) orders: A systematic review of the barriers and facilitators of decision-making and implementation. </w:t>
      </w:r>
      <w:r w:rsidRPr="00D5526A">
        <w:rPr>
          <w:i/>
        </w:rPr>
        <w:t>Resuscitation</w:t>
      </w:r>
      <w:r w:rsidRPr="00D5526A">
        <w:t xml:space="preserve"> 88: 99-113.</w:t>
      </w:r>
    </w:p>
    <w:p w14:paraId="155DC6CD" w14:textId="696D3FEC" w:rsidR="006A2652" w:rsidRPr="00D5526A" w:rsidRDefault="006A2652" w:rsidP="00D5526A">
      <w:pPr>
        <w:pStyle w:val="EndNoteBibliography"/>
        <w:spacing w:after="0"/>
        <w:ind w:left="720" w:hanging="720"/>
      </w:pPr>
      <w:r w:rsidRPr="00D5526A">
        <w:t>Murray E, Treweek S</w:t>
      </w:r>
      <w:r w:rsidR="00853F13">
        <w:t xml:space="preserve"> </w:t>
      </w:r>
      <w:r w:rsidR="002563C9" w:rsidRPr="002563C9">
        <w:rPr>
          <w:i/>
        </w:rPr>
        <w:t>et al</w:t>
      </w:r>
      <w:r w:rsidRPr="00D5526A">
        <w:t xml:space="preserve">. (2010) Normalisation process theory: a framework for developing, evaluating and implementing complex interventions. </w:t>
      </w:r>
      <w:r w:rsidRPr="00D5526A">
        <w:rPr>
          <w:i/>
        </w:rPr>
        <w:t>BMC Medicine</w:t>
      </w:r>
      <w:r w:rsidRPr="00D5526A">
        <w:t xml:space="preserve"> 8: 63.</w:t>
      </w:r>
    </w:p>
    <w:p w14:paraId="49A052D4" w14:textId="15FD09D7" w:rsidR="006A2652" w:rsidRPr="00D5526A" w:rsidRDefault="006A2652" w:rsidP="00D5526A">
      <w:pPr>
        <w:pStyle w:val="EndNoteBibliography"/>
        <w:spacing w:after="0"/>
        <w:ind w:left="720" w:hanging="720"/>
      </w:pPr>
      <w:r w:rsidRPr="00D5526A">
        <w:t>Perkins GD, Griffiths F</w:t>
      </w:r>
      <w:r w:rsidR="002563C9" w:rsidRPr="002563C9">
        <w:rPr>
          <w:i/>
        </w:rPr>
        <w:t>et al</w:t>
      </w:r>
      <w:r w:rsidRPr="00D5526A">
        <w:t>. (2016) Do-not-attempt-cardiopulmonary-resuscitation decisions: an evidence synthesis. Southampton (UK): NIHR Journals Library.</w:t>
      </w:r>
    </w:p>
    <w:p w14:paraId="26967D3D" w14:textId="71D81C94" w:rsidR="006A2652" w:rsidRPr="00D5526A" w:rsidRDefault="00853F13" w:rsidP="00D5526A">
      <w:pPr>
        <w:pStyle w:val="EndNoteBibliography"/>
        <w:spacing w:after="0"/>
        <w:ind w:left="720" w:hanging="720"/>
      </w:pPr>
      <w:r>
        <w:t xml:space="preserve">Pfadenhauer L, Rohwer A </w:t>
      </w:r>
      <w:r w:rsidR="002563C9" w:rsidRPr="002563C9">
        <w:rPr>
          <w:i/>
        </w:rPr>
        <w:t>et al</w:t>
      </w:r>
      <w:r w:rsidR="006A2652" w:rsidRPr="00D5526A">
        <w:t>. (2016) Guidance for the Assessment of Context and Implementation in Health Technology Assessments (HTA) and Systematic Reviews of Complex Interventions: The Context and Implementation of Complex Interventions (CICI) Framework.</w:t>
      </w:r>
    </w:p>
    <w:p w14:paraId="764F480D" w14:textId="033DAE0E" w:rsidR="006A2652" w:rsidRPr="00D5526A" w:rsidRDefault="006A2652" w:rsidP="00D5526A">
      <w:pPr>
        <w:pStyle w:val="EndNoteBibliography"/>
        <w:spacing w:after="0"/>
        <w:ind w:left="720" w:hanging="720"/>
      </w:pPr>
      <w:r w:rsidRPr="00D5526A">
        <w:t xml:space="preserve">Pfadenhauer LM, Mozygemba K, </w:t>
      </w:r>
      <w:r w:rsidR="002563C9" w:rsidRPr="002563C9">
        <w:rPr>
          <w:i/>
        </w:rPr>
        <w:t>et al</w:t>
      </w:r>
      <w:r w:rsidRPr="00D5526A">
        <w:t xml:space="preserve">. (2015) Context and implementation: A concept analysis towards conceptual maturity. </w:t>
      </w:r>
      <w:r w:rsidRPr="00D5526A">
        <w:rPr>
          <w:i/>
        </w:rPr>
        <w:t>Zeitschrift für Evidenz, Fortbildung und Qualität im Gesundheitswesen</w:t>
      </w:r>
      <w:r w:rsidRPr="00D5526A">
        <w:t xml:space="preserve"> 109: 103-114.</w:t>
      </w:r>
    </w:p>
    <w:p w14:paraId="5A8C1215" w14:textId="072451B5" w:rsidR="006A2652" w:rsidRPr="00D5526A" w:rsidRDefault="006A2652" w:rsidP="00D5526A">
      <w:pPr>
        <w:pStyle w:val="EndNoteBibliography"/>
        <w:spacing w:after="0"/>
        <w:ind w:left="720" w:hanging="720"/>
      </w:pPr>
      <w:r w:rsidRPr="00D5526A">
        <w:t xml:space="preserve">Pfadenhauer LM, Gerhardus A, </w:t>
      </w:r>
      <w:r w:rsidR="002563C9" w:rsidRPr="002563C9">
        <w:rPr>
          <w:i/>
        </w:rPr>
        <w:t>et al</w:t>
      </w:r>
      <w:r w:rsidRPr="00D5526A">
        <w:t xml:space="preserve">. (2017) Making sense of complexity in context and implementation: the Context and Implementation of Complex Interventions (CICI) framework. </w:t>
      </w:r>
      <w:r w:rsidRPr="00D5526A">
        <w:rPr>
          <w:i/>
        </w:rPr>
        <w:t>Implementation Science</w:t>
      </w:r>
      <w:r w:rsidRPr="00D5526A">
        <w:t xml:space="preserve"> 12: 21.</w:t>
      </w:r>
    </w:p>
    <w:p w14:paraId="4A9E971B" w14:textId="3DF054EE" w:rsidR="006A2652" w:rsidRPr="00D5526A" w:rsidRDefault="006A2652" w:rsidP="00D5526A">
      <w:pPr>
        <w:pStyle w:val="EndNoteBibliography"/>
        <w:spacing w:after="0"/>
        <w:ind w:left="720" w:hanging="720"/>
      </w:pPr>
      <w:r w:rsidRPr="00D5526A">
        <w:t xml:space="preserve">Pitcher D, Fritz Z, </w:t>
      </w:r>
      <w:r w:rsidR="002563C9" w:rsidRPr="002563C9">
        <w:rPr>
          <w:i/>
        </w:rPr>
        <w:t>et al</w:t>
      </w:r>
      <w:r w:rsidRPr="00D5526A">
        <w:t xml:space="preserve">. (2017) Emergency care and resuscitation plans. </w:t>
      </w:r>
      <w:r w:rsidRPr="00D5526A">
        <w:rPr>
          <w:i/>
        </w:rPr>
        <w:t>BMJ</w:t>
      </w:r>
      <w:r w:rsidRPr="00D5526A">
        <w:t xml:space="preserve"> 356: j876.</w:t>
      </w:r>
    </w:p>
    <w:p w14:paraId="4117BABB" w14:textId="77777777" w:rsidR="006A2652" w:rsidRPr="00D5526A" w:rsidRDefault="006A2652" w:rsidP="00D5526A">
      <w:pPr>
        <w:pStyle w:val="EndNoteBibliography"/>
        <w:spacing w:after="0"/>
        <w:ind w:left="720" w:hanging="720"/>
      </w:pPr>
      <w:r w:rsidRPr="00D5526A">
        <w:t xml:space="preserve">Rapley T. (2008) Distributed decision making: the anatomy of decisions-in-action. </w:t>
      </w:r>
      <w:r w:rsidRPr="00D5526A">
        <w:rPr>
          <w:i/>
        </w:rPr>
        <w:t>Sociology of Health &amp; Illness</w:t>
      </w:r>
      <w:r w:rsidRPr="00D5526A">
        <w:t xml:space="preserve"> 30: 429-444.</w:t>
      </w:r>
    </w:p>
    <w:p w14:paraId="46635C31" w14:textId="77777777" w:rsidR="006A2652" w:rsidRPr="00D5526A" w:rsidRDefault="006A2652" w:rsidP="00D5526A">
      <w:pPr>
        <w:pStyle w:val="EndNoteBibliography"/>
        <w:spacing w:after="0"/>
        <w:ind w:left="720" w:hanging="720"/>
      </w:pPr>
      <w:r w:rsidRPr="00D5526A">
        <w:t>Resuscitation</w:t>
      </w:r>
      <w:r w:rsidR="00832227">
        <w:t xml:space="preserve"> </w:t>
      </w:r>
      <w:r w:rsidRPr="00D5526A">
        <w:t>Council</w:t>
      </w:r>
      <w:r w:rsidR="00853F13">
        <w:t xml:space="preserve"> </w:t>
      </w:r>
      <w:r w:rsidRPr="00D5526A">
        <w:t xml:space="preserve">UK. (2020) Resuscitation Council UK Statement on the role of the ReSPECT Process during COVID-19 </w:t>
      </w:r>
      <w:hyperlink r:id="rId11" w:history="1">
        <w:r w:rsidR="00853F13" w:rsidRPr="00853F13">
          <w:rPr>
            <w:rStyle w:val="Hyperlink"/>
            <w:lang w:val="en-GB"/>
          </w:rPr>
          <w:t>https://www.resus.org.uk/media/statements/resuscitation-council-uk-statements-on-covid-19-coronavirus-cpr-and-resuscitation/covid-community/</w:t>
        </w:r>
      </w:hyperlink>
    </w:p>
    <w:p w14:paraId="6CD4AFD8" w14:textId="77777777" w:rsidR="006A2652" w:rsidRPr="00D5526A" w:rsidRDefault="006A2652" w:rsidP="00D5526A">
      <w:pPr>
        <w:pStyle w:val="EndNoteBibliography"/>
        <w:spacing w:after="0"/>
        <w:ind w:left="720" w:hanging="720"/>
      </w:pPr>
      <w:r w:rsidRPr="00D5526A">
        <w:t>Ritchie J and Lewis J. (2003) Qualitative Research Practice: A Guide for Social Science Students and Researchers. London: Sage Publications.</w:t>
      </w:r>
    </w:p>
    <w:p w14:paraId="366AEED3" w14:textId="77777777" w:rsidR="006A2652" w:rsidRPr="00D5526A" w:rsidRDefault="006A2652" w:rsidP="00D5526A">
      <w:pPr>
        <w:pStyle w:val="EndNoteBibliography"/>
        <w:spacing w:after="0"/>
        <w:ind w:left="720" w:hanging="720"/>
      </w:pPr>
      <w:r w:rsidRPr="00D5526A">
        <w:t>Robert G</w:t>
      </w:r>
      <w:r w:rsidR="00832227">
        <w:t xml:space="preserve"> and Fulop N</w:t>
      </w:r>
      <w:r w:rsidRPr="00D5526A">
        <w:t xml:space="preserve">. (2014) The role of context in successful improvement. </w:t>
      </w:r>
      <w:r w:rsidRPr="00D5526A">
        <w:rPr>
          <w:i/>
        </w:rPr>
        <w:t>Perspectives on Context.</w:t>
      </w:r>
      <w:r w:rsidRPr="00D5526A">
        <w:t xml:space="preserve"> London: The Health Foundation.</w:t>
      </w:r>
    </w:p>
    <w:p w14:paraId="3F58EA25" w14:textId="6C597462" w:rsidR="006A2652" w:rsidRPr="00D5526A" w:rsidRDefault="006A2652" w:rsidP="00D5526A">
      <w:pPr>
        <w:pStyle w:val="EndNoteBibliography"/>
        <w:spacing w:after="0"/>
        <w:ind w:left="720" w:hanging="720"/>
      </w:pPr>
      <w:r w:rsidRPr="00D5526A">
        <w:t>Schmid</w:t>
      </w:r>
      <w:r w:rsidR="00853F13">
        <w:t>t TA, Zive D</w:t>
      </w:r>
      <w:r w:rsidRPr="00D5526A">
        <w:t xml:space="preserve">, </w:t>
      </w:r>
      <w:r w:rsidR="002563C9" w:rsidRPr="002563C9">
        <w:rPr>
          <w:i/>
        </w:rPr>
        <w:t>et al</w:t>
      </w:r>
      <w:r w:rsidRPr="00D5526A">
        <w:t xml:space="preserve">. (2014) Physician Orders for Life-Sustaining Treatment (POLST): Lessons learned from analysis of the Oregon POLST Registry. </w:t>
      </w:r>
      <w:r w:rsidRPr="00D5526A">
        <w:rPr>
          <w:i/>
        </w:rPr>
        <w:t>Resuscitation</w:t>
      </w:r>
      <w:r w:rsidRPr="00D5526A">
        <w:t xml:space="preserve"> 85: 480-485.</w:t>
      </w:r>
    </w:p>
    <w:p w14:paraId="511B70F2" w14:textId="3520851B" w:rsidR="006A2652" w:rsidRPr="00D5526A" w:rsidRDefault="006A2652" w:rsidP="00D5526A">
      <w:pPr>
        <w:pStyle w:val="EndNoteBibliography"/>
        <w:spacing w:after="0"/>
        <w:ind w:left="720" w:hanging="720"/>
      </w:pPr>
      <w:r w:rsidRPr="00D5526A">
        <w:t xml:space="preserve">Shaw J, Shaw S, </w:t>
      </w:r>
      <w:r w:rsidR="002563C9" w:rsidRPr="002563C9">
        <w:rPr>
          <w:i/>
        </w:rPr>
        <w:t>et al</w:t>
      </w:r>
      <w:r w:rsidRPr="00D5526A">
        <w:t xml:space="preserve">. (2017) Studying Scale-Up and Spread as Social Practice: Theoretical Introduction and Empirical Case Study. </w:t>
      </w:r>
      <w:r w:rsidRPr="00D5526A">
        <w:rPr>
          <w:i/>
        </w:rPr>
        <w:t xml:space="preserve">Journal of </w:t>
      </w:r>
      <w:r w:rsidR="006F00F3">
        <w:rPr>
          <w:i/>
        </w:rPr>
        <w:t>M</w:t>
      </w:r>
      <w:r w:rsidRPr="00D5526A">
        <w:rPr>
          <w:i/>
        </w:rPr>
        <w:t xml:space="preserve">edical Internet </w:t>
      </w:r>
      <w:r w:rsidR="006F00F3">
        <w:rPr>
          <w:i/>
        </w:rPr>
        <w:t>R</w:t>
      </w:r>
      <w:r w:rsidRPr="00D5526A">
        <w:rPr>
          <w:i/>
        </w:rPr>
        <w:t>esearch</w:t>
      </w:r>
      <w:r w:rsidRPr="00D5526A">
        <w:t xml:space="preserve"> 19: e244-e244.</w:t>
      </w:r>
    </w:p>
    <w:p w14:paraId="24C8D626" w14:textId="77777777" w:rsidR="006A2652" w:rsidRPr="00D5526A" w:rsidRDefault="006A2652" w:rsidP="00D5526A">
      <w:pPr>
        <w:pStyle w:val="EndNoteBibliography"/>
        <w:spacing w:after="0"/>
        <w:ind w:left="720" w:hanging="720"/>
      </w:pPr>
      <w:r w:rsidRPr="00D5526A">
        <w:t xml:space="preserve">Sokol DK. (2016) Cautionary tales about DNACPR. </w:t>
      </w:r>
      <w:r w:rsidRPr="00D5526A">
        <w:rPr>
          <w:i/>
        </w:rPr>
        <w:t>BMJ</w:t>
      </w:r>
      <w:r w:rsidRPr="00D5526A">
        <w:t xml:space="preserve"> 352: i26.</w:t>
      </w:r>
    </w:p>
    <w:p w14:paraId="47CC284D" w14:textId="65E67123" w:rsidR="006A2652" w:rsidRPr="00D5526A" w:rsidRDefault="00832227" w:rsidP="00D5526A">
      <w:pPr>
        <w:pStyle w:val="EndNoteBibliography"/>
        <w:spacing w:after="0"/>
        <w:ind w:left="720" w:hanging="720"/>
      </w:pPr>
      <w:r>
        <w:t>Squires JE, Graham ID</w:t>
      </w:r>
      <w:r w:rsidR="006A2652" w:rsidRPr="00D5526A">
        <w:t xml:space="preserve"> </w:t>
      </w:r>
      <w:r w:rsidR="002563C9" w:rsidRPr="002563C9">
        <w:rPr>
          <w:i/>
        </w:rPr>
        <w:t>et al</w:t>
      </w:r>
      <w:r w:rsidR="006A2652" w:rsidRPr="00D5526A">
        <w:t xml:space="preserve">. (2015) Identifying the domains of context important to implementation science: a study protocol. </w:t>
      </w:r>
      <w:r w:rsidR="006A2652" w:rsidRPr="00D5526A">
        <w:rPr>
          <w:i/>
        </w:rPr>
        <w:t>Implement Sci</w:t>
      </w:r>
      <w:r w:rsidR="006A2652" w:rsidRPr="00D5526A">
        <w:t xml:space="preserve"> 10.</w:t>
      </w:r>
    </w:p>
    <w:p w14:paraId="7E32EA29" w14:textId="77777777" w:rsidR="006A2652" w:rsidRPr="00D5526A" w:rsidRDefault="006A2652" w:rsidP="00D5526A">
      <w:pPr>
        <w:pStyle w:val="EndNoteBibliography"/>
        <w:spacing w:after="0"/>
        <w:ind w:left="720" w:hanging="720"/>
      </w:pPr>
      <w:r w:rsidRPr="00D5526A">
        <w:t xml:space="preserve">Stake R. (1995) </w:t>
      </w:r>
      <w:r w:rsidRPr="00D5526A">
        <w:rPr>
          <w:i/>
        </w:rPr>
        <w:t xml:space="preserve">The Art of Case Study Research, </w:t>
      </w:r>
      <w:r w:rsidRPr="00D5526A">
        <w:t>Thousand Oaks, CA: Sage Publications.</w:t>
      </w:r>
    </w:p>
    <w:p w14:paraId="024E1F15" w14:textId="181E2B05" w:rsidR="006A2652" w:rsidRPr="00D5526A" w:rsidRDefault="006A2652" w:rsidP="00D5526A">
      <w:pPr>
        <w:pStyle w:val="EndNoteBibliography"/>
        <w:spacing w:after="0"/>
        <w:ind w:left="720" w:hanging="720"/>
      </w:pPr>
      <w:r w:rsidRPr="00D5526A">
        <w:t>Thomas R, Zubair M</w:t>
      </w:r>
      <w:r w:rsidR="00832227">
        <w:t xml:space="preserve"> </w:t>
      </w:r>
      <w:r w:rsidR="002563C9" w:rsidRPr="002563C9">
        <w:rPr>
          <w:i/>
        </w:rPr>
        <w:t>et al</w:t>
      </w:r>
      <w:r w:rsidRPr="00D5526A">
        <w:t xml:space="preserve">. (2014) Goals of care: a clinical framework for limitation of medical treatment. </w:t>
      </w:r>
      <w:r w:rsidRPr="00D5526A">
        <w:rPr>
          <w:i/>
        </w:rPr>
        <w:t>Medical Journal of Australia</w:t>
      </w:r>
      <w:r w:rsidRPr="00D5526A">
        <w:t xml:space="preserve"> 201: 452-455.</w:t>
      </w:r>
    </w:p>
    <w:p w14:paraId="0A0B2998" w14:textId="77777777" w:rsidR="006A2652" w:rsidRPr="00D5526A" w:rsidRDefault="006A2652" w:rsidP="00D5526A">
      <w:pPr>
        <w:pStyle w:val="EndNoteBibliography"/>
        <w:spacing w:after="0"/>
        <w:ind w:left="720" w:hanging="720"/>
      </w:pPr>
      <w:r w:rsidRPr="00D5526A">
        <w:t xml:space="preserve">Van Langenhove L. (2017) Varieties of Moral Orders and the Dual Structure of Society: A Perspective from Positioning Theory. </w:t>
      </w:r>
      <w:r w:rsidRPr="00D5526A">
        <w:rPr>
          <w:i/>
        </w:rPr>
        <w:t>Frontiers in Sociology</w:t>
      </w:r>
      <w:r w:rsidRPr="00D5526A">
        <w:t xml:space="preserve"> 2.</w:t>
      </w:r>
    </w:p>
    <w:p w14:paraId="69477234" w14:textId="77777777" w:rsidR="006A2652" w:rsidRPr="00D5526A" w:rsidRDefault="006A2652" w:rsidP="00D5526A">
      <w:pPr>
        <w:pStyle w:val="EndNoteBibliography"/>
        <w:spacing w:after="0"/>
        <w:ind w:left="720" w:hanging="720"/>
      </w:pPr>
      <w:r w:rsidRPr="00D5526A">
        <w:t xml:space="preserve">Weick K. (1979) </w:t>
      </w:r>
      <w:r w:rsidRPr="00D5526A">
        <w:rPr>
          <w:i/>
        </w:rPr>
        <w:t xml:space="preserve">The Social Psychology of Organising, </w:t>
      </w:r>
      <w:r w:rsidRPr="00D5526A">
        <w:t>Thousand Oaks, CA: Sage Publications.</w:t>
      </w:r>
    </w:p>
    <w:p w14:paraId="74F51862" w14:textId="77777777" w:rsidR="00684361" w:rsidRDefault="006A2652" w:rsidP="00832227">
      <w:pPr>
        <w:pStyle w:val="EndNoteBibliography"/>
        <w:ind w:left="720" w:hanging="720"/>
      </w:pPr>
      <w:r w:rsidRPr="00D5526A">
        <w:t xml:space="preserve">Weick K. (1995) </w:t>
      </w:r>
      <w:r w:rsidRPr="00D5526A">
        <w:rPr>
          <w:i/>
        </w:rPr>
        <w:t xml:space="preserve">Sensemaking in Organisations, </w:t>
      </w:r>
      <w:r w:rsidRPr="00D5526A">
        <w:t>Thous</w:t>
      </w:r>
      <w:r w:rsidR="00832227">
        <w:t>and Oaks, CA: Sage Publications</w:t>
      </w:r>
    </w:p>
    <w:sectPr w:rsidR="00684361">
      <w:footerReference w:type="default" r:id="rId1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74B99" w16cex:dateUtc="2020-06-07T10:18:00Z"/>
  <w16cex:commentExtensible w16cex:durableId="22874C15" w16cex:dateUtc="2020-06-07T10:20:00Z"/>
  <w16cex:commentExtensible w16cex:durableId="22874CE2" w16cex:dateUtc="2020-06-07T10:24:00Z"/>
  <w16cex:commentExtensible w16cex:durableId="22874D3A" w16cex:dateUtc="2020-06-07T10:25:00Z"/>
  <w16cex:commentExtensible w16cex:durableId="22874D58" w16cex:dateUtc="2020-06-07T10:26:00Z"/>
  <w16cex:commentExtensible w16cex:durableId="22874DB2" w16cex:dateUtc="2020-06-07T10:27:00Z"/>
  <w16cex:commentExtensible w16cex:durableId="22874E7B" w16cex:dateUtc="2020-06-07T10:31:00Z"/>
  <w16cex:commentExtensible w16cex:durableId="22874F0D" w16cex:dateUtc="2020-06-07T10:33:00Z"/>
  <w16cex:commentExtensible w16cex:durableId="22874F44" w16cex:dateUtc="2020-06-07T10:34:00Z"/>
  <w16cex:commentExtensible w16cex:durableId="22874FBD" w16cex:dateUtc="2020-06-07T10:36:00Z"/>
  <w16cex:commentExtensible w16cex:durableId="22874F89" w16cex:dateUtc="2020-06-07T10:35:00Z"/>
  <w16cex:commentExtensible w16cex:durableId="22874F94" w16cex:dateUtc="2020-06-07T10:35:00Z"/>
  <w16cex:commentExtensible w16cex:durableId="22875329" w16cex:dateUtc="2020-06-07T10:51:00Z"/>
  <w16cex:commentExtensible w16cex:durableId="22875016" w16cex:dateUtc="2020-06-07T10:37:00Z"/>
  <w16cex:commentExtensible w16cex:durableId="22875058" w16cex:dateUtc="2020-06-07T10:39:00Z"/>
  <w16cex:commentExtensible w16cex:durableId="22875079" w16cex:dateUtc="2020-06-07T10:39:00Z"/>
  <w16cex:commentExtensible w16cex:durableId="22875121" w16cex:dateUtc="2020-06-07T10:42:00Z"/>
  <w16cex:commentExtensible w16cex:durableId="228751C1" w16cex:dateUtc="2020-06-07T10:45:00Z"/>
  <w16cex:commentExtensible w16cex:durableId="22875391" w16cex:dateUtc="2020-06-07T10:52:00Z"/>
  <w16cex:commentExtensible w16cex:durableId="228753B3" w16cex:dateUtc="2020-06-07T10:53:00Z"/>
  <w16cex:commentExtensible w16cex:durableId="228753BC" w16cex:dateUtc="2020-06-07T10:53:00Z"/>
  <w16cex:commentExtensible w16cex:durableId="228753EA" w16cex:dateUtc="2020-06-07T10:54:00Z"/>
  <w16cex:commentExtensible w16cex:durableId="22875438" w16cex:dateUtc="2020-06-07T10:55:00Z"/>
  <w16cex:commentExtensible w16cex:durableId="2287544E" w16cex:dateUtc="2020-06-07T10:55:00Z"/>
  <w16cex:commentExtensible w16cex:durableId="22875494" w16cex:dateUtc="2020-06-07T10: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4CF59F" w16cid:durableId="22874B99"/>
  <w16cid:commentId w16cid:paraId="3AB74406" w16cid:durableId="22874C15"/>
  <w16cid:commentId w16cid:paraId="23B972E6" w16cid:durableId="22874CE2"/>
  <w16cid:commentId w16cid:paraId="1C79976E" w16cid:durableId="22874D3A"/>
  <w16cid:commentId w16cid:paraId="7FB32170" w16cid:durableId="22874D58"/>
  <w16cid:commentId w16cid:paraId="1616B4A9" w16cid:durableId="22874DB2"/>
  <w16cid:commentId w16cid:paraId="001D6B53" w16cid:durableId="22874E7B"/>
  <w16cid:commentId w16cid:paraId="03AAFDE9" w16cid:durableId="22874F0D"/>
  <w16cid:commentId w16cid:paraId="51DB944F" w16cid:durableId="22874F44"/>
  <w16cid:commentId w16cid:paraId="6FD5798B" w16cid:durableId="22874FBD"/>
  <w16cid:commentId w16cid:paraId="6BA4B132" w16cid:durableId="22874F89"/>
  <w16cid:commentId w16cid:paraId="282EB3FE" w16cid:durableId="22874F94"/>
  <w16cid:commentId w16cid:paraId="22BBCF3F" w16cid:durableId="22875329"/>
  <w16cid:commentId w16cid:paraId="1A0A71AA" w16cid:durableId="22875016"/>
  <w16cid:commentId w16cid:paraId="1DB74F11" w16cid:durableId="22875058"/>
  <w16cid:commentId w16cid:paraId="1C60FD85" w16cid:durableId="22875079"/>
  <w16cid:commentId w16cid:paraId="4FEA8F96" w16cid:durableId="22875121"/>
  <w16cid:commentId w16cid:paraId="5E95969E" w16cid:durableId="228751C1"/>
  <w16cid:commentId w16cid:paraId="2BC002EB" w16cid:durableId="22875391"/>
  <w16cid:commentId w16cid:paraId="003CAAD8" w16cid:durableId="228753B3"/>
  <w16cid:commentId w16cid:paraId="3272E029" w16cid:durableId="228753BC"/>
  <w16cid:commentId w16cid:paraId="7C0E4781" w16cid:durableId="228753EA"/>
  <w16cid:commentId w16cid:paraId="4ADA1A72" w16cid:durableId="22875438"/>
  <w16cid:commentId w16cid:paraId="2C35678C" w16cid:durableId="2287544E"/>
  <w16cid:commentId w16cid:paraId="17D2416D" w16cid:durableId="228754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7C427" w14:textId="77777777" w:rsidR="00214FA9" w:rsidRDefault="00214FA9">
      <w:pPr>
        <w:spacing w:after="0" w:line="240" w:lineRule="auto"/>
      </w:pPr>
      <w:r>
        <w:separator/>
      </w:r>
    </w:p>
  </w:endnote>
  <w:endnote w:type="continuationSeparator" w:id="0">
    <w:p w14:paraId="46A4FD27" w14:textId="77777777" w:rsidR="00214FA9" w:rsidRDefault="00214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970228"/>
      <w:docPartObj>
        <w:docPartGallery w:val="Page Numbers (Bottom of Page)"/>
        <w:docPartUnique/>
      </w:docPartObj>
    </w:sdtPr>
    <w:sdtEndPr>
      <w:rPr>
        <w:noProof/>
      </w:rPr>
    </w:sdtEndPr>
    <w:sdtContent>
      <w:p w14:paraId="01411324" w14:textId="517B2E19" w:rsidR="00D52BF1" w:rsidRDefault="00853F13">
        <w:pPr>
          <w:pStyle w:val="Footer"/>
          <w:jc w:val="center"/>
        </w:pPr>
        <w:r>
          <w:fldChar w:fldCharType="begin"/>
        </w:r>
        <w:r>
          <w:instrText xml:space="preserve"> PAGE   \* MERGEFORMAT </w:instrText>
        </w:r>
        <w:r>
          <w:fldChar w:fldCharType="separate"/>
        </w:r>
        <w:r w:rsidR="00F72153">
          <w:rPr>
            <w:noProof/>
          </w:rPr>
          <w:t>26</w:t>
        </w:r>
        <w:r>
          <w:rPr>
            <w:noProof/>
          </w:rPr>
          <w:fldChar w:fldCharType="end"/>
        </w:r>
      </w:p>
    </w:sdtContent>
  </w:sdt>
  <w:p w14:paraId="3888034D" w14:textId="77777777" w:rsidR="00D52BF1" w:rsidRDefault="00F72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DF0C1" w14:textId="77777777" w:rsidR="00214FA9" w:rsidRDefault="00214FA9">
      <w:pPr>
        <w:spacing w:after="0" w:line="240" w:lineRule="auto"/>
      </w:pPr>
      <w:r>
        <w:separator/>
      </w:r>
    </w:p>
  </w:footnote>
  <w:footnote w:type="continuationSeparator" w:id="0">
    <w:p w14:paraId="4DDBE806" w14:textId="77777777" w:rsidR="00214FA9" w:rsidRDefault="00214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2D15"/>
    <w:multiLevelType w:val="hybridMultilevel"/>
    <w:tmpl w:val="C846D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7517F4"/>
    <w:multiLevelType w:val="hybridMultilevel"/>
    <w:tmpl w:val="55425C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FD6D72"/>
    <w:multiLevelType w:val="hybridMultilevel"/>
    <w:tmpl w:val="B274A382"/>
    <w:lvl w:ilvl="0" w:tplc="5D32BEFE">
      <w:start w:val="1"/>
      <w:numFmt w:val="decimal"/>
      <w:lvlText w:val="%1)"/>
      <w:lvlJc w:val="left"/>
      <w:pPr>
        <w:ind w:left="720" w:hanging="360"/>
      </w:pPr>
      <w:rPr>
        <w:b w:val="0"/>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A2652"/>
    <w:rsid w:val="00010C15"/>
    <w:rsid w:val="00074D34"/>
    <w:rsid w:val="000C14C5"/>
    <w:rsid w:val="00100462"/>
    <w:rsid w:val="00115283"/>
    <w:rsid w:val="001367DF"/>
    <w:rsid w:val="00153087"/>
    <w:rsid w:val="00197CEF"/>
    <w:rsid w:val="001B75FF"/>
    <w:rsid w:val="001C0B47"/>
    <w:rsid w:val="001E7E63"/>
    <w:rsid w:val="00214FA9"/>
    <w:rsid w:val="002563C9"/>
    <w:rsid w:val="0028056D"/>
    <w:rsid w:val="002B3F0E"/>
    <w:rsid w:val="002E7A84"/>
    <w:rsid w:val="003237AF"/>
    <w:rsid w:val="00363CD0"/>
    <w:rsid w:val="003A2860"/>
    <w:rsid w:val="0045752D"/>
    <w:rsid w:val="004619AE"/>
    <w:rsid w:val="0046674B"/>
    <w:rsid w:val="00484527"/>
    <w:rsid w:val="004C6F3E"/>
    <w:rsid w:val="00514852"/>
    <w:rsid w:val="005708F1"/>
    <w:rsid w:val="005B41A3"/>
    <w:rsid w:val="005F5B9D"/>
    <w:rsid w:val="006055B2"/>
    <w:rsid w:val="00611FA8"/>
    <w:rsid w:val="006566F1"/>
    <w:rsid w:val="006678EA"/>
    <w:rsid w:val="006A2652"/>
    <w:rsid w:val="006E4FFE"/>
    <w:rsid w:val="006F00F3"/>
    <w:rsid w:val="006F5497"/>
    <w:rsid w:val="007830D1"/>
    <w:rsid w:val="007C5B98"/>
    <w:rsid w:val="0082454B"/>
    <w:rsid w:val="00832227"/>
    <w:rsid w:val="00853F13"/>
    <w:rsid w:val="008E7BD3"/>
    <w:rsid w:val="008F0224"/>
    <w:rsid w:val="008F6E08"/>
    <w:rsid w:val="009459FA"/>
    <w:rsid w:val="00A1445C"/>
    <w:rsid w:val="00A6429A"/>
    <w:rsid w:val="00A80326"/>
    <w:rsid w:val="00AC0148"/>
    <w:rsid w:val="00AE6B7A"/>
    <w:rsid w:val="00B16C86"/>
    <w:rsid w:val="00B5767F"/>
    <w:rsid w:val="00B96A2A"/>
    <w:rsid w:val="00BE4BD7"/>
    <w:rsid w:val="00BE5E94"/>
    <w:rsid w:val="00C34406"/>
    <w:rsid w:val="00C57817"/>
    <w:rsid w:val="00C64EE0"/>
    <w:rsid w:val="00C91E2E"/>
    <w:rsid w:val="00CE7066"/>
    <w:rsid w:val="00D16209"/>
    <w:rsid w:val="00D631A2"/>
    <w:rsid w:val="00E662A6"/>
    <w:rsid w:val="00E83CF4"/>
    <w:rsid w:val="00F364A8"/>
    <w:rsid w:val="00F71CCB"/>
    <w:rsid w:val="00F72153"/>
    <w:rsid w:val="00F727D6"/>
    <w:rsid w:val="00F74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C0641"/>
  <w15:chartTrackingRefBased/>
  <w15:docId w15:val="{CD91CC35-C951-436C-B8A1-D3D75E36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6A265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A2652"/>
    <w:rPr>
      <w:rFonts w:ascii="Calibri" w:hAnsi="Calibri" w:cs="Calibri"/>
      <w:noProof/>
      <w:lang w:val="en-US"/>
    </w:rPr>
  </w:style>
  <w:style w:type="paragraph" w:customStyle="1" w:styleId="EndNoteBibliography">
    <w:name w:val="EndNote Bibliography"/>
    <w:basedOn w:val="Normal"/>
    <w:link w:val="EndNoteBibliographyChar"/>
    <w:rsid w:val="006A265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A2652"/>
    <w:rPr>
      <w:rFonts w:ascii="Calibri" w:hAnsi="Calibri" w:cs="Calibri"/>
      <w:noProof/>
      <w:lang w:val="en-US"/>
    </w:rPr>
  </w:style>
  <w:style w:type="paragraph" w:styleId="BalloonText">
    <w:name w:val="Balloon Text"/>
    <w:basedOn w:val="Normal"/>
    <w:link w:val="BalloonTextChar"/>
    <w:uiPriority w:val="99"/>
    <w:semiHidden/>
    <w:unhideWhenUsed/>
    <w:rsid w:val="006A2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652"/>
    <w:rPr>
      <w:rFonts w:ascii="Segoe UI" w:hAnsi="Segoe UI" w:cs="Segoe UI"/>
      <w:sz w:val="18"/>
      <w:szCs w:val="18"/>
    </w:rPr>
  </w:style>
  <w:style w:type="paragraph" w:styleId="Header">
    <w:name w:val="header"/>
    <w:basedOn w:val="Normal"/>
    <w:link w:val="HeaderChar"/>
    <w:uiPriority w:val="99"/>
    <w:unhideWhenUsed/>
    <w:rsid w:val="006A2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652"/>
  </w:style>
  <w:style w:type="paragraph" w:styleId="Footer">
    <w:name w:val="footer"/>
    <w:basedOn w:val="Normal"/>
    <w:link w:val="FooterChar"/>
    <w:uiPriority w:val="99"/>
    <w:unhideWhenUsed/>
    <w:rsid w:val="006A2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652"/>
  </w:style>
  <w:style w:type="paragraph" w:styleId="ListParagraph">
    <w:name w:val="List Paragraph"/>
    <w:basedOn w:val="Normal"/>
    <w:uiPriority w:val="34"/>
    <w:qFormat/>
    <w:rsid w:val="006A2652"/>
    <w:pPr>
      <w:ind w:left="720"/>
      <w:contextualSpacing/>
    </w:pPr>
  </w:style>
  <w:style w:type="character" w:styleId="CommentReference">
    <w:name w:val="annotation reference"/>
    <w:basedOn w:val="DefaultParagraphFont"/>
    <w:uiPriority w:val="99"/>
    <w:semiHidden/>
    <w:unhideWhenUsed/>
    <w:rsid w:val="006A2652"/>
    <w:rPr>
      <w:sz w:val="16"/>
      <w:szCs w:val="16"/>
    </w:rPr>
  </w:style>
  <w:style w:type="paragraph" w:styleId="CommentText">
    <w:name w:val="annotation text"/>
    <w:basedOn w:val="Normal"/>
    <w:link w:val="CommentTextChar"/>
    <w:uiPriority w:val="99"/>
    <w:semiHidden/>
    <w:unhideWhenUsed/>
    <w:rsid w:val="006A2652"/>
    <w:pPr>
      <w:spacing w:line="240" w:lineRule="auto"/>
    </w:pPr>
    <w:rPr>
      <w:sz w:val="20"/>
      <w:szCs w:val="20"/>
    </w:rPr>
  </w:style>
  <w:style w:type="character" w:customStyle="1" w:styleId="CommentTextChar">
    <w:name w:val="Comment Text Char"/>
    <w:basedOn w:val="DefaultParagraphFont"/>
    <w:link w:val="CommentText"/>
    <w:uiPriority w:val="99"/>
    <w:semiHidden/>
    <w:rsid w:val="006A2652"/>
    <w:rPr>
      <w:sz w:val="20"/>
      <w:szCs w:val="20"/>
    </w:rPr>
  </w:style>
  <w:style w:type="paragraph" w:styleId="CommentSubject">
    <w:name w:val="annotation subject"/>
    <w:basedOn w:val="CommentText"/>
    <w:next w:val="CommentText"/>
    <w:link w:val="CommentSubjectChar"/>
    <w:uiPriority w:val="99"/>
    <w:semiHidden/>
    <w:unhideWhenUsed/>
    <w:rsid w:val="006A2652"/>
    <w:rPr>
      <w:b/>
      <w:bCs/>
    </w:rPr>
  </w:style>
  <w:style w:type="character" w:customStyle="1" w:styleId="CommentSubjectChar">
    <w:name w:val="Comment Subject Char"/>
    <w:basedOn w:val="CommentTextChar"/>
    <w:link w:val="CommentSubject"/>
    <w:uiPriority w:val="99"/>
    <w:semiHidden/>
    <w:rsid w:val="006A2652"/>
    <w:rPr>
      <w:b/>
      <w:bCs/>
      <w:sz w:val="20"/>
      <w:szCs w:val="20"/>
    </w:rPr>
  </w:style>
  <w:style w:type="character" w:styleId="Hyperlink">
    <w:name w:val="Hyperlink"/>
    <w:basedOn w:val="DefaultParagraphFont"/>
    <w:uiPriority w:val="99"/>
    <w:unhideWhenUsed/>
    <w:rsid w:val="006A26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plondon.ac.uk/projects/outputs/talking-about-dying-how-begin-honest-conversations-about-what-lies-ah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us.org.uk/media/statements/resuscitation-council-uk-statements-on-covid-19-coronavirus-cpr-and-resuscitation/covid-community/" TargetMode="External"/><Relationship Id="rId5" Type="http://schemas.openxmlformats.org/officeDocument/2006/relationships/webSettings" Target="webSettings.xml"/><Relationship Id="rId10" Type="http://schemas.openxmlformats.org/officeDocument/2006/relationships/hyperlink" Target="https://doi.org/10.1186/1748-5908-8-43"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doi.org/10.1080/1469701080213357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DA3E6-9AD0-4BE0-BF37-B26C0608E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9027</Words>
  <Characters>51460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Myall M.I.</dc:creator>
  <cp:keywords/>
  <dc:description/>
  <cp:lastModifiedBy>Michelle Myall</cp:lastModifiedBy>
  <cp:revision>3</cp:revision>
  <dcterms:created xsi:type="dcterms:W3CDTF">2020-09-07T16:33:00Z</dcterms:created>
  <dcterms:modified xsi:type="dcterms:W3CDTF">2020-09-07T16:35:00Z</dcterms:modified>
</cp:coreProperties>
</file>