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CC9D3" w14:textId="2BCEB354" w:rsidR="00D77C3A" w:rsidRPr="00D82F96" w:rsidRDefault="00CD7B96" w:rsidP="00B54292">
      <w:pPr>
        <w:ind w:firstLine="0"/>
        <w:rPr>
          <w:rFonts w:cs="Times New Roman"/>
          <w:b/>
          <w:sz w:val="52"/>
          <w:szCs w:val="52"/>
        </w:rPr>
      </w:pPr>
      <w:r w:rsidRPr="00D82F96">
        <w:rPr>
          <w:rFonts w:cs="Times New Roman"/>
          <w:b/>
          <w:sz w:val="52"/>
          <w:szCs w:val="52"/>
        </w:rPr>
        <w:t xml:space="preserve">When </w:t>
      </w:r>
      <w:r w:rsidR="00D82F96">
        <w:rPr>
          <w:rFonts w:cs="Times New Roman"/>
          <w:b/>
          <w:sz w:val="52"/>
          <w:szCs w:val="52"/>
        </w:rPr>
        <w:t>masses meet m</w:t>
      </w:r>
      <w:r w:rsidRPr="00D82F96">
        <w:rPr>
          <w:rFonts w:cs="Times New Roman"/>
          <w:b/>
          <w:sz w:val="52"/>
          <w:szCs w:val="52"/>
        </w:rPr>
        <w:t>arkets: credentialism and commodifi</w:t>
      </w:r>
      <w:r w:rsidR="00622260">
        <w:rPr>
          <w:rFonts w:cs="Times New Roman"/>
          <w:b/>
          <w:sz w:val="52"/>
          <w:szCs w:val="52"/>
        </w:rPr>
        <w:t>cation in twenty-first century Higher E</w:t>
      </w:r>
      <w:r w:rsidRPr="00D82F96">
        <w:rPr>
          <w:rFonts w:cs="Times New Roman"/>
          <w:b/>
          <w:sz w:val="52"/>
          <w:szCs w:val="52"/>
        </w:rPr>
        <w:t>ducation</w:t>
      </w:r>
    </w:p>
    <w:p w14:paraId="38310E81" w14:textId="77777777" w:rsidR="00C60CDE" w:rsidRPr="00D82F96" w:rsidRDefault="00C60CDE" w:rsidP="00D73B4D">
      <w:pPr>
        <w:spacing w:line="360" w:lineRule="auto"/>
        <w:jc w:val="both"/>
        <w:rPr>
          <w:rFonts w:cs="Times New Roman"/>
          <w:b/>
          <w:bCs/>
          <w:szCs w:val="24"/>
        </w:rPr>
      </w:pPr>
    </w:p>
    <w:p w14:paraId="6FAF2279" w14:textId="0CFB44A0" w:rsidR="00750425" w:rsidRPr="00D82F96" w:rsidRDefault="00750425" w:rsidP="00B54292">
      <w:pPr>
        <w:spacing w:line="360" w:lineRule="auto"/>
        <w:ind w:firstLine="0"/>
        <w:jc w:val="both"/>
        <w:rPr>
          <w:rFonts w:cs="Times New Roman"/>
          <w:b/>
          <w:bCs/>
          <w:i/>
          <w:sz w:val="32"/>
          <w:szCs w:val="32"/>
          <w:vertAlign w:val="superscript"/>
        </w:rPr>
      </w:pPr>
      <w:r w:rsidRPr="00D82F96">
        <w:rPr>
          <w:rFonts w:cs="Times New Roman"/>
          <w:b/>
          <w:bCs/>
          <w:sz w:val="32"/>
          <w:szCs w:val="32"/>
        </w:rPr>
        <w:t>Michael Tomlinson</w:t>
      </w:r>
      <w:r w:rsidR="00327A41" w:rsidRPr="00327A41">
        <w:rPr>
          <w:rStyle w:val="FootnoteReference"/>
          <w:rFonts w:cs="Times New Roman"/>
          <w:b/>
          <w:bCs/>
          <w:sz w:val="32"/>
          <w:szCs w:val="32"/>
        </w:rPr>
        <w:footnoteReference w:customMarkFollows="1" w:id="1"/>
        <w:sym w:font="Symbol" w:char="F02A"/>
      </w:r>
      <w:r w:rsidR="00D82F96">
        <w:rPr>
          <w:rFonts w:cs="Times New Roman"/>
          <w:b/>
          <w:bCs/>
          <w:i/>
          <w:sz w:val="32"/>
          <w:szCs w:val="32"/>
          <w:vertAlign w:val="superscript"/>
        </w:rPr>
        <w:t>a</w:t>
      </w:r>
      <w:r w:rsidRPr="00D82F96">
        <w:rPr>
          <w:rFonts w:cs="Times New Roman"/>
          <w:b/>
          <w:bCs/>
          <w:sz w:val="32"/>
          <w:szCs w:val="32"/>
        </w:rPr>
        <w:t xml:space="preserve"> and Richard Watermeyer</w:t>
      </w:r>
      <w:r w:rsidR="00D82F96">
        <w:rPr>
          <w:rFonts w:cs="Times New Roman"/>
          <w:b/>
          <w:bCs/>
          <w:i/>
          <w:sz w:val="32"/>
          <w:szCs w:val="32"/>
          <w:vertAlign w:val="superscript"/>
        </w:rPr>
        <w:t>b</w:t>
      </w:r>
    </w:p>
    <w:p w14:paraId="2CCA7737" w14:textId="3D2424DD" w:rsidR="00750425" w:rsidRPr="00D82F96" w:rsidRDefault="00D82F96" w:rsidP="00B54292">
      <w:pPr>
        <w:ind w:firstLine="0"/>
        <w:rPr>
          <w:rFonts w:cs="Times New Roman"/>
          <w:bCs/>
          <w:i/>
          <w:szCs w:val="24"/>
        </w:rPr>
      </w:pPr>
      <w:r w:rsidRPr="00B94026">
        <w:rPr>
          <w:rFonts w:cs="Times New Roman"/>
          <w:b/>
          <w:bCs/>
          <w:i/>
          <w:szCs w:val="24"/>
          <w:vertAlign w:val="superscript"/>
        </w:rPr>
        <w:t xml:space="preserve">a </w:t>
      </w:r>
      <w:r w:rsidR="00687403" w:rsidRPr="00687403">
        <w:rPr>
          <w:rFonts w:cs="Times New Roman"/>
          <w:bCs/>
          <w:i/>
          <w:szCs w:val="24"/>
          <w:highlight w:val="yellow"/>
        </w:rPr>
        <w:t>Southampton Education School</w:t>
      </w:r>
      <w:r w:rsidR="00687403">
        <w:rPr>
          <w:rFonts w:cs="Times New Roman"/>
          <w:bCs/>
          <w:i/>
          <w:szCs w:val="24"/>
        </w:rPr>
        <w:t>,</w:t>
      </w:r>
      <w:r w:rsidR="00750425" w:rsidRPr="00D82F96">
        <w:rPr>
          <w:rFonts w:cs="Times New Roman"/>
          <w:bCs/>
          <w:i/>
          <w:szCs w:val="24"/>
        </w:rPr>
        <w:t xml:space="preserve"> University of Southampton, UK</w:t>
      </w:r>
      <w:r w:rsidRPr="00D82F96">
        <w:rPr>
          <w:rFonts w:cs="Times New Roman"/>
          <w:bCs/>
          <w:i/>
          <w:szCs w:val="24"/>
        </w:rPr>
        <w:t xml:space="preserve">; </w:t>
      </w:r>
      <w:r w:rsidRPr="00B94026">
        <w:rPr>
          <w:rFonts w:cs="Times New Roman"/>
          <w:b/>
          <w:bCs/>
          <w:i/>
          <w:szCs w:val="24"/>
          <w:vertAlign w:val="superscript"/>
        </w:rPr>
        <w:t>b</w:t>
      </w:r>
      <w:r w:rsidRPr="00D82F96">
        <w:rPr>
          <w:rFonts w:cs="Times New Roman"/>
          <w:bCs/>
          <w:i/>
          <w:szCs w:val="24"/>
          <w:vertAlign w:val="superscript"/>
        </w:rPr>
        <w:t xml:space="preserve"> </w:t>
      </w:r>
      <w:r w:rsidRPr="00D82F96">
        <w:rPr>
          <w:rFonts w:cs="Times New Roman"/>
          <w:bCs/>
          <w:i/>
          <w:szCs w:val="24"/>
        </w:rPr>
        <w:t xml:space="preserve">School of Education, University of Bristol, UK </w:t>
      </w:r>
    </w:p>
    <w:p w14:paraId="13F7A0F8" w14:textId="77777777" w:rsidR="00B54292" w:rsidRDefault="00B54292" w:rsidP="00D73B4D">
      <w:pPr>
        <w:spacing w:line="360" w:lineRule="auto"/>
        <w:jc w:val="both"/>
        <w:rPr>
          <w:rFonts w:cs="Times New Roman"/>
          <w:b/>
          <w:bCs/>
          <w:szCs w:val="24"/>
        </w:rPr>
      </w:pPr>
    </w:p>
    <w:p w14:paraId="5FD04EDB" w14:textId="799C2A7B" w:rsidR="00582C68" w:rsidRDefault="00582C68" w:rsidP="00B54292">
      <w:pPr>
        <w:ind w:left="720" w:right="720" w:firstLine="0"/>
        <w:rPr>
          <w:rFonts w:cs="Times New Roman"/>
          <w:sz w:val="20"/>
          <w:szCs w:val="20"/>
        </w:rPr>
      </w:pPr>
      <w:r w:rsidRPr="00B54292">
        <w:rPr>
          <w:rFonts w:cs="Times New Roman"/>
          <w:sz w:val="20"/>
          <w:szCs w:val="20"/>
        </w:rPr>
        <w:t xml:space="preserve">The institutional form and conception of Higher Education has changed through the growth of mass higher education, which in many national systems now operates </w:t>
      </w:r>
      <w:r w:rsidR="00904864" w:rsidRPr="00B54292">
        <w:rPr>
          <w:rFonts w:cs="Times New Roman"/>
          <w:sz w:val="20"/>
          <w:szCs w:val="20"/>
        </w:rPr>
        <w:t xml:space="preserve">on </w:t>
      </w:r>
      <w:r w:rsidRPr="00B54292">
        <w:rPr>
          <w:rFonts w:cs="Times New Roman"/>
          <w:sz w:val="20"/>
          <w:szCs w:val="20"/>
        </w:rPr>
        <w:t>market logics.  Drawing on theories of credentialism, this article provide</w:t>
      </w:r>
      <w:r w:rsidR="003D1908" w:rsidRPr="00B54292">
        <w:rPr>
          <w:rFonts w:cs="Times New Roman"/>
          <w:sz w:val="20"/>
          <w:szCs w:val="20"/>
        </w:rPr>
        <w:t>s</w:t>
      </w:r>
      <w:r w:rsidRPr="00B54292">
        <w:rPr>
          <w:rFonts w:cs="Times New Roman"/>
          <w:sz w:val="20"/>
          <w:szCs w:val="20"/>
        </w:rPr>
        <w:t xml:space="preserve"> a critical analysis of the inter-relationship between massification and marketization and examines a range </w:t>
      </w:r>
      <w:r w:rsidR="00114E34" w:rsidRPr="00B54292">
        <w:rPr>
          <w:rFonts w:cs="Times New Roman"/>
          <w:sz w:val="20"/>
          <w:szCs w:val="20"/>
        </w:rPr>
        <w:t>of consequences this</w:t>
      </w:r>
      <w:r w:rsidRPr="00B54292">
        <w:rPr>
          <w:rFonts w:cs="Times New Roman"/>
          <w:sz w:val="20"/>
          <w:szCs w:val="20"/>
        </w:rPr>
        <w:t xml:space="preserve"> has for institutional relations and dynamics. A central feature of credential inflation </w:t>
      </w:r>
      <w:r w:rsidR="00114E34" w:rsidRPr="00B54292">
        <w:rPr>
          <w:rFonts w:cs="Times New Roman"/>
          <w:sz w:val="20"/>
          <w:szCs w:val="20"/>
        </w:rPr>
        <w:t xml:space="preserve">in mass </w:t>
      </w:r>
      <w:r w:rsidR="00C64595" w:rsidRPr="00B54292">
        <w:rPr>
          <w:rFonts w:cs="Times New Roman"/>
          <w:sz w:val="20"/>
          <w:szCs w:val="20"/>
        </w:rPr>
        <w:t xml:space="preserve">systems </w:t>
      </w:r>
      <w:r w:rsidRPr="00B54292">
        <w:rPr>
          <w:rFonts w:cs="Times New Roman"/>
          <w:sz w:val="20"/>
          <w:szCs w:val="20"/>
        </w:rPr>
        <w:t>has been the growing competition for scarce status-good</w:t>
      </w:r>
      <w:r w:rsidR="00C64595" w:rsidRPr="00B54292">
        <w:rPr>
          <w:rFonts w:cs="Times New Roman"/>
          <w:sz w:val="20"/>
          <w:szCs w:val="20"/>
        </w:rPr>
        <w:t>s</w:t>
      </w:r>
      <w:r w:rsidRPr="00B54292">
        <w:rPr>
          <w:rFonts w:cs="Times New Roman"/>
          <w:sz w:val="20"/>
          <w:szCs w:val="20"/>
        </w:rPr>
        <w:t xml:space="preserve"> and the </w:t>
      </w:r>
      <w:r w:rsidR="00C64595" w:rsidRPr="00B54292">
        <w:rPr>
          <w:rFonts w:cs="Times New Roman"/>
          <w:sz w:val="20"/>
          <w:szCs w:val="20"/>
        </w:rPr>
        <w:t>reproduction of structural inequalities in accessing sought</w:t>
      </w:r>
      <w:r w:rsidR="00114E34" w:rsidRPr="00B54292">
        <w:rPr>
          <w:rFonts w:cs="Times New Roman"/>
          <w:sz w:val="20"/>
          <w:szCs w:val="20"/>
        </w:rPr>
        <w:t>-</w:t>
      </w:r>
      <w:r w:rsidR="00C64595" w:rsidRPr="00B54292">
        <w:rPr>
          <w:rFonts w:cs="Times New Roman"/>
          <w:sz w:val="20"/>
          <w:szCs w:val="20"/>
        </w:rPr>
        <w:t xml:space="preserve">after </w:t>
      </w:r>
      <w:r w:rsidR="004A59B5" w:rsidRPr="00B54292">
        <w:rPr>
          <w:rFonts w:cs="Times New Roman"/>
          <w:sz w:val="20"/>
          <w:szCs w:val="20"/>
        </w:rPr>
        <w:t>occupational</w:t>
      </w:r>
      <w:r w:rsidR="00C64595" w:rsidRPr="00B54292">
        <w:rPr>
          <w:rFonts w:cs="Times New Roman"/>
          <w:sz w:val="20"/>
          <w:szCs w:val="20"/>
        </w:rPr>
        <w:t xml:space="preserve"> outcomes. The policy context of marketization has concurrently reinforced the pressures on inst</w:t>
      </w:r>
      <w:r w:rsidR="009B0426" w:rsidRPr="00B54292">
        <w:rPr>
          <w:rFonts w:cs="Times New Roman"/>
          <w:sz w:val="20"/>
          <w:szCs w:val="20"/>
        </w:rPr>
        <w:t xml:space="preserve">itutions to fulfil the </w:t>
      </w:r>
      <w:r w:rsidR="00C64595" w:rsidRPr="00B54292">
        <w:rPr>
          <w:rFonts w:cs="Times New Roman"/>
          <w:sz w:val="20"/>
          <w:szCs w:val="20"/>
        </w:rPr>
        <w:t>promise held by governments, employers and graduates of enhancing hum</w:t>
      </w:r>
      <w:r w:rsidR="00114E34" w:rsidRPr="00B54292">
        <w:rPr>
          <w:rFonts w:cs="Times New Roman"/>
          <w:sz w:val="20"/>
          <w:szCs w:val="20"/>
        </w:rPr>
        <w:t>an capital and H</w:t>
      </w:r>
      <w:r w:rsidR="003B6ECE" w:rsidRPr="00B54292">
        <w:rPr>
          <w:rFonts w:cs="Times New Roman"/>
          <w:sz w:val="20"/>
          <w:szCs w:val="20"/>
        </w:rPr>
        <w:t>igher Education institutions</w:t>
      </w:r>
      <w:r w:rsidR="00015AA6" w:rsidRPr="00B54292">
        <w:rPr>
          <w:rFonts w:cs="Times New Roman"/>
          <w:sz w:val="20"/>
          <w:szCs w:val="20"/>
        </w:rPr>
        <w:t>’</w:t>
      </w:r>
      <w:r w:rsidR="00114E34" w:rsidRPr="00B54292">
        <w:rPr>
          <w:rFonts w:cs="Times New Roman"/>
          <w:sz w:val="20"/>
          <w:szCs w:val="20"/>
        </w:rPr>
        <w:t xml:space="preserve"> economic </w:t>
      </w:r>
      <w:r w:rsidR="00446B2F" w:rsidRPr="00B54292">
        <w:rPr>
          <w:rFonts w:cs="Times New Roman"/>
          <w:sz w:val="20"/>
          <w:szCs w:val="20"/>
        </w:rPr>
        <w:t>value</w:t>
      </w:r>
      <w:r w:rsidR="00C64595" w:rsidRPr="00B54292">
        <w:rPr>
          <w:rFonts w:cs="Times New Roman"/>
          <w:sz w:val="20"/>
          <w:szCs w:val="20"/>
        </w:rPr>
        <w:t xml:space="preserve">. </w:t>
      </w:r>
      <w:r w:rsidR="00446B2F" w:rsidRPr="00B54292">
        <w:rPr>
          <w:rFonts w:cs="Times New Roman"/>
          <w:sz w:val="20"/>
          <w:szCs w:val="20"/>
        </w:rPr>
        <w:t>A</w:t>
      </w:r>
      <w:r w:rsidR="00C64595" w:rsidRPr="00B54292">
        <w:rPr>
          <w:rFonts w:cs="Times New Roman"/>
          <w:sz w:val="20"/>
          <w:szCs w:val="20"/>
        </w:rPr>
        <w:t>ccompanying New Public Manag</w:t>
      </w:r>
      <w:r w:rsidR="0061758F" w:rsidRPr="00B54292">
        <w:rPr>
          <w:rFonts w:cs="Times New Roman"/>
          <w:sz w:val="20"/>
          <w:szCs w:val="20"/>
        </w:rPr>
        <w:t xml:space="preserve">ement policy levers have further </w:t>
      </w:r>
      <w:r w:rsidR="00377BED" w:rsidRPr="00B54292">
        <w:rPr>
          <w:rFonts w:cs="Times New Roman"/>
          <w:sz w:val="20"/>
          <w:szCs w:val="20"/>
        </w:rPr>
        <w:t xml:space="preserve">established institutional conditions based on competitive accountability </w:t>
      </w:r>
      <w:r w:rsidR="00114E34" w:rsidRPr="00B54292">
        <w:rPr>
          <w:rFonts w:cs="Times New Roman"/>
          <w:sz w:val="20"/>
          <w:szCs w:val="20"/>
        </w:rPr>
        <w:t xml:space="preserve">and performative </w:t>
      </w:r>
      <w:r w:rsidR="00AA1718" w:rsidRPr="00B54292">
        <w:rPr>
          <w:rFonts w:cs="Times New Roman"/>
          <w:sz w:val="20"/>
          <w:szCs w:val="20"/>
        </w:rPr>
        <w:t xml:space="preserve">evaluation. </w:t>
      </w:r>
      <w:r w:rsidR="00C64595" w:rsidRPr="00B54292">
        <w:rPr>
          <w:rFonts w:cs="Times New Roman"/>
          <w:sz w:val="20"/>
          <w:szCs w:val="20"/>
        </w:rPr>
        <w:t>We show ho</w:t>
      </w:r>
      <w:r w:rsidR="003D1908" w:rsidRPr="00B54292">
        <w:rPr>
          <w:rFonts w:cs="Times New Roman"/>
          <w:sz w:val="20"/>
          <w:szCs w:val="20"/>
        </w:rPr>
        <w:t>w these pressure</w:t>
      </w:r>
      <w:r w:rsidR="007D726F" w:rsidRPr="00B54292">
        <w:rPr>
          <w:rFonts w:cs="Times New Roman"/>
          <w:sz w:val="20"/>
          <w:szCs w:val="20"/>
        </w:rPr>
        <w:t>s</w:t>
      </w:r>
      <w:r w:rsidR="00C64595" w:rsidRPr="00B54292">
        <w:rPr>
          <w:rFonts w:cs="Times New Roman"/>
          <w:sz w:val="20"/>
          <w:szCs w:val="20"/>
        </w:rPr>
        <w:t xml:space="preserve"> </w:t>
      </w:r>
      <w:r w:rsidR="003D1908" w:rsidRPr="00B54292">
        <w:rPr>
          <w:rFonts w:cs="Times New Roman"/>
          <w:sz w:val="20"/>
          <w:szCs w:val="20"/>
        </w:rPr>
        <w:t xml:space="preserve">are </w:t>
      </w:r>
      <w:r w:rsidR="00C64595" w:rsidRPr="00B54292">
        <w:rPr>
          <w:rFonts w:cs="Times New Roman"/>
          <w:sz w:val="20"/>
          <w:szCs w:val="20"/>
        </w:rPr>
        <w:t>manifest</w:t>
      </w:r>
      <w:r w:rsidR="00446B2F" w:rsidRPr="00B54292">
        <w:rPr>
          <w:rFonts w:cs="Times New Roman"/>
          <w:sz w:val="20"/>
          <w:szCs w:val="20"/>
        </w:rPr>
        <w:t>ed</w:t>
      </w:r>
      <w:r w:rsidR="00C64595" w:rsidRPr="00B54292">
        <w:rPr>
          <w:rFonts w:cs="Times New Roman"/>
          <w:sz w:val="20"/>
          <w:szCs w:val="20"/>
        </w:rPr>
        <w:t xml:space="preserve"> in</w:t>
      </w:r>
      <w:r w:rsidR="00377BED" w:rsidRPr="00B54292">
        <w:rPr>
          <w:rFonts w:cs="Times New Roman"/>
          <w:sz w:val="20"/>
          <w:szCs w:val="20"/>
        </w:rPr>
        <w:t xml:space="preserve"> new forms of instrumental rationality that </w:t>
      </w:r>
      <w:r w:rsidR="003D1908" w:rsidRPr="00B54292">
        <w:rPr>
          <w:rFonts w:cs="Times New Roman"/>
          <w:sz w:val="20"/>
          <w:szCs w:val="20"/>
        </w:rPr>
        <w:t xml:space="preserve">valorise </w:t>
      </w:r>
      <w:r w:rsidR="00377BED" w:rsidRPr="00B54292">
        <w:rPr>
          <w:rFonts w:cs="Times New Roman"/>
          <w:sz w:val="20"/>
          <w:szCs w:val="20"/>
        </w:rPr>
        <w:t xml:space="preserve">the commodification of academic credentials, and relatedly, </w:t>
      </w:r>
      <w:r w:rsidR="003D1908" w:rsidRPr="00B54292">
        <w:rPr>
          <w:rFonts w:cs="Times New Roman"/>
          <w:sz w:val="20"/>
          <w:szCs w:val="20"/>
        </w:rPr>
        <w:t xml:space="preserve">studentship and </w:t>
      </w:r>
      <w:r w:rsidR="00B573B3" w:rsidRPr="00B54292">
        <w:rPr>
          <w:rFonts w:cs="Times New Roman"/>
          <w:sz w:val="20"/>
          <w:szCs w:val="20"/>
        </w:rPr>
        <w:t xml:space="preserve">academic </w:t>
      </w:r>
      <w:r w:rsidR="003D1908" w:rsidRPr="00B54292">
        <w:rPr>
          <w:rFonts w:cs="Times New Roman"/>
          <w:sz w:val="20"/>
          <w:szCs w:val="20"/>
        </w:rPr>
        <w:t xml:space="preserve">scholarship. We finally consider the possible ways forward in appraising </w:t>
      </w:r>
      <w:r w:rsidR="00114E34" w:rsidRPr="00B54292">
        <w:rPr>
          <w:rFonts w:cs="Times New Roman"/>
          <w:sz w:val="20"/>
          <w:szCs w:val="20"/>
        </w:rPr>
        <w:t xml:space="preserve">the goals of HE </w:t>
      </w:r>
      <w:r w:rsidR="003D1908" w:rsidRPr="00B54292">
        <w:rPr>
          <w:rFonts w:cs="Times New Roman"/>
          <w:sz w:val="20"/>
          <w:szCs w:val="20"/>
        </w:rPr>
        <w:t>beyond credential inflation.</w:t>
      </w:r>
      <w:r w:rsidR="00377BED" w:rsidRPr="00B54292">
        <w:rPr>
          <w:rFonts w:cs="Times New Roman"/>
          <w:sz w:val="20"/>
          <w:szCs w:val="20"/>
        </w:rPr>
        <w:t xml:space="preserve"> </w:t>
      </w:r>
    </w:p>
    <w:p w14:paraId="4F39B36A" w14:textId="77777777" w:rsidR="00B54292" w:rsidRDefault="00B54292" w:rsidP="00B54292">
      <w:pPr>
        <w:ind w:left="720" w:right="720" w:firstLine="0"/>
        <w:rPr>
          <w:rFonts w:cs="Times New Roman"/>
          <w:sz w:val="20"/>
          <w:szCs w:val="20"/>
        </w:rPr>
      </w:pPr>
    </w:p>
    <w:p w14:paraId="19A7ED2C" w14:textId="31131DC7" w:rsidR="00B54292" w:rsidRPr="00B54292" w:rsidRDefault="00B54292" w:rsidP="00B54292">
      <w:pPr>
        <w:ind w:left="720" w:right="720" w:firstLine="0"/>
        <w:rPr>
          <w:rFonts w:cs="Times New Roman"/>
          <w:sz w:val="20"/>
          <w:szCs w:val="20"/>
        </w:rPr>
      </w:pPr>
      <w:r w:rsidRPr="00B54292">
        <w:rPr>
          <w:rFonts w:cs="Times New Roman"/>
          <w:b/>
          <w:sz w:val="20"/>
          <w:szCs w:val="20"/>
        </w:rPr>
        <w:t>Keywords:</w:t>
      </w:r>
      <w:r>
        <w:rPr>
          <w:rFonts w:cs="Times New Roman"/>
          <w:sz w:val="20"/>
          <w:szCs w:val="20"/>
        </w:rPr>
        <w:t xml:space="preserve"> credentialism;</w:t>
      </w:r>
      <w:r w:rsidR="00622260">
        <w:rPr>
          <w:rFonts w:cs="Times New Roman"/>
          <w:sz w:val="20"/>
          <w:szCs w:val="20"/>
        </w:rPr>
        <w:t xml:space="preserve"> massification; marketization; Higher E</w:t>
      </w:r>
      <w:r>
        <w:rPr>
          <w:rFonts w:cs="Times New Roman"/>
          <w:sz w:val="20"/>
          <w:szCs w:val="20"/>
        </w:rPr>
        <w:t>ducation; values; commodification</w:t>
      </w:r>
    </w:p>
    <w:p w14:paraId="3624FD41" w14:textId="77777777" w:rsidR="00D73B4D" w:rsidRPr="00D82F96" w:rsidRDefault="00D73B4D" w:rsidP="00D73B4D">
      <w:pPr>
        <w:jc w:val="both"/>
        <w:rPr>
          <w:rFonts w:cs="Times New Roman"/>
          <w:i/>
          <w:szCs w:val="24"/>
        </w:rPr>
      </w:pPr>
    </w:p>
    <w:p w14:paraId="2B64A5CF" w14:textId="77777777" w:rsidR="00B54292" w:rsidRDefault="00B54292" w:rsidP="00B54292">
      <w:pPr>
        <w:ind w:firstLine="0"/>
      </w:pPr>
    </w:p>
    <w:p w14:paraId="79A51269" w14:textId="7C0047C7" w:rsidR="003D1908" w:rsidRPr="00B54292" w:rsidRDefault="003D1908" w:rsidP="00B54292">
      <w:pPr>
        <w:ind w:firstLine="0"/>
        <w:rPr>
          <w:b/>
        </w:rPr>
      </w:pPr>
      <w:r w:rsidRPr="00B54292">
        <w:rPr>
          <w:b/>
        </w:rPr>
        <w:t>Introduction</w:t>
      </w:r>
    </w:p>
    <w:p w14:paraId="73A4D2B4" w14:textId="77777777" w:rsidR="00B54292" w:rsidRDefault="00B54292" w:rsidP="00B54292">
      <w:pPr>
        <w:ind w:firstLine="0"/>
      </w:pPr>
    </w:p>
    <w:p w14:paraId="26ABD1F0" w14:textId="7A0C9CDD" w:rsidR="00833868" w:rsidRPr="00D82F96" w:rsidRDefault="00CD7B96" w:rsidP="00B54292">
      <w:pPr>
        <w:ind w:firstLine="0"/>
      </w:pPr>
      <w:r w:rsidRPr="00D82F96">
        <w:t xml:space="preserve">Two </w:t>
      </w:r>
      <w:r w:rsidR="00282A2F" w:rsidRPr="00D82F96">
        <w:t>major</w:t>
      </w:r>
      <w:r w:rsidRPr="00D82F96">
        <w:t xml:space="preserve"> structural dynamics have changed the nature an</w:t>
      </w:r>
      <w:r w:rsidR="000C5729" w:rsidRPr="00D82F96">
        <w:t xml:space="preserve">d form of </w:t>
      </w:r>
      <w:r w:rsidR="00AB64DB" w:rsidRPr="00D82F96">
        <w:t>H</w:t>
      </w:r>
      <w:r w:rsidR="000C5729" w:rsidRPr="00D82F96">
        <w:t xml:space="preserve">igher </w:t>
      </w:r>
      <w:r w:rsidR="00AB64DB" w:rsidRPr="00D82F96">
        <w:t>E</w:t>
      </w:r>
      <w:r w:rsidR="000C5729" w:rsidRPr="00D82F96">
        <w:t>ducation (HE)</w:t>
      </w:r>
      <w:r w:rsidR="00811A81" w:rsidRPr="00D82F96">
        <w:t xml:space="preserve"> and</w:t>
      </w:r>
      <w:r w:rsidRPr="00D82F96">
        <w:t xml:space="preserve"> how its purpose </w:t>
      </w:r>
      <w:r w:rsidR="006047D1" w:rsidRPr="00D82F96">
        <w:t xml:space="preserve">and wider relationship to society and economy </w:t>
      </w:r>
      <w:r w:rsidRPr="00D82F96">
        <w:t>ha</w:t>
      </w:r>
      <w:r w:rsidR="00622260">
        <w:t>ve</w:t>
      </w:r>
      <w:r w:rsidRPr="00D82F96">
        <w:t xml:space="preserve"> come to </w:t>
      </w:r>
      <w:r w:rsidR="006047D1" w:rsidRPr="00D82F96">
        <w:t xml:space="preserve">be </w:t>
      </w:r>
      <w:r w:rsidRPr="00D82F96">
        <w:t>conceived: massification and marketization. Both movements have been subject to much scholarly attention, ranging from analysis of the structural and demographic shi</w:t>
      </w:r>
      <w:r w:rsidR="00325A98" w:rsidRPr="00D82F96">
        <w:t xml:space="preserve">fts and related policy drivers </w:t>
      </w:r>
      <w:r w:rsidR="009B0426" w:rsidRPr="00D82F96">
        <w:t>(</w:t>
      </w:r>
      <w:r w:rsidR="00622260" w:rsidRPr="00D82F96">
        <w:t>Marginson</w:t>
      </w:r>
      <w:r w:rsidR="00622260">
        <w:t>,</w:t>
      </w:r>
      <w:r w:rsidR="00622260" w:rsidRPr="00D82F96">
        <w:t xml:space="preserve"> 2016</w:t>
      </w:r>
      <w:r w:rsidR="00622260">
        <w:t xml:space="preserve">; </w:t>
      </w:r>
      <w:r w:rsidR="009B0426" w:rsidRPr="00D82F96">
        <w:t>Scott</w:t>
      </w:r>
      <w:r w:rsidR="00622260">
        <w:t>,</w:t>
      </w:r>
      <w:r w:rsidR="002D3E69" w:rsidRPr="00D82F96">
        <w:t xml:space="preserve"> </w:t>
      </w:r>
      <w:r w:rsidR="009B0426" w:rsidRPr="00D82F96">
        <w:t>2017</w:t>
      </w:r>
      <w:r w:rsidRPr="00D82F96">
        <w:t xml:space="preserve">), to more </w:t>
      </w:r>
      <w:r w:rsidR="000C5729" w:rsidRPr="00D82F96">
        <w:t xml:space="preserve">critical </w:t>
      </w:r>
      <w:r w:rsidR="00325A98" w:rsidRPr="00D82F96">
        <w:t xml:space="preserve">questioning of the form and consequences of a marketised HE system </w:t>
      </w:r>
      <w:r w:rsidR="00F34346" w:rsidRPr="00D82F96">
        <w:t>(Brown &amp; Ca</w:t>
      </w:r>
      <w:r w:rsidR="009B0426" w:rsidRPr="00D82F96">
        <w:t>rasso</w:t>
      </w:r>
      <w:r w:rsidRPr="00D82F96">
        <w:t xml:space="preserve"> 2013</w:t>
      </w:r>
      <w:r w:rsidR="00B9160A" w:rsidRPr="00D82F96">
        <w:t xml:space="preserve">; </w:t>
      </w:r>
      <w:r w:rsidR="009B0426" w:rsidRPr="00D82F96">
        <w:t>Connell</w:t>
      </w:r>
      <w:r w:rsidR="00ED4932">
        <w:t>,</w:t>
      </w:r>
      <w:r w:rsidR="000A0023" w:rsidRPr="00D82F96">
        <w:t xml:space="preserve"> 2013</w:t>
      </w:r>
      <w:r w:rsidRPr="00D82F96">
        <w:t xml:space="preserve">). Less attention has been given to the intersection of these two developments and how their accompanying policy levers work in generating effects which sustain the instrumental commodification of degree-level qualifications serving as private goods. </w:t>
      </w:r>
      <w:r w:rsidR="00957708" w:rsidRPr="00D82F96">
        <w:t>A range of inherent contradictions underscores</w:t>
      </w:r>
      <w:r w:rsidRPr="00D82F96">
        <w:t xml:space="preserve"> this inter-</w:t>
      </w:r>
      <w:r w:rsidRPr="00D82F96">
        <w:lastRenderedPageBreak/>
        <w:t>dynamic, partly due to the tensions between goals premised on both soci</w:t>
      </w:r>
      <w:r w:rsidR="00831C36" w:rsidRPr="00D82F96">
        <w:t>al equity</w:t>
      </w:r>
      <w:r w:rsidR="003239E5" w:rsidRPr="00D82F96">
        <w:t xml:space="preserve"> </w:t>
      </w:r>
      <w:r w:rsidR="00831C36" w:rsidRPr="00D82F96">
        <w:t xml:space="preserve">and </w:t>
      </w:r>
      <w:r w:rsidR="006047D1" w:rsidRPr="00D82F96">
        <w:t xml:space="preserve">utilitarian </w:t>
      </w:r>
      <w:r w:rsidR="003239E5" w:rsidRPr="00D82F96">
        <w:t>individualism.</w:t>
      </w:r>
      <w:r w:rsidR="000A7D25" w:rsidRPr="00D82F96">
        <w:t xml:space="preserve"> </w:t>
      </w:r>
    </w:p>
    <w:p w14:paraId="31F24073" w14:textId="5882BF7E" w:rsidR="00F45064" w:rsidRPr="00D82F96" w:rsidRDefault="00F45064" w:rsidP="00B54292">
      <w:r w:rsidRPr="00D82F96">
        <w:t>This a</w:t>
      </w:r>
      <w:r w:rsidR="00020F03" w:rsidRPr="00D82F96">
        <w:t>rticle examines the inter-relationship</w:t>
      </w:r>
      <w:r w:rsidRPr="00D82F96">
        <w:t xml:space="preserve"> of these key two major structural policy developments in </w:t>
      </w:r>
      <w:r w:rsidR="00AB64DB" w:rsidRPr="00D82F96">
        <w:t>HE</w:t>
      </w:r>
      <w:r w:rsidRPr="00D82F96">
        <w:t xml:space="preserve"> and their cumulative effects on </w:t>
      </w:r>
      <w:r w:rsidR="00AB64DB" w:rsidRPr="00D82F96">
        <w:t>HE</w:t>
      </w:r>
      <w:r w:rsidRPr="00D82F96">
        <w:t xml:space="preserve"> institutions and institutio</w:t>
      </w:r>
      <w:r w:rsidR="00020F03" w:rsidRPr="00D82F96">
        <w:t>nal actors. It does this through</w:t>
      </w:r>
      <w:r w:rsidRPr="00D82F96">
        <w:t xml:space="preserve"> revisiting the credential society thesis developed by Randall Collins </w:t>
      </w:r>
      <w:r w:rsidR="000A7D25" w:rsidRPr="00D82F96">
        <w:t xml:space="preserve">some </w:t>
      </w:r>
      <w:r w:rsidR="00ED4932">
        <w:t>40</w:t>
      </w:r>
      <w:r w:rsidR="009B0426" w:rsidRPr="00D82F96">
        <w:t xml:space="preserve"> years ago (Collins</w:t>
      </w:r>
      <w:r w:rsidR="00ED4932">
        <w:t>,</w:t>
      </w:r>
      <w:r w:rsidRPr="00D82F96">
        <w:t xml:space="preserve"> 1979)</w:t>
      </w:r>
      <w:r w:rsidR="003523FD" w:rsidRPr="00D82F96">
        <w:t>,</w:t>
      </w:r>
      <w:r w:rsidRPr="00D82F96">
        <w:t xml:space="preserve"> and more </w:t>
      </w:r>
      <w:r w:rsidR="00B9160A" w:rsidRPr="00D82F96">
        <w:t>latterly</w:t>
      </w:r>
      <w:r w:rsidRPr="00D82F96">
        <w:t xml:space="preserve"> applied to the fie</w:t>
      </w:r>
      <w:r w:rsidR="009B0426" w:rsidRPr="00D82F96">
        <w:t xml:space="preserve">ld of </w:t>
      </w:r>
      <w:r w:rsidR="00AB64DB" w:rsidRPr="00D82F96">
        <w:t>HE</w:t>
      </w:r>
      <w:r w:rsidR="009B0426" w:rsidRPr="00D82F96">
        <w:t xml:space="preserve"> (Collins</w:t>
      </w:r>
      <w:r w:rsidR="00ED4932">
        <w:t>,</w:t>
      </w:r>
      <w:r w:rsidRPr="00D82F96">
        <w:t xml:space="preserve"> 2002)</w:t>
      </w:r>
      <w:r w:rsidR="005E539E" w:rsidRPr="00D82F96">
        <w:t xml:space="preserve">. It examines </w:t>
      </w:r>
      <w:r w:rsidR="00AE5C82" w:rsidRPr="00D82F96">
        <w:t>the</w:t>
      </w:r>
      <w:r w:rsidR="005E539E" w:rsidRPr="00D82F96">
        <w:t xml:space="preserve"> core proposition </w:t>
      </w:r>
      <w:r w:rsidRPr="00D82F96">
        <w:t xml:space="preserve">that most of the current challenges besetting </w:t>
      </w:r>
      <w:r w:rsidR="00AB64DB" w:rsidRPr="00D82F96">
        <w:t>HE</w:t>
      </w:r>
      <w:r w:rsidRPr="00D82F96">
        <w:t xml:space="preserve"> institutions</w:t>
      </w:r>
      <w:r w:rsidR="00AE5C82" w:rsidRPr="00D82F96">
        <w:t xml:space="preserve"> </w:t>
      </w:r>
      <w:r w:rsidRPr="00D82F96">
        <w:t xml:space="preserve">are a result of the exponential rise in educational credentials. </w:t>
      </w:r>
      <w:r w:rsidR="00B01886" w:rsidRPr="00D82F96">
        <w:t xml:space="preserve"> </w:t>
      </w:r>
      <w:r w:rsidR="000C5729" w:rsidRPr="00D82F96">
        <w:t>E</w:t>
      </w:r>
      <w:r w:rsidRPr="00D82F96">
        <w:t>xplicit connections</w:t>
      </w:r>
      <w:r w:rsidR="000C5729" w:rsidRPr="00D82F96">
        <w:t xml:space="preserve"> are made</w:t>
      </w:r>
      <w:r w:rsidRPr="00D82F96">
        <w:t xml:space="preserve"> between credential growth in mass HE and the political drivers and </w:t>
      </w:r>
      <w:r w:rsidR="004B5847" w:rsidRPr="00D82F96">
        <w:t xml:space="preserve">the </w:t>
      </w:r>
      <w:r w:rsidR="0081241F" w:rsidRPr="00D82F96">
        <w:t>institutional effects</w:t>
      </w:r>
      <w:r w:rsidRPr="00D82F96">
        <w:t xml:space="preserve"> of marketization.</w:t>
      </w:r>
      <w:r w:rsidR="000C5729" w:rsidRPr="00D82F96">
        <w:t xml:space="preserve"> Particular analysis is given to</w:t>
      </w:r>
      <w:r w:rsidR="00325A98" w:rsidRPr="00D82F96">
        <w:t xml:space="preserve"> the effects these developments have had on institutional relations and behaviours, mainly through the commodification of </w:t>
      </w:r>
      <w:r w:rsidR="002D3E69" w:rsidRPr="00D82F96">
        <w:t xml:space="preserve">the </w:t>
      </w:r>
      <w:r w:rsidR="00325A98" w:rsidRPr="00D82F96">
        <w:t>core activities on which the val</w:t>
      </w:r>
      <w:r w:rsidR="004B5847" w:rsidRPr="00D82F96">
        <w:t>u</w:t>
      </w:r>
      <w:r w:rsidR="00325A98" w:rsidRPr="00D82F96">
        <w:t>e of HE is often app</w:t>
      </w:r>
      <w:r w:rsidR="005E539E" w:rsidRPr="00D82F96">
        <w:t>raised: studentship, graduate</w:t>
      </w:r>
      <w:r w:rsidR="00AE5C82" w:rsidRPr="00D82F96">
        <w:t xml:space="preserve"> labour</w:t>
      </w:r>
      <w:r w:rsidR="00ED4932">
        <w:t>,</w:t>
      </w:r>
      <w:r w:rsidR="005E539E" w:rsidRPr="00D82F96">
        <w:t xml:space="preserve"> and academic research outputs</w:t>
      </w:r>
      <w:r w:rsidR="00325A98" w:rsidRPr="00D82F96">
        <w:t>.</w:t>
      </w:r>
    </w:p>
    <w:p w14:paraId="62D0B489" w14:textId="30D6CFF4" w:rsidR="00045EF1" w:rsidRPr="00D82F96" w:rsidRDefault="000A39F9" w:rsidP="00B54292">
      <w:r w:rsidRPr="00D82F96">
        <w:t xml:space="preserve">This article </w:t>
      </w:r>
      <w:r w:rsidR="00D8108D" w:rsidRPr="00D82F96">
        <w:t>develop</w:t>
      </w:r>
      <w:r w:rsidRPr="00D82F96">
        <w:t>s</w:t>
      </w:r>
      <w:r w:rsidR="00D8108D" w:rsidRPr="00D82F96">
        <w:t xml:space="preserve"> a concept</w:t>
      </w:r>
      <w:r w:rsidR="001B3344" w:rsidRPr="00D82F96">
        <w:t>ua</w:t>
      </w:r>
      <w:r w:rsidR="00D952D2" w:rsidRPr="00D82F96">
        <w:t xml:space="preserve">l application of credentialism </w:t>
      </w:r>
      <w:r w:rsidR="001B3344" w:rsidRPr="00D82F96">
        <w:t>to show</w:t>
      </w:r>
      <w:r w:rsidR="00D8108D" w:rsidRPr="00D82F96">
        <w:t xml:space="preserve"> </w:t>
      </w:r>
      <w:r w:rsidR="001B3344" w:rsidRPr="00D82F96">
        <w:t>how the structural dynamics</w:t>
      </w:r>
      <w:r w:rsidR="00D952D2" w:rsidRPr="00D82F96">
        <w:t xml:space="preserve"> of massification</w:t>
      </w:r>
      <w:r w:rsidR="00D8108D" w:rsidRPr="00D82F96">
        <w:t xml:space="preserve"> and marketization have sustained and legitimated new forms of credential commodification </w:t>
      </w:r>
      <w:r w:rsidR="00D952D2" w:rsidRPr="00D82F96">
        <w:t>within the institutional orders of neoliberal H</w:t>
      </w:r>
      <w:r w:rsidR="00AB64DB" w:rsidRPr="00D82F96">
        <w:t>E</w:t>
      </w:r>
      <w:r w:rsidR="001B3344" w:rsidRPr="00D82F96">
        <w:t xml:space="preserve">. </w:t>
      </w:r>
      <w:r w:rsidR="00470C68" w:rsidRPr="00D82F96">
        <w:t>Our core</w:t>
      </w:r>
      <w:r w:rsidR="008B23EB" w:rsidRPr="00D82F96">
        <w:t xml:space="preserve"> </w:t>
      </w:r>
      <w:r w:rsidR="00C26119" w:rsidRPr="00D82F96">
        <w:t xml:space="preserve">proposition </w:t>
      </w:r>
      <w:r w:rsidR="008B23EB" w:rsidRPr="00D82F96">
        <w:t xml:space="preserve">is that </w:t>
      </w:r>
      <w:r w:rsidR="00B6586F" w:rsidRPr="00D82F96">
        <w:t>the intersection of massification and marketization of HE has been augmented by New Public Management</w:t>
      </w:r>
      <w:r w:rsidR="003B6ECE" w:rsidRPr="00D82F96">
        <w:t xml:space="preserve"> (hereafter NPM)</w:t>
      </w:r>
      <w:r w:rsidR="00B6586F" w:rsidRPr="00D82F96">
        <w:t xml:space="preserve"> gove</w:t>
      </w:r>
      <w:r w:rsidR="007D7C42" w:rsidRPr="00D82F96">
        <w:t>rnance tools which have</w:t>
      </w:r>
      <w:r w:rsidR="00B6586F" w:rsidRPr="00D82F96">
        <w:t xml:space="preserve"> </w:t>
      </w:r>
      <w:r w:rsidR="008B23EB" w:rsidRPr="00D82F96">
        <w:t xml:space="preserve">fundamentally retooled institutional dynamics and relations within. </w:t>
      </w:r>
      <w:r w:rsidR="00456B1C" w:rsidRPr="00D82F96">
        <w:t xml:space="preserve"> We argue that</w:t>
      </w:r>
      <w:r w:rsidR="001B3344" w:rsidRPr="00D82F96">
        <w:t xml:space="preserve"> credential production in mass marketised systems</w:t>
      </w:r>
      <w:r w:rsidR="00456B1C" w:rsidRPr="00D82F96">
        <w:t xml:space="preserve"> is inextricably connected</w:t>
      </w:r>
      <w:r w:rsidR="001B3344" w:rsidRPr="00D82F96">
        <w:t xml:space="preserve"> to</w:t>
      </w:r>
      <w:r w:rsidR="00456B1C" w:rsidRPr="00D82F96">
        <w:t xml:space="preserve"> </w:t>
      </w:r>
      <w:r w:rsidR="00D952D2" w:rsidRPr="00D82F96">
        <w:t xml:space="preserve">the reconfiguration of </w:t>
      </w:r>
      <w:r w:rsidR="007D7C42" w:rsidRPr="00D82F96">
        <w:t>thought and action</w:t>
      </w:r>
      <w:r w:rsidR="00456B1C" w:rsidRPr="00D82F96">
        <w:t xml:space="preserve"> </w:t>
      </w:r>
      <w:r w:rsidR="001B3344" w:rsidRPr="00D82F96">
        <w:t>i</w:t>
      </w:r>
      <w:r w:rsidR="00D952D2" w:rsidRPr="00D82F96">
        <w:t>n ways that facilitate</w:t>
      </w:r>
      <w:r w:rsidR="003B6ECE" w:rsidRPr="00D82F96">
        <w:t xml:space="preserve"> state</w:t>
      </w:r>
      <w:r w:rsidR="00045EF1" w:rsidRPr="00D82F96">
        <w:t>-driven</w:t>
      </w:r>
      <w:r w:rsidR="001B3344" w:rsidRPr="00D82F96">
        <w:t xml:space="preserve"> directives intended to</w:t>
      </w:r>
      <w:r w:rsidR="00456B1C" w:rsidRPr="00D82F96">
        <w:t xml:space="preserve"> harness institutions</w:t>
      </w:r>
      <w:r w:rsidR="00D73B4D" w:rsidRPr="00D82F96">
        <w:t xml:space="preserve"> and actors</w:t>
      </w:r>
      <w:r w:rsidR="00456B1C" w:rsidRPr="00D82F96">
        <w:t xml:space="preserve"> towards more explicit market competition</w:t>
      </w:r>
      <w:r w:rsidR="00045EF1" w:rsidRPr="00D82F96">
        <w:t>. Effectively, rather than simply reproducing occupational monopolies</w:t>
      </w:r>
      <w:r w:rsidRPr="00D82F96">
        <w:t xml:space="preserve"> in an older and</w:t>
      </w:r>
      <w:r w:rsidR="00D73B4D" w:rsidRPr="00D82F96">
        <w:t xml:space="preserve"> less marketised system</w:t>
      </w:r>
      <w:r w:rsidRPr="00D82F96">
        <w:t>,</w:t>
      </w:r>
      <w:r w:rsidR="00045EF1" w:rsidRPr="00D82F96">
        <w:t xml:space="preserve"> the new credentialism within </w:t>
      </w:r>
      <w:r w:rsidR="004048A2" w:rsidRPr="00D82F96">
        <w:t xml:space="preserve">contemporary </w:t>
      </w:r>
      <w:r w:rsidR="00045EF1" w:rsidRPr="00D82F96">
        <w:t xml:space="preserve">HE is a driving component in marketization </w:t>
      </w:r>
      <w:r w:rsidR="00D73B4D" w:rsidRPr="00D82F96">
        <w:t>and entails</w:t>
      </w:r>
      <w:r w:rsidR="00045EF1" w:rsidRPr="00D82F96">
        <w:t xml:space="preserve"> heightened state</w:t>
      </w:r>
      <w:r w:rsidR="004048A2" w:rsidRPr="00D82F96">
        <w:t>-level</w:t>
      </w:r>
      <w:r w:rsidR="00B64EB3" w:rsidRPr="00D82F96">
        <w:t xml:space="preserve"> </w:t>
      </w:r>
      <w:r w:rsidR="004048A2" w:rsidRPr="00D82F96">
        <w:t>auditing</w:t>
      </w:r>
      <w:r w:rsidR="00470C68" w:rsidRPr="00D82F96">
        <w:t xml:space="preserve"> in</w:t>
      </w:r>
      <w:r w:rsidR="00045EF1" w:rsidRPr="00D82F96">
        <w:t xml:space="preserve"> response to intensified consumer demand.</w:t>
      </w:r>
    </w:p>
    <w:p w14:paraId="6145E651" w14:textId="46B4DC85" w:rsidR="00276120" w:rsidRPr="00687403" w:rsidRDefault="008B23EB" w:rsidP="00B54292">
      <w:pPr>
        <w:rPr>
          <w:highlight w:val="yellow"/>
        </w:rPr>
      </w:pPr>
      <w:r w:rsidRPr="00D82F96">
        <w:t xml:space="preserve">In reality, these principles are manifest in policy reforms and related practices and their effects can be observed empirically and experientially within HE at a global level. Essentially, once </w:t>
      </w:r>
      <w:r w:rsidR="00AB64DB" w:rsidRPr="00D82F96">
        <w:t>HE</w:t>
      </w:r>
      <w:r w:rsidRPr="00D82F96">
        <w:t xml:space="preserve"> expands and the state reduces its fiscal commitment and applies neoliberal governance principles, a set of pervasive measurement technologies are established to enhance institutions’ market responsiveness and competitive status, nationally and globally. This is strongly entwined with the principle of ‘competitive accountability’, which in this article we conceive as a key governing ethic by which the conditions of mass credential production is controlled </w:t>
      </w:r>
      <w:r w:rsidRPr="00687403">
        <w:rPr>
          <w:highlight w:val="yellow"/>
        </w:rPr>
        <w:t xml:space="preserve">(see also </w:t>
      </w:r>
      <w:r w:rsidR="00687403" w:rsidRPr="00687403">
        <w:rPr>
          <w:highlight w:val="yellow"/>
        </w:rPr>
        <w:t>Watermeyer &amp; Tomlinson</w:t>
      </w:r>
      <w:r w:rsidR="00C26119" w:rsidRPr="00687403">
        <w:rPr>
          <w:highlight w:val="yellow"/>
        </w:rPr>
        <w:t xml:space="preserve"> 2018; </w:t>
      </w:r>
      <w:r w:rsidR="00687403" w:rsidRPr="00687403">
        <w:rPr>
          <w:highlight w:val="yellow"/>
        </w:rPr>
        <w:t>Watermeyer,</w:t>
      </w:r>
      <w:r w:rsidRPr="00687403">
        <w:rPr>
          <w:highlight w:val="yellow"/>
        </w:rPr>
        <w:t xml:space="preserve"> 2019).</w:t>
      </w:r>
      <w:r w:rsidR="000D3F5B" w:rsidRPr="00687403">
        <w:rPr>
          <w:highlight w:val="yellow"/>
        </w:rPr>
        <w:t xml:space="preserve"> </w:t>
      </w:r>
    </w:p>
    <w:p w14:paraId="3CE58C3D" w14:textId="70CEC05C" w:rsidR="008B23EB" w:rsidRPr="00D82F96" w:rsidRDefault="008B23EB" w:rsidP="00ED4932">
      <w:r w:rsidRPr="00D82F96">
        <w:t xml:space="preserve">This article outlines a range of areas where the market for mass credentials has most affected institutional relations and dynamics. </w:t>
      </w:r>
      <w:r w:rsidR="00B74A0C" w:rsidRPr="00D82F96">
        <w:t>First, the recurrence of structural inequalities in accessing favourable labour market outcomes, and most specifically access to elite occupational areas. Second</w:t>
      </w:r>
      <w:r w:rsidRPr="00D82F96">
        <w:t>, the way in which institutions have become reconfigured as producers of economic value and human capital leading to a global commodification of credentials in an increasingly globally c</w:t>
      </w:r>
      <w:r w:rsidR="00B74A0C" w:rsidRPr="00D82F96">
        <w:t>ompetitive marketplace. Third</w:t>
      </w:r>
      <w:r w:rsidRPr="00D82F96">
        <w:t>, and related, a pervasive performative strain underlying institutional behaviours and relations manifest in the instrumentalization of research impac</w:t>
      </w:r>
      <w:r w:rsidR="00B6586F" w:rsidRPr="00D82F96">
        <w:t>ting on academic freedom and also manifest in the growing</w:t>
      </w:r>
      <w:r w:rsidRPr="00D82F96">
        <w:t xml:space="preserve"> student-consumer movement</w:t>
      </w:r>
      <w:r w:rsidR="00E00194" w:rsidRPr="00D82F96">
        <w:t xml:space="preserve"> </w:t>
      </w:r>
      <w:r w:rsidR="00D8108D" w:rsidRPr="00D82F96">
        <w:t>(</w:t>
      </w:r>
      <w:r w:rsidR="00275BF7" w:rsidRPr="00D82F96">
        <w:t xml:space="preserve">Naidoo </w:t>
      </w:r>
      <w:r w:rsidR="00655789">
        <w:t xml:space="preserve">&amp; </w:t>
      </w:r>
      <w:r w:rsidR="00275BF7" w:rsidRPr="00D82F96">
        <w:t>Williams, 2015</w:t>
      </w:r>
      <w:r w:rsidR="00D952D2" w:rsidRPr="00D82F96">
        <w:t xml:space="preserve">; </w:t>
      </w:r>
      <w:r w:rsidR="00687403">
        <w:rPr>
          <w:highlight w:val="yellow"/>
        </w:rPr>
        <w:t>Tomlinson, Enders and Naidoo</w:t>
      </w:r>
      <w:r w:rsidR="00D952D2" w:rsidRPr="00655789">
        <w:rPr>
          <w:highlight w:val="yellow"/>
        </w:rPr>
        <w:t>,</w:t>
      </w:r>
      <w:r w:rsidR="00D952D2" w:rsidRPr="00D82F96">
        <w:t xml:space="preserve"> </w:t>
      </w:r>
      <w:r w:rsidR="00D952D2" w:rsidRPr="00EF361D">
        <w:rPr>
          <w:highlight w:val="yellow"/>
        </w:rPr>
        <w:t>2</w:t>
      </w:r>
      <w:r w:rsidR="00EF361D" w:rsidRPr="00EF361D">
        <w:rPr>
          <w:highlight w:val="yellow"/>
        </w:rPr>
        <w:t>020</w:t>
      </w:r>
      <w:r w:rsidR="00E00194" w:rsidRPr="00D82F96">
        <w:t>)</w:t>
      </w:r>
      <w:r w:rsidRPr="00D82F96">
        <w:t xml:space="preserve">. </w:t>
      </w:r>
      <w:r w:rsidR="00B74A0C" w:rsidRPr="00D82F96">
        <w:t xml:space="preserve"> Fourth, the related pressure towards competitive logics and imperatives based on the principles of competitive accountability. </w:t>
      </w:r>
      <w:r w:rsidRPr="00D82F96">
        <w:t xml:space="preserve">We argue that, often in unintentional ways, the growth in mass credentials has exacerbated rather than alleviated these issues. This has taken on a new dimension with the rise of marketization and related forms of market competition </w:t>
      </w:r>
      <w:r w:rsidRPr="00D82F96">
        <w:lastRenderedPageBreak/>
        <w:t>and status leveraging within the new institutional climate that these structural forces have facilitated.</w:t>
      </w:r>
    </w:p>
    <w:p w14:paraId="77F64FDF" w14:textId="77777777" w:rsidR="00B54292" w:rsidRDefault="00B54292" w:rsidP="00ED4932">
      <w:pPr>
        <w:ind w:firstLine="0"/>
        <w:jc w:val="both"/>
        <w:rPr>
          <w:rFonts w:cs="Times New Roman"/>
          <w:b/>
          <w:szCs w:val="24"/>
        </w:rPr>
      </w:pPr>
    </w:p>
    <w:p w14:paraId="094FD997" w14:textId="77777777" w:rsidR="00ED4932" w:rsidRDefault="00ED4932" w:rsidP="00ED4932">
      <w:pPr>
        <w:ind w:firstLine="0"/>
        <w:jc w:val="both"/>
        <w:rPr>
          <w:rFonts w:cs="Times New Roman"/>
          <w:b/>
          <w:szCs w:val="24"/>
        </w:rPr>
      </w:pPr>
    </w:p>
    <w:p w14:paraId="359F5851" w14:textId="430BF5E8" w:rsidR="00F11ECD" w:rsidRPr="00D82F96" w:rsidRDefault="00F45064" w:rsidP="00ED4932">
      <w:pPr>
        <w:ind w:firstLine="0"/>
        <w:jc w:val="both"/>
        <w:rPr>
          <w:rFonts w:cs="Times New Roman"/>
          <w:b/>
          <w:szCs w:val="24"/>
        </w:rPr>
      </w:pPr>
      <w:r w:rsidRPr="00D82F96">
        <w:rPr>
          <w:rFonts w:cs="Times New Roman"/>
          <w:b/>
          <w:szCs w:val="24"/>
        </w:rPr>
        <w:t>T</w:t>
      </w:r>
      <w:r w:rsidR="00F11ECD" w:rsidRPr="00D82F96">
        <w:rPr>
          <w:rFonts w:cs="Times New Roman"/>
          <w:b/>
          <w:szCs w:val="24"/>
        </w:rPr>
        <w:t>he credential inflation thesis</w:t>
      </w:r>
    </w:p>
    <w:p w14:paraId="3F6317EC" w14:textId="77777777" w:rsidR="00B54292" w:rsidRDefault="00B54292" w:rsidP="00ED4932">
      <w:pPr>
        <w:ind w:firstLine="0"/>
      </w:pPr>
    </w:p>
    <w:p w14:paraId="07D0F178" w14:textId="5D38032D" w:rsidR="009033BA" w:rsidRPr="00D82F96" w:rsidRDefault="00F45064" w:rsidP="00ED4932">
      <w:pPr>
        <w:ind w:firstLine="0"/>
      </w:pPr>
      <w:r w:rsidRPr="00D82F96">
        <w:t>The credential inflation</w:t>
      </w:r>
      <w:r w:rsidR="000C5729" w:rsidRPr="00D82F96">
        <w:t xml:space="preserve"> </w:t>
      </w:r>
      <w:r w:rsidR="00811A81" w:rsidRPr="00D82F96">
        <w:t>thesis</w:t>
      </w:r>
      <w:r w:rsidR="000C5729" w:rsidRPr="00D82F96">
        <w:t xml:space="preserve"> presents a </w:t>
      </w:r>
      <w:r w:rsidRPr="00D82F96">
        <w:t xml:space="preserve">rebuttal to the notion </w:t>
      </w:r>
      <w:r w:rsidR="000C5729" w:rsidRPr="00D82F96">
        <w:t>that educational credentials constitute absolute goods that</w:t>
      </w:r>
      <w:r w:rsidR="003C6876" w:rsidRPr="00D82F96">
        <w:t xml:space="preserve"> have direct productivity-enhancing value in the labour market. </w:t>
      </w:r>
      <w:r w:rsidR="00DA55BF" w:rsidRPr="00D82F96">
        <w:t xml:space="preserve">This perspective is most commonly </w:t>
      </w:r>
      <w:r w:rsidR="009033BA" w:rsidRPr="00D82F96">
        <w:t>associated with</w:t>
      </w:r>
      <w:r w:rsidR="00DA55BF" w:rsidRPr="00D82F96">
        <w:t xml:space="preserve"> the social theorists, Randall Collins (1979)</w:t>
      </w:r>
      <w:r w:rsidR="009033BA" w:rsidRPr="00D82F96">
        <w:t>,</w:t>
      </w:r>
      <w:r w:rsidR="00DA55BF" w:rsidRPr="00D82F96">
        <w:t xml:space="preserve"> </w:t>
      </w:r>
      <w:r w:rsidR="000C5729" w:rsidRPr="00D82F96">
        <w:t>along with other</w:t>
      </w:r>
      <w:r w:rsidR="001630C1" w:rsidRPr="00D82F96">
        <w:t xml:space="preserve"> prominent theorists writing during this period</w:t>
      </w:r>
      <w:r w:rsidR="00DA55BF" w:rsidRPr="00D82F96">
        <w:t xml:space="preserve"> </w:t>
      </w:r>
      <w:r w:rsidR="001630C1" w:rsidRPr="00D82F96">
        <w:t>(</w:t>
      </w:r>
      <w:r w:rsidR="00655789" w:rsidRPr="00D82F96">
        <w:t>Dore 1976</w:t>
      </w:r>
      <w:r w:rsidR="00655789">
        <w:t xml:space="preserve">; </w:t>
      </w:r>
      <w:r w:rsidR="00DA55BF" w:rsidRPr="00D82F96">
        <w:t>Hirsch</w:t>
      </w:r>
      <w:r w:rsidR="000C5729" w:rsidRPr="00D82F96">
        <w:t xml:space="preserve"> </w:t>
      </w:r>
      <w:r w:rsidR="00D17F82">
        <w:rPr>
          <w:highlight w:val="yellow"/>
        </w:rPr>
        <w:t>197</w:t>
      </w:r>
      <w:r w:rsidR="00D17F82" w:rsidRPr="00D17F82">
        <w:rPr>
          <w:highlight w:val="yellow"/>
        </w:rPr>
        <w:t>7</w:t>
      </w:r>
      <w:r w:rsidR="00DA55BF" w:rsidRPr="00D82F96">
        <w:t xml:space="preserve">). </w:t>
      </w:r>
      <w:r w:rsidR="00020F03" w:rsidRPr="00D82F96">
        <w:t>We focus</w:t>
      </w:r>
      <w:r w:rsidR="00DA55BF" w:rsidRPr="00D82F96">
        <w:t xml:space="preserve"> primarily on Collins’ writings on this area because his work is most applicable to </w:t>
      </w:r>
      <w:r w:rsidR="00AB64DB" w:rsidRPr="00D82F96">
        <w:t>HE</w:t>
      </w:r>
      <w:r w:rsidR="001630C1" w:rsidRPr="00D82F96">
        <w:t>. H</w:t>
      </w:r>
      <w:r w:rsidR="00AB64DB" w:rsidRPr="00D82F96">
        <w:t>E</w:t>
      </w:r>
      <w:r w:rsidR="00DA55BF" w:rsidRPr="00D82F96">
        <w:t xml:space="preserve"> institution</w:t>
      </w:r>
      <w:r w:rsidR="001630C1" w:rsidRPr="00D82F96">
        <w:t>s have</w:t>
      </w:r>
      <w:r w:rsidR="00DA55BF" w:rsidRPr="00D82F96">
        <w:t xml:space="preserve"> expanded globally more than most other educational </w:t>
      </w:r>
      <w:r w:rsidR="00F73B3A" w:rsidRPr="00D82F96">
        <w:t>providers</w:t>
      </w:r>
      <w:r w:rsidR="00DA55BF" w:rsidRPr="00D82F96">
        <w:t xml:space="preserve"> and the qualification</w:t>
      </w:r>
      <w:r w:rsidR="00EA3845" w:rsidRPr="00D82F96">
        <w:t>s</w:t>
      </w:r>
      <w:r w:rsidR="000C5729" w:rsidRPr="00D82F96">
        <w:t xml:space="preserve"> they generate</w:t>
      </w:r>
      <w:r w:rsidR="00B01886" w:rsidRPr="00D82F96">
        <w:t xml:space="preserve"> </w:t>
      </w:r>
      <w:r w:rsidR="002D3E69" w:rsidRPr="00D82F96">
        <w:t xml:space="preserve">are seen to </w:t>
      </w:r>
      <w:r w:rsidR="000C5729" w:rsidRPr="00D82F96">
        <w:t>offer a gateway to</w:t>
      </w:r>
      <w:r w:rsidR="00EA3845" w:rsidRPr="00D82F96">
        <w:t xml:space="preserve"> the most </w:t>
      </w:r>
      <w:r w:rsidR="00677B69" w:rsidRPr="00D82F96">
        <w:t xml:space="preserve">advantageous economic </w:t>
      </w:r>
      <w:r w:rsidR="00957708" w:rsidRPr="00D82F96">
        <w:t>opportunities and outcomes</w:t>
      </w:r>
      <w:r w:rsidR="000C5729" w:rsidRPr="00D82F96">
        <w:t xml:space="preserve"> (Mok</w:t>
      </w:r>
      <w:r w:rsidR="00655789">
        <w:t>,</w:t>
      </w:r>
      <w:r w:rsidR="000C5729" w:rsidRPr="00D82F96">
        <w:t xml:space="preserve"> 2016).</w:t>
      </w:r>
    </w:p>
    <w:p w14:paraId="02293400" w14:textId="674E8D34" w:rsidR="00CD30AD" w:rsidRPr="00D82F96" w:rsidRDefault="00DA55BF" w:rsidP="00B54292">
      <w:r w:rsidRPr="00D82F96">
        <w:t>Th</w:t>
      </w:r>
      <w:r w:rsidR="00677B69" w:rsidRPr="00D82F96">
        <w:t xml:space="preserve">e credentialist </w:t>
      </w:r>
      <w:r w:rsidR="006047D1" w:rsidRPr="00D82F96">
        <w:t>position</w:t>
      </w:r>
      <w:r w:rsidR="00677B69" w:rsidRPr="00D82F96">
        <w:t xml:space="preserve"> </w:t>
      </w:r>
      <w:r w:rsidR="00957708" w:rsidRPr="00D82F96">
        <w:t>challenges</w:t>
      </w:r>
      <w:r w:rsidR="000A4FCE" w:rsidRPr="00D82F96">
        <w:t xml:space="preserve"> many of the core ideas of</w:t>
      </w:r>
      <w:r w:rsidR="00957708" w:rsidRPr="00D82F96">
        <w:t xml:space="preserve"> </w:t>
      </w:r>
      <w:r w:rsidRPr="00D82F96">
        <w:t>human capital theory</w:t>
      </w:r>
      <w:r w:rsidR="0038377B" w:rsidRPr="00D82F96">
        <w:t xml:space="preserve"> which has been influential</w:t>
      </w:r>
      <w:r w:rsidR="000A4FCE" w:rsidRPr="00D82F96">
        <w:t xml:space="preserve"> in framing the expansion of post-compulsory education (B</w:t>
      </w:r>
      <w:r w:rsidR="009B0426" w:rsidRPr="00D82F96">
        <w:t>ecker</w:t>
      </w:r>
      <w:r w:rsidR="00655789">
        <w:t>,</w:t>
      </w:r>
      <w:r w:rsidR="000A4FCE" w:rsidRPr="00D82F96">
        <w:t xml:space="preserve"> </w:t>
      </w:r>
      <w:r w:rsidRPr="00D82F96">
        <w:t>1964)</w:t>
      </w:r>
      <w:r w:rsidR="000A4FCE" w:rsidRPr="00D82F96">
        <w:t xml:space="preserve">. This is </w:t>
      </w:r>
      <w:r w:rsidR="00F34346" w:rsidRPr="00D82F96">
        <w:t xml:space="preserve">the idea </w:t>
      </w:r>
      <w:r w:rsidR="000A4FCE" w:rsidRPr="00D82F96">
        <w:t>that</w:t>
      </w:r>
      <w:r w:rsidRPr="00D82F96">
        <w:t xml:space="preserve"> educational qualifications such as university degrees are a clear utility value based on a number of rational and technically-orientated market principles that advantages their holders favourably in the contest for jobs. The credentialist thesis instead calls into question the notion </w:t>
      </w:r>
      <w:r w:rsidR="00EA3845" w:rsidRPr="00D82F96">
        <w:t xml:space="preserve">that </w:t>
      </w:r>
      <w:r w:rsidRPr="00D82F96">
        <w:t xml:space="preserve">credentials </w:t>
      </w:r>
      <w:r w:rsidR="00EA3845" w:rsidRPr="00D82F96">
        <w:t>princip</w:t>
      </w:r>
      <w:r w:rsidR="001630C1" w:rsidRPr="00D82F96">
        <w:t>ally regulate</w:t>
      </w:r>
      <w:r w:rsidR="00EA3845" w:rsidRPr="00D82F96">
        <w:t xml:space="preserve"> </w:t>
      </w:r>
      <w:r w:rsidR="001630C1" w:rsidRPr="00D82F96">
        <w:t>the</w:t>
      </w:r>
      <w:r w:rsidRPr="00D82F96">
        <w:t xml:space="preserve"> fair and meritocratic allocation of individuals to specific occupations within a clearly demarcated division of labour. The central legitimising principle of credentials, </w:t>
      </w:r>
      <w:r w:rsidR="00CE2D92" w:rsidRPr="00D82F96">
        <w:t>t</w:t>
      </w:r>
      <w:r w:rsidRPr="00D82F96">
        <w:t>hat their value is constituted by their functional utility in the labour process, is discrepant with how credentials acquire value and are used to leverage socio-economic advantage. Credentials are instead positional goods</w:t>
      </w:r>
      <w:r w:rsidR="00677B69" w:rsidRPr="00D82F96">
        <w:t>:</w:t>
      </w:r>
      <w:r w:rsidR="00A45E63" w:rsidRPr="00D82F96">
        <w:t xml:space="preserve"> whilst they</w:t>
      </w:r>
      <w:r w:rsidRPr="00D82F96">
        <w:t xml:space="preserve"> </w:t>
      </w:r>
      <w:r w:rsidR="00A45E63" w:rsidRPr="00D82F96">
        <w:t>may facilitate</w:t>
      </w:r>
      <w:r w:rsidRPr="00D82F96">
        <w:t xml:space="preserve"> </w:t>
      </w:r>
      <w:r w:rsidR="00A45E63" w:rsidRPr="00D82F96">
        <w:t xml:space="preserve">better </w:t>
      </w:r>
      <w:r w:rsidRPr="00D82F96">
        <w:t xml:space="preserve">access </w:t>
      </w:r>
      <w:r w:rsidR="00811A81" w:rsidRPr="00D82F96">
        <w:t xml:space="preserve">to </w:t>
      </w:r>
      <w:r w:rsidRPr="00D82F96">
        <w:t>future jobs</w:t>
      </w:r>
      <w:r w:rsidR="002D3E69" w:rsidRPr="00D82F96">
        <w:t>,</w:t>
      </w:r>
      <w:r w:rsidR="00A45E63" w:rsidRPr="00D82F96">
        <w:t xml:space="preserve"> they</w:t>
      </w:r>
      <w:r w:rsidRPr="00D82F96">
        <w:t xml:space="preserve"> contain little significant intrinsic</w:t>
      </w:r>
      <w:r w:rsidR="006379B2" w:rsidRPr="00D82F96">
        <w:t xml:space="preserve"> economic</w:t>
      </w:r>
      <w:r w:rsidRPr="00D82F96">
        <w:t xml:space="preserve"> value</w:t>
      </w:r>
      <w:r w:rsidR="001630C1" w:rsidRPr="00D82F96">
        <w:t xml:space="preserve"> on their own terms</w:t>
      </w:r>
      <w:r w:rsidRPr="00D82F96">
        <w:t xml:space="preserve">. </w:t>
      </w:r>
    </w:p>
    <w:p w14:paraId="443A0FF9" w14:textId="2C8703CF" w:rsidR="00F45064" w:rsidRPr="00D82F96" w:rsidRDefault="00DA55BF" w:rsidP="00B54292">
      <w:r w:rsidRPr="00D82F96">
        <w:t xml:space="preserve">Credentials like university degrees </w:t>
      </w:r>
      <w:r w:rsidR="001630C1" w:rsidRPr="00D82F96">
        <w:t xml:space="preserve">instead </w:t>
      </w:r>
      <w:r w:rsidRPr="00D82F96">
        <w:t>h</w:t>
      </w:r>
      <w:r w:rsidR="001630C1" w:rsidRPr="00D82F96">
        <w:t>ave a status-affirming function that gives their holders</w:t>
      </w:r>
      <w:r w:rsidRPr="00D82F96">
        <w:t xml:space="preserve"> a competitive advantage in the labour market whilst also generating positional competition within. They effectively help regulate access to forms of labour which, since the advancement of industrial economies, began to require professional licence through certific</w:t>
      </w:r>
      <w:r w:rsidR="00C5285E" w:rsidRPr="00D82F96">
        <w:t xml:space="preserve">ation. These certifications </w:t>
      </w:r>
      <w:r w:rsidRPr="00D82F96">
        <w:t>convey exclusive sets of kno</w:t>
      </w:r>
      <w:r w:rsidR="002D3E69" w:rsidRPr="00D82F96">
        <w:t xml:space="preserve">wledge and expertise </w:t>
      </w:r>
      <w:r w:rsidRPr="00D82F96">
        <w:t xml:space="preserve">possessed </w:t>
      </w:r>
      <w:r w:rsidR="00655789">
        <w:t xml:space="preserve">only </w:t>
      </w:r>
      <w:r w:rsidR="00020F03" w:rsidRPr="00D82F96">
        <w:t>by those who had acquired them. At the same time,</w:t>
      </w:r>
      <w:r w:rsidRPr="00D82F96">
        <w:t xml:space="preserve"> </w:t>
      </w:r>
      <w:r w:rsidR="00C14D50" w:rsidRPr="00D82F96">
        <w:t xml:space="preserve">they </w:t>
      </w:r>
      <w:r w:rsidRPr="00D82F96">
        <w:t>exclude those who do not possess them who are at a marked positional disadvantage in the quest for status-based rewards.</w:t>
      </w:r>
      <w:r w:rsidR="00F45064" w:rsidRPr="00D82F96">
        <w:t xml:space="preserve"> </w:t>
      </w:r>
      <w:r w:rsidR="00A45E63" w:rsidRPr="00D82F96">
        <w:t>Correspondingly,</w:t>
      </w:r>
      <w:r w:rsidR="00EC3135" w:rsidRPr="00D82F96">
        <w:t xml:space="preserve"> dominant social group</w:t>
      </w:r>
      <w:r w:rsidR="00677B69" w:rsidRPr="00D82F96">
        <w:t>s</w:t>
      </w:r>
      <w:r w:rsidR="00A45E63" w:rsidRPr="00D82F96">
        <w:t xml:space="preserve"> use credentials as exclusionary strategies to reinforce their</w:t>
      </w:r>
      <w:r w:rsidR="00EC3135" w:rsidRPr="00D82F96">
        <w:t xml:space="preserve"> monopoly over status good</w:t>
      </w:r>
      <w:r w:rsidR="00282A2F" w:rsidRPr="00D82F96">
        <w:t>s</w:t>
      </w:r>
      <w:r w:rsidR="00EC3135" w:rsidRPr="00D82F96">
        <w:t xml:space="preserve"> such a</w:t>
      </w:r>
      <w:r w:rsidR="00282A2F" w:rsidRPr="00D82F96">
        <w:t>s</w:t>
      </w:r>
      <w:r w:rsidR="000A4FCE" w:rsidRPr="00D82F96">
        <w:t xml:space="preserve"> h</w:t>
      </w:r>
      <w:r w:rsidR="00A45E63" w:rsidRPr="00D82F96">
        <w:t xml:space="preserve">ighly valued </w:t>
      </w:r>
      <w:r w:rsidR="00B6586F" w:rsidRPr="00D82F96">
        <w:t>qualifications</w:t>
      </w:r>
      <w:r w:rsidR="00EC3135" w:rsidRPr="00D82F96">
        <w:t xml:space="preserve">. </w:t>
      </w:r>
    </w:p>
    <w:p w14:paraId="16A2469B" w14:textId="3D9B7452" w:rsidR="00F45064" w:rsidRDefault="00F45064" w:rsidP="00B54292">
      <w:r w:rsidRPr="00470984">
        <w:t>One of Collins’ main arguments is that much of the political rhetoric of the changing technocratic demands of</w:t>
      </w:r>
      <w:r w:rsidR="00D05EF7" w:rsidRPr="00470984">
        <w:t xml:space="preserve"> the labour force is fallacious. Specifically,</w:t>
      </w:r>
      <w:r w:rsidRPr="00470984">
        <w:t xml:space="preserve"> that economic growth is dependent on a highly educated workforce and that there is a direct and tangible exchange of educational certificates for labour market returns. Instead, he and other scholars argued that the massive expansion of education </w:t>
      </w:r>
      <w:r w:rsidR="00CD30AD" w:rsidRPr="00470984">
        <w:t xml:space="preserve">and credentials is not matched </w:t>
      </w:r>
      <w:r w:rsidRPr="00470984">
        <w:t xml:space="preserve">by </w:t>
      </w:r>
      <w:r w:rsidR="0009144E" w:rsidRPr="00470984">
        <w:t>corresponding</w:t>
      </w:r>
      <w:r w:rsidRPr="00470984">
        <w:t xml:space="preserve"> demand in the labour process – that in essence there are too many qualified people for the </w:t>
      </w:r>
      <w:r w:rsidR="00470984">
        <w:t>number</w:t>
      </w:r>
      <w:r w:rsidRPr="00470984">
        <w:t xml:space="preserve"> of available jobs and that not everyone will r</w:t>
      </w:r>
      <w:r w:rsidR="002D3E69" w:rsidRPr="00470984">
        <w:t>eceive the benefits of mass credentialism</w:t>
      </w:r>
      <w:r w:rsidRPr="00470984">
        <w:t>.</w:t>
      </w:r>
      <w:r w:rsidR="00DA55BF" w:rsidRPr="00470984">
        <w:t xml:space="preserve"> </w:t>
      </w:r>
      <w:r w:rsidRPr="00470984">
        <w:t>There are a fairly simple set of self-rei</w:t>
      </w:r>
      <w:r w:rsidR="00D05EF7" w:rsidRPr="00470984">
        <w:t>nforcing effects to the social</w:t>
      </w:r>
      <w:r w:rsidRPr="00470984">
        <w:t xml:space="preserve"> inflation</w:t>
      </w:r>
      <w:r w:rsidR="00D05EF7" w:rsidRPr="00470984">
        <w:t xml:space="preserve"> of credentials</w:t>
      </w:r>
      <w:r w:rsidRPr="00470984">
        <w:t xml:space="preserve"> </w:t>
      </w:r>
      <w:r w:rsidR="00D05EF7" w:rsidRPr="00470984">
        <w:t>and this</w:t>
      </w:r>
      <w:r w:rsidRPr="00470984">
        <w:t xml:space="preserve"> </w:t>
      </w:r>
      <w:r w:rsidR="00D05EF7" w:rsidRPr="00470984">
        <w:t>generates</w:t>
      </w:r>
      <w:r w:rsidR="00A45E63" w:rsidRPr="00470984">
        <w:t xml:space="preserve"> continued pressures for</w:t>
      </w:r>
      <w:r w:rsidRPr="00470984">
        <w:t xml:space="preserve"> credential holders. Thus, as the credentials inflate within society their original value, and exclusionary effect, consequently declines. Once this decline sets in, the pressure to attain credentials in the first instance, and then enhance </w:t>
      </w:r>
      <w:r w:rsidRPr="00470984">
        <w:lastRenderedPageBreak/>
        <w:t>their value, increases. At the same time, credential inflation means that the markers used by key gatekeepers to economic goods, mainly employers and other elite stakeholders, to enable access to these good</w:t>
      </w:r>
      <w:r w:rsidR="0009144E" w:rsidRPr="00470984">
        <w:t>s</w:t>
      </w:r>
      <w:r w:rsidRPr="00470984">
        <w:t xml:space="preserve"> goes up. Consequently, the pressure escalates to achieve more a</w:t>
      </w:r>
      <w:r w:rsidR="004234EB" w:rsidRPr="00470984">
        <w:t>nd better credentials to signal</w:t>
      </w:r>
      <w:r w:rsidRPr="00470984">
        <w:t xml:space="preserve"> the demands of increasingly discri</w:t>
      </w:r>
      <w:r w:rsidR="004B5847" w:rsidRPr="00470984">
        <w:t>minate</w:t>
      </w:r>
      <w:r w:rsidRPr="00470984">
        <w:t xml:space="preserve"> labour market gate-keepers. As Collins </w:t>
      </w:r>
      <w:r w:rsidR="00470984">
        <w:t xml:space="preserve">(2002) </w:t>
      </w:r>
      <w:r w:rsidRPr="00470984">
        <w:t>argues:</w:t>
      </w:r>
      <w:r w:rsidRPr="00D82F96">
        <w:t xml:space="preserve"> </w:t>
      </w:r>
    </w:p>
    <w:p w14:paraId="57998097" w14:textId="77777777" w:rsidR="00B54292" w:rsidRPr="00D82F96" w:rsidRDefault="00B54292" w:rsidP="00B54292"/>
    <w:p w14:paraId="1D0BAADC" w14:textId="5A66F7CC" w:rsidR="00F45064" w:rsidRDefault="00F45064" w:rsidP="00B54292">
      <w:pPr>
        <w:pStyle w:val="Quote"/>
      </w:pPr>
      <w:r w:rsidRPr="00D82F96">
        <w:t>The process of credential inflation is largely self-driven; it feeds on itself. A given credential at one time gave access to elite jobs. As educational attainment has expanded, the social distinctiveness of that degree and its value on the occupational marketplace has declined; this in turn has expanded demand for still</w:t>
      </w:r>
      <w:r w:rsidR="00276120" w:rsidRPr="00D82F96">
        <w:t xml:space="preserve"> higher levels of education. Thi</w:t>
      </w:r>
      <w:r w:rsidRPr="00D82F96">
        <w:t>s is the main dynamic, although ot</w:t>
      </w:r>
      <w:r w:rsidR="00470984">
        <w:t>her factors have played into it.</w:t>
      </w:r>
      <w:r w:rsidR="009B0426" w:rsidRPr="00D82F96">
        <w:t xml:space="preserve"> (</w:t>
      </w:r>
      <w:r w:rsidR="00470984">
        <w:t>p.</w:t>
      </w:r>
      <w:r w:rsidR="009B0426" w:rsidRPr="00D82F96">
        <w:t xml:space="preserve"> </w:t>
      </w:r>
      <w:r w:rsidRPr="00D82F96">
        <w:t>229)</w:t>
      </w:r>
    </w:p>
    <w:p w14:paraId="639272EB" w14:textId="77777777" w:rsidR="00B54292" w:rsidRPr="00B54292" w:rsidRDefault="00B54292" w:rsidP="00B54292"/>
    <w:p w14:paraId="629FB530" w14:textId="04E14C28" w:rsidR="0009144E" w:rsidRPr="00D82F96" w:rsidRDefault="00F45064" w:rsidP="00B54292">
      <w:r w:rsidRPr="00D82F96">
        <w:t>In Collins’ account, credentials are driven by supply rather</w:t>
      </w:r>
      <w:r w:rsidR="0009144E" w:rsidRPr="00D82F96">
        <w:t xml:space="preserve"> than</w:t>
      </w:r>
      <w:r w:rsidRPr="00D82F96">
        <w:t xml:space="preserve"> economic demand, although the specific relationship between the supply of, and demand for, credentials </w:t>
      </w:r>
      <w:r w:rsidR="002E640D" w:rsidRPr="00D82F96">
        <w:t>is not straight-forward</w:t>
      </w:r>
      <w:r w:rsidRPr="00D82F96">
        <w:t>. In crude terms, a genuine demand model of qualifications takes credentials to be technically</w:t>
      </w:r>
      <w:r w:rsidR="002D3E69" w:rsidRPr="00D82F96">
        <w:t>-</w:t>
      </w:r>
      <w:r w:rsidRPr="00D82F96">
        <w:t xml:space="preserve">aligned to the specification of a given occupational role. </w:t>
      </w:r>
      <w:r w:rsidR="00282A2F" w:rsidRPr="00D82F96">
        <w:t>Such</w:t>
      </w:r>
      <w:r w:rsidRPr="00D82F96">
        <w:t xml:space="preserve"> demand</w:t>
      </w:r>
      <w:r w:rsidR="002D3E69" w:rsidRPr="00D82F96">
        <w:t xml:space="preserve"> </w:t>
      </w:r>
      <w:r w:rsidRPr="00D82F96">
        <w:t xml:space="preserve">entails institutions supplying the labour market with appropriate qualifications so that holders of credentials, graduates, are able to trade these in to the main consumers of credentials, employers, in the return for successful labour market returns. Employers effectively validate their use-value by using them as screening mechanisms for recruiting job candidates. However, demand can operate beyond the economic and </w:t>
      </w:r>
      <w:r w:rsidR="00772DF0" w:rsidRPr="00D82F96">
        <w:t xml:space="preserve">so </w:t>
      </w:r>
      <w:r w:rsidRPr="00D82F96">
        <w:t>a distinction</w:t>
      </w:r>
      <w:r w:rsidR="00B64E74" w:rsidRPr="00D82F96">
        <w:t xml:space="preserve"> therefore</w:t>
      </w:r>
      <w:r w:rsidRPr="00D82F96">
        <w:t xml:space="preserve"> </w:t>
      </w:r>
      <w:r w:rsidR="00772DF0" w:rsidRPr="00D82F96">
        <w:t>need</w:t>
      </w:r>
      <w:r w:rsidR="006379B2" w:rsidRPr="00D82F96">
        <w:t>s</w:t>
      </w:r>
      <w:r w:rsidR="00772DF0" w:rsidRPr="00D82F96">
        <w:t xml:space="preserve"> to be</w:t>
      </w:r>
      <w:r w:rsidR="003474DC" w:rsidRPr="00D82F96">
        <w:t xml:space="preserve"> drawn</w:t>
      </w:r>
      <w:r w:rsidRPr="00D82F96">
        <w:t xml:space="preserve"> between economic and social demand. </w:t>
      </w:r>
    </w:p>
    <w:p w14:paraId="55B136A9" w14:textId="361D76F5" w:rsidR="00FE4CC3" w:rsidRPr="00D82F96" w:rsidRDefault="00F45064" w:rsidP="00470984">
      <w:r w:rsidRPr="00D82F96">
        <w:t>Social</w:t>
      </w:r>
      <w:r w:rsidR="00772DF0" w:rsidRPr="00D82F96">
        <w:t xml:space="preserve"> demand indicates demand beyond</w:t>
      </w:r>
      <w:r w:rsidRPr="00D82F96">
        <w:t xml:space="preserve"> occupational skills specifications; it instead represents a societal response to the competitive strain caused by the expansion</w:t>
      </w:r>
      <w:r w:rsidR="0009144E" w:rsidRPr="00D82F96">
        <w:t xml:space="preserve"> of</w:t>
      </w:r>
      <w:r w:rsidRPr="00D82F96">
        <w:t xml:space="preserve"> educational systems. </w:t>
      </w:r>
      <w:r w:rsidR="00957708" w:rsidRPr="00D82F96">
        <w:t xml:space="preserve"> Essentially, in</w:t>
      </w:r>
      <w:r w:rsidRPr="00D82F96">
        <w:t xml:space="preserve"> a c</w:t>
      </w:r>
      <w:r w:rsidR="00D4406E" w:rsidRPr="00D82F96">
        <w:t>redential market supply</w:t>
      </w:r>
      <w:r w:rsidRPr="00D82F96">
        <w:t xml:space="preserve"> </w:t>
      </w:r>
      <w:r w:rsidR="00D4406E" w:rsidRPr="00D82F96">
        <w:t>perpetuates continued demand</w:t>
      </w:r>
      <w:r w:rsidRPr="00D82F96">
        <w:t xml:space="preserve">. </w:t>
      </w:r>
      <w:r w:rsidR="006379B2" w:rsidRPr="00D82F96">
        <w:t xml:space="preserve">This is reflected in the greater move towards regulating access to professions on the basis of degree-level qualifications which were once not requisite – for example, nursing, banking, policing. </w:t>
      </w:r>
      <w:r w:rsidR="001370A2" w:rsidRPr="00D82F96">
        <w:t xml:space="preserve">In </w:t>
      </w:r>
      <w:r w:rsidRPr="00D82F96">
        <w:t>more recent discus</w:t>
      </w:r>
      <w:r w:rsidR="00A70570" w:rsidRPr="00D82F96">
        <w:t>sion</w:t>
      </w:r>
      <w:r w:rsidR="001370A2" w:rsidRPr="00D82F96">
        <w:t>s</w:t>
      </w:r>
      <w:r w:rsidR="00A70570" w:rsidRPr="00D82F96">
        <w:t xml:space="preserve"> of credential inflation</w:t>
      </w:r>
      <w:r w:rsidRPr="00D82F96">
        <w:t>, Collins outlined a series of</w:t>
      </w:r>
      <w:r w:rsidR="00282A2F" w:rsidRPr="00D82F96">
        <w:t xml:space="preserve"> consequences of this scenario</w:t>
      </w:r>
      <w:r w:rsidRPr="00D82F96">
        <w:t xml:space="preserve"> using </w:t>
      </w:r>
      <w:r w:rsidR="00282A2F" w:rsidRPr="00D82F96">
        <w:t>largely the US as an example</w:t>
      </w:r>
      <w:r w:rsidRPr="00D82F96">
        <w:t>. One of these is the so-called ‘warehousing’ function of</w:t>
      </w:r>
      <w:r w:rsidR="00AB64DB" w:rsidRPr="00D82F96">
        <w:t xml:space="preserve"> colleges</w:t>
      </w:r>
      <w:r w:rsidRPr="00D82F96">
        <w:t xml:space="preserve">, </w:t>
      </w:r>
      <w:r w:rsidR="00282A2F" w:rsidRPr="00D82F96">
        <w:t>which in</w:t>
      </w:r>
      <w:r w:rsidRPr="00D82F96">
        <w:t xml:space="preserve"> countries like </w:t>
      </w:r>
      <w:r w:rsidR="00282A2F" w:rsidRPr="00D82F96">
        <w:t xml:space="preserve">the US and </w:t>
      </w:r>
      <w:r w:rsidRPr="00D82F96">
        <w:t>UK comes at a substantial cost</w:t>
      </w:r>
      <w:r w:rsidR="00282A2F" w:rsidRPr="00D82F96">
        <w:t xml:space="preserve"> in the form of education serving as a substitute, or compensatory strategy, for employment opportunity</w:t>
      </w:r>
      <w:r w:rsidRPr="00D82F96">
        <w:t>. Another is an emerging performance strain, and attendant division of labour,</w:t>
      </w:r>
      <w:r w:rsidR="00D4406E" w:rsidRPr="00D82F96">
        <w:t xml:space="preserve"> within the academic profession and the emergence of internal and external stratification.</w:t>
      </w:r>
      <w:r w:rsidRPr="00D82F96">
        <w:t xml:space="preserve"> </w:t>
      </w:r>
    </w:p>
    <w:p w14:paraId="044F8B66" w14:textId="77777777" w:rsidR="00B54292" w:rsidRDefault="00B54292" w:rsidP="00470984">
      <w:pPr>
        <w:ind w:firstLine="0"/>
        <w:jc w:val="both"/>
        <w:rPr>
          <w:rFonts w:cs="Times New Roman"/>
          <w:b/>
          <w:szCs w:val="24"/>
        </w:rPr>
      </w:pPr>
    </w:p>
    <w:p w14:paraId="6E4CA1A4" w14:textId="77777777" w:rsidR="00470984" w:rsidRDefault="00470984" w:rsidP="00470984">
      <w:pPr>
        <w:ind w:firstLine="0"/>
        <w:jc w:val="both"/>
        <w:rPr>
          <w:rFonts w:cs="Times New Roman"/>
          <w:b/>
          <w:szCs w:val="24"/>
        </w:rPr>
      </w:pPr>
    </w:p>
    <w:p w14:paraId="62178ADB" w14:textId="77777777" w:rsidR="00FE4CC3" w:rsidRPr="00D82F96" w:rsidRDefault="00FE4CC3" w:rsidP="00470984">
      <w:pPr>
        <w:ind w:firstLine="0"/>
        <w:jc w:val="both"/>
        <w:rPr>
          <w:rFonts w:cs="Times New Roman"/>
          <w:b/>
          <w:szCs w:val="24"/>
        </w:rPr>
      </w:pPr>
      <w:r w:rsidRPr="00D82F96">
        <w:rPr>
          <w:rFonts w:cs="Times New Roman"/>
          <w:b/>
          <w:szCs w:val="24"/>
        </w:rPr>
        <w:t>Labour market inequality and stratification in a mass market</w:t>
      </w:r>
    </w:p>
    <w:p w14:paraId="0CE1F4D6" w14:textId="77777777" w:rsidR="00470984" w:rsidRDefault="00470984" w:rsidP="00470984">
      <w:pPr>
        <w:ind w:firstLine="0"/>
      </w:pPr>
    </w:p>
    <w:p w14:paraId="3C36CF0C" w14:textId="76F5F2B1" w:rsidR="00FE4CC3" w:rsidRPr="00D82F96" w:rsidRDefault="00FE4CC3" w:rsidP="00470984">
      <w:pPr>
        <w:ind w:firstLine="0"/>
      </w:pPr>
      <w:r w:rsidRPr="00D82F96">
        <w:t xml:space="preserve">The above issues connect to the problem of the declining value of credentials as exchangeable goods for competitively sought-after economic rewards. In mass educational contexts, credentials work from different set of symbolic and status functions in helping </w:t>
      </w:r>
      <w:r w:rsidR="00470984">
        <w:t xml:space="preserve">to </w:t>
      </w:r>
      <w:r w:rsidRPr="00D82F96">
        <w:t>facilitate access to specialised areas of the labour market. Their signalling function becomes relegated to a primary screening mechanism that enables prospective job candidates to be broadly positioned in the structural job queue. However, signalling is often a two-way process between those at both the supply and demand ends of the occupational stru</w:t>
      </w:r>
      <w:r w:rsidR="009B0426" w:rsidRPr="00D82F96">
        <w:t>cture (</w:t>
      </w:r>
      <w:r w:rsidR="00E20F2A" w:rsidRPr="00D82F96">
        <w:t>Bills</w:t>
      </w:r>
      <w:r w:rsidR="00E20F2A">
        <w:t xml:space="preserve"> et al.,</w:t>
      </w:r>
      <w:r w:rsidR="00E20F2A" w:rsidRPr="00D82F96">
        <w:t xml:space="preserve"> 2017</w:t>
      </w:r>
      <w:r w:rsidR="00E20F2A">
        <w:t xml:space="preserve">; </w:t>
      </w:r>
      <w:r w:rsidR="009B0426" w:rsidRPr="00D82F96">
        <w:t>Spence</w:t>
      </w:r>
      <w:r w:rsidR="00470984">
        <w:t>,</w:t>
      </w:r>
      <w:r w:rsidR="00C83B70" w:rsidRPr="00D82F96">
        <w:t xml:space="preserve"> 200</w:t>
      </w:r>
      <w:r w:rsidR="00020F03" w:rsidRPr="00D82F96">
        <w:t>2</w:t>
      </w:r>
      <w:r w:rsidRPr="00D82F96">
        <w:t xml:space="preserve">). In short, mass systems of </w:t>
      </w:r>
      <w:r w:rsidR="00AB64DB" w:rsidRPr="00D82F96">
        <w:t>HE</w:t>
      </w:r>
      <w:r w:rsidRPr="00D82F96">
        <w:t xml:space="preserve"> add further complexities to the nature and form of the structural job queue which it se</w:t>
      </w:r>
      <w:r w:rsidR="009B0426" w:rsidRPr="00D82F96">
        <w:t>rvices in indirect ways (Thurow</w:t>
      </w:r>
      <w:r w:rsidR="00E20F2A">
        <w:t>,</w:t>
      </w:r>
      <w:r w:rsidRPr="00D82F96">
        <w:t xml:space="preserve"> 1975). First, there is no clear queuing hierarchy between prospective employees on the basis of differential </w:t>
      </w:r>
      <w:r w:rsidRPr="00D82F96">
        <w:lastRenderedPageBreak/>
        <w:t>qualifications. Whilst those with no qualification have minimal chances of entering</w:t>
      </w:r>
      <w:r w:rsidR="0038377B" w:rsidRPr="00D82F96">
        <w:t xml:space="preserve"> a higher queue, those</w:t>
      </w:r>
      <w:r w:rsidRPr="00D82F96">
        <w:t xml:space="preserve"> holding degree-level qualification</w:t>
      </w:r>
      <w:r w:rsidR="0038377B" w:rsidRPr="00D82F96">
        <w:t>s</w:t>
      </w:r>
      <w:r w:rsidRPr="00D82F96">
        <w:t xml:space="preserve"> do not necessarily have a clear gateway to more prestigious, higher-earning and higher-status jobs at the extreme end of the queue. When the job queue for such jobs extends, those with higher level credentials experience more intense forms of inter-group competition resulting in a </w:t>
      </w:r>
      <w:r w:rsidR="00560B69" w:rsidRPr="00D82F96">
        <w:t>potentially ‘winner-takes-it-all’</w:t>
      </w:r>
      <w:r w:rsidRPr="00D82F96">
        <w:t xml:space="preserve"> scenario which do</w:t>
      </w:r>
      <w:r w:rsidR="007D7C42" w:rsidRPr="00D82F96">
        <w:t>es</w:t>
      </w:r>
      <w:r w:rsidRPr="00D82F96">
        <w:t xml:space="preserve"> not correspond to open meritocratic competition (Forrier</w:t>
      </w:r>
      <w:r w:rsidR="009B0426" w:rsidRPr="00D82F96">
        <w:t xml:space="preserve">, </w:t>
      </w:r>
      <w:r w:rsidR="00E20F2A">
        <w:t xml:space="preserve">de </w:t>
      </w:r>
      <w:r w:rsidR="009B0426" w:rsidRPr="00D82F96">
        <w:rPr>
          <w:rStyle w:val="Hyperlink"/>
          <w:rFonts w:cs="Times New Roman"/>
          <w:color w:val="auto"/>
          <w:szCs w:val="24"/>
          <w:u w:val="none"/>
        </w:rPr>
        <w:t>Cuyper</w:t>
      </w:r>
      <w:r w:rsidR="00E20F2A">
        <w:rPr>
          <w:rStyle w:val="Hyperlink"/>
          <w:rFonts w:cs="Times New Roman"/>
          <w:color w:val="auto"/>
          <w:szCs w:val="24"/>
          <w:u w:val="none"/>
        </w:rPr>
        <w:t xml:space="preserve">, &amp; </w:t>
      </w:r>
      <w:r w:rsidR="009B0426" w:rsidRPr="00D82F96">
        <w:rPr>
          <w:rStyle w:val="Hyperlink"/>
          <w:rFonts w:cs="Times New Roman"/>
          <w:color w:val="auto"/>
          <w:szCs w:val="24"/>
          <w:u w:val="none"/>
        </w:rPr>
        <w:t>Akkermans</w:t>
      </w:r>
      <w:r w:rsidRPr="00D82F96">
        <w:t xml:space="preserve">, </w:t>
      </w:r>
      <w:r w:rsidRPr="00687403">
        <w:rPr>
          <w:highlight w:val="yellow"/>
        </w:rPr>
        <w:t>201</w:t>
      </w:r>
      <w:r w:rsidR="00687403" w:rsidRPr="00687403">
        <w:rPr>
          <w:highlight w:val="yellow"/>
        </w:rPr>
        <w:t>8</w:t>
      </w:r>
      <w:r w:rsidRPr="00D82F96">
        <w:t xml:space="preserve">). </w:t>
      </w:r>
    </w:p>
    <w:p w14:paraId="54C5535B" w14:textId="5441AE0C" w:rsidR="00EE0B1F" w:rsidRPr="00D82F96" w:rsidRDefault="00EE0B1F" w:rsidP="00B54292">
      <w:r w:rsidRPr="00D82F96">
        <w:t>The purported social and economic benefits are often seen as complementary in public policy and tends to endorse human capital logic. The positive relationship between social mobility, economic productivity and private gain is a consequence of genuine economic demand: an expanding economy for higher skills can only be met by a mass system which nurtures higher collective cognitive capacity congruent with an upgraded oc</w:t>
      </w:r>
      <w:r w:rsidR="009B0426" w:rsidRPr="00D82F96">
        <w:t>cupational structure (Brint</w:t>
      </w:r>
      <w:r w:rsidR="00E20F2A">
        <w:t>,</w:t>
      </w:r>
      <w:r w:rsidR="009B0426" w:rsidRPr="00D82F96">
        <w:t xml:space="preserve"> </w:t>
      </w:r>
      <w:r w:rsidR="00020F03" w:rsidRPr="00D82F96">
        <w:t>200</w:t>
      </w:r>
      <w:r w:rsidRPr="00D82F96">
        <w:t>1). This economic rationale has followed human capital logic which conceives labour productivity and growth as being the aggregate of skills and qualification</w:t>
      </w:r>
      <w:r w:rsidR="00E20F2A">
        <w:t>s</w:t>
      </w:r>
      <w:r w:rsidRPr="00D82F96">
        <w:t xml:space="preserve"> which are fed into the labour market through education systems. H</w:t>
      </w:r>
      <w:r w:rsidR="00AB64DB" w:rsidRPr="00D82F96">
        <w:t>E</w:t>
      </w:r>
      <w:r w:rsidRPr="00D82F96">
        <w:t xml:space="preserve"> qualifications represent skills which are genuinely demand-responsive and generative of further productive growth. Labour markets allocate job applicants to the most appropriate occupational strata and reward them differentially in terms of wages and career opportunities according to their productive capacity. </w:t>
      </w:r>
    </w:p>
    <w:p w14:paraId="65E34075" w14:textId="3DE2DEF4" w:rsidR="007F2FDC" w:rsidRPr="00D82F96" w:rsidRDefault="00020F03" w:rsidP="00B54292">
      <w:r w:rsidRPr="00D82F96">
        <w:t>However, a</w:t>
      </w:r>
      <w:r w:rsidR="00FE4CC3" w:rsidRPr="00D82F96">
        <w:t xml:space="preserve"> number of residual notions have endured from earlier stages of </w:t>
      </w:r>
      <w:r w:rsidR="00AB64DB" w:rsidRPr="00D82F96">
        <w:t>HE</w:t>
      </w:r>
      <w:r w:rsidR="00FE4CC3" w:rsidRPr="00D82F96">
        <w:t xml:space="preserve"> policy when credentials had </w:t>
      </w:r>
      <w:r w:rsidR="0038377B" w:rsidRPr="00D82F96">
        <w:t xml:space="preserve">a clearer </w:t>
      </w:r>
      <w:r w:rsidR="00FE4CC3" w:rsidRPr="00D82F96">
        <w:t>status function. The most salient one is the notion of a ‘graduate job’ and, relatedly, the tendency to see labour markets as operating in terms of clear occupational segments or indeed tiers; for example, ‘youth’, ‘graduate’, ‘semi-skilled’, ‘professional’ labour markets. Yet the boundaries between these are not always clear and absolute, particularly when jobs which were hitherto outside the domain of university credentials become so-c</w:t>
      </w:r>
      <w:r w:rsidR="00EC6177" w:rsidRPr="00D82F96">
        <w:t>alled ‘graduatised’</w:t>
      </w:r>
      <w:r w:rsidR="00FE4CC3" w:rsidRPr="00D82F96">
        <w:t xml:space="preserve">. </w:t>
      </w:r>
      <w:r w:rsidR="007F2FDC" w:rsidRPr="00D82F96">
        <w:t>Collins (</w:t>
      </w:r>
      <w:r w:rsidR="007F2FDC" w:rsidRPr="000B1EC9">
        <w:rPr>
          <w:highlight w:val="yellow"/>
        </w:rPr>
        <w:t>197</w:t>
      </w:r>
      <w:r w:rsidR="000B1EC9" w:rsidRPr="000B1EC9">
        <w:rPr>
          <w:highlight w:val="yellow"/>
        </w:rPr>
        <w:t>1</w:t>
      </w:r>
      <w:r w:rsidR="007F2FDC" w:rsidRPr="00D82F96">
        <w:t>)</w:t>
      </w:r>
      <w:r w:rsidR="00C26119" w:rsidRPr="00D82F96">
        <w:t xml:space="preserve"> was one of the first to elucidate</w:t>
      </w:r>
      <w:r w:rsidR="007F2FDC" w:rsidRPr="00D82F96">
        <w:t xml:space="preserve"> the misalignment between qualifications and their economic utility as reflected in the emergence of new ‘graduate’ level occupations, arguing that one of the direct consequences of credentialism is the emergence of pseudo</w:t>
      </w:r>
      <w:r w:rsidR="00C26119" w:rsidRPr="00D82F96">
        <w:t>-</w:t>
      </w:r>
      <w:r w:rsidR="007F2FDC" w:rsidRPr="00D82F96">
        <w:t>professional occupations such as estate agents and golf course designers.</w:t>
      </w:r>
    </w:p>
    <w:p w14:paraId="4DF4C299" w14:textId="05F96676" w:rsidR="00BE539C" w:rsidRPr="00D82F96" w:rsidRDefault="00FE4CC3" w:rsidP="00B54292">
      <w:r w:rsidRPr="00D82F96">
        <w:t>The different thresholds used by occupational gatekeepers regarding shifting expectations for job-entry and performance can be readily assimilated by those in the supply end. There are no shortage of feedback mechanisms by which graduates come to understand the changing currencies of their qualifications, including the continued message from employers that the level of vacancies is far outstripped by the volume of applications. Yet a harder challenge for those seeking entry into crow</w:t>
      </w:r>
      <w:r w:rsidR="0038377B" w:rsidRPr="00D82F96">
        <w:t>d</w:t>
      </w:r>
      <w:r w:rsidRPr="00D82F96">
        <w:t xml:space="preserve">ed occupational fields is decoding the more finer-grained processes and cultural nuances to </w:t>
      </w:r>
      <w:r w:rsidR="0038377B" w:rsidRPr="00D82F96">
        <w:t xml:space="preserve">how </w:t>
      </w:r>
      <w:r w:rsidRPr="00D82F96">
        <w:t>the value of a job candidate is appraised and acted on by employers. Much of the resea</w:t>
      </w:r>
      <w:r w:rsidR="0038377B" w:rsidRPr="00D82F96">
        <w:t>rch in this field has shown hiring decisions</w:t>
      </w:r>
      <w:r w:rsidRPr="00D82F96">
        <w:t xml:space="preserve"> to be socio-culturally framed and informed by factors that transcend merely cognitive/technical fit be</w:t>
      </w:r>
      <w:r w:rsidR="009B0426" w:rsidRPr="00D82F96">
        <w:t>tween application and job (</w:t>
      </w:r>
      <w:r w:rsidR="00E20F2A" w:rsidRPr="00D82F96">
        <w:t>Brown, Lauder &amp; Ashton, 2011</w:t>
      </w:r>
      <w:r w:rsidR="00E20F2A">
        <w:t xml:space="preserve">; </w:t>
      </w:r>
      <w:r w:rsidR="009B0426" w:rsidRPr="00D82F96">
        <w:t>Hora</w:t>
      </w:r>
      <w:r w:rsidR="00E20F2A">
        <w:t>,</w:t>
      </w:r>
      <w:r w:rsidR="003B6ECE" w:rsidRPr="00D82F96">
        <w:t xml:space="preserve"> 2020</w:t>
      </w:r>
      <w:r w:rsidRPr="00D82F96">
        <w:t xml:space="preserve">). </w:t>
      </w:r>
      <w:r w:rsidR="00BE539C" w:rsidRPr="00D82F96">
        <w:t xml:space="preserve">In terms of wider structural inequality between HE and elite labour markets, it is clear that access to occupational areas is skewed favourably towards graduates with more elite credential currencies and also in possession of less tangible inter-cultural and inter-social currencies which have stronger signalling purchase. </w:t>
      </w:r>
    </w:p>
    <w:p w14:paraId="2F57D30E" w14:textId="4E0800F3" w:rsidR="00FE4CC3" w:rsidRPr="00D82F96" w:rsidRDefault="00FE4CC3" w:rsidP="00B54292">
      <w:r w:rsidRPr="00D82F96">
        <w:t xml:space="preserve">The wider macro context has a bearing on the signalling function of higher-level qualifications and the rules by which the structural job queuing operates in allocating graduates efficiently and equitably. In educational contexts with more clearly </w:t>
      </w:r>
      <w:r w:rsidRPr="00D82F96">
        <w:lastRenderedPageBreak/>
        <w:t>demarcated distinctions between formal qualifications and occupational demands (rea</w:t>
      </w:r>
      <w:r w:rsidR="00F10024" w:rsidRPr="00D82F96">
        <w:t>l or perceived), there is closer</w:t>
      </w:r>
      <w:r w:rsidRPr="00D82F96">
        <w:t xml:space="preserve"> overall synchronicity between two dimensions of the structural queue, namely, the people queue and the job type queue. </w:t>
      </w:r>
      <w:r w:rsidR="00353948" w:rsidRPr="00D82F96">
        <w:t xml:space="preserve">As </w:t>
      </w:r>
      <w:r w:rsidR="00421087" w:rsidRPr="00D82F96">
        <w:t>large</w:t>
      </w:r>
      <w:r w:rsidR="00B64EB3" w:rsidRPr="00D82F96">
        <w:t>-</w:t>
      </w:r>
      <w:r w:rsidR="00421087" w:rsidRPr="00D82F96">
        <w:t>scale gr</w:t>
      </w:r>
      <w:r w:rsidR="00221D83" w:rsidRPr="00D82F96">
        <w:t xml:space="preserve">aduate employment research has </w:t>
      </w:r>
      <w:r w:rsidR="00421087" w:rsidRPr="00D82F96">
        <w:t>revealed</w:t>
      </w:r>
      <w:r w:rsidR="00470C68" w:rsidRPr="00D82F96">
        <w:t xml:space="preserve"> (Allen &amp; van de</w:t>
      </w:r>
      <w:r w:rsidR="00E20F2A">
        <w:t>r</w:t>
      </w:r>
      <w:r w:rsidR="00470C68" w:rsidRPr="00D82F96">
        <w:t xml:space="preserve"> Velden, 2011)</w:t>
      </w:r>
      <w:r w:rsidR="00221D83" w:rsidRPr="00D82F96">
        <w:t>,</w:t>
      </w:r>
      <w:r w:rsidR="00353948" w:rsidRPr="00D82F96">
        <w:t xml:space="preserve"> i</w:t>
      </w:r>
      <w:r w:rsidRPr="00D82F96">
        <w:t>n systems which operate on more flexible groun</w:t>
      </w:r>
      <w:r w:rsidR="00353948" w:rsidRPr="00D82F96">
        <w:t>ds</w:t>
      </w:r>
      <w:r w:rsidRPr="00D82F96">
        <w:t xml:space="preserve"> HE far less regulates the specificities of professional entry and licensing and this potentially suits the vast body of graduates studying general disciplines.  In flexible and positional markets such as these, positional rules </w:t>
      </w:r>
      <w:r w:rsidR="000242EE" w:rsidRPr="00D82F96">
        <w:t xml:space="preserve">based on competitive profile signalling </w:t>
      </w:r>
      <w:r w:rsidRPr="00D82F96">
        <w:t>appear to determine relative access to comp</w:t>
      </w:r>
      <w:r w:rsidR="000242EE" w:rsidRPr="00D82F96">
        <w:t>etitive and higher-profile jobs.</w:t>
      </w:r>
    </w:p>
    <w:p w14:paraId="6C42AC3C" w14:textId="232D7B91" w:rsidR="00EC6177" w:rsidRPr="00D82F96" w:rsidRDefault="00FE4CC3" w:rsidP="00E20F2A">
      <w:r w:rsidRPr="00D82F96">
        <w:t>The upshot of this is that other signals come into play in differentiating the perceived value of highly qualified job queuers</w:t>
      </w:r>
      <w:r w:rsidR="00E20F2A">
        <w:t>,</w:t>
      </w:r>
      <w:r w:rsidRPr="00D82F96">
        <w:t xml:space="preserve"> and these further map onto broader institutional inequities in terms of the differential status of institutions and the educational and socio-cultural profiles of graduates within. Most in-depth empirical analysis of employer perspectives of graduate talent and its bearing on their selection decisions has revealed how the reproduction of elite credential</w:t>
      </w:r>
      <w:r w:rsidR="00CF7FFA">
        <w:t>s</w:t>
      </w:r>
      <w:r w:rsidRPr="00D82F96">
        <w:t xml:space="preserve"> within high-demand and competitive markets is played out in occupational recruitment pr</w:t>
      </w:r>
      <w:r w:rsidR="009A7AAD" w:rsidRPr="00D82F96">
        <w:t>acti</w:t>
      </w:r>
      <w:r w:rsidR="009B0426" w:rsidRPr="00D82F96">
        <w:t>ces (</w:t>
      </w:r>
      <w:r w:rsidR="00E20F2A" w:rsidRPr="00D82F96">
        <w:t xml:space="preserve">Ashley &amp; Empson, 2017; Brown </w:t>
      </w:r>
      <w:r w:rsidR="00E20F2A" w:rsidRPr="00E20F2A">
        <w:t>et al.,</w:t>
      </w:r>
      <w:r w:rsidR="00E20F2A" w:rsidRPr="00D82F96">
        <w:t xml:space="preserve"> 2011</w:t>
      </w:r>
      <w:r w:rsidR="00E20F2A">
        <w:t xml:space="preserve">; </w:t>
      </w:r>
      <w:r w:rsidR="009B0426" w:rsidRPr="00D82F96">
        <w:t>SMCPC</w:t>
      </w:r>
      <w:r w:rsidR="00E20F2A">
        <w:t>,</w:t>
      </w:r>
      <w:r w:rsidR="009A7AAD" w:rsidRPr="00D82F96">
        <w:t xml:space="preserve"> 2015</w:t>
      </w:r>
      <w:r w:rsidRPr="00D82F96">
        <w:t>). The problem becomes more pronounced when leading companies construct notions of ‘talent’ that valorise elite status and profiling of different institutions and their students. Thus, if there are a set of cultural rules which job candidates need to negotiate and then perform, graduates who are less resourced in negotiating these rules are at a marked disadvantage.</w:t>
      </w:r>
      <w:r w:rsidR="00B6586F" w:rsidRPr="00D82F96">
        <w:t xml:space="preserve"> </w:t>
      </w:r>
    </w:p>
    <w:p w14:paraId="7AA37C5A" w14:textId="77777777" w:rsidR="00B54292" w:rsidRDefault="00B54292" w:rsidP="00E20F2A">
      <w:pPr>
        <w:ind w:firstLine="0"/>
        <w:jc w:val="both"/>
        <w:rPr>
          <w:rFonts w:cs="Times New Roman"/>
          <w:b/>
          <w:iCs/>
          <w:szCs w:val="24"/>
        </w:rPr>
      </w:pPr>
    </w:p>
    <w:p w14:paraId="3F6660AC" w14:textId="77777777" w:rsidR="00E20F2A" w:rsidRDefault="00E20F2A" w:rsidP="00E20F2A">
      <w:pPr>
        <w:ind w:firstLine="0"/>
        <w:jc w:val="both"/>
        <w:rPr>
          <w:rFonts w:cs="Times New Roman"/>
          <w:b/>
          <w:iCs/>
          <w:szCs w:val="24"/>
        </w:rPr>
      </w:pPr>
    </w:p>
    <w:p w14:paraId="668A4130" w14:textId="2F4CA089" w:rsidR="00376D0A" w:rsidRPr="00D82F96" w:rsidRDefault="00F11ECD" w:rsidP="00E20F2A">
      <w:pPr>
        <w:ind w:firstLine="0"/>
        <w:jc w:val="both"/>
        <w:rPr>
          <w:rFonts w:cs="Times New Roman"/>
          <w:b/>
          <w:iCs/>
          <w:szCs w:val="24"/>
        </w:rPr>
      </w:pPr>
      <w:r w:rsidRPr="00D82F96">
        <w:rPr>
          <w:rFonts w:cs="Times New Roman"/>
          <w:b/>
          <w:iCs/>
          <w:szCs w:val="24"/>
        </w:rPr>
        <w:t xml:space="preserve">Demand responsiveness and the quest for </w:t>
      </w:r>
      <w:r w:rsidR="002E531A" w:rsidRPr="00D82F96">
        <w:rPr>
          <w:rFonts w:cs="Times New Roman"/>
          <w:b/>
          <w:iCs/>
          <w:szCs w:val="24"/>
        </w:rPr>
        <w:t>institutional v</w:t>
      </w:r>
      <w:r w:rsidRPr="00D82F96">
        <w:rPr>
          <w:rFonts w:cs="Times New Roman"/>
          <w:b/>
          <w:iCs/>
          <w:szCs w:val="24"/>
        </w:rPr>
        <w:t>alue</w:t>
      </w:r>
    </w:p>
    <w:p w14:paraId="55977469" w14:textId="77777777" w:rsidR="00E20F2A" w:rsidRDefault="00E20F2A" w:rsidP="00E20F2A">
      <w:pPr>
        <w:ind w:firstLine="0"/>
      </w:pPr>
    </w:p>
    <w:p w14:paraId="4A9F87B2" w14:textId="19D49367" w:rsidR="00FA1CE1" w:rsidRPr="00D82F96" w:rsidRDefault="00335A19" w:rsidP="00E20F2A">
      <w:pPr>
        <w:ind w:firstLine="0"/>
        <w:rPr>
          <w:rFonts w:eastAsia="Times New Roman"/>
        </w:rPr>
      </w:pPr>
      <w:r w:rsidRPr="00D82F96">
        <w:t xml:space="preserve">The policy movement towards system marketization has worked almost in parallel with </w:t>
      </w:r>
      <w:r w:rsidR="00BE539C" w:rsidRPr="00D82F96">
        <w:t xml:space="preserve">the </w:t>
      </w:r>
      <w:r w:rsidRPr="00D82F96">
        <w:t xml:space="preserve">later phases of massification and has been more prominently experienced in a range of liberal market economies which have sought to actively reconfigure </w:t>
      </w:r>
      <w:r w:rsidR="00AB64DB" w:rsidRPr="00D82F96">
        <w:t>HE</w:t>
      </w:r>
      <w:r w:rsidRPr="00D82F96">
        <w:t xml:space="preserve"> as a provide</w:t>
      </w:r>
      <w:r w:rsidR="00BD205E" w:rsidRPr="00D82F96">
        <w:t>r of market goods</w:t>
      </w:r>
      <w:r w:rsidR="009B0426" w:rsidRPr="00D82F96">
        <w:t xml:space="preserve"> (Marginson</w:t>
      </w:r>
      <w:r w:rsidR="00E20F2A">
        <w:t>,</w:t>
      </w:r>
      <w:r w:rsidR="006003B9" w:rsidRPr="00D82F96">
        <w:t xml:space="preserve"> 2013</w:t>
      </w:r>
      <w:r w:rsidR="00BE539C" w:rsidRPr="00D82F96">
        <w:t>)</w:t>
      </w:r>
      <w:r w:rsidR="00BD205E" w:rsidRPr="00D82F96">
        <w:t>. This movement has been strongly influe</w:t>
      </w:r>
      <w:r w:rsidR="003B6ECE" w:rsidRPr="00D82F96">
        <w:t xml:space="preserve">nced by the governance ethic of </w:t>
      </w:r>
      <w:r w:rsidR="00D21E2D" w:rsidRPr="00D82F96">
        <w:t xml:space="preserve">(NPM) </w:t>
      </w:r>
      <w:r w:rsidR="000D3F5B" w:rsidRPr="00D82F96">
        <w:t>which has been actively</w:t>
      </w:r>
      <w:r w:rsidR="00BD205E" w:rsidRPr="00D82F96">
        <w:t xml:space="preserve"> adopt</w:t>
      </w:r>
      <w:r w:rsidR="00D21E2D" w:rsidRPr="00D82F96">
        <w:t>ed in the UK, US</w:t>
      </w:r>
      <w:r w:rsidR="00E20F2A">
        <w:t>,</w:t>
      </w:r>
      <w:r w:rsidR="00D21E2D" w:rsidRPr="00D82F96">
        <w:t xml:space="preserve"> and Australia. This approach seeks to facilitate market reform though </w:t>
      </w:r>
      <w:r w:rsidR="00D21E2D" w:rsidRPr="00D82F96">
        <w:rPr>
          <w:rFonts w:eastAsia="Times New Roman"/>
        </w:rPr>
        <w:t>industri</w:t>
      </w:r>
      <w:r w:rsidR="00C26119" w:rsidRPr="00D82F96">
        <w:rPr>
          <w:rFonts w:eastAsia="Times New Roman"/>
        </w:rPr>
        <w:t>al management techniques and</w:t>
      </w:r>
      <w:r w:rsidR="00D21E2D" w:rsidRPr="00D82F96">
        <w:rPr>
          <w:rFonts w:eastAsia="Times New Roman"/>
        </w:rPr>
        <w:t xml:space="preserve"> </w:t>
      </w:r>
      <w:r w:rsidR="00C26119" w:rsidRPr="00D82F96">
        <w:rPr>
          <w:rFonts w:eastAsia="Times New Roman"/>
        </w:rPr>
        <w:t>rigid</w:t>
      </w:r>
      <w:r w:rsidR="00D21E2D" w:rsidRPr="00D82F96">
        <w:rPr>
          <w:rFonts w:eastAsia="Times New Roman"/>
        </w:rPr>
        <w:t xml:space="preserve"> accountability mechanisms</w:t>
      </w:r>
      <w:r w:rsidR="0024537F" w:rsidRPr="00D82F96">
        <w:rPr>
          <w:rFonts w:eastAsia="Times New Roman"/>
        </w:rPr>
        <w:t>,</w:t>
      </w:r>
      <w:r w:rsidR="00D21E2D" w:rsidRPr="00D82F96">
        <w:rPr>
          <w:rFonts w:eastAsia="Times New Roman"/>
        </w:rPr>
        <w:t xml:space="preserve"> largely based </w:t>
      </w:r>
      <w:r w:rsidR="0024537F" w:rsidRPr="00D82F96">
        <w:rPr>
          <w:rFonts w:eastAsia="Times New Roman"/>
        </w:rPr>
        <w:t>on audit-driven</w:t>
      </w:r>
      <w:r w:rsidR="00D21E2D" w:rsidRPr="00D82F96">
        <w:rPr>
          <w:rFonts w:eastAsia="Times New Roman"/>
        </w:rPr>
        <w:t xml:space="preserve"> regulation of institutions</w:t>
      </w:r>
      <w:r w:rsidR="0024537F" w:rsidRPr="00D82F96">
        <w:rPr>
          <w:rFonts w:eastAsia="Times New Roman"/>
        </w:rPr>
        <w:t>’</w:t>
      </w:r>
      <w:r w:rsidR="00D21E2D" w:rsidRPr="00D82F96">
        <w:rPr>
          <w:rFonts w:eastAsia="Times New Roman"/>
        </w:rPr>
        <w:t xml:space="preserve"> throughputs and outputs (H</w:t>
      </w:r>
      <w:r w:rsidR="00F72C10" w:rsidRPr="00D82F96">
        <w:rPr>
          <w:rFonts w:eastAsia="Times New Roman"/>
        </w:rPr>
        <w:t>ood</w:t>
      </w:r>
      <w:r w:rsidR="00E20F2A">
        <w:rPr>
          <w:rFonts w:eastAsia="Times New Roman"/>
        </w:rPr>
        <w:t>,</w:t>
      </w:r>
      <w:r w:rsidR="0094412D" w:rsidRPr="00D82F96">
        <w:rPr>
          <w:rFonts w:eastAsia="Times New Roman"/>
        </w:rPr>
        <w:t xml:space="preserve"> 1991; </w:t>
      </w:r>
      <w:r w:rsidR="0094412D" w:rsidRPr="00712EC3">
        <w:rPr>
          <w:rFonts w:eastAsia="Times New Roman"/>
          <w:highlight w:val="yellow"/>
        </w:rPr>
        <w:t>Ferlie</w:t>
      </w:r>
      <w:r w:rsidR="009A7AAD" w:rsidRPr="00712EC3">
        <w:rPr>
          <w:rFonts w:eastAsia="Times New Roman"/>
          <w:highlight w:val="yellow"/>
        </w:rPr>
        <w:t xml:space="preserve">, </w:t>
      </w:r>
      <w:r w:rsidR="00712EC3" w:rsidRPr="00712EC3">
        <w:rPr>
          <w:rFonts w:eastAsia="Times New Roman"/>
          <w:highlight w:val="yellow"/>
        </w:rPr>
        <w:t>Hartley</w:t>
      </w:r>
      <w:r w:rsidR="00E20F2A" w:rsidRPr="00712EC3">
        <w:rPr>
          <w:rFonts w:eastAsia="Times New Roman"/>
          <w:highlight w:val="yellow"/>
        </w:rPr>
        <w:t>,</w:t>
      </w:r>
      <w:r w:rsidR="009A7AAD" w:rsidRPr="00712EC3">
        <w:rPr>
          <w:rFonts w:eastAsia="Times New Roman"/>
          <w:highlight w:val="yellow"/>
        </w:rPr>
        <w:t xml:space="preserve"> &amp;</w:t>
      </w:r>
      <w:r w:rsidR="001370A2" w:rsidRPr="00712EC3">
        <w:rPr>
          <w:rFonts w:eastAsia="Times New Roman"/>
          <w:highlight w:val="yellow"/>
        </w:rPr>
        <w:t xml:space="preserve"> </w:t>
      </w:r>
      <w:r w:rsidR="009A7AAD" w:rsidRPr="00712EC3">
        <w:rPr>
          <w:rFonts w:eastAsia="Times New Roman"/>
          <w:highlight w:val="yellow"/>
        </w:rPr>
        <w:t>Martin</w:t>
      </w:r>
      <w:r w:rsidR="0094412D" w:rsidRPr="00712EC3">
        <w:rPr>
          <w:rFonts w:eastAsia="Times New Roman"/>
          <w:highlight w:val="yellow"/>
        </w:rPr>
        <w:t>, 2003</w:t>
      </w:r>
      <w:r w:rsidR="0094412D" w:rsidRPr="00D82F96">
        <w:rPr>
          <w:rFonts w:eastAsia="Times New Roman"/>
        </w:rPr>
        <w:t xml:space="preserve">. </w:t>
      </w:r>
      <w:r w:rsidR="00D21E2D" w:rsidRPr="00D82F96">
        <w:rPr>
          <w:rFonts w:eastAsia="Times New Roman"/>
        </w:rPr>
        <w:t xml:space="preserve">NPM </w:t>
      </w:r>
      <w:r w:rsidR="00F51004" w:rsidRPr="00D82F96">
        <w:rPr>
          <w:rFonts w:eastAsia="Times New Roman"/>
        </w:rPr>
        <w:t>governance principles are informed by an</w:t>
      </w:r>
      <w:r w:rsidR="00F72C10" w:rsidRPr="00D82F96">
        <w:rPr>
          <w:rFonts w:eastAsia="Times New Roman"/>
        </w:rPr>
        <w:t xml:space="preserve"> understanding that institutions can operate on economically rational lines: the explication of resource outputs and performance management become central to the operating norms of institutions</w:t>
      </w:r>
      <w:r w:rsidR="00C26119" w:rsidRPr="00D82F96">
        <w:rPr>
          <w:rFonts w:eastAsia="Times New Roman"/>
        </w:rPr>
        <w:t>. The exercising of stringent</w:t>
      </w:r>
      <w:r w:rsidR="0024537F" w:rsidRPr="00D82F96">
        <w:rPr>
          <w:rFonts w:eastAsia="Times New Roman"/>
        </w:rPr>
        <w:t xml:space="preserve"> forms</w:t>
      </w:r>
      <w:r w:rsidR="00F72C10" w:rsidRPr="00D82F96">
        <w:rPr>
          <w:rFonts w:eastAsia="Times New Roman"/>
        </w:rPr>
        <w:t xml:space="preserve"> of managerial control is</w:t>
      </w:r>
      <w:r w:rsidR="00D21E2D" w:rsidRPr="00D82F96">
        <w:rPr>
          <w:rFonts w:eastAsia="Times New Roman"/>
        </w:rPr>
        <w:t xml:space="preserve"> seen to greatly enhance institutions’ performance, consequently strengthening their</w:t>
      </w:r>
      <w:r w:rsidR="0024537F" w:rsidRPr="00D82F96">
        <w:rPr>
          <w:rFonts w:eastAsia="Times New Roman"/>
        </w:rPr>
        <w:t xml:space="preserve"> status within a competitive market environment</w:t>
      </w:r>
      <w:r w:rsidR="00D21E2D" w:rsidRPr="00D82F96">
        <w:rPr>
          <w:rFonts w:eastAsia="Times New Roman"/>
        </w:rPr>
        <w:t>.</w:t>
      </w:r>
    </w:p>
    <w:p w14:paraId="661BA1AD" w14:textId="5244058C" w:rsidR="00B03313" w:rsidRPr="00D82F96" w:rsidRDefault="00BD205E" w:rsidP="00B54292">
      <w:r w:rsidRPr="00D82F96">
        <w:t>A</w:t>
      </w:r>
      <w:r w:rsidR="00335A19" w:rsidRPr="00D82F96">
        <w:t xml:space="preserve"> range of national governments such as </w:t>
      </w:r>
      <w:r w:rsidR="00F02A89" w:rsidRPr="00D82F96">
        <w:t xml:space="preserve">in </w:t>
      </w:r>
      <w:r w:rsidR="00335A19" w:rsidRPr="00D82F96">
        <w:t xml:space="preserve">the US, UK, </w:t>
      </w:r>
      <w:r w:rsidR="00F02A89" w:rsidRPr="00D82F96">
        <w:t xml:space="preserve">and </w:t>
      </w:r>
      <w:r w:rsidR="00335A19" w:rsidRPr="00D82F96">
        <w:t>Australia have elevated market principles to a variety of institutional practices and relations, effectively rendering its core pursuit as the development and future exchange of commodifiable goods. The rationale is that quality is subsequently ramped-up and requisite ‘value for money’ ensured at a time when private economic contribution increasingly substitutes state funding. The move towards market</w:t>
      </w:r>
      <w:r w:rsidR="0071781C" w:rsidRPr="00D82F96">
        <w:t>-driven</w:t>
      </w:r>
      <w:r w:rsidR="00335A19" w:rsidRPr="00D82F96">
        <w:t xml:space="preserve"> reform has also seen the elevation of its central actors </w:t>
      </w:r>
      <w:r w:rsidR="00E20F2A">
        <w:t>–</w:t>
      </w:r>
      <w:r w:rsidR="00335A19" w:rsidRPr="00D82F96">
        <w:t xml:space="preserve"> students, academics, managers </w:t>
      </w:r>
      <w:r w:rsidR="00E20F2A">
        <w:t>–</w:t>
      </w:r>
      <w:r w:rsidR="00335A19" w:rsidRPr="00D82F96">
        <w:t xml:space="preserve"> as utilitarian agents whose motivations are governed by the individualised pursuit o</w:t>
      </w:r>
      <w:r w:rsidR="008426D6" w:rsidRPr="00D82F96">
        <w:t>f private return (</w:t>
      </w:r>
      <w:r w:rsidR="00E20F2A" w:rsidRPr="00D82F96">
        <w:t>Brown &amp; Carasso, 2013</w:t>
      </w:r>
      <w:r w:rsidR="00E20F2A">
        <w:t xml:space="preserve">; </w:t>
      </w:r>
      <w:r w:rsidR="009B0426" w:rsidRPr="00D82F96">
        <w:t>Connell</w:t>
      </w:r>
      <w:r w:rsidR="00E20F2A">
        <w:t>,</w:t>
      </w:r>
      <w:r w:rsidR="00335A19" w:rsidRPr="00D82F96">
        <w:t xml:space="preserve"> 2013). This overarching principle has</w:t>
      </w:r>
      <w:r w:rsidR="00B03313" w:rsidRPr="00D82F96">
        <w:t xml:space="preserve"> ushered in the</w:t>
      </w:r>
      <w:r w:rsidR="00335A19" w:rsidRPr="00D82F96">
        <w:t xml:space="preserve"> more stringent forms of competition, choice and comparability within the system based on institutions’ p</w:t>
      </w:r>
      <w:r w:rsidR="00BE539C" w:rsidRPr="00D82F96">
        <w:t>ublicly measured performance on</w:t>
      </w:r>
      <w:r w:rsidR="00335A19" w:rsidRPr="00D82F96">
        <w:t xml:space="preserve"> pan-</w:t>
      </w:r>
      <w:r w:rsidR="00335A19" w:rsidRPr="00D82F96">
        <w:lastRenderedPageBreak/>
        <w:t>national</w:t>
      </w:r>
      <w:r w:rsidR="00BE539C" w:rsidRPr="00D82F96">
        <w:t xml:space="preserve"> and international</w:t>
      </w:r>
      <w:r w:rsidR="00335A19" w:rsidRPr="00D82F96">
        <w:t xml:space="preserve"> league tables. </w:t>
      </w:r>
      <w:r w:rsidR="00B03313" w:rsidRPr="00D82F96">
        <w:t xml:space="preserve"> Mass market</w:t>
      </w:r>
      <w:r w:rsidR="007A3A90" w:rsidRPr="00D82F96">
        <w:t>s in HE are effectively measured</w:t>
      </w:r>
      <w:r w:rsidR="00B03313" w:rsidRPr="00D82F96">
        <w:t xml:space="preserve"> markets</w:t>
      </w:r>
      <w:r w:rsidR="007A3A90" w:rsidRPr="00D82F96">
        <w:t xml:space="preserve"> within a positional ranked-order</w:t>
      </w:r>
      <w:r w:rsidR="00645E66" w:rsidRPr="00D82F96">
        <w:t xml:space="preserve"> of culturally constructed value</w:t>
      </w:r>
      <w:r w:rsidR="007A3A90" w:rsidRPr="00D82F96">
        <w:t>. T</w:t>
      </w:r>
      <w:r w:rsidR="00B03313" w:rsidRPr="00D82F96">
        <w:t xml:space="preserve">he prominence of such league tables </w:t>
      </w:r>
      <w:r w:rsidR="007A3A90" w:rsidRPr="00D82F96">
        <w:t>not only</w:t>
      </w:r>
      <w:r w:rsidR="00AD65DF" w:rsidRPr="00D82F96">
        <w:t xml:space="preserve"> serves to affirm institutions</w:t>
      </w:r>
      <w:r w:rsidR="006047D1" w:rsidRPr="00D82F96">
        <w:t>’</w:t>
      </w:r>
      <w:r w:rsidR="007A3A90" w:rsidRPr="00D82F96">
        <w:t xml:space="preserve"> </w:t>
      </w:r>
      <w:r w:rsidR="00BE539C" w:rsidRPr="00D82F96">
        <w:t xml:space="preserve">market </w:t>
      </w:r>
      <w:r w:rsidR="007A3A90" w:rsidRPr="00D82F96">
        <w:t>status, but also provide</w:t>
      </w:r>
      <w:r w:rsidR="0086264C" w:rsidRPr="00D82F96">
        <w:t>s</w:t>
      </w:r>
      <w:r w:rsidR="00B03313" w:rsidRPr="00D82F96">
        <w:t xml:space="preserve"> a mode of numerical surveillance intended to condition the behaviours and professional subje</w:t>
      </w:r>
      <w:r w:rsidR="009B0426" w:rsidRPr="00D82F96">
        <w:t>ctivities of those within (Ball</w:t>
      </w:r>
      <w:r w:rsidR="00E20F2A">
        <w:t>,</w:t>
      </w:r>
      <w:r w:rsidR="00B03313" w:rsidRPr="00D82F96">
        <w:t xml:space="preserve"> 2012).</w:t>
      </w:r>
    </w:p>
    <w:p w14:paraId="6C403502" w14:textId="40AD04FD" w:rsidR="001C2BF4" w:rsidRPr="00D82F96" w:rsidRDefault="00EE6544" w:rsidP="00B54292">
      <w:r w:rsidRPr="00D82F96">
        <w:t>In a credential-driven system</w:t>
      </w:r>
      <w:r w:rsidR="00B03313" w:rsidRPr="00D82F96">
        <w:t>,</w:t>
      </w:r>
      <w:r w:rsidR="0051794C" w:rsidRPr="00D82F96">
        <w:t xml:space="preserve"> </w:t>
      </w:r>
      <w:r w:rsidR="00F86AB9" w:rsidRPr="00D82F96">
        <w:t>which, in</w:t>
      </w:r>
      <w:r w:rsidR="00D5565F" w:rsidRPr="00D82F96">
        <w:t xml:space="preserve"> increasing</w:t>
      </w:r>
      <w:r w:rsidR="00F86AB9" w:rsidRPr="00D82F96">
        <w:t xml:space="preserve"> national contexts is co</w:t>
      </w:r>
      <w:r w:rsidR="00B03313" w:rsidRPr="00D82F96">
        <w:t>nceived along market principles</w:t>
      </w:r>
      <w:r w:rsidR="00C5285E" w:rsidRPr="00D82F96">
        <w:t>,</w:t>
      </w:r>
      <w:r w:rsidR="00F86AB9" w:rsidRPr="00D82F96">
        <w:t xml:space="preserve"> </w:t>
      </w:r>
      <w:r w:rsidR="00BA7BE3" w:rsidRPr="00D82F96">
        <w:t>there are</w:t>
      </w:r>
      <w:r w:rsidR="0051794C" w:rsidRPr="00D82F96">
        <w:t xml:space="preserve"> attendant </w:t>
      </w:r>
      <w:r w:rsidR="00A77EA2" w:rsidRPr="00D82F96">
        <w:t>expectation</w:t>
      </w:r>
      <w:r w:rsidR="00BA7BE3" w:rsidRPr="00D82F96">
        <w:t>s</w:t>
      </w:r>
      <w:r w:rsidR="00B03313" w:rsidRPr="00D82F96">
        <w:t xml:space="preserve"> that HE</w:t>
      </w:r>
      <w:r w:rsidR="0051794C" w:rsidRPr="00D82F96">
        <w:t xml:space="preserve"> credential</w:t>
      </w:r>
      <w:r w:rsidR="0011247E" w:rsidRPr="00D82F96">
        <w:t>s</w:t>
      </w:r>
      <w:r w:rsidR="0051794C" w:rsidRPr="00D82F96">
        <w:t xml:space="preserve"> have</w:t>
      </w:r>
      <w:r w:rsidR="00BA7BE3" w:rsidRPr="00D82F96">
        <w:t xml:space="preserve"> exchange value </w:t>
      </w:r>
      <w:r w:rsidR="0051794C" w:rsidRPr="00D82F96">
        <w:t>transparent to the key stakeholders who consume them.</w:t>
      </w:r>
      <w:r w:rsidR="00A77EA2" w:rsidRPr="00D82F96">
        <w:t xml:space="preserve"> This cuts across all ma</w:t>
      </w:r>
      <w:r w:rsidR="0071781C" w:rsidRPr="00D82F96">
        <w:t>jor stakeholder groups. G</w:t>
      </w:r>
      <w:r w:rsidR="00A77EA2" w:rsidRPr="00D82F96">
        <w:t xml:space="preserve">overnments wish to ensure the public value of </w:t>
      </w:r>
      <w:r w:rsidR="00AB64DB" w:rsidRPr="00D82F96">
        <w:t>HE</w:t>
      </w:r>
      <w:r w:rsidR="00A77EA2" w:rsidRPr="00D82F96">
        <w:t xml:space="preserve"> </w:t>
      </w:r>
      <w:r w:rsidR="00F86AB9" w:rsidRPr="00D82F96">
        <w:t xml:space="preserve">and ensure that it </w:t>
      </w:r>
      <w:r w:rsidR="00841DE0" w:rsidRPr="00D82F96">
        <w:t>fulfil</w:t>
      </w:r>
      <w:r w:rsidR="00472AF8" w:rsidRPr="00D82F96">
        <w:t xml:space="preserve">s the goal of </w:t>
      </w:r>
      <w:r w:rsidR="00F86AB9" w:rsidRPr="00D82F96">
        <w:t xml:space="preserve">fiscal </w:t>
      </w:r>
      <w:r w:rsidR="00261E2D" w:rsidRPr="00D82F96">
        <w:t>efficiency</w:t>
      </w:r>
      <w:r w:rsidR="00CB011B" w:rsidRPr="00D82F96">
        <w:t xml:space="preserve"> </w:t>
      </w:r>
      <w:r w:rsidR="00261E2D" w:rsidRPr="00D82F96">
        <w:t xml:space="preserve">and value </w:t>
      </w:r>
      <w:r w:rsidR="00CB011B" w:rsidRPr="00D82F96">
        <w:t>and</w:t>
      </w:r>
      <w:r w:rsidR="00261E2D" w:rsidRPr="00D82F96">
        <w:t xml:space="preserve"> promotion of </w:t>
      </w:r>
      <w:r w:rsidR="00F02A89" w:rsidRPr="00D82F96">
        <w:t xml:space="preserve">an </w:t>
      </w:r>
      <w:r w:rsidR="00261E2D" w:rsidRPr="00D82F96">
        <w:t>institution’s role in meeting purported economic demands.</w:t>
      </w:r>
      <w:r w:rsidR="008C17ED" w:rsidRPr="00D82F96">
        <w:t xml:space="preserve"> </w:t>
      </w:r>
      <w:r w:rsidR="00FA1CE1" w:rsidRPr="00D82F96">
        <w:t>E</w:t>
      </w:r>
      <w:r w:rsidR="008C17ED" w:rsidRPr="00D82F96">
        <w:t xml:space="preserve">mployers </w:t>
      </w:r>
      <w:r w:rsidR="00261E2D" w:rsidRPr="00D82F96">
        <w:t xml:space="preserve">demand </w:t>
      </w:r>
      <w:r w:rsidR="008C17ED" w:rsidRPr="00D82F96">
        <w:t>closer</w:t>
      </w:r>
      <w:r w:rsidR="00261E2D" w:rsidRPr="00D82F96">
        <w:t xml:space="preserve"> synergies betwe</w:t>
      </w:r>
      <w:r w:rsidR="008C17ED" w:rsidRPr="00D82F96">
        <w:t>en the outputs of HEIs and requirements of workplaces, typi</w:t>
      </w:r>
      <w:r w:rsidR="00472AF8" w:rsidRPr="00D82F96">
        <w:t>cally under the remit of matching</w:t>
      </w:r>
      <w:r w:rsidR="008C17ED" w:rsidRPr="00D82F96">
        <w:t xml:space="preserve"> the </w:t>
      </w:r>
      <w:r w:rsidR="00472AF8" w:rsidRPr="00D82F96">
        <w:t>appropriate supply of skills to</w:t>
      </w:r>
      <w:r w:rsidR="00F51004" w:rsidRPr="00D82F96">
        <w:t xml:space="preserve"> their demand</w:t>
      </w:r>
      <w:r w:rsidR="00DB33D3" w:rsidRPr="00D82F96">
        <w:t xml:space="preserve"> in workplaces</w:t>
      </w:r>
      <w:r w:rsidR="000242EE" w:rsidRPr="00D82F96">
        <w:t xml:space="preserve"> (</w:t>
      </w:r>
      <w:r w:rsidR="000242EE" w:rsidRPr="00E03C0C">
        <w:rPr>
          <w:highlight w:val="yellow"/>
        </w:rPr>
        <w:t>DBIS, 2016</w:t>
      </w:r>
      <w:r w:rsidR="000242EE" w:rsidRPr="00D82F96">
        <w:t>)</w:t>
      </w:r>
      <w:r w:rsidR="008C17ED" w:rsidRPr="00D82F96">
        <w:t>.</w:t>
      </w:r>
      <w:r w:rsidR="00BA7BE3" w:rsidRPr="00D82F96">
        <w:t xml:space="preserve"> In a mass market, students</w:t>
      </w:r>
      <w:r w:rsidR="001760D7" w:rsidRPr="00D82F96">
        <w:t>,</w:t>
      </w:r>
      <w:r w:rsidR="00BA7BE3" w:rsidRPr="00D82F96">
        <w:t xml:space="preserve"> graduates and </w:t>
      </w:r>
      <w:r w:rsidR="00FC4035" w:rsidRPr="00D82F96">
        <w:t xml:space="preserve">other salient stakeholders </w:t>
      </w:r>
      <w:r w:rsidR="001760D7" w:rsidRPr="00D82F96">
        <w:t xml:space="preserve">will </w:t>
      </w:r>
      <w:r w:rsidR="00DB33D3" w:rsidRPr="00D82F96">
        <w:t xml:space="preserve">expect </w:t>
      </w:r>
      <w:r w:rsidR="001760D7" w:rsidRPr="00D82F96">
        <w:t>their institutions</w:t>
      </w:r>
      <w:r w:rsidR="00DB33D3" w:rsidRPr="00D82F96">
        <w:t xml:space="preserve"> </w:t>
      </w:r>
      <w:r w:rsidR="001760D7" w:rsidRPr="00D82F96">
        <w:t>to maximise their chances of gaining a return on their investment and the value of their credentials.</w:t>
      </w:r>
      <w:r w:rsidR="0066404A" w:rsidRPr="00D82F96">
        <w:t xml:space="preserve"> </w:t>
      </w:r>
      <w:r w:rsidR="001760D7" w:rsidRPr="00D82F96">
        <w:t xml:space="preserve">Professional and managerial staff within institutions </w:t>
      </w:r>
      <w:r w:rsidR="00E55114" w:rsidRPr="00D82F96">
        <w:t xml:space="preserve">are in a significant conduit role between these </w:t>
      </w:r>
      <w:r w:rsidR="00DF33B9" w:rsidRPr="00D82F96">
        <w:t xml:space="preserve">demands and their professional esteem and perceived value </w:t>
      </w:r>
      <w:r w:rsidR="00AB0A48" w:rsidRPr="00D82F96">
        <w:t>is now</w:t>
      </w:r>
      <w:r w:rsidR="00DF33B9" w:rsidRPr="00D82F96">
        <w:t xml:space="preserve"> contingent</w:t>
      </w:r>
      <w:r w:rsidR="005E539E" w:rsidRPr="00D82F96">
        <w:t xml:space="preserve"> on how successfully performance demands are fulfilled (more on this in the</w:t>
      </w:r>
      <w:r w:rsidR="00AB0A48" w:rsidRPr="00D82F96">
        <w:t xml:space="preserve"> below section</w:t>
      </w:r>
      <w:r w:rsidR="005E539E" w:rsidRPr="00D82F96">
        <w:t>)</w:t>
      </w:r>
      <w:r w:rsidR="00B03313" w:rsidRPr="00D82F96">
        <w:t>.</w:t>
      </w:r>
    </w:p>
    <w:p w14:paraId="2DA313C9" w14:textId="20F2AF3A" w:rsidR="007075DD" w:rsidRPr="00D82F96" w:rsidRDefault="001B3344" w:rsidP="00B54292">
      <w:r w:rsidRPr="00D82F96">
        <w:t>C</w:t>
      </w:r>
      <w:r w:rsidR="000D3F5B" w:rsidRPr="00D82F96">
        <w:t>onception</w:t>
      </w:r>
      <w:r w:rsidRPr="00D82F96">
        <w:t>s</w:t>
      </w:r>
      <w:r w:rsidR="000D3F5B" w:rsidRPr="00D82F96">
        <w:t xml:space="preserve"> of the wider</w:t>
      </w:r>
      <w:r w:rsidRPr="00D82F96">
        <w:t xml:space="preserve"> purpose of H</w:t>
      </w:r>
      <w:r w:rsidR="00AB64DB" w:rsidRPr="00D82F96">
        <w:t>E</w:t>
      </w:r>
      <w:r w:rsidRPr="00D82F96">
        <w:t xml:space="preserve"> have</w:t>
      </w:r>
      <w:r w:rsidR="000D3F5B" w:rsidRPr="00D82F96">
        <w:t xml:space="preserve"> been historically contested, often oscillating between more pragmatic and liberal-humanist </w:t>
      </w:r>
      <w:r w:rsidR="00276120" w:rsidRPr="00D82F96">
        <w:t>conception</w:t>
      </w:r>
      <w:r w:rsidR="000A39F9" w:rsidRPr="00D82F96">
        <w:t>s</w:t>
      </w:r>
      <w:r w:rsidR="00276120" w:rsidRPr="00D82F96">
        <w:t xml:space="preserve"> of what graduates gain from the process </w:t>
      </w:r>
      <w:r w:rsidR="000D3F5B" w:rsidRPr="00D82F96">
        <w:t xml:space="preserve">(Pitman, 2020). This is complicated by the challenge of </w:t>
      </w:r>
      <w:r w:rsidR="00BB1A90" w:rsidRPr="00D82F96">
        <w:t xml:space="preserve">adopting </w:t>
      </w:r>
      <w:r w:rsidR="000D3F5B" w:rsidRPr="00D82F96">
        <w:t>a singular conception of ‘higher education’</w:t>
      </w:r>
      <w:r w:rsidR="00276120" w:rsidRPr="00D82F96">
        <w:t xml:space="preserve"> given</w:t>
      </w:r>
      <w:r w:rsidR="00DC3E8A" w:rsidRPr="00D82F96">
        <w:t xml:space="preserve"> its</w:t>
      </w:r>
      <w:r w:rsidR="00D73B4D" w:rsidRPr="00D82F96">
        <w:t xml:space="preserve"> multiple</w:t>
      </w:r>
      <w:r w:rsidR="00146786" w:rsidRPr="00D82F96">
        <w:t xml:space="preserve"> f</w:t>
      </w:r>
      <w:r w:rsidR="00DC3E8A" w:rsidRPr="00D82F96">
        <w:t>orms and delivery modes</w:t>
      </w:r>
      <w:r w:rsidR="00146786" w:rsidRPr="00D82F96">
        <w:t xml:space="preserve">. </w:t>
      </w:r>
      <w:r w:rsidR="00276120" w:rsidRPr="00D82F96">
        <w:t xml:space="preserve"> </w:t>
      </w:r>
      <w:r w:rsidR="000D3F5B" w:rsidRPr="00D82F96">
        <w:t>It is nonetheless clear in the present context that historical notions of what universities can offer</w:t>
      </w:r>
      <w:r w:rsidR="00C618CD" w:rsidRPr="00D82F96">
        <w:t xml:space="preserve"> individuals and societies based on the intellectual and moral development</w:t>
      </w:r>
      <w:r w:rsidR="00E270D9" w:rsidRPr="00D82F96">
        <w:t xml:space="preserve"> become</w:t>
      </w:r>
      <w:r w:rsidR="000C28FE" w:rsidRPr="00D82F96">
        <w:t xml:space="preserve"> superseded by more pervasive forms of economic instrumentalism</w:t>
      </w:r>
      <w:r w:rsidR="007075DD" w:rsidRPr="00D82F96">
        <w:t xml:space="preserve"> </w:t>
      </w:r>
      <w:r w:rsidR="00FC4035" w:rsidRPr="00D82F96">
        <w:t xml:space="preserve">that foregrounds </w:t>
      </w:r>
      <w:r w:rsidR="00FA1CE1" w:rsidRPr="00D82F96">
        <w:t>the vocational impact</w:t>
      </w:r>
      <w:r w:rsidR="007075DD" w:rsidRPr="00D82F96">
        <w:t xml:space="preserve"> of qualifications</w:t>
      </w:r>
      <w:r w:rsidR="000C28FE" w:rsidRPr="00D82F96">
        <w:t>.</w:t>
      </w:r>
      <w:r w:rsidR="00C618CD" w:rsidRPr="00D82F96">
        <w:t xml:space="preserve"> </w:t>
      </w:r>
      <w:r w:rsidR="000C28FE" w:rsidRPr="00D82F96">
        <w:t xml:space="preserve">Governments have endorsed the view of </w:t>
      </w:r>
      <w:r w:rsidR="00831C36" w:rsidRPr="00D82F96">
        <w:t xml:space="preserve">the </w:t>
      </w:r>
      <w:r w:rsidR="000C28FE" w:rsidRPr="00D82F96">
        <w:t>benefits of</w:t>
      </w:r>
      <w:r w:rsidR="00AB64DB" w:rsidRPr="00D82F96">
        <w:t xml:space="preserve"> HE</w:t>
      </w:r>
      <w:r w:rsidR="000C28FE" w:rsidRPr="00D82F96">
        <w:t xml:space="preserve"> in principally economic terms and which can be measured in economic terms</w:t>
      </w:r>
      <w:r w:rsidR="007075DD" w:rsidRPr="00D82F96">
        <w:t xml:space="preserve"> (i.e</w:t>
      </w:r>
      <w:r w:rsidR="0071781C" w:rsidRPr="00D82F96">
        <w:t>.</w:t>
      </w:r>
      <w:r w:rsidR="00E20F2A">
        <w:t>,</w:t>
      </w:r>
      <w:r w:rsidR="007075DD" w:rsidRPr="00D82F96">
        <w:t xml:space="preserve"> individual returns on human capital and more aggregate</w:t>
      </w:r>
      <w:r w:rsidR="0071781C" w:rsidRPr="00D82F96">
        <w:t>d</w:t>
      </w:r>
      <w:r w:rsidR="007075DD" w:rsidRPr="00D82F96">
        <w:t xml:space="preserve"> GDP gain)</w:t>
      </w:r>
      <w:r w:rsidR="000C28FE" w:rsidRPr="00D82F96">
        <w:t xml:space="preserve">. </w:t>
      </w:r>
      <w:r w:rsidR="00BE2420" w:rsidRPr="00D82F96">
        <w:t xml:space="preserve">One of the dominant features of the </w:t>
      </w:r>
      <w:r w:rsidR="00FC4035" w:rsidRPr="00D82F96">
        <w:t>HE policy in most national contexts</w:t>
      </w:r>
      <w:r w:rsidR="000619FA" w:rsidRPr="00D82F96">
        <w:rPr>
          <w:rStyle w:val="CommentReference"/>
          <w:rFonts w:cs="Times New Roman"/>
          <w:sz w:val="24"/>
          <w:szCs w:val="24"/>
        </w:rPr>
        <w:t xml:space="preserve"> i</w:t>
      </w:r>
      <w:r w:rsidR="00BE2420" w:rsidRPr="00D82F96">
        <w:t xml:space="preserve">s the equation of value to economically-based outcomes, including students’ employability and the relative market value of degrees </w:t>
      </w:r>
      <w:r w:rsidR="00E20F2A">
        <w:t>–</w:t>
      </w:r>
      <w:r w:rsidR="00BE2420" w:rsidRPr="00D82F96">
        <w:t xml:space="preserve"> hence the foregrounding of ‘value for money’. </w:t>
      </w:r>
    </w:p>
    <w:p w14:paraId="1C9147D2" w14:textId="2AC24876" w:rsidR="00620A26" w:rsidRPr="00D82F96" w:rsidRDefault="00BE2420" w:rsidP="00B54292">
      <w:r w:rsidRPr="00D82F96">
        <w:t xml:space="preserve">This broader ideological shift is </w:t>
      </w:r>
      <w:r w:rsidR="001760D7" w:rsidRPr="00D82F96">
        <w:t xml:space="preserve">accompanied by a range of </w:t>
      </w:r>
      <w:r w:rsidR="002E2FC6" w:rsidRPr="00D82F96">
        <w:t xml:space="preserve">immediate </w:t>
      </w:r>
      <w:r w:rsidR="00831C36" w:rsidRPr="00D82F96">
        <w:t>policy levers</w:t>
      </w:r>
      <w:r w:rsidR="007075DD" w:rsidRPr="00D82F96">
        <w:t xml:space="preserve"> which </w:t>
      </w:r>
      <w:r w:rsidR="00891854" w:rsidRPr="00D82F96">
        <w:t xml:space="preserve">are </w:t>
      </w:r>
      <w:r w:rsidR="007075DD" w:rsidRPr="00D82F96">
        <w:t>aim</w:t>
      </w:r>
      <w:r w:rsidR="00891854" w:rsidRPr="00D82F96">
        <w:t>ed</w:t>
      </w:r>
      <w:r w:rsidR="007075DD" w:rsidRPr="00D82F96">
        <w:t xml:space="preserve"> towards</w:t>
      </w:r>
      <w:r w:rsidR="00891854" w:rsidRPr="00D82F96">
        <w:t xml:space="preserve"> translating</w:t>
      </w:r>
      <w:r w:rsidR="00A01E49" w:rsidRPr="00D82F96">
        <w:t xml:space="preserve"> </w:t>
      </w:r>
      <w:r w:rsidR="00FC4035" w:rsidRPr="00D82F96">
        <w:t xml:space="preserve">the marketization ethic into </w:t>
      </w:r>
      <w:r w:rsidR="00A01E49" w:rsidRPr="00D82F96">
        <w:t xml:space="preserve">institutional praxis. </w:t>
      </w:r>
      <w:r w:rsidR="008C17ED" w:rsidRPr="00D82F96">
        <w:t xml:space="preserve">The efforts </w:t>
      </w:r>
      <w:r w:rsidR="001760D7" w:rsidRPr="00D82F96">
        <w:t>to meet</w:t>
      </w:r>
      <w:r w:rsidR="008C17ED" w:rsidRPr="00D82F96">
        <w:t xml:space="preserve"> the changing economic context </w:t>
      </w:r>
      <w:r w:rsidR="001760D7" w:rsidRPr="00D82F96">
        <w:t>beyond</w:t>
      </w:r>
      <w:r w:rsidR="008C17ED" w:rsidRPr="00D82F96">
        <w:t xml:space="preserve"> institutions is manifest in three dominant policy drivers, all of which have a strong imprint of economic rationality: the drive to enhance quality, the move towards a more economically-facing pedagogic design</w:t>
      </w:r>
      <w:r w:rsidR="00E20F2A">
        <w:t>,</w:t>
      </w:r>
      <w:r w:rsidR="008C17ED" w:rsidRPr="00D82F96">
        <w:t xml:space="preserve"> and the gradual increase in private costs of participating in HE.</w:t>
      </w:r>
      <w:r w:rsidR="00DF33B9" w:rsidRPr="00D82F96">
        <w:t xml:space="preserve"> </w:t>
      </w:r>
      <w:r w:rsidR="00164626" w:rsidRPr="00D82F96">
        <w:t>The first of these is reflect</w:t>
      </w:r>
      <w:r w:rsidR="00DF33B9" w:rsidRPr="00D82F96">
        <w:t>ed</w:t>
      </w:r>
      <w:r w:rsidR="00164626" w:rsidRPr="00D82F96">
        <w:t xml:space="preserve"> in an overarching policy approach towards quality regulation which has been a hallmark of most HE syst</w:t>
      </w:r>
      <w:r w:rsidR="002E531A" w:rsidRPr="00D82F96">
        <w:t>ems over the past three decades</w:t>
      </w:r>
      <w:r w:rsidR="00793424" w:rsidRPr="00D82F96">
        <w:t xml:space="preserve"> (Bendixen </w:t>
      </w:r>
      <w:r w:rsidR="00E20F2A">
        <w:t xml:space="preserve">&amp; </w:t>
      </w:r>
      <w:r w:rsidR="00793424" w:rsidRPr="00D82F96">
        <w:t>Jacobsen, 2017)</w:t>
      </w:r>
      <w:r w:rsidR="00F64E9D" w:rsidRPr="00D82F96">
        <w:t>.</w:t>
      </w:r>
      <w:r w:rsidR="002E531A" w:rsidRPr="00D82F96">
        <w:t xml:space="preserve"> </w:t>
      </w:r>
      <w:r w:rsidR="00A21296" w:rsidRPr="00D82F96">
        <w:t>In marke</w:t>
      </w:r>
      <w:r w:rsidR="00DF33B9" w:rsidRPr="00D82F96">
        <w:t>t</w:t>
      </w:r>
      <w:r w:rsidR="00A21296" w:rsidRPr="00D82F96">
        <w:t xml:space="preserve">-driven systems, a guiding reference point in the formal </w:t>
      </w:r>
      <w:r w:rsidR="002E531A" w:rsidRPr="00D82F96">
        <w:t>assessment of quality</w:t>
      </w:r>
      <w:r w:rsidR="00A21296" w:rsidRPr="00D82F96">
        <w:t xml:space="preserve"> has become the fit-for-</w:t>
      </w:r>
      <w:r w:rsidR="00DF33B9" w:rsidRPr="00D82F96">
        <w:t>purpose-ness of provision and how effectively the through-puts help convert</w:t>
      </w:r>
      <w:r w:rsidR="001B0159" w:rsidRPr="00D82F96">
        <w:t xml:space="preserve"> inputs (students’ potentials and abilities on entering</w:t>
      </w:r>
      <w:r w:rsidR="002E531A" w:rsidRPr="00D82F96">
        <w:t>)</w:t>
      </w:r>
      <w:r w:rsidR="001B0159" w:rsidRPr="00D82F96">
        <w:t xml:space="preserve"> into </w:t>
      </w:r>
      <w:r w:rsidR="00F64E9D" w:rsidRPr="00D82F96">
        <w:t>effective</w:t>
      </w:r>
      <w:r w:rsidR="001B0159" w:rsidRPr="00D82F96">
        <w:t xml:space="preserve"> </w:t>
      </w:r>
      <w:r w:rsidR="00F64E9D" w:rsidRPr="00D82F96">
        <w:t>outputs and outcomes</w:t>
      </w:r>
      <w:r w:rsidR="002E531A" w:rsidRPr="00D82F96">
        <w:t xml:space="preserve"> in the form of skilled labour.</w:t>
      </w:r>
    </w:p>
    <w:p w14:paraId="659E964A" w14:textId="3069559E" w:rsidR="00620A26" w:rsidRPr="00D82F96" w:rsidRDefault="00620A26" w:rsidP="00B54292">
      <w:r w:rsidRPr="00D82F96">
        <w:t>In the UK, for example, since the start of 2010</w:t>
      </w:r>
      <w:r w:rsidR="000619FA" w:rsidRPr="00D82F96">
        <w:t>s</w:t>
      </w:r>
      <w:r w:rsidRPr="00D82F96">
        <w:t xml:space="preserve"> there have been stronger moves to ensure that there is more </w:t>
      </w:r>
      <w:r w:rsidR="00E270D9" w:rsidRPr="00D82F96">
        <w:t>immediate public</w:t>
      </w:r>
      <w:r w:rsidRPr="00D82F96">
        <w:t xml:space="preserve"> information about the value of different institutions. Institutions are obliged to publish key information sets about specific outcome they generate and how this compares relative to other institutions in national </w:t>
      </w:r>
      <w:r w:rsidRPr="00D82F96">
        <w:lastRenderedPageBreak/>
        <w:t xml:space="preserve">league rankings. The more recent </w:t>
      </w:r>
      <w:r w:rsidR="0094412D" w:rsidRPr="00D82F96">
        <w:t>‘</w:t>
      </w:r>
      <w:r w:rsidRPr="00D82F96">
        <w:t>Teaching Excellence F</w:t>
      </w:r>
      <w:r w:rsidR="00E270D9" w:rsidRPr="00D82F96">
        <w:t>ramework</w:t>
      </w:r>
      <w:r w:rsidR="0094412D" w:rsidRPr="00D82F96">
        <w:t>’</w:t>
      </w:r>
      <w:r w:rsidR="00E270D9" w:rsidRPr="00D82F96">
        <w:t xml:space="preserve"> (TEF) uses explicit proxies</w:t>
      </w:r>
      <w:r w:rsidRPr="00D82F96">
        <w:t xml:space="preserve"> of quality in terms of student satisfaction scores, retention, widening participation and graduate employment returns to assess the value-added </w:t>
      </w:r>
      <w:r w:rsidR="00FA1CE1" w:rsidRPr="00D82F96">
        <w:t>associat</w:t>
      </w:r>
      <w:r w:rsidR="009B0426" w:rsidRPr="00D82F96">
        <w:t>ed with each university (</w:t>
      </w:r>
      <w:r w:rsidR="001549D3" w:rsidRPr="001549D3">
        <w:rPr>
          <w:highlight w:val="yellow"/>
        </w:rPr>
        <w:t>Tomlinson, Enders and Naidoo</w:t>
      </w:r>
      <w:r w:rsidR="000A39F9" w:rsidRPr="001549D3">
        <w:rPr>
          <w:highlight w:val="yellow"/>
        </w:rPr>
        <w:t xml:space="preserve"> 20</w:t>
      </w:r>
      <w:r w:rsidR="00EF361D" w:rsidRPr="00EF361D">
        <w:rPr>
          <w:highlight w:val="yellow"/>
        </w:rPr>
        <w:t>20</w:t>
      </w:r>
      <w:r w:rsidR="00FA1CE1" w:rsidRPr="00D82F96">
        <w:t>).</w:t>
      </w:r>
      <w:r w:rsidRPr="00D82F96">
        <w:t xml:space="preserve"> The latter is a very significant component in how the public value of an i</w:t>
      </w:r>
      <w:r w:rsidR="00E270D9" w:rsidRPr="00D82F96">
        <w:t>nstitution is appraised and used as a market strategy to signal institutions’ value-added</w:t>
      </w:r>
      <w:r w:rsidR="001370A2" w:rsidRPr="00D82F96">
        <w:t>-ness</w:t>
      </w:r>
      <w:r w:rsidR="00FA1CE1" w:rsidRPr="00D82F96">
        <w:t xml:space="preserve"> against other providers. </w:t>
      </w:r>
    </w:p>
    <w:p w14:paraId="54F32FF4" w14:textId="31EC1D6F" w:rsidR="00FA1CE1" w:rsidRPr="00D82F96" w:rsidRDefault="00002297" w:rsidP="00B54292">
      <w:r w:rsidRPr="00D82F96">
        <w:t xml:space="preserve">The second dominant policy driver has been the </w:t>
      </w:r>
      <w:r w:rsidR="00F71C67" w:rsidRPr="00D82F96">
        <w:t>re</w:t>
      </w:r>
      <w:r w:rsidR="00472AF8" w:rsidRPr="00D82F96">
        <w:t>shaping</w:t>
      </w:r>
      <w:r w:rsidRPr="00D82F96">
        <w:t xml:space="preserve"> of curricula towards vocational relevance and preparation, often under the remit </w:t>
      </w:r>
      <w:r w:rsidR="001F063F" w:rsidRPr="00D82F96">
        <w:t>of more skills-driven pedagogic principles</w:t>
      </w:r>
      <w:r w:rsidRPr="00D82F96">
        <w:t>.</w:t>
      </w:r>
      <w:r w:rsidR="00F64E9D" w:rsidRPr="00D82F96">
        <w:t xml:space="preserve"> </w:t>
      </w:r>
      <w:r w:rsidR="00D856D9" w:rsidRPr="00D82F96">
        <w:t>T</w:t>
      </w:r>
      <w:r w:rsidR="00812161" w:rsidRPr="00D82F96">
        <w:t>his has worked in tandem with the ideology of eco</w:t>
      </w:r>
      <w:r w:rsidR="00D856D9" w:rsidRPr="00D82F96">
        <w:t xml:space="preserve">nomic instrumentalism and </w:t>
      </w:r>
      <w:r w:rsidR="00831C36" w:rsidRPr="00D82F96">
        <w:t>the continued charge against</w:t>
      </w:r>
      <w:r w:rsidR="00812161" w:rsidRPr="00D82F96">
        <w:t xml:space="preserve"> traditional</w:t>
      </w:r>
      <w:r w:rsidR="001F063F" w:rsidRPr="00D82F96">
        <w:t xml:space="preserve"> learning being misaligned</w:t>
      </w:r>
      <w:r w:rsidR="00F65EA0" w:rsidRPr="00D82F96">
        <w:t xml:space="preserve"> to the</w:t>
      </w:r>
      <w:r w:rsidR="001370A2" w:rsidRPr="00D82F96">
        <w:t xml:space="preserve"> d</w:t>
      </w:r>
      <w:r w:rsidR="00D73B4D" w:rsidRPr="00D82F96">
        <w:t>emands of industry</w:t>
      </w:r>
      <w:r w:rsidR="001F063F" w:rsidRPr="00D82F96">
        <w:t xml:space="preserve">.  </w:t>
      </w:r>
      <w:r w:rsidR="00342714" w:rsidRPr="00D82F96">
        <w:t>This move fits closely with</w:t>
      </w:r>
      <w:r w:rsidR="006B1A0E" w:rsidRPr="00D82F96">
        <w:t xml:space="preserve"> the human capital paradigm which conceives HE as a supplier of</w:t>
      </w:r>
      <w:r w:rsidR="00754F0E" w:rsidRPr="00D82F96">
        <w:t xml:space="preserve"> the most economically beneficial skills</w:t>
      </w:r>
      <w:r w:rsidR="006B1A0E" w:rsidRPr="00D82F96">
        <w:t>. However, when adopted in public policy a contradictory strain emerges on the value of university-generated skills</w:t>
      </w:r>
      <w:r w:rsidR="00754F0E" w:rsidRPr="00D82F96">
        <w:t>: whilst at one level it is taken as axiomatic that a higher education generate</w:t>
      </w:r>
      <w:r w:rsidR="00D71DD7" w:rsidRPr="00D82F96">
        <w:t>s</w:t>
      </w:r>
      <w:r w:rsidR="00754F0E" w:rsidRPr="00D82F96">
        <w:t xml:space="preserve"> higher skills, this is still seen to fall short of labour market needs.</w:t>
      </w:r>
      <w:r w:rsidR="00FA1CE1" w:rsidRPr="00D82F96">
        <w:t xml:space="preserve"> Thus, the movement toward more applied, decentred and cross-boundary knowledge (mode 2) – what students can ‘do and ‘apply’ on leaving HE </w:t>
      </w:r>
      <w:r w:rsidR="00E20F2A">
        <w:t>–</w:t>
      </w:r>
      <w:r w:rsidR="00FA1CE1" w:rsidRPr="00D82F96">
        <w:t xml:space="preserve"> signals a sea-change in what learning in HE is meant to entail</w:t>
      </w:r>
      <w:r w:rsidR="00421087" w:rsidRPr="00D82F96">
        <w:t xml:space="preserve"> (Barnett, 2012</w:t>
      </w:r>
      <w:r w:rsidR="007D59E5" w:rsidRPr="00D82F96">
        <w:t>)</w:t>
      </w:r>
      <w:r w:rsidR="00FA1CE1" w:rsidRPr="00D82F96">
        <w:t>. The upsurge of ‘employability skills’ initiatives geared towards raising students’ functional capabilities when entering the labour force exemplifies a growing fixation amongst all stakeholders with the functional value of HE credentials and how they can be strengthened.</w:t>
      </w:r>
    </w:p>
    <w:p w14:paraId="10838D11" w14:textId="5BE6BBA4" w:rsidR="00FA1CE1" w:rsidRPr="00D82F96" w:rsidRDefault="00FA1CE1" w:rsidP="00E20F2A">
      <w:r w:rsidRPr="00D82F96">
        <w:t>Universities’ adoption of skills discourses and practices in part reflects the ideological imperative for closer alliance between HE and industry and a response to the demands from external stakeholders, namely policy makers and employers. Yet this has proliferated to the point where vast taxonomies of codified skills frameworks, often formally written into programme speci</w:t>
      </w:r>
      <w:r w:rsidR="00696B1D" w:rsidRPr="00D82F96">
        <w:t>fications, have come to dominate</w:t>
      </w:r>
      <w:r w:rsidRPr="00D82F96">
        <w:t xml:space="preserve"> pedagogic pursuits. However, the specific relationship between such practices and the outcomes of graduates is problematic on numerous grounds, but not least because the perspectives of employers on skills is complex and some</w:t>
      </w:r>
      <w:r w:rsidR="000242EE" w:rsidRPr="00D82F96">
        <w:t>times contradictory (</w:t>
      </w:r>
      <w:r w:rsidR="001549D3" w:rsidRPr="001549D3">
        <w:rPr>
          <w:highlight w:val="yellow"/>
        </w:rPr>
        <w:t>Suleman, 201</w:t>
      </w:r>
      <w:r w:rsidR="00E03C0C">
        <w:rPr>
          <w:highlight w:val="yellow"/>
        </w:rPr>
        <w:t>8</w:t>
      </w:r>
      <w:r w:rsidRPr="001549D3">
        <w:rPr>
          <w:highlight w:val="yellow"/>
        </w:rPr>
        <w:t>)</w:t>
      </w:r>
      <w:r w:rsidRPr="00D82F96">
        <w:t xml:space="preserve">. </w:t>
      </w:r>
    </w:p>
    <w:p w14:paraId="6CE680A7" w14:textId="77777777" w:rsidR="00B54292" w:rsidRDefault="00B54292" w:rsidP="00E20F2A">
      <w:pPr>
        <w:ind w:firstLine="0"/>
        <w:jc w:val="both"/>
        <w:rPr>
          <w:rFonts w:cs="Times New Roman"/>
          <w:b/>
          <w:iCs/>
          <w:szCs w:val="24"/>
        </w:rPr>
      </w:pPr>
    </w:p>
    <w:p w14:paraId="50BAA0DD" w14:textId="77777777" w:rsidR="00E20F2A" w:rsidRDefault="00E20F2A" w:rsidP="00E20F2A">
      <w:pPr>
        <w:ind w:firstLine="0"/>
        <w:jc w:val="both"/>
        <w:rPr>
          <w:rFonts w:cs="Times New Roman"/>
          <w:b/>
          <w:iCs/>
          <w:szCs w:val="24"/>
        </w:rPr>
      </w:pPr>
    </w:p>
    <w:p w14:paraId="124A5C20" w14:textId="57EEE639" w:rsidR="00F11ECD" w:rsidRPr="00D82F96" w:rsidRDefault="00F11ECD" w:rsidP="00E20F2A">
      <w:pPr>
        <w:ind w:firstLine="0"/>
        <w:jc w:val="both"/>
        <w:rPr>
          <w:rFonts w:cs="Times New Roman"/>
          <w:b/>
          <w:iCs/>
          <w:szCs w:val="24"/>
        </w:rPr>
      </w:pPr>
      <w:r w:rsidRPr="00D82F96">
        <w:rPr>
          <w:rFonts w:cs="Times New Roman"/>
          <w:b/>
          <w:iCs/>
          <w:szCs w:val="24"/>
        </w:rPr>
        <w:t>Competitive accountability versus professional accountability</w:t>
      </w:r>
    </w:p>
    <w:p w14:paraId="22BA21A3" w14:textId="77777777" w:rsidR="00E20F2A" w:rsidRDefault="00E20F2A" w:rsidP="00E20F2A">
      <w:pPr>
        <w:ind w:firstLine="0"/>
      </w:pPr>
    </w:p>
    <w:p w14:paraId="4A841818" w14:textId="4F6205BF" w:rsidR="00D759A5" w:rsidRPr="00D82F96" w:rsidRDefault="00065237" w:rsidP="00E20F2A">
      <w:pPr>
        <w:ind w:firstLine="0"/>
      </w:pPr>
      <w:r w:rsidRPr="00D82F96">
        <w:t xml:space="preserve">The intensification of performance demands on </w:t>
      </w:r>
      <w:r w:rsidR="00F87067" w:rsidRPr="00D82F96">
        <w:t xml:space="preserve">universities </w:t>
      </w:r>
      <w:r w:rsidRPr="00D82F96">
        <w:t>as players within an aggressively competitive</w:t>
      </w:r>
      <w:r w:rsidR="0084423F" w:rsidRPr="00D82F96">
        <w:t xml:space="preserve">, diversified and globally sprawling </w:t>
      </w:r>
      <w:r w:rsidR="00AB64DB" w:rsidRPr="00D82F96">
        <w:t>HE</w:t>
      </w:r>
      <w:r w:rsidR="00F87067" w:rsidRPr="00D82F96">
        <w:t xml:space="preserve"> </w:t>
      </w:r>
      <w:r w:rsidRPr="00D82F96">
        <w:t>marketplace – specifically in</w:t>
      </w:r>
      <w:r w:rsidR="006E07E8" w:rsidRPr="00D82F96">
        <w:t xml:space="preserve"> relation to</w:t>
      </w:r>
      <w:r w:rsidRPr="00D82F96">
        <w:t xml:space="preserve"> attracting and retaining </w:t>
      </w:r>
      <w:r w:rsidR="001C75BC" w:rsidRPr="00D82F96">
        <w:t>students</w:t>
      </w:r>
      <w:r w:rsidR="00AB5667" w:rsidRPr="00D82F96">
        <w:t>;</w:t>
      </w:r>
      <w:r w:rsidR="009C427B" w:rsidRPr="00D82F96">
        <w:t xml:space="preserve"> </w:t>
      </w:r>
      <w:r w:rsidR="001C75BC" w:rsidRPr="00D82F96">
        <w:t xml:space="preserve">in many </w:t>
      </w:r>
      <w:r w:rsidR="008D2ABB" w:rsidRPr="00D82F96">
        <w:t>sectors</w:t>
      </w:r>
      <w:r w:rsidR="001C75BC" w:rsidRPr="00D82F96">
        <w:t xml:space="preserve"> </w:t>
      </w:r>
      <w:r w:rsidR="009C427B" w:rsidRPr="00D82F96">
        <w:t xml:space="preserve">as </w:t>
      </w:r>
      <w:r w:rsidR="001C75BC" w:rsidRPr="00D82F96">
        <w:t xml:space="preserve">high-paying customers – has </w:t>
      </w:r>
      <w:r w:rsidR="00F87067" w:rsidRPr="00D82F96">
        <w:t>caused to re</w:t>
      </w:r>
      <w:r w:rsidR="003C07FF" w:rsidRPr="00D82F96">
        <w:t>set</w:t>
      </w:r>
      <w:r w:rsidR="00F87067" w:rsidRPr="00D82F96">
        <w:t xml:space="preserve"> the parameters of pedagogical praxis and </w:t>
      </w:r>
      <w:r w:rsidR="001C75BC" w:rsidRPr="00D82F96">
        <w:t>alter expectations of academics as frontline</w:t>
      </w:r>
      <w:r w:rsidR="009C427B" w:rsidRPr="00D82F96">
        <w:t xml:space="preserve"> educational</w:t>
      </w:r>
      <w:r w:rsidR="001C75BC" w:rsidRPr="00D82F96">
        <w:t xml:space="preserve"> providers</w:t>
      </w:r>
      <w:r w:rsidR="00F87067" w:rsidRPr="00D82F96">
        <w:t>.</w:t>
      </w:r>
      <w:r w:rsidR="0084423F" w:rsidRPr="00D82F96">
        <w:t xml:space="preserve"> </w:t>
      </w:r>
      <w:r w:rsidR="00D759A5" w:rsidRPr="00D82F96">
        <w:t>There is perhaps no greater evidence of the hold of consumer-demands over higher education pedagogy than what has been revealed through the COVID-19 pandemic, and widespread concerns that the physical closure of universities and a transition from face-to-face to online learning, teaching and assessment will discourage new applicants</w:t>
      </w:r>
      <w:r w:rsidR="00560B69" w:rsidRPr="00D82F96">
        <w:t xml:space="preserve"> to universities and</w:t>
      </w:r>
      <w:r w:rsidR="00D759A5" w:rsidRPr="00D82F96">
        <w:t xml:space="preserve"> severely diminish revenue ge</w:t>
      </w:r>
      <w:r w:rsidR="00C436DD" w:rsidRPr="00D82F96">
        <w:t xml:space="preserve">nerated through tuition </w:t>
      </w:r>
      <w:r w:rsidR="00C436DD" w:rsidRPr="001549D3">
        <w:rPr>
          <w:highlight w:val="yellow"/>
        </w:rPr>
        <w:t>(</w:t>
      </w:r>
      <w:r w:rsidR="001549D3" w:rsidRPr="001549D3">
        <w:rPr>
          <w:highlight w:val="yellow"/>
        </w:rPr>
        <w:t>Watermeyer</w:t>
      </w:r>
      <w:r w:rsidR="00EF361D">
        <w:rPr>
          <w:highlight w:val="yellow"/>
        </w:rPr>
        <w:t xml:space="preserve"> et al,</w:t>
      </w:r>
      <w:r w:rsidR="00D759A5" w:rsidRPr="001549D3">
        <w:rPr>
          <w:highlight w:val="yellow"/>
        </w:rPr>
        <w:t xml:space="preserve"> 2020).</w:t>
      </w:r>
    </w:p>
    <w:p w14:paraId="5D33E379" w14:textId="0FC9BDEA" w:rsidR="00445F1B" w:rsidRPr="00D82F96" w:rsidRDefault="0050186A" w:rsidP="00B54292">
      <w:r w:rsidRPr="00D82F96">
        <w:t>While t</w:t>
      </w:r>
      <w:r w:rsidR="007462E1" w:rsidRPr="00D82F96">
        <w:t>he financial investment made by students in</w:t>
      </w:r>
      <w:r w:rsidR="00AB64DB" w:rsidRPr="00D82F96">
        <w:t xml:space="preserve"> HE</w:t>
      </w:r>
      <w:r w:rsidR="007462E1" w:rsidRPr="00D82F96">
        <w:t xml:space="preserve"> quite legitimately demands, much as any consumer transaction, that the product of their purchase is subject to </w:t>
      </w:r>
      <w:r w:rsidR="00FB07BA" w:rsidRPr="00D82F96">
        <w:t>scrutiny</w:t>
      </w:r>
      <w:r w:rsidR="00042D88" w:rsidRPr="00D82F96">
        <w:t xml:space="preserve"> and confirmation of quality</w:t>
      </w:r>
      <w:r w:rsidRPr="00D82F96">
        <w:t xml:space="preserve">, </w:t>
      </w:r>
      <w:r w:rsidR="007D0F4E" w:rsidRPr="00D82F96">
        <w:t>university lecturers</w:t>
      </w:r>
      <w:r w:rsidRPr="00D82F96">
        <w:t xml:space="preserve"> now confront </w:t>
      </w:r>
      <w:r w:rsidR="009C427B" w:rsidRPr="00D82F96">
        <w:t>endless</w:t>
      </w:r>
      <w:r w:rsidR="007462E1" w:rsidRPr="00D82F96">
        <w:t xml:space="preserve"> </w:t>
      </w:r>
      <w:r w:rsidR="009C427B" w:rsidRPr="00D82F96">
        <w:t xml:space="preserve">and inescapable instances of performance </w:t>
      </w:r>
      <w:r w:rsidR="002E38F6" w:rsidRPr="00D82F96">
        <w:t>evaluation</w:t>
      </w:r>
      <w:r w:rsidR="00FE6649" w:rsidRPr="00D82F96">
        <w:t>;</w:t>
      </w:r>
      <w:r w:rsidR="00A650BD" w:rsidRPr="00D82F96">
        <w:t xml:space="preserve"> designed to confer </w:t>
      </w:r>
      <w:r w:rsidR="00656E27" w:rsidRPr="00D82F96">
        <w:lastRenderedPageBreak/>
        <w:t>credibility</w:t>
      </w:r>
      <w:r w:rsidR="00A650BD" w:rsidRPr="00D82F96">
        <w:t xml:space="preserve"> and re</w:t>
      </w:r>
      <w:r w:rsidR="007D0E51" w:rsidRPr="00D82F96">
        <w:t>s</w:t>
      </w:r>
      <w:r w:rsidR="00A650BD" w:rsidRPr="00D82F96">
        <w:t>p</w:t>
      </w:r>
      <w:r w:rsidR="00656E27" w:rsidRPr="00D82F96">
        <w:t>ectability</w:t>
      </w:r>
      <w:r w:rsidR="00A650BD" w:rsidRPr="00D82F96">
        <w:t xml:space="preserve"> </w:t>
      </w:r>
      <w:r w:rsidR="00B10BAB" w:rsidRPr="00D82F96">
        <w:t>to</w:t>
      </w:r>
      <w:r w:rsidR="00A650BD" w:rsidRPr="00D82F96">
        <w:t xml:space="preserve"> their offering</w:t>
      </w:r>
      <w:r w:rsidR="00F2639B" w:rsidRPr="00D82F96">
        <w:t xml:space="preserve"> – a feature of their ‘responsibilisation’ and </w:t>
      </w:r>
      <w:r w:rsidR="00A650BD" w:rsidRPr="00D82F96">
        <w:t>analogously their institution as a market provider</w:t>
      </w:r>
      <w:r w:rsidR="00FE6649" w:rsidRPr="00D82F96">
        <w:t>,</w:t>
      </w:r>
      <w:r w:rsidR="00FB07BA" w:rsidRPr="00D82F96">
        <w:t xml:space="preserve"> yet which equally often</w:t>
      </w:r>
      <w:r w:rsidR="00042D88" w:rsidRPr="00D82F96">
        <w:t xml:space="preserve"> provide</w:t>
      </w:r>
      <w:r w:rsidR="00FB07BA" w:rsidRPr="00D82F96">
        <w:t xml:space="preserve"> </w:t>
      </w:r>
      <w:r w:rsidR="00FE6649" w:rsidRPr="00D82F96">
        <w:t xml:space="preserve">scant </w:t>
      </w:r>
      <w:r w:rsidR="00042D88" w:rsidRPr="00D82F96">
        <w:t>insight into</w:t>
      </w:r>
      <w:r w:rsidR="00FB07BA" w:rsidRPr="00D82F96">
        <w:t xml:space="preserve"> </w:t>
      </w:r>
      <w:r w:rsidR="00042D88" w:rsidRPr="00D82F96">
        <w:t>the</w:t>
      </w:r>
      <w:r w:rsidR="00FB07BA" w:rsidRPr="00D82F96">
        <w:t xml:space="preserve"> </w:t>
      </w:r>
      <w:r w:rsidR="008D2ABB" w:rsidRPr="00D82F96">
        <w:t xml:space="preserve">pedagogical </w:t>
      </w:r>
      <w:r w:rsidR="00042D88" w:rsidRPr="00D82F96">
        <w:t>experience</w:t>
      </w:r>
      <w:r w:rsidR="009E2195" w:rsidRPr="00D82F96">
        <w:t xml:space="preserve"> (</w:t>
      </w:r>
      <w:r w:rsidR="002F7FD8" w:rsidRPr="00D82F96">
        <w:t xml:space="preserve">Amsler </w:t>
      </w:r>
      <w:r w:rsidR="00E20F2A">
        <w:t xml:space="preserve">&amp; </w:t>
      </w:r>
      <w:r w:rsidR="002F7FD8" w:rsidRPr="00D82F96">
        <w:t>Shore</w:t>
      </w:r>
      <w:r w:rsidR="00E20F2A">
        <w:t>,</w:t>
      </w:r>
      <w:r w:rsidR="002F7FD8" w:rsidRPr="00D82F96">
        <w:t xml:space="preserve"> 2015</w:t>
      </w:r>
      <w:r w:rsidR="009E2195" w:rsidRPr="00D82F96">
        <w:t>)</w:t>
      </w:r>
      <w:r w:rsidRPr="00D82F96">
        <w:t>.</w:t>
      </w:r>
      <w:r w:rsidR="008D2ABB" w:rsidRPr="00D82F96">
        <w:t xml:space="preserve"> Instead, eva</w:t>
      </w:r>
      <w:r w:rsidR="00B64DE6" w:rsidRPr="00D82F96">
        <w:t xml:space="preserve">luation exercises focus </w:t>
      </w:r>
      <w:r w:rsidR="008D2ABB" w:rsidRPr="00D82F96">
        <w:t>on information</w:t>
      </w:r>
      <w:r w:rsidR="00656E27" w:rsidRPr="00D82F96">
        <w:t xml:space="preserve"> </w:t>
      </w:r>
      <w:r w:rsidR="008912F6" w:rsidRPr="00D82F96">
        <w:t>that may well be</w:t>
      </w:r>
      <w:r w:rsidR="008D2ABB" w:rsidRPr="00D82F96">
        <w:t xml:space="preserve"> efficiently and easily</w:t>
      </w:r>
      <w:r w:rsidR="00656E27" w:rsidRPr="00D82F96">
        <w:t xml:space="preserve"> </w:t>
      </w:r>
      <w:r w:rsidR="008912F6" w:rsidRPr="00D82F96">
        <w:t>retrieved but is of limited depth</w:t>
      </w:r>
      <w:r w:rsidR="007D0F4E" w:rsidRPr="00D82F96">
        <w:t xml:space="preserve"> and value</w:t>
      </w:r>
      <w:r w:rsidR="008912F6" w:rsidRPr="00D82F96">
        <w:t>,</w:t>
      </w:r>
      <w:r w:rsidR="00656E27" w:rsidRPr="00D82F96">
        <w:t xml:space="preserve"> </w:t>
      </w:r>
      <w:r w:rsidR="008912F6" w:rsidRPr="00D82F96">
        <w:t xml:space="preserve">tending </w:t>
      </w:r>
      <w:r w:rsidR="008D2ABB" w:rsidRPr="00D82F96">
        <w:t>t</w:t>
      </w:r>
      <w:r w:rsidR="00FE6649" w:rsidRPr="00D82F96">
        <w:t>o be</w:t>
      </w:r>
      <w:r w:rsidR="007D0E51" w:rsidRPr="00D82F96">
        <w:t xml:space="preserve"> </w:t>
      </w:r>
      <w:r w:rsidR="008D2ABB" w:rsidRPr="00D82F96">
        <w:t xml:space="preserve">attitudinal and anecdotal </w:t>
      </w:r>
      <w:r w:rsidR="00FE6649" w:rsidRPr="00D82F96">
        <w:t xml:space="preserve">rather </w:t>
      </w:r>
      <w:r w:rsidR="008D2ABB" w:rsidRPr="00D82F96">
        <w:t>than strictly empirical</w:t>
      </w:r>
      <w:r w:rsidR="003C07FF" w:rsidRPr="00D82F96">
        <w:t>,</w:t>
      </w:r>
      <w:r w:rsidR="00656E27" w:rsidRPr="00D82F96">
        <w:t xml:space="preserve"> and which </w:t>
      </w:r>
      <w:r w:rsidR="008912F6" w:rsidRPr="00D82F96">
        <w:t xml:space="preserve">offers only a slim and superficial </w:t>
      </w:r>
      <w:r w:rsidR="00B61213" w:rsidRPr="00D82F96">
        <w:t xml:space="preserve">interpretation </w:t>
      </w:r>
      <w:r w:rsidR="00656E27" w:rsidRPr="00D82F96">
        <w:t xml:space="preserve">of the </w:t>
      </w:r>
      <w:r w:rsidR="00AB64DB" w:rsidRPr="00D82F96">
        <w:t>HE</w:t>
      </w:r>
      <w:r w:rsidR="00656E27" w:rsidRPr="00D82F96">
        <w:t xml:space="preserve"> classroom</w:t>
      </w:r>
      <w:r w:rsidR="00416A9B" w:rsidRPr="00D82F96">
        <w:t xml:space="preserve">. </w:t>
      </w:r>
      <w:r w:rsidR="00656E27" w:rsidRPr="00D82F96">
        <w:t>Notwithstanding, t</w:t>
      </w:r>
      <w:r w:rsidR="005B291D" w:rsidRPr="00D82F96">
        <w:t>he results of many of these exercises</w:t>
      </w:r>
      <w:r w:rsidR="00952901" w:rsidRPr="00D82F96">
        <w:t xml:space="preserve"> </w:t>
      </w:r>
      <w:r w:rsidR="005B291D" w:rsidRPr="00D82F96">
        <w:t xml:space="preserve">are </w:t>
      </w:r>
      <w:r w:rsidR="007D0E51" w:rsidRPr="00D82F96">
        <w:t xml:space="preserve">taken </w:t>
      </w:r>
      <w:r w:rsidR="00656E27" w:rsidRPr="00D82F96">
        <w:t xml:space="preserve">as authoritative guides informing </w:t>
      </w:r>
      <w:r w:rsidR="002E38F6" w:rsidRPr="00D82F96">
        <w:t>prospective students</w:t>
      </w:r>
      <w:r w:rsidR="008912F6" w:rsidRPr="00D82F96">
        <w:t>’</w:t>
      </w:r>
      <w:r w:rsidR="00445F1B" w:rsidRPr="00D82F96">
        <w:t xml:space="preserve"> reconnaissance</w:t>
      </w:r>
      <w:r w:rsidR="0071160E" w:rsidRPr="00D82F96">
        <w:t xml:space="preserve"> of what and where to study</w:t>
      </w:r>
      <w:r w:rsidR="008912F6" w:rsidRPr="00D82F96">
        <w:t xml:space="preserve">. They </w:t>
      </w:r>
      <w:r w:rsidR="005B291D" w:rsidRPr="00D82F96">
        <w:t>also</w:t>
      </w:r>
      <w:r w:rsidR="007D0F4E" w:rsidRPr="00D82F96">
        <w:t>, despite their obvious and numerous limitations,</w:t>
      </w:r>
      <w:r w:rsidR="005B291D" w:rsidRPr="00D82F96">
        <w:t xml:space="preserve"> </w:t>
      </w:r>
      <w:r w:rsidR="0071160E" w:rsidRPr="00D82F96">
        <w:t xml:space="preserve">tend to be </w:t>
      </w:r>
      <w:r w:rsidR="007D0E51" w:rsidRPr="00D82F96">
        <w:t>wielded</w:t>
      </w:r>
      <w:r w:rsidR="0071160E" w:rsidRPr="00D82F96">
        <w:t xml:space="preserve"> indiscriminately</w:t>
      </w:r>
      <w:r w:rsidR="005B291D" w:rsidRPr="00D82F96">
        <w:t xml:space="preserve"> by universities</w:t>
      </w:r>
      <w:r w:rsidR="008912F6" w:rsidRPr="00D82F96">
        <w:t xml:space="preserve"> as evidence of</w:t>
      </w:r>
      <w:r w:rsidR="0071160E" w:rsidRPr="00D82F96">
        <w:t xml:space="preserve"> </w:t>
      </w:r>
      <w:r w:rsidR="00AB5667" w:rsidRPr="00D82F96">
        <w:t>‘</w:t>
      </w:r>
      <w:r w:rsidR="0071160E" w:rsidRPr="00D82F96">
        <w:t>excellence</w:t>
      </w:r>
      <w:r w:rsidR="00AB5667" w:rsidRPr="00D82F96">
        <w:t>’ – that increasingly most ubiquitous and</w:t>
      </w:r>
      <w:r w:rsidR="00563ED1" w:rsidRPr="00D82F96">
        <w:t xml:space="preserve"> consequently</w:t>
      </w:r>
      <w:r w:rsidR="00AB5667" w:rsidRPr="00D82F96">
        <w:t xml:space="preserve"> fatuous of declarations – in </w:t>
      </w:r>
      <w:r w:rsidR="0071160E" w:rsidRPr="00D82F96">
        <w:t>their teaching provision and</w:t>
      </w:r>
      <w:r w:rsidR="005B291D" w:rsidRPr="00D82F96">
        <w:t xml:space="preserve"> in </w:t>
      </w:r>
      <w:r w:rsidR="0071160E" w:rsidRPr="00D82F96">
        <w:t>marketing their offering</w:t>
      </w:r>
      <w:r w:rsidR="002811D1" w:rsidRPr="00D82F96">
        <w:t xml:space="preserve"> (Gourlay </w:t>
      </w:r>
      <w:r w:rsidR="00E20F2A">
        <w:t xml:space="preserve">&amp; </w:t>
      </w:r>
      <w:r w:rsidR="002811D1" w:rsidRPr="00D82F96">
        <w:t>Stevenson</w:t>
      </w:r>
      <w:r w:rsidR="00E20F2A">
        <w:t>,</w:t>
      </w:r>
      <w:r w:rsidR="002811D1" w:rsidRPr="00D82F96">
        <w:t xml:space="preserve"> 2017)</w:t>
      </w:r>
      <w:r w:rsidR="0071160E" w:rsidRPr="00D82F96">
        <w:t>.</w:t>
      </w:r>
    </w:p>
    <w:p w14:paraId="0D9ABA64" w14:textId="6BD33EB7" w:rsidR="00921255" w:rsidRPr="00D82F96" w:rsidRDefault="0071160E" w:rsidP="00B54292">
      <w:r w:rsidRPr="00D82F96">
        <w:t>A fascination</w:t>
      </w:r>
      <w:r w:rsidR="00FE6649" w:rsidRPr="00D82F96">
        <w:t xml:space="preserve"> </w:t>
      </w:r>
      <w:r w:rsidRPr="00D82F96">
        <w:t>with</w:t>
      </w:r>
      <w:r w:rsidR="00FE6649" w:rsidRPr="00D82F96">
        <w:t>, even fetishization of</w:t>
      </w:r>
      <w:r w:rsidRPr="00D82F96">
        <w:t xml:space="preserve"> </w:t>
      </w:r>
      <w:r w:rsidR="003C07FF" w:rsidRPr="00D82F96">
        <w:t xml:space="preserve">the metrics these evaluations spawn </w:t>
      </w:r>
      <w:r w:rsidR="00EF04BE" w:rsidRPr="00D82F96">
        <w:t xml:space="preserve">– </w:t>
      </w:r>
      <w:r w:rsidR="003C07FF" w:rsidRPr="00D82F96">
        <w:t>as</w:t>
      </w:r>
      <w:r w:rsidRPr="00D82F96">
        <w:t xml:space="preserve"> markers of </w:t>
      </w:r>
      <w:r w:rsidR="003B076B" w:rsidRPr="00D82F96">
        <w:t>esteem</w:t>
      </w:r>
      <w:r w:rsidR="008B661D" w:rsidRPr="00D82F96">
        <w:t xml:space="preserve"> </w:t>
      </w:r>
      <w:r w:rsidR="00EF04BE" w:rsidRPr="00D82F96">
        <w:t>–</w:t>
      </w:r>
      <w:r w:rsidRPr="00D82F96">
        <w:t xml:space="preserve"> </w:t>
      </w:r>
      <w:r w:rsidR="009C427B" w:rsidRPr="00D82F96">
        <w:t>has</w:t>
      </w:r>
      <w:r w:rsidRPr="00D82F96">
        <w:t xml:space="preserve"> however,</w:t>
      </w:r>
      <w:r w:rsidR="009C427B" w:rsidRPr="00D82F96">
        <w:t xml:space="preserve"> as we and others have elsewhere argued</w:t>
      </w:r>
      <w:r w:rsidR="00445F1B" w:rsidRPr="00D82F96">
        <w:t xml:space="preserve">, </w:t>
      </w:r>
      <w:r w:rsidRPr="00D82F96">
        <w:t xml:space="preserve">served </w:t>
      </w:r>
      <w:r w:rsidR="00445F1B" w:rsidRPr="00D82F96">
        <w:t xml:space="preserve">less </w:t>
      </w:r>
      <w:r w:rsidRPr="00D82F96">
        <w:t xml:space="preserve">to </w:t>
      </w:r>
      <w:r w:rsidR="00445F1B" w:rsidRPr="00D82F96">
        <w:t xml:space="preserve">enrich than emaciate the </w:t>
      </w:r>
      <w:r w:rsidR="009C427B" w:rsidRPr="00D82F96">
        <w:t>pedagogical relationship and</w:t>
      </w:r>
      <w:r w:rsidR="00445F1B" w:rsidRPr="00D82F96">
        <w:t xml:space="preserve"> weaken </w:t>
      </w:r>
      <w:r w:rsidR="009C427B" w:rsidRPr="00D82F96">
        <w:t>the confidence</w:t>
      </w:r>
      <w:r w:rsidR="00445F1B" w:rsidRPr="00D82F96">
        <w:t xml:space="preserve"> and resolve</w:t>
      </w:r>
      <w:r w:rsidR="009C427B" w:rsidRPr="00D82F96">
        <w:t xml:space="preserve"> of academics as creative and critical </w:t>
      </w:r>
      <w:r w:rsidR="001624F2" w:rsidRPr="00D82F96">
        <w:t xml:space="preserve">educational </w:t>
      </w:r>
      <w:r w:rsidR="009C427B" w:rsidRPr="00D82F96">
        <w:t>practitioners</w:t>
      </w:r>
      <w:r w:rsidR="00504789" w:rsidRPr="00D82F96">
        <w:t xml:space="preserve">, to the point even of </w:t>
      </w:r>
      <w:r w:rsidR="008617E2" w:rsidRPr="00D82F96">
        <w:t>obsolescence</w:t>
      </w:r>
      <w:r w:rsidR="005745CC" w:rsidRPr="00D82F96">
        <w:t>.</w:t>
      </w:r>
      <w:r w:rsidR="008B661D" w:rsidRPr="00D82F96" w:rsidDel="008B661D">
        <w:t xml:space="preserve"> </w:t>
      </w:r>
      <w:r w:rsidR="005745CC" w:rsidRPr="00D82F96">
        <w:t>This</w:t>
      </w:r>
      <w:r w:rsidR="008B661D" w:rsidRPr="00D82F96">
        <w:t xml:space="preserve"> ‘tyranny of metrics’ (Muller</w:t>
      </w:r>
      <w:r w:rsidR="00866CEF">
        <w:t>,</w:t>
      </w:r>
      <w:r w:rsidR="008B661D" w:rsidRPr="00D82F96">
        <w:t xml:space="preserve"> 2018)</w:t>
      </w:r>
      <w:r w:rsidR="003C07FF" w:rsidRPr="00D82F96">
        <w:t xml:space="preserve"> has c</w:t>
      </w:r>
      <w:r w:rsidRPr="00D82F96">
        <w:t>orrespondingly</w:t>
      </w:r>
      <w:r w:rsidR="005B291D" w:rsidRPr="00D82F96">
        <w:t xml:space="preserve"> </w:t>
      </w:r>
      <w:r w:rsidR="002E6156" w:rsidRPr="00D82F96">
        <w:t xml:space="preserve">reduced </w:t>
      </w:r>
      <w:r w:rsidR="005B291D" w:rsidRPr="00D82F96">
        <w:t>the exposure of students</w:t>
      </w:r>
      <w:r w:rsidRPr="00D82F96">
        <w:t xml:space="preserve"> </w:t>
      </w:r>
      <w:r w:rsidR="005B291D" w:rsidRPr="00D82F96">
        <w:t>to broader and potentially more</w:t>
      </w:r>
      <w:r w:rsidR="00A650BD" w:rsidRPr="00D82F96">
        <w:t xml:space="preserve"> </w:t>
      </w:r>
      <w:r w:rsidR="005B291D" w:rsidRPr="00D82F96">
        <w:t>challenging</w:t>
      </w:r>
      <w:r w:rsidR="00612B82" w:rsidRPr="00D82F96">
        <w:t xml:space="preserve"> yet </w:t>
      </w:r>
      <w:r w:rsidR="003C07FF" w:rsidRPr="00D82F96">
        <w:t>enriching</w:t>
      </w:r>
      <w:r w:rsidR="00CC469C" w:rsidRPr="00D82F96">
        <w:t xml:space="preserve"> curricula</w:t>
      </w:r>
      <w:r w:rsidR="005745CC" w:rsidRPr="00D82F96">
        <w:t xml:space="preserve">. </w:t>
      </w:r>
      <w:r w:rsidR="005B291D" w:rsidRPr="00D82F96">
        <w:t xml:space="preserve">This </w:t>
      </w:r>
      <w:r w:rsidR="00F83A77" w:rsidRPr="00D82F96">
        <w:t xml:space="preserve">has resulted in the narrowing </w:t>
      </w:r>
      <w:r w:rsidRPr="00D82F96">
        <w:t xml:space="preserve">and </w:t>
      </w:r>
      <w:r w:rsidR="00F83A77" w:rsidRPr="00D82F96">
        <w:t xml:space="preserve">exclusion of </w:t>
      </w:r>
      <w:r w:rsidRPr="00D82F96">
        <w:t xml:space="preserve">degree </w:t>
      </w:r>
      <w:r w:rsidR="00F83A77" w:rsidRPr="00D82F96">
        <w:t>content</w:t>
      </w:r>
      <w:r w:rsidRPr="00D82F96">
        <w:t xml:space="preserve"> </w:t>
      </w:r>
      <w:r w:rsidR="00CB741E" w:rsidRPr="00D82F96">
        <w:t>considered</w:t>
      </w:r>
      <w:r w:rsidRPr="00D82F96">
        <w:t xml:space="preserve"> tangential</w:t>
      </w:r>
      <w:r w:rsidR="007D0F4E" w:rsidRPr="00D82F96">
        <w:t xml:space="preserve">, </w:t>
      </w:r>
      <w:r w:rsidRPr="00D82F96">
        <w:t xml:space="preserve">less </w:t>
      </w:r>
      <w:r w:rsidR="003B076B" w:rsidRPr="00D82F96">
        <w:t>obviously</w:t>
      </w:r>
      <w:r w:rsidRPr="00D82F96">
        <w:t xml:space="preserve"> salient</w:t>
      </w:r>
      <w:r w:rsidR="007D0F4E" w:rsidRPr="00D82F96">
        <w:t xml:space="preserve"> or superfluous</w:t>
      </w:r>
      <w:r w:rsidRPr="00D82F96">
        <w:t xml:space="preserve"> to</w:t>
      </w:r>
      <w:r w:rsidR="007D0F4E" w:rsidRPr="00D82F96">
        <w:t xml:space="preserve"> a function of</w:t>
      </w:r>
      <w:r w:rsidRPr="00D82F96">
        <w:t xml:space="preserve"> </w:t>
      </w:r>
      <w:r w:rsidR="00CB741E" w:rsidRPr="00D82F96">
        <w:t xml:space="preserve">securing graduate </w:t>
      </w:r>
      <w:r w:rsidR="007D0F4E" w:rsidRPr="00D82F96">
        <w:t>employment</w:t>
      </w:r>
      <w:r w:rsidR="00504789" w:rsidRPr="00D82F96">
        <w:t xml:space="preserve"> and of students correspondingly becoming ‘academic</w:t>
      </w:r>
      <w:r w:rsidR="005745CC" w:rsidRPr="00D82F96">
        <w:t>ally adrift’.</w:t>
      </w:r>
      <w:r w:rsidR="00A650BD" w:rsidRPr="00D82F96">
        <w:t xml:space="preserve"> A risk aversion to what is taught and the sanitisation of curricu</w:t>
      </w:r>
      <w:r w:rsidR="00445F1B" w:rsidRPr="00D82F96">
        <w:t>la</w:t>
      </w:r>
      <w:r w:rsidR="00A650BD" w:rsidRPr="00D82F96">
        <w:t xml:space="preserve"> is also reported in multiple instances of </w:t>
      </w:r>
      <w:r w:rsidRPr="00D82F96">
        <w:t xml:space="preserve">university </w:t>
      </w:r>
      <w:r w:rsidR="00A650BD" w:rsidRPr="00D82F96">
        <w:t xml:space="preserve">lecturers who have suffered the </w:t>
      </w:r>
      <w:r w:rsidR="00A24450" w:rsidRPr="00D82F96">
        <w:t>intolerance</w:t>
      </w:r>
      <w:r w:rsidR="00871530" w:rsidRPr="00D82F96">
        <w:t xml:space="preserve"> and censure</w:t>
      </w:r>
      <w:r w:rsidR="007D0F4E" w:rsidRPr="00D82F96">
        <w:t xml:space="preserve"> </w:t>
      </w:r>
      <w:r w:rsidR="00A650BD" w:rsidRPr="00D82F96">
        <w:t xml:space="preserve">of students </w:t>
      </w:r>
      <w:r w:rsidR="00176E32" w:rsidRPr="00D82F96">
        <w:t xml:space="preserve">towards </w:t>
      </w:r>
      <w:r w:rsidR="00A650BD" w:rsidRPr="00D82F96">
        <w:t xml:space="preserve">subject content </w:t>
      </w:r>
      <w:r w:rsidR="00176E32" w:rsidRPr="00D82F96">
        <w:t xml:space="preserve">that exceeds such </w:t>
      </w:r>
      <w:r w:rsidR="007D0F4E" w:rsidRPr="00D82F96">
        <w:t>prescripti</w:t>
      </w:r>
      <w:r w:rsidR="00176E32" w:rsidRPr="00D82F96">
        <w:t>on</w:t>
      </w:r>
      <w:r w:rsidR="006022D0" w:rsidRPr="00D82F96">
        <w:t xml:space="preserve"> (S</w:t>
      </w:r>
      <w:r w:rsidR="009C6B2C" w:rsidRPr="00D82F96">
        <w:t>later</w:t>
      </w:r>
      <w:r w:rsidR="00866CEF">
        <w:t>,</w:t>
      </w:r>
      <w:r w:rsidR="009C6B2C" w:rsidRPr="00D82F96">
        <w:t xml:space="preserve"> 2016)</w:t>
      </w:r>
      <w:r w:rsidR="00A650BD" w:rsidRPr="00D82F96">
        <w:t xml:space="preserve">. The consequence of </w:t>
      </w:r>
      <w:r w:rsidR="00445F1B" w:rsidRPr="00D82F96">
        <w:t xml:space="preserve">such </w:t>
      </w:r>
      <w:r w:rsidR="002E6156" w:rsidRPr="00D82F96">
        <w:t>consumer privileging</w:t>
      </w:r>
      <w:r w:rsidR="00620D9A" w:rsidRPr="00D82F96">
        <w:t xml:space="preserve"> and ‘metric power’ (</w:t>
      </w:r>
      <w:r w:rsidR="005745CC" w:rsidRPr="00D82F96">
        <w:t>Muller</w:t>
      </w:r>
      <w:r w:rsidR="00866CEF">
        <w:t>,</w:t>
      </w:r>
      <w:r w:rsidR="005745CC" w:rsidRPr="00D82F96">
        <w:t xml:space="preserve"> 2018</w:t>
      </w:r>
      <w:r w:rsidR="00620D9A" w:rsidRPr="00D82F96">
        <w:t>)</w:t>
      </w:r>
      <w:r w:rsidR="002E6156" w:rsidRPr="00D82F96">
        <w:t xml:space="preserve"> </w:t>
      </w:r>
      <w:r w:rsidR="00CB741E" w:rsidRPr="00D82F96">
        <w:t xml:space="preserve">has </w:t>
      </w:r>
      <w:r w:rsidR="00FE6649" w:rsidRPr="00D82F96">
        <w:t>thus</w:t>
      </w:r>
      <w:r w:rsidR="007D0F4E" w:rsidRPr="00D82F96">
        <w:t xml:space="preserve"> </w:t>
      </w:r>
      <w:r w:rsidR="00CB741E" w:rsidRPr="00D82F96">
        <w:t>been</w:t>
      </w:r>
      <w:r w:rsidR="00F10024" w:rsidRPr="00D82F96">
        <w:t xml:space="preserve"> </w:t>
      </w:r>
      <w:r w:rsidR="00A650BD" w:rsidRPr="00D82F96">
        <w:t xml:space="preserve">the </w:t>
      </w:r>
      <w:r w:rsidR="004468BF" w:rsidRPr="00D82F96">
        <w:t>de</w:t>
      </w:r>
      <w:r w:rsidR="0037435F" w:rsidRPr="00D82F96">
        <w:t>-</w:t>
      </w:r>
      <w:r w:rsidR="004468BF" w:rsidRPr="00D82F96">
        <w:t xml:space="preserve">professionalization of </w:t>
      </w:r>
      <w:r w:rsidR="007D0F4E" w:rsidRPr="00D82F96">
        <w:t>university lecturers</w:t>
      </w:r>
      <w:r w:rsidR="00A24450" w:rsidRPr="00D82F96">
        <w:t xml:space="preserve"> and their</w:t>
      </w:r>
      <w:r w:rsidR="007D0F4E" w:rsidRPr="00D82F96">
        <w:t xml:space="preserve"> growing</w:t>
      </w:r>
      <w:r w:rsidR="00A24450" w:rsidRPr="00D82F96">
        <w:t xml:space="preserve"> vulnerability to the </w:t>
      </w:r>
      <w:r w:rsidR="00CB741E" w:rsidRPr="00D82F96">
        <w:t xml:space="preserve">vagaries of a marketised system </w:t>
      </w:r>
      <w:r w:rsidR="00A24450" w:rsidRPr="00D82F96">
        <w:t>(</w:t>
      </w:r>
      <w:r w:rsidR="00B27905" w:rsidRPr="00D82F96">
        <w:t xml:space="preserve">emphatically illustrated </w:t>
      </w:r>
      <w:r w:rsidR="00A24450" w:rsidRPr="00D82F96">
        <w:t>in a</w:t>
      </w:r>
      <w:r w:rsidR="004C4FC1" w:rsidRPr="00D82F96">
        <w:t xml:space="preserve"> contemporary</w:t>
      </w:r>
      <w:r w:rsidR="00A24450" w:rsidRPr="00D82F96">
        <w:t xml:space="preserve"> trend of labour </w:t>
      </w:r>
      <w:r w:rsidR="000242EE" w:rsidRPr="00D82F96">
        <w:t>casualisation</w:t>
      </w:r>
      <w:r w:rsidR="00A24450" w:rsidRPr="00D82F96">
        <w:t>)</w:t>
      </w:r>
      <w:r w:rsidR="00EA6F11" w:rsidRPr="00D82F96">
        <w:t xml:space="preserve"> (L</w:t>
      </w:r>
      <w:r w:rsidR="008F2DE5" w:rsidRPr="00D82F96">
        <w:t>oveday</w:t>
      </w:r>
      <w:r w:rsidR="00866CEF">
        <w:t>,</w:t>
      </w:r>
      <w:r w:rsidR="008F2DE5" w:rsidRPr="00D82F96">
        <w:t xml:space="preserve"> 2018</w:t>
      </w:r>
      <w:r w:rsidR="00EA6F11" w:rsidRPr="00D82F96">
        <w:t>)</w:t>
      </w:r>
      <w:r w:rsidR="00612B82" w:rsidRPr="00D82F96">
        <w:t xml:space="preserve">. </w:t>
      </w:r>
    </w:p>
    <w:p w14:paraId="5C0BA2AB" w14:textId="2219DD55" w:rsidR="00921255" w:rsidRPr="00D82F96" w:rsidRDefault="007D0F4E" w:rsidP="00B54292">
      <w:r w:rsidRPr="00D82F96">
        <w:t xml:space="preserve">This kind of precarity is no more </w:t>
      </w:r>
      <w:r w:rsidR="00612B82" w:rsidRPr="00D82F96">
        <w:t>explicitly manifest</w:t>
      </w:r>
      <w:r w:rsidRPr="00D82F96">
        <w:t xml:space="preserve"> than</w:t>
      </w:r>
      <w:r w:rsidR="00612B82" w:rsidRPr="00D82F96">
        <w:t xml:space="preserve"> in the UK </w:t>
      </w:r>
      <w:r w:rsidR="00AB64DB" w:rsidRPr="00D82F96">
        <w:t>HE</w:t>
      </w:r>
      <w:r w:rsidR="009C5DB6" w:rsidRPr="00D82F96">
        <w:t xml:space="preserve"> </w:t>
      </w:r>
      <w:r w:rsidR="00612B82" w:rsidRPr="00D82F96">
        <w:t xml:space="preserve">context where the uncapping of student numbers has resulted in </w:t>
      </w:r>
      <w:r w:rsidR="002E6156" w:rsidRPr="00D82F96">
        <w:t>a</w:t>
      </w:r>
      <w:r w:rsidRPr="00D82F96">
        <w:t xml:space="preserve"> scramble among universities and a</w:t>
      </w:r>
      <w:r w:rsidR="00CB741E" w:rsidRPr="00D82F96">
        <w:t xml:space="preserve"> ‘stack ‘em high’ approach to student recruitment</w:t>
      </w:r>
      <w:r w:rsidR="00563ED1" w:rsidRPr="00D82F96">
        <w:t xml:space="preserve"> (McGettigan</w:t>
      </w:r>
      <w:r w:rsidR="00866CEF">
        <w:t>,</w:t>
      </w:r>
      <w:r w:rsidR="00563ED1" w:rsidRPr="00D82F96">
        <w:t xml:space="preserve"> 2013)</w:t>
      </w:r>
      <w:r w:rsidRPr="00D82F96">
        <w:t xml:space="preserve"> that without a matched investment in </w:t>
      </w:r>
      <w:r w:rsidR="00921255" w:rsidRPr="00D82F96">
        <w:t xml:space="preserve">human resource </w:t>
      </w:r>
      <w:r w:rsidRPr="00D82F96">
        <w:t>significantly undermines the capacity of lecturers</w:t>
      </w:r>
      <w:r w:rsidR="00540BF5" w:rsidRPr="00D82F96">
        <w:t xml:space="preserve"> and wider university staff – not least those in </w:t>
      </w:r>
      <w:r w:rsidR="00EA6F11" w:rsidRPr="00D82F96">
        <w:t>professional</w:t>
      </w:r>
      <w:r w:rsidR="00540BF5" w:rsidRPr="00D82F96">
        <w:t xml:space="preserve"> services – </w:t>
      </w:r>
      <w:r w:rsidRPr="00D82F96">
        <w:t xml:space="preserve">to deliver </w:t>
      </w:r>
      <w:r w:rsidR="00921255" w:rsidRPr="00D82F96">
        <w:t>the</w:t>
      </w:r>
      <w:r w:rsidRPr="00D82F96">
        <w:t xml:space="preserve"> quality education</w:t>
      </w:r>
      <w:r w:rsidR="00921255" w:rsidRPr="00D82F96">
        <w:t xml:space="preserve"> their institutions espouse</w:t>
      </w:r>
      <w:r w:rsidR="00540BF5" w:rsidRPr="00D82F96">
        <w:t xml:space="preserve"> and their students </w:t>
      </w:r>
      <w:r w:rsidR="003579D3" w:rsidRPr="00D82F96">
        <w:t>have come</w:t>
      </w:r>
      <w:r w:rsidR="00C55AB1" w:rsidRPr="00D82F96">
        <w:t xml:space="preserve"> to</w:t>
      </w:r>
      <w:r w:rsidR="003579D3" w:rsidRPr="00D82F96">
        <w:t xml:space="preserve"> </w:t>
      </w:r>
      <w:r w:rsidR="00540BF5" w:rsidRPr="00D82F96">
        <w:t>expect</w:t>
      </w:r>
      <w:r w:rsidR="00CB741E" w:rsidRPr="00D82F96">
        <w:t>.</w:t>
      </w:r>
      <w:r w:rsidR="00176E32" w:rsidRPr="00D82F96">
        <w:t xml:space="preserve"> </w:t>
      </w:r>
      <w:r w:rsidR="00540BF5" w:rsidRPr="00D82F96">
        <w:t xml:space="preserve">Moreover, </w:t>
      </w:r>
      <w:r w:rsidR="003579D3" w:rsidRPr="00D82F96">
        <w:t>the</w:t>
      </w:r>
      <w:r w:rsidR="00540BF5" w:rsidRPr="00D82F96">
        <w:t xml:space="preserve"> insatiability </w:t>
      </w:r>
      <w:r w:rsidR="003579D3" w:rsidRPr="00D82F96">
        <w:t>of</w:t>
      </w:r>
      <w:r w:rsidR="00540BF5" w:rsidRPr="00D82F96">
        <w:t xml:space="preserve"> universities in attracting </w:t>
      </w:r>
      <w:r w:rsidR="003579D3" w:rsidRPr="00D82F96">
        <w:t xml:space="preserve">ever greater numbers </w:t>
      </w:r>
      <w:r w:rsidR="00540BF5" w:rsidRPr="00D82F96">
        <w:t xml:space="preserve">will likely only </w:t>
      </w:r>
      <w:r w:rsidR="005F0F93" w:rsidRPr="00D82F96">
        <w:t xml:space="preserve">diminish the quality of </w:t>
      </w:r>
      <w:r w:rsidR="003579D3" w:rsidRPr="00D82F96">
        <w:t xml:space="preserve">their offering </w:t>
      </w:r>
      <w:r w:rsidR="00540BF5" w:rsidRPr="00D82F96">
        <w:t>where</w:t>
      </w:r>
      <w:r w:rsidR="003579D3" w:rsidRPr="00D82F96">
        <w:t xml:space="preserve"> lecturers become so stretched as to be unable to accommodate the demands of an ever-expanding </w:t>
      </w:r>
      <w:r w:rsidR="00AB5667" w:rsidRPr="00D82F96">
        <w:t xml:space="preserve">student </w:t>
      </w:r>
      <w:r w:rsidR="002D2899" w:rsidRPr="00D82F96">
        <w:t>populous</w:t>
      </w:r>
      <w:r w:rsidR="003579D3" w:rsidRPr="00D82F96">
        <w:t xml:space="preserve">. </w:t>
      </w:r>
    </w:p>
    <w:p w14:paraId="33EA8881" w14:textId="554CD12E" w:rsidR="00921255" w:rsidRPr="00D82F96" w:rsidRDefault="00921255" w:rsidP="00B54292">
      <w:r w:rsidRPr="00D82F96">
        <w:t>The deleterious effects of a marketized and massified model are also realised with the neglect and infantilization of a c</w:t>
      </w:r>
      <w:r w:rsidR="00341238" w:rsidRPr="00D82F96">
        <w:t>adre</w:t>
      </w:r>
      <w:r w:rsidRPr="00D82F96">
        <w:t xml:space="preserve"> of more politically conscientious and agentic students</w:t>
      </w:r>
      <w:r w:rsidR="004B7107" w:rsidRPr="00D82F96">
        <w:t xml:space="preserve"> (Brooks</w:t>
      </w:r>
      <w:r w:rsidR="00866CEF">
        <w:t>,</w:t>
      </w:r>
      <w:r w:rsidR="004B7107" w:rsidRPr="00D82F96">
        <w:t xml:space="preserve"> 2016)</w:t>
      </w:r>
      <w:r w:rsidR="002D2899" w:rsidRPr="00D82F96">
        <w:t xml:space="preserve"> – those </w:t>
      </w:r>
      <w:r w:rsidR="000F1628" w:rsidRPr="00D82F96">
        <w:t xml:space="preserve">defiantly other than </w:t>
      </w:r>
      <w:r w:rsidR="002D2899" w:rsidRPr="00D82F96">
        <w:t>credential grabbers</w:t>
      </w:r>
      <w:r w:rsidR="00EF04BE" w:rsidRPr="00D82F96">
        <w:t xml:space="preserve"> – wh</w:t>
      </w:r>
      <w:r w:rsidRPr="00D82F96">
        <w:t>ose aspirations of meaningful engagement in the public sphere are antagonistic to the one dimensionality of economic determinism</w:t>
      </w:r>
      <w:r w:rsidR="002D2899" w:rsidRPr="00D82F96">
        <w:t xml:space="preserve"> now inflicted upon a university education</w:t>
      </w:r>
      <w:r w:rsidRPr="00D82F96">
        <w:t xml:space="preserve">. </w:t>
      </w:r>
      <w:r w:rsidR="002D2899" w:rsidRPr="00D82F96">
        <w:t>However</w:t>
      </w:r>
      <w:r w:rsidRPr="00D82F96">
        <w:t xml:space="preserve">, </w:t>
      </w:r>
      <w:r w:rsidR="002D2899" w:rsidRPr="00D82F96">
        <w:t>such ambitions for higher education may prove difficult to sustain where a pressure to succeed</w:t>
      </w:r>
      <w:r w:rsidR="000F1628" w:rsidRPr="00D82F96">
        <w:t xml:space="preserve"> for students</w:t>
      </w:r>
      <w:r w:rsidRPr="00D82F96">
        <w:t xml:space="preserve"> </w:t>
      </w:r>
      <w:r w:rsidR="002D2899" w:rsidRPr="00D82F96">
        <w:t>and gain a competitive foothold</w:t>
      </w:r>
      <w:r w:rsidR="00341238" w:rsidRPr="00D82F96">
        <w:t xml:space="preserve"> </w:t>
      </w:r>
      <w:r w:rsidR="002D2899" w:rsidRPr="00D82F96">
        <w:t xml:space="preserve">through its participation </w:t>
      </w:r>
      <w:r w:rsidRPr="00D82F96">
        <w:t xml:space="preserve">is </w:t>
      </w:r>
      <w:r w:rsidR="002D2899" w:rsidRPr="00D82F96">
        <w:t>amplified by its high</w:t>
      </w:r>
      <w:r w:rsidR="00F342F3" w:rsidRPr="00D82F96">
        <w:t xml:space="preserve"> if not prohibitive</w:t>
      </w:r>
      <w:r w:rsidR="002D2899" w:rsidRPr="00D82F96">
        <w:t xml:space="preserve"> cost</w:t>
      </w:r>
      <w:r w:rsidR="00F342F3" w:rsidRPr="00D82F96">
        <w:t xml:space="preserve"> and the acquisition of sizeable and potentially irresolvable debt</w:t>
      </w:r>
      <w:r w:rsidR="000F1628" w:rsidRPr="00D82F96">
        <w:t xml:space="preserve">. </w:t>
      </w:r>
      <w:r w:rsidR="005745CC" w:rsidRPr="00D82F96">
        <w:t xml:space="preserve">All of this and more has altered the nature of academics’ professional accountability and what they are accountable for and to </w:t>
      </w:r>
      <w:r w:rsidR="005745CC" w:rsidRPr="00D82F96">
        <w:lastRenderedPageBreak/>
        <w:t>whom. So too have questions on</w:t>
      </w:r>
      <w:r w:rsidRPr="00D82F96">
        <w:t xml:space="preserve"> the financial sustainability</w:t>
      </w:r>
      <w:r w:rsidR="00FE6649" w:rsidRPr="00D82F96">
        <w:t xml:space="preserve"> and future relevance</w:t>
      </w:r>
      <w:r w:rsidRPr="00D82F96">
        <w:t xml:space="preserve"> of </w:t>
      </w:r>
      <w:r w:rsidR="00FE6649" w:rsidRPr="00D82F96">
        <w:t>universities – not least where technological innovation is changing the nature of jobs and therefore an educational/labour market continuum – as public institutions</w:t>
      </w:r>
      <w:r w:rsidRPr="00D82F96">
        <w:t xml:space="preserve"> are rife. </w:t>
      </w:r>
      <w:r w:rsidR="00FE6649" w:rsidRPr="00D82F96">
        <w:t xml:space="preserve"> </w:t>
      </w:r>
    </w:p>
    <w:p w14:paraId="5771C989" w14:textId="0146CD8F" w:rsidR="00822265" w:rsidRPr="00D82F96" w:rsidRDefault="00901A59" w:rsidP="00B54292">
      <w:r w:rsidRPr="00D82F96">
        <w:t>New topographies and ontologies of professionalism in practice</w:t>
      </w:r>
      <w:r w:rsidR="00F342F3" w:rsidRPr="00D82F96">
        <w:t xml:space="preserve"> are consequently emerging and rapidly so given </w:t>
      </w:r>
      <w:r w:rsidRPr="00D82F96">
        <w:t>the associated performance anxieties of institutional managers</w:t>
      </w:r>
      <w:r w:rsidR="00F342F3" w:rsidRPr="00D82F96">
        <w:t xml:space="preserve">. The pressures on academics as providers of not a university education </w:t>
      </w:r>
      <w:r w:rsidR="00F342F3" w:rsidRPr="00D82F96">
        <w:rPr>
          <w:i/>
        </w:rPr>
        <w:t>per se</w:t>
      </w:r>
      <w:r w:rsidR="00F342F3" w:rsidRPr="00D82F96">
        <w:t xml:space="preserve"> but</w:t>
      </w:r>
      <w:r w:rsidR="009533AB" w:rsidRPr="00D82F96">
        <w:t xml:space="preserve"> corporati</w:t>
      </w:r>
      <w:r w:rsidR="009C6B2C" w:rsidRPr="00D82F96">
        <w:t>s</w:t>
      </w:r>
      <w:r w:rsidR="009533AB" w:rsidRPr="00D82F96">
        <w:t>ed</w:t>
      </w:r>
      <w:r w:rsidR="00F342F3" w:rsidRPr="00D82F96">
        <w:t xml:space="preserve"> university </w:t>
      </w:r>
      <w:r w:rsidR="00AB5667" w:rsidRPr="00D82F96">
        <w:t>‘</w:t>
      </w:r>
      <w:r w:rsidR="00F342F3" w:rsidRPr="00D82F96">
        <w:t>experience</w:t>
      </w:r>
      <w:r w:rsidR="00AB5667" w:rsidRPr="00D82F96">
        <w:t>’</w:t>
      </w:r>
      <w:r w:rsidR="00F342F3" w:rsidRPr="00D82F96">
        <w:t xml:space="preserve"> are now ostensibly so intense, that their accountability as teachers has shifted to </w:t>
      </w:r>
      <w:r w:rsidR="009533AB" w:rsidRPr="00D82F96">
        <w:t>an</w:t>
      </w:r>
      <w:r w:rsidR="00F342F3" w:rsidRPr="00D82F96">
        <w:t xml:space="preserve"> accountability as salespersons</w:t>
      </w:r>
      <w:r w:rsidR="009533AB" w:rsidRPr="00D82F96">
        <w:t xml:space="preserve"> and traders of positional goods</w:t>
      </w:r>
      <w:r w:rsidR="00F342F3" w:rsidRPr="00D82F96">
        <w:t>. This is the principle of competitive accountability</w:t>
      </w:r>
      <w:r w:rsidR="009533AB" w:rsidRPr="00D82F96">
        <w:t xml:space="preserve"> in action</w:t>
      </w:r>
      <w:r w:rsidR="00F342F3" w:rsidRPr="00D82F96">
        <w:t xml:space="preserve"> which sees academics bending – perhaps</w:t>
      </w:r>
      <w:r w:rsidR="009C6B2C" w:rsidRPr="00D82F96">
        <w:t xml:space="preserve"> albeit</w:t>
      </w:r>
      <w:r w:rsidR="00F342F3" w:rsidRPr="00D82F96">
        <w:t xml:space="preserve"> reluctantly and resistantly – to the needs, first and foremost of their universities as </w:t>
      </w:r>
      <w:r w:rsidR="009533AB" w:rsidRPr="00D82F96">
        <w:t>market players. In such terms, their accountability to their students in providing a challenging, immersive, expansive and critically motivated higher education is substituted for an accountability to their institutions in ensuring student satisfaction and</w:t>
      </w:r>
      <w:r w:rsidR="000A6E77" w:rsidRPr="00D82F96">
        <w:t>,</w:t>
      </w:r>
      <w:r w:rsidR="009533AB" w:rsidRPr="00D82F96">
        <w:t xml:space="preserve"> therefore</w:t>
      </w:r>
      <w:r w:rsidR="000A6E77" w:rsidRPr="00D82F96">
        <w:t>,</w:t>
      </w:r>
      <w:r w:rsidR="009533AB" w:rsidRPr="00D82F96">
        <w:t xml:space="preserve"> the latter’s ability to</w:t>
      </w:r>
      <w:r w:rsidR="006A302C" w:rsidRPr="00D82F96">
        <w:t xml:space="preserve"> ensure </w:t>
      </w:r>
      <w:r w:rsidR="009C6B2C" w:rsidRPr="00D82F96">
        <w:t>the</w:t>
      </w:r>
      <w:r w:rsidR="006A302C" w:rsidRPr="00D82F96">
        <w:t xml:space="preserve"> stable in</w:t>
      </w:r>
      <w:r w:rsidR="009C6B2C" w:rsidRPr="00D82F96">
        <w:t>ward migration</w:t>
      </w:r>
      <w:r w:rsidR="006A302C" w:rsidRPr="00D82F96">
        <w:t xml:space="preserve"> of </w:t>
      </w:r>
      <w:r w:rsidR="009C6B2C" w:rsidRPr="00D82F96">
        <w:t xml:space="preserve">new </w:t>
      </w:r>
      <w:r w:rsidR="00341238" w:rsidRPr="00D82F96">
        <w:t>applicants</w:t>
      </w:r>
      <w:r w:rsidR="009533AB" w:rsidRPr="00D82F96">
        <w:t xml:space="preserve">. </w:t>
      </w:r>
      <w:r w:rsidR="006A302C" w:rsidRPr="00D82F96">
        <w:t>In fact, an invasion of the higher education classroom by audit and surveillance regimes, control and dampen the critical energies of academics, and have engendered or at least incentivized pedagogical conservatism and timidity</w:t>
      </w:r>
      <w:r w:rsidR="00341238" w:rsidRPr="00D82F96">
        <w:t xml:space="preserve"> (Medland </w:t>
      </w:r>
      <w:r w:rsidR="00341238" w:rsidRPr="00866CEF">
        <w:t>et al.</w:t>
      </w:r>
      <w:r w:rsidR="00866CEF">
        <w:t>,</w:t>
      </w:r>
      <w:r w:rsidR="00341238" w:rsidRPr="00D82F96">
        <w:t xml:space="preserve"> 2018)</w:t>
      </w:r>
      <w:r w:rsidR="006A302C" w:rsidRPr="00D82F96">
        <w:t xml:space="preserve">. </w:t>
      </w:r>
    </w:p>
    <w:p w14:paraId="61ED5C6B" w14:textId="048EDC72" w:rsidR="003A76E3" w:rsidRPr="00D82F96" w:rsidRDefault="006A302C" w:rsidP="00866CEF">
      <w:r w:rsidRPr="00D82F96">
        <w:t xml:space="preserve">Academics’ </w:t>
      </w:r>
      <w:r w:rsidR="00B43FD9" w:rsidRPr="00D82F96">
        <w:t>are as such either victims or</w:t>
      </w:r>
      <w:r w:rsidR="00B64DE6" w:rsidRPr="00D82F96">
        <w:t xml:space="preserve"> </w:t>
      </w:r>
      <w:r w:rsidR="00B43FD9" w:rsidRPr="00D82F96">
        <w:t xml:space="preserve">willing </w:t>
      </w:r>
      <w:r w:rsidR="009C6B2C" w:rsidRPr="00D82F96">
        <w:t>conspirators</w:t>
      </w:r>
      <w:r w:rsidR="009B0426" w:rsidRPr="00D82F96">
        <w:t xml:space="preserve"> of what Ball (2003</w:t>
      </w:r>
      <w:r w:rsidR="00B43FD9" w:rsidRPr="00D82F96">
        <w:t xml:space="preserve">) calls the ‘terrors of performativity’. </w:t>
      </w:r>
      <w:r w:rsidR="00563ED1" w:rsidRPr="00D82F96">
        <w:t>And it is well to assume as i</w:t>
      </w:r>
      <w:r w:rsidR="00B43FD9" w:rsidRPr="00D82F96">
        <w:t>n the latter scenario, that</w:t>
      </w:r>
      <w:r w:rsidR="00563ED1" w:rsidRPr="00D82F96">
        <w:t xml:space="preserve"> not</w:t>
      </w:r>
      <w:r w:rsidR="00B43FD9" w:rsidRPr="00D82F96">
        <w:t xml:space="preserve"> all academics as teachers are pedagogically invested or committed to a vision of </w:t>
      </w:r>
      <w:r w:rsidR="00BC20B0" w:rsidRPr="00D82F96">
        <w:t>HE</w:t>
      </w:r>
      <w:r w:rsidR="00B43FD9" w:rsidRPr="00D82F96">
        <w:t xml:space="preserve"> as </w:t>
      </w:r>
      <w:r w:rsidR="00563ED1" w:rsidRPr="00D82F96">
        <w:t>(</w:t>
      </w:r>
      <w:r w:rsidR="00B43FD9" w:rsidRPr="00D82F96">
        <w:t>not just economically but</w:t>
      </w:r>
      <w:r w:rsidR="00563ED1" w:rsidRPr="00D82F96">
        <w:t>)</w:t>
      </w:r>
      <w:r w:rsidR="00B43FD9" w:rsidRPr="00D82F96">
        <w:t xml:space="preserve"> socially transformative. </w:t>
      </w:r>
      <w:r w:rsidR="00221B79" w:rsidRPr="00D82F96">
        <w:t xml:space="preserve">In fact, there may be many who practice </w:t>
      </w:r>
      <w:r w:rsidR="00B43FD9" w:rsidRPr="00D82F96">
        <w:t xml:space="preserve">as artisans of performativity </w:t>
      </w:r>
      <w:r w:rsidR="00221B79" w:rsidRPr="00D82F96">
        <w:t xml:space="preserve">far </w:t>
      </w:r>
      <w:r w:rsidR="00B43FD9" w:rsidRPr="00D82F96">
        <w:t>less</w:t>
      </w:r>
      <w:r w:rsidR="00221B79" w:rsidRPr="00D82F96">
        <w:t xml:space="preserve"> than</w:t>
      </w:r>
      <w:r w:rsidR="00B43FD9" w:rsidRPr="00D82F96">
        <w:t xml:space="preserve"> pedagogy, </w:t>
      </w:r>
      <w:r w:rsidR="00221B79" w:rsidRPr="00D82F96">
        <w:t>and for whom a principle of competitive accountability is accordingly unproblematic. Indeed, the symbolic violence committed by academics upon their students through competitive accountability is itself obfuscated</w:t>
      </w:r>
      <w:r w:rsidR="00987447" w:rsidRPr="00D82F96">
        <w:t xml:space="preserve"> and excused</w:t>
      </w:r>
      <w:r w:rsidR="00221B79" w:rsidRPr="00D82F96">
        <w:t xml:space="preserve"> by </w:t>
      </w:r>
      <w:r w:rsidR="009533AB" w:rsidRPr="00D82F96">
        <w:t xml:space="preserve">the threat to </w:t>
      </w:r>
      <w:r w:rsidR="005E1FE6" w:rsidRPr="00D82F96">
        <w:t xml:space="preserve">their </w:t>
      </w:r>
      <w:r w:rsidR="009533AB" w:rsidRPr="00D82F96">
        <w:t xml:space="preserve">professional livelihood </w:t>
      </w:r>
      <w:r w:rsidR="00221B79" w:rsidRPr="00D82F96">
        <w:t>in the event of non-compliance.</w:t>
      </w:r>
      <w:r w:rsidR="000A6E77" w:rsidRPr="00D82F96">
        <w:t xml:space="preserve"> </w:t>
      </w:r>
      <w:r w:rsidR="00563ED1" w:rsidRPr="00D82F96">
        <w:t xml:space="preserve">Competitive accountability becomes then attributable to the </w:t>
      </w:r>
      <w:r w:rsidR="00930EC8" w:rsidRPr="00D82F96">
        <w:t>proliferation</w:t>
      </w:r>
      <w:r w:rsidR="00563ED1" w:rsidRPr="00D82F96">
        <w:t xml:space="preserve"> </w:t>
      </w:r>
      <w:r w:rsidR="00930EC8" w:rsidRPr="00D82F96">
        <w:t>of</w:t>
      </w:r>
      <w:r w:rsidR="000A6E77" w:rsidRPr="00D82F96">
        <w:t xml:space="preserve"> </w:t>
      </w:r>
      <w:r w:rsidR="00563ED1" w:rsidRPr="00D82F96">
        <w:t>‘</w:t>
      </w:r>
      <w:r w:rsidR="000A6E77" w:rsidRPr="00D82F96">
        <w:t>toxic</w:t>
      </w:r>
      <w:r w:rsidR="00930EC8" w:rsidRPr="00D82F96">
        <w:t xml:space="preserve"> universities</w:t>
      </w:r>
      <w:r w:rsidR="00563ED1" w:rsidRPr="00D82F96">
        <w:t>’</w:t>
      </w:r>
      <w:r w:rsidR="000A6E77" w:rsidRPr="00D82F96">
        <w:t xml:space="preserve"> and </w:t>
      </w:r>
      <w:r w:rsidR="00221B79" w:rsidRPr="00D82F96">
        <w:t>‘</w:t>
      </w:r>
      <w:r w:rsidR="000A6E77" w:rsidRPr="00D82F96">
        <w:t xml:space="preserve">zombie </w:t>
      </w:r>
      <w:r w:rsidR="00930EC8" w:rsidRPr="00D82F96">
        <w:t>leadership</w:t>
      </w:r>
      <w:r w:rsidR="00221B79" w:rsidRPr="00D82F96">
        <w:t>’</w:t>
      </w:r>
      <w:r w:rsidR="00930EC8" w:rsidRPr="00D82F96">
        <w:t xml:space="preserve"> (Smyth</w:t>
      </w:r>
      <w:r w:rsidR="00866CEF">
        <w:t>,</w:t>
      </w:r>
      <w:r w:rsidR="00930EC8" w:rsidRPr="00D82F96">
        <w:t xml:space="preserve"> 2017)</w:t>
      </w:r>
      <w:r w:rsidR="000A6E77" w:rsidRPr="00D82F96">
        <w:t xml:space="preserve"> </w:t>
      </w:r>
      <w:r w:rsidR="00563ED1" w:rsidRPr="00D82F96">
        <w:t xml:space="preserve">and the foreclosing of </w:t>
      </w:r>
      <w:r w:rsidR="000A6E77" w:rsidRPr="00D82F96">
        <w:t>critical pedagogy</w:t>
      </w:r>
      <w:r w:rsidR="00221B79" w:rsidRPr="00D82F96">
        <w:t xml:space="preserve"> and critical solidarity</w:t>
      </w:r>
      <w:r w:rsidR="00987447" w:rsidRPr="00D82F96">
        <w:t xml:space="preserve">. Instead </w:t>
      </w:r>
      <w:r w:rsidR="00FC44E6" w:rsidRPr="00D82F96">
        <w:t>fracture and division</w:t>
      </w:r>
      <w:r w:rsidR="009C6B2C" w:rsidRPr="00D82F96">
        <w:t>, individualism and careerism</w:t>
      </w:r>
      <w:r w:rsidR="00987447" w:rsidRPr="00D82F96">
        <w:t xml:space="preserve"> flourish and colleagues </w:t>
      </w:r>
      <w:r w:rsidR="00341238" w:rsidRPr="00D82F96">
        <w:t xml:space="preserve">become </w:t>
      </w:r>
      <w:r w:rsidR="00FC44E6" w:rsidRPr="00D82F96">
        <w:t>competitors.</w:t>
      </w:r>
      <w:r w:rsidR="00EF04BE" w:rsidRPr="00D82F96">
        <w:t xml:space="preserve"> An idealisation of the Academy as a </w:t>
      </w:r>
      <w:r w:rsidR="00221B79" w:rsidRPr="00D82F96">
        <w:t xml:space="preserve">critical </w:t>
      </w:r>
      <w:r w:rsidR="00EF04BE" w:rsidRPr="00D82F96">
        <w:rPr>
          <w:i/>
        </w:rPr>
        <w:t>community</w:t>
      </w:r>
      <w:r w:rsidR="00EF04BE" w:rsidRPr="00D82F96">
        <w:t xml:space="preserve"> of scholars</w:t>
      </w:r>
      <w:r w:rsidR="00530347" w:rsidRPr="00D82F96">
        <w:t xml:space="preserve"> </w:t>
      </w:r>
      <w:r w:rsidR="00EF04BE" w:rsidRPr="00D82F96">
        <w:t xml:space="preserve">is rendered, just that, an </w:t>
      </w:r>
      <w:r w:rsidR="00EF04BE" w:rsidRPr="00D82F96">
        <w:rPr>
          <w:i/>
        </w:rPr>
        <w:t>ideal</w:t>
      </w:r>
      <w:r w:rsidR="00530347" w:rsidRPr="00D82F96">
        <w:t>; asphyxiated by the stranglehold of competitive accountability</w:t>
      </w:r>
      <w:r w:rsidRPr="00D82F96">
        <w:t xml:space="preserve"> and correspond</w:t>
      </w:r>
      <w:r w:rsidR="00987447" w:rsidRPr="00D82F96">
        <w:t>ing</w:t>
      </w:r>
      <w:r w:rsidRPr="00D82F96">
        <w:t xml:space="preserve"> frailty of academics’ self-concept</w:t>
      </w:r>
      <w:r w:rsidR="00987447" w:rsidRPr="00D82F96">
        <w:t xml:space="preserve"> and </w:t>
      </w:r>
      <w:r w:rsidR="006E0C3F" w:rsidRPr="00D82F96">
        <w:t>capacity</w:t>
      </w:r>
      <w:r w:rsidR="00987447" w:rsidRPr="00D82F96">
        <w:t xml:space="preserve"> for reinvention</w:t>
      </w:r>
      <w:r w:rsidR="00822265" w:rsidRPr="00D82F96">
        <w:t xml:space="preserve"> (</w:t>
      </w:r>
      <w:r w:rsidR="001549D3" w:rsidRPr="001549D3">
        <w:rPr>
          <w:highlight w:val="yellow"/>
        </w:rPr>
        <w:t>Watermeyer,</w:t>
      </w:r>
      <w:r w:rsidRPr="001549D3">
        <w:rPr>
          <w:highlight w:val="yellow"/>
        </w:rPr>
        <w:t xml:space="preserve"> 2019</w:t>
      </w:r>
      <w:r w:rsidRPr="00D82F96">
        <w:t>).</w:t>
      </w:r>
    </w:p>
    <w:p w14:paraId="61E27F87" w14:textId="77777777" w:rsidR="00B54292" w:rsidRDefault="00B54292" w:rsidP="00866CEF">
      <w:pPr>
        <w:ind w:firstLine="0"/>
        <w:jc w:val="both"/>
        <w:rPr>
          <w:rFonts w:cs="Times New Roman"/>
          <w:b/>
          <w:szCs w:val="24"/>
        </w:rPr>
      </w:pPr>
    </w:p>
    <w:p w14:paraId="42842157" w14:textId="77777777" w:rsidR="00866CEF" w:rsidRDefault="00866CEF" w:rsidP="00866CEF">
      <w:pPr>
        <w:ind w:firstLine="0"/>
        <w:jc w:val="both"/>
        <w:rPr>
          <w:rFonts w:cs="Times New Roman"/>
          <w:b/>
          <w:szCs w:val="24"/>
        </w:rPr>
      </w:pPr>
    </w:p>
    <w:p w14:paraId="1C892579" w14:textId="3D504C08" w:rsidR="007461CA" w:rsidRPr="00D82F96" w:rsidRDefault="00BD2558" w:rsidP="00866CEF">
      <w:pPr>
        <w:ind w:firstLine="0"/>
        <w:jc w:val="both"/>
        <w:rPr>
          <w:rFonts w:cs="Times New Roman"/>
          <w:b/>
          <w:szCs w:val="24"/>
        </w:rPr>
      </w:pPr>
      <w:r w:rsidRPr="00D82F96">
        <w:rPr>
          <w:rFonts w:cs="Times New Roman"/>
          <w:b/>
          <w:szCs w:val="24"/>
        </w:rPr>
        <w:t xml:space="preserve">Discussion: </w:t>
      </w:r>
      <w:r w:rsidR="009D4C74" w:rsidRPr="00D82F96">
        <w:rPr>
          <w:rFonts w:cs="Times New Roman"/>
          <w:b/>
          <w:szCs w:val="24"/>
        </w:rPr>
        <w:t>v</w:t>
      </w:r>
      <w:r w:rsidR="00943397" w:rsidRPr="00D82F96">
        <w:rPr>
          <w:rFonts w:cs="Times New Roman"/>
          <w:b/>
          <w:szCs w:val="24"/>
        </w:rPr>
        <w:t>alue beyond credentialism?</w:t>
      </w:r>
    </w:p>
    <w:p w14:paraId="61FFE8AF" w14:textId="77777777" w:rsidR="00866CEF" w:rsidRDefault="00866CEF" w:rsidP="00866CEF">
      <w:pPr>
        <w:ind w:firstLine="0"/>
      </w:pPr>
    </w:p>
    <w:p w14:paraId="2E2C36F3" w14:textId="3B2712B4" w:rsidR="00E80A7E" w:rsidRPr="00D82F96" w:rsidRDefault="00E80A7E" w:rsidP="00866CEF">
      <w:pPr>
        <w:ind w:firstLine="0"/>
      </w:pPr>
      <w:r w:rsidRPr="00D82F96">
        <w:t>This article has</w:t>
      </w:r>
      <w:r w:rsidR="00D73B4D" w:rsidRPr="00D82F96">
        <w:t xml:space="preserve"> advanced a </w:t>
      </w:r>
      <w:r w:rsidRPr="00D82F96">
        <w:t xml:space="preserve">conceptual analysis of </w:t>
      </w:r>
      <w:r w:rsidR="00C436DD" w:rsidRPr="00D82F96">
        <w:t>the application of credentialist</w:t>
      </w:r>
      <w:r w:rsidR="00470C68" w:rsidRPr="00D82F96">
        <w:t xml:space="preserve"> theory </w:t>
      </w:r>
      <w:r w:rsidRPr="00D82F96">
        <w:t>to major structural development</w:t>
      </w:r>
      <w:r w:rsidR="0045709A" w:rsidRPr="00D82F96">
        <w:t>s</w:t>
      </w:r>
      <w:r w:rsidRPr="00D82F96">
        <w:t xml:space="preserve"> in HE syst</w:t>
      </w:r>
      <w:r w:rsidR="00146786" w:rsidRPr="00D82F96">
        <w:t xml:space="preserve">ems and how </w:t>
      </w:r>
      <w:r w:rsidR="0045709A" w:rsidRPr="00D82F96">
        <w:t xml:space="preserve">macro level shifts penetrate </w:t>
      </w:r>
      <w:r w:rsidRPr="00D82F96">
        <w:t>micro-level behaviours and dispositions. One of the central features of this analysis has been to show how this plays out in a range of new configurations, internally and externally, that HE conte</w:t>
      </w:r>
      <w:r w:rsidR="00045EF1" w:rsidRPr="00D82F96">
        <w:t>mporary systems have witnessed in more recent decades</w:t>
      </w:r>
      <w:r w:rsidRPr="00D82F96">
        <w:t xml:space="preserve">. </w:t>
      </w:r>
    </w:p>
    <w:p w14:paraId="7144C8B7" w14:textId="0231F122" w:rsidR="00E80A7E" w:rsidRPr="00D82F96" w:rsidRDefault="00E80A7E" w:rsidP="00B54292">
      <w:r w:rsidRPr="00D82F96">
        <w:t xml:space="preserve"> As an antidote to new growth and human capital models that have come to dominate the direction and public framing of policies related to the social and economic value of HE, the credentialist thesis offers some useful critical alternatives. Moreover, it explains some of the dynamics to how powerful regulatory groups, in particular policy elites and employers, further perpetuate inflationary pressures and new rules of positional competition for institutions and individuals. Related is the </w:t>
      </w:r>
      <w:r w:rsidRPr="00D82F96">
        <w:lastRenderedPageBreak/>
        <w:t>salience of structural inequalities which an expanded HE system inadvertently reproduces, as well as the obstacles to social mobility in a credential market. This is occurring at time when systems globally also face enduring fiscal challenges via revenue shortfalls. However, whereas in the 1970s it explained limits of growth and mismatches between credentials and over-qualification</w:t>
      </w:r>
      <w:r w:rsidR="008B60E6" w:rsidRPr="00D82F96">
        <w:t>,</w:t>
      </w:r>
      <w:r w:rsidRPr="00D82F96">
        <w:t xml:space="preserve"> in the more recent market-driven context it can explain the move towards performative logics underpinning institutional behaviours and the cult of competitive accountability and possessive individualism. </w:t>
      </w:r>
    </w:p>
    <w:p w14:paraId="76D4F669" w14:textId="7D761302" w:rsidR="00E80A7E" w:rsidRPr="00D82F96" w:rsidRDefault="00E80A7E" w:rsidP="00B54292">
      <w:r w:rsidRPr="00D82F96">
        <w:t>Overall, conditions of mass marketization and the shifting value of credentials and research outputs have given rise to NPM technologies that have consequences for the academic profession and potential divisions of labour within. The status competition that has been central to the growing stratification, internally and externally, of modern HE institutions emphasises the fulfilment of some activities (commodification of research, institutional market branding) at the cost of others (genuine collaboration, professional ethics</w:t>
      </w:r>
      <w:r w:rsidR="008B60E6" w:rsidRPr="00D82F96">
        <w:t>)</w:t>
      </w:r>
      <w:r w:rsidRPr="00D82F96">
        <w:t>. The current academic labour market is marked by growing labour divisions, including the compartmentalisation of academic work i</w:t>
      </w:r>
      <w:r w:rsidR="00CC469C" w:rsidRPr="00D82F96">
        <w:t>nto research and teaching, greater</w:t>
      </w:r>
      <w:r w:rsidRPr="00D82F96">
        <w:t xml:space="preserve"> career precariousness and the need for more extensive form of academic entrepreneurship.</w:t>
      </w:r>
    </w:p>
    <w:p w14:paraId="45DBC165" w14:textId="52CFD041" w:rsidR="00E80A7E" w:rsidRPr="00D82F96" w:rsidRDefault="00E80A7E" w:rsidP="00B54292">
      <w:r w:rsidRPr="00D82F96">
        <w:t>In assessing the conceptual value of credentialist theory some four decades on from its early inceptions, the theory continues to explain a number of patterns, outcomes and behavioural effects. When applied to the growing market model pervading many national systems, not least the US and UK where the theory has been most applied, a number of noticeable consequences are in play. These include: the rise of positional markets and status differentials which confer relative signalling value of credentials; growing income and opportunity disparity amongst the highly qualified, including growth in underemployment; stagnant inter-generational social mobility; supply-side pressures to meet external stakeholder</w:t>
      </w:r>
      <w:r w:rsidR="00BE48C3" w:rsidRPr="00D82F96">
        <w:t>s</w:t>
      </w:r>
      <w:r w:rsidRPr="00D82F96">
        <w:t xml:space="preserve"> at the demand end of HE; heightened government regulation of institutional life, including market responsiveness; and performative approaches to academic engagement amongst both professional academics and students.</w:t>
      </w:r>
    </w:p>
    <w:p w14:paraId="1A9712DD" w14:textId="22375BA1" w:rsidR="00E80A7E" w:rsidRPr="00D82F96" w:rsidRDefault="00E80A7E" w:rsidP="00B54292">
      <w:pPr>
        <w:rPr>
          <w:color w:val="201F1E"/>
          <w:shd w:val="clear" w:color="auto" w:fill="FFFFFF"/>
        </w:rPr>
      </w:pPr>
      <w:r w:rsidRPr="00D82F96">
        <w:t xml:space="preserve">One of the broader contributions of this article has been to </w:t>
      </w:r>
      <w:r w:rsidR="00C436DD" w:rsidRPr="00D82F96">
        <w:t>apply credential theory to the S</w:t>
      </w:r>
      <w:r w:rsidRPr="00D82F96">
        <w:t>tate’s continued policy paradox in the current politico-economic context on several levels.</w:t>
      </w:r>
      <w:r w:rsidRPr="00D82F96">
        <w:rPr>
          <w:color w:val="201F1E"/>
          <w:shd w:val="clear" w:color="auto" w:fill="FFFFFF"/>
        </w:rPr>
        <w:t xml:space="preserve"> </w:t>
      </w:r>
      <w:r w:rsidRPr="001549D3">
        <w:rPr>
          <w:color w:val="201F1E"/>
          <w:shd w:val="clear" w:color="auto" w:fill="FFFFFF"/>
        </w:rPr>
        <w:t>First</w:t>
      </w:r>
      <w:r w:rsidR="00866CEF" w:rsidRPr="001549D3">
        <w:rPr>
          <w:color w:val="201F1E"/>
          <w:shd w:val="clear" w:color="auto" w:fill="FFFFFF"/>
        </w:rPr>
        <w:t xml:space="preserve">, </w:t>
      </w:r>
      <w:r w:rsidRPr="001549D3">
        <w:rPr>
          <w:color w:val="201F1E"/>
          <w:shd w:val="clear" w:color="auto" w:fill="FFFFFF"/>
        </w:rPr>
        <w:t>in</w:t>
      </w:r>
      <w:r w:rsidRPr="00D82F96">
        <w:rPr>
          <w:color w:val="201F1E"/>
          <w:shd w:val="clear" w:color="auto" w:fill="FFFFFF"/>
        </w:rPr>
        <w:t xml:space="preserve"> terms of its response to shifting social and economic demands. </w:t>
      </w:r>
      <w:r w:rsidR="00F938C9" w:rsidRPr="00D82F96">
        <w:rPr>
          <w:color w:val="201F1E"/>
          <w:shd w:val="clear" w:color="auto" w:fill="FFFFFF"/>
        </w:rPr>
        <w:t>Government</w:t>
      </w:r>
      <w:r w:rsidR="00FA381E" w:rsidRPr="00D82F96">
        <w:rPr>
          <w:color w:val="201F1E"/>
          <w:shd w:val="clear" w:color="auto" w:fill="FFFFFF"/>
        </w:rPr>
        <w:t>s</w:t>
      </w:r>
      <w:r w:rsidR="00F938C9" w:rsidRPr="00D82F96">
        <w:rPr>
          <w:color w:val="201F1E"/>
          <w:shd w:val="clear" w:color="auto" w:fill="FFFFFF"/>
        </w:rPr>
        <w:t xml:space="preserve"> have looked to raise the human capital profile of graduates whilst simultaneously criticising</w:t>
      </w:r>
      <w:r w:rsidR="002216CA" w:rsidRPr="00D82F96">
        <w:rPr>
          <w:color w:val="201F1E"/>
          <w:shd w:val="clear" w:color="auto" w:fill="FFFFFF"/>
        </w:rPr>
        <w:t xml:space="preserve"> institutions</w:t>
      </w:r>
      <w:r w:rsidR="00FA381E" w:rsidRPr="00D82F96">
        <w:rPr>
          <w:color w:val="201F1E"/>
          <w:shd w:val="clear" w:color="auto" w:fill="FFFFFF"/>
        </w:rPr>
        <w:t>’</w:t>
      </w:r>
      <w:r w:rsidR="002216CA" w:rsidRPr="00D82F96">
        <w:rPr>
          <w:color w:val="201F1E"/>
          <w:shd w:val="clear" w:color="auto" w:fill="FFFFFF"/>
        </w:rPr>
        <w:t xml:space="preserve"> </w:t>
      </w:r>
      <w:r w:rsidR="00F938C9" w:rsidRPr="00D82F96">
        <w:rPr>
          <w:color w:val="201F1E"/>
          <w:shd w:val="clear" w:color="auto" w:fill="FFFFFF"/>
        </w:rPr>
        <w:t>efficacy</w:t>
      </w:r>
      <w:r w:rsidR="002216CA" w:rsidRPr="00D82F96">
        <w:rPr>
          <w:color w:val="201F1E"/>
          <w:shd w:val="clear" w:color="auto" w:fill="FFFFFF"/>
        </w:rPr>
        <w:t xml:space="preserve"> towards this end</w:t>
      </w:r>
      <w:r w:rsidR="00F938C9" w:rsidRPr="00D82F96">
        <w:rPr>
          <w:color w:val="201F1E"/>
          <w:shd w:val="clear" w:color="auto" w:fill="FFFFFF"/>
        </w:rPr>
        <w:t xml:space="preserve">. </w:t>
      </w:r>
      <w:r w:rsidR="002216CA" w:rsidRPr="00D82F96">
        <w:rPr>
          <w:color w:val="201F1E"/>
          <w:shd w:val="clear" w:color="auto" w:fill="FFFFFF"/>
        </w:rPr>
        <w:t>However, employers benefit f</w:t>
      </w:r>
      <w:r w:rsidR="00F938C9" w:rsidRPr="00D82F96">
        <w:rPr>
          <w:color w:val="201F1E"/>
          <w:shd w:val="clear" w:color="auto" w:fill="FFFFFF"/>
        </w:rPr>
        <w:t>r</w:t>
      </w:r>
      <w:r w:rsidR="002216CA" w:rsidRPr="00D82F96">
        <w:rPr>
          <w:color w:val="201F1E"/>
          <w:shd w:val="clear" w:color="auto" w:fill="FFFFFF"/>
        </w:rPr>
        <w:t>o</w:t>
      </w:r>
      <w:r w:rsidR="00F938C9" w:rsidRPr="00D82F96">
        <w:rPr>
          <w:color w:val="201F1E"/>
          <w:shd w:val="clear" w:color="auto" w:fill="FFFFFF"/>
        </w:rPr>
        <w:t>m increased graduate competition</w:t>
      </w:r>
      <w:r w:rsidR="002216CA" w:rsidRPr="00D82F96">
        <w:rPr>
          <w:color w:val="201F1E"/>
          <w:shd w:val="clear" w:color="auto" w:fill="FFFFFF"/>
        </w:rPr>
        <w:t xml:space="preserve"> and lowered wages, as do </w:t>
      </w:r>
      <w:r w:rsidR="008B60E6" w:rsidRPr="00D82F96">
        <w:rPr>
          <w:color w:val="201F1E"/>
          <w:shd w:val="clear" w:color="auto" w:fill="FFFFFF"/>
        </w:rPr>
        <w:t>the occupational</w:t>
      </w:r>
      <w:r w:rsidR="002216CA" w:rsidRPr="00D82F96">
        <w:rPr>
          <w:color w:val="201F1E"/>
          <w:shd w:val="clear" w:color="auto" w:fill="FFFFFF"/>
        </w:rPr>
        <w:t xml:space="preserve"> middle classes who are better able to leverage positional gain at a time when the value of formal credential </w:t>
      </w:r>
      <w:r w:rsidR="004048A2" w:rsidRPr="00D82F96">
        <w:rPr>
          <w:color w:val="201F1E"/>
          <w:shd w:val="clear" w:color="auto" w:fill="FFFFFF"/>
        </w:rPr>
        <w:t>declines and official rhetoric</w:t>
      </w:r>
      <w:r w:rsidR="002216CA" w:rsidRPr="00D82F96">
        <w:rPr>
          <w:color w:val="201F1E"/>
          <w:shd w:val="clear" w:color="auto" w:fill="FFFFFF"/>
        </w:rPr>
        <w:t xml:space="preserve"> of declining standards ensues (for example via private schooling, alumni links, extend</w:t>
      </w:r>
      <w:r w:rsidR="003D3943" w:rsidRPr="00D82F96">
        <w:rPr>
          <w:color w:val="201F1E"/>
          <w:shd w:val="clear" w:color="auto" w:fill="FFFFFF"/>
        </w:rPr>
        <w:t>ed</w:t>
      </w:r>
      <w:r w:rsidR="002216CA" w:rsidRPr="00D82F96">
        <w:rPr>
          <w:color w:val="201F1E"/>
          <w:shd w:val="clear" w:color="auto" w:fill="FFFFFF"/>
        </w:rPr>
        <w:t xml:space="preserve"> social networks, market knowledge). </w:t>
      </w:r>
      <w:r w:rsidRPr="00D82F96">
        <w:rPr>
          <w:color w:val="201F1E"/>
          <w:shd w:val="clear" w:color="auto" w:fill="FFFFFF"/>
        </w:rPr>
        <w:t>Second is the countervailing</w:t>
      </w:r>
      <w:r w:rsidR="00EE4A78" w:rsidRPr="00D82F96">
        <w:rPr>
          <w:color w:val="201F1E"/>
          <w:shd w:val="clear" w:color="auto" w:fill="FFFFFF"/>
        </w:rPr>
        <w:t xml:space="preserve"> dynamic inherent in</w:t>
      </w:r>
      <w:r w:rsidRPr="00D82F96">
        <w:rPr>
          <w:color w:val="201F1E"/>
          <w:shd w:val="clear" w:color="auto" w:fill="FFFFFF"/>
        </w:rPr>
        <w:t xml:space="preserve"> neoliberal reforms: between greater market freedom </w:t>
      </w:r>
      <w:r w:rsidR="00EE4A78" w:rsidRPr="00D82F96">
        <w:rPr>
          <w:color w:val="201F1E"/>
          <w:shd w:val="clear" w:color="auto" w:fill="FFFFFF"/>
        </w:rPr>
        <w:t xml:space="preserve">within </w:t>
      </w:r>
      <w:r w:rsidRPr="00D82F96">
        <w:rPr>
          <w:color w:val="201F1E"/>
          <w:shd w:val="clear" w:color="auto" w:fill="FFFFFF"/>
        </w:rPr>
        <w:t>institutions and stronger competitive accountability and central co</w:t>
      </w:r>
      <w:r w:rsidR="00B64EB3" w:rsidRPr="00D82F96">
        <w:rPr>
          <w:color w:val="201F1E"/>
          <w:shd w:val="clear" w:color="auto" w:fill="FFFFFF"/>
        </w:rPr>
        <w:t>mpliance that delimits autonomous</w:t>
      </w:r>
      <w:r w:rsidRPr="00D82F96">
        <w:rPr>
          <w:color w:val="201F1E"/>
          <w:shd w:val="clear" w:color="auto" w:fill="FFFFFF"/>
        </w:rPr>
        <w:t xml:space="preserve"> scope to set agendas in their own and students’ interests. Colli</w:t>
      </w:r>
      <w:r w:rsidR="002216CA" w:rsidRPr="00D82F96">
        <w:rPr>
          <w:color w:val="201F1E"/>
          <w:shd w:val="clear" w:color="auto" w:fill="FFFFFF"/>
        </w:rPr>
        <w:t>ns’ later writing (2002) acknowledged</w:t>
      </w:r>
      <w:r w:rsidRPr="00D82F96">
        <w:rPr>
          <w:color w:val="201F1E"/>
          <w:shd w:val="clear" w:color="auto" w:fill="FFFFFF"/>
        </w:rPr>
        <w:t xml:space="preserve"> </w:t>
      </w:r>
      <w:r w:rsidR="007D6440" w:rsidRPr="00D82F96">
        <w:rPr>
          <w:color w:val="201F1E"/>
          <w:shd w:val="clear" w:color="auto" w:fill="FFFFFF"/>
        </w:rPr>
        <w:t>the growing</w:t>
      </w:r>
      <w:r w:rsidR="002A4B63" w:rsidRPr="00D82F96">
        <w:rPr>
          <w:color w:val="201F1E"/>
          <w:shd w:val="clear" w:color="auto" w:fill="FFFFFF"/>
        </w:rPr>
        <w:t xml:space="preserve"> exogenous strains impacting</w:t>
      </w:r>
      <w:r w:rsidR="00900923" w:rsidRPr="00D82F96">
        <w:rPr>
          <w:color w:val="201F1E"/>
          <w:shd w:val="clear" w:color="auto" w:fill="FFFFFF"/>
        </w:rPr>
        <w:t xml:space="preserve"> higher</w:t>
      </w:r>
      <w:r w:rsidR="00FA381E" w:rsidRPr="00D82F96">
        <w:rPr>
          <w:color w:val="201F1E"/>
          <w:shd w:val="clear" w:color="auto" w:fill="FFFFFF"/>
        </w:rPr>
        <w:t xml:space="preserve"> education</w:t>
      </w:r>
      <w:r w:rsidR="007D59E5" w:rsidRPr="00D82F96">
        <w:rPr>
          <w:color w:val="201F1E"/>
          <w:shd w:val="clear" w:color="auto" w:fill="FFFFFF"/>
        </w:rPr>
        <w:t>,</w:t>
      </w:r>
      <w:r w:rsidR="0066001C" w:rsidRPr="00D82F96">
        <w:rPr>
          <w:color w:val="201F1E"/>
          <w:shd w:val="clear" w:color="auto" w:fill="FFFFFF"/>
        </w:rPr>
        <w:t xml:space="preserve"> manifest in changing currencies and hierarchies</w:t>
      </w:r>
      <w:r w:rsidR="007D6440" w:rsidRPr="00D82F96">
        <w:rPr>
          <w:color w:val="201F1E"/>
          <w:shd w:val="clear" w:color="auto" w:fill="FFFFFF"/>
        </w:rPr>
        <w:t xml:space="preserve"> of esteem</w:t>
      </w:r>
      <w:r w:rsidR="00900923" w:rsidRPr="00D82F96">
        <w:rPr>
          <w:color w:val="201F1E"/>
          <w:shd w:val="clear" w:color="auto" w:fill="FFFFFF"/>
        </w:rPr>
        <w:t xml:space="preserve"> and</w:t>
      </w:r>
      <w:r w:rsidR="0066001C" w:rsidRPr="00D82F96">
        <w:rPr>
          <w:color w:val="201F1E"/>
          <w:shd w:val="clear" w:color="auto" w:fill="FFFFFF"/>
        </w:rPr>
        <w:t xml:space="preserve"> renewed</w:t>
      </w:r>
      <w:r w:rsidR="0007695C" w:rsidRPr="00D82F96">
        <w:rPr>
          <w:color w:val="201F1E"/>
          <w:shd w:val="clear" w:color="auto" w:fill="FFFFFF"/>
        </w:rPr>
        <w:t xml:space="preserve"> ‘inflationary pressures’ (i.e.</w:t>
      </w:r>
      <w:r w:rsidR="00866CEF">
        <w:rPr>
          <w:color w:val="201F1E"/>
          <w:shd w:val="clear" w:color="auto" w:fill="FFFFFF"/>
        </w:rPr>
        <w:t>,</w:t>
      </w:r>
      <w:r w:rsidR="0007695C" w:rsidRPr="00D82F96">
        <w:rPr>
          <w:color w:val="201F1E"/>
          <w:shd w:val="clear" w:color="auto" w:fill="FFFFFF"/>
        </w:rPr>
        <w:t xml:space="preserve"> grade, admissions, CV inflations)</w:t>
      </w:r>
      <w:r w:rsidR="007D59E5" w:rsidRPr="00D82F96">
        <w:rPr>
          <w:color w:val="201F1E"/>
          <w:shd w:val="clear" w:color="auto" w:fill="FFFFFF"/>
        </w:rPr>
        <w:t xml:space="preserve"> </w:t>
      </w:r>
      <w:r w:rsidR="00866CEF">
        <w:rPr>
          <w:color w:val="201F1E"/>
          <w:shd w:val="clear" w:color="auto" w:fill="FFFFFF"/>
        </w:rPr>
        <w:t>–</w:t>
      </w:r>
      <w:r w:rsidR="0066001C" w:rsidRPr="00D82F96">
        <w:rPr>
          <w:color w:val="201F1E"/>
          <w:shd w:val="clear" w:color="auto" w:fill="FFFFFF"/>
        </w:rPr>
        <w:t xml:space="preserve"> all of which have</w:t>
      </w:r>
      <w:r w:rsidRPr="00D82F96">
        <w:rPr>
          <w:color w:val="201F1E"/>
          <w:shd w:val="clear" w:color="auto" w:fill="FFFFFF"/>
        </w:rPr>
        <w:t xml:space="preserve"> become more pronounced in recent decades</w:t>
      </w:r>
      <w:r w:rsidR="0066001C" w:rsidRPr="00D82F96">
        <w:rPr>
          <w:color w:val="201F1E"/>
          <w:shd w:val="clear" w:color="auto" w:fill="FFFFFF"/>
        </w:rPr>
        <w:t>. These dynamics are</w:t>
      </w:r>
      <w:r w:rsidR="0007695C" w:rsidRPr="00D82F96">
        <w:rPr>
          <w:color w:val="201F1E"/>
          <w:shd w:val="clear" w:color="auto" w:fill="FFFFFF"/>
        </w:rPr>
        <w:t xml:space="preserve"> compounded by</w:t>
      </w:r>
      <w:r w:rsidRPr="00D82F96">
        <w:rPr>
          <w:color w:val="201F1E"/>
          <w:shd w:val="clear" w:color="auto" w:fill="FFFFFF"/>
        </w:rPr>
        <w:t xml:space="preserve"> </w:t>
      </w:r>
      <w:r w:rsidR="00D73B4D" w:rsidRPr="00D82F96">
        <w:rPr>
          <w:color w:val="201F1E"/>
          <w:shd w:val="clear" w:color="auto" w:fill="FFFFFF"/>
        </w:rPr>
        <w:t>continued</w:t>
      </w:r>
      <w:r w:rsidR="00900923" w:rsidRPr="00D82F96">
        <w:rPr>
          <w:color w:val="201F1E"/>
          <w:shd w:val="clear" w:color="auto" w:fill="FFFFFF"/>
        </w:rPr>
        <w:t xml:space="preserve"> ex</w:t>
      </w:r>
      <w:r w:rsidR="007D59E5" w:rsidRPr="00D82F96">
        <w:rPr>
          <w:color w:val="201F1E"/>
          <w:shd w:val="clear" w:color="auto" w:fill="FFFFFF"/>
        </w:rPr>
        <w:t>ternal pressures emanating from</w:t>
      </w:r>
      <w:r w:rsidRPr="00D82F96">
        <w:rPr>
          <w:color w:val="201F1E"/>
          <w:shd w:val="clear" w:color="auto" w:fill="FFFFFF"/>
        </w:rPr>
        <w:t xml:space="preserve"> mov</w:t>
      </w:r>
      <w:r w:rsidR="00AE7D6A" w:rsidRPr="00D82F96">
        <w:rPr>
          <w:color w:val="201F1E"/>
          <w:shd w:val="clear" w:color="auto" w:fill="FFFFFF"/>
        </w:rPr>
        <w:t>ement</w:t>
      </w:r>
      <w:r w:rsidR="007D59E5" w:rsidRPr="00D82F96">
        <w:rPr>
          <w:color w:val="201F1E"/>
          <w:shd w:val="clear" w:color="auto" w:fill="FFFFFF"/>
        </w:rPr>
        <w:t>s</w:t>
      </w:r>
      <w:r w:rsidR="00AE7D6A" w:rsidRPr="00D82F96">
        <w:rPr>
          <w:color w:val="201F1E"/>
          <w:shd w:val="clear" w:color="auto" w:fill="FFFFFF"/>
        </w:rPr>
        <w:t xml:space="preserve"> towards global demand</w:t>
      </w:r>
      <w:r w:rsidRPr="00D82F96">
        <w:rPr>
          <w:color w:val="201F1E"/>
          <w:shd w:val="clear" w:color="auto" w:fill="FFFFFF"/>
        </w:rPr>
        <w:t xml:space="preserve"> for credentials, digitalisation</w:t>
      </w:r>
      <w:r w:rsidR="002216CA" w:rsidRPr="00D82F96">
        <w:rPr>
          <w:color w:val="201F1E"/>
          <w:shd w:val="clear" w:color="auto" w:fill="FFFFFF"/>
        </w:rPr>
        <w:t xml:space="preserve"> of labour</w:t>
      </w:r>
      <w:r w:rsidRPr="00D82F96">
        <w:rPr>
          <w:color w:val="201F1E"/>
          <w:shd w:val="clear" w:color="auto" w:fill="FFFFFF"/>
        </w:rPr>
        <w:t>, fiscal uncertainty</w:t>
      </w:r>
      <w:r w:rsidR="00866CEF">
        <w:rPr>
          <w:color w:val="201F1E"/>
          <w:shd w:val="clear" w:color="auto" w:fill="FFFFFF"/>
        </w:rPr>
        <w:t>,</w:t>
      </w:r>
      <w:r w:rsidRPr="00D82F96">
        <w:rPr>
          <w:color w:val="201F1E"/>
          <w:shd w:val="clear" w:color="auto" w:fill="FFFFFF"/>
        </w:rPr>
        <w:t xml:space="preserve"> and the diminishing social pact between institutions and state.</w:t>
      </w:r>
    </w:p>
    <w:p w14:paraId="30BB7397" w14:textId="6EA72EA7" w:rsidR="00E80A7E" w:rsidRPr="00D82F96" w:rsidRDefault="00E80A7E" w:rsidP="00B54292">
      <w:r w:rsidRPr="00D82F96">
        <w:lastRenderedPageBreak/>
        <w:t xml:space="preserve">Whilst institutions may not explicitly endorse a grade inflation, the pressures to demonstrate favourable programme- and institutional-level performance within a consumer-driven model means that a higher proportion of ‘good’ degrees from institutions often ensues (Brown </w:t>
      </w:r>
      <w:r w:rsidR="00866CEF">
        <w:t xml:space="preserve">&amp; </w:t>
      </w:r>
      <w:r w:rsidRPr="00D82F96">
        <w:t xml:space="preserve">Carsaso, 2013). NPM technologies geared towards improving information symmetry on institutions’ demonstrable performance in satisfying student outcomes </w:t>
      </w:r>
      <w:r w:rsidR="00866CEF">
        <w:t>–</w:t>
      </w:r>
      <w:r w:rsidRPr="00D82F96">
        <w:t xml:space="preserve"> largely in the form of public league tables </w:t>
      </w:r>
      <w:r w:rsidR="00866CEF">
        <w:t>–</w:t>
      </w:r>
      <w:r w:rsidRPr="00D82F96">
        <w:t xml:space="preserve"> generate institutional conditions conducive for such leveraging. Institutions are compelled to furnish their performative value-added in ways which provide market signals to prospective student customers and employers.</w:t>
      </w:r>
    </w:p>
    <w:p w14:paraId="224E3063" w14:textId="0BB78C6C" w:rsidR="00E80A7E" w:rsidRPr="00D82F96" w:rsidRDefault="00E80A7E" w:rsidP="00B54292">
      <w:r w:rsidRPr="00D82F96">
        <w:t>Our analysis offers another other application and potential area for continued analysis, namely the preponderance of structural inequalities and the role of HE systems in their reproduction rather than eradication. A marked effect of credential inflation has been occupational mismatching of graduates to specific areas of the labour market, compounded by rising cost associated with attaining degree-level qualifications. Over the past two decades the evidence has pointed to a tiered labour market for the well-qualified, a pattern reinforced by the uneven way in which credentials regulate access to specific areas of the labour market (Bills</w:t>
      </w:r>
      <w:r w:rsidR="00866CEF">
        <w:t xml:space="preserve"> et al.,</w:t>
      </w:r>
      <w:r w:rsidRPr="00D82F96">
        <w:t xml:space="preserve"> 2017). At one level appears to be strongly positioned, well-resourced and mobile graduates, and at other levels, those in transitory, precarious or ‘sub-graduate’ jobs, or even disenfranchised from the labour market altogether (ONS</w:t>
      </w:r>
      <w:r w:rsidR="00866CEF">
        <w:t>,</w:t>
      </w:r>
      <w:r w:rsidRPr="00D82F96">
        <w:t xml:space="preserve"> 2019). </w:t>
      </w:r>
    </w:p>
    <w:p w14:paraId="2CA31936" w14:textId="50B5ADBD" w:rsidR="00E80A7E" w:rsidRPr="00D82F96" w:rsidRDefault="00E80A7E" w:rsidP="00B54292">
      <w:r w:rsidRPr="00D82F96">
        <w:rPr>
          <w:lang w:val="en-US"/>
        </w:rPr>
        <w:t>Concurrently, for degree-holders access to elite professions appears confined to relatively small segments of the graduate population (Sutton Trust</w:t>
      </w:r>
      <w:r w:rsidR="00866CEF">
        <w:rPr>
          <w:lang w:val="en-US"/>
        </w:rPr>
        <w:t>,</w:t>
      </w:r>
      <w:r w:rsidRPr="00D82F96">
        <w:rPr>
          <w:lang w:val="en-US"/>
        </w:rPr>
        <w:t xml:space="preserve"> 2019), at a time when graduate ‘under-employment’ has increased and graduates with specific educational and contingent profiles fair less favorably in accessing labour market returns (IFS</w:t>
      </w:r>
      <w:r w:rsidR="00866CEF">
        <w:rPr>
          <w:lang w:val="en-US"/>
        </w:rPr>
        <w:t>,</w:t>
      </w:r>
      <w:r w:rsidRPr="00D82F96">
        <w:rPr>
          <w:lang w:val="en-US"/>
        </w:rPr>
        <w:t xml:space="preserve"> 2016).</w:t>
      </w:r>
      <w:r w:rsidRPr="00D82F96">
        <w:t xml:space="preserve"> These patterns are characteristic across nearly all national labour markets.  They also go beyond popular supply-side concerns about higher education’s role in equipping graduates with requisite ‘employability skills’, ‘attributes’ and tools for ‘lifelong learning’. Often missing in these discussions are hidden ‘market rules’ influences in shaping who gets hired to different jobs (Brown</w:t>
      </w:r>
      <w:r w:rsidR="00866CEF">
        <w:t>,</w:t>
      </w:r>
      <w:r w:rsidRPr="00D82F96">
        <w:t xml:space="preserve"> 2013; SMCPC</w:t>
      </w:r>
      <w:r w:rsidR="00866CEF">
        <w:t>,</w:t>
      </w:r>
      <w:r w:rsidRPr="00D82F96">
        <w:t xml:space="preserve"> 2015) </w:t>
      </w:r>
      <w:r w:rsidR="00866CEF">
        <w:t>–</w:t>
      </w:r>
      <w:r w:rsidRPr="00D82F96">
        <w:t xml:space="preserve"> and at the time when the reward structure of labour market works is operating differently to that of educational system.</w:t>
      </w:r>
    </w:p>
    <w:p w14:paraId="080AFEE4" w14:textId="5512C31D" w:rsidR="00E80A7E" w:rsidRPr="00D82F96" w:rsidRDefault="002A4B63" w:rsidP="00B54292">
      <w:r w:rsidRPr="00D82F96">
        <w:t xml:space="preserve">As </w:t>
      </w:r>
      <w:r w:rsidR="00164A48" w:rsidRPr="00D82F96">
        <w:rPr>
          <w:i/>
        </w:rPr>
        <w:t>The</w:t>
      </w:r>
      <w:r w:rsidR="00164A48" w:rsidRPr="00D82F96">
        <w:t xml:space="preserve"> </w:t>
      </w:r>
      <w:r w:rsidR="00E80A7E" w:rsidRPr="00D82F96">
        <w:rPr>
          <w:i/>
          <w:iCs/>
        </w:rPr>
        <w:t>Credential Society</w:t>
      </w:r>
      <w:r w:rsidR="00E80A7E" w:rsidRPr="00D82F96">
        <w:t xml:space="preserve"> observes, it is not the credential but associated forms of symbolic differentiation </w:t>
      </w:r>
      <w:r w:rsidR="00146786" w:rsidRPr="00D82F96">
        <w:t>that influence</w:t>
      </w:r>
      <w:r w:rsidR="00AE7D6A" w:rsidRPr="00D82F96">
        <w:t>s</w:t>
      </w:r>
      <w:r w:rsidR="00E80A7E" w:rsidRPr="00D82F96">
        <w:t xml:space="preserve"> </w:t>
      </w:r>
      <w:r w:rsidR="00146786" w:rsidRPr="00D82F96">
        <w:t>individuals’ access to</w:t>
      </w:r>
      <w:r w:rsidR="00AE7D6A" w:rsidRPr="00D82F96">
        <w:t xml:space="preserve"> economic</w:t>
      </w:r>
      <w:r w:rsidR="00E80A7E" w:rsidRPr="00D82F96">
        <w:t xml:space="preserve"> good</w:t>
      </w:r>
      <w:r w:rsidR="00F938C9" w:rsidRPr="00D82F96">
        <w:t>s</w:t>
      </w:r>
      <w:r w:rsidR="00866CEF">
        <w:t xml:space="preserve"> – ‘</w:t>
      </w:r>
      <w:r w:rsidR="00EE4A78" w:rsidRPr="00D82F96">
        <w:t>the skills learned in schoo</w:t>
      </w:r>
      <w:r w:rsidR="008E3434" w:rsidRPr="00D82F96">
        <w:t>l are less important than group</w:t>
      </w:r>
      <w:r w:rsidR="00EE4A78" w:rsidRPr="00D82F96">
        <w:t xml:space="preserve"> membership in determining earning a</w:t>
      </w:r>
      <w:r w:rsidR="007569FE" w:rsidRPr="00D82F96">
        <w:t>nd prestige</w:t>
      </w:r>
      <w:r w:rsidR="00866CEF">
        <w:t>’</w:t>
      </w:r>
      <w:r w:rsidR="007569FE" w:rsidRPr="00D82F96">
        <w:t xml:space="preserve"> (Collins, 1979</w:t>
      </w:r>
      <w:r w:rsidR="00EE4A78" w:rsidRPr="00D82F96">
        <w:t>)</w:t>
      </w:r>
      <w:r w:rsidR="00E80A7E" w:rsidRPr="00D82F96">
        <w:t xml:space="preserve">. One of the immediate issues in the current context is the role of social capital in leveraging the status value of </w:t>
      </w:r>
      <w:r w:rsidR="008B60E6" w:rsidRPr="00D82F96">
        <w:t xml:space="preserve">different </w:t>
      </w:r>
      <w:r w:rsidR="00E80A7E" w:rsidRPr="00D82F96">
        <w:t>credentials</w:t>
      </w:r>
      <w:r w:rsidR="008B60E6" w:rsidRPr="00D82F96">
        <w:t xml:space="preserve"> and credential holders</w:t>
      </w:r>
      <w:r w:rsidR="00E80A7E" w:rsidRPr="00D82F96">
        <w:t xml:space="preserve"> and the renewed stratification between institutions, including the often implicit link between types of graduates and insti</w:t>
      </w:r>
      <w:r w:rsidR="007D7C42" w:rsidRPr="00D82F96">
        <w:t>tutions and differential reward</w:t>
      </w:r>
      <w:r w:rsidR="00E80A7E" w:rsidRPr="00D82F96">
        <w:t xml:space="preserve"> </w:t>
      </w:r>
      <w:r w:rsidR="00146786" w:rsidRPr="00D82F96">
        <w:t>mechanism</w:t>
      </w:r>
      <w:r w:rsidR="002216CA" w:rsidRPr="00D82F96">
        <w:t>s</w:t>
      </w:r>
      <w:r w:rsidR="00383FD0" w:rsidRPr="00D82F96">
        <w:t xml:space="preserve"> in the labour market. The relationship</w:t>
      </w:r>
      <w:r w:rsidR="00E80A7E" w:rsidRPr="00D82F96">
        <w:t xml:space="preserve"> between credentials and </w:t>
      </w:r>
      <w:r w:rsidRPr="00D82F96">
        <w:t xml:space="preserve">new </w:t>
      </w:r>
      <w:r w:rsidR="00E80A7E" w:rsidRPr="00D82F96">
        <w:t>forms of employment capital is certainly</w:t>
      </w:r>
      <w:r w:rsidR="00146786" w:rsidRPr="00D82F96">
        <w:t xml:space="preserve"> a pressing research agenda</w:t>
      </w:r>
      <w:r w:rsidR="00F938C9" w:rsidRPr="00D82F96">
        <w:t xml:space="preserve"> in the context of continued social closure to occupational areas.</w:t>
      </w:r>
      <w:r w:rsidR="007569FE" w:rsidRPr="00D82F96">
        <w:t xml:space="preserve"> </w:t>
      </w:r>
    </w:p>
    <w:p w14:paraId="62C438C7" w14:textId="767DFFC3" w:rsidR="00E80A7E" w:rsidRPr="00D82F96" w:rsidRDefault="00E80A7E" w:rsidP="00B54292">
      <w:r w:rsidRPr="00D82F96">
        <w:t>As a theory of value, there a</w:t>
      </w:r>
      <w:r w:rsidR="007569FE" w:rsidRPr="00D82F96">
        <w:t>r</w:t>
      </w:r>
      <w:r w:rsidRPr="00D82F96">
        <w:t>e limitations. C</w:t>
      </w:r>
      <w:r w:rsidR="00146786" w:rsidRPr="00D82F96">
        <w:t>redential theory</w:t>
      </w:r>
      <w:r w:rsidRPr="00D82F96">
        <w:t>, like other macro-level theories, depicts a fairly narrow conception of human agency, as well as the role of higher education in its development: individuals are locked within a structural game between the uneven dialectics of supply and demand. Formal qualifications function purely at the level of economic exchange in both classical economic and credentialist perspectives, so whatever private value is derived from the process is attributable to how effectively a college education has served this immediate purpose. However, when considering the value of HE beyond the labour market sphere, a range of wider framings of HE’s potentiality fall from the radar of these accounts. Non-</w:t>
      </w:r>
      <w:r w:rsidRPr="00D82F96">
        <w:lastRenderedPageBreak/>
        <w:t>utilitarian value dimensions which include, but are not exclusive to, democratic and civic engagement, powerful knowledge, enlightenment and self-actualization/self-formation and social enterprise are potential pivotal by products of a worthwhile</w:t>
      </w:r>
      <w:r w:rsidR="007D38FB" w:rsidRPr="00D82F96">
        <w:t xml:space="preserve"> university experience (Collini, 2012</w:t>
      </w:r>
      <w:r w:rsidRPr="00D82F96">
        <w:t xml:space="preserve">; Walker </w:t>
      </w:r>
      <w:r w:rsidR="00866CEF">
        <w:t xml:space="preserve">&amp; </w:t>
      </w:r>
      <w:r w:rsidRPr="00D82F96">
        <w:t>Fongwa, 2017). Yet their absence from policy and macro-orientated conceptions of HE’s role has diminished their placed in understanding of what a graduate should acquire from the process.</w:t>
      </w:r>
    </w:p>
    <w:p w14:paraId="50B442D1" w14:textId="6BDE6CD8" w:rsidR="00E80A7E" w:rsidRPr="00D82F96" w:rsidRDefault="00E80A7E" w:rsidP="00B54292">
      <w:r w:rsidRPr="00D82F96">
        <w:t>In short, the value of HE is multi-dimensional and encompasses sets of freedoms that exists conterminously to intrinsic and instrumental benefits, as well as private and public ones. In excluding HE’s substantive value, and a range of public benefits emerging from this process (for example, public good ethics and public good professionalism), credentialism feeds into possessive individualist discourses of value. At a time wh</w:t>
      </w:r>
      <w:r w:rsidR="008B60E6" w:rsidRPr="00D82F96">
        <w:t>en commodification of universities</w:t>
      </w:r>
      <w:r w:rsidRPr="00D82F96">
        <w:t xml:space="preserve"> learning and a narrow frame of institutional actors as homo economicus strongly prevails, alternative conceptions of value are much needed.</w:t>
      </w:r>
    </w:p>
    <w:p w14:paraId="4943376F" w14:textId="77777777" w:rsidR="00B54292" w:rsidRDefault="00B54292" w:rsidP="00B54292">
      <w:pPr>
        <w:spacing w:line="360" w:lineRule="auto"/>
        <w:ind w:firstLine="0"/>
        <w:jc w:val="both"/>
        <w:rPr>
          <w:rFonts w:cs="Times New Roman"/>
          <w:b/>
          <w:szCs w:val="24"/>
        </w:rPr>
      </w:pPr>
    </w:p>
    <w:p w14:paraId="16F73743" w14:textId="2E704A68" w:rsidR="00F11ECD" w:rsidRPr="00D82F96" w:rsidRDefault="00484D04" w:rsidP="00B54292">
      <w:pPr>
        <w:spacing w:line="360" w:lineRule="auto"/>
        <w:ind w:firstLine="0"/>
        <w:jc w:val="both"/>
        <w:rPr>
          <w:rFonts w:cs="Times New Roman"/>
          <w:b/>
          <w:szCs w:val="24"/>
        </w:rPr>
      </w:pPr>
      <w:r w:rsidRPr="00D82F96">
        <w:rPr>
          <w:rFonts w:cs="Times New Roman"/>
          <w:b/>
          <w:szCs w:val="24"/>
        </w:rPr>
        <w:t>References</w:t>
      </w:r>
    </w:p>
    <w:p w14:paraId="331F9F3E" w14:textId="77777777" w:rsidR="00866CEF" w:rsidRPr="00B201D4" w:rsidRDefault="00866CEF" w:rsidP="00866CEF">
      <w:pPr>
        <w:spacing w:line="300" w:lineRule="exact"/>
        <w:ind w:left="357" w:hanging="357"/>
        <w:rPr>
          <w:rFonts w:eastAsia="SimSun" w:cs="Times New Roman"/>
          <w:sz w:val="20"/>
          <w:szCs w:val="20"/>
        </w:rPr>
      </w:pPr>
      <w:r w:rsidRPr="00866CEF">
        <w:rPr>
          <w:rFonts w:eastAsia="SimSun" w:cs="Times New Roman"/>
          <w:sz w:val="20"/>
          <w:szCs w:val="20"/>
        </w:rPr>
        <w:t>Allen, J. &amp; van der Velden</w:t>
      </w:r>
      <w:r w:rsidRPr="00B201D4">
        <w:rPr>
          <w:rFonts w:eastAsia="SimSun" w:cs="Times New Roman"/>
          <w:sz w:val="20"/>
          <w:szCs w:val="20"/>
        </w:rPr>
        <w:t>, R. (Eds</w:t>
      </w:r>
      <w:r w:rsidRPr="00DB62B4">
        <w:rPr>
          <w:rFonts w:eastAsia="SimSun" w:cs="Times New Roman"/>
          <w:sz w:val="20"/>
          <w:szCs w:val="20"/>
        </w:rPr>
        <w:t xml:space="preserve">.). (2011). </w:t>
      </w:r>
      <w:r w:rsidRPr="00DB62B4">
        <w:rPr>
          <w:rFonts w:eastAsia="SimSun" w:cs="Times New Roman"/>
          <w:i/>
          <w:sz w:val="20"/>
          <w:szCs w:val="20"/>
        </w:rPr>
        <w:t>The</w:t>
      </w:r>
      <w:r w:rsidRPr="00B201D4">
        <w:rPr>
          <w:rFonts w:eastAsia="SimSun" w:cs="Times New Roman"/>
          <w:i/>
          <w:sz w:val="20"/>
          <w:szCs w:val="20"/>
        </w:rPr>
        <w:t xml:space="preserve"> flexible professi</w:t>
      </w:r>
      <w:r>
        <w:rPr>
          <w:rFonts w:eastAsia="SimSun" w:cs="Times New Roman"/>
          <w:i/>
          <w:sz w:val="20"/>
          <w:szCs w:val="20"/>
        </w:rPr>
        <w:t>onal in the knowledge society: N</w:t>
      </w:r>
      <w:r w:rsidRPr="00B201D4">
        <w:rPr>
          <w:rFonts w:eastAsia="SimSun" w:cs="Times New Roman"/>
          <w:i/>
          <w:sz w:val="20"/>
          <w:szCs w:val="20"/>
        </w:rPr>
        <w:t>ew challenges for higher education</w:t>
      </w:r>
      <w:r w:rsidRPr="00B201D4">
        <w:rPr>
          <w:rFonts w:eastAsia="SimSun" w:cs="Times New Roman"/>
          <w:sz w:val="20"/>
          <w:szCs w:val="20"/>
        </w:rPr>
        <w:t>. Dordrecht: Springer.</w:t>
      </w:r>
    </w:p>
    <w:p w14:paraId="5F2CEBDB" w14:textId="2D5B4B19" w:rsidR="00866CEF" w:rsidRPr="00B201D4" w:rsidRDefault="00866CEF" w:rsidP="00866CEF">
      <w:pPr>
        <w:spacing w:line="300" w:lineRule="exact"/>
        <w:ind w:left="357" w:hanging="357"/>
        <w:rPr>
          <w:rFonts w:eastAsia="SimSun" w:cs="Times New Roman"/>
          <w:sz w:val="20"/>
          <w:szCs w:val="20"/>
        </w:rPr>
      </w:pPr>
      <w:r w:rsidRPr="00866CEF">
        <w:rPr>
          <w:rFonts w:eastAsia="Times New Roman" w:cs="Times New Roman"/>
          <w:color w:val="000000"/>
          <w:sz w:val="20"/>
          <w:szCs w:val="20"/>
        </w:rPr>
        <w:t>Amsler,</w:t>
      </w:r>
      <w:r w:rsidR="000B1EC9">
        <w:rPr>
          <w:rFonts w:eastAsia="Times New Roman" w:cs="Times New Roman"/>
          <w:color w:val="000000"/>
          <w:sz w:val="20"/>
          <w:szCs w:val="20"/>
          <w:shd w:val="clear" w:color="auto" w:fill="FFFFFF"/>
        </w:rPr>
        <w:t xml:space="preserve"> </w:t>
      </w:r>
      <w:r w:rsidR="000B1EC9" w:rsidRPr="000B1EC9">
        <w:rPr>
          <w:rFonts w:eastAsia="Times New Roman" w:cs="Times New Roman"/>
          <w:color w:val="000000"/>
          <w:sz w:val="20"/>
          <w:szCs w:val="20"/>
          <w:highlight w:val="yellow"/>
          <w:shd w:val="clear" w:color="auto" w:fill="FFFFFF"/>
        </w:rPr>
        <w:t>S</w:t>
      </w:r>
      <w:r w:rsidR="000B1EC9">
        <w:rPr>
          <w:rFonts w:eastAsia="Times New Roman" w:cs="Times New Roman"/>
          <w:color w:val="000000"/>
          <w:sz w:val="20"/>
          <w:szCs w:val="20"/>
          <w:shd w:val="clear" w:color="auto" w:fill="FFFFFF"/>
        </w:rPr>
        <w:t>.</w:t>
      </w:r>
      <w:r>
        <w:rPr>
          <w:rFonts w:eastAsia="Times New Roman" w:cs="Times New Roman"/>
          <w:color w:val="000000"/>
          <w:sz w:val="20"/>
          <w:szCs w:val="20"/>
          <w:shd w:val="clear" w:color="auto" w:fill="FFFFFF"/>
        </w:rPr>
        <w:t xml:space="preserve"> &amp; </w:t>
      </w:r>
      <w:hyperlink r:id="rId8" w:tooltip="Browse more publications by Shore, Cris" w:history="1">
        <w:r w:rsidRPr="00B201D4">
          <w:rPr>
            <w:rFonts w:eastAsia="Times New Roman" w:cs="Times New Roman"/>
            <w:color w:val="000000"/>
            <w:sz w:val="20"/>
            <w:szCs w:val="20"/>
          </w:rPr>
          <w:t>Shore, C</w:t>
        </w:r>
      </w:hyperlink>
      <w:r w:rsidRPr="00B201D4">
        <w:rPr>
          <w:rFonts w:eastAsia="Times New Roman" w:cs="Times New Roman"/>
          <w:color w:val="000000"/>
          <w:sz w:val="20"/>
          <w:szCs w:val="20"/>
          <w:shd w:val="clear" w:color="auto" w:fill="FFFFFF"/>
        </w:rPr>
        <w:t xml:space="preserve">. (2015). Responsibilisation and leadership in the neoliberal university: </w:t>
      </w:r>
      <w:r>
        <w:rPr>
          <w:rFonts w:eastAsia="Times New Roman" w:cs="Times New Roman"/>
          <w:color w:val="000000"/>
          <w:sz w:val="20"/>
          <w:szCs w:val="20"/>
          <w:shd w:val="clear" w:color="auto" w:fill="FFFFFF"/>
        </w:rPr>
        <w:t>A</w:t>
      </w:r>
      <w:r w:rsidRPr="00B201D4">
        <w:rPr>
          <w:rFonts w:eastAsia="Times New Roman" w:cs="Times New Roman"/>
          <w:color w:val="000000"/>
          <w:sz w:val="20"/>
          <w:szCs w:val="20"/>
          <w:shd w:val="clear" w:color="auto" w:fill="FFFFFF"/>
        </w:rPr>
        <w:t xml:space="preserve"> New Zealand perspective. </w:t>
      </w:r>
      <w:r w:rsidRPr="00B201D4">
        <w:rPr>
          <w:rFonts w:eastAsia="Times New Roman" w:cs="Times New Roman"/>
          <w:i/>
          <w:iCs/>
          <w:color w:val="000000"/>
          <w:sz w:val="20"/>
          <w:szCs w:val="20"/>
        </w:rPr>
        <w:t>Discourse: Studies in the Cultural Politics of Education</w:t>
      </w:r>
      <w:r w:rsidRPr="00B201D4">
        <w:rPr>
          <w:rFonts w:eastAsia="Times New Roman" w:cs="Times New Roman"/>
          <w:color w:val="000000"/>
          <w:sz w:val="20"/>
          <w:szCs w:val="20"/>
          <w:shd w:val="clear" w:color="auto" w:fill="FFFFFF"/>
        </w:rPr>
        <w:t xml:space="preserve">, </w:t>
      </w:r>
      <w:r w:rsidRPr="00B201D4">
        <w:rPr>
          <w:rFonts w:eastAsia="Times New Roman" w:cs="Times New Roman"/>
          <w:i/>
          <w:color w:val="000000"/>
          <w:sz w:val="20"/>
          <w:szCs w:val="20"/>
          <w:shd w:val="clear" w:color="auto" w:fill="FFFFFF"/>
        </w:rPr>
        <w:t>38</w:t>
      </w:r>
      <w:r w:rsidRPr="00B201D4">
        <w:rPr>
          <w:rFonts w:eastAsia="Times New Roman" w:cs="Times New Roman"/>
          <w:color w:val="000000"/>
          <w:sz w:val="20"/>
          <w:szCs w:val="20"/>
          <w:shd w:val="clear" w:color="auto" w:fill="FFFFFF"/>
        </w:rPr>
        <w:t>(1), 123</w:t>
      </w:r>
      <w:r>
        <w:rPr>
          <w:rFonts w:eastAsia="Times New Roman" w:cs="Times New Roman"/>
          <w:color w:val="000000"/>
          <w:sz w:val="20"/>
          <w:szCs w:val="20"/>
          <w:shd w:val="clear" w:color="auto" w:fill="FFFFFF"/>
        </w:rPr>
        <w:t>–</w:t>
      </w:r>
      <w:r w:rsidRPr="00B201D4">
        <w:rPr>
          <w:rFonts w:eastAsia="Times New Roman" w:cs="Times New Roman"/>
          <w:color w:val="000000"/>
          <w:sz w:val="20"/>
          <w:szCs w:val="20"/>
          <w:shd w:val="clear" w:color="auto" w:fill="FFFFFF"/>
        </w:rPr>
        <w:t>137.</w:t>
      </w:r>
    </w:p>
    <w:p w14:paraId="596124B2" w14:textId="77777777" w:rsidR="00866CEF" w:rsidRPr="00866CEF" w:rsidRDefault="00866CEF" w:rsidP="00866CEF">
      <w:pPr>
        <w:spacing w:line="300" w:lineRule="exact"/>
        <w:ind w:left="357" w:hanging="357"/>
        <w:rPr>
          <w:rFonts w:eastAsia="SimSun" w:cs="Times New Roman"/>
          <w:sz w:val="20"/>
          <w:szCs w:val="20"/>
        </w:rPr>
      </w:pPr>
      <w:r w:rsidRPr="00866CEF">
        <w:rPr>
          <w:rFonts w:eastAsia="SimSun" w:cs="Times New Roman"/>
          <w:sz w:val="20"/>
          <w:szCs w:val="20"/>
        </w:rPr>
        <w:t xml:space="preserve">Ashley, L. &amp; Empson, E. (2017). Understanding social exclusion in elite professional service firms: Field level dynamics and the ‘professional project’. </w:t>
      </w:r>
      <w:r w:rsidRPr="00866CEF">
        <w:rPr>
          <w:rFonts w:eastAsia="SimSun" w:cs="Times New Roman"/>
          <w:i/>
          <w:sz w:val="20"/>
          <w:szCs w:val="20"/>
        </w:rPr>
        <w:t>Work, Employment and Society</w:t>
      </w:r>
      <w:r w:rsidRPr="00866CEF">
        <w:rPr>
          <w:rFonts w:eastAsia="SimSun" w:cs="Times New Roman"/>
          <w:sz w:val="20"/>
          <w:szCs w:val="20"/>
        </w:rPr>
        <w:t xml:space="preserve">, </w:t>
      </w:r>
      <w:r w:rsidRPr="00866CEF">
        <w:rPr>
          <w:rFonts w:eastAsia="SimSun" w:cs="Times New Roman"/>
          <w:i/>
          <w:sz w:val="20"/>
          <w:szCs w:val="20"/>
        </w:rPr>
        <w:t>31</w:t>
      </w:r>
      <w:r w:rsidRPr="00866CEF">
        <w:rPr>
          <w:rFonts w:eastAsia="SimSun" w:cs="Times New Roman"/>
          <w:sz w:val="20"/>
          <w:szCs w:val="20"/>
        </w:rPr>
        <w:t>(2), 211–229.</w:t>
      </w:r>
    </w:p>
    <w:p w14:paraId="7EC9AF54" w14:textId="77777777" w:rsidR="00866CEF" w:rsidRPr="00866CEF" w:rsidRDefault="00866CEF" w:rsidP="00866CEF">
      <w:pPr>
        <w:spacing w:line="300" w:lineRule="exact"/>
        <w:ind w:left="357" w:hanging="357"/>
        <w:rPr>
          <w:rFonts w:cs="Times New Roman"/>
          <w:sz w:val="20"/>
          <w:szCs w:val="20"/>
        </w:rPr>
      </w:pPr>
      <w:r w:rsidRPr="00866CEF">
        <w:rPr>
          <w:rFonts w:cs="Times New Roman"/>
          <w:sz w:val="20"/>
          <w:szCs w:val="20"/>
        </w:rPr>
        <w:t xml:space="preserve">Ball, S. (2003). The teacher’s soul and the terrors of performativity. </w:t>
      </w:r>
      <w:r w:rsidRPr="00866CEF">
        <w:rPr>
          <w:rFonts w:cs="Times New Roman"/>
          <w:i/>
          <w:sz w:val="20"/>
          <w:szCs w:val="20"/>
        </w:rPr>
        <w:t>Journal of Education Policy</w:t>
      </w:r>
      <w:r w:rsidRPr="00866CEF">
        <w:rPr>
          <w:rFonts w:cs="Times New Roman"/>
          <w:sz w:val="20"/>
          <w:szCs w:val="20"/>
        </w:rPr>
        <w:t xml:space="preserve">, </w:t>
      </w:r>
      <w:r w:rsidRPr="00866CEF">
        <w:rPr>
          <w:rFonts w:cs="Times New Roman"/>
          <w:i/>
          <w:sz w:val="20"/>
          <w:szCs w:val="20"/>
        </w:rPr>
        <w:t>18</w:t>
      </w:r>
      <w:r w:rsidRPr="00866CEF">
        <w:rPr>
          <w:rFonts w:cs="Times New Roman"/>
          <w:sz w:val="20"/>
          <w:szCs w:val="20"/>
        </w:rPr>
        <w:t>(2), 215–228.</w:t>
      </w:r>
    </w:p>
    <w:p w14:paraId="1A583496" w14:textId="77777777" w:rsidR="00866CEF" w:rsidRPr="00866CEF" w:rsidRDefault="00866CEF" w:rsidP="00866CEF">
      <w:pPr>
        <w:spacing w:line="300" w:lineRule="exact"/>
        <w:ind w:left="357" w:hanging="357"/>
        <w:rPr>
          <w:rFonts w:cs="Times New Roman"/>
          <w:sz w:val="20"/>
          <w:szCs w:val="20"/>
        </w:rPr>
      </w:pPr>
      <w:r w:rsidRPr="00866CEF">
        <w:rPr>
          <w:rFonts w:eastAsia="Times New Roman" w:cs="Times New Roman"/>
          <w:sz w:val="20"/>
          <w:szCs w:val="20"/>
        </w:rPr>
        <w:t xml:space="preserve">Ball, S. (2012). Performativity, commodification and commitment: An I-spy guide to the </w:t>
      </w:r>
      <w:r w:rsidRPr="00866CEF">
        <w:rPr>
          <w:rFonts w:eastAsia="Times New Roman" w:cs="Times New Roman"/>
          <w:sz w:val="20"/>
          <w:szCs w:val="20"/>
        </w:rPr>
        <w:tab/>
        <w:t xml:space="preserve">neoliberal university. </w:t>
      </w:r>
      <w:r w:rsidRPr="00866CEF">
        <w:rPr>
          <w:rFonts w:eastAsia="Times New Roman" w:cs="Times New Roman"/>
          <w:i/>
          <w:sz w:val="20"/>
          <w:szCs w:val="20"/>
        </w:rPr>
        <w:t>British Journal of Educational Studies, 60</w:t>
      </w:r>
      <w:r w:rsidRPr="00866CEF">
        <w:rPr>
          <w:rFonts w:eastAsia="Times New Roman" w:cs="Times New Roman"/>
          <w:sz w:val="20"/>
          <w:szCs w:val="20"/>
        </w:rPr>
        <w:t>(1), 17–28.</w:t>
      </w:r>
    </w:p>
    <w:p w14:paraId="44E616C3" w14:textId="77777777" w:rsidR="00866CEF" w:rsidRPr="00B201D4" w:rsidRDefault="00866CEF" w:rsidP="00866CEF">
      <w:pPr>
        <w:spacing w:line="300" w:lineRule="exact"/>
        <w:ind w:left="357" w:hanging="357"/>
        <w:rPr>
          <w:rFonts w:cs="Times New Roman"/>
          <w:sz w:val="20"/>
          <w:szCs w:val="20"/>
        </w:rPr>
      </w:pPr>
      <w:r w:rsidRPr="00866CEF">
        <w:rPr>
          <w:rFonts w:cs="Times New Roman"/>
          <w:sz w:val="20"/>
          <w:szCs w:val="20"/>
        </w:rPr>
        <w:t>Barnett, R. (2012).</w:t>
      </w:r>
      <w:r w:rsidRPr="00B201D4">
        <w:rPr>
          <w:rFonts w:cs="Times New Roman"/>
          <w:sz w:val="20"/>
          <w:szCs w:val="20"/>
        </w:rPr>
        <w:t xml:space="preserve"> Learning for an unknown future. </w:t>
      </w:r>
      <w:r w:rsidRPr="00B201D4">
        <w:rPr>
          <w:rFonts w:cs="Times New Roman"/>
          <w:i/>
          <w:sz w:val="20"/>
          <w:szCs w:val="20"/>
        </w:rPr>
        <w:t>Higher Education Research &amp; Development, 31</w:t>
      </w:r>
      <w:r w:rsidRPr="00B201D4">
        <w:rPr>
          <w:rFonts w:cs="Times New Roman"/>
          <w:sz w:val="20"/>
          <w:szCs w:val="20"/>
        </w:rPr>
        <w:t>(3), 65</w:t>
      </w:r>
      <w:r>
        <w:rPr>
          <w:rFonts w:cs="Times New Roman"/>
          <w:sz w:val="20"/>
          <w:szCs w:val="20"/>
        </w:rPr>
        <w:t>–</w:t>
      </w:r>
      <w:r w:rsidRPr="00B201D4">
        <w:rPr>
          <w:rFonts w:cs="Times New Roman"/>
          <w:sz w:val="20"/>
          <w:szCs w:val="20"/>
        </w:rPr>
        <w:t>77.</w:t>
      </w:r>
    </w:p>
    <w:p w14:paraId="4A04207D" w14:textId="75CD1DA7" w:rsidR="00866CEF" w:rsidRDefault="00866CEF" w:rsidP="00866CEF">
      <w:pPr>
        <w:spacing w:line="300" w:lineRule="exact"/>
        <w:ind w:left="357" w:hanging="357"/>
        <w:rPr>
          <w:rFonts w:cs="Times New Roman"/>
          <w:sz w:val="20"/>
          <w:szCs w:val="20"/>
        </w:rPr>
      </w:pPr>
      <w:r w:rsidRPr="0049289B">
        <w:rPr>
          <w:rFonts w:cs="Times New Roman"/>
          <w:sz w:val="20"/>
          <w:szCs w:val="20"/>
          <w:highlight w:val="yellow"/>
        </w:rPr>
        <w:t>Becker (1964)</w:t>
      </w:r>
      <w:r w:rsidR="001549D3">
        <w:rPr>
          <w:rFonts w:cs="Times New Roman"/>
          <w:sz w:val="20"/>
          <w:szCs w:val="20"/>
        </w:rPr>
        <w:t xml:space="preserve"> </w:t>
      </w:r>
      <w:r w:rsidR="001549D3" w:rsidRPr="005E7CC3">
        <w:rPr>
          <w:rFonts w:cs="Times New Roman"/>
          <w:i/>
          <w:iCs/>
          <w:sz w:val="20"/>
          <w:szCs w:val="20"/>
          <w:highlight w:val="yellow"/>
        </w:rPr>
        <w:t>Human Capital: theoretical and empirical analysis (with special reference to education</w:t>
      </w:r>
      <w:r w:rsidR="001549D3" w:rsidRPr="005E7CC3">
        <w:rPr>
          <w:rFonts w:cs="Times New Roman"/>
          <w:sz w:val="20"/>
          <w:szCs w:val="20"/>
          <w:highlight w:val="yellow"/>
        </w:rPr>
        <w:t>). New York :</w:t>
      </w:r>
      <w:r w:rsidR="00311891">
        <w:rPr>
          <w:rFonts w:cs="Times New Roman"/>
          <w:sz w:val="20"/>
          <w:szCs w:val="20"/>
          <w:highlight w:val="yellow"/>
        </w:rPr>
        <w:t xml:space="preserve"> </w:t>
      </w:r>
      <w:r w:rsidR="001549D3" w:rsidRPr="005E7CC3">
        <w:rPr>
          <w:rFonts w:cs="Times New Roman"/>
          <w:sz w:val="20"/>
          <w:szCs w:val="20"/>
          <w:highlight w:val="yellow"/>
        </w:rPr>
        <w:t>National Bureau of Economic Research.</w:t>
      </w:r>
    </w:p>
    <w:p w14:paraId="1B5F3999" w14:textId="77777777" w:rsidR="00866CEF" w:rsidRPr="00866CEF" w:rsidRDefault="00866CEF" w:rsidP="00866CEF">
      <w:pPr>
        <w:spacing w:line="300" w:lineRule="exact"/>
        <w:ind w:left="357" w:hanging="357"/>
        <w:rPr>
          <w:rFonts w:eastAsia="Times New Roman" w:cs="Times New Roman"/>
          <w:sz w:val="20"/>
          <w:szCs w:val="20"/>
        </w:rPr>
      </w:pPr>
      <w:r w:rsidRPr="00866CEF">
        <w:rPr>
          <w:rFonts w:cs="Times New Roman"/>
          <w:sz w:val="20"/>
          <w:szCs w:val="20"/>
        </w:rPr>
        <w:t xml:space="preserve">Bendixen, C. &amp; Jacobsen, J. C. (2017) Nullifying quality: The marketisation of higher education. </w:t>
      </w:r>
      <w:r w:rsidRPr="00866CEF">
        <w:rPr>
          <w:rFonts w:cs="Times New Roman"/>
          <w:i/>
          <w:sz w:val="20"/>
          <w:szCs w:val="20"/>
        </w:rPr>
        <w:t>Quality in Higher Education, 23</w:t>
      </w:r>
      <w:r w:rsidRPr="00866CEF">
        <w:rPr>
          <w:rFonts w:cs="Times New Roman"/>
          <w:sz w:val="20"/>
          <w:szCs w:val="20"/>
        </w:rPr>
        <w:t>(1), 20–34.</w:t>
      </w:r>
    </w:p>
    <w:p w14:paraId="2F31626C" w14:textId="77777777" w:rsidR="00866CEF" w:rsidRPr="00B201D4" w:rsidRDefault="00866CEF" w:rsidP="00866CEF">
      <w:pPr>
        <w:spacing w:line="300" w:lineRule="exact"/>
        <w:ind w:left="357" w:hanging="357"/>
        <w:rPr>
          <w:rFonts w:eastAsia="Times New Roman" w:cs="Times New Roman"/>
          <w:sz w:val="20"/>
          <w:szCs w:val="20"/>
        </w:rPr>
      </w:pPr>
      <w:r w:rsidRPr="00866CEF">
        <w:rPr>
          <w:rFonts w:cs="Times New Roman"/>
          <w:sz w:val="20"/>
          <w:szCs w:val="20"/>
        </w:rPr>
        <w:t>Bills, D., Di</w:t>
      </w:r>
      <w:r w:rsidRPr="00B201D4">
        <w:rPr>
          <w:rFonts w:cs="Times New Roman"/>
          <w:sz w:val="20"/>
          <w:szCs w:val="20"/>
        </w:rPr>
        <w:t xml:space="preserve"> Stasio, V.</w:t>
      </w:r>
      <w:r>
        <w:rPr>
          <w:rFonts w:cs="Times New Roman"/>
          <w:sz w:val="20"/>
          <w:szCs w:val="20"/>
        </w:rPr>
        <w:t>,</w:t>
      </w:r>
      <w:r w:rsidRPr="00B201D4">
        <w:rPr>
          <w:rFonts w:cs="Times New Roman"/>
          <w:sz w:val="20"/>
          <w:szCs w:val="20"/>
        </w:rPr>
        <w:t xml:space="preserve"> &amp; Gerxhani, K. (201</w:t>
      </w:r>
      <w:r>
        <w:rPr>
          <w:rFonts w:cs="Times New Roman"/>
          <w:sz w:val="20"/>
          <w:szCs w:val="20"/>
        </w:rPr>
        <w:t>7). The demand side of hiring: E</w:t>
      </w:r>
      <w:r w:rsidRPr="00B201D4">
        <w:rPr>
          <w:rFonts w:cs="Times New Roman"/>
          <w:sz w:val="20"/>
          <w:szCs w:val="20"/>
        </w:rPr>
        <w:t xml:space="preserve">mployers in the labor market. </w:t>
      </w:r>
      <w:r w:rsidRPr="00B201D4">
        <w:rPr>
          <w:rFonts w:cs="Times New Roman"/>
          <w:i/>
          <w:sz w:val="20"/>
          <w:szCs w:val="20"/>
        </w:rPr>
        <w:t>Annual Review of Sociology, 43</w:t>
      </w:r>
      <w:r w:rsidRPr="00B201D4">
        <w:rPr>
          <w:rFonts w:cs="Times New Roman"/>
          <w:sz w:val="20"/>
          <w:szCs w:val="20"/>
          <w:highlight w:val="yellow"/>
        </w:rPr>
        <w:t>(Issue?),</w:t>
      </w:r>
      <w:r w:rsidRPr="00B201D4">
        <w:rPr>
          <w:rFonts w:cs="Times New Roman"/>
          <w:sz w:val="20"/>
          <w:szCs w:val="20"/>
        </w:rPr>
        <w:t xml:space="preserve"> 291</w:t>
      </w:r>
      <w:r>
        <w:rPr>
          <w:rFonts w:cs="Times New Roman"/>
          <w:sz w:val="20"/>
          <w:szCs w:val="20"/>
        </w:rPr>
        <w:t>–</w:t>
      </w:r>
      <w:r w:rsidRPr="00B201D4">
        <w:rPr>
          <w:rFonts w:cs="Times New Roman"/>
          <w:sz w:val="20"/>
          <w:szCs w:val="20"/>
        </w:rPr>
        <w:t>310.</w:t>
      </w:r>
    </w:p>
    <w:p w14:paraId="149999C9" w14:textId="77777777" w:rsidR="00866CEF" w:rsidRPr="00866CEF" w:rsidRDefault="00866CEF" w:rsidP="00866CEF">
      <w:pPr>
        <w:spacing w:line="300" w:lineRule="exact"/>
        <w:ind w:left="357" w:hanging="357"/>
        <w:rPr>
          <w:rFonts w:cs="Times New Roman"/>
          <w:sz w:val="20"/>
          <w:szCs w:val="20"/>
        </w:rPr>
      </w:pPr>
      <w:r w:rsidRPr="00866CEF">
        <w:rPr>
          <w:rFonts w:cs="Times New Roman"/>
          <w:sz w:val="20"/>
          <w:szCs w:val="20"/>
        </w:rPr>
        <w:t xml:space="preserve">Brint, S. (2001). Professional and the knowledge economy: Re-thinking the theory of post-industrial society. </w:t>
      </w:r>
      <w:r w:rsidRPr="00866CEF">
        <w:rPr>
          <w:rFonts w:cs="Times New Roman"/>
          <w:i/>
          <w:sz w:val="20"/>
          <w:szCs w:val="20"/>
        </w:rPr>
        <w:t>Current Sociology, 49</w:t>
      </w:r>
      <w:r w:rsidRPr="00866CEF">
        <w:rPr>
          <w:rFonts w:cs="Times New Roman"/>
          <w:sz w:val="20"/>
          <w:szCs w:val="20"/>
        </w:rPr>
        <w:t>(4), 101–132.</w:t>
      </w:r>
    </w:p>
    <w:p w14:paraId="63AD719C" w14:textId="77777777" w:rsidR="00866CEF" w:rsidRPr="00866CEF" w:rsidRDefault="00866CEF" w:rsidP="00866CEF">
      <w:pPr>
        <w:spacing w:line="300" w:lineRule="exact"/>
        <w:ind w:left="357" w:hanging="357"/>
        <w:rPr>
          <w:rFonts w:cs="Times New Roman"/>
          <w:sz w:val="20"/>
          <w:szCs w:val="20"/>
        </w:rPr>
      </w:pPr>
      <w:r w:rsidRPr="00866CEF">
        <w:rPr>
          <w:rFonts w:cs="Times New Roman"/>
          <w:sz w:val="20"/>
          <w:szCs w:val="20"/>
        </w:rPr>
        <w:t xml:space="preserve">Brooks, R. (2016). </w:t>
      </w:r>
      <w:r w:rsidRPr="00866CEF">
        <w:rPr>
          <w:rFonts w:cs="Times New Roman"/>
          <w:i/>
          <w:sz w:val="20"/>
          <w:szCs w:val="20"/>
        </w:rPr>
        <w:t>Student politics and protest: International perspectives.</w:t>
      </w:r>
      <w:r w:rsidRPr="00866CEF">
        <w:rPr>
          <w:rFonts w:cs="Times New Roman"/>
          <w:sz w:val="20"/>
          <w:szCs w:val="20"/>
        </w:rPr>
        <w:t xml:space="preserve"> Abingdon: Routledge.</w:t>
      </w:r>
    </w:p>
    <w:p w14:paraId="0FEC535A" w14:textId="77777777" w:rsidR="00866CEF" w:rsidRPr="00866CEF" w:rsidRDefault="00866CEF" w:rsidP="00866CEF">
      <w:pPr>
        <w:spacing w:line="300" w:lineRule="exact"/>
        <w:ind w:left="357" w:hanging="357"/>
        <w:rPr>
          <w:rFonts w:cs="Times New Roman"/>
          <w:sz w:val="20"/>
          <w:szCs w:val="20"/>
        </w:rPr>
      </w:pPr>
      <w:r w:rsidRPr="00866CEF">
        <w:rPr>
          <w:rFonts w:cs="Times New Roman"/>
          <w:sz w:val="20"/>
          <w:szCs w:val="20"/>
        </w:rPr>
        <w:t xml:space="preserve">Brown, P. (2013). Education, opportunity and the prospects for social mobility. </w:t>
      </w:r>
      <w:r w:rsidRPr="00866CEF">
        <w:rPr>
          <w:rFonts w:cs="Times New Roman"/>
          <w:i/>
          <w:sz w:val="20"/>
          <w:szCs w:val="20"/>
        </w:rPr>
        <w:t>British Journal of Sociology of Education</w:t>
      </w:r>
      <w:r w:rsidRPr="00866CEF">
        <w:rPr>
          <w:rFonts w:cs="Times New Roman"/>
          <w:sz w:val="20"/>
          <w:szCs w:val="20"/>
        </w:rPr>
        <w:t xml:space="preserve">, </w:t>
      </w:r>
      <w:r w:rsidRPr="00866CEF">
        <w:rPr>
          <w:rFonts w:cs="Times New Roman"/>
          <w:i/>
          <w:sz w:val="20"/>
          <w:szCs w:val="20"/>
        </w:rPr>
        <w:t>34</w:t>
      </w:r>
      <w:r w:rsidRPr="00866CEF">
        <w:rPr>
          <w:rFonts w:cs="Times New Roman"/>
          <w:sz w:val="20"/>
          <w:szCs w:val="20"/>
        </w:rPr>
        <w:t>(5), 678–700.</w:t>
      </w:r>
    </w:p>
    <w:p w14:paraId="784669D3" w14:textId="77777777" w:rsidR="00866CEF" w:rsidRPr="00B201D4" w:rsidRDefault="00866CEF" w:rsidP="00866CEF">
      <w:pPr>
        <w:spacing w:line="300" w:lineRule="exact"/>
        <w:ind w:left="357" w:hanging="357"/>
        <w:rPr>
          <w:rFonts w:cs="Times New Roman"/>
          <w:sz w:val="20"/>
          <w:szCs w:val="20"/>
        </w:rPr>
      </w:pPr>
      <w:r w:rsidRPr="00866CEF">
        <w:rPr>
          <w:rFonts w:cs="Times New Roman"/>
          <w:sz w:val="20"/>
          <w:szCs w:val="20"/>
        </w:rPr>
        <w:t>Brown, R. &amp; Carasso</w:t>
      </w:r>
      <w:r w:rsidRPr="00B201D4">
        <w:rPr>
          <w:rFonts w:cs="Times New Roman"/>
          <w:sz w:val="20"/>
          <w:szCs w:val="20"/>
        </w:rPr>
        <w:t>, H. (2013)</w:t>
      </w:r>
      <w:r>
        <w:rPr>
          <w:rFonts w:cs="Times New Roman"/>
          <w:sz w:val="20"/>
          <w:szCs w:val="20"/>
        </w:rPr>
        <w:t>.</w:t>
      </w:r>
      <w:r w:rsidRPr="00B201D4">
        <w:rPr>
          <w:rFonts w:cs="Times New Roman"/>
          <w:sz w:val="20"/>
          <w:szCs w:val="20"/>
        </w:rPr>
        <w:t xml:space="preserve"> </w:t>
      </w:r>
      <w:r>
        <w:rPr>
          <w:rFonts w:cs="Times New Roman"/>
          <w:i/>
          <w:sz w:val="20"/>
          <w:szCs w:val="20"/>
        </w:rPr>
        <w:t>Everything for s</w:t>
      </w:r>
      <w:r w:rsidRPr="00B201D4">
        <w:rPr>
          <w:rFonts w:cs="Times New Roman"/>
          <w:i/>
          <w:sz w:val="20"/>
          <w:szCs w:val="20"/>
        </w:rPr>
        <w:t>ale? The marketization of UK Higher</w:t>
      </w:r>
      <w:r>
        <w:rPr>
          <w:rFonts w:cs="Times New Roman"/>
          <w:i/>
          <w:sz w:val="20"/>
          <w:szCs w:val="20"/>
        </w:rPr>
        <w:t xml:space="preserve"> </w:t>
      </w:r>
      <w:r w:rsidRPr="00B201D4">
        <w:rPr>
          <w:rFonts w:cs="Times New Roman"/>
          <w:i/>
          <w:sz w:val="20"/>
          <w:szCs w:val="20"/>
        </w:rPr>
        <w:t>Education</w:t>
      </w:r>
      <w:r w:rsidRPr="00B201D4">
        <w:rPr>
          <w:rFonts w:cs="Times New Roman"/>
          <w:sz w:val="20"/>
          <w:szCs w:val="20"/>
        </w:rPr>
        <w:t>. London: Routledge.</w:t>
      </w:r>
    </w:p>
    <w:p w14:paraId="4056C474" w14:textId="77777777" w:rsidR="00866CEF" w:rsidRPr="00866CEF" w:rsidRDefault="00866CEF" w:rsidP="00866CEF">
      <w:pPr>
        <w:spacing w:line="300" w:lineRule="exact"/>
        <w:ind w:left="357" w:hanging="357"/>
        <w:rPr>
          <w:rFonts w:eastAsia="Times New Roman" w:cs="Times New Roman"/>
          <w:sz w:val="20"/>
          <w:szCs w:val="20"/>
        </w:rPr>
      </w:pPr>
      <w:r w:rsidRPr="00866CEF">
        <w:rPr>
          <w:rFonts w:eastAsia="Times New Roman" w:cs="Times New Roman"/>
          <w:sz w:val="20"/>
          <w:szCs w:val="20"/>
        </w:rPr>
        <w:t xml:space="preserve">Brown, P., Lauder, H., &amp; Ashton, D. N. (2011). </w:t>
      </w:r>
      <w:r w:rsidRPr="00866CEF">
        <w:rPr>
          <w:rFonts w:eastAsia="Times New Roman" w:cs="Times New Roman"/>
          <w:i/>
          <w:iCs/>
          <w:sz w:val="20"/>
          <w:szCs w:val="20"/>
        </w:rPr>
        <w:t>The global auction: The broken promises of education, jobs and incomes</w:t>
      </w:r>
      <w:r w:rsidRPr="00866CEF">
        <w:rPr>
          <w:rFonts w:eastAsia="Times New Roman" w:cs="Times New Roman"/>
          <w:sz w:val="20"/>
          <w:szCs w:val="20"/>
        </w:rPr>
        <w:t>. Oxford: Oxford University Press.</w:t>
      </w:r>
    </w:p>
    <w:p w14:paraId="5BBB7945" w14:textId="77777777" w:rsidR="00866CEF" w:rsidRPr="00866CEF" w:rsidRDefault="00866CEF" w:rsidP="00866CEF">
      <w:pPr>
        <w:spacing w:line="300" w:lineRule="exact"/>
        <w:ind w:left="357" w:hanging="357"/>
        <w:rPr>
          <w:rFonts w:cs="Times New Roman"/>
          <w:sz w:val="20"/>
          <w:szCs w:val="20"/>
        </w:rPr>
      </w:pPr>
      <w:r w:rsidRPr="00866CEF">
        <w:rPr>
          <w:rFonts w:cs="Times New Roman"/>
          <w:sz w:val="20"/>
          <w:szCs w:val="20"/>
        </w:rPr>
        <w:t xml:space="preserve">Collini, S. (2012). </w:t>
      </w:r>
      <w:r w:rsidRPr="00866CEF">
        <w:rPr>
          <w:rFonts w:cs="Times New Roman"/>
          <w:i/>
          <w:sz w:val="20"/>
          <w:szCs w:val="20"/>
        </w:rPr>
        <w:t>What are universities for?</w:t>
      </w:r>
      <w:r w:rsidRPr="00866CEF">
        <w:rPr>
          <w:rFonts w:cs="Times New Roman"/>
          <w:sz w:val="20"/>
          <w:szCs w:val="20"/>
        </w:rPr>
        <w:t xml:space="preserve"> London: Penguin.</w:t>
      </w:r>
    </w:p>
    <w:p w14:paraId="422831D2" w14:textId="3D3EC3DE" w:rsidR="00866CEF" w:rsidRPr="00B201D4" w:rsidRDefault="00866CEF" w:rsidP="00866CEF">
      <w:pPr>
        <w:spacing w:line="300" w:lineRule="exact"/>
        <w:ind w:left="357" w:hanging="357"/>
        <w:rPr>
          <w:rFonts w:cs="Times New Roman"/>
          <w:sz w:val="20"/>
          <w:szCs w:val="20"/>
        </w:rPr>
      </w:pPr>
      <w:r w:rsidRPr="000B1EC9">
        <w:rPr>
          <w:rFonts w:cs="Times New Roman"/>
          <w:sz w:val="20"/>
          <w:szCs w:val="20"/>
          <w:highlight w:val="yellow"/>
        </w:rPr>
        <w:lastRenderedPageBreak/>
        <w:t>Collins, R. (197</w:t>
      </w:r>
      <w:r w:rsidR="000B1EC9" w:rsidRPr="000B1EC9">
        <w:rPr>
          <w:rFonts w:cs="Times New Roman"/>
          <w:sz w:val="20"/>
          <w:szCs w:val="20"/>
          <w:highlight w:val="yellow"/>
        </w:rPr>
        <w:t>1</w:t>
      </w:r>
      <w:r w:rsidRPr="000B1EC9">
        <w:rPr>
          <w:rFonts w:cs="Times New Roman"/>
          <w:sz w:val="20"/>
          <w:szCs w:val="20"/>
          <w:highlight w:val="yellow"/>
        </w:rPr>
        <w:t>). Functional and conflict theories of education stratification</w:t>
      </w:r>
      <w:r w:rsidR="000B1EC9" w:rsidRPr="000B1EC9">
        <w:rPr>
          <w:rFonts w:cs="Times New Roman"/>
          <w:sz w:val="20"/>
          <w:szCs w:val="20"/>
          <w:highlight w:val="yellow"/>
        </w:rPr>
        <w:t xml:space="preserve">. </w:t>
      </w:r>
      <w:r w:rsidR="000B1EC9" w:rsidRPr="000B1EC9">
        <w:rPr>
          <w:rFonts w:cs="Times New Roman"/>
          <w:i/>
          <w:iCs/>
          <w:sz w:val="20"/>
          <w:szCs w:val="20"/>
          <w:highlight w:val="yellow"/>
        </w:rPr>
        <w:t>American Sociological Review, 36</w:t>
      </w:r>
      <w:r w:rsidR="000B1EC9" w:rsidRPr="000B1EC9">
        <w:rPr>
          <w:rFonts w:cs="Times New Roman"/>
          <w:sz w:val="20"/>
          <w:szCs w:val="20"/>
          <w:highlight w:val="yellow"/>
        </w:rPr>
        <w:t>(6): 1002-1119</w:t>
      </w:r>
      <w:r w:rsidR="000B1EC9">
        <w:rPr>
          <w:rFonts w:cs="Times New Roman"/>
          <w:sz w:val="20"/>
          <w:szCs w:val="20"/>
        </w:rPr>
        <w:t>.</w:t>
      </w:r>
    </w:p>
    <w:p w14:paraId="1B0C1265" w14:textId="77777777" w:rsidR="00866CEF" w:rsidRPr="00866CEF" w:rsidRDefault="00866CEF" w:rsidP="00866CEF">
      <w:pPr>
        <w:spacing w:line="300" w:lineRule="exact"/>
        <w:ind w:left="357" w:hanging="357"/>
        <w:rPr>
          <w:rFonts w:cs="Times New Roman"/>
          <w:sz w:val="20"/>
          <w:szCs w:val="20"/>
        </w:rPr>
      </w:pPr>
      <w:r w:rsidRPr="00866CEF">
        <w:rPr>
          <w:rFonts w:cs="Times New Roman"/>
          <w:sz w:val="20"/>
          <w:szCs w:val="20"/>
        </w:rPr>
        <w:t xml:space="preserve">Collins, R. (1979). </w:t>
      </w:r>
      <w:r w:rsidRPr="00866CEF">
        <w:rPr>
          <w:rFonts w:cs="Times New Roman"/>
          <w:i/>
          <w:iCs/>
          <w:sz w:val="20"/>
          <w:szCs w:val="20"/>
        </w:rPr>
        <w:t>The credential society</w:t>
      </w:r>
      <w:r w:rsidRPr="00866CEF">
        <w:rPr>
          <w:rFonts w:cs="Times New Roman"/>
          <w:sz w:val="20"/>
          <w:szCs w:val="20"/>
        </w:rPr>
        <w:t>. New York: Academic Press.</w:t>
      </w:r>
    </w:p>
    <w:p w14:paraId="392A5CA5" w14:textId="77777777" w:rsidR="00866CEF" w:rsidRPr="00866CEF" w:rsidRDefault="00866CEF" w:rsidP="00866CEF">
      <w:pPr>
        <w:spacing w:line="300" w:lineRule="exact"/>
        <w:ind w:left="357" w:hanging="357"/>
        <w:rPr>
          <w:rFonts w:cs="Times New Roman"/>
          <w:sz w:val="20"/>
          <w:szCs w:val="20"/>
        </w:rPr>
      </w:pPr>
      <w:r w:rsidRPr="00866CEF">
        <w:rPr>
          <w:rFonts w:cs="Times New Roman"/>
          <w:sz w:val="20"/>
          <w:szCs w:val="20"/>
        </w:rPr>
        <w:t xml:space="preserve">Collins, R. (2002). Credential inflation and the future of universities. In S. G. Brint (Ed.), </w:t>
      </w:r>
      <w:r w:rsidRPr="00866CEF">
        <w:rPr>
          <w:rFonts w:cs="Times New Roman"/>
          <w:i/>
          <w:sz w:val="20"/>
          <w:szCs w:val="20"/>
        </w:rPr>
        <w:t>The future of the city of intellect: The changing American university</w:t>
      </w:r>
      <w:r w:rsidRPr="00866CEF">
        <w:rPr>
          <w:rFonts w:cs="Times New Roman"/>
          <w:sz w:val="20"/>
          <w:szCs w:val="20"/>
        </w:rPr>
        <w:t>. Stanford: Stanford University Press.</w:t>
      </w:r>
    </w:p>
    <w:p w14:paraId="2931095F" w14:textId="77777777" w:rsidR="00866CEF" w:rsidRPr="00B201D4" w:rsidRDefault="00866CEF" w:rsidP="00866CEF">
      <w:pPr>
        <w:autoSpaceDE w:val="0"/>
        <w:autoSpaceDN w:val="0"/>
        <w:adjustRightInd w:val="0"/>
        <w:spacing w:line="300" w:lineRule="exact"/>
        <w:ind w:left="357" w:hanging="357"/>
        <w:rPr>
          <w:rFonts w:cs="Times New Roman"/>
          <w:sz w:val="20"/>
          <w:szCs w:val="20"/>
        </w:rPr>
      </w:pPr>
      <w:r w:rsidRPr="00866CEF">
        <w:rPr>
          <w:rFonts w:cs="Times New Roman"/>
          <w:sz w:val="20"/>
          <w:szCs w:val="20"/>
        </w:rPr>
        <w:t>Connell, R. (2013). The</w:t>
      </w:r>
      <w:r w:rsidRPr="00B201D4">
        <w:rPr>
          <w:rFonts w:cs="Times New Roman"/>
          <w:sz w:val="20"/>
          <w:szCs w:val="20"/>
        </w:rPr>
        <w:t xml:space="preserve"> neo</w:t>
      </w:r>
      <w:r>
        <w:rPr>
          <w:rFonts w:cs="Times New Roman"/>
          <w:sz w:val="20"/>
          <w:szCs w:val="20"/>
        </w:rPr>
        <w:t>liberal cascade and education: A</w:t>
      </w:r>
      <w:r w:rsidRPr="00B201D4">
        <w:rPr>
          <w:rFonts w:cs="Times New Roman"/>
          <w:sz w:val="20"/>
          <w:szCs w:val="20"/>
        </w:rPr>
        <w:t>n essay on the market agenda and its consequences</w:t>
      </w:r>
      <w:r w:rsidRPr="00B201D4">
        <w:rPr>
          <w:rFonts w:cs="Times New Roman"/>
          <w:i/>
          <w:sz w:val="20"/>
          <w:szCs w:val="20"/>
        </w:rPr>
        <w:t>. Critical Studies in Education, 54</w:t>
      </w:r>
      <w:r w:rsidRPr="00B201D4">
        <w:rPr>
          <w:rFonts w:cs="Times New Roman"/>
          <w:sz w:val="20"/>
          <w:szCs w:val="20"/>
        </w:rPr>
        <w:t>(2), 99</w:t>
      </w:r>
      <w:r>
        <w:rPr>
          <w:rFonts w:cs="Times New Roman"/>
          <w:sz w:val="20"/>
          <w:szCs w:val="20"/>
        </w:rPr>
        <w:t>–</w:t>
      </w:r>
      <w:r w:rsidRPr="00B201D4">
        <w:rPr>
          <w:rFonts w:cs="Times New Roman"/>
          <w:sz w:val="20"/>
          <w:szCs w:val="20"/>
        </w:rPr>
        <w:t>112.</w:t>
      </w:r>
    </w:p>
    <w:p w14:paraId="59415CC6" w14:textId="4302D01A" w:rsidR="00866CEF" w:rsidRPr="005E7CC3" w:rsidRDefault="00866CEF" w:rsidP="005E7CC3">
      <w:pPr>
        <w:autoSpaceDE w:val="0"/>
        <w:autoSpaceDN w:val="0"/>
        <w:adjustRightInd w:val="0"/>
        <w:spacing w:line="240" w:lineRule="exact"/>
        <w:ind w:left="340" w:hanging="340"/>
        <w:rPr>
          <w:rFonts w:cs="Times New Roman"/>
          <w:i/>
          <w:iCs/>
          <w:sz w:val="20"/>
          <w:szCs w:val="20"/>
        </w:rPr>
      </w:pPr>
      <w:r w:rsidRPr="005E7CC3">
        <w:rPr>
          <w:rFonts w:cs="Times New Roman"/>
          <w:sz w:val="20"/>
          <w:szCs w:val="20"/>
          <w:highlight w:val="yellow"/>
        </w:rPr>
        <w:t>DBIS (2016)</w:t>
      </w:r>
      <w:r w:rsidR="005E7CC3" w:rsidRPr="005E7CC3">
        <w:rPr>
          <w:rFonts w:cs="Times New Roman"/>
          <w:sz w:val="20"/>
          <w:szCs w:val="20"/>
          <w:highlight w:val="yellow"/>
        </w:rPr>
        <w:t xml:space="preserve"> Department for Business, Innovation and Skills (2016) </w:t>
      </w:r>
      <w:r w:rsidR="005E7CC3" w:rsidRPr="005E7CC3">
        <w:rPr>
          <w:rFonts w:cs="Times New Roman"/>
          <w:i/>
          <w:iCs/>
          <w:sz w:val="20"/>
          <w:szCs w:val="20"/>
          <w:highlight w:val="yellow"/>
        </w:rPr>
        <w:t xml:space="preserve">Success as a Knowledge Economy: Teaching Excellence, Social Mobility and Student Choice, </w:t>
      </w:r>
      <w:r w:rsidR="005E7CC3" w:rsidRPr="005E7CC3">
        <w:rPr>
          <w:rFonts w:cs="Times New Roman"/>
          <w:sz w:val="20"/>
          <w:szCs w:val="20"/>
          <w:highlight w:val="yellow"/>
        </w:rPr>
        <w:t>London: BIS.</w:t>
      </w:r>
      <w:r w:rsidR="005E7CC3" w:rsidRPr="005E7CC3">
        <w:rPr>
          <w:rFonts w:cs="Times New Roman"/>
          <w:sz w:val="20"/>
          <w:szCs w:val="20"/>
        </w:rPr>
        <w:t xml:space="preserve"> </w:t>
      </w:r>
    </w:p>
    <w:p w14:paraId="3B90FAE9" w14:textId="77777777" w:rsidR="00866CEF" w:rsidRPr="00866CEF" w:rsidRDefault="00866CEF" w:rsidP="00866CEF">
      <w:pPr>
        <w:spacing w:line="300" w:lineRule="exact"/>
        <w:ind w:left="357" w:hanging="357"/>
        <w:rPr>
          <w:rFonts w:cs="Times New Roman"/>
          <w:sz w:val="20"/>
          <w:szCs w:val="20"/>
        </w:rPr>
      </w:pPr>
      <w:r w:rsidRPr="00866CEF">
        <w:rPr>
          <w:rFonts w:cs="Times New Roman"/>
          <w:sz w:val="20"/>
          <w:szCs w:val="20"/>
        </w:rPr>
        <w:t xml:space="preserve">Dore, D. (1976). </w:t>
      </w:r>
      <w:r w:rsidRPr="00866CEF">
        <w:rPr>
          <w:rFonts w:cs="Times New Roman"/>
          <w:i/>
          <w:sz w:val="20"/>
          <w:szCs w:val="20"/>
        </w:rPr>
        <w:t>The diploma disease</w:t>
      </w:r>
      <w:r w:rsidRPr="00866CEF">
        <w:rPr>
          <w:rFonts w:cs="Times New Roman"/>
          <w:sz w:val="20"/>
          <w:szCs w:val="20"/>
        </w:rPr>
        <w:t>. London: Allen &amp; Unwin.</w:t>
      </w:r>
    </w:p>
    <w:p w14:paraId="43F69476" w14:textId="77777777" w:rsidR="00866CEF" w:rsidRPr="00866CEF" w:rsidRDefault="00866CEF" w:rsidP="00866CEF">
      <w:pPr>
        <w:spacing w:line="300" w:lineRule="exact"/>
        <w:ind w:left="357" w:hanging="357"/>
        <w:rPr>
          <w:rFonts w:cs="Times New Roman"/>
          <w:sz w:val="20"/>
          <w:szCs w:val="20"/>
        </w:rPr>
      </w:pPr>
      <w:r w:rsidRPr="00866CEF">
        <w:rPr>
          <w:rFonts w:cs="Times New Roman"/>
          <w:sz w:val="20"/>
          <w:szCs w:val="20"/>
        </w:rPr>
        <w:t xml:space="preserve">Ferlie, E., Hartley, J., &amp; Martin, S. (2003). Changing public service organisations. </w:t>
      </w:r>
      <w:r w:rsidRPr="00866CEF">
        <w:rPr>
          <w:rFonts w:cs="Times New Roman"/>
          <w:i/>
          <w:sz w:val="20"/>
          <w:szCs w:val="20"/>
        </w:rPr>
        <w:t xml:space="preserve">British </w:t>
      </w:r>
      <w:r w:rsidRPr="00866CEF">
        <w:rPr>
          <w:rFonts w:cs="Times New Roman"/>
          <w:i/>
          <w:sz w:val="20"/>
          <w:szCs w:val="20"/>
        </w:rPr>
        <w:tab/>
        <w:t>Journal of Management</w:t>
      </w:r>
      <w:r w:rsidRPr="00866CEF">
        <w:rPr>
          <w:rFonts w:cs="Times New Roman"/>
          <w:sz w:val="20"/>
          <w:szCs w:val="20"/>
        </w:rPr>
        <w:t xml:space="preserve">, </w:t>
      </w:r>
      <w:r w:rsidRPr="00866CEF">
        <w:rPr>
          <w:rFonts w:cs="Times New Roman"/>
          <w:i/>
          <w:sz w:val="20"/>
          <w:szCs w:val="20"/>
        </w:rPr>
        <w:t>14</w:t>
      </w:r>
      <w:r w:rsidRPr="00866CEF">
        <w:rPr>
          <w:rFonts w:cs="Times New Roman"/>
          <w:sz w:val="20"/>
          <w:szCs w:val="20"/>
        </w:rPr>
        <w:t>(1), 1–14.</w:t>
      </w:r>
    </w:p>
    <w:p w14:paraId="65AA4835" w14:textId="1EFFA9C3" w:rsidR="00866CEF" w:rsidRPr="00B201D4" w:rsidRDefault="00866CEF" w:rsidP="00866CEF">
      <w:pPr>
        <w:spacing w:line="300" w:lineRule="exact"/>
        <w:ind w:left="357" w:hanging="357"/>
        <w:rPr>
          <w:rFonts w:cs="Times New Roman"/>
          <w:sz w:val="20"/>
          <w:szCs w:val="20"/>
        </w:rPr>
      </w:pPr>
      <w:r w:rsidRPr="00866CEF">
        <w:rPr>
          <w:rStyle w:val="Hyperlink"/>
          <w:rFonts w:cs="Times New Roman"/>
          <w:sz w:val="20"/>
          <w:szCs w:val="20"/>
        </w:rPr>
        <w:t>Forrier, A., De Cuyper</w:t>
      </w:r>
      <w:r w:rsidRPr="00B201D4">
        <w:rPr>
          <w:rStyle w:val="Hyperlink"/>
          <w:rFonts w:cs="Times New Roman"/>
          <w:sz w:val="20"/>
          <w:szCs w:val="20"/>
        </w:rPr>
        <w:t>, N.</w:t>
      </w:r>
      <w:r>
        <w:rPr>
          <w:rStyle w:val="Hyperlink"/>
          <w:rFonts w:cs="Times New Roman"/>
          <w:sz w:val="20"/>
          <w:szCs w:val="20"/>
        </w:rPr>
        <w:t>,</w:t>
      </w:r>
      <w:r w:rsidRPr="00B201D4">
        <w:rPr>
          <w:rStyle w:val="Hyperlink"/>
          <w:rFonts w:cs="Times New Roman"/>
          <w:sz w:val="20"/>
          <w:szCs w:val="20"/>
        </w:rPr>
        <w:t xml:space="preserve"> &amp; Akkermans, J. (2018). </w:t>
      </w:r>
      <w:r w:rsidRPr="00B201D4">
        <w:rPr>
          <w:rFonts w:cs="Times New Roman"/>
          <w:sz w:val="20"/>
          <w:szCs w:val="20"/>
        </w:rPr>
        <w:t>The winner takes it all, the loser has to fall: Provoking the agency perspective in employability research</w:t>
      </w:r>
      <w:r>
        <w:rPr>
          <w:rFonts w:cs="Times New Roman"/>
          <w:sz w:val="20"/>
          <w:szCs w:val="20"/>
        </w:rPr>
        <w:t>.</w:t>
      </w:r>
      <w:r w:rsidRPr="00B201D4">
        <w:rPr>
          <w:rFonts w:cs="Times New Roman"/>
          <w:sz w:val="20"/>
          <w:szCs w:val="20"/>
        </w:rPr>
        <w:t xml:space="preserve"> </w:t>
      </w:r>
      <w:r w:rsidRPr="00B201D4">
        <w:rPr>
          <w:rFonts w:cs="Times New Roman"/>
          <w:i/>
          <w:sz w:val="20"/>
          <w:szCs w:val="20"/>
        </w:rPr>
        <w:t>Human Resource Management Journal</w:t>
      </w:r>
      <w:r w:rsidRPr="00B201D4">
        <w:rPr>
          <w:rFonts w:cs="Times New Roman"/>
          <w:sz w:val="20"/>
          <w:szCs w:val="20"/>
        </w:rPr>
        <w:t>, 28</w:t>
      </w:r>
      <w:r w:rsidR="001549D3">
        <w:rPr>
          <w:rFonts w:cs="Times New Roman"/>
          <w:sz w:val="20"/>
          <w:szCs w:val="20"/>
          <w:highlight w:val="yellow"/>
        </w:rPr>
        <w:t>(4)</w:t>
      </w:r>
      <w:r w:rsidRPr="00554E50">
        <w:rPr>
          <w:rFonts w:cs="Times New Roman"/>
          <w:sz w:val="20"/>
          <w:szCs w:val="20"/>
          <w:highlight w:val="yellow"/>
        </w:rPr>
        <w:t>,</w:t>
      </w:r>
      <w:r w:rsidRPr="00B201D4">
        <w:rPr>
          <w:rFonts w:cs="Times New Roman"/>
          <w:sz w:val="20"/>
          <w:szCs w:val="20"/>
        </w:rPr>
        <w:t xml:space="preserve"> 511</w:t>
      </w:r>
      <w:r w:rsidRPr="00B201D4">
        <w:rPr>
          <w:rFonts w:eastAsia="AdvTTa9c1b374+20" w:cs="Times New Roman"/>
          <w:sz w:val="20"/>
          <w:szCs w:val="20"/>
        </w:rPr>
        <w:t>–</w:t>
      </w:r>
      <w:r w:rsidRPr="00B201D4">
        <w:rPr>
          <w:rFonts w:cs="Times New Roman"/>
          <w:sz w:val="20"/>
          <w:szCs w:val="20"/>
        </w:rPr>
        <w:t>523. doi: 10.1111/1748-8583.12206</w:t>
      </w:r>
    </w:p>
    <w:p w14:paraId="50A1152F" w14:textId="77777777" w:rsidR="00866CEF" w:rsidRPr="00866CEF" w:rsidRDefault="00866CEF" w:rsidP="00866CEF">
      <w:pPr>
        <w:spacing w:line="300" w:lineRule="exact"/>
        <w:ind w:left="357" w:hanging="357"/>
        <w:rPr>
          <w:rFonts w:eastAsia="Times New Roman" w:cs="Times New Roman"/>
          <w:sz w:val="20"/>
          <w:szCs w:val="20"/>
          <w:shd w:val="clear" w:color="auto" w:fill="FCFCFC"/>
        </w:rPr>
      </w:pPr>
      <w:r w:rsidRPr="00866CEF">
        <w:rPr>
          <w:rFonts w:eastAsia="Times New Roman" w:cs="Times New Roman"/>
          <w:sz w:val="20"/>
          <w:szCs w:val="20"/>
          <w:shd w:val="clear" w:color="auto" w:fill="FCFCFC"/>
        </w:rPr>
        <w:t>Gourlay, L. &amp; Stevenson, J. (2017). Teaching excellence in higher education: Critical perspectives. </w:t>
      </w:r>
      <w:r w:rsidRPr="00866CEF">
        <w:rPr>
          <w:rFonts w:eastAsia="Times New Roman" w:cs="Times New Roman"/>
          <w:i/>
          <w:iCs/>
          <w:sz w:val="20"/>
          <w:szCs w:val="20"/>
        </w:rPr>
        <w:t>Teaching in Higher Education, 22</w:t>
      </w:r>
      <w:r w:rsidRPr="00866CEF">
        <w:rPr>
          <w:rFonts w:eastAsia="Times New Roman" w:cs="Times New Roman"/>
          <w:sz w:val="20"/>
          <w:szCs w:val="20"/>
          <w:shd w:val="clear" w:color="auto" w:fill="FCFCFC"/>
        </w:rPr>
        <w:t>(4), 391–</w:t>
      </w:r>
      <w:r w:rsidRPr="00866CEF">
        <w:rPr>
          <w:rFonts w:cs="Times New Roman"/>
          <w:sz w:val="20"/>
          <w:szCs w:val="20"/>
        </w:rPr>
        <w:t>395</w:t>
      </w:r>
      <w:r w:rsidRPr="00866CEF">
        <w:rPr>
          <w:rFonts w:eastAsia="Times New Roman" w:cs="Times New Roman"/>
          <w:sz w:val="20"/>
          <w:szCs w:val="20"/>
          <w:shd w:val="clear" w:color="auto" w:fill="FCFCFC"/>
        </w:rPr>
        <w:t>.</w:t>
      </w:r>
    </w:p>
    <w:p w14:paraId="4EB6968C" w14:textId="07AEF8AD" w:rsidR="00866CEF" w:rsidRPr="00866CEF" w:rsidRDefault="00866CEF" w:rsidP="00866CEF">
      <w:pPr>
        <w:spacing w:line="300" w:lineRule="exact"/>
        <w:ind w:left="357" w:hanging="357"/>
        <w:rPr>
          <w:rFonts w:cs="Times New Roman"/>
          <w:sz w:val="20"/>
          <w:szCs w:val="20"/>
        </w:rPr>
      </w:pPr>
      <w:r w:rsidRPr="00866CEF">
        <w:rPr>
          <w:rFonts w:cs="Times New Roman"/>
          <w:sz w:val="20"/>
          <w:szCs w:val="20"/>
        </w:rPr>
        <w:t>Hirsch, F. (</w:t>
      </w:r>
      <w:r w:rsidRPr="00D17F82">
        <w:rPr>
          <w:rFonts w:cs="Times New Roman"/>
          <w:sz w:val="20"/>
          <w:szCs w:val="20"/>
          <w:highlight w:val="yellow"/>
        </w:rPr>
        <w:t>197</w:t>
      </w:r>
      <w:r w:rsidR="00D17F82" w:rsidRPr="00D17F82">
        <w:rPr>
          <w:rFonts w:cs="Times New Roman"/>
          <w:sz w:val="20"/>
          <w:szCs w:val="20"/>
          <w:highlight w:val="yellow"/>
        </w:rPr>
        <w:t>7</w:t>
      </w:r>
      <w:r w:rsidRPr="00866CEF">
        <w:rPr>
          <w:rFonts w:cs="Times New Roman"/>
          <w:sz w:val="20"/>
          <w:szCs w:val="20"/>
        </w:rPr>
        <w:t xml:space="preserve">). </w:t>
      </w:r>
      <w:r w:rsidRPr="00866CEF">
        <w:rPr>
          <w:rFonts w:cs="Times New Roman"/>
          <w:i/>
          <w:sz w:val="20"/>
          <w:szCs w:val="20"/>
        </w:rPr>
        <w:t>Limits to growth</w:t>
      </w:r>
      <w:r w:rsidRPr="00866CEF">
        <w:rPr>
          <w:rFonts w:cs="Times New Roman"/>
          <w:sz w:val="20"/>
          <w:szCs w:val="20"/>
        </w:rPr>
        <w:t xml:space="preserve">. London: </w:t>
      </w:r>
      <w:r w:rsidRPr="00866CEF">
        <w:rPr>
          <w:rFonts w:eastAsia="Times New Roman" w:cs="Times New Roman"/>
          <w:sz w:val="20"/>
          <w:szCs w:val="20"/>
          <w:shd w:val="clear" w:color="auto" w:fill="FCFCFC"/>
        </w:rPr>
        <w:t>Routledge</w:t>
      </w:r>
      <w:r w:rsidRPr="00866CEF">
        <w:rPr>
          <w:rFonts w:cs="Times New Roman"/>
          <w:sz w:val="20"/>
          <w:szCs w:val="20"/>
        </w:rPr>
        <w:t>.</w:t>
      </w:r>
    </w:p>
    <w:p w14:paraId="4DBA56F8" w14:textId="77777777" w:rsidR="00866CEF" w:rsidRPr="00866CEF" w:rsidRDefault="00866CEF" w:rsidP="00866CEF">
      <w:pPr>
        <w:spacing w:line="300" w:lineRule="exact"/>
        <w:ind w:left="357" w:hanging="357"/>
        <w:rPr>
          <w:rFonts w:cs="Times New Roman"/>
          <w:sz w:val="20"/>
          <w:szCs w:val="20"/>
        </w:rPr>
      </w:pPr>
      <w:r w:rsidRPr="00866CEF">
        <w:rPr>
          <w:rFonts w:cs="Times New Roman"/>
          <w:sz w:val="20"/>
          <w:szCs w:val="20"/>
        </w:rPr>
        <w:t xml:space="preserve">Hood, C. (1991). A public management for all seasons? </w:t>
      </w:r>
      <w:r w:rsidRPr="00866CEF">
        <w:rPr>
          <w:rFonts w:cs="Times New Roman"/>
          <w:i/>
          <w:sz w:val="20"/>
          <w:szCs w:val="20"/>
        </w:rPr>
        <w:t>Public Administration, 69</w:t>
      </w:r>
      <w:r w:rsidRPr="00866CEF">
        <w:rPr>
          <w:rFonts w:cs="Times New Roman"/>
          <w:sz w:val="20"/>
          <w:szCs w:val="20"/>
        </w:rPr>
        <w:t>(1), 3–19.</w:t>
      </w:r>
    </w:p>
    <w:p w14:paraId="00A74755" w14:textId="7BFE9FFD" w:rsidR="00866CEF" w:rsidRPr="00B201D4" w:rsidRDefault="00866CEF" w:rsidP="00866CEF">
      <w:pPr>
        <w:spacing w:line="300" w:lineRule="exact"/>
        <w:ind w:left="357" w:hanging="357"/>
        <w:rPr>
          <w:rFonts w:cs="Times New Roman"/>
          <w:i/>
          <w:iCs/>
          <w:sz w:val="20"/>
          <w:szCs w:val="20"/>
        </w:rPr>
      </w:pPr>
      <w:r w:rsidRPr="00866CEF">
        <w:rPr>
          <w:rFonts w:cs="Times New Roman"/>
          <w:sz w:val="20"/>
          <w:szCs w:val="20"/>
        </w:rPr>
        <w:t>Hora, M. (2020).</w:t>
      </w:r>
      <w:r w:rsidRPr="00B201D4">
        <w:rPr>
          <w:rFonts w:cs="Times New Roman"/>
          <w:sz w:val="20"/>
          <w:szCs w:val="20"/>
        </w:rPr>
        <w:t xml:space="preserve"> Hiring as cultural gatekeeping into occupational communities: </w:t>
      </w:r>
      <w:r>
        <w:rPr>
          <w:rFonts w:cs="Times New Roman"/>
          <w:sz w:val="20"/>
          <w:szCs w:val="20"/>
        </w:rPr>
        <w:t>I</w:t>
      </w:r>
      <w:r w:rsidRPr="00B201D4">
        <w:rPr>
          <w:rFonts w:cs="Times New Roman"/>
          <w:sz w:val="20"/>
          <w:szCs w:val="20"/>
        </w:rPr>
        <w:t xml:space="preserve">mplications for higher education and student employability. </w:t>
      </w:r>
      <w:r w:rsidRPr="00B201D4">
        <w:rPr>
          <w:rFonts w:cs="Times New Roman"/>
          <w:i/>
          <w:sz w:val="20"/>
          <w:szCs w:val="20"/>
        </w:rPr>
        <w:t>Higher Education</w:t>
      </w:r>
      <w:r w:rsidRPr="00B201D4">
        <w:rPr>
          <w:rFonts w:cs="Times New Roman"/>
          <w:sz w:val="20"/>
          <w:szCs w:val="20"/>
        </w:rPr>
        <w:t xml:space="preserve">, </w:t>
      </w:r>
      <w:r w:rsidRPr="00B201D4">
        <w:rPr>
          <w:rFonts w:cs="Times New Roman"/>
          <w:i/>
          <w:sz w:val="20"/>
          <w:szCs w:val="20"/>
        </w:rPr>
        <w:t>79</w:t>
      </w:r>
      <w:r w:rsidRPr="00554E50">
        <w:rPr>
          <w:rFonts w:cs="Times New Roman"/>
          <w:sz w:val="20"/>
          <w:szCs w:val="20"/>
          <w:highlight w:val="yellow"/>
        </w:rPr>
        <w:t>(</w:t>
      </w:r>
      <w:r w:rsidR="001549D3">
        <w:rPr>
          <w:rFonts w:cs="Times New Roman"/>
          <w:sz w:val="20"/>
          <w:szCs w:val="20"/>
          <w:highlight w:val="yellow"/>
        </w:rPr>
        <w:t>2</w:t>
      </w:r>
      <w:r w:rsidRPr="00554E50">
        <w:rPr>
          <w:rFonts w:cs="Times New Roman"/>
          <w:sz w:val="20"/>
          <w:szCs w:val="20"/>
          <w:highlight w:val="yellow"/>
        </w:rPr>
        <w:t>),</w:t>
      </w:r>
      <w:r w:rsidRPr="00B201D4">
        <w:rPr>
          <w:rFonts w:cs="Times New Roman"/>
          <w:sz w:val="20"/>
          <w:szCs w:val="20"/>
        </w:rPr>
        <w:t xml:space="preserve"> 307</w:t>
      </w:r>
      <w:r>
        <w:rPr>
          <w:rFonts w:cs="Times New Roman"/>
          <w:sz w:val="20"/>
          <w:szCs w:val="20"/>
        </w:rPr>
        <w:t>–</w:t>
      </w:r>
      <w:r w:rsidRPr="00B201D4">
        <w:rPr>
          <w:rFonts w:cs="Times New Roman"/>
          <w:sz w:val="20"/>
          <w:szCs w:val="20"/>
        </w:rPr>
        <w:t>324.</w:t>
      </w:r>
    </w:p>
    <w:p w14:paraId="2C683630" w14:textId="77777777" w:rsidR="00866CEF" w:rsidRPr="00866CEF" w:rsidRDefault="00866CEF" w:rsidP="00866CEF">
      <w:pPr>
        <w:spacing w:line="300" w:lineRule="exact"/>
        <w:ind w:left="357" w:hanging="357"/>
        <w:rPr>
          <w:rFonts w:cs="Times New Roman"/>
          <w:i/>
          <w:iCs/>
          <w:sz w:val="20"/>
          <w:szCs w:val="20"/>
        </w:rPr>
      </w:pPr>
      <w:r w:rsidRPr="00866CEF">
        <w:rPr>
          <w:rFonts w:eastAsia="Times New Roman" w:cs="Times New Roman"/>
          <w:sz w:val="20"/>
          <w:szCs w:val="20"/>
        </w:rPr>
        <w:t xml:space="preserve">Institute for Fiscal Studies (2016). </w:t>
      </w:r>
      <w:r w:rsidRPr="00866CEF">
        <w:rPr>
          <w:rFonts w:eastAsia="Times New Roman" w:cs="Times New Roman"/>
          <w:i/>
          <w:sz w:val="20"/>
          <w:szCs w:val="20"/>
        </w:rPr>
        <w:t>How English domiciled graduate earnings vary with gender, institution attended, subject of study and socio-economic background.</w:t>
      </w:r>
      <w:r w:rsidRPr="00866CEF">
        <w:rPr>
          <w:rFonts w:eastAsia="Times New Roman" w:cs="Times New Roman"/>
          <w:sz w:val="20"/>
          <w:szCs w:val="20"/>
        </w:rPr>
        <w:t xml:space="preserve"> London: IFS.</w:t>
      </w:r>
    </w:p>
    <w:p w14:paraId="34F38CA8" w14:textId="77777777" w:rsidR="00866CEF" w:rsidRPr="00866CEF" w:rsidRDefault="00866CEF" w:rsidP="00866CEF">
      <w:pPr>
        <w:spacing w:line="300" w:lineRule="exact"/>
        <w:ind w:left="357" w:hanging="357"/>
        <w:rPr>
          <w:rFonts w:cs="Times New Roman"/>
          <w:i/>
          <w:iCs/>
          <w:sz w:val="20"/>
          <w:szCs w:val="20"/>
        </w:rPr>
      </w:pPr>
      <w:r w:rsidRPr="00866CEF">
        <w:rPr>
          <w:rFonts w:cs="Times New Roman"/>
          <w:sz w:val="20"/>
          <w:szCs w:val="20"/>
        </w:rPr>
        <w:t xml:space="preserve">Loveday, V. (2018). The neurotic academic: Anxiety, casualization, and casualization in the neoliberalising university. </w:t>
      </w:r>
      <w:r w:rsidRPr="00866CEF">
        <w:rPr>
          <w:rFonts w:cs="Times New Roman"/>
          <w:i/>
          <w:sz w:val="20"/>
          <w:szCs w:val="20"/>
        </w:rPr>
        <w:t>Journal of Cultural Economy</w:t>
      </w:r>
      <w:r w:rsidRPr="00866CEF">
        <w:rPr>
          <w:rFonts w:cs="Times New Roman"/>
          <w:sz w:val="20"/>
          <w:szCs w:val="20"/>
        </w:rPr>
        <w:t xml:space="preserve">, 11(2), 154–166. </w:t>
      </w:r>
    </w:p>
    <w:p w14:paraId="7E67D75E" w14:textId="77777777" w:rsidR="00866CEF" w:rsidRPr="00866CEF" w:rsidRDefault="00866CEF" w:rsidP="00866CEF">
      <w:pPr>
        <w:spacing w:line="300" w:lineRule="exact"/>
        <w:ind w:left="357" w:hanging="357"/>
        <w:rPr>
          <w:rFonts w:cs="Times New Roman"/>
          <w:sz w:val="20"/>
          <w:szCs w:val="20"/>
        </w:rPr>
      </w:pPr>
      <w:r w:rsidRPr="00866CEF">
        <w:rPr>
          <w:rFonts w:cs="Times New Roman"/>
          <w:sz w:val="20"/>
          <w:szCs w:val="20"/>
        </w:rPr>
        <w:t xml:space="preserve">Marginson, S. (2013). The (im)possibility of capitalist markets in higher education. </w:t>
      </w:r>
      <w:r w:rsidRPr="00866CEF">
        <w:rPr>
          <w:rFonts w:cs="Times New Roman"/>
          <w:i/>
          <w:sz w:val="20"/>
          <w:szCs w:val="20"/>
        </w:rPr>
        <w:t>Journal of Education Policy</w:t>
      </w:r>
      <w:r w:rsidRPr="00866CEF">
        <w:rPr>
          <w:rFonts w:cs="Times New Roman"/>
          <w:sz w:val="20"/>
          <w:szCs w:val="20"/>
        </w:rPr>
        <w:t xml:space="preserve">, </w:t>
      </w:r>
      <w:r w:rsidRPr="00866CEF">
        <w:rPr>
          <w:rFonts w:cs="Times New Roman"/>
          <w:i/>
          <w:sz w:val="20"/>
          <w:szCs w:val="20"/>
        </w:rPr>
        <w:t>28</w:t>
      </w:r>
      <w:r w:rsidRPr="00866CEF">
        <w:rPr>
          <w:rFonts w:cs="Times New Roman"/>
          <w:sz w:val="20"/>
          <w:szCs w:val="20"/>
        </w:rPr>
        <w:t>(3), 353–370.</w:t>
      </w:r>
    </w:p>
    <w:p w14:paraId="70BE1A88" w14:textId="77777777" w:rsidR="00866CEF" w:rsidRPr="00866CEF" w:rsidRDefault="00866CEF" w:rsidP="00866CEF">
      <w:pPr>
        <w:spacing w:line="300" w:lineRule="exact"/>
        <w:ind w:left="357" w:hanging="357"/>
        <w:rPr>
          <w:rFonts w:cs="Times New Roman"/>
          <w:sz w:val="20"/>
          <w:szCs w:val="20"/>
        </w:rPr>
      </w:pPr>
      <w:r w:rsidRPr="00866CEF">
        <w:rPr>
          <w:rFonts w:cs="Times New Roman"/>
          <w:sz w:val="20"/>
          <w:szCs w:val="20"/>
        </w:rPr>
        <w:t xml:space="preserve">Marginson, S. (2016). The worldwide trend towards high participation higher education: Dynamics of social stratification in inclusive systems. </w:t>
      </w:r>
      <w:r w:rsidRPr="00866CEF">
        <w:rPr>
          <w:rFonts w:cs="Times New Roman"/>
          <w:i/>
          <w:sz w:val="20"/>
          <w:szCs w:val="20"/>
        </w:rPr>
        <w:t>Higher Education, 72</w:t>
      </w:r>
      <w:r w:rsidRPr="00866CEF">
        <w:rPr>
          <w:rFonts w:cs="Times New Roman"/>
          <w:sz w:val="20"/>
          <w:szCs w:val="20"/>
        </w:rPr>
        <w:t>(4), 413–434.</w:t>
      </w:r>
    </w:p>
    <w:p w14:paraId="480CD2DC" w14:textId="77777777" w:rsidR="00866CEF" w:rsidRPr="00866CEF" w:rsidRDefault="00866CEF" w:rsidP="00866CEF">
      <w:pPr>
        <w:spacing w:line="300" w:lineRule="exact"/>
        <w:ind w:left="357" w:hanging="357"/>
        <w:rPr>
          <w:rFonts w:cs="Times New Roman"/>
          <w:sz w:val="20"/>
          <w:szCs w:val="20"/>
        </w:rPr>
      </w:pPr>
      <w:r w:rsidRPr="00866CEF">
        <w:rPr>
          <w:rFonts w:cs="Times New Roman"/>
          <w:sz w:val="20"/>
          <w:szCs w:val="20"/>
        </w:rPr>
        <w:t xml:space="preserve">McGettigan, A. (2013). </w:t>
      </w:r>
      <w:r w:rsidRPr="00866CEF">
        <w:rPr>
          <w:rFonts w:cs="Times New Roman"/>
          <w:i/>
          <w:sz w:val="20"/>
          <w:szCs w:val="20"/>
        </w:rPr>
        <w:t>The great university gamble: Money, markets and the future of higher education</w:t>
      </w:r>
      <w:r w:rsidRPr="00866CEF">
        <w:rPr>
          <w:rFonts w:cs="Times New Roman"/>
          <w:sz w:val="20"/>
          <w:szCs w:val="20"/>
        </w:rPr>
        <w:t>. London: Pluto.</w:t>
      </w:r>
    </w:p>
    <w:p w14:paraId="2F021AB7" w14:textId="77777777" w:rsidR="00866CEF" w:rsidRPr="00866CEF" w:rsidRDefault="00866CEF" w:rsidP="00866CEF">
      <w:pPr>
        <w:spacing w:line="300" w:lineRule="exact"/>
        <w:ind w:left="357" w:hanging="357"/>
        <w:rPr>
          <w:rFonts w:cs="Times New Roman"/>
          <w:sz w:val="20"/>
          <w:szCs w:val="20"/>
        </w:rPr>
      </w:pPr>
      <w:r w:rsidRPr="00866CEF">
        <w:rPr>
          <w:rFonts w:cs="Times New Roman"/>
          <w:sz w:val="20"/>
          <w:szCs w:val="20"/>
        </w:rPr>
        <w:t xml:space="preserve">Medland, E., Watermeyer, R., Hosein, A., Kinchin, I., &amp; Lygo-Baker, S. (Eds.) (2018). </w:t>
      </w:r>
      <w:r w:rsidRPr="00866CEF">
        <w:rPr>
          <w:rFonts w:cs="Times New Roman"/>
          <w:i/>
          <w:sz w:val="20"/>
          <w:szCs w:val="20"/>
        </w:rPr>
        <w:t>Pedagogical peculiarities: Conversations at the edges of teaching and learning in higher education</w:t>
      </w:r>
      <w:r w:rsidRPr="00866CEF">
        <w:rPr>
          <w:rFonts w:cs="Times New Roman"/>
          <w:sz w:val="20"/>
          <w:szCs w:val="20"/>
        </w:rPr>
        <w:t>. Rotterdam: Sense Publishers.</w:t>
      </w:r>
    </w:p>
    <w:p w14:paraId="7EC79B52" w14:textId="77777777" w:rsidR="00866CEF" w:rsidRPr="00866CEF" w:rsidRDefault="00866CEF" w:rsidP="00866CEF">
      <w:pPr>
        <w:spacing w:line="300" w:lineRule="exact"/>
        <w:ind w:left="357" w:hanging="357"/>
        <w:rPr>
          <w:rFonts w:cs="Times New Roman"/>
          <w:sz w:val="20"/>
          <w:szCs w:val="20"/>
        </w:rPr>
      </w:pPr>
      <w:r w:rsidRPr="00866CEF">
        <w:rPr>
          <w:rFonts w:cs="Times New Roman"/>
          <w:sz w:val="20"/>
          <w:szCs w:val="20"/>
        </w:rPr>
        <w:t xml:space="preserve">Mok, K. H. (2016). Critical reflections on the massification of higher education, graduate </w:t>
      </w:r>
      <w:r w:rsidRPr="00866CEF">
        <w:rPr>
          <w:rFonts w:cs="Times New Roman"/>
          <w:sz w:val="20"/>
          <w:szCs w:val="20"/>
        </w:rPr>
        <w:tab/>
        <w:t xml:space="preserve">employment and social mobility. </w:t>
      </w:r>
      <w:r w:rsidRPr="00866CEF">
        <w:rPr>
          <w:rFonts w:cs="Times New Roman"/>
          <w:i/>
          <w:iCs/>
          <w:sz w:val="20"/>
          <w:szCs w:val="20"/>
        </w:rPr>
        <w:t>Journal of Education and Work, 29(1)</w:t>
      </w:r>
      <w:r w:rsidRPr="00866CEF">
        <w:rPr>
          <w:rFonts w:cs="Times New Roman"/>
          <w:sz w:val="20"/>
          <w:szCs w:val="20"/>
        </w:rPr>
        <w:t>, 1–13.</w:t>
      </w:r>
    </w:p>
    <w:p w14:paraId="4A9E8582" w14:textId="77777777" w:rsidR="00866CEF" w:rsidRPr="00B201D4" w:rsidRDefault="00866CEF" w:rsidP="00866CEF">
      <w:pPr>
        <w:autoSpaceDE w:val="0"/>
        <w:autoSpaceDN w:val="0"/>
        <w:adjustRightInd w:val="0"/>
        <w:spacing w:line="300" w:lineRule="exact"/>
        <w:ind w:left="357" w:hanging="357"/>
        <w:rPr>
          <w:rFonts w:cs="Times New Roman"/>
          <w:sz w:val="20"/>
          <w:szCs w:val="20"/>
        </w:rPr>
      </w:pPr>
      <w:r w:rsidRPr="00866CEF">
        <w:rPr>
          <w:rFonts w:eastAsia="Times New Roman" w:cs="Times New Roman"/>
          <w:sz w:val="20"/>
          <w:szCs w:val="20"/>
          <w:shd w:val="clear" w:color="auto" w:fill="FCFCFC"/>
        </w:rPr>
        <w:t>Muller, J. Z. (2018).</w:t>
      </w:r>
      <w:r w:rsidRPr="00B201D4">
        <w:rPr>
          <w:rFonts w:eastAsia="Times New Roman" w:cs="Times New Roman"/>
          <w:sz w:val="20"/>
          <w:szCs w:val="20"/>
          <w:shd w:val="clear" w:color="auto" w:fill="FCFCFC"/>
        </w:rPr>
        <w:t> </w:t>
      </w:r>
      <w:r w:rsidRPr="00B201D4">
        <w:rPr>
          <w:rFonts w:eastAsia="Times New Roman" w:cs="Times New Roman"/>
          <w:i/>
          <w:iCs/>
          <w:sz w:val="20"/>
          <w:szCs w:val="20"/>
        </w:rPr>
        <w:t>The tyranny of metrics</w:t>
      </w:r>
      <w:r w:rsidRPr="00B201D4">
        <w:rPr>
          <w:rFonts w:eastAsia="Times New Roman" w:cs="Times New Roman"/>
          <w:sz w:val="20"/>
          <w:szCs w:val="20"/>
          <w:shd w:val="clear" w:color="auto" w:fill="FCFCFC"/>
        </w:rPr>
        <w:t>. Princeton University Press.</w:t>
      </w:r>
    </w:p>
    <w:p w14:paraId="3E74BBA5" w14:textId="77777777" w:rsidR="00866CEF" w:rsidRPr="00B201D4" w:rsidRDefault="00866CEF" w:rsidP="00866CEF">
      <w:pPr>
        <w:autoSpaceDE w:val="0"/>
        <w:autoSpaceDN w:val="0"/>
        <w:adjustRightInd w:val="0"/>
        <w:spacing w:line="300" w:lineRule="exact"/>
        <w:ind w:left="357" w:hanging="357"/>
        <w:rPr>
          <w:rFonts w:cs="Times New Roman"/>
          <w:sz w:val="20"/>
          <w:szCs w:val="20"/>
        </w:rPr>
      </w:pPr>
      <w:r w:rsidRPr="0049289B">
        <w:rPr>
          <w:rFonts w:cs="Times New Roman"/>
          <w:sz w:val="20"/>
          <w:szCs w:val="20"/>
          <w:highlight w:val="yellow"/>
        </w:rPr>
        <w:t>Naidoo, R. &amp;</w:t>
      </w:r>
      <w:r w:rsidRPr="00B201D4">
        <w:rPr>
          <w:rFonts w:cs="Times New Roman"/>
          <w:sz w:val="20"/>
          <w:szCs w:val="20"/>
        </w:rPr>
        <w:t xml:space="preserve"> Williams, J. (2015). The neoliberal regime in English higher education: </w:t>
      </w:r>
      <w:r>
        <w:rPr>
          <w:rFonts w:cs="Times New Roman"/>
          <w:sz w:val="20"/>
          <w:szCs w:val="20"/>
        </w:rPr>
        <w:t>C</w:t>
      </w:r>
      <w:r w:rsidRPr="00B201D4">
        <w:rPr>
          <w:rFonts w:cs="Times New Roman"/>
          <w:sz w:val="20"/>
          <w:szCs w:val="20"/>
        </w:rPr>
        <w:t xml:space="preserve">harters, consumers and the erosion of the public good. </w:t>
      </w:r>
      <w:r w:rsidRPr="00B201D4">
        <w:rPr>
          <w:rFonts w:cs="Times New Roman"/>
          <w:i/>
          <w:sz w:val="20"/>
          <w:szCs w:val="20"/>
        </w:rPr>
        <w:t>Critical Studies in</w:t>
      </w:r>
      <w:r>
        <w:rPr>
          <w:rFonts w:cs="Times New Roman"/>
          <w:i/>
          <w:sz w:val="20"/>
          <w:szCs w:val="20"/>
        </w:rPr>
        <w:t xml:space="preserve"> </w:t>
      </w:r>
      <w:r w:rsidRPr="00B201D4">
        <w:rPr>
          <w:rFonts w:cs="Times New Roman"/>
          <w:i/>
          <w:sz w:val="20"/>
          <w:szCs w:val="20"/>
        </w:rPr>
        <w:t>Education, 56</w:t>
      </w:r>
      <w:r w:rsidRPr="00B201D4">
        <w:rPr>
          <w:rFonts w:cs="Times New Roman"/>
          <w:sz w:val="20"/>
          <w:szCs w:val="20"/>
        </w:rPr>
        <w:t>(2), 208</w:t>
      </w:r>
      <w:r>
        <w:rPr>
          <w:rFonts w:cs="Times New Roman"/>
          <w:sz w:val="20"/>
          <w:szCs w:val="20"/>
        </w:rPr>
        <w:t>–</w:t>
      </w:r>
      <w:r w:rsidRPr="00B201D4">
        <w:rPr>
          <w:rFonts w:cs="Times New Roman"/>
          <w:sz w:val="20"/>
          <w:szCs w:val="20"/>
        </w:rPr>
        <w:t>223.</w:t>
      </w:r>
    </w:p>
    <w:p w14:paraId="1F4F869B" w14:textId="77777777" w:rsidR="00866CEF" w:rsidRPr="00866CEF" w:rsidRDefault="00866CEF" w:rsidP="00866CEF">
      <w:pPr>
        <w:autoSpaceDE w:val="0"/>
        <w:autoSpaceDN w:val="0"/>
        <w:adjustRightInd w:val="0"/>
        <w:spacing w:line="300" w:lineRule="exact"/>
        <w:ind w:left="357" w:hanging="357"/>
        <w:rPr>
          <w:rFonts w:cs="Times New Roman"/>
          <w:sz w:val="20"/>
          <w:szCs w:val="20"/>
        </w:rPr>
      </w:pPr>
      <w:r w:rsidRPr="00866CEF">
        <w:rPr>
          <w:rFonts w:cs="Times New Roman"/>
          <w:sz w:val="20"/>
          <w:szCs w:val="20"/>
        </w:rPr>
        <w:t>Office for National Statistics (2019). </w:t>
      </w:r>
      <w:r w:rsidRPr="00866CEF">
        <w:rPr>
          <w:rFonts w:cs="Times New Roman"/>
          <w:i/>
          <w:iCs/>
          <w:sz w:val="20"/>
          <w:szCs w:val="20"/>
        </w:rPr>
        <w:t>Graduates in the UK labour market</w:t>
      </w:r>
      <w:r w:rsidRPr="00866CEF">
        <w:rPr>
          <w:rFonts w:cs="Times New Roman"/>
          <w:sz w:val="20"/>
          <w:szCs w:val="20"/>
        </w:rPr>
        <w:t xml:space="preserve">. London: Office of National Statistics. </w:t>
      </w:r>
    </w:p>
    <w:p w14:paraId="48EB9DBB" w14:textId="77777777" w:rsidR="00866CEF" w:rsidRPr="00B201D4" w:rsidRDefault="00866CEF" w:rsidP="00866CEF">
      <w:pPr>
        <w:spacing w:line="300" w:lineRule="exact"/>
        <w:ind w:left="357" w:hanging="357"/>
        <w:rPr>
          <w:rFonts w:cs="Times New Roman"/>
          <w:sz w:val="20"/>
          <w:szCs w:val="20"/>
        </w:rPr>
      </w:pPr>
      <w:r w:rsidRPr="00866CEF">
        <w:rPr>
          <w:rFonts w:cs="Times New Roman"/>
          <w:sz w:val="20"/>
          <w:szCs w:val="20"/>
        </w:rPr>
        <w:t>Pitman, T. (2020).</w:t>
      </w:r>
      <w:r w:rsidRPr="00B201D4">
        <w:rPr>
          <w:rFonts w:cs="Times New Roman"/>
          <w:color w:val="201F1E"/>
          <w:sz w:val="20"/>
          <w:szCs w:val="20"/>
          <w:shd w:val="clear" w:color="auto" w:fill="FFFFFF"/>
        </w:rPr>
        <w:t xml:space="preserve"> Profitable for the country: An Australian historical perspective of the contested purpose of public universities. </w:t>
      </w:r>
      <w:r>
        <w:rPr>
          <w:rFonts w:cs="Times New Roman"/>
          <w:i/>
          <w:color w:val="201F1E"/>
          <w:sz w:val="20"/>
          <w:szCs w:val="20"/>
          <w:shd w:val="clear" w:color="auto" w:fill="FFFFFF"/>
        </w:rPr>
        <w:t>Higher E</w:t>
      </w:r>
      <w:r w:rsidRPr="00B201D4">
        <w:rPr>
          <w:rFonts w:cs="Times New Roman"/>
          <w:i/>
          <w:color w:val="201F1E"/>
          <w:sz w:val="20"/>
          <w:szCs w:val="20"/>
          <w:shd w:val="clear" w:color="auto" w:fill="FFFFFF"/>
        </w:rPr>
        <w:t>ducation Research &amp; Development</w:t>
      </w:r>
      <w:r>
        <w:rPr>
          <w:rFonts w:cs="Times New Roman"/>
          <w:i/>
          <w:color w:val="201F1E"/>
          <w:sz w:val="20"/>
          <w:szCs w:val="20"/>
          <w:shd w:val="clear" w:color="auto" w:fill="FFFFFF"/>
        </w:rPr>
        <w:t>,</w:t>
      </w:r>
      <w:r w:rsidRPr="00B201D4">
        <w:rPr>
          <w:rFonts w:cs="Times New Roman"/>
          <w:i/>
          <w:color w:val="201F1E"/>
          <w:sz w:val="20"/>
          <w:szCs w:val="20"/>
          <w:shd w:val="clear" w:color="auto" w:fill="FFFFFF"/>
        </w:rPr>
        <w:t xml:space="preserve"> 39</w:t>
      </w:r>
      <w:r w:rsidRPr="00B201D4">
        <w:rPr>
          <w:rFonts w:cs="Times New Roman"/>
          <w:color w:val="201F1E"/>
          <w:sz w:val="20"/>
          <w:szCs w:val="20"/>
          <w:shd w:val="clear" w:color="auto" w:fill="FFFFFF"/>
        </w:rPr>
        <w:t>(1), 13</w:t>
      </w:r>
      <w:r>
        <w:rPr>
          <w:rFonts w:cs="Times New Roman"/>
          <w:color w:val="201F1E"/>
          <w:sz w:val="20"/>
          <w:szCs w:val="20"/>
          <w:shd w:val="clear" w:color="auto" w:fill="FFFFFF"/>
        </w:rPr>
        <w:t>–</w:t>
      </w:r>
      <w:r w:rsidRPr="00B201D4">
        <w:rPr>
          <w:rFonts w:cs="Times New Roman"/>
          <w:color w:val="201F1E"/>
          <w:sz w:val="20"/>
          <w:szCs w:val="20"/>
          <w:shd w:val="clear" w:color="auto" w:fill="FFFFFF"/>
        </w:rPr>
        <w:t>25.</w:t>
      </w:r>
    </w:p>
    <w:p w14:paraId="120EFC55" w14:textId="77777777" w:rsidR="00866CEF" w:rsidRPr="00B201D4" w:rsidRDefault="00866CEF" w:rsidP="00866CEF">
      <w:pPr>
        <w:spacing w:line="300" w:lineRule="exact"/>
        <w:ind w:left="357" w:hanging="357"/>
        <w:rPr>
          <w:rFonts w:cs="Times New Roman"/>
          <w:sz w:val="20"/>
          <w:szCs w:val="20"/>
        </w:rPr>
      </w:pPr>
      <w:r w:rsidRPr="00866CEF">
        <w:rPr>
          <w:rFonts w:cs="Times New Roman"/>
          <w:sz w:val="20"/>
          <w:szCs w:val="20"/>
        </w:rPr>
        <w:t>Scott, P. (2017). Higher</w:t>
      </w:r>
      <w:r>
        <w:rPr>
          <w:rFonts w:cs="Times New Roman"/>
          <w:sz w:val="20"/>
          <w:szCs w:val="20"/>
        </w:rPr>
        <w:t xml:space="preserve"> education and the knowledge e</w:t>
      </w:r>
      <w:r w:rsidRPr="00B201D4">
        <w:rPr>
          <w:rFonts w:cs="Times New Roman"/>
          <w:sz w:val="20"/>
          <w:szCs w:val="20"/>
        </w:rPr>
        <w:t>conomy</w:t>
      </w:r>
      <w:r>
        <w:rPr>
          <w:rFonts w:cs="Times New Roman"/>
          <w:sz w:val="20"/>
          <w:szCs w:val="20"/>
        </w:rPr>
        <w:t>. I</w:t>
      </w:r>
      <w:r w:rsidRPr="00B201D4">
        <w:rPr>
          <w:rFonts w:cs="Times New Roman"/>
          <w:sz w:val="20"/>
          <w:szCs w:val="20"/>
        </w:rPr>
        <w:t>n R. Barnett, P. Temple</w:t>
      </w:r>
      <w:r>
        <w:rPr>
          <w:rFonts w:cs="Times New Roman"/>
          <w:sz w:val="20"/>
          <w:szCs w:val="20"/>
        </w:rPr>
        <w:t>, &amp; P. Scott (E</w:t>
      </w:r>
      <w:r w:rsidRPr="00B201D4">
        <w:rPr>
          <w:rFonts w:cs="Times New Roman"/>
          <w:sz w:val="20"/>
          <w:szCs w:val="20"/>
        </w:rPr>
        <w:t>ds</w:t>
      </w:r>
      <w:r>
        <w:rPr>
          <w:rFonts w:cs="Times New Roman"/>
          <w:sz w:val="20"/>
          <w:szCs w:val="20"/>
        </w:rPr>
        <w:t>.</w:t>
      </w:r>
      <w:r w:rsidRPr="00B201D4">
        <w:rPr>
          <w:rFonts w:cs="Times New Roman"/>
          <w:sz w:val="20"/>
          <w:szCs w:val="20"/>
        </w:rPr>
        <w:t>)</w:t>
      </w:r>
      <w:r>
        <w:rPr>
          <w:rFonts w:cs="Times New Roman"/>
          <w:sz w:val="20"/>
          <w:szCs w:val="20"/>
        </w:rPr>
        <w:t>,</w:t>
      </w:r>
      <w:r w:rsidRPr="00B201D4">
        <w:rPr>
          <w:rFonts w:cs="Times New Roman"/>
          <w:sz w:val="20"/>
          <w:szCs w:val="20"/>
        </w:rPr>
        <w:t xml:space="preserve"> </w:t>
      </w:r>
      <w:r w:rsidRPr="00B201D4">
        <w:rPr>
          <w:rFonts w:cs="Times New Roman"/>
          <w:i/>
          <w:sz w:val="20"/>
          <w:szCs w:val="20"/>
        </w:rPr>
        <w:t>Valuing Higher Education</w:t>
      </w:r>
      <w:r>
        <w:rPr>
          <w:rFonts w:cs="Times New Roman"/>
          <w:sz w:val="20"/>
          <w:szCs w:val="20"/>
        </w:rPr>
        <w:t xml:space="preserve"> (</w:t>
      </w:r>
      <w:r w:rsidRPr="00CF1395">
        <w:rPr>
          <w:rFonts w:cs="Times New Roman"/>
          <w:sz w:val="20"/>
          <w:szCs w:val="20"/>
          <w:highlight w:val="yellow"/>
        </w:rPr>
        <w:t>pp. ??-??).</w:t>
      </w:r>
      <w:r>
        <w:rPr>
          <w:rFonts w:cs="Times New Roman"/>
          <w:sz w:val="20"/>
          <w:szCs w:val="20"/>
        </w:rPr>
        <w:t xml:space="preserve"> </w:t>
      </w:r>
      <w:r w:rsidRPr="00B201D4">
        <w:rPr>
          <w:rFonts w:cs="Times New Roman"/>
          <w:sz w:val="20"/>
          <w:szCs w:val="20"/>
        </w:rPr>
        <w:t xml:space="preserve"> </w:t>
      </w:r>
      <w:bookmarkStart w:id="0" w:name="_GoBack"/>
      <w:bookmarkEnd w:id="0"/>
      <w:r w:rsidRPr="00B201D4">
        <w:rPr>
          <w:rFonts w:cs="Times New Roman"/>
          <w:sz w:val="20"/>
          <w:szCs w:val="20"/>
        </w:rPr>
        <w:t>London: UCL Press.</w:t>
      </w:r>
    </w:p>
    <w:p w14:paraId="63F303D8" w14:textId="77777777" w:rsidR="00866CEF" w:rsidRPr="00866CEF" w:rsidRDefault="00866CEF" w:rsidP="00866CEF">
      <w:pPr>
        <w:spacing w:line="300" w:lineRule="exact"/>
        <w:ind w:left="357" w:hanging="357"/>
        <w:rPr>
          <w:rFonts w:cs="Times New Roman"/>
          <w:sz w:val="20"/>
          <w:szCs w:val="20"/>
        </w:rPr>
      </w:pPr>
      <w:r w:rsidRPr="00866CEF">
        <w:rPr>
          <w:rFonts w:cs="Times New Roman"/>
          <w:sz w:val="20"/>
          <w:szCs w:val="20"/>
        </w:rPr>
        <w:lastRenderedPageBreak/>
        <w:t xml:space="preserve">Slater, T. (Ed.) (2016). </w:t>
      </w:r>
      <w:r w:rsidRPr="00866CEF">
        <w:rPr>
          <w:rFonts w:cs="Times New Roman"/>
          <w:i/>
          <w:sz w:val="20"/>
          <w:szCs w:val="20"/>
        </w:rPr>
        <w:t>Unsafe space: The crisis of free speech on campus</w:t>
      </w:r>
      <w:r w:rsidRPr="00866CEF">
        <w:rPr>
          <w:rFonts w:cs="Times New Roman"/>
          <w:sz w:val="20"/>
          <w:szCs w:val="20"/>
        </w:rPr>
        <w:t xml:space="preserve">. London: Palgrave Macmillan. </w:t>
      </w:r>
    </w:p>
    <w:p w14:paraId="7CE773CB" w14:textId="77777777" w:rsidR="00866CEF" w:rsidRPr="00866CEF" w:rsidRDefault="00866CEF" w:rsidP="00866CEF">
      <w:pPr>
        <w:spacing w:line="300" w:lineRule="exact"/>
        <w:ind w:left="357" w:hanging="357"/>
        <w:rPr>
          <w:rFonts w:cs="Times New Roman"/>
          <w:sz w:val="20"/>
          <w:szCs w:val="20"/>
        </w:rPr>
      </w:pPr>
      <w:r w:rsidRPr="00866CEF">
        <w:rPr>
          <w:rFonts w:cs="Times New Roman"/>
          <w:sz w:val="20"/>
          <w:szCs w:val="20"/>
        </w:rPr>
        <w:t xml:space="preserve">Smyth, J. (2017). </w:t>
      </w:r>
      <w:r w:rsidRPr="00866CEF">
        <w:rPr>
          <w:rFonts w:cs="Times New Roman"/>
          <w:i/>
          <w:sz w:val="20"/>
          <w:szCs w:val="20"/>
        </w:rPr>
        <w:t>The toxic university zombie leadership, academic rock stars and neoliberal ideology</w:t>
      </w:r>
      <w:r w:rsidRPr="00866CEF">
        <w:rPr>
          <w:rFonts w:cs="Times New Roman"/>
          <w:sz w:val="20"/>
          <w:szCs w:val="20"/>
        </w:rPr>
        <w:t>. London: Palgrave Macmillan.</w:t>
      </w:r>
    </w:p>
    <w:p w14:paraId="56523C63" w14:textId="77777777" w:rsidR="00866CEF" w:rsidRPr="00866CEF" w:rsidRDefault="00866CEF" w:rsidP="00866CEF">
      <w:pPr>
        <w:spacing w:line="300" w:lineRule="exact"/>
        <w:ind w:left="357" w:hanging="357"/>
        <w:rPr>
          <w:rFonts w:cs="Times New Roman"/>
          <w:sz w:val="20"/>
          <w:szCs w:val="20"/>
        </w:rPr>
      </w:pPr>
      <w:r w:rsidRPr="00866CEF">
        <w:rPr>
          <w:rFonts w:cs="Times New Roman"/>
          <w:sz w:val="20"/>
          <w:szCs w:val="20"/>
        </w:rPr>
        <w:t xml:space="preserve">Social Mobility and Child Poverty Commission (SMCPC). (2015). </w:t>
      </w:r>
      <w:r w:rsidRPr="00866CEF">
        <w:rPr>
          <w:rFonts w:cs="Times New Roman"/>
          <w:i/>
          <w:sz w:val="20"/>
          <w:szCs w:val="20"/>
        </w:rPr>
        <w:t>A qualitative evaluation of non-cognitive barriers to the elite professions</w:t>
      </w:r>
      <w:r w:rsidRPr="00866CEF">
        <w:rPr>
          <w:rFonts w:cs="Times New Roman"/>
          <w:sz w:val="20"/>
          <w:szCs w:val="20"/>
        </w:rPr>
        <w:t>. London: SMCPC.</w:t>
      </w:r>
    </w:p>
    <w:p w14:paraId="4578ECD4" w14:textId="77777777" w:rsidR="005E7CC3" w:rsidRDefault="00866CEF" w:rsidP="005E7CC3">
      <w:pPr>
        <w:spacing w:line="300" w:lineRule="exact"/>
        <w:ind w:left="357" w:hanging="357"/>
        <w:rPr>
          <w:rFonts w:cs="Times New Roman"/>
          <w:sz w:val="20"/>
          <w:szCs w:val="20"/>
        </w:rPr>
      </w:pPr>
      <w:r w:rsidRPr="00866CEF">
        <w:rPr>
          <w:rFonts w:cs="Times New Roman"/>
          <w:sz w:val="20"/>
          <w:szCs w:val="20"/>
        </w:rPr>
        <w:t xml:space="preserve">Spence, M. (2002). Signalling in retrospect and the informational structure of markets. </w:t>
      </w:r>
      <w:r w:rsidRPr="00866CEF">
        <w:rPr>
          <w:rFonts w:cs="Times New Roman"/>
          <w:i/>
          <w:sz w:val="20"/>
          <w:szCs w:val="20"/>
        </w:rPr>
        <w:t>American Economic Review, 92</w:t>
      </w:r>
      <w:r w:rsidRPr="00866CEF">
        <w:rPr>
          <w:rFonts w:cs="Times New Roman"/>
          <w:sz w:val="20"/>
          <w:szCs w:val="20"/>
        </w:rPr>
        <w:t>(3</w:t>
      </w:r>
      <w:r w:rsidRPr="00866CEF">
        <w:rPr>
          <w:rFonts w:cs="Times New Roman"/>
          <w:i/>
          <w:sz w:val="20"/>
          <w:szCs w:val="20"/>
        </w:rPr>
        <w:t>),</w:t>
      </w:r>
      <w:r w:rsidRPr="00866CEF">
        <w:rPr>
          <w:rFonts w:cs="Times New Roman"/>
          <w:sz w:val="20"/>
          <w:szCs w:val="20"/>
        </w:rPr>
        <w:t xml:space="preserve"> 434–449. </w:t>
      </w:r>
    </w:p>
    <w:p w14:paraId="35424A91" w14:textId="57989633" w:rsidR="005E7CC3" w:rsidRDefault="005E7CC3" w:rsidP="005E7CC3">
      <w:pPr>
        <w:spacing w:line="300" w:lineRule="exact"/>
        <w:ind w:left="357" w:hanging="357"/>
        <w:rPr>
          <w:rFonts w:cs="Times New Roman"/>
          <w:sz w:val="20"/>
          <w:szCs w:val="20"/>
        </w:rPr>
      </w:pPr>
      <w:r w:rsidRPr="005E7CC3">
        <w:rPr>
          <w:rFonts w:cs="Times New Roman"/>
          <w:sz w:val="20"/>
          <w:szCs w:val="20"/>
          <w:highlight w:val="yellow"/>
        </w:rPr>
        <w:t>Suleman, F. (2018) ‘The employability skills of higher education graduates: insights into conceptual framewo</w:t>
      </w:r>
      <w:r w:rsidR="00A23DC2">
        <w:rPr>
          <w:rFonts w:cs="Times New Roman"/>
          <w:sz w:val="20"/>
          <w:szCs w:val="20"/>
          <w:highlight w:val="yellow"/>
        </w:rPr>
        <w:t>rks and methodological options’.</w:t>
      </w:r>
      <w:r w:rsidRPr="005E7CC3">
        <w:rPr>
          <w:rFonts w:cs="Times New Roman"/>
          <w:sz w:val="20"/>
          <w:szCs w:val="20"/>
          <w:highlight w:val="yellow"/>
        </w:rPr>
        <w:t xml:space="preserve"> </w:t>
      </w:r>
      <w:r w:rsidRPr="005E7CC3">
        <w:rPr>
          <w:rFonts w:cs="Times New Roman"/>
          <w:i/>
          <w:sz w:val="20"/>
          <w:szCs w:val="20"/>
          <w:highlight w:val="yellow"/>
        </w:rPr>
        <w:t>Higher Education</w:t>
      </w:r>
      <w:r w:rsidRPr="005E7CC3">
        <w:rPr>
          <w:rFonts w:cs="Times New Roman"/>
          <w:sz w:val="20"/>
          <w:szCs w:val="20"/>
          <w:highlight w:val="yellow"/>
        </w:rPr>
        <w:t xml:space="preserve">, </w:t>
      </w:r>
      <w:r w:rsidRPr="005E7CC3">
        <w:rPr>
          <w:rFonts w:cs="Times New Roman"/>
          <w:i/>
          <w:iCs/>
          <w:sz w:val="20"/>
          <w:szCs w:val="20"/>
          <w:highlight w:val="yellow"/>
        </w:rPr>
        <w:t>76</w:t>
      </w:r>
      <w:r w:rsidRPr="005E7CC3">
        <w:rPr>
          <w:rFonts w:cs="Times New Roman"/>
          <w:sz w:val="20"/>
          <w:szCs w:val="20"/>
          <w:highlight w:val="yellow"/>
        </w:rPr>
        <w:t>(2), 263-276.</w:t>
      </w:r>
    </w:p>
    <w:p w14:paraId="54F3F2C3" w14:textId="05234608" w:rsidR="00866CEF" w:rsidRPr="00866CEF" w:rsidRDefault="00866CEF" w:rsidP="00866CEF">
      <w:pPr>
        <w:spacing w:line="300" w:lineRule="exact"/>
        <w:ind w:left="357" w:hanging="357"/>
        <w:rPr>
          <w:rFonts w:cs="Times New Roman"/>
          <w:sz w:val="20"/>
          <w:szCs w:val="20"/>
        </w:rPr>
      </w:pPr>
      <w:r w:rsidRPr="00866CEF">
        <w:rPr>
          <w:rFonts w:cs="Times New Roman"/>
          <w:sz w:val="20"/>
          <w:szCs w:val="20"/>
        </w:rPr>
        <w:t xml:space="preserve">Sutton Trust (2019). </w:t>
      </w:r>
      <w:r w:rsidRPr="00866CEF">
        <w:rPr>
          <w:rFonts w:cs="Times New Roman"/>
          <w:i/>
          <w:sz w:val="20"/>
          <w:szCs w:val="20"/>
        </w:rPr>
        <w:t>Elitist Britain</w:t>
      </w:r>
      <w:r w:rsidRPr="00866CEF">
        <w:rPr>
          <w:rFonts w:cs="Times New Roman"/>
          <w:sz w:val="20"/>
          <w:szCs w:val="20"/>
        </w:rPr>
        <w:t>. London: Sutton Trust.</w:t>
      </w:r>
    </w:p>
    <w:p w14:paraId="7A298F95" w14:textId="77777777" w:rsidR="00BF1EAF" w:rsidRDefault="00866CEF" w:rsidP="00BF1EAF">
      <w:pPr>
        <w:spacing w:line="300" w:lineRule="exact"/>
        <w:ind w:left="357" w:hanging="357"/>
        <w:rPr>
          <w:rFonts w:cs="Times New Roman"/>
          <w:sz w:val="20"/>
          <w:szCs w:val="20"/>
        </w:rPr>
      </w:pPr>
      <w:r w:rsidRPr="00866CEF">
        <w:rPr>
          <w:rFonts w:cs="Times New Roman"/>
          <w:sz w:val="20"/>
          <w:szCs w:val="20"/>
        </w:rPr>
        <w:t xml:space="preserve">Thurow, L. (1975). </w:t>
      </w:r>
      <w:r w:rsidRPr="00866CEF">
        <w:rPr>
          <w:rFonts w:cs="Times New Roman"/>
          <w:i/>
          <w:sz w:val="20"/>
          <w:szCs w:val="20"/>
        </w:rPr>
        <w:t>Generating inequality</w:t>
      </w:r>
      <w:r w:rsidRPr="00866CEF">
        <w:rPr>
          <w:rFonts w:cs="Times New Roman"/>
          <w:sz w:val="20"/>
          <w:szCs w:val="20"/>
        </w:rPr>
        <w:t>. New York: Basic Books.</w:t>
      </w:r>
    </w:p>
    <w:p w14:paraId="2DF433A1" w14:textId="0825C2B2" w:rsidR="00BF1EAF" w:rsidRPr="00BF1EAF" w:rsidRDefault="00BF1EAF" w:rsidP="00BF1EAF">
      <w:pPr>
        <w:spacing w:line="300" w:lineRule="exact"/>
        <w:ind w:left="357" w:hanging="357"/>
        <w:rPr>
          <w:rFonts w:cs="Times New Roman"/>
          <w:sz w:val="20"/>
          <w:szCs w:val="20"/>
          <w:highlight w:val="yellow"/>
        </w:rPr>
      </w:pPr>
      <w:r w:rsidRPr="00BF1EAF">
        <w:rPr>
          <w:rFonts w:cs="Times New Roman"/>
          <w:sz w:val="20"/>
          <w:szCs w:val="20"/>
          <w:highlight w:val="yellow"/>
        </w:rPr>
        <w:t>Tomlinson, M. Enders, J. &amp; Naidoo, R. (20</w:t>
      </w:r>
      <w:r>
        <w:rPr>
          <w:rFonts w:cs="Times New Roman"/>
          <w:sz w:val="20"/>
          <w:szCs w:val="20"/>
          <w:highlight w:val="yellow"/>
        </w:rPr>
        <w:t>20</w:t>
      </w:r>
      <w:r w:rsidRPr="00BF1EAF">
        <w:rPr>
          <w:rFonts w:cs="Times New Roman"/>
          <w:sz w:val="20"/>
          <w:szCs w:val="20"/>
          <w:highlight w:val="yellow"/>
        </w:rPr>
        <w:t xml:space="preserve">) The Teaching Excellence Framework: </w:t>
      </w:r>
    </w:p>
    <w:p w14:paraId="0E3F5031" w14:textId="27764A55" w:rsidR="00BF1EAF" w:rsidRPr="00866CEF" w:rsidRDefault="00BF1EAF" w:rsidP="00BF1EAF">
      <w:pPr>
        <w:spacing w:line="360" w:lineRule="auto"/>
        <w:ind w:left="720" w:firstLine="0"/>
        <w:jc w:val="both"/>
        <w:rPr>
          <w:rFonts w:cs="Times New Roman"/>
          <w:sz w:val="20"/>
          <w:szCs w:val="20"/>
        </w:rPr>
      </w:pPr>
      <w:r w:rsidRPr="00BF1EAF">
        <w:rPr>
          <w:rFonts w:cs="Times New Roman"/>
          <w:sz w:val="20"/>
          <w:szCs w:val="20"/>
          <w:highlight w:val="yellow"/>
        </w:rPr>
        <w:t xml:space="preserve">symbolic violence and the measured in UK Higher Education’, </w:t>
      </w:r>
      <w:r w:rsidRPr="00BF1EAF">
        <w:rPr>
          <w:rFonts w:cs="Times New Roman"/>
          <w:i/>
          <w:sz w:val="20"/>
          <w:szCs w:val="20"/>
          <w:highlight w:val="yellow"/>
        </w:rPr>
        <w:t>Critical Studies in Education</w:t>
      </w:r>
      <w:r w:rsidRPr="00BF1EAF">
        <w:rPr>
          <w:rFonts w:cs="Times New Roman"/>
          <w:sz w:val="20"/>
          <w:szCs w:val="20"/>
          <w:highlight w:val="yellow"/>
        </w:rPr>
        <w:t xml:space="preserve"> doi.org/10.1080/17508487.2018.1553793.</w:t>
      </w:r>
      <w:r w:rsidRPr="00BF1EAF">
        <w:rPr>
          <w:rFonts w:cs="Times New Roman"/>
          <w:sz w:val="20"/>
          <w:szCs w:val="20"/>
        </w:rPr>
        <w:t xml:space="preserve"> </w:t>
      </w:r>
    </w:p>
    <w:p w14:paraId="6BF00C5C" w14:textId="77777777" w:rsidR="00BF1EAF" w:rsidRDefault="00866CEF" w:rsidP="00BF1EAF">
      <w:pPr>
        <w:spacing w:line="300" w:lineRule="exact"/>
        <w:ind w:left="357" w:hanging="357"/>
        <w:rPr>
          <w:rFonts w:cs="Times New Roman"/>
          <w:sz w:val="20"/>
          <w:szCs w:val="20"/>
        </w:rPr>
      </w:pPr>
      <w:r w:rsidRPr="00866CEF">
        <w:rPr>
          <w:rFonts w:cs="Times New Roman"/>
          <w:sz w:val="20"/>
          <w:szCs w:val="20"/>
        </w:rPr>
        <w:t>Walker, M. &amp; Fongwa, S</w:t>
      </w:r>
      <w:r w:rsidRPr="00B201D4">
        <w:rPr>
          <w:rFonts w:cs="Times New Roman"/>
          <w:sz w:val="20"/>
          <w:szCs w:val="20"/>
        </w:rPr>
        <w:t>. (2017)</w:t>
      </w:r>
      <w:r>
        <w:rPr>
          <w:rFonts w:cs="Times New Roman"/>
          <w:sz w:val="20"/>
          <w:szCs w:val="20"/>
        </w:rPr>
        <w:t>.</w:t>
      </w:r>
      <w:r w:rsidRPr="00B201D4">
        <w:rPr>
          <w:rFonts w:cs="Times New Roman"/>
          <w:sz w:val="20"/>
          <w:szCs w:val="20"/>
        </w:rPr>
        <w:t xml:space="preserve"> </w:t>
      </w:r>
      <w:r w:rsidRPr="00B201D4">
        <w:rPr>
          <w:rFonts w:cs="Times New Roman"/>
          <w:i/>
          <w:sz w:val="20"/>
          <w:szCs w:val="20"/>
        </w:rPr>
        <w:t>Universities, employability and human development</w:t>
      </w:r>
      <w:r>
        <w:rPr>
          <w:rFonts w:cs="Times New Roman"/>
          <w:i/>
          <w:sz w:val="20"/>
          <w:szCs w:val="20"/>
        </w:rPr>
        <w:t xml:space="preserve">. </w:t>
      </w:r>
      <w:r w:rsidRPr="00B201D4">
        <w:rPr>
          <w:rFonts w:cs="Times New Roman"/>
          <w:sz w:val="20"/>
          <w:szCs w:val="20"/>
        </w:rPr>
        <w:t>Basingstoke: Palgrave MacMillan.</w:t>
      </w:r>
    </w:p>
    <w:p w14:paraId="11EE9279" w14:textId="56090B1D" w:rsidR="00BF1EAF" w:rsidRPr="00BF1EAF" w:rsidRDefault="00BF1EAF" w:rsidP="00BF1EAF">
      <w:pPr>
        <w:spacing w:line="300" w:lineRule="exact"/>
        <w:ind w:left="357" w:hanging="357"/>
        <w:rPr>
          <w:rFonts w:cs="Times New Roman"/>
          <w:sz w:val="20"/>
          <w:szCs w:val="20"/>
        </w:rPr>
      </w:pPr>
      <w:r w:rsidRPr="00BF1EAF">
        <w:rPr>
          <w:rFonts w:cs="Times New Roman"/>
          <w:sz w:val="20"/>
          <w:szCs w:val="20"/>
        </w:rPr>
        <w:t xml:space="preserve">Watermeyer, R &amp; Tomlinson, M. (2018) The Marketization of Pedagogy and the problem of ‘Competitive Accountability’’ in E. Medland </w:t>
      </w:r>
      <w:r w:rsidRPr="00BF1EAF">
        <w:rPr>
          <w:rFonts w:cs="Times New Roman"/>
          <w:i/>
          <w:sz w:val="20"/>
          <w:szCs w:val="20"/>
        </w:rPr>
        <w:t>et al.,</w:t>
      </w:r>
      <w:r w:rsidRPr="00BF1EAF">
        <w:rPr>
          <w:rFonts w:cs="Times New Roman"/>
          <w:sz w:val="20"/>
          <w:szCs w:val="20"/>
        </w:rPr>
        <w:t xml:space="preserve"> (Eds) </w:t>
      </w:r>
      <w:r w:rsidRPr="00BF1EAF">
        <w:rPr>
          <w:rFonts w:cs="Times New Roman"/>
          <w:i/>
          <w:sz w:val="20"/>
          <w:szCs w:val="20"/>
        </w:rPr>
        <w:t>Pedagogical  Peculiarities: conversations at the edge of university teaching and learning</w:t>
      </w:r>
      <w:r w:rsidRPr="00BF1EAF">
        <w:rPr>
          <w:rFonts w:cs="Times New Roman"/>
          <w:sz w:val="20"/>
          <w:szCs w:val="20"/>
        </w:rPr>
        <w:t xml:space="preserve">, </w:t>
      </w:r>
      <w:r w:rsidRPr="00BF1EAF">
        <w:rPr>
          <w:rFonts w:cs="Times New Roman"/>
          <w:sz w:val="20"/>
          <w:szCs w:val="20"/>
        </w:rPr>
        <w:tab/>
        <w:t>Rotterdam: Sense Publishers</w:t>
      </w:r>
    </w:p>
    <w:p w14:paraId="0875EB6D" w14:textId="06C7D509" w:rsidR="00BF1EAF" w:rsidRDefault="00BF1EAF" w:rsidP="00BF1EAF">
      <w:pPr>
        <w:spacing w:after="120" w:line="360" w:lineRule="auto"/>
        <w:ind w:firstLine="0"/>
        <w:jc w:val="both"/>
        <w:rPr>
          <w:rFonts w:cs="Times New Roman"/>
          <w:sz w:val="20"/>
          <w:szCs w:val="20"/>
        </w:rPr>
      </w:pPr>
      <w:r w:rsidRPr="00BF1EAF">
        <w:rPr>
          <w:rFonts w:cs="Times New Roman"/>
          <w:sz w:val="20"/>
          <w:szCs w:val="20"/>
        </w:rPr>
        <w:t xml:space="preserve">Watermeyer, R. (2019) </w:t>
      </w:r>
      <w:r w:rsidRPr="00BF1EAF">
        <w:rPr>
          <w:rFonts w:cs="Times New Roman"/>
          <w:i/>
          <w:sz w:val="20"/>
          <w:szCs w:val="20"/>
        </w:rPr>
        <w:t xml:space="preserve">Competitive accountability in academic life: The struggle for social </w:t>
      </w:r>
      <w:r w:rsidRPr="00BF1EAF">
        <w:rPr>
          <w:rFonts w:cs="Times New Roman"/>
          <w:i/>
          <w:sz w:val="20"/>
          <w:szCs w:val="20"/>
        </w:rPr>
        <w:tab/>
        <w:t>impact and public legitimacy</w:t>
      </w:r>
      <w:r w:rsidRPr="00BF1EAF">
        <w:rPr>
          <w:rFonts w:cs="Times New Roman"/>
          <w:sz w:val="20"/>
          <w:szCs w:val="20"/>
        </w:rPr>
        <w:t xml:space="preserve">. Cheltenham: Edward Elgar. </w:t>
      </w:r>
    </w:p>
    <w:p w14:paraId="4ABD2F5C" w14:textId="14FC8180" w:rsidR="00EF361D" w:rsidRPr="00EF361D" w:rsidRDefault="00EF361D" w:rsidP="00EF361D">
      <w:pPr>
        <w:spacing w:after="160"/>
        <w:ind w:firstLine="0"/>
        <w:rPr>
          <w:rFonts w:cs="Times New Roman"/>
          <w:sz w:val="20"/>
          <w:szCs w:val="20"/>
        </w:rPr>
      </w:pPr>
      <w:r w:rsidRPr="00EF361D">
        <w:rPr>
          <w:rFonts w:cs="Times New Roman"/>
          <w:sz w:val="20"/>
          <w:szCs w:val="20"/>
        </w:rPr>
        <w:t xml:space="preserve">Watermeyer, R., Crick, T., Knight, C., and Goodall, J. (2020) COVID-19 and digital disruption in UK universities: afflictions and affordances of emergency online migration. </w:t>
      </w:r>
      <w:r w:rsidRPr="00EF361D">
        <w:rPr>
          <w:rFonts w:cs="Times New Roman"/>
          <w:i/>
          <w:sz w:val="20"/>
          <w:szCs w:val="20"/>
        </w:rPr>
        <w:t>Higher Education</w:t>
      </w:r>
      <w:r w:rsidRPr="00EF361D">
        <w:rPr>
          <w:rFonts w:cs="Times New Roman"/>
          <w:sz w:val="20"/>
          <w:szCs w:val="20"/>
        </w:rPr>
        <w:t xml:space="preserve"> doi: 10.1007/s10734-020-00561</w:t>
      </w:r>
    </w:p>
    <w:p w14:paraId="4C814C77" w14:textId="77777777" w:rsidR="00D17F82" w:rsidRDefault="00D17F82" w:rsidP="00BF1EAF">
      <w:pPr>
        <w:spacing w:after="120" w:line="360" w:lineRule="auto"/>
        <w:ind w:firstLine="0"/>
        <w:jc w:val="both"/>
        <w:rPr>
          <w:rFonts w:cs="Times New Roman"/>
          <w:b/>
          <w:sz w:val="20"/>
          <w:szCs w:val="20"/>
        </w:rPr>
      </w:pPr>
    </w:p>
    <w:p w14:paraId="3B446AAC" w14:textId="37AB9509" w:rsidR="00EF361D" w:rsidRPr="00D17F82" w:rsidRDefault="00D17F82" w:rsidP="00BF1EAF">
      <w:pPr>
        <w:spacing w:after="120" w:line="360" w:lineRule="auto"/>
        <w:ind w:firstLine="0"/>
        <w:jc w:val="both"/>
        <w:rPr>
          <w:rFonts w:cs="Times New Roman"/>
          <w:b/>
          <w:szCs w:val="24"/>
        </w:rPr>
      </w:pPr>
      <w:r w:rsidRPr="00D17F82">
        <w:rPr>
          <w:rFonts w:cs="Times New Roman"/>
          <w:b/>
          <w:szCs w:val="24"/>
        </w:rPr>
        <w:t>Acknowledgments</w:t>
      </w:r>
    </w:p>
    <w:p w14:paraId="3A5921FD" w14:textId="51A5DF9A" w:rsidR="00D17F82" w:rsidRPr="00D17F82" w:rsidRDefault="00D17F82" w:rsidP="00BF1EAF">
      <w:pPr>
        <w:spacing w:after="120" w:line="360" w:lineRule="auto"/>
        <w:ind w:firstLine="0"/>
        <w:jc w:val="both"/>
        <w:rPr>
          <w:rFonts w:cs="Times New Roman"/>
          <w:szCs w:val="24"/>
        </w:rPr>
      </w:pPr>
      <w:r w:rsidRPr="00D17F82">
        <w:rPr>
          <w:rFonts w:cs="Times New Roman"/>
          <w:szCs w:val="24"/>
        </w:rPr>
        <w:t>The authors would li</w:t>
      </w:r>
      <w:r w:rsidR="00CF7FFA">
        <w:rPr>
          <w:rFonts w:cs="Times New Roman"/>
          <w:szCs w:val="24"/>
        </w:rPr>
        <w:t>ke to thank Hugh Lauder for providing valuable feedback</w:t>
      </w:r>
      <w:r>
        <w:rPr>
          <w:rFonts w:cs="Times New Roman"/>
          <w:szCs w:val="24"/>
        </w:rPr>
        <w:t xml:space="preserve"> on an earlier draft and </w:t>
      </w:r>
      <w:r w:rsidRPr="00D17F82">
        <w:rPr>
          <w:rFonts w:cs="Times New Roman"/>
          <w:szCs w:val="24"/>
        </w:rPr>
        <w:t xml:space="preserve">the two anonymous </w:t>
      </w:r>
      <w:r>
        <w:rPr>
          <w:rFonts w:cs="Times New Roman"/>
          <w:szCs w:val="24"/>
        </w:rPr>
        <w:t>reviewer</w:t>
      </w:r>
      <w:r w:rsidR="00CF7FFA">
        <w:rPr>
          <w:rFonts w:cs="Times New Roman"/>
          <w:szCs w:val="24"/>
        </w:rPr>
        <w:t>s</w:t>
      </w:r>
      <w:r w:rsidRPr="00D17F82">
        <w:rPr>
          <w:rFonts w:cs="Times New Roman"/>
          <w:szCs w:val="24"/>
        </w:rPr>
        <w:t xml:space="preserve"> for their helpful and constructive</w:t>
      </w:r>
      <w:r w:rsidR="00CF7FFA">
        <w:rPr>
          <w:rFonts w:cs="Times New Roman"/>
          <w:szCs w:val="24"/>
        </w:rPr>
        <w:t xml:space="preserve"> comments</w:t>
      </w:r>
      <w:r w:rsidRPr="00D17F82">
        <w:rPr>
          <w:rFonts w:cs="Times New Roman"/>
          <w:szCs w:val="24"/>
        </w:rPr>
        <w:t>.</w:t>
      </w:r>
    </w:p>
    <w:p w14:paraId="43E3839F" w14:textId="77777777" w:rsidR="00E03C0C" w:rsidRPr="00E03C0C" w:rsidRDefault="00E03C0C" w:rsidP="00E03C0C">
      <w:pPr>
        <w:spacing w:line="300" w:lineRule="exact"/>
        <w:ind w:left="357" w:hanging="357"/>
        <w:rPr>
          <w:rFonts w:cs="Times New Roman"/>
          <w:sz w:val="20"/>
          <w:szCs w:val="20"/>
        </w:rPr>
      </w:pPr>
    </w:p>
    <w:p w14:paraId="76EFFE7A" w14:textId="77777777" w:rsidR="00132D18" w:rsidRPr="00B201D4" w:rsidRDefault="00132D18" w:rsidP="00B201D4">
      <w:pPr>
        <w:spacing w:line="300" w:lineRule="exact"/>
        <w:ind w:left="357" w:hanging="357"/>
        <w:rPr>
          <w:rFonts w:cs="Times New Roman"/>
          <w:sz w:val="20"/>
          <w:szCs w:val="20"/>
        </w:rPr>
      </w:pPr>
    </w:p>
    <w:sectPr w:rsidR="00132D18" w:rsidRPr="00B201D4" w:rsidSect="00D82F96">
      <w:footerReference w:type="even" r:id="rId9"/>
      <w:footerReference w:type="default" r:id="rId1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CA61A" w14:textId="77777777" w:rsidR="00E20F2A" w:rsidRDefault="00E20F2A" w:rsidP="00CA2867">
      <w:r>
        <w:separator/>
      </w:r>
    </w:p>
  </w:endnote>
  <w:endnote w:type="continuationSeparator" w:id="0">
    <w:p w14:paraId="6ED7645F" w14:textId="77777777" w:rsidR="00E20F2A" w:rsidRDefault="00E20F2A" w:rsidP="00CA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dvTTa9c1b374+20">
    <w:altName w:val="MS Gothic"/>
    <w:panose1 w:val="00000000000000000000"/>
    <w:charset w:val="80"/>
    <w:family w:val="auto"/>
    <w:notTrueType/>
    <w:pitch w:val="default"/>
    <w:sig w:usb0="00000000"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4AD07" w14:textId="77777777" w:rsidR="00E20F2A" w:rsidRDefault="00E20F2A" w:rsidP="00B542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77BC9" w14:textId="77777777" w:rsidR="00E20F2A" w:rsidRDefault="00E20F2A" w:rsidP="00B542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ECBAC" w14:textId="1E567E77" w:rsidR="00E20F2A" w:rsidRDefault="00E20F2A" w:rsidP="00B542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7328">
      <w:rPr>
        <w:rStyle w:val="PageNumber"/>
        <w:noProof/>
      </w:rPr>
      <w:t>6</w:t>
    </w:r>
    <w:r>
      <w:rPr>
        <w:rStyle w:val="PageNumber"/>
      </w:rPr>
      <w:fldChar w:fldCharType="end"/>
    </w:r>
  </w:p>
  <w:p w14:paraId="634B7E5A" w14:textId="6ADBF1C5" w:rsidR="00E20F2A" w:rsidRDefault="00E20F2A" w:rsidP="00B54292">
    <w:pPr>
      <w:pStyle w:val="Footer"/>
      <w:ind w:right="360"/>
      <w:jc w:val="center"/>
    </w:pPr>
  </w:p>
  <w:p w14:paraId="68D2FEED" w14:textId="77777777" w:rsidR="00E20F2A" w:rsidRDefault="00E20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A1652" w14:textId="77777777" w:rsidR="00E20F2A" w:rsidRDefault="00E20F2A" w:rsidP="00CA2867">
      <w:r>
        <w:separator/>
      </w:r>
    </w:p>
  </w:footnote>
  <w:footnote w:type="continuationSeparator" w:id="0">
    <w:p w14:paraId="58F3CF35" w14:textId="77777777" w:rsidR="00E20F2A" w:rsidRDefault="00E20F2A" w:rsidP="00CA2867">
      <w:r>
        <w:continuationSeparator/>
      </w:r>
    </w:p>
  </w:footnote>
  <w:footnote w:id="1">
    <w:p w14:paraId="47782E46" w14:textId="77777777" w:rsidR="00E20F2A" w:rsidRPr="00D82F96" w:rsidRDefault="00E20F2A" w:rsidP="00B94026">
      <w:pPr>
        <w:spacing w:line="360" w:lineRule="auto"/>
        <w:ind w:firstLine="0"/>
        <w:jc w:val="both"/>
        <w:rPr>
          <w:rFonts w:cs="Times New Roman"/>
          <w:b/>
          <w:bCs/>
          <w:szCs w:val="24"/>
        </w:rPr>
      </w:pPr>
      <w:r w:rsidRPr="00327A41">
        <w:rPr>
          <w:rStyle w:val="FootnoteReference"/>
        </w:rPr>
        <w:sym w:font="Symbol" w:char="F02A"/>
      </w:r>
      <w:r>
        <w:rPr>
          <w:rStyle w:val="FootnoteReference"/>
        </w:rPr>
        <w:t xml:space="preserve"> </w:t>
      </w:r>
      <w:r w:rsidRPr="00B94026">
        <w:rPr>
          <w:rStyle w:val="FootnoteReference"/>
          <w:sz w:val="20"/>
          <w:szCs w:val="20"/>
          <w:vertAlign w:val="baseline"/>
        </w:rPr>
        <w:t xml:space="preserve">Corresponding author: </w:t>
      </w:r>
      <w:r w:rsidRPr="00B94026">
        <w:rPr>
          <w:rFonts w:cs="Times New Roman"/>
          <w:bCs/>
          <w:sz w:val="20"/>
          <w:szCs w:val="20"/>
        </w:rPr>
        <w:t>M.B.Tomlinson@soton.ac.uk</w:t>
      </w:r>
    </w:p>
    <w:p w14:paraId="1E8470F7" w14:textId="32AD8FF3" w:rsidR="00E20F2A" w:rsidRPr="00327A41" w:rsidRDefault="00E20F2A" w:rsidP="00327A41">
      <w:pPr>
        <w:pStyle w:val="FootnoteText"/>
        <w:ind w:firstLine="0"/>
        <w:rPr>
          <w:lang w:val="en-US"/>
        </w:rPr>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054B"/>
    <w:multiLevelType w:val="hybridMultilevel"/>
    <w:tmpl w:val="16EE2734"/>
    <w:lvl w:ilvl="0" w:tplc="7542C29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A0531E"/>
    <w:multiLevelType w:val="hybridMultilevel"/>
    <w:tmpl w:val="CCA8FCF8"/>
    <w:lvl w:ilvl="0" w:tplc="BBBC9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ECD"/>
    <w:rsid w:val="00001866"/>
    <w:rsid w:val="00002297"/>
    <w:rsid w:val="000148C1"/>
    <w:rsid w:val="00015AA6"/>
    <w:rsid w:val="00020F03"/>
    <w:rsid w:val="00024001"/>
    <w:rsid w:val="000242EE"/>
    <w:rsid w:val="00032281"/>
    <w:rsid w:val="00035FF6"/>
    <w:rsid w:val="00042D88"/>
    <w:rsid w:val="00045EF1"/>
    <w:rsid w:val="00056BC9"/>
    <w:rsid w:val="000619FA"/>
    <w:rsid w:val="00061C73"/>
    <w:rsid w:val="00065237"/>
    <w:rsid w:val="00076295"/>
    <w:rsid w:val="0007695C"/>
    <w:rsid w:val="00084684"/>
    <w:rsid w:val="0009144E"/>
    <w:rsid w:val="00092292"/>
    <w:rsid w:val="000946F1"/>
    <w:rsid w:val="0009644B"/>
    <w:rsid w:val="00097978"/>
    <w:rsid w:val="000A0023"/>
    <w:rsid w:val="000A39F9"/>
    <w:rsid w:val="000A4FCE"/>
    <w:rsid w:val="000A6E77"/>
    <w:rsid w:val="000A7D25"/>
    <w:rsid w:val="000B1EC9"/>
    <w:rsid w:val="000B4289"/>
    <w:rsid w:val="000B70D5"/>
    <w:rsid w:val="000C28FE"/>
    <w:rsid w:val="000C5729"/>
    <w:rsid w:val="000D1CB9"/>
    <w:rsid w:val="000D23EC"/>
    <w:rsid w:val="000D3F5B"/>
    <w:rsid w:val="000D475B"/>
    <w:rsid w:val="000E0149"/>
    <w:rsid w:val="000E30AF"/>
    <w:rsid w:val="000F0746"/>
    <w:rsid w:val="000F1628"/>
    <w:rsid w:val="000F4BDF"/>
    <w:rsid w:val="000F531B"/>
    <w:rsid w:val="0010153B"/>
    <w:rsid w:val="00101A45"/>
    <w:rsid w:val="001053A7"/>
    <w:rsid w:val="00110BAA"/>
    <w:rsid w:val="0011247E"/>
    <w:rsid w:val="0011273A"/>
    <w:rsid w:val="001129B9"/>
    <w:rsid w:val="00114CC5"/>
    <w:rsid w:val="00114E34"/>
    <w:rsid w:val="00125E57"/>
    <w:rsid w:val="00127A82"/>
    <w:rsid w:val="00130360"/>
    <w:rsid w:val="00130C4A"/>
    <w:rsid w:val="00130CE3"/>
    <w:rsid w:val="00132D18"/>
    <w:rsid w:val="001359A9"/>
    <w:rsid w:val="001370A2"/>
    <w:rsid w:val="00146786"/>
    <w:rsid w:val="001549B9"/>
    <w:rsid w:val="001549D3"/>
    <w:rsid w:val="00157CDF"/>
    <w:rsid w:val="0016037A"/>
    <w:rsid w:val="001624F2"/>
    <w:rsid w:val="001630C1"/>
    <w:rsid w:val="00164626"/>
    <w:rsid w:val="00164869"/>
    <w:rsid w:val="00164A48"/>
    <w:rsid w:val="00164E49"/>
    <w:rsid w:val="001661AA"/>
    <w:rsid w:val="001760D7"/>
    <w:rsid w:val="00176E32"/>
    <w:rsid w:val="00176F6C"/>
    <w:rsid w:val="00180655"/>
    <w:rsid w:val="00182499"/>
    <w:rsid w:val="00183777"/>
    <w:rsid w:val="001837D0"/>
    <w:rsid w:val="001A01EC"/>
    <w:rsid w:val="001A1B52"/>
    <w:rsid w:val="001B0159"/>
    <w:rsid w:val="001B3344"/>
    <w:rsid w:val="001B5306"/>
    <w:rsid w:val="001C0279"/>
    <w:rsid w:val="001C1BBC"/>
    <w:rsid w:val="001C2BF4"/>
    <w:rsid w:val="001C572E"/>
    <w:rsid w:val="001C6CDA"/>
    <w:rsid w:val="001C75BC"/>
    <w:rsid w:val="001D041E"/>
    <w:rsid w:val="001D1CF9"/>
    <w:rsid w:val="001D210D"/>
    <w:rsid w:val="001F063F"/>
    <w:rsid w:val="001F4D7A"/>
    <w:rsid w:val="001F5639"/>
    <w:rsid w:val="002039C5"/>
    <w:rsid w:val="002109A4"/>
    <w:rsid w:val="00210C43"/>
    <w:rsid w:val="0021377A"/>
    <w:rsid w:val="00214100"/>
    <w:rsid w:val="002151A6"/>
    <w:rsid w:val="002165B4"/>
    <w:rsid w:val="00217FD3"/>
    <w:rsid w:val="002216CA"/>
    <w:rsid w:val="00221B79"/>
    <w:rsid w:val="00221D83"/>
    <w:rsid w:val="0022268A"/>
    <w:rsid w:val="002354CC"/>
    <w:rsid w:val="0024099F"/>
    <w:rsid w:val="0024537F"/>
    <w:rsid w:val="00251802"/>
    <w:rsid w:val="00257666"/>
    <w:rsid w:val="00261E2D"/>
    <w:rsid w:val="00273672"/>
    <w:rsid w:val="00275BF7"/>
    <w:rsid w:val="00276120"/>
    <w:rsid w:val="00280DF9"/>
    <w:rsid w:val="002811D1"/>
    <w:rsid w:val="00282A2D"/>
    <w:rsid w:val="00282A2F"/>
    <w:rsid w:val="0028641D"/>
    <w:rsid w:val="002A0162"/>
    <w:rsid w:val="002A4B63"/>
    <w:rsid w:val="002B2DD1"/>
    <w:rsid w:val="002B392E"/>
    <w:rsid w:val="002C40FE"/>
    <w:rsid w:val="002C53EF"/>
    <w:rsid w:val="002D2899"/>
    <w:rsid w:val="002D3E69"/>
    <w:rsid w:val="002D56C3"/>
    <w:rsid w:val="002D68AF"/>
    <w:rsid w:val="002E124E"/>
    <w:rsid w:val="002E29FF"/>
    <w:rsid w:val="002E2FC6"/>
    <w:rsid w:val="002E334A"/>
    <w:rsid w:val="002E38F6"/>
    <w:rsid w:val="002E531A"/>
    <w:rsid w:val="002E6156"/>
    <w:rsid w:val="002E640D"/>
    <w:rsid w:val="002F149A"/>
    <w:rsid w:val="002F16A8"/>
    <w:rsid w:val="002F48AF"/>
    <w:rsid w:val="002F7826"/>
    <w:rsid w:val="002F7FD8"/>
    <w:rsid w:val="0030050B"/>
    <w:rsid w:val="00300E98"/>
    <w:rsid w:val="00303424"/>
    <w:rsid w:val="0030631E"/>
    <w:rsid w:val="00306794"/>
    <w:rsid w:val="00311891"/>
    <w:rsid w:val="00312B0D"/>
    <w:rsid w:val="0031630E"/>
    <w:rsid w:val="00317CC3"/>
    <w:rsid w:val="0032039A"/>
    <w:rsid w:val="003239E5"/>
    <w:rsid w:val="00325A98"/>
    <w:rsid w:val="00327A41"/>
    <w:rsid w:val="00335A19"/>
    <w:rsid w:val="00341238"/>
    <w:rsid w:val="00342714"/>
    <w:rsid w:val="0034316C"/>
    <w:rsid w:val="003474DC"/>
    <w:rsid w:val="003523FD"/>
    <w:rsid w:val="00353948"/>
    <w:rsid w:val="0035693F"/>
    <w:rsid w:val="003579D3"/>
    <w:rsid w:val="003644DA"/>
    <w:rsid w:val="00365831"/>
    <w:rsid w:val="00372E2E"/>
    <w:rsid w:val="00372ED7"/>
    <w:rsid w:val="0037435F"/>
    <w:rsid w:val="00374E24"/>
    <w:rsid w:val="00374F54"/>
    <w:rsid w:val="00376D0A"/>
    <w:rsid w:val="00377476"/>
    <w:rsid w:val="00377BED"/>
    <w:rsid w:val="00380529"/>
    <w:rsid w:val="0038377B"/>
    <w:rsid w:val="00383FD0"/>
    <w:rsid w:val="00397DD5"/>
    <w:rsid w:val="003A3E82"/>
    <w:rsid w:val="003A488C"/>
    <w:rsid w:val="003A683F"/>
    <w:rsid w:val="003A76E3"/>
    <w:rsid w:val="003B076B"/>
    <w:rsid w:val="003B3BED"/>
    <w:rsid w:val="003B3E68"/>
    <w:rsid w:val="003B4C17"/>
    <w:rsid w:val="003B6ECE"/>
    <w:rsid w:val="003C07FF"/>
    <w:rsid w:val="003C300F"/>
    <w:rsid w:val="003C455A"/>
    <w:rsid w:val="003C5370"/>
    <w:rsid w:val="003C6876"/>
    <w:rsid w:val="003C6F26"/>
    <w:rsid w:val="003D1908"/>
    <w:rsid w:val="003D3943"/>
    <w:rsid w:val="003D45E5"/>
    <w:rsid w:val="003D7596"/>
    <w:rsid w:val="003E7B03"/>
    <w:rsid w:val="003F128C"/>
    <w:rsid w:val="003F1614"/>
    <w:rsid w:val="003F70C5"/>
    <w:rsid w:val="003F77F2"/>
    <w:rsid w:val="003F7DBB"/>
    <w:rsid w:val="00403051"/>
    <w:rsid w:val="00403DEA"/>
    <w:rsid w:val="004048A2"/>
    <w:rsid w:val="00407424"/>
    <w:rsid w:val="00410F6E"/>
    <w:rsid w:val="00416A9B"/>
    <w:rsid w:val="00416D1D"/>
    <w:rsid w:val="004206D8"/>
    <w:rsid w:val="00421087"/>
    <w:rsid w:val="004234EB"/>
    <w:rsid w:val="004239BF"/>
    <w:rsid w:val="00423A32"/>
    <w:rsid w:val="0043431D"/>
    <w:rsid w:val="004367B9"/>
    <w:rsid w:val="004415B8"/>
    <w:rsid w:val="00442DD0"/>
    <w:rsid w:val="00445F1B"/>
    <w:rsid w:val="004468BF"/>
    <w:rsid w:val="00446B2F"/>
    <w:rsid w:val="0045338C"/>
    <w:rsid w:val="004556A9"/>
    <w:rsid w:val="00456B1C"/>
    <w:rsid w:val="0045709A"/>
    <w:rsid w:val="004635C1"/>
    <w:rsid w:val="004649D7"/>
    <w:rsid w:val="00465BA3"/>
    <w:rsid w:val="00470984"/>
    <w:rsid w:val="00470C68"/>
    <w:rsid w:val="00471AB6"/>
    <w:rsid w:val="00472AF8"/>
    <w:rsid w:val="0047544F"/>
    <w:rsid w:val="00480C38"/>
    <w:rsid w:val="00484D04"/>
    <w:rsid w:val="0049712C"/>
    <w:rsid w:val="004A1502"/>
    <w:rsid w:val="004A59B5"/>
    <w:rsid w:val="004A6169"/>
    <w:rsid w:val="004A7C46"/>
    <w:rsid w:val="004B1170"/>
    <w:rsid w:val="004B5174"/>
    <w:rsid w:val="004B5847"/>
    <w:rsid w:val="004B6D69"/>
    <w:rsid w:val="004B7107"/>
    <w:rsid w:val="004C1051"/>
    <w:rsid w:val="004C10F0"/>
    <w:rsid w:val="004C4FC1"/>
    <w:rsid w:val="004C642F"/>
    <w:rsid w:val="004D34A0"/>
    <w:rsid w:val="004D733E"/>
    <w:rsid w:val="004D75C5"/>
    <w:rsid w:val="004E3FA2"/>
    <w:rsid w:val="004E4060"/>
    <w:rsid w:val="0050186A"/>
    <w:rsid w:val="00504789"/>
    <w:rsid w:val="00507981"/>
    <w:rsid w:val="00507A8A"/>
    <w:rsid w:val="0051126F"/>
    <w:rsid w:val="0051794C"/>
    <w:rsid w:val="00517F84"/>
    <w:rsid w:val="00522FCE"/>
    <w:rsid w:val="0052481B"/>
    <w:rsid w:val="0052602F"/>
    <w:rsid w:val="00530347"/>
    <w:rsid w:val="00540BF5"/>
    <w:rsid w:val="00543239"/>
    <w:rsid w:val="00543FAC"/>
    <w:rsid w:val="00554E50"/>
    <w:rsid w:val="00560B69"/>
    <w:rsid w:val="00563ED1"/>
    <w:rsid w:val="00564C58"/>
    <w:rsid w:val="005745CC"/>
    <w:rsid w:val="00582C68"/>
    <w:rsid w:val="005842B3"/>
    <w:rsid w:val="00595E00"/>
    <w:rsid w:val="00597BBD"/>
    <w:rsid w:val="005A13E7"/>
    <w:rsid w:val="005B291D"/>
    <w:rsid w:val="005B5AC8"/>
    <w:rsid w:val="005B62CF"/>
    <w:rsid w:val="005C5EC1"/>
    <w:rsid w:val="005D003D"/>
    <w:rsid w:val="005D2B2E"/>
    <w:rsid w:val="005E05D5"/>
    <w:rsid w:val="005E072F"/>
    <w:rsid w:val="005E1FE6"/>
    <w:rsid w:val="005E4322"/>
    <w:rsid w:val="005E539E"/>
    <w:rsid w:val="005E7CC3"/>
    <w:rsid w:val="005F0F93"/>
    <w:rsid w:val="005F2564"/>
    <w:rsid w:val="005F2799"/>
    <w:rsid w:val="005F5A10"/>
    <w:rsid w:val="005F6558"/>
    <w:rsid w:val="006003B9"/>
    <w:rsid w:val="006022D0"/>
    <w:rsid w:val="006047D1"/>
    <w:rsid w:val="00605086"/>
    <w:rsid w:val="006127D2"/>
    <w:rsid w:val="00612B82"/>
    <w:rsid w:val="00616846"/>
    <w:rsid w:val="00616A07"/>
    <w:rsid w:val="0061758F"/>
    <w:rsid w:val="006176F1"/>
    <w:rsid w:val="00620A26"/>
    <w:rsid w:val="00620D9A"/>
    <w:rsid w:val="00620F52"/>
    <w:rsid w:val="006216A9"/>
    <w:rsid w:val="00622260"/>
    <w:rsid w:val="00634D10"/>
    <w:rsid w:val="006379B2"/>
    <w:rsid w:val="00640F3E"/>
    <w:rsid w:val="00644748"/>
    <w:rsid w:val="00645E66"/>
    <w:rsid w:val="00655789"/>
    <w:rsid w:val="00656E27"/>
    <w:rsid w:val="0066001C"/>
    <w:rsid w:val="006610F0"/>
    <w:rsid w:val="006635CA"/>
    <w:rsid w:val="00663964"/>
    <w:rsid w:val="0066404A"/>
    <w:rsid w:val="0066619B"/>
    <w:rsid w:val="0067181F"/>
    <w:rsid w:val="0067770C"/>
    <w:rsid w:val="00677B69"/>
    <w:rsid w:val="0068263C"/>
    <w:rsid w:val="0068545C"/>
    <w:rsid w:val="00687403"/>
    <w:rsid w:val="00696B1D"/>
    <w:rsid w:val="006A01AF"/>
    <w:rsid w:val="006A302C"/>
    <w:rsid w:val="006A4A58"/>
    <w:rsid w:val="006B1A0E"/>
    <w:rsid w:val="006B72A9"/>
    <w:rsid w:val="006C0FCA"/>
    <w:rsid w:val="006D32B3"/>
    <w:rsid w:val="006D4137"/>
    <w:rsid w:val="006E07E8"/>
    <w:rsid w:val="006E0C3F"/>
    <w:rsid w:val="006E632B"/>
    <w:rsid w:val="006F2975"/>
    <w:rsid w:val="006F5F19"/>
    <w:rsid w:val="007055AE"/>
    <w:rsid w:val="007075DD"/>
    <w:rsid w:val="007101FC"/>
    <w:rsid w:val="0071160E"/>
    <w:rsid w:val="00711C61"/>
    <w:rsid w:val="00712EB1"/>
    <w:rsid w:val="00712EC3"/>
    <w:rsid w:val="00714EFB"/>
    <w:rsid w:val="0071781C"/>
    <w:rsid w:val="0072048F"/>
    <w:rsid w:val="00727D8D"/>
    <w:rsid w:val="00733C91"/>
    <w:rsid w:val="00734E86"/>
    <w:rsid w:val="0073692C"/>
    <w:rsid w:val="00736D25"/>
    <w:rsid w:val="007402DF"/>
    <w:rsid w:val="007461CA"/>
    <w:rsid w:val="007462E1"/>
    <w:rsid w:val="00750425"/>
    <w:rsid w:val="00754D03"/>
    <w:rsid w:val="00754F0E"/>
    <w:rsid w:val="007569FE"/>
    <w:rsid w:val="00763F56"/>
    <w:rsid w:val="0076767F"/>
    <w:rsid w:val="00772DF0"/>
    <w:rsid w:val="00774C4C"/>
    <w:rsid w:val="007809EA"/>
    <w:rsid w:val="007869F2"/>
    <w:rsid w:val="00793424"/>
    <w:rsid w:val="00796D4C"/>
    <w:rsid w:val="00797ADC"/>
    <w:rsid w:val="007A0261"/>
    <w:rsid w:val="007A26AA"/>
    <w:rsid w:val="007A3A90"/>
    <w:rsid w:val="007A4EF5"/>
    <w:rsid w:val="007A7E57"/>
    <w:rsid w:val="007D0E51"/>
    <w:rsid w:val="007D0F4E"/>
    <w:rsid w:val="007D38FB"/>
    <w:rsid w:val="007D59E5"/>
    <w:rsid w:val="007D6440"/>
    <w:rsid w:val="007D726F"/>
    <w:rsid w:val="007D7C42"/>
    <w:rsid w:val="007D7F03"/>
    <w:rsid w:val="007E46D4"/>
    <w:rsid w:val="007F2FDC"/>
    <w:rsid w:val="007F7551"/>
    <w:rsid w:val="00811A81"/>
    <w:rsid w:val="00812161"/>
    <w:rsid w:val="0081241F"/>
    <w:rsid w:val="008202EF"/>
    <w:rsid w:val="00822265"/>
    <w:rsid w:val="00831C36"/>
    <w:rsid w:val="00833868"/>
    <w:rsid w:val="008415BB"/>
    <w:rsid w:val="00841DE0"/>
    <w:rsid w:val="008426D6"/>
    <w:rsid w:val="0084423F"/>
    <w:rsid w:val="00852B36"/>
    <w:rsid w:val="00856543"/>
    <w:rsid w:val="008617E2"/>
    <w:rsid w:val="0086264C"/>
    <w:rsid w:val="00866CEF"/>
    <w:rsid w:val="00867D06"/>
    <w:rsid w:val="008709F7"/>
    <w:rsid w:val="00871530"/>
    <w:rsid w:val="00872352"/>
    <w:rsid w:val="00872705"/>
    <w:rsid w:val="008730B1"/>
    <w:rsid w:val="0087394E"/>
    <w:rsid w:val="0088714B"/>
    <w:rsid w:val="008912F6"/>
    <w:rsid w:val="00891854"/>
    <w:rsid w:val="008A3C32"/>
    <w:rsid w:val="008B23EB"/>
    <w:rsid w:val="008B3CE0"/>
    <w:rsid w:val="008B4FD7"/>
    <w:rsid w:val="008B603B"/>
    <w:rsid w:val="008B60E6"/>
    <w:rsid w:val="008B661D"/>
    <w:rsid w:val="008B7C73"/>
    <w:rsid w:val="008C17ED"/>
    <w:rsid w:val="008D2ABB"/>
    <w:rsid w:val="008D3E09"/>
    <w:rsid w:val="008D7812"/>
    <w:rsid w:val="008E2F11"/>
    <w:rsid w:val="008E3434"/>
    <w:rsid w:val="008F02DE"/>
    <w:rsid w:val="008F2DE5"/>
    <w:rsid w:val="008F49FB"/>
    <w:rsid w:val="00900923"/>
    <w:rsid w:val="00901A59"/>
    <w:rsid w:val="00902C4D"/>
    <w:rsid w:val="009031AF"/>
    <w:rsid w:val="009033BA"/>
    <w:rsid w:val="00904864"/>
    <w:rsid w:val="00907F6C"/>
    <w:rsid w:val="00913493"/>
    <w:rsid w:val="00921017"/>
    <w:rsid w:val="00921255"/>
    <w:rsid w:val="00930EC8"/>
    <w:rsid w:val="00931C01"/>
    <w:rsid w:val="00942826"/>
    <w:rsid w:val="00943397"/>
    <w:rsid w:val="0094412D"/>
    <w:rsid w:val="00951F01"/>
    <w:rsid w:val="00952901"/>
    <w:rsid w:val="00952EDA"/>
    <w:rsid w:val="009533AB"/>
    <w:rsid w:val="00954787"/>
    <w:rsid w:val="00955CB8"/>
    <w:rsid w:val="00957708"/>
    <w:rsid w:val="00975806"/>
    <w:rsid w:val="0097777A"/>
    <w:rsid w:val="00981732"/>
    <w:rsid w:val="00981738"/>
    <w:rsid w:val="00982E16"/>
    <w:rsid w:val="00987447"/>
    <w:rsid w:val="0099523B"/>
    <w:rsid w:val="00997762"/>
    <w:rsid w:val="009A0232"/>
    <w:rsid w:val="009A7AAD"/>
    <w:rsid w:val="009B0426"/>
    <w:rsid w:val="009C1983"/>
    <w:rsid w:val="009C427B"/>
    <w:rsid w:val="009C4EE5"/>
    <w:rsid w:val="009C5DB6"/>
    <w:rsid w:val="009C6B2C"/>
    <w:rsid w:val="009D4C74"/>
    <w:rsid w:val="009D666A"/>
    <w:rsid w:val="009D7804"/>
    <w:rsid w:val="009E2195"/>
    <w:rsid w:val="009F7C13"/>
    <w:rsid w:val="00A00C74"/>
    <w:rsid w:val="00A01E49"/>
    <w:rsid w:val="00A109A3"/>
    <w:rsid w:val="00A149DF"/>
    <w:rsid w:val="00A177B8"/>
    <w:rsid w:val="00A17994"/>
    <w:rsid w:val="00A21296"/>
    <w:rsid w:val="00A23DC2"/>
    <w:rsid w:val="00A24450"/>
    <w:rsid w:val="00A30E8C"/>
    <w:rsid w:val="00A32C23"/>
    <w:rsid w:val="00A45E63"/>
    <w:rsid w:val="00A650BD"/>
    <w:rsid w:val="00A66065"/>
    <w:rsid w:val="00A664E1"/>
    <w:rsid w:val="00A666FD"/>
    <w:rsid w:val="00A66CCC"/>
    <w:rsid w:val="00A70570"/>
    <w:rsid w:val="00A77EA2"/>
    <w:rsid w:val="00A82DD3"/>
    <w:rsid w:val="00A90E09"/>
    <w:rsid w:val="00A9682C"/>
    <w:rsid w:val="00AA1718"/>
    <w:rsid w:val="00AA52B4"/>
    <w:rsid w:val="00AB0A48"/>
    <w:rsid w:val="00AB1E18"/>
    <w:rsid w:val="00AB5667"/>
    <w:rsid w:val="00AB5A49"/>
    <w:rsid w:val="00AB64DB"/>
    <w:rsid w:val="00AC1109"/>
    <w:rsid w:val="00AC71B5"/>
    <w:rsid w:val="00AD04F9"/>
    <w:rsid w:val="00AD4BBB"/>
    <w:rsid w:val="00AD65DF"/>
    <w:rsid w:val="00AE0B1D"/>
    <w:rsid w:val="00AE5C82"/>
    <w:rsid w:val="00AE6F11"/>
    <w:rsid w:val="00AE7D6A"/>
    <w:rsid w:val="00B01886"/>
    <w:rsid w:val="00B01A34"/>
    <w:rsid w:val="00B03313"/>
    <w:rsid w:val="00B045DA"/>
    <w:rsid w:val="00B07ADE"/>
    <w:rsid w:val="00B07C5F"/>
    <w:rsid w:val="00B10BAB"/>
    <w:rsid w:val="00B12BE2"/>
    <w:rsid w:val="00B1365F"/>
    <w:rsid w:val="00B16BA7"/>
    <w:rsid w:val="00B16BD4"/>
    <w:rsid w:val="00B201D4"/>
    <w:rsid w:val="00B21DFD"/>
    <w:rsid w:val="00B27905"/>
    <w:rsid w:val="00B347A9"/>
    <w:rsid w:val="00B43FD9"/>
    <w:rsid w:val="00B54292"/>
    <w:rsid w:val="00B54A6E"/>
    <w:rsid w:val="00B5573E"/>
    <w:rsid w:val="00B565BC"/>
    <w:rsid w:val="00B573B3"/>
    <w:rsid w:val="00B61213"/>
    <w:rsid w:val="00B6459E"/>
    <w:rsid w:val="00B64DE6"/>
    <w:rsid w:val="00B64E74"/>
    <w:rsid w:val="00B64EB3"/>
    <w:rsid w:val="00B6586F"/>
    <w:rsid w:val="00B65E2B"/>
    <w:rsid w:val="00B73656"/>
    <w:rsid w:val="00B74A0C"/>
    <w:rsid w:val="00B82962"/>
    <w:rsid w:val="00B9160A"/>
    <w:rsid w:val="00B94026"/>
    <w:rsid w:val="00B979E1"/>
    <w:rsid w:val="00BA4FFF"/>
    <w:rsid w:val="00BA5BCD"/>
    <w:rsid w:val="00BA7BE3"/>
    <w:rsid w:val="00BB1A90"/>
    <w:rsid w:val="00BB2F4F"/>
    <w:rsid w:val="00BB5B1B"/>
    <w:rsid w:val="00BC1F63"/>
    <w:rsid w:val="00BC20B0"/>
    <w:rsid w:val="00BD205E"/>
    <w:rsid w:val="00BD2558"/>
    <w:rsid w:val="00BD3D89"/>
    <w:rsid w:val="00BD7A36"/>
    <w:rsid w:val="00BE2420"/>
    <w:rsid w:val="00BE48C3"/>
    <w:rsid w:val="00BE539C"/>
    <w:rsid w:val="00BF12EA"/>
    <w:rsid w:val="00BF1EAF"/>
    <w:rsid w:val="00BF218B"/>
    <w:rsid w:val="00BF4F6A"/>
    <w:rsid w:val="00BF5D45"/>
    <w:rsid w:val="00C054EF"/>
    <w:rsid w:val="00C13918"/>
    <w:rsid w:val="00C14D50"/>
    <w:rsid w:val="00C14E6C"/>
    <w:rsid w:val="00C15587"/>
    <w:rsid w:val="00C26119"/>
    <w:rsid w:val="00C32851"/>
    <w:rsid w:val="00C335CB"/>
    <w:rsid w:val="00C33BA3"/>
    <w:rsid w:val="00C34647"/>
    <w:rsid w:val="00C409D4"/>
    <w:rsid w:val="00C436DD"/>
    <w:rsid w:val="00C47351"/>
    <w:rsid w:val="00C47365"/>
    <w:rsid w:val="00C5285E"/>
    <w:rsid w:val="00C55AB1"/>
    <w:rsid w:val="00C60CDE"/>
    <w:rsid w:val="00C618CD"/>
    <w:rsid w:val="00C64595"/>
    <w:rsid w:val="00C64E5A"/>
    <w:rsid w:val="00C675C9"/>
    <w:rsid w:val="00C70001"/>
    <w:rsid w:val="00C80851"/>
    <w:rsid w:val="00C80FE5"/>
    <w:rsid w:val="00C83663"/>
    <w:rsid w:val="00C83B70"/>
    <w:rsid w:val="00C90A2E"/>
    <w:rsid w:val="00C93A86"/>
    <w:rsid w:val="00CA0D8F"/>
    <w:rsid w:val="00CA2867"/>
    <w:rsid w:val="00CA3165"/>
    <w:rsid w:val="00CA7E04"/>
    <w:rsid w:val="00CB011B"/>
    <w:rsid w:val="00CB3B57"/>
    <w:rsid w:val="00CB741E"/>
    <w:rsid w:val="00CB7D1A"/>
    <w:rsid w:val="00CC0002"/>
    <w:rsid w:val="00CC469C"/>
    <w:rsid w:val="00CD30AD"/>
    <w:rsid w:val="00CD7B96"/>
    <w:rsid w:val="00CE2D92"/>
    <w:rsid w:val="00CE7509"/>
    <w:rsid w:val="00CE76B6"/>
    <w:rsid w:val="00CF1395"/>
    <w:rsid w:val="00CF725A"/>
    <w:rsid w:val="00CF7FFA"/>
    <w:rsid w:val="00D03783"/>
    <w:rsid w:val="00D05EF7"/>
    <w:rsid w:val="00D10BC2"/>
    <w:rsid w:val="00D15A7D"/>
    <w:rsid w:val="00D17F82"/>
    <w:rsid w:val="00D21E2D"/>
    <w:rsid w:val="00D233FB"/>
    <w:rsid w:val="00D25177"/>
    <w:rsid w:val="00D26DF4"/>
    <w:rsid w:val="00D4406E"/>
    <w:rsid w:val="00D477D5"/>
    <w:rsid w:val="00D5565F"/>
    <w:rsid w:val="00D71DD7"/>
    <w:rsid w:val="00D73B4D"/>
    <w:rsid w:val="00D759A5"/>
    <w:rsid w:val="00D77C3A"/>
    <w:rsid w:val="00D8108D"/>
    <w:rsid w:val="00D82765"/>
    <w:rsid w:val="00D82A24"/>
    <w:rsid w:val="00D82F96"/>
    <w:rsid w:val="00D856D9"/>
    <w:rsid w:val="00D87512"/>
    <w:rsid w:val="00D876C3"/>
    <w:rsid w:val="00D87944"/>
    <w:rsid w:val="00D91297"/>
    <w:rsid w:val="00D952D2"/>
    <w:rsid w:val="00DA4A66"/>
    <w:rsid w:val="00DA55BF"/>
    <w:rsid w:val="00DA7FBA"/>
    <w:rsid w:val="00DB2DCF"/>
    <w:rsid w:val="00DB33D3"/>
    <w:rsid w:val="00DB35A5"/>
    <w:rsid w:val="00DC3BE1"/>
    <w:rsid w:val="00DC3E8A"/>
    <w:rsid w:val="00DC5000"/>
    <w:rsid w:val="00DC7BA7"/>
    <w:rsid w:val="00DD5C25"/>
    <w:rsid w:val="00DE2B76"/>
    <w:rsid w:val="00DE798A"/>
    <w:rsid w:val="00DF0113"/>
    <w:rsid w:val="00DF2248"/>
    <w:rsid w:val="00DF33B9"/>
    <w:rsid w:val="00E00194"/>
    <w:rsid w:val="00E03C0C"/>
    <w:rsid w:val="00E17D62"/>
    <w:rsid w:val="00E20F2A"/>
    <w:rsid w:val="00E227D2"/>
    <w:rsid w:val="00E2368A"/>
    <w:rsid w:val="00E270D9"/>
    <w:rsid w:val="00E275EA"/>
    <w:rsid w:val="00E37E87"/>
    <w:rsid w:val="00E44AA0"/>
    <w:rsid w:val="00E455EE"/>
    <w:rsid w:val="00E47CA2"/>
    <w:rsid w:val="00E50FF1"/>
    <w:rsid w:val="00E52F17"/>
    <w:rsid w:val="00E550FF"/>
    <w:rsid w:val="00E55114"/>
    <w:rsid w:val="00E55804"/>
    <w:rsid w:val="00E67795"/>
    <w:rsid w:val="00E80A7E"/>
    <w:rsid w:val="00E83EA5"/>
    <w:rsid w:val="00E87990"/>
    <w:rsid w:val="00E9236E"/>
    <w:rsid w:val="00EA3845"/>
    <w:rsid w:val="00EA6014"/>
    <w:rsid w:val="00EA6F11"/>
    <w:rsid w:val="00EB49E2"/>
    <w:rsid w:val="00EB6544"/>
    <w:rsid w:val="00EC3135"/>
    <w:rsid w:val="00EC6177"/>
    <w:rsid w:val="00ED4932"/>
    <w:rsid w:val="00EE0B1F"/>
    <w:rsid w:val="00EE4A78"/>
    <w:rsid w:val="00EE58C7"/>
    <w:rsid w:val="00EE6544"/>
    <w:rsid w:val="00EE7866"/>
    <w:rsid w:val="00EF04BE"/>
    <w:rsid w:val="00EF361D"/>
    <w:rsid w:val="00F02A89"/>
    <w:rsid w:val="00F10024"/>
    <w:rsid w:val="00F11ECD"/>
    <w:rsid w:val="00F2639B"/>
    <w:rsid w:val="00F277BA"/>
    <w:rsid w:val="00F342F3"/>
    <w:rsid w:val="00F34346"/>
    <w:rsid w:val="00F42858"/>
    <w:rsid w:val="00F4499C"/>
    <w:rsid w:val="00F45064"/>
    <w:rsid w:val="00F47E3A"/>
    <w:rsid w:val="00F51004"/>
    <w:rsid w:val="00F51D19"/>
    <w:rsid w:val="00F56C64"/>
    <w:rsid w:val="00F62F16"/>
    <w:rsid w:val="00F64E9D"/>
    <w:rsid w:val="00F65EA0"/>
    <w:rsid w:val="00F66E59"/>
    <w:rsid w:val="00F71C67"/>
    <w:rsid w:val="00F72C10"/>
    <w:rsid w:val="00F73B3A"/>
    <w:rsid w:val="00F77453"/>
    <w:rsid w:val="00F8310D"/>
    <w:rsid w:val="00F83A77"/>
    <w:rsid w:val="00F855BB"/>
    <w:rsid w:val="00F86AB9"/>
    <w:rsid w:val="00F87067"/>
    <w:rsid w:val="00F938C9"/>
    <w:rsid w:val="00F96D2A"/>
    <w:rsid w:val="00F97CCA"/>
    <w:rsid w:val="00FA04DD"/>
    <w:rsid w:val="00FA1CE1"/>
    <w:rsid w:val="00FA1E30"/>
    <w:rsid w:val="00FA34EF"/>
    <w:rsid w:val="00FA381E"/>
    <w:rsid w:val="00FA4EBE"/>
    <w:rsid w:val="00FA701F"/>
    <w:rsid w:val="00FB07BA"/>
    <w:rsid w:val="00FC2D63"/>
    <w:rsid w:val="00FC2F7D"/>
    <w:rsid w:val="00FC4035"/>
    <w:rsid w:val="00FC44E6"/>
    <w:rsid w:val="00FD1A2E"/>
    <w:rsid w:val="00FD219A"/>
    <w:rsid w:val="00FD7328"/>
    <w:rsid w:val="00FE4CC3"/>
    <w:rsid w:val="00FE6649"/>
    <w:rsid w:val="00FE6BA3"/>
    <w:rsid w:val="00FF3D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8DB7F75"/>
  <w15:docId w15:val="{1610E535-9CD5-4A87-BFCB-BAA2E2EA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292"/>
    <w:pPr>
      <w:spacing w:after="0" w:line="240" w:lineRule="auto"/>
      <w:ind w:firstLine="357"/>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A49"/>
    <w:pPr>
      <w:ind w:left="720"/>
      <w:contextualSpacing/>
    </w:pPr>
  </w:style>
  <w:style w:type="paragraph" w:styleId="Header">
    <w:name w:val="header"/>
    <w:basedOn w:val="Normal"/>
    <w:link w:val="HeaderChar"/>
    <w:uiPriority w:val="99"/>
    <w:unhideWhenUsed/>
    <w:rsid w:val="00CA2867"/>
    <w:pPr>
      <w:tabs>
        <w:tab w:val="center" w:pos="4513"/>
        <w:tab w:val="right" w:pos="9026"/>
      </w:tabs>
    </w:pPr>
  </w:style>
  <w:style w:type="character" w:customStyle="1" w:styleId="HeaderChar">
    <w:name w:val="Header Char"/>
    <w:basedOn w:val="DefaultParagraphFont"/>
    <w:link w:val="Header"/>
    <w:uiPriority w:val="99"/>
    <w:rsid w:val="00CA2867"/>
  </w:style>
  <w:style w:type="paragraph" w:styleId="Footer">
    <w:name w:val="footer"/>
    <w:basedOn w:val="Normal"/>
    <w:link w:val="FooterChar"/>
    <w:uiPriority w:val="99"/>
    <w:unhideWhenUsed/>
    <w:rsid w:val="00CA2867"/>
    <w:pPr>
      <w:tabs>
        <w:tab w:val="center" w:pos="4513"/>
        <w:tab w:val="right" w:pos="9026"/>
      </w:tabs>
    </w:pPr>
  </w:style>
  <w:style w:type="character" w:customStyle="1" w:styleId="FooterChar">
    <w:name w:val="Footer Char"/>
    <w:basedOn w:val="DefaultParagraphFont"/>
    <w:link w:val="Footer"/>
    <w:uiPriority w:val="99"/>
    <w:rsid w:val="00CA2867"/>
  </w:style>
  <w:style w:type="paragraph" w:styleId="BalloonText">
    <w:name w:val="Balloon Text"/>
    <w:basedOn w:val="Normal"/>
    <w:link w:val="BalloonTextChar"/>
    <w:uiPriority w:val="99"/>
    <w:semiHidden/>
    <w:unhideWhenUsed/>
    <w:rsid w:val="00811A81"/>
    <w:rPr>
      <w:rFonts w:cs="Times New Roman"/>
      <w:sz w:val="18"/>
      <w:szCs w:val="18"/>
    </w:rPr>
  </w:style>
  <w:style w:type="character" w:customStyle="1" w:styleId="BalloonTextChar">
    <w:name w:val="Balloon Text Char"/>
    <w:basedOn w:val="DefaultParagraphFont"/>
    <w:link w:val="BalloonText"/>
    <w:uiPriority w:val="99"/>
    <w:semiHidden/>
    <w:rsid w:val="00811A8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11A81"/>
    <w:rPr>
      <w:sz w:val="16"/>
      <w:szCs w:val="16"/>
    </w:rPr>
  </w:style>
  <w:style w:type="paragraph" w:styleId="CommentText">
    <w:name w:val="annotation text"/>
    <w:basedOn w:val="Normal"/>
    <w:link w:val="CommentTextChar"/>
    <w:uiPriority w:val="99"/>
    <w:unhideWhenUsed/>
    <w:rsid w:val="00811A81"/>
    <w:rPr>
      <w:sz w:val="20"/>
      <w:szCs w:val="20"/>
    </w:rPr>
  </w:style>
  <w:style w:type="character" w:customStyle="1" w:styleId="CommentTextChar">
    <w:name w:val="Comment Text Char"/>
    <w:basedOn w:val="DefaultParagraphFont"/>
    <w:link w:val="CommentText"/>
    <w:uiPriority w:val="99"/>
    <w:rsid w:val="00811A81"/>
    <w:rPr>
      <w:sz w:val="20"/>
      <w:szCs w:val="20"/>
    </w:rPr>
  </w:style>
  <w:style w:type="paragraph" w:styleId="CommentSubject">
    <w:name w:val="annotation subject"/>
    <w:basedOn w:val="CommentText"/>
    <w:next w:val="CommentText"/>
    <w:link w:val="CommentSubjectChar"/>
    <w:uiPriority w:val="99"/>
    <w:semiHidden/>
    <w:unhideWhenUsed/>
    <w:rsid w:val="00811A81"/>
    <w:rPr>
      <w:b/>
      <w:bCs/>
    </w:rPr>
  </w:style>
  <w:style w:type="character" w:customStyle="1" w:styleId="CommentSubjectChar">
    <w:name w:val="Comment Subject Char"/>
    <w:basedOn w:val="CommentTextChar"/>
    <w:link w:val="CommentSubject"/>
    <w:uiPriority w:val="99"/>
    <w:semiHidden/>
    <w:rsid w:val="00811A81"/>
    <w:rPr>
      <w:b/>
      <w:bCs/>
      <w:sz w:val="20"/>
      <w:szCs w:val="20"/>
    </w:rPr>
  </w:style>
  <w:style w:type="character" w:styleId="Hyperlink">
    <w:name w:val="Hyperlink"/>
    <w:basedOn w:val="DefaultParagraphFont"/>
    <w:uiPriority w:val="99"/>
    <w:unhideWhenUsed/>
    <w:rsid w:val="00F96D2A"/>
    <w:rPr>
      <w:color w:val="0000FF"/>
      <w:u w:val="single"/>
    </w:rPr>
  </w:style>
  <w:style w:type="character" w:customStyle="1" w:styleId="nlmyear">
    <w:name w:val="nlm_year"/>
    <w:basedOn w:val="DefaultParagraphFont"/>
    <w:rsid w:val="00507A8A"/>
  </w:style>
  <w:style w:type="character" w:customStyle="1" w:styleId="nlmpublisher-loc">
    <w:name w:val="nlm_publisher-loc"/>
    <w:basedOn w:val="DefaultParagraphFont"/>
    <w:rsid w:val="00507A8A"/>
  </w:style>
  <w:style w:type="character" w:customStyle="1" w:styleId="nlmpublisher-name">
    <w:name w:val="nlm_publisher-name"/>
    <w:basedOn w:val="DefaultParagraphFont"/>
    <w:rsid w:val="00507A8A"/>
  </w:style>
  <w:style w:type="character" w:customStyle="1" w:styleId="personname">
    <w:name w:val="person_name"/>
    <w:basedOn w:val="DefaultParagraphFont"/>
    <w:rsid w:val="00F2639B"/>
  </w:style>
  <w:style w:type="character" w:customStyle="1" w:styleId="apple-converted-space">
    <w:name w:val="apple-converted-space"/>
    <w:basedOn w:val="DefaultParagraphFont"/>
    <w:rsid w:val="00F2639B"/>
  </w:style>
  <w:style w:type="character" w:styleId="Emphasis">
    <w:name w:val="Emphasis"/>
    <w:basedOn w:val="DefaultParagraphFont"/>
    <w:uiPriority w:val="20"/>
    <w:rsid w:val="00F2639B"/>
    <w:rPr>
      <w:i/>
      <w:iCs/>
    </w:rPr>
  </w:style>
  <w:style w:type="character" w:customStyle="1" w:styleId="authors">
    <w:name w:val="authors"/>
    <w:basedOn w:val="DefaultParagraphFont"/>
    <w:rsid w:val="00CF725A"/>
  </w:style>
  <w:style w:type="character" w:customStyle="1" w:styleId="Date1">
    <w:name w:val="Date1"/>
    <w:basedOn w:val="DefaultParagraphFont"/>
    <w:rsid w:val="00CF725A"/>
  </w:style>
  <w:style w:type="character" w:customStyle="1" w:styleId="arttitle">
    <w:name w:val="art_title"/>
    <w:basedOn w:val="DefaultParagraphFont"/>
    <w:rsid w:val="00CF725A"/>
  </w:style>
  <w:style w:type="character" w:customStyle="1" w:styleId="serialtitle">
    <w:name w:val="serial_title"/>
    <w:basedOn w:val="DefaultParagraphFont"/>
    <w:rsid w:val="00CF725A"/>
  </w:style>
  <w:style w:type="character" w:customStyle="1" w:styleId="doilink">
    <w:name w:val="doi_link"/>
    <w:basedOn w:val="DefaultParagraphFont"/>
    <w:rsid w:val="00CF725A"/>
  </w:style>
  <w:style w:type="character" w:customStyle="1" w:styleId="volumeissue">
    <w:name w:val="volume_issue"/>
    <w:basedOn w:val="DefaultParagraphFont"/>
    <w:rsid w:val="00BA4FFF"/>
  </w:style>
  <w:style w:type="character" w:customStyle="1" w:styleId="hlfld-contribauthor">
    <w:name w:val="hlfld-contribauthor"/>
    <w:basedOn w:val="DefaultParagraphFont"/>
    <w:rsid w:val="008B661D"/>
  </w:style>
  <w:style w:type="character" w:customStyle="1" w:styleId="nlmgiven-names">
    <w:name w:val="nlm_given-names"/>
    <w:basedOn w:val="DefaultParagraphFont"/>
    <w:rsid w:val="008B661D"/>
  </w:style>
  <w:style w:type="character" w:customStyle="1" w:styleId="nlmarticle-title">
    <w:name w:val="nlm_article-title"/>
    <w:basedOn w:val="DefaultParagraphFont"/>
    <w:rsid w:val="008B661D"/>
  </w:style>
  <w:style w:type="character" w:customStyle="1" w:styleId="nlmfpage">
    <w:name w:val="nlm_fpage"/>
    <w:basedOn w:val="DefaultParagraphFont"/>
    <w:rsid w:val="008B661D"/>
  </w:style>
  <w:style w:type="character" w:customStyle="1" w:styleId="nlmlpage">
    <w:name w:val="nlm_lpage"/>
    <w:basedOn w:val="DefaultParagraphFont"/>
    <w:rsid w:val="008B661D"/>
  </w:style>
  <w:style w:type="paragraph" w:styleId="Revision">
    <w:name w:val="Revision"/>
    <w:hidden/>
    <w:uiPriority w:val="99"/>
    <w:semiHidden/>
    <w:rsid w:val="002F7FD8"/>
    <w:pPr>
      <w:spacing w:after="0" w:line="240" w:lineRule="auto"/>
    </w:pPr>
  </w:style>
  <w:style w:type="character" w:styleId="PageNumber">
    <w:name w:val="page number"/>
    <w:basedOn w:val="DefaultParagraphFont"/>
    <w:uiPriority w:val="99"/>
    <w:semiHidden/>
    <w:unhideWhenUsed/>
    <w:rsid w:val="00B54292"/>
  </w:style>
  <w:style w:type="paragraph" w:styleId="Quote">
    <w:name w:val="Quote"/>
    <w:basedOn w:val="Normal"/>
    <w:next w:val="Normal"/>
    <w:link w:val="QuoteChar"/>
    <w:autoRedefine/>
    <w:uiPriority w:val="29"/>
    <w:qFormat/>
    <w:rsid w:val="00B54292"/>
    <w:pPr>
      <w:ind w:left="357" w:right="357" w:firstLine="0"/>
    </w:pPr>
    <w:rPr>
      <w:iCs/>
      <w:color w:val="000000" w:themeColor="text1"/>
      <w:sz w:val="20"/>
    </w:rPr>
  </w:style>
  <w:style w:type="character" w:customStyle="1" w:styleId="QuoteChar">
    <w:name w:val="Quote Char"/>
    <w:basedOn w:val="DefaultParagraphFont"/>
    <w:link w:val="Quote"/>
    <w:uiPriority w:val="29"/>
    <w:rsid w:val="00B54292"/>
    <w:rPr>
      <w:rFonts w:ascii="Times New Roman" w:hAnsi="Times New Roman"/>
      <w:iCs/>
      <w:color w:val="000000" w:themeColor="text1"/>
      <w:sz w:val="20"/>
    </w:rPr>
  </w:style>
  <w:style w:type="paragraph" w:styleId="FootnoteText">
    <w:name w:val="footnote text"/>
    <w:basedOn w:val="Normal"/>
    <w:link w:val="FootnoteTextChar"/>
    <w:uiPriority w:val="99"/>
    <w:unhideWhenUsed/>
    <w:rsid w:val="00327A41"/>
    <w:rPr>
      <w:szCs w:val="24"/>
    </w:rPr>
  </w:style>
  <w:style w:type="character" w:customStyle="1" w:styleId="FootnoteTextChar">
    <w:name w:val="Footnote Text Char"/>
    <w:basedOn w:val="DefaultParagraphFont"/>
    <w:link w:val="FootnoteText"/>
    <w:uiPriority w:val="99"/>
    <w:rsid w:val="00327A41"/>
    <w:rPr>
      <w:rFonts w:ascii="Times New Roman" w:hAnsi="Times New Roman"/>
      <w:sz w:val="24"/>
      <w:szCs w:val="24"/>
    </w:rPr>
  </w:style>
  <w:style w:type="character" w:styleId="FootnoteReference">
    <w:name w:val="footnote reference"/>
    <w:basedOn w:val="DefaultParagraphFont"/>
    <w:uiPriority w:val="99"/>
    <w:unhideWhenUsed/>
    <w:rsid w:val="00327A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586">
      <w:bodyDiv w:val="1"/>
      <w:marLeft w:val="0"/>
      <w:marRight w:val="0"/>
      <w:marTop w:val="0"/>
      <w:marBottom w:val="0"/>
      <w:divBdr>
        <w:top w:val="none" w:sz="0" w:space="0" w:color="auto"/>
        <w:left w:val="none" w:sz="0" w:space="0" w:color="auto"/>
        <w:bottom w:val="none" w:sz="0" w:space="0" w:color="auto"/>
        <w:right w:val="none" w:sz="0" w:space="0" w:color="auto"/>
      </w:divBdr>
    </w:div>
    <w:div w:id="19162884">
      <w:bodyDiv w:val="1"/>
      <w:marLeft w:val="0"/>
      <w:marRight w:val="0"/>
      <w:marTop w:val="0"/>
      <w:marBottom w:val="0"/>
      <w:divBdr>
        <w:top w:val="none" w:sz="0" w:space="0" w:color="auto"/>
        <w:left w:val="none" w:sz="0" w:space="0" w:color="auto"/>
        <w:bottom w:val="none" w:sz="0" w:space="0" w:color="auto"/>
        <w:right w:val="none" w:sz="0" w:space="0" w:color="auto"/>
      </w:divBdr>
    </w:div>
    <w:div w:id="200409400">
      <w:bodyDiv w:val="1"/>
      <w:marLeft w:val="0"/>
      <w:marRight w:val="0"/>
      <w:marTop w:val="0"/>
      <w:marBottom w:val="0"/>
      <w:divBdr>
        <w:top w:val="none" w:sz="0" w:space="0" w:color="auto"/>
        <w:left w:val="none" w:sz="0" w:space="0" w:color="auto"/>
        <w:bottom w:val="none" w:sz="0" w:space="0" w:color="auto"/>
        <w:right w:val="none" w:sz="0" w:space="0" w:color="auto"/>
      </w:divBdr>
    </w:div>
    <w:div w:id="387340539">
      <w:bodyDiv w:val="1"/>
      <w:marLeft w:val="0"/>
      <w:marRight w:val="0"/>
      <w:marTop w:val="0"/>
      <w:marBottom w:val="0"/>
      <w:divBdr>
        <w:top w:val="none" w:sz="0" w:space="0" w:color="auto"/>
        <w:left w:val="none" w:sz="0" w:space="0" w:color="auto"/>
        <w:bottom w:val="none" w:sz="0" w:space="0" w:color="auto"/>
        <w:right w:val="none" w:sz="0" w:space="0" w:color="auto"/>
      </w:divBdr>
    </w:div>
    <w:div w:id="721631944">
      <w:bodyDiv w:val="1"/>
      <w:marLeft w:val="0"/>
      <w:marRight w:val="0"/>
      <w:marTop w:val="0"/>
      <w:marBottom w:val="0"/>
      <w:divBdr>
        <w:top w:val="none" w:sz="0" w:space="0" w:color="auto"/>
        <w:left w:val="none" w:sz="0" w:space="0" w:color="auto"/>
        <w:bottom w:val="none" w:sz="0" w:space="0" w:color="auto"/>
        <w:right w:val="none" w:sz="0" w:space="0" w:color="auto"/>
      </w:divBdr>
    </w:div>
    <w:div w:id="951326140">
      <w:bodyDiv w:val="1"/>
      <w:marLeft w:val="0"/>
      <w:marRight w:val="0"/>
      <w:marTop w:val="0"/>
      <w:marBottom w:val="0"/>
      <w:divBdr>
        <w:top w:val="none" w:sz="0" w:space="0" w:color="auto"/>
        <w:left w:val="none" w:sz="0" w:space="0" w:color="auto"/>
        <w:bottom w:val="none" w:sz="0" w:space="0" w:color="auto"/>
        <w:right w:val="none" w:sz="0" w:space="0" w:color="auto"/>
      </w:divBdr>
    </w:div>
    <w:div w:id="1009020580">
      <w:bodyDiv w:val="1"/>
      <w:marLeft w:val="0"/>
      <w:marRight w:val="0"/>
      <w:marTop w:val="0"/>
      <w:marBottom w:val="0"/>
      <w:divBdr>
        <w:top w:val="none" w:sz="0" w:space="0" w:color="auto"/>
        <w:left w:val="none" w:sz="0" w:space="0" w:color="auto"/>
        <w:bottom w:val="none" w:sz="0" w:space="0" w:color="auto"/>
        <w:right w:val="none" w:sz="0" w:space="0" w:color="auto"/>
      </w:divBdr>
    </w:div>
    <w:div w:id="1182740799">
      <w:bodyDiv w:val="1"/>
      <w:marLeft w:val="0"/>
      <w:marRight w:val="0"/>
      <w:marTop w:val="0"/>
      <w:marBottom w:val="0"/>
      <w:divBdr>
        <w:top w:val="none" w:sz="0" w:space="0" w:color="auto"/>
        <w:left w:val="none" w:sz="0" w:space="0" w:color="auto"/>
        <w:bottom w:val="none" w:sz="0" w:space="0" w:color="auto"/>
        <w:right w:val="none" w:sz="0" w:space="0" w:color="auto"/>
      </w:divBdr>
    </w:div>
    <w:div w:id="1332290486">
      <w:bodyDiv w:val="1"/>
      <w:marLeft w:val="0"/>
      <w:marRight w:val="0"/>
      <w:marTop w:val="0"/>
      <w:marBottom w:val="0"/>
      <w:divBdr>
        <w:top w:val="none" w:sz="0" w:space="0" w:color="auto"/>
        <w:left w:val="none" w:sz="0" w:space="0" w:color="auto"/>
        <w:bottom w:val="none" w:sz="0" w:space="0" w:color="auto"/>
        <w:right w:val="none" w:sz="0" w:space="0" w:color="auto"/>
      </w:divBdr>
    </w:div>
    <w:div w:id="1459833972">
      <w:bodyDiv w:val="1"/>
      <w:marLeft w:val="0"/>
      <w:marRight w:val="0"/>
      <w:marTop w:val="0"/>
      <w:marBottom w:val="0"/>
      <w:divBdr>
        <w:top w:val="none" w:sz="0" w:space="0" w:color="auto"/>
        <w:left w:val="none" w:sz="0" w:space="0" w:color="auto"/>
        <w:bottom w:val="none" w:sz="0" w:space="0" w:color="auto"/>
        <w:right w:val="none" w:sz="0" w:space="0" w:color="auto"/>
      </w:divBdr>
    </w:div>
    <w:div w:id="1566600100">
      <w:bodyDiv w:val="1"/>
      <w:marLeft w:val="0"/>
      <w:marRight w:val="0"/>
      <w:marTop w:val="0"/>
      <w:marBottom w:val="0"/>
      <w:divBdr>
        <w:top w:val="none" w:sz="0" w:space="0" w:color="auto"/>
        <w:left w:val="none" w:sz="0" w:space="0" w:color="auto"/>
        <w:bottom w:val="none" w:sz="0" w:space="0" w:color="auto"/>
        <w:right w:val="none" w:sz="0" w:space="0" w:color="auto"/>
      </w:divBdr>
    </w:div>
    <w:div w:id="1742828031">
      <w:bodyDiv w:val="1"/>
      <w:marLeft w:val="0"/>
      <w:marRight w:val="0"/>
      <w:marTop w:val="0"/>
      <w:marBottom w:val="0"/>
      <w:divBdr>
        <w:top w:val="none" w:sz="0" w:space="0" w:color="auto"/>
        <w:left w:val="none" w:sz="0" w:space="0" w:color="auto"/>
        <w:bottom w:val="none" w:sz="0" w:space="0" w:color="auto"/>
        <w:right w:val="none" w:sz="0" w:space="0" w:color="auto"/>
      </w:divBdr>
    </w:div>
    <w:div w:id="1792743028">
      <w:bodyDiv w:val="1"/>
      <w:marLeft w:val="0"/>
      <w:marRight w:val="0"/>
      <w:marTop w:val="0"/>
      <w:marBottom w:val="0"/>
      <w:divBdr>
        <w:top w:val="none" w:sz="0" w:space="0" w:color="auto"/>
        <w:left w:val="none" w:sz="0" w:space="0" w:color="auto"/>
        <w:bottom w:val="none" w:sz="0" w:space="0" w:color="auto"/>
        <w:right w:val="none" w:sz="0" w:space="0" w:color="auto"/>
      </w:divBdr>
    </w:div>
    <w:div w:id="1943108423">
      <w:bodyDiv w:val="1"/>
      <w:marLeft w:val="0"/>
      <w:marRight w:val="0"/>
      <w:marTop w:val="0"/>
      <w:marBottom w:val="0"/>
      <w:divBdr>
        <w:top w:val="none" w:sz="0" w:space="0" w:color="auto"/>
        <w:left w:val="none" w:sz="0" w:space="0" w:color="auto"/>
        <w:bottom w:val="none" w:sz="0" w:space="0" w:color="auto"/>
        <w:right w:val="none" w:sz="0" w:space="0" w:color="auto"/>
      </w:divBdr>
    </w:div>
    <w:div w:id="206328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earch.gold.ac.uk/view/goldsmiths/Shore=3ACris=3A=3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90C95-7E49-44A6-A3B9-9DBC2D6B4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8015</Words>
  <Characters>45689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Butler</dc:creator>
  <cp:keywords/>
  <dc:description/>
  <cp:lastModifiedBy>Michael Tomlinson</cp:lastModifiedBy>
  <cp:revision>3</cp:revision>
  <dcterms:created xsi:type="dcterms:W3CDTF">2020-09-02T11:09:00Z</dcterms:created>
  <dcterms:modified xsi:type="dcterms:W3CDTF">2020-09-02T11:09:00Z</dcterms:modified>
  <cp:category/>
</cp:coreProperties>
</file>