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1BAA2" w14:textId="13BCEF7C" w:rsidR="00526960" w:rsidRDefault="00BA1573" w:rsidP="00BF2A82">
      <w:pPr>
        <w:jc w:val="right"/>
        <w:rPr>
          <w:i/>
          <w:iCs/>
        </w:rPr>
      </w:pPr>
      <w:r w:rsidRPr="00BF2A82">
        <w:rPr>
          <w:i/>
          <w:iCs/>
        </w:rPr>
        <w:t>Ethnicity paper</w:t>
      </w:r>
      <w:r w:rsidR="00BF2A82" w:rsidRPr="00BF2A82">
        <w:rPr>
          <w:i/>
          <w:iCs/>
        </w:rPr>
        <w:t xml:space="preserve"> v</w:t>
      </w:r>
      <w:r w:rsidR="00424A11">
        <w:rPr>
          <w:i/>
          <w:iCs/>
        </w:rPr>
        <w:t>2</w:t>
      </w:r>
    </w:p>
    <w:p w14:paraId="2CBF7212" w14:textId="4DF845BD" w:rsidR="00DB7333" w:rsidRPr="00BF2A82" w:rsidRDefault="00DB7333" w:rsidP="00DB7333">
      <w:pPr>
        <w:rPr>
          <w:i/>
          <w:iCs/>
        </w:rPr>
      </w:pPr>
      <w:r>
        <w:rPr>
          <w:i/>
          <w:iCs/>
        </w:rPr>
        <w:t>EDITORIAL</w:t>
      </w:r>
    </w:p>
    <w:p w14:paraId="667D9961" w14:textId="77777777" w:rsidR="00BF2A82" w:rsidRDefault="00BF2A82" w:rsidP="007B36C3">
      <w:pPr>
        <w:rPr>
          <w:b/>
          <w:bCs/>
        </w:rPr>
      </w:pPr>
    </w:p>
    <w:p w14:paraId="4D1F08F5" w14:textId="70EC0FD6" w:rsidR="00CD4B71" w:rsidRDefault="002037B9" w:rsidP="00902E61">
      <w:pPr>
        <w:jc w:val="center"/>
        <w:rPr>
          <w:b/>
          <w:bCs/>
          <w:sz w:val="28"/>
          <w:szCs w:val="28"/>
        </w:rPr>
      </w:pPr>
      <w:r w:rsidRPr="002D2ADE">
        <w:rPr>
          <w:b/>
          <w:bCs/>
          <w:sz w:val="28"/>
          <w:szCs w:val="28"/>
        </w:rPr>
        <w:t>FR</w:t>
      </w:r>
      <w:r w:rsidR="00EE7AA0" w:rsidRPr="002D2ADE">
        <w:rPr>
          <w:b/>
          <w:bCs/>
          <w:sz w:val="28"/>
          <w:szCs w:val="28"/>
        </w:rPr>
        <w:t>AX and ethnicity</w:t>
      </w:r>
    </w:p>
    <w:p w14:paraId="2B2879B5" w14:textId="77777777" w:rsidR="00902E61" w:rsidRPr="002D2ADE" w:rsidRDefault="00902E61" w:rsidP="00902E61">
      <w:pPr>
        <w:jc w:val="center"/>
        <w:rPr>
          <w:b/>
          <w:bCs/>
          <w:sz w:val="28"/>
          <w:szCs w:val="28"/>
        </w:rPr>
      </w:pPr>
    </w:p>
    <w:p w14:paraId="0D4F3651" w14:textId="508FB35C" w:rsidR="00902E61" w:rsidRPr="00902E61" w:rsidRDefault="00902E61" w:rsidP="00253D73">
      <w:pPr>
        <w:spacing w:after="200" w:line="276" w:lineRule="auto"/>
        <w:rPr>
          <w:rFonts w:ascii="Calibri" w:eastAsia="Calibri" w:hAnsi="Calibri" w:cs="Times New Roman"/>
          <w:bCs/>
          <w:sz w:val="24"/>
          <w:szCs w:val="24"/>
        </w:rPr>
      </w:pPr>
      <w:bookmarkStart w:id="0" w:name="_Hlk49524383"/>
      <w:bookmarkStart w:id="1" w:name="_Hlk49523585"/>
      <w:r w:rsidRPr="00E31AA4">
        <w:rPr>
          <w:rFonts w:ascii="Calibri" w:eastAsia="MS Mincho" w:hAnsi="Calibri" w:cs="Times New Roman"/>
          <w:sz w:val="24"/>
          <w:szCs w:val="24"/>
          <w:lang w:eastAsia="ja-JP"/>
        </w:rPr>
        <w:t>John A Kanis</w:t>
      </w:r>
      <w:r w:rsidRPr="00E31AA4">
        <w:rPr>
          <w:rFonts w:ascii="Calibri" w:eastAsia="MS Mincho" w:hAnsi="Calibri" w:cs="Times New Roman"/>
          <w:sz w:val="24"/>
          <w:szCs w:val="24"/>
          <w:vertAlign w:val="superscript"/>
          <w:lang w:eastAsia="ja-JP"/>
        </w:rPr>
        <w:t>1,</w:t>
      </w:r>
      <w:r w:rsidR="00FA73B4" w:rsidRPr="00E31AA4">
        <w:rPr>
          <w:rFonts w:ascii="Calibri" w:eastAsia="MS Mincho" w:hAnsi="Calibri" w:cs="Times New Roman"/>
          <w:sz w:val="24"/>
          <w:szCs w:val="24"/>
          <w:vertAlign w:val="superscript"/>
          <w:lang w:eastAsia="ja-JP"/>
        </w:rPr>
        <w:t xml:space="preserve"> </w:t>
      </w:r>
      <w:r w:rsidRPr="00E31AA4">
        <w:rPr>
          <w:rFonts w:ascii="Calibri" w:eastAsia="MS Mincho" w:hAnsi="Calibri" w:cs="Times New Roman"/>
          <w:sz w:val="24"/>
          <w:szCs w:val="24"/>
          <w:vertAlign w:val="superscript"/>
          <w:lang w:eastAsia="ja-JP"/>
        </w:rPr>
        <w:t xml:space="preserve">2 </w:t>
      </w:r>
      <w:r w:rsidRPr="00E31AA4">
        <w:rPr>
          <w:rFonts w:ascii="Calibri" w:eastAsia="MS Mincho" w:hAnsi="Calibri" w:cs="Times New Roman"/>
          <w:sz w:val="24"/>
          <w:szCs w:val="24"/>
          <w:lang w:eastAsia="ja-JP"/>
        </w:rPr>
        <w:t xml:space="preserve">∙ </w:t>
      </w:r>
      <w:r w:rsidR="00253D73" w:rsidRPr="00E31AA4">
        <w:rPr>
          <w:rFonts w:ascii="Calibri" w:eastAsia="MS Mincho" w:hAnsi="Calibri" w:cs="Times New Roman"/>
          <w:sz w:val="24"/>
          <w:szCs w:val="24"/>
          <w:lang w:eastAsia="ja-JP"/>
        </w:rPr>
        <w:t>Cyrus Cooper</w:t>
      </w:r>
      <w:r w:rsidR="00FA73B4" w:rsidRPr="00E31AA4">
        <w:rPr>
          <w:rFonts w:ascii="Calibri" w:eastAsia="MS Mincho" w:hAnsi="Calibri" w:cs="Times New Roman"/>
          <w:sz w:val="24"/>
          <w:szCs w:val="24"/>
          <w:vertAlign w:val="superscript"/>
          <w:lang w:eastAsia="ja-JP"/>
        </w:rPr>
        <w:t>3, 4</w:t>
      </w:r>
      <w:r w:rsidR="00253D73" w:rsidRPr="00E31AA4">
        <w:rPr>
          <w:rFonts w:ascii="Calibri" w:eastAsia="MS Mincho" w:hAnsi="Calibri" w:cs="Times New Roman"/>
          <w:sz w:val="24"/>
          <w:szCs w:val="24"/>
          <w:lang w:eastAsia="ja-JP"/>
        </w:rPr>
        <w:t xml:space="preserve"> ∙ Bess Dawson-Hughes</w:t>
      </w:r>
      <w:r w:rsidR="00FA73B4" w:rsidRPr="00E31AA4">
        <w:rPr>
          <w:rFonts w:ascii="Calibri" w:eastAsia="MS Mincho" w:hAnsi="Calibri" w:cs="Times New Roman"/>
          <w:sz w:val="24"/>
          <w:szCs w:val="24"/>
          <w:vertAlign w:val="superscript"/>
          <w:lang w:eastAsia="ja-JP"/>
        </w:rPr>
        <w:t>5</w:t>
      </w:r>
      <w:r w:rsidR="00253D73" w:rsidRPr="00E31AA4">
        <w:rPr>
          <w:rFonts w:ascii="Calibri" w:eastAsia="MS Mincho" w:hAnsi="Calibri" w:cs="Times New Roman"/>
          <w:sz w:val="24"/>
          <w:szCs w:val="24"/>
          <w:lang w:eastAsia="ja-JP"/>
        </w:rPr>
        <w:t xml:space="preserve"> ∙</w:t>
      </w:r>
      <w:r w:rsidR="00253D73" w:rsidRPr="00E31AA4">
        <w:rPr>
          <w:rFonts w:ascii="Calibri" w:eastAsia="Calibri" w:hAnsi="Calibri" w:cs="Times New Roman"/>
          <w:sz w:val="24"/>
          <w:szCs w:val="24"/>
        </w:rPr>
        <w:t xml:space="preserve"> </w:t>
      </w:r>
      <w:r w:rsidRPr="00E31AA4">
        <w:rPr>
          <w:rFonts w:ascii="Calibri" w:eastAsia="MS Mincho" w:hAnsi="Calibri" w:cs="Times New Roman"/>
          <w:sz w:val="24"/>
          <w:szCs w:val="24"/>
          <w:lang w:eastAsia="ja-JP"/>
        </w:rPr>
        <w:t>Nicholas C Harvey</w:t>
      </w:r>
      <w:r w:rsidRPr="00E31AA4">
        <w:rPr>
          <w:rFonts w:ascii="Calibri" w:eastAsia="MS Mincho" w:hAnsi="Calibri" w:cs="Times New Roman"/>
          <w:sz w:val="24"/>
          <w:szCs w:val="24"/>
          <w:vertAlign w:val="superscript"/>
          <w:lang w:eastAsia="ja-JP"/>
        </w:rPr>
        <w:t>3,</w:t>
      </w:r>
      <w:bookmarkStart w:id="2" w:name="_Hlk38621405"/>
      <w:r w:rsidR="00FA73B4" w:rsidRPr="00E31AA4">
        <w:rPr>
          <w:rFonts w:ascii="Calibri" w:eastAsia="MS Mincho" w:hAnsi="Calibri" w:cs="Times New Roman"/>
          <w:sz w:val="24"/>
          <w:szCs w:val="24"/>
          <w:vertAlign w:val="superscript"/>
          <w:lang w:eastAsia="ja-JP"/>
        </w:rPr>
        <w:t xml:space="preserve"> 6</w:t>
      </w:r>
      <w:r w:rsidRPr="00E31AA4">
        <w:rPr>
          <w:rFonts w:ascii="Calibri" w:eastAsia="MS Mincho" w:hAnsi="Calibri" w:cs="Times New Roman"/>
          <w:sz w:val="24"/>
          <w:szCs w:val="24"/>
          <w:lang w:eastAsia="ja-JP"/>
        </w:rPr>
        <w:t xml:space="preserve"> </w:t>
      </w:r>
      <w:bookmarkStart w:id="3" w:name="_Hlk38749056"/>
      <w:r w:rsidRPr="00E31AA4">
        <w:rPr>
          <w:rFonts w:ascii="Calibri" w:eastAsia="MS Mincho" w:hAnsi="Calibri" w:cs="Times New Roman"/>
          <w:sz w:val="24"/>
          <w:szCs w:val="24"/>
          <w:lang w:eastAsia="ja-JP"/>
        </w:rPr>
        <w:t>∙</w:t>
      </w:r>
      <w:r w:rsidRPr="00E31AA4">
        <w:rPr>
          <w:rFonts w:ascii="Calibri" w:eastAsia="Calibri" w:hAnsi="Calibri" w:cs="Times New Roman"/>
          <w:sz w:val="24"/>
          <w:szCs w:val="24"/>
        </w:rPr>
        <w:t xml:space="preserve"> </w:t>
      </w:r>
      <w:bookmarkEnd w:id="2"/>
      <w:r w:rsidR="00253D73" w:rsidRPr="00E31AA4">
        <w:rPr>
          <w:rFonts w:ascii="Calibri" w:eastAsia="MS Mincho" w:hAnsi="Calibri" w:cs="Times New Roman"/>
          <w:sz w:val="24"/>
          <w:szCs w:val="24"/>
          <w:lang w:eastAsia="ja-JP"/>
        </w:rPr>
        <w:t>Helena Johansson</w:t>
      </w:r>
      <w:r w:rsidR="00253D73" w:rsidRPr="00E31AA4">
        <w:rPr>
          <w:rFonts w:ascii="Calibri" w:eastAsia="MS Mincho" w:hAnsi="Calibri" w:cs="Times New Roman"/>
          <w:sz w:val="24"/>
          <w:szCs w:val="24"/>
          <w:vertAlign w:val="superscript"/>
          <w:lang w:eastAsia="ja-JP"/>
        </w:rPr>
        <w:t>1,</w:t>
      </w:r>
      <w:r w:rsidR="00FA73B4" w:rsidRPr="00E31AA4">
        <w:rPr>
          <w:rFonts w:ascii="Calibri" w:eastAsia="MS Mincho" w:hAnsi="Calibri" w:cs="Times New Roman"/>
          <w:sz w:val="24"/>
          <w:szCs w:val="24"/>
          <w:vertAlign w:val="superscript"/>
          <w:lang w:eastAsia="ja-JP"/>
        </w:rPr>
        <w:t xml:space="preserve"> </w:t>
      </w:r>
      <w:r w:rsidR="00253D73" w:rsidRPr="00E31AA4">
        <w:rPr>
          <w:rFonts w:ascii="Calibri" w:eastAsia="MS Mincho" w:hAnsi="Calibri" w:cs="Times New Roman"/>
          <w:sz w:val="24"/>
          <w:szCs w:val="24"/>
          <w:vertAlign w:val="superscript"/>
          <w:lang w:eastAsia="ja-JP"/>
        </w:rPr>
        <w:t>2</w:t>
      </w:r>
      <w:r w:rsidRPr="00E31AA4">
        <w:rPr>
          <w:rFonts w:ascii="Calibri" w:eastAsia="MS Mincho" w:hAnsi="Calibri" w:cs="Times New Roman"/>
          <w:sz w:val="24"/>
          <w:szCs w:val="24"/>
          <w:lang w:eastAsia="ja-JP"/>
        </w:rPr>
        <w:t xml:space="preserve"> </w:t>
      </w:r>
      <w:r w:rsidR="00253D73" w:rsidRPr="00E31AA4">
        <w:rPr>
          <w:rFonts w:ascii="Calibri" w:eastAsia="Calibri" w:hAnsi="Calibri" w:cs="Times New Roman"/>
          <w:sz w:val="24"/>
          <w:szCs w:val="24"/>
        </w:rPr>
        <w:t>∙</w:t>
      </w:r>
      <w:r w:rsidRPr="00E31AA4">
        <w:rPr>
          <w:rFonts w:ascii="Calibri" w:eastAsia="MS Mincho" w:hAnsi="Calibri" w:cs="Times New Roman"/>
          <w:sz w:val="24"/>
          <w:szCs w:val="24"/>
          <w:lang w:eastAsia="ja-JP"/>
        </w:rPr>
        <w:t xml:space="preserve"> </w:t>
      </w:r>
      <w:bookmarkEnd w:id="3"/>
      <w:r w:rsidRPr="00E31AA4">
        <w:rPr>
          <w:rFonts w:ascii="Calibri" w:eastAsia="MS Mincho" w:hAnsi="Calibri" w:cs="Times New Roman"/>
          <w:sz w:val="24"/>
          <w:szCs w:val="24"/>
          <w:lang w:eastAsia="ja-JP"/>
        </w:rPr>
        <w:t>Mattias Lorentzon</w:t>
      </w:r>
      <w:r w:rsidRPr="00E31AA4">
        <w:rPr>
          <w:rFonts w:ascii="Calibri" w:eastAsia="MS Mincho" w:hAnsi="Calibri" w:cs="Times New Roman"/>
          <w:sz w:val="24"/>
          <w:szCs w:val="24"/>
          <w:vertAlign w:val="superscript"/>
          <w:lang w:eastAsia="ja-JP"/>
        </w:rPr>
        <w:t>1,</w:t>
      </w:r>
      <w:r w:rsidR="00FA73B4" w:rsidRPr="00E31AA4">
        <w:rPr>
          <w:rFonts w:ascii="Calibri" w:eastAsia="MS Mincho" w:hAnsi="Calibri" w:cs="Times New Roman"/>
          <w:sz w:val="24"/>
          <w:szCs w:val="24"/>
          <w:vertAlign w:val="superscript"/>
          <w:lang w:eastAsia="ja-JP"/>
        </w:rPr>
        <w:t xml:space="preserve"> 7</w:t>
      </w:r>
      <w:r w:rsidRPr="00E31AA4">
        <w:rPr>
          <w:rFonts w:ascii="Calibri" w:eastAsia="MS Mincho" w:hAnsi="Calibri" w:cs="Times New Roman"/>
          <w:sz w:val="24"/>
          <w:szCs w:val="24"/>
          <w:lang w:eastAsia="ja-JP"/>
        </w:rPr>
        <w:t xml:space="preserve"> ∙ Eugene V McCloskey</w:t>
      </w:r>
      <w:r w:rsidRPr="00E31AA4">
        <w:rPr>
          <w:rFonts w:ascii="Calibri" w:eastAsia="MS Mincho" w:hAnsi="Calibri" w:cs="Times New Roman"/>
          <w:sz w:val="24"/>
          <w:szCs w:val="24"/>
          <w:vertAlign w:val="superscript"/>
          <w:lang w:eastAsia="ja-JP"/>
        </w:rPr>
        <w:t xml:space="preserve">2, </w:t>
      </w:r>
      <w:bookmarkStart w:id="4" w:name="_Hlk38732963"/>
      <w:r w:rsidRPr="00E31AA4">
        <w:rPr>
          <w:rFonts w:ascii="Calibri" w:eastAsia="MS Mincho" w:hAnsi="Calibri" w:cs="Times New Roman"/>
          <w:sz w:val="24"/>
          <w:szCs w:val="24"/>
          <w:vertAlign w:val="superscript"/>
          <w:lang w:eastAsia="ja-JP"/>
        </w:rPr>
        <w:t xml:space="preserve">8 </w:t>
      </w:r>
      <w:r w:rsidRPr="00E31AA4">
        <w:rPr>
          <w:rFonts w:ascii="Calibri" w:eastAsia="Calibri" w:hAnsi="Calibri" w:cs="Times New Roman"/>
          <w:sz w:val="24"/>
          <w:szCs w:val="24"/>
        </w:rPr>
        <w:t xml:space="preserve">∙ </w:t>
      </w:r>
      <w:bookmarkEnd w:id="4"/>
      <w:r w:rsidR="00253D73" w:rsidRPr="00E31AA4">
        <w:rPr>
          <w:rFonts w:ascii="Calibri" w:eastAsia="Calibri" w:hAnsi="Calibri" w:cs="Times New Roman"/>
          <w:sz w:val="24"/>
          <w:szCs w:val="24"/>
        </w:rPr>
        <w:t>Jean-Yves Reginster</w:t>
      </w:r>
      <w:bookmarkStart w:id="5" w:name="_Hlk49523369"/>
      <w:r w:rsidR="00FA73B4" w:rsidRPr="00E31AA4">
        <w:rPr>
          <w:rFonts w:ascii="Calibri" w:eastAsia="Calibri" w:hAnsi="Calibri" w:cs="Times New Roman"/>
          <w:sz w:val="24"/>
          <w:szCs w:val="24"/>
          <w:vertAlign w:val="superscript"/>
        </w:rPr>
        <w:t>9, 10</w:t>
      </w:r>
      <w:r w:rsidR="00253D73" w:rsidRPr="00E31AA4">
        <w:rPr>
          <w:rFonts w:ascii="Calibri" w:eastAsia="Calibri" w:hAnsi="Calibri" w:cs="Times New Roman"/>
          <w:sz w:val="24"/>
          <w:szCs w:val="24"/>
        </w:rPr>
        <w:t xml:space="preserve"> ∙</w:t>
      </w:r>
      <w:bookmarkEnd w:id="5"/>
      <w:r w:rsidR="00253D73" w:rsidRPr="00E31AA4">
        <w:rPr>
          <w:rFonts w:ascii="Calibri" w:eastAsia="Calibri" w:hAnsi="Calibri" w:cs="Times New Roman"/>
          <w:sz w:val="24"/>
          <w:szCs w:val="24"/>
        </w:rPr>
        <w:t xml:space="preserve"> </w:t>
      </w:r>
      <w:r w:rsidRPr="00E31AA4">
        <w:rPr>
          <w:rFonts w:ascii="Calibri" w:eastAsia="Calibri" w:hAnsi="Calibri" w:cs="Times New Roman"/>
          <w:bCs/>
          <w:sz w:val="24"/>
          <w:szCs w:val="24"/>
        </w:rPr>
        <w:t>Rene Rizzoli</w:t>
      </w:r>
      <w:bookmarkEnd w:id="0"/>
      <w:r w:rsidR="00FA73B4" w:rsidRPr="00E31AA4">
        <w:rPr>
          <w:rFonts w:ascii="Calibri" w:eastAsia="Calibri" w:hAnsi="Calibri" w:cs="Times New Roman"/>
          <w:bCs/>
          <w:sz w:val="24"/>
          <w:szCs w:val="24"/>
          <w:vertAlign w:val="superscript"/>
        </w:rPr>
        <w:t>11</w:t>
      </w:r>
      <w:r w:rsidR="00253D73" w:rsidRPr="00E31AA4">
        <w:rPr>
          <w:rFonts w:ascii="Calibri" w:eastAsia="Calibri" w:hAnsi="Calibri" w:cs="Times New Roman"/>
          <w:bCs/>
          <w:sz w:val="24"/>
          <w:szCs w:val="24"/>
        </w:rPr>
        <w:t xml:space="preserve"> on behalf of the International Osteoporosis Foundation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28"/>
      </w:tblGrid>
      <w:tr w:rsidR="00720673" w:rsidRPr="00720673" w14:paraId="21E600BF" w14:textId="77777777" w:rsidTr="007820F3">
        <w:tc>
          <w:tcPr>
            <w:tcW w:w="421" w:type="dxa"/>
          </w:tcPr>
          <w:bookmarkEnd w:id="1"/>
          <w:p w14:paraId="3F9B7592" w14:textId="5D86C62F" w:rsidR="00720673" w:rsidRPr="00720673" w:rsidRDefault="00720673" w:rsidP="00720673">
            <w:pPr>
              <w:spacing w:before="240"/>
              <w:jc w:val="right"/>
              <w:rPr>
                <w:rFonts w:ascii="Calibri" w:eastAsia="MS Mincho" w:hAnsi="Calibri" w:cs="Times New Roman"/>
                <w:sz w:val="20"/>
                <w:szCs w:val="20"/>
                <w:vertAlign w:val="superscript"/>
                <w:lang w:val="en-US" w:eastAsia="ja-JP"/>
              </w:rPr>
            </w:pPr>
            <w:r w:rsidRPr="00720673">
              <w:rPr>
                <w:rFonts w:ascii="Calibri" w:eastAsia="MS Mincho" w:hAnsi="Calibri" w:cs="Times New Roman"/>
                <w:sz w:val="20"/>
                <w:szCs w:val="20"/>
                <w:vertAlign w:val="superscript"/>
                <w:lang w:val="en-US" w:eastAsia="ja-JP"/>
              </w:rPr>
              <w:t>1</w:t>
            </w:r>
          </w:p>
        </w:tc>
        <w:tc>
          <w:tcPr>
            <w:tcW w:w="8028" w:type="dxa"/>
          </w:tcPr>
          <w:p w14:paraId="49FA4997" w14:textId="5E3E3B17" w:rsidR="00720673" w:rsidRPr="00720673" w:rsidRDefault="00720673" w:rsidP="00720673">
            <w:pPr>
              <w:spacing w:before="240"/>
              <w:ind w:left="277" w:hanging="277"/>
              <w:rPr>
                <w:rFonts w:ascii="Calibri" w:eastAsia="MS Mincho" w:hAnsi="Calibri" w:cs="Times New Roman"/>
                <w:sz w:val="20"/>
                <w:szCs w:val="20"/>
                <w:lang w:val="en-US" w:eastAsia="ja-JP"/>
              </w:rPr>
            </w:pPr>
            <w:r w:rsidRPr="00902E61">
              <w:rPr>
                <w:rFonts w:ascii="Calibri" w:eastAsia="Calibri" w:hAnsi="Calibri" w:cs="Times New Roman"/>
                <w:sz w:val="20"/>
                <w:szCs w:val="20"/>
                <w:lang w:val="en-AU"/>
              </w:rPr>
              <w:t>Mary McKillop Institute for Health Research, Australian Catholic University, Melbourne, Australia</w:t>
            </w:r>
          </w:p>
        </w:tc>
      </w:tr>
      <w:tr w:rsidR="00720673" w:rsidRPr="00720673" w14:paraId="7550ACEA" w14:textId="77777777" w:rsidTr="007820F3">
        <w:tc>
          <w:tcPr>
            <w:tcW w:w="421" w:type="dxa"/>
          </w:tcPr>
          <w:p w14:paraId="0FB75F87" w14:textId="166DD457" w:rsidR="00720673" w:rsidRPr="00720673" w:rsidRDefault="00720673" w:rsidP="00720673">
            <w:pPr>
              <w:spacing w:before="240"/>
              <w:jc w:val="right"/>
              <w:rPr>
                <w:rFonts w:ascii="Calibri" w:eastAsia="MS Mincho" w:hAnsi="Calibri" w:cs="Times New Roman"/>
                <w:sz w:val="20"/>
                <w:szCs w:val="20"/>
                <w:vertAlign w:val="superscript"/>
                <w:lang w:val="en-US" w:eastAsia="ja-JP"/>
              </w:rPr>
            </w:pPr>
            <w:r w:rsidRPr="00720673">
              <w:rPr>
                <w:rFonts w:ascii="Calibri" w:eastAsia="MS Mincho" w:hAnsi="Calibri" w:cs="Times New Roman"/>
                <w:sz w:val="20"/>
                <w:szCs w:val="20"/>
                <w:vertAlign w:val="superscript"/>
                <w:lang w:val="en-US" w:eastAsia="ja-JP"/>
              </w:rPr>
              <w:t>2</w:t>
            </w:r>
          </w:p>
        </w:tc>
        <w:tc>
          <w:tcPr>
            <w:tcW w:w="8028" w:type="dxa"/>
          </w:tcPr>
          <w:p w14:paraId="08D8841B" w14:textId="146DD606" w:rsidR="00720673" w:rsidRPr="00720673" w:rsidRDefault="00720673" w:rsidP="00720673">
            <w:pPr>
              <w:spacing w:before="240"/>
              <w:ind w:left="277" w:hanging="277"/>
              <w:rPr>
                <w:rFonts w:ascii="Calibri" w:eastAsia="MS Mincho" w:hAnsi="Calibri" w:cs="Times New Roman"/>
                <w:sz w:val="20"/>
                <w:szCs w:val="20"/>
                <w:lang w:val="en-US" w:eastAsia="ja-JP"/>
              </w:rPr>
            </w:pPr>
            <w:r w:rsidRPr="00902E61">
              <w:rPr>
                <w:rFonts w:ascii="Calibri" w:eastAsia="MS Mincho" w:hAnsi="Calibri" w:cs="Times New Roman"/>
                <w:sz w:val="20"/>
                <w:szCs w:val="20"/>
                <w:lang w:eastAsia="ja-JP"/>
              </w:rPr>
              <w:t>Centre for Metabolic Bone Diseases, University of Sheffield, Sheffield, UK</w:t>
            </w:r>
          </w:p>
        </w:tc>
      </w:tr>
      <w:tr w:rsidR="00720673" w:rsidRPr="00720673" w14:paraId="45A902A9" w14:textId="77777777" w:rsidTr="007820F3">
        <w:tc>
          <w:tcPr>
            <w:tcW w:w="421" w:type="dxa"/>
          </w:tcPr>
          <w:p w14:paraId="3306742F" w14:textId="0E77CA3A" w:rsidR="00720673" w:rsidRPr="00720673" w:rsidRDefault="00720673" w:rsidP="00720673">
            <w:pPr>
              <w:spacing w:before="240"/>
              <w:jc w:val="right"/>
              <w:rPr>
                <w:rFonts w:ascii="Calibri" w:eastAsia="MS Mincho" w:hAnsi="Calibri" w:cs="Times New Roman"/>
                <w:sz w:val="20"/>
                <w:szCs w:val="20"/>
                <w:vertAlign w:val="superscript"/>
                <w:lang w:val="en-US" w:eastAsia="ja-JP"/>
              </w:rPr>
            </w:pPr>
            <w:r w:rsidRPr="00720673">
              <w:rPr>
                <w:rFonts w:ascii="Calibri" w:eastAsia="MS Mincho" w:hAnsi="Calibri" w:cs="Times New Roman"/>
                <w:sz w:val="20"/>
                <w:szCs w:val="20"/>
                <w:vertAlign w:val="superscript"/>
                <w:lang w:val="en-US" w:eastAsia="ja-JP"/>
              </w:rPr>
              <w:t>3</w:t>
            </w:r>
          </w:p>
        </w:tc>
        <w:tc>
          <w:tcPr>
            <w:tcW w:w="8028" w:type="dxa"/>
          </w:tcPr>
          <w:p w14:paraId="19A40D90" w14:textId="54B85089" w:rsidR="00720673" w:rsidRPr="00720673" w:rsidRDefault="00720673" w:rsidP="00720673">
            <w:pPr>
              <w:spacing w:before="240"/>
              <w:ind w:left="277" w:hanging="277"/>
              <w:rPr>
                <w:rFonts w:ascii="Calibri" w:eastAsia="MS Mincho" w:hAnsi="Calibri" w:cs="Times New Roman"/>
                <w:sz w:val="20"/>
                <w:szCs w:val="20"/>
                <w:lang w:val="en-US" w:eastAsia="ja-JP"/>
              </w:rPr>
            </w:pPr>
            <w:r w:rsidRPr="00902E61">
              <w:rPr>
                <w:rFonts w:ascii="Calibri" w:eastAsia="MS Mincho" w:hAnsi="Calibri" w:cs="Times New Roman"/>
                <w:sz w:val="20"/>
                <w:szCs w:val="20"/>
                <w:lang w:eastAsia="ja-JP"/>
              </w:rPr>
              <w:t xml:space="preserve">MRC </w:t>
            </w:r>
            <w:proofErr w:type="spellStart"/>
            <w:r w:rsidRPr="00902E61">
              <w:rPr>
                <w:rFonts w:ascii="Calibri" w:eastAsia="MS Mincho" w:hAnsi="Calibri" w:cs="Times New Roman"/>
                <w:sz w:val="20"/>
                <w:szCs w:val="20"/>
                <w:lang w:eastAsia="ja-JP"/>
              </w:rPr>
              <w:t>Lifecourse</w:t>
            </w:r>
            <w:proofErr w:type="spellEnd"/>
            <w:r w:rsidRPr="00902E61">
              <w:rPr>
                <w:rFonts w:ascii="Calibri" w:eastAsia="MS Mincho" w:hAnsi="Calibri" w:cs="Times New Roman"/>
                <w:sz w:val="20"/>
                <w:szCs w:val="20"/>
                <w:lang w:eastAsia="ja-JP"/>
              </w:rPr>
              <w:t xml:space="preserve"> Epidemiology Unit, University of Southampton, Southampton, UK</w:t>
            </w:r>
          </w:p>
        </w:tc>
      </w:tr>
      <w:tr w:rsidR="00720673" w:rsidRPr="00720673" w14:paraId="2C09E4C4" w14:textId="77777777" w:rsidTr="007820F3">
        <w:tc>
          <w:tcPr>
            <w:tcW w:w="421" w:type="dxa"/>
          </w:tcPr>
          <w:p w14:paraId="7FD7F3D1" w14:textId="2495C486" w:rsidR="00720673" w:rsidRPr="00720673" w:rsidRDefault="00720673" w:rsidP="00720673">
            <w:pPr>
              <w:spacing w:before="240"/>
              <w:jc w:val="right"/>
              <w:rPr>
                <w:rFonts w:ascii="Calibri" w:eastAsia="MS Mincho" w:hAnsi="Calibri" w:cs="Times New Roman"/>
                <w:sz w:val="20"/>
                <w:szCs w:val="20"/>
                <w:vertAlign w:val="superscript"/>
                <w:lang w:val="en-US" w:eastAsia="ja-JP"/>
              </w:rPr>
            </w:pPr>
            <w:r w:rsidRPr="00720673">
              <w:rPr>
                <w:rFonts w:ascii="Calibri" w:eastAsia="MS Mincho" w:hAnsi="Calibri" w:cs="Times New Roman"/>
                <w:sz w:val="20"/>
                <w:szCs w:val="20"/>
                <w:vertAlign w:val="superscript"/>
                <w:lang w:val="en-US" w:eastAsia="ja-JP"/>
              </w:rPr>
              <w:t>4</w:t>
            </w:r>
          </w:p>
        </w:tc>
        <w:tc>
          <w:tcPr>
            <w:tcW w:w="8028" w:type="dxa"/>
          </w:tcPr>
          <w:p w14:paraId="1AB1A4BF" w14:textId="3DF685FD" w:rsidR="00720673" w:rsidRPr="00720673" w:rsidRDefault="00720673" w:rsidP="00720673">
            <w:pPr>
              <w:spacing w:before="240"/>
              <w:ind w:left="277" w:hanging="277"/>
              <w:rPr>
                <w:rFonts w:ascii="Calibri" w:eastAsia="MS Mincho" w:hAnsi="Calibri" w:cs="Times New Roman"/>
                <w:sz w:val="20"/>
                <w:szCs w:val="20"/>
                <w:lang w:val="en-US" w:eastAsia="ja-JP"/>
              </w:rPr>
            </w:pPr>
            <w:r w:rsidRPr="00902E61">
              <w:rPr>
                <w:rFonts w:ascii="Calibri" w:eastAsia="MS Mincho" w:hAnsi="Calibri" w:cs="Times New Roman"/>
                <w:sz w:val="20"/>
                <w:szCs w:val="20"/>
                <w:lang w:eastAsia="ja-JP"/>
              </w:rPr>
              <w:t xml:space="preserve"> </w:t>
            </w:r>
            <w:r w:rsidRPr="00720673">
              <w:rPr>
                <w:rFonts w:ascii="Calibri" w:eastAsia="MS Mincho" w:hAnsi="Calibri" w:cs="Times New Roman"/>
                <w:sz w:val="20"/>
                <w:szCs w:val="20"/>
                <w:lang w:eastAsia="ja-JP"/>
              </w:rPr>
              <w:t>NIHR Musculoskeletal Biomedical Research Unit, University of Oxford, Oxford, UK</w:t>
            </w:r>
          </w:p>
        </w:tc>
      </w:tr>
      <w:tr w:rsidR="00720673" w:rsidRPr="00720673" w14:paraId="3689A03D" w14:textId="77777777" w:rsidTr="007820F3">
        <w:tc>
          <w:tcPr>
            <w:tcW w:w="421" w:type="dxa"/>
          </w:tcPr>
          <w:p w14:paraId="129A0195" w14:textId="20A11E06" w:rsidR="00720673" w:rsidRPr="00720673" w:rsidRDefault="00720673" w:rsidP="00720673">
            <w:pPr>
              <w:spacing w:before="240"/>
              <w:jc w:val="right"/>
              <w:rPr>
                <w:rFonts w:ascii="Calibri" w:eastAsia="MS Mincho" w:hAnsi="Calibri" w:cs="Times New Roman"/>
                <w:sz w:val="20"/>
                <w:szCs w:val="20"/>
                <w:vertAlign w:val="superscript"/>
                <w:lang w:val="en-US" w:eastAsia="ja-JP"/>
              </w:rPr>
            </w:pPr>
            <w:r w:rsidRPr="00720673">
              <w:rPr>
                <w:rFonts w:ascii="Calibri" w:eastAsia="MS Mincho" w:hAnsi="Calibri" w:cs="Times New Roman"/>
                <w:sz w:val="20"/>
                <w:szCs w:val="20"/>
                <w:vertAlign w:val="superscript"/>
                <w:lang w:val="en-US" w:eastAsia="ja-JP"/>
              </w:rPr>
              <w:t>5</w:t>
            </w:r>
          </w:p>
        </w:tc>
        <w:tc>
          <w:tcPr>
            <w:tcW w:w="8028" w:type="dxa"/>
          </w:tcPr>
          <w:p w14:paraId="393B6475" w14:textId="357F1C2B" w:rsidR="00720673" w:rsidRPr="00720673" w:rsidRDefault="00720673" w:rsidP="00720673">
            <w:pPr>
              <w:spacing w:before="240"/>
              <w:ind w:left="277" w:hanging="277"/>
              <w:rPr>
                <w:rFonts w:ascii="Calibri" w:eastAsia="MS Mincho" w:hAnsi="Calibri" w:cs="Times New Roman"/>
                <w:sz w:val="20"/>
                <w:szCs w:val="20"/>
                <w:lang w:val="en-US" w:eastAsia="ja-JP"/>
              </w:rPr>
            </w:pPr>
            <w:r w:rsidRPr="00720673">
              <w:rPr>
                <w:rFonts w:ascii="Calibri" w:eastAsia="MS Mincho" w:hAnsi="Calibri" w:cs="Times New Roman"/>
                <w:sz w:val="20"/>
                <w:szCs w:val="20"/>
                <w:lang w:eastAsia="ja-JP"/>
              </w:rPr>
              <w:t>Jean Mayer USDA Human Nutrition Research Center on Aging at Tufts University, Boston, MA, USA</w:t>
            </w:r>
          </w:p>
        </w:tc>
      </w:tr>
      <w:tr w:rsidR="00720673" w:rsidRPr="00720673" w14:paraId="1AEA1F81" w14:textId="77777777" w:rsidTr="007820F3">
        <w:tc>
          <w:tcPr>
            <w:tcW w:w="421" w:type="dxa"/>
          </w:tcPr>
          <w:p w14:paraId="58D525CA" w14:textId="6009A1BF" w:rsidR="00720673" w:rsidRPr="00720673" w:rsidRDefault="00720673" w:rsidP="00720673">
            <w:pPr>
              <w:spacing w:before="240"/>
              <w:jc w:val="right"/>
              <w:rPr>
                <w:rFonts w:ascii="Calibri" w:eastAsia="MS Mincho" w:hAnsi="Calibri" w:cs="Times New Roman"/>
                <w:sz w:val="20"/>
                <w:szCs w:val="20"/>
                <w:vertAlign w:val="superscript"/>
                <w:lang w:val="en-US" w:eastAsia="ja-JP"/>
              </w:rPr>
            </w:pPr>
            <w:r w:rsidRPr="00720673">
              <w:rPr>
                <w:rFonts w:ascii="Calibri" w:eastAsia="MS Mincho" w:hAnsi="Calibri" w:cs="Times New Roman"/>
                <w:sz w:val="20"/>
                <w:szCs w:val="20"/>
                <w:vertAlign w:val="superscript"/>
                <w:lang w:val="en-US" w:eastAsia="ja-JP"/>
              </w:rPr>
              <w:t>6</w:t>
            </w:r>
          </w:p>
        </w:tc>
        <w:tc>
          <w:tcPr>
            <w:tcW w:w="8028" w:type="dxa"/>
          </w:tcPr>
          <w:p w14:paraId="0417AA3A" w14:textId="68686E9E" w:rsidR="00720673" w:rsidRPr="00720673" w:rsidRDefault="00720673" w:rsidP="00720673">
            <w:pPr>
              <w:spacing w:before="240"/>
              <w:ind w:left="277" w:hanging="277"/>
              <w:rPr>
                <w:rFonts w:ascii="Calibri" w:eastAsia="MS Mincho" w:hAnsi="Calibri" w:cs="Times New Roman"/>
                <w:sz w:val="20"/>
                <w:szCs w:val="20"/>
                <w:lang w:val="en-US" w:eastAsia="ja-JP"/>
              </w:rPr>
            </w:pPr>
            <w:r w:rsidRPr="00902E61">
              <w:rPr>
                <w:rFonts w:ascii="Calibri" w:eastAsia="MS Mincho" w:hAnsi="Calibri" w:cs="Times New Roman"/>
                <w:sz w:val="20"/>
                <w:szCs w:val="20"/>
                <w:lang w:eastAsia="ja-JP"/>
              </w:rPr>
              <w:t>NIHR Southampton Biomedical Research Centre, University of Southampton and University Hospital Southampton NHS Foundation Trust, Southampton, UK</w:t>
            </w:r>
          </w:p>
        </w:tc>
        <w:bookmarkStart w:id="6" w:name="_GoBack"/>
        <w:bookmarkEnd w:id="6"/>
      </w:tr>
      <w:tr w:rsidR="00720673" w:rsidRPr="00720673" w14:paraId="6A3BE946" w14:textId="77777777" w:rsidTr="007820F3">
        <w:tc>
          <w:tcPr>
            <w:tcW w:w="421" w:type="dxa"/>
          </w:tcPr>
          <w:p w14:paraId="22C766B1" w14:textId="6C8F06DC" w:rsidR="00720673" w:rsidRPr="00720673" w:rsidRDefault="00720673" w:rsidP="00720673">
            <w:pPr>
              <w:spacing w:before="240"/>
              <w:jc w:val="right"/>
              <w:rPr>
                <w:rFonts w:ascii="Calibri" w:eastAsia="MS Mincho" w:hAnsi="Calibri" w:cs="Times New Roman"/>
                <w:sz w:val="20"/>
                <w:szCs w:val="20"/>
                <w:vertAlign w:val="superscript"/>
                <w:lang w:val="en-US" w:eastAsia="ja-JP"/>
              </w:rPr>
            </w:pPr>
            <w:r w:rsidRPr="00720673">
              <w:rPr>
                <w:rFonts w:ascii="Calibri" w:eastAsia="MS Mincho" w:hAnsi="Calibri" w:cs="Times New Roman"/>
                <w:sz w:val="20"/>
                <w:szCs w:val="20"/>
                <w:vertAlign w:val="superscript"/>
                <w:lang w:val="en-US" w:eastAsia="ja-JP"/>
              </w:rPr>
              <w:t>7</w:t>
            </w:r>
          </w:p>
        </w:tc>
        <w:tc>
          <w:tcPr>
            <w:tcW w:w="8028" w:type="dxa"/>
          </w:tcPr>
          <w:p w14:paraId="56BB4B13" w14:textId="0AA1A76D" w:rsidR="00720673" w:rsidRPr="00720673" w:rsidRDefault="00720673" w:rsidP="00720673">
            <w:pPr>
              <w:spacing w:before="240"/>
              <w:ind w:left="277" w:hanging="277"/>
              <w:rPr>
                <w:rFonts w:ascii="Calibri" w:eastAsia="MS Mincho" w:hAnsi="Calibri" w:cs="Times New Roman"/>
                <w:sz w:val="20"/>
                <w:szCs w:val="20"/>
                <w:lang w:val="en-US" w:eastAsia="ja-JP"/>
              </w:rPr>
            </w:pPr>
            <w:r w:rsidRPr="00902E61">
              <w:rPr>
                <w:rFonts w:ascii="Calibri" w:eastAsia="Calibri" w:hAnsi="Calibri" w:cs="Times New Roman"/>
                <w:sz w:val="20"/>
                <w:szCs w:val="20"/>
              </w:rPr>
              <w:t>Geriatric Medicine, Institute of Medicine, University of Gothenburg, Sweden</w:t>
            </w:r>
          </w:p>
        </w:tc>
      </w:tr>
      <w:tr w:rsidR="00720673" w:rsidRPr="00720673" w14:paraId="711FFD65" w14:textId="77777777" w:rsidTr="007820F3">
        <w:tc>
          <w:tcPr>
            <w:tcW w:w="421" w:type="dxa"/>
          </w:tcPr>
          <w:p w14:paraId="17710650" w14:textId="46070408" w:rsidR="00720673" w:rsidRPr="00720673" w:rsidRDefault="00720673" w:rsidP="00720673">
            <w:pPr>
              <w:spacing w:before="240"/>
              <w:jc w:val="right"/>
              <w:rPr>
                <w:rFonts w:ascii="Calibri" w:eastAsia="MS Mincho" w:hAnsi="Calibri" w:cs="Times New Roman"/>
                <w:sz w:val="20"/>
                <w:szCs w:val="20"/>
                <w:vertAlign w:val="superscript"/>
                <w:lang w:val="en-US" w:eastAsia="ja-JP"/>
              </w:rPr>
            </w:pPr>
            <w:r w:rsidRPr="00720673">
              <w:rPr>
                <w:rFonts w:ascii="Calibri" w:eastAsia="MS Mincho" w:hAnsi="Calibri" w:cs="Times New Roman"/>
                <w:sz w:val="20"/>
                <w:szCs w:val="20"/>
                <w:vertAlign w:val="superscript"/>
                <w:lang w:val="en-US" w:eastAsia="ja-JP"/>
              </w:rPr>
              <w:t>8</w:t>
            </w:r>
          </w:p>
        </w:tc>
        <w:tc>
          <w:tcPr>
            <w:tcW w:w="8028" w:type="dxa"/>
          </w:tcPr>
          <w:p w14:paraId="660BE368" w14:textId="76A0C8FA" w:rsidR="00720673" w:rsidRPr="00720673" w:rsidRDefault="00720673" w:rsidP="00720673">
            <w:pPr>
              <w:spacing w:before="240"/>
              <w:ind w:left="277" w:hanging="277"/>
              <w:rPr>
                <w:rFonts w:ascii="Calibri" w:eastAsia="MS Mincho" w:hAnsi="Calibri" w:cs="Times New Roman"/>
                <w:sz w:val="20"/>
                <w:szCs w:val="20"/>
                <w:lang w:val="en-US" w:eastAsia="ja-JP"/>
              </w:rPr>
            </w:pPr>
            <w:proofErr w:type="spellStart"/>
            <w:r w:rsidRPr="00902E61">
              <w:rPr>
                <w:rFonts w:ascii="Calibri" w:eastAsia="MS Mincho" w:hAnsi="Calibri" w:cs="Times New Roman"/>
                <w:bCs/>
                <w:sz w:val="20"/>
                <w:szCs w:val="20"/>
                <w:lang w:val="en-US" w:eastAsia="ja-JP"/>
              </w:rPr>
              <w:t>Mellanby</w:t>
            </w:r>
            <w:proofErr w:type="spellEnd"/>
            <w:r w:rsidRPr="00902E61">
              <w:rPr>
                <w:rFonts w:ascii="Calibri" w:eastAsia="MS Mincho" w:hAnsi="Calibri" w:cs="Times New Roman"/>
                <w:bCs/>
                <w:sz w:val="20"/>
                <w:szCs w:val="20"/>
                <w:lang w:val="en-US" w:eastAsia="ja-JP"/>
              </w:rPr>
              <w:t xml:space="preserve"> Centre for bone research, Department of Oncology and Metabolism, University of Sheffield, Sheffield, UK</w:t>
            </w:r>
          </w:p>
        </w:tc>
      </w:tr>
      <w:tr w:rsidR="00845D55" w:rsidRPr="00720673" w14:paraId="1FDEE825" w14:textId="77777777" w:rsidTr="007820F3">
        <w:tc>
          <w:tcPr>
            <w:tcW w:w="421" w:type="dxa"/>
          </w:tcPr>
          <w:p w14:paraId="063BF4CD" w14:textId="22AA5A89" w:rsidR="00845D55" w:rsidRPr="00720673" w:rsidRDefault="00845D55" w:rsidP="00845D55">
            <w:pPr>
              <w:spacing w:before="240"/>
              <w:jc w:val="right"/>
              <w:rPr>
                <w:rFonts w:ascii="Calibri" w:eastAsia="MS Mincho" w:hAnsi="Calibri" w:cs="Times New Roman"/>
                <w:sz w:val="20"/>
                <w:szCs w:val="20"/>
                <w:vertAlign w:val="superscript"/>
                <w:lang w:val="en-US" w:eastAsia="ja-JP"/>
              </w:rPr>
            </w:pPr>
            <w:r>
              <w:rPr>
                <w:rFonts w:ascii="Calibri" w:eastAsia="MS Mincho" w:hAnsi="Calibri" w:cs="Times New Roman"/>
                <w:sz w:val="20"/>
                <w:szCs w:val="20"/>
                <w:vertAlign w:val="superscript"/>
                <w:lang w:val="en-US" w:eastAsia="ja-JP"/>
              </w:rPr>
              <w:t>9</w:t>
            </w:r>
          </w:p>
        </w:tc>
        <w:tc>
          <w:tcPr>
            <w:tcW w:w="8028" w:type="dxa"/>
          </w:tcPr>
          <w:p w14:paraId="452B0EAD" w14:textId="40B953BF" w:rsidR="00845D55" w:rsidRPr="00902E61" w:rsidRDefault="00845D55" w:rsidP="00845D55">
            <w:pPr>
              <w:spacing w:before="240"/>
              <w:ind w:left="277" w:hanging="277"/>
              <w:rPr>
                <w:rFonts w:ascii="Calibri" w:eastAsia="MS Mincho" w:hAnsi="Calibri" w:cs="Times New Roman"/>
                <w:bCs/>
                <w:sz w:val="20"/>
                <w:szCs w:val="20"/>
                <w:lang w:val="en-US" w:eastAsia="ja-JP"/>
              </w:rPr>
            </w:pPr>
            <w:r w:rsidRPr="00720673">
              <w:rPr>
                <w:rFonts w:ascii="Calibri" w:eastAsia="MS Mincho" w:hAnsi="Calibri" w:cs="Times New Roman"/>
                <w:sz w:val="20"/>
                <w:szCs w:val="20"/>
                <w:lang w:val="en-US" w:eastAsia="ja-JP"/>
              </w:rPr>
              <w:t>Department of Public Health, Epidemiology and Health Economics, University of Liège, Liège, Belgium</w:t>
            </w:r>
          </w:p>
        </w:tc>
      </w:tr>
      <w:tr w:rsidR="00720673" w:rsidRPr="00720673" w14:paraId="12A1B836" w14:textId="77777777" w:rsidTr="007820F3">
        <w:tc>
          <w:tcPr>
            <w:tcW w:w="421" w:type="dxa"/>
          </w:tcPr>
          <w:p w14:paraId="6BAAF229" w14:textId="5F8CB210" w:rsidR="00720673" w:rsidRPr="00720673" w:rsidRDefault="00E8010A" w:rsidP="00720673">
            <w:pPr>
              <w:spacing w:before="240"/>
              <w:jc w:val="right"/>
              <w:rPr>
                <w:rFonts w:ascii="Calibri" w:eastAsia="MS Mincho" w:hAnsi="Calibri" w:cs="Times New Roman"/>
                <w:sz w:val="20"/>
                <w:szCs w:val="20"/>
                <w:vertAlign w:val="superscript"/>
                <w:lang w:val="en-US" w:eastAsia="ja-JP"/>
              </w:rPr>
            </w:pPr>
            <w:r>
              <w:rPr>
                <w:rFonts w:ascii="Calibri" w:eastAsia="MS Mincho" w:hAnsi="Calibri" w:cs="Times New Roman"/>
                <w:sz w:val="20"/>
                <w:szCs w:val="20"/>
                <w:vertAlign w:val="superscript"/>
                <w:lang w:val="en-US" w:eastAsia="ja-JP"/>
              </w:rPr>
              <w:t>10</w:t>
            </w:r>
          </w:p>
        </w:tc>
        <w:tc>
          <w:tcPr>
            <w:tcW w:w="8028" w:type="dxa"/>
          </w:tcPr>
          <w:p w14:paraId="18190356" w14:textId="114B0A7F" w:rsidR="00720673" w:rsidRPr="00720673" w:rsidRDefault="00720673" w:rsidP="00720673">
            <w:pPr>
              <w:spacing w:before="240"/>
              <w:ind w:left="277" w:hanging="277"/>
              <w:rPr>
                <w:rFonts w:ascii="Calibri" w:eastAsia="MS Mincho" w:hAnsi="Calibri" w:cs="Times New Roman"/>
                <w:sz w:val="20"/>
                <w:szCs w:val="20"/>
                <w:lang w:val="en-US" w:eastAsia="ja-JP"/>
              </w:rPr>
            </w:pPr>
            <w:r w:rsidRPr="00720673">
              <w:rPr>
                <w:rFonts w:ascii="Calibri" w:eastAsia="MS Mincho" w:hAnsi="Calibri" w:cs="Times New Roman"/>
                <w:sz w:val="20"/>
                <w:szCs w:val="20"/>
                <w:lang w:val="en-US" w:eastAsia="ja-JP"/>
              </w:rPr>
              <w:t>Chair for Biomarkers of Chronic Diseases, Biochemistry Dept., College of Science, King Saud University, Riyadh, Kingdom of Saudi Arabia</w:t>
            </w:r>
          </w:p>
        </w:tc>
      </w:tr>
      <w:tr w:rsidR="00720673" w:rsidRPr="00720673" w14:paraId="3B997F40" w14:textId="77777777" w:rsidTr="007820F3">
        <w:tc>
          <w:tcPr>
            <w:tcW w:w="421" w:type="dxa"/>
          </w:tcPr>
          <w:p w14:paraId="1F713C95" w14:textId="4DF8D633" w:rsidR="00720673" w:rsidRPr="00720673" w:rsidRDefault="00720673" w:rsidP="00720673">
            <w:pPr>
              <w:spacing w:before="240"/>
              <w:jc w:val="right"/>
              <w:rPr>
                <w:rFonts w:ascii="Calibri" w:eastAsia="MS Mincho" w:hAnsi="Calibri" w:cs="Times New Roman"/>
                <w:sz w:val="20"/>
                <w:szCs w:val="20"/>
                <w:vertAlign w:val="superscript"/>
                <w:lang w:val="en-US" w:eastAsia="ja-JP"/>
              </w:rPr>
            </w:pPr>
            <w:r w:rsidRPr="00720673">
              <w:rPr>
                <w:rFonts w:ascii="Calibri" w:eastAsia="MS Mincho" w:hAnsi="Calibri" w:cs="Times New Roman"/>
                <w:sz w:val="20"/>
                <w:szCs w:val="20"/>
                <w:vertAlign w:val="superscript"/>
                <w:lang w:val="en-US" w:eastAsia="ja-JP"/>
              </w:rPr>
              <w:t>11</w:t>
            </w:r>
          </w:p>
        </w:tc>
        <w:tc>
          <w:tcPr>
            <w:tcW w:w="8028" w:type="dxa"/>
          </w:tcPr>
          <w:p w14:paraId="562DF193" w14:textId="1BD6E06B" w:rsidR="00720673" w:rsidRPr="00720673" w:rsidRDefault="00720673" w:rsidP="00720673">
            <w:pPr>
              <w:spacing w:before="240"/>
              <w:ind w:left="277" w:hanging="277"/>
              <w:rPr>
                <w:rFonts w:ascii="Calibri" w:eastAsia="MS Mincho" w:hAnsi="Calibri" w:cs="Times New Roman"/>
                <w:sz w:val="20"/>
                <w:szCs w:val="20"/>
                <w:lang w:val="en-US" w:eastAsia="ja-JP"/>
              </w:rPr>
            </w:pPr>
            <w:r w:rsidRPr="00720673">
              <w:rPr>
                <w:rFonts w:ascii="Calibri" w:eastAsia="MS Mincho" w:hAnsi="Calibri" w:cs="Times New Roman"/>
                <w:sz w:val="20"/>
                <w:szCs w:val="20"/>
                <w:lang w:val="en-US" w:eastAsia="ja-JP"/>
              </w:rPr>
              <w:t>Service of Bone Diseases, Geneva University Hospitals and Faculty of Medicine, Geneva, Switzerland</w:t>
            </w:r>
          </w:p>
        </w:tc>
      </w:tr>
    </w:tbl>
    <w:p w14:paraId="2964B570" w14:textId="77777777" w:rsidR="00902E61" w:rsidRPr="00902E61" w:rsidRDefault="00902E61" w:rsidP="00902E61">
      <w:pPr>
        <w:spacing w:after="0" w:line="240" w:lineRule="auto"/>
        <w:ind w:left="567" w:hanging="142"/>
        <w:rPr>
          <w:rFonts w:ascii="Calibri" w:eastAsia="MS Mincho" w:hAnsi="Calibri" w:cs="Times New Roman"/>
          <w:sz w:val="24"/>
          <w:szCs w:val="24"/>
          <w:lang w:val="en-US" w:eastAsia="ja-JP"/>
        </w:rPr>
      </w:pPr>
    </w:p>
    <w:p w14:paraId="179153B8" w14:textId="77777777" w:rsidR="00902E61" w:rsidRPr="00902E61" w:rsidRDefault="00902E61" w:rsidP="00902E61">
      <w:pPr>
        <w:spacing w:after="0" w:line="240" w:lineRule="auto"/>
        <w:ind w:left="567"/>
        <w:rPr>
          <w:rFonts w:ascii="Calibri" w:eastAsia="MS Mincho" w:hAnsi="Calibri" w:cs="Times New Roman"/>
          <w:sz w:val="24"/>
          <w:szCs w:val="24"/>
          <w:lang w:eastAsia="ja-JP"/>
        </w:rPr>
      </w:pPr>
    </w:p>
    <w:p w14:paraId="6D72BF4D" w14:textId="77777777" w:rsidR="00720673" w:rsidRDefault="00720673" w:rsidP="00902E61">
      <w:pPr>
        <w:ind w:left="567"/>
        <w:rPr>
          <w:rFonts w:ascii="Calibri" w:eastAsia="Calibri" w:hAnsi="Calibri" w:cs="Times New Roman"/>
          <w:sz w:val="24"/>
          <w:szCs w:val="24"/>
        </w:rPr>
      </w:pPr>
    </w:p>
    <w:p w14:paraId="2E2615F1" w14:textId="40C555A0" w:rsidR="00902E61" w:rsidRPr="00902E61" w:rsidRDefault="00902E61" w:rsidP="00902E61">
      <w:pPr>
        <w:ind w:left="567"/>
        <w:rPr>
          <w:rFonts w:ascii="Calibri" w:eastAsia="Calibri" w:hAnsi="Calibri" w:cs="Times New Roman"/>
          <w:sz w:val="24"/>
          <w:szCs w:val="24"/>
        </w:rPr>
      </w:pPr>
      <w:r w:rsidRPr="00902E61">
        <w:rPr>
          <w:rFonts w:ascii="Calibri" w:eastAsia="Calibri" w:hAnsi="Calibri" w:cs="Times New Roman"/>
          <w:sz w:val="24"/>
          <w:szCs w:val="24"/>
        </w:rPr>
        <w:t xml:space="preserve">Correspondence to: Prof John A Kanis, Centre for Metabolic Bone Diseases, University of Sheffield Medical School, Beech Hill Road, Sheffield S10 2RX, UK; Tel: +44 114 285 1109; Fax: +44 114 285 1813; </w:t>
      </w:r>
      <w:hyperlink r:id="rId7" w:history="1">
        <w:r w:rsidRPr="00902E61">
          <w:rPr>
            <w:rFonts w:ascii="Calibri" w:eastAsia="Calibri" w:hAnsi="Calibri" w:cs="Times New Roman"/>
            <w:color w:val="0563C1"/>
            <w:sz w:val="24"/>
            <w:szCs w:val="24"/>
            <w:u w:val="single"/>
          </w:rPr>
          <w:t>w.j.pontefract@shef.ac.uk</w:t>
        </w:r>
      </w:hyperlink>
    </w:p>
    <w:p w14:paraId="06248A75" w14:textId="77777777" w:rsidR="00902E61" w:rsidRPr="00902E61" w:rsidRDefault="00902E61" w:rsidP="00902E61">
      <w:pPr>
        <w:rPr>
          <w:rFonts w:ascii="Calibri" w:eastAsia="Calibri" w:hAnsi="Calibri" w:cs="Times New Roman"/>
          <w:b/>
        </w:rPr>
      </w:pPr>
      <w:r w:rsidRPr="00902E61">
        <w:rPr>
          <w:rFonts w:ascii="Calibri" w:eastAsia="Calibri" w:hAnsi="Calibri" w:cs="Times New Roman"/>
          <w:b/>
        </w:rPr>
        <w:br w:type="page"/>
      </w:r>
    </w:p>
    <w:p w14:paraId="479FB373" w14:textId="77777777" w:rsidR="00CD4B71" w:rsidRDefault="00CD4B71" w:rsidP="007B36C3">
      <w:pPr>
        <w:rPr>
          <w:b/>
          <w:bCs/>
        </w:rPr>
      </w:pPr>
    </w:p>
    <w:p w14:paraId="6D4E205F" w14:textId="3AA784D5" w:rsidR="008F330C" w:rsidRPr="008F330C" w:rsidRDefault="008F330C" w:rsidP="007B36C3">
      <w:pPr>
        <w:rPr>
          <w:b/>
          <w:bCs/>
        </w:rPr>
      </w:pPr>
      <w:r w:rsidRPr="008F330C">
        <w:rPr>
          <w:b/>
          <w:bCs/>
        </w:rPr>
        <w:t>Introduction</w:t>
      </w:r>
    </w:p>
    <w:p w14:paraId="210DF810" w14:textId="0A40580E" w:rsidR="002F404B" w:rsidRDefault="00382E8C" w:rsidP="007B36C3">
      <w:r>
        <w:t xml:space="preserve"> </w:t>
      </w:r>
      <w:r w:rsidR="007B36C3">
        <w:t xml:space="preserve">A recent article from the New England Journal of Medicine </w:t>
      </w:r>
      <w:r w:rsidR="0008761B">
        <w:t>questioned</w:t>
      </w:r>
      <w:r w:rsidR="007B36C3">
        <w:t xml:space="preserve"> the use of race or ethnicity in assessment </w:t>
      </w:r>
      <w:r w:rsidR="007B36C3" w:rsidRPr="00F02FA2">
        <w:t>algorithms [</w:t>
      </w:r>
      <w:r w:rsidR="00120F13">
        <w:t>1</w:t>
      </w:r>
      <w:r w:rsidR="007B36C3" w:rsidRPr="00F02FA2">
        <w:t>].  In the case</w:t>
      </w:r>
      <w:r w:rsidR="007B36C3">
        <w:t xml:space="preserve"> of osteoporosis, the authors note</w:t>
      </w:r>
      <w:r w:rsidR="0008761B">
        <w:t>d</w:t>
      </w:r>
      <w:r w:rsidR="007B36C3">
        <w:t xml:space="preserve"> that the US FRAX calculator returns a lower fracture risk for women who are </w:t>
      </w:r>
      <w:r w:rsidR="00150370">
        <w:t>B</w:t>
      </w:r>
      <w:r w:rsidR="007B36C3">
        <w:t xml:space="preserve">lack (by a factor of 0.43), Asian (0.50) or Hispanic (0.53).  They conclude that the lower risk for </w:t>
      </w:r>
      <w:r w:rsidR="003E2590">
        <w:t>Black, Asian and minority ethnic (BAME)</w:t>
      </w:r>
      <w:r w:rsidR="007B36C3">
        <w:t xml:space="preserve"> women may delay intervention with osteoporosis therapy.</w:t>
      </w:r>
      <w:r w:rsidR="00257F97" w:rsidRPr="00257F97">
        <w:t xml:space="preserve"> </w:t>
      </w:r>
      <w:r w:rsidR="00E003D3">
        <w:t xml:space="preserve"> </w:t>
      </w:r>
      <w:r w:rsidR="00CB53B2">
        <w:t xml:space="preserve">The New York </w:t>
      </w:r>
      <w:r w:rsidR="00FB77C9">
        <w:t>T</w:t>
      </w:r>
      <w:r w:rsidR="00CB53B2">
        <w:t xml:space="preserve">imes goes further in stating that with FRAX (sic) </w:t>
      </w:r>
      <w:r w:rsidR="00CB53B2" w:rsidRPr="00CB53B2">
        <w:t xml:space="preserve"> </w:t>
      </w:r>
      <w:r w:rsidR="00B47CBC">
        <w:t>b</w:t>
      </w:r>
      <w:r w:rsidR="00CB53B2" w:rsidRPr="00CB53B2">
        <w:t xml:space="preserve">lack women end up having a score that makes them less likely to be prescribed osteoporosis medication than white women who are similar in </w:t>
      </w:r>
      <w:r w:rsidR="00B47CBC">
        <w:t xml:space="preserve">all </w:t>
      </w:r>
      <w:r w:rsidR="00CB53B2" w:rsidRPr="00CB53B2">
        <w:t>other respects</w:t>
      </w:r>
      <w:r w:rsidR="00B47CBC">
        <w:t xml:space="preserve"> [</w:t>
      </w:r>
      <w:r w:rsidR="004A31E8">
        <w:t>2</w:t>
      </w:r>
      <w:r w:rsidR="00B47CBC">
        <w:t>]</w:t>
      </w:r>
      <w:r w:rsidR="00CB53B2" w:rsidRPr="00CB53B2">
        <w:t>.</w:t>
      </w:r>
      <w:r w:rsidR="00EA3E6D">
        <w:t xml:space="preserve"> </w:t>
      </w:r>
    </w:p>
    <w:p w14:paraId="289BC298" w14:textId="28ABD43A" w:rsidR="00253541" w:rsidRDefault="00305C78" w:rsidP="007B36C3">
      <w:r>
        <w:t>I</w:t>
      </w:r>
      <w:r w:rsidR="007B36C3">
        <w:t xml:space="preserve">n the case of osteoporosis and FRAX, the </w:t>
      </w:r>
      <w:r w:rsidR="00EA3E6D">
        <w:t>authors do not appear to have grasped the reality of fracture</w:t>
      </w:r>
      <w:r w:rsidR="00A912D4">
        <w:t xml:space="preserve"> epidemiology and</w:t>
      </w:r>
      <w:r w:rsidR="00EA3E6D">
        <w:t xml:space="preserve"> risk assessment.</w:t>
      </w:r>
      <w:r w:rsidR="00577B00">
        <w:t xml:space="preserve"> </w:t>
      </w:r>
      <w:r w:rsidR="0024295E">
        <w:t xml:space="preserve"> </w:t>
      </w:r>
      <w:r w:rsidR="00577B00">
        <w:t>In this editorial, we set out the key messages from the epidemiology of fracture globally, key considerations in building risk assessment tools, the specific contribution of race/ethnicity and practical considerations related to any move to alter race/ethnicity categorisation or remove them entirely.</w:t>
      </w:r>
    </w:p>
    <w:p w14:paraId="4FF4E3E7" w14:textId="4855330F" w:rsidR="00FE46F1" w:rsidRPr="006E5193" w:rsidRDefault="00FE46F1" w:rsidP="007B36C3">
      <w:pPr>
        <w:rPr>
          <w:b/>
          <w:bCs/>
        </w:rPr>
      </w:pPr>
      <w:r w:rsidRPr="006E5193">
        <w:rPr>
          <w:b/>
          <w:bCs/>
        </w:rPr>
        <w:t>Heterogeneity of fracture risk</w:t>
      </w:r>
    </w:p>
    <w:p w14:paraId="0794A277" w14:textId="1B6EAAAF" w:rsidR="00EC2305" w:rsidRDefault="00EC2305" w:rsidP="007B36C3">
      <w:pPr>
        <w:rPr>
          <w:rFonts w:cs="Palatino"/>
          <w:color w:val="000000"/>
        </w:rPr>
      </w:pPr>
      <w:r w:rsidRPr="006E5193">
        <w:t xml:space="preserve">Fracture probability varies markedly in different regions of the world due to </w:t>
      </w:r>
      <w:r w:rsidR="006F3532" w:rsidRPr="006E5193">
        <w:t>differences in</w:t>
      </w:r>
      <w:r w:rsidR="004A0E4F" w:rsidRPr="006E5193">
        <w:t xml:space="preserve"> fracture risk and mortality</w:t>
      </w:r>
      <w:r w:rsidR="00AD6B8A">
        <w:t xml:space="preserve"> [</w:t>
      </w:r>
      <w:r w:rsidR="004E1377">
        <w:t>3</w:t>
      </w:r>
      <w:r w:rsidR="00F11F03">
        <w:t>,4</w:t>
      </w:r>
      <w:r w:rsidR="00CE4885">
        <w:t>]</w:t>
      </w:r>
      <w:r w:rsidR="00036AF0" w:rsidRPr="006E5193">
        <w:t>.  In the case of hip fracture</w:t>
      </w:r>
      <w:r w:rsidR="00EB314F" w:rsidRPr="006E5193">
        <w:t>,</w:t>
      </w:r>
      <w:r w:rsidR="004E5BAF" w:rsidRPr="006E5193">
        <w:t xml:space="preserve"> the</w:t>
      </w:r>
      <w:r w:rsidR="00EB314F" w:rsidRPr="006E5193">
        <w:t>re is a ten-fold</w:t>
      </w:r>
      <w:r w:rsidR="004E5BAF" w:rsidRPr="006E5193">
        <w:t xml:space="preserve"> ra</w:t>
      </w:r>
      <w:r w:rsidR="00EB314F" w:rsidRPr="006E5193">
        <w:t>nge</w:t>
      </w:r>
      <w:r w:rsidR="00036AF0" w:rsidRPr="006E5193">
        <w:t xml:space="preserve"> </w:t>
      </w:r>
      <w:r w:rsidR="00665D8E" w:rsidRPr="006E5193">
        <w:t xml:space="preserve">in probability worldwide </w:t>
      </w:r>
      <w:r w:rsidR="00C133F7" w:rsidRPr="006E5193">
        <w:t>which far e</w:t>
      </w:r>
      <w:r w:rsidR="008304C2" w:rsidRPr="006E5193">
        <w:t xml:space="preserve">xceeds </w:t>
      </w:r>
      <w:r w:rsidR="00F43A79" w:rsidRPr="006E5193">
        <w:rPr>
          <w:rFonts w:cs="Palatino"/>
          <w:color w:val="000000"/>
        </w:rPr>
        <w:t>the differences in inci</w:t>
      </w:r>
      <w:r w:rsidR="00F43A79" w:rsidRPr="006E5193">
        <w:rPr>
          <w:rFonts w:cs="Palatino"/>
          <w:color w:val="000000"/>
        </w:rPr>
        <w:softHyphen/>
        <w:t>dence between sexes within a country</w:t>
      </w:r>
      <w:r w:rsidR="0024295E">
        <w:rPr>
          <w:rFonts w:cs="Palatino"/>
          <w:color w:val="000000"/>
        </w:rPr>
        <w:t xml:space="preserve"> </w:t>
      </w:r>
      <w:r w:rsidR="0024295E" w:rsidRPr="0024295E">
        <w:rPr>
          <w:rFonts w:cs="Palatino"/>
          <w:color w:val="000000"/>
        </w:rPr>
        <w:t>(Figure 1)</w:t>
      </w:r>
      <w:r w:rsidR="00F43A79" w:rsidRPr="006E5193">
        <w:rPr>
          <w:rFonts w:cs="Palatino"/>
          <w:color w:val="000000"/>
        </w:rPr>
        <w:t>.</w:t>
      </w:r>
      <w:r w:rsidR="00B8164A" w:rsidRPr="006E5193">
        <w:rPr>
          <w:rFonts w:cs="Palatino"/>
          <w:color w:val="000000"/>
        </w:rPr>
        <w:t xml:space="preserve">  </w:t>
      </w:r>
      <w:r w:rsidR="00013F08">
        <w:rPr>
          <w:rFonts w:cs="Palatino"/>
          <w:color w:val="000000"/>
        </w:rPr>
        <w:t>Ethnicity is not a</w:t>
      </w:r>
      <w:r w:rsidR="00D147EA">
        <w:rPr>
          <w:rFonts w:cs="Palatino"/>
          <w:color w:val="000000"/>
        </w:rPr>
        <w:t xml:space="preserve"> direct</w:t>
      </w:r>
      <w:r w:rsidR="00013F08">
        <w:rPr>
          <w:rFonts w:cs="Palatino"/>
          <w:color w:val="000000"/>
        </w:rPr>
        <w:t xml:space="preserve"> input variable in the FRAX model</w:t>
      </w:r>
      <w:r w:rsidR="00A912D4">
        <w:rPr>
          <w:rFonts w:cs="Palatino"/>
          <w:color w:val="000000"/>
        </w:rPr>
        <w:t xml:space="preserve">; </w:t>
      </w:r>
      <w:r w:rsidR="00013F08">
        <w:rPr>
          <w:rFonts w:cs="Palatino"/>
          <w:color w:val="000000"/>
        </w:rPr>
        <w:t>t</w:t>
      </w:r>
      <w:r w:rsidR="00B8164A" w:rsidRPr="006E5193">
        <w:rPr>
          <w:rFonts w:cs="Palatino"/>
          <w:color w:val="000000"/>
        </w:rPr>
        <w:t xml:space="preserve">hese </w:t>
      </w:r>
      <w:r w:rsidR="009D6EB1" w:rsidRPr="006E5193">
        <w:rPr>
          <w:rFonts w:cs="Palatino"/>
          <w:color w:val="000000"/>
        </w:rPr>
        <w:t>differences</w:t>
      </w:r>
      <w:r w:rsidR="00744B7A">
        <w:rPr>
          <w:rFonts w:cs="Palatino"/>
          <w:color w:val="000000"/>
        </w:rPr>
        <w:t xml:space="preserve"> therefore</w:t>
      </w:r>
      <w:r w:rsidR="009D6EB1" w:rsidRPr="006E5193">
        <w:rPr>
          <w:rFonts w:cs="Palatino"/>
          <w:color w:val="000000"/>
        </w:rPr>
        <w:t xml:space="preserve"> </w:t>
      </w:r>
      <w:r w:rsidR="00196A5F" w:rsidRPr="006E5193">
        <w:rPr>
          <w:rFonts w:cs="Palatino"/>
          <w:color w:val="000000"/>
        </w:rPr>
        <w:t>require</w:t>
      </w:r>
      <w:r w:rsidR="001F0669" w:rsidRPr="006E5193">
        <w:rPr>
          <w:rFonts w:cs="Palatino"/>
          <w:color w:val="000000"/>
        </w:rPr>
        <w:t xml:space="preserve"> that FRAX models for a specific country </w:t>
      </w:r>
      <w:r w:rsidR="002841AE">
        <w:rPr>
          <w:rFonts w:cs="Palatino"/>
          <w:color w:val="000000"/>
        </w:rPr>
        <w:t>be</w:t>
      </w:r>
      <w:r w:rsidR="001F0669" w:rsidRPr="006E5193">
        <w:rPr>
          <w:rFonts w:cs="Palatino"/>
          <w:color w:val="000000"/>
        </w:rPr>
        <w:t xml:space="preserve"> calibrated to national fracture and mortality rates.</w:t>
      </w:r>
      <w:r w:rsidR="00196A5F" w:rsidRPr="006E5193">
        <w:rPr>
          <w:rFonts w:cs="Palatino"/>
          <w:color w:val="000000"/>
        </w:rPr>
        <w:t xml:space="preserve">  Failure to do </w:t>
      </w:r>
      <w:r w:rsidR="00BA1B07" w:rsidRPr="006E5193">
        <w:rPr>
          <w:rFonts w:cs="Palatino"/>
          <w:color w:val="000000"/>
        </w:rPr>
        <w:t xml:space="preserve">so would result in </w:t>
      </w:r>
      <w:r w:rsidR="005C1CCF" w:rsidRPr="006E5193">
        <w:rPr>
          <w:rFonts w:cs="Palatino"/>
          <w:color w:val="000000"/>
        </w:rPr>
        <w:t>exceptionally large</w:t>
      </w:r>
      <w:r w:rsidR="00BA1B07" w:rsidRPr="006E5193">
        <w:rPr>
          <w:rFonts w:cs="Palatino"/>
          <w:color w:val="000000"/>
        </w:rPr>
        <w:t xml:space="preserve"> and av</w:t>
      </w:r>
      <w:r w:rsidR="008E1929" w:rsidRPr="006E5193">
        <w:rPr>
          <w:rFonts w:cs="Palatino"/>
          <w:color w:val="000000"/>
        </w:rPr>
        <w:t xml:space="preserve">oidable errors </w:t>
      </w:r>
      <w:r w:rsidR="00BA1B07" w:rsidRPr="006E5193">
        <w:rPr>
          <w:rFonts w:cs="Palatino"/>
          <w:color w:val="000000"/>
        </w:rPr>
        <w:t xml:space="preserve">in the </w:t>
      </w:r>
      <w:r w:rsidR="008E1929" w:rsidRPr="006E5193">
        <w:rPr>
          <w:rFonts w:cs="Palatino"/>
          <w:color w:val="000000"/>
        </w:rPr>
        <w:t xml:space="preserve">stratification of </w:t>
      </w:r>
      <w:r w:rsidR="00CD22CF" w:rsidRPr="006E5193">
        <w:rPr>
          <w:rFonts w:cs="Palatino"/>
          <w:color w:val="000000"/>
        </w:rPr>
        <w:t xml:space="preserve">risk.  </w:t>
      </w:r>
      <w:r w:rsidR="00172F79" w:rsidRPr="006E5193">
        <w:rPr>
          <w:rFonts w:cs="Palatino"/>
          <w:color w:val="000000"/>
        </w:rPr>
        <w:t>Indeed</w:t>
      </w:r>
      <w:r w:rsidR="005E0123" w:rsidRPr="006E5193">
        <w:rPr>
          <w:rFonts w:cs="Palatino"/>
          <w:color w:val="000000"/>
        </w:rPr>
        <w:t>,</w:t>
      </w:r>
      <w:r w:rsidR="00172F79" w:rsidRPr="006E5193">
        <w:rPr>
          <w:rFonts w:cs="Palatino"/>
          <w:color w:val="000000"/>
        </w:rPr>
        <w:t xml:space="preserve"> it would </w:t>
      </w:r>
      <w:r w:rsidR="005E0123" w:rsidRPr="006E5193">
        <w:rPr>
          <w:rFonts w:cs="Palatino"/>
          <w:color w:val="000000"/>
        </w:rPr>
        <w:t>negate</w:t>
      </w:r>
      <w:r w:rsidR="009E4707" w:rsidRPr="006E5193">
        <w:rPr>
          <w:rFonts w:cs="Palatino"/>
          <w:color w:val="000000"/>
        </w:rPr>
        <w:t xml:space="preserve"> the utility of risk assessment</w:t>
      </w:r>
      <w:r w:rsidR="00B0190A" w:rsidRPr="006E5193">
        <w:rPr>
          <w:rFonts w:cs="Palatino"/>
          <w:color w:val="000000"/>
        </w:rPr>
        <w:t>.</w:t>
      </w:r>
      <w:r w:rsidR="005B23CE" w:rsidRPr="006E5193">
        <w:rPr>
          <w:rFonts w:cs="Palatino"/>
          <w:color w:val="000000"/>
        </w:rPr>
        <w:t xml:space="preserve">  </w:t>
      </w:r>
      <w:r w:rsidR="00E45885" w:rsidRPr="006E5193">
        <w:rPr>
          <w:rFonts w:cs="Palatino"/>
          <w:color w:val="000000"/>
        </w:rPr>
        <w:t>In addition to</w:t>
      </w:r>
      <w:r w:rsidR="00A248E0" w:rsidRPr="006E5193">
        <w:rPr>
          <w:rFonts w:cs="Palatino"/>
          <w:color w:val="000000"/>
        </w:rPr>
        <w:t xml:space="preserve"> 73 country-specific models</w:t>
      </w:r>
      <w:r w:rsidR="0041131C" w:rsidRPr="006E5193">
        <w:rPr>
          <w:rFonts w:cs="Palatino"/>
          <w:color w:val="000000"/>
        </w:rPr>
        <w:t>,</w:t>
      </w:r>
      <w:r w:rsidR="00E45885" w:rsidRPr="006E5193">
        <w:rPr>
          <w:rFonts w:cs="Palatino"/>
          <w:color w:val="000000"/>
        </w:rPr>
        <w:t xml:space="preserve"> </w:t>
      </w:r>
      <w:r w:rsidR="0041131C" w:rsidRPr="006E5193">
        <w:rPr>
          <w:rFonts w:cs="Palatino"/>
          <w:color w:val="000000"/>
        </w:rPr>
        <w:t>e</w:t>
      </w:r>
      <w:r w:rsidR="00E45885" w:rsidRPr="006E5193">
        <w:rPr>
          <w:rFonts w:cs="Palatino"/>
          <w:color w:val="000000"/>
        </w:rPr>
        <w:t>thnicity-specific models are available in the US, South Africa and Singapore.</w:t>
      </w:r>
      <w:r w:rsidR="00462004" w:rsidRPr="006E5193">
        <w:rPr>
          <w:rFonts w:cs="Palatino"/>
          <w:color w:val="000000"/>
        </w:rPr>
        <w:t xml:space="preserve">  </w:t>
      </w:r>
      <w:r w:rsidR="0015722C" w:rsidRPr="006E5193">
        <w:rPr>
          <w:rFonts w:cs="Palatino"/>
          <w:color w:val="000000"/>
        </w:rPr>
        <w:t>Variations</w:t>
      </w:r>
      <w:r w:rsidR="00462004" w:rsidRPr="006E5193">
        <w:rPr>
          <w:rFonts w:cs="Palatino"/>
          <w:color w:val="000000"/>
        </w:rPr>
        <w:t xml:space="preserve"> in ethnic</w:t>
      </w:r>
      <w:r w:rsidR="00744B7A">
        <w:rPr>
          <w:rFonts w:cs="Palatino"/>
          <w:color w:val="000000"/>
        </w:rPr>
        <w:t>ity</w:t>
      </w:r>
      <w:r w:rsidR="00462004" w:rsidRPr="006E5193">
        <w:rPr>
          <w:rFonts w:cs="Palatino"/>
          <w:color w:val="000000"/>
        </w:rPr>
        <w:t>-specific risk</w:t>
      </w:r>
      <w:r w:rsidR="007038BC" w:rsidRPr="006E5193">
        <w:rPr>
          <w:rFonts w:cs="Palatino"/>
          <w:color w:val="000000"/>
        </w:rPr>
        <w:t xml:space="preserve"> often exceed the differences </w:t>
      </w:r>
      <w:r w:rsidR="00EE3F98" w:rsidRPr="006E5193">
        <w:rPr>
          <w:rFonts w:cs="Palatino"/>
          <w:color w:val="000000"/>
        </w:rPr>
        <w:t>in</w:t>
      </w:r>
      <w:r w:rsidR="003F2660" w:rsidRPr="006E5193">
        <w:rPr>
          <w:rFonts w:cs="Palatino"/>
          <w:color w:val="000000"/>
        </w:rPr>
        <w:t xml:space="preserve"> </w:t>
      </w:r>
      <w:r w:rsidR="00744B7A">
        <w:rPr>
          <w:rFonts w:cs="Palatino"/>
          <w:color w:val="000000"/>
        </w:rPr>
        <w:t>risk</w:t>
      </w:r>
      <w:r w:rsidR="00744B7A" w:rsidRPr="006E5193">
        <w:rPr>
          <w:rFonts w:cs="Palatino"/>
          <w:color w:val="000000"/>
        </w:rPr>
        <w:t xml:space="preserve"> </w:t>
      </w:r>
      <w:r w:rsidR="003F2660" w:rsidRPr="006E5193">
        <w:rPr>
          <w:rFonts w:cs="Palatino"/>
          <w:color w:val="000000"/>
        </w:rPr>
        <w:t>between sexes.</w:t>
      </w:r>
      <w:r w:rsidR="006521A0" w:rsidRPr="006E5193">
        <w:rPr>
          <w:rFonts w:cs="Palatino"/>
          <w:color w:val="000000"/>
        </w:rPr>
        <w:t xml:space="preserve">  </w:t>
      </w:r>
      <w:r w:rsidR="006A5277" w:rsidRPr="006E5193">
        <w:rPr>
          <w:rFonts w:cs="Palatino"/>
          <w:color w:val="000000"/>
        </w:rPr>
        <w:t>Fail</w:t>
      </w:r>
      <w:r w:rsidR="00EE391F" w:rsidRPr="006E5193">
        <w:rPr>
          <w:rFonts w:cs="Palatino"/>
          <w:color w:val="000000"/>
        </w:rPr>
        <w:t>u</w:t>
      </w:r>
      <w:r w:rsidR="006A5277" w:rsidRPr="006E5193">
        <w:rPr>
          <w:rFonts w:cs="Palatino"/>
          <w:color w:val="000000"/>
        </w:rPr>
        <w:t>re to calibrate</w:t>
      </w:r>
      <w:r w:rsidR="00EE391F" w:rsidRPr="006E5193">
        <w:rPr>
          <w:rFonts w:cs="Palatino"/>
          <w:color w:val="000000"/>
        </w:rPr>
        <w:t xml:space="preserve"> for ethnicity would have </w:t>
      </w:r>
      <w:r w:rsidR="00A06A01" w:rsidRPr="006E5193">
        <w:rPr>
          <w:rFonts w:cs="Palatino"/>
          <w:color w:val="000000"/>
        </w:rPr>
        <w:t xml:space="preserve">adverse </w:t>
      </w:r>
      <w:r w:rsidR="00EE391F" w:rsidRPr="006E5193">
        <w:rPr>
          <w:rFonts w:cs="Palatino"/>
          <w:color w:val="000000"/>
        </w:rPr>
        <w:t xml:space="preserve">consequences greater </w:t>
      </w:r>
      <w:r w:rsidR="004028F5" w:rsidRPr="006E5193">
        <w:rPr>
          <w:rFonts w:cs="Palatino"/>
          <w:color w:val="000000"/>
        </w:rPr>
        <w:t>t</w:t>
      </w:r>
      <w:r w:rsidR="00EE391F" w:rsidRPr="006E5193">
        <w:rPr>
          <w:rFonts w:cs="Palatino"/>
          <w:color w:val="000000"/>
        </w:rPr>
        <w:t>han failure to ca</w:t>
      </w:r>
      <w:r w:rsidR="004028F5" w:rsidRPr="006E5193">
        <w:rPr>
          <w:rFonts w:cs="Palatino"/>
          <w:color w:val="000000"/>
        </w:rPr>
        <w:t>librate for sex.</w:t>
      </w:r>
      <w:r w:rsidR="006521A0" w:rsidRPr="006E5193">
        <w:rPr>
          <w:rFonts w:cs="Palatino"/>
          <w:color w:val="000000"/>
        </w:rPr>
        <w:t xml:space="preserve"> </w:t>
      </w:r>
    </w:p>
    <w:p w14:paraId="7E7CC6F2" w14:textId="77777777" w:rsidR="0047485E" w:rsidRDefault="0047485E" w:rsidP="0047485E">
      <w:pPr>
        <w:rPr>
          <w:rFonts w:cs="Palatino"/>
          <w:color w:val="000000"/>
          <w:sz w:val="20"/>
          <w:szCs w:val="20"/>
        </w:rPr>
      </w:pPr>
      <w:r w:rsidRPr="009028FE">
        <w:rPr>
          <w:rFonts w:cs="Palatino"/>
          <w:noProof/>
          <w:color w:val="000000"/>
          <w:sz w:val="20"/>
          <w:szCs w:val="20"/>
          <w:lang w:eastAsia="en-GB"/>
        </w:rPr>
        <w:drawing>
          <wp:anchor distT="0" distB="0" distL="114300" distR="114300" simplePos="0" relativeHeight="251660288" behindDoc="0" locked="0" layoutInCell="1" allowOverlap="1" wp14:anchorId="727F8E4D" wp14:editId="22830CEC">
            <wp:simplePos x="0" y="0"/>
            <wp:positionH relativeFrom="column">
              <wp:posOffset>885825</wp:posOffset>
            </wp:positionH>
            <wp:positionV relativeFrom="paragraph">
              <wp:posOffset>28575</wp:posOffset>
            </wp:positionV>
            <wp:extent cx="3486150" cy="3076574"/>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6250" t="10278" r="7501"/>
                    <a:stretch/>
                  </pic:blipFill>
                  <pic:spPr bwMode="auto">
                    <a:xfrm>
                      <a:off x="0" y="0"/>
                      <a:ext cx="3486150" cy="3076574"/>
                    </a:xfrm>
                    <a:prstGeom prst="rect">
                      <a:avLst/>
                    </a:prstGeom>
                    <a:ln>
                      <a:noFill/>
                    </a:ln>
                    <a:extLst>
                      <a:ext uri="{53640926-AAD7-44D8-BBD7-CCE9431645EC}">
                        <a14:shadowObscured xmlns:a14="http://schemas.microsoft.com/office/drawing/2010/main"/>
                      </a:ext>
                    </a:extLst>
                  </pic:spPr>
                </pic:pic>
              </a:graphicData>
            </a:graphic>
          </wp:anchor>
        </w:drawing>
      </w:r>
    </w:p>
    <w:p w14:paraId="13E926BB" w14:textId="3B2E674C" w:rsidR="0047485E" w:rsidRDefault="0047485E" w:rsidP="0047485E">
      <w:pPr>
        <w:ind w:left="1134" w:right="1655"/>
        <w:rPr>
          <w:rFonts w:cs="Palatino"/>
          <w:color w:val="000000"/>
          <w:sz w:val="20"/>
          <w:szCs w:val="20"/>
        </w:rPr>
      </w:pPr>
      <w:r w:rsidRPr="00562A58">
        <w:rPr>
          <w:rFonts w:cs="Palatino"/>
          <w:b/>
          <w:bCs/>
          <w:color w:val="000000"/>
          <w:sz w:val="20"/>
          <w:szCs w:val="20"/>
        </w:rPr>
        <w:lastRenderedPageBreak/>
        <w:t xml:space="preserve">Fig. </w:t>
      </w:r>
      <w:r w:rsidR="00921764" w:rsidRPr="00562A58">
        <w:rPr>
          <w:rFonts w:cs="Palatino"/>
          <w:b/>
          <w:bCs/>
          <w:color w:val="000000"/>
          <w:sz w:val="20"/>
          <w:szCs w:val="20"/>
        </w:rPr>
        <w:t>1</w:t>
      </w:r>
      <w:r w:rsidR="00921764">
        <w:rPr>
          <w:rFonts w:cs="Palatino"/>
          <w:color w:val="000000"/>
          <w:sz w:val="20"/>
          <w:szCs w:val="20"/>
        </w:rPr>
        <w:t xml:space="preserve"> 10</w:t>
      </w:r>
      <w:r>
        <w:rPr>
          <w:rFonts w:cs="Palatino"/>
          <w:color w:val="000000"/>
          <w:sz w:val="20"/>
          <w:szCs w:val="20"/>
        </w:rPr>
        <w:t>-year probability of hip fracture in men and women age 65 years with a prior fragility fracture in countries where a FRAX model is available.  Body mass index set at 25 kg/m</w:t>
      </w:r>
      <w:r w:rsidRPr="00562A58">
        <w:rPr>
          <w:rFonts w:cs="Palatino"/>
          <w:color w:val="000000"/>
          <w:sz w:val="20"/>
          <w:szCs w:val="20"/>
          <w:vertAlign w:val="superscript"/>
        </w:rPr>
        <w:t>2</w:t>
      </w:r>
      <w:r>
        <w:rPr>
          <w:rFonts w:cs="Palatino"/>
          <w:color w:val="000000"/>
          <w:sz w:val="20"/>
          <w:szCs w:val="20"/>
        </w:rPr>
        <w:t>. The diagonal dotted line denotes the line of equality</w:t>
      </w:r>
      <w:r w:rsidR="0024295E">
        <w:rPr>
          <w:rFonts w:cs="Palatino"/>
          <w:color w:val="000000"/>
          <w:sz w:val="20"/>
          <w:szCs w:val="20"/>
        </w:rPr>
        <w:t xml:space="preserve">.  Hip fracture </w:t>
      </w:r>
      <w:r w:rsidR="00E92B3D">
        <w:rPr>
          <w:rFonts w:cs="Palatino"/>
          <w:color w:val="000000"/>
          <w:sz w:val="20"/>
          <w:szCs w:val="20"/>
        </w:rPr>
        <w:t>probability</w:t>
      </w:r>
      <w:r w:rsidR="0024295E">
        <w:rPr>
          <w:rFonts w:cs="Palatino"/>
          <w:color w:val="000000"/>
          <w:sz w:val="20"/>
          <w:szCs w:val="20"/>
        </w:rPr>
        <w:t xml:space="preserve"> in women ranged from</w:t>
      </w:r>
      <w:r w:rsidR="00E92B3D">
        <w:rPr>
          <w:rFonts w:cs="Palatino"/>
          <w:color w:val="000000"/>
          <w:sz w:val="20"/>
          <w:szCs w:val="20"/>
        </w:rPr>
        <w:t xml:space="preserve"> 0.5 to more than 5% - a ten-fold range. Probabilities in women were on average 65% higher than in men.</w:t>
      </w:r>
    </w:p>
    <w:p w14:paraId="51C38F5A" w14:textId="77777777" w:rsidR="0047485E" w:rsidRPr="006E5193" w:rsidRDefault="0047485E" w:rsidP="007B36C3">
      <w:pPr>
        <w:rPr>
          <w:rFonts w:cs="Palatino"/>
          <w:color w:val="000000"/>
        </w:rPr>
      </w:pPr>
    </w:p>
    <w:p w14:paraId="602D3EAE" w14:textId="18630558" w:rsidR="00C03640" w:rsidRPr="006E5193" w:rsidRDefault="00283844" w:rsidP="007B36C3">
      <w:pPr>
        <w:rPr>
          <w:rFonts w:cs="Palatino"/>
          <w:b/>
          <w:bCs/>
          <w:color w:val="000000"/>
        </w:rPr>
      </w:pPr>
      <w:r w:rsidRPr="006E5193">
        <w:rPr>
          <w:rFonts w:cs="Palatino"/>
          <w:b/>
          <w:bCs/>
          <w:color w:val="000000"/>
        </w:rPr>
        <w:t>Choosing a ris</w:t>
      </w:r>
      <w:r w:rsidR="00492BA9" w:rsidRPr="006E5193">
        <w:rPr>
          <w:rFonts w:cs="Palatino"/>
          <w:b/>
          <w:bCs/>
          <w:color w:val="000000"/>
        </w:rPr>
        <w:t>k factor</w:t>
      </w:r>
    </w:p>
    <w:p w14:paraId="6CE2FD6D" w14:textId="58C95876" w:rsidR="00C03640" w:rsidRDefault="00B06639" w:rsidP="007B36C3">
      <w:r w:rsidRPr="00B06639">
        <w:t xml:space="preserve">There are </w:t>
      </w:r>
      <w:proofErr w:type="gramStart"/>
      <w:r w:rsidRPr="00B06639">
        <w:t>a number of</w:t>
      </w:r>
      <w:proofErr w:type="gramEnd"/>
      <w:r w:rsidRPr="00B06639">
        <w:t xml:space="preserve"> factors to be considered in the selection of risk factors for case finding. Of </w:t>
      </w:r>
      <w:proofErr w:type="gramStart"/>
      <w:r w:rsidRPr="00B06639">
        <w:t>particular importance</w:t>
      </w:r>
      <w:proofErr w:type="gramEnd"/>
      <w:r w:rsidRPr="00B06639">
        <w:t xml:space="preserve">, in the setting of primary care, is the ease with which they might be used. For a globally applicable tool, the chosen risk factors should also be valid in an international setting and their predictive value stable over time.  The use of risk factors for case finding requires that the risk so identified is responsive to a therapeutic intervention.  It is important to draw the distinction between reversible risk and reversibility of risk.  Age is an example of an irreversible risk factor, but the risk of fracture identified by age has reversibility.  Thus, pharmacological intervention </w:t>
      </w:r>
      <w:proofErr w:type="gramStart"/>
      <w:r w:rsidRPr="00B06639">
        <w:t>has an effect on</w:t>
      </w:r>
      <w:proofErr w:type="gramEnd"/>
      <w:r w:rsidRPr="00B06639">
        <w:t xml:space="preserve"> fracture that is independent of age indicating reversibility of risk [</w:t>
      </w:r>
      <w:r w:rsidR="00E827CE">
        <w:t>5</w:t>
      </w:r>
      <w:r w:rsidRPr="00B06639">
        <w:t>].  Levels of evidence for the suitability of risk factors have been developed [</w:t>
      </w:r>
      <w:r w:rsidR="000501F3">
        <w:t>6, 7</w:t>
      </w:r>
      <w:r w:rsidRPr="00B06639">
        <w:t xml:space="preserve">].  </w:t>
      </w:r>
      <w:r w:rsidR="00E92B3D">
        <w:t>The efficacy of interventions has been tested</w:t>
      </w:r>
      <w:r w:rsidR="00EF689C">
        <w:t xml:space="preserve"> </w:t>
      </w:r>
      <w:r w:rsidR="00BB147B">
        <w:t>worldwide</w:t>
      </w:r>
      <w:r w:rsidR="00EF689C">
        <w:t xml:space="preserve"> in randomised controlled trials so that e</w:t>
      </w:r>
      <w:r w:rsidRPr="00B06639">
        <w:t xml:space="preserve">thnicity, race and location have </w:t>
      </w:r>
      <w:r w:rsidR="00EF689C">
        <w:t xml:space="preserve">a </w:t>
      </w:r>
      <w:r w:rsidRPr="00B06639">
        <w:t>high level of evidence</w:t>
      </w:r>
      <w:r w:rsidR="00816F6B">
        <w:t xml:space="preserve"> indicatin</w:t>
      </w:r>
      <w:r w:rsidR="00B4082C">
        <w:t>g</w:t>
      </w:r>
      <w:r w:rsidR="00816F6B">
        <w:t xml:space="preserve"> their </w:t>
      </w:r>
      <w:r w:rsidR="00B4082C">
        <w:t>suitability for inclusion in risk assessment</w:t>
      </w:r>
      <w:r w:rsidRPr="00B06639">
        <w:t>.</w:t>
      </w:r>
    </w:p>
    <w:p w14:paraId="5843911A" w14:textId="542B638A" w:rsidR="0089066E" w:rsidRPr="00AF2D3B" w:rsidRDefault="008345A1" w:rsidP="007B36C3">
      <w:pPr>
        <w:rPr>
          <w:b/>
          <w:bCs/>
        </w:rPr>
      </w:pPr>
      <w:r w:rsidRPr="00AF2D3B">
        <w:rPr>
          <w:b/>
          <w:bCs/>
        </w:rPr>
        <w:t>Understanding</w:t>
      </w:r>
      <w:r w:rsidR="00AF2D3B" w:rsidRPr="00AF2D3B">
        <w:rPr>
          <w:b/>
          <w:bCs/>
        </w:rPr>
        <w:t xml:space="preserve"> ethnicity</w:t>
      </w:r>
    </w:p>
    <w:p w14:paraId="794758C1" w14:textId="5C34341A" w:rsidR="00924D71" w:rsidRDefault="00441581">
      <w:r>
        <w:t>Vyas et al [</w:t>
      </w:r>
      <w:r w:rsidR="000501F3">
        <w:t>1</w:t>
      </w:r>
      <w:r>
        <w:t>]</w:t>
      </w:r>
      <w:r w:rsidR="005D5F69" w:rsidRPr="005D5F69">
        <w:t xml:space="preserve"> </w:t>
      </w:r>
      <w:r w:rsidR="005D5F69">
        <w:t>contest that</w:t>
      </w:r>
      <w:r w:rsidR="005D5F69" w:rsidRPr="005D5F69">
        <w:t xml:space="preserve"> if race does</w:t>
      </w:r>
      <w:r w:rsidR="005D5F69">
        <w:t xml:space="preserve"> </w:t>
      </w:r>
      <w:r w:rsidR="005D5F69" w:rsidRPr="005D5F69">
        <w:t xml:space="preserve">correlate with clinical outcomes, </w:t>
      </w:r>
      <w:r w:rsidR="00075B53">
        <w:t>this does not necessarily</w:t>
      </w:r>
      <w:r w:rsidR="005D5F69" w:rsidRPr="005D5F69">
        <w:t xml:space="preserve"> justify its inclusion in diagnostic or predictive tools</w:t>
      </w:r>
      <w:r w:rsidR="00075B53">
        <w:t>.</w:t>
      </w:r>
      <w:r w:rsidR="0016619C" w:rsidRPr="0016619C">
        <w:t xml:space="preserve"> Given </w:t>
      </w:r>
      <w:r w:rsidR="0016619C">
        <w:t>the</w:t>
      </w:r>
      <w:r w:rsidR="0016619C" w:rsidRPr="0016619C">
        <w:t xml:space="preserve"> complexity</w:t>
      </w:r>
      <w:r w:rsidR="0016619C">
        <w:t xml:space="preserve"> of the determinants of race</w:t>
      </w:r>
      <w:r w:rsidR="0016619C" w:rsidRPr="0016619C">
        <w:t xml:space="preserve">, it is insufficient to translate a data signal into a race adjustment without determining what race might represent in the </w:t>
      </w:r>
      <w:proofErr w:type="gramStart"/>
      <w:r w:rsidR="0016619C" w:rsidRPr="0016619C">
        <w:t>particular context</w:t>
      </w:r>
      <w:proofErr w:type="gramEnd"/>
      <w:r w:rsidR="0016619C" w:rsidRPr="0016619C">
        <w:t xml:space="preserve">. </w:t>
      </w:r>
      <w:r w:rsidR="00833BC9">
        <w:t xml:space="preserve"> </w:t>
      </w:r>
      <w:r w:rsidR="00310EF8">
        <w:t>Vyas et al argue that m</w:t>
      </w:r>
      <w:r w:rsidR="0016619C" w:rsidRPr="0016619C">
        <w:t>ost race corrections implicitly, if not explicitly, operate on the assumption that genetic difference tracks reliably with race.</w:t>
      </w:r>
      <w:r w:rsidR="00336075">
        <w:t xml:space="preserve"> </w:t>
      </w:r>
      <w:r w:rsidR="0016619C" w:rsidRPr="0016619C">
        <w:t xml:space="preserve"> If the empirical differences seen between racial groups were </w:t>
      </w:r>
      <w:proofErr w:type="gramStart"/>
      <w:r w:rsidR="0016619C" w:rsidRPr="0016619C">
        <w:t>actually due</w:t>
      </w:r>
      <w:proofErr w:type="gramEnd"/>
      <w:r w:rsidR="0016619C" w:rsidRPr="0016619C">
        <w:t xml:space="preserve"> to genetic differences, then race adjustment might be justified: different coefficients for different bodies.</w:t>
      </w:r>
      <w:r w:rsidR="00A75181">
        <w:t xml:space="preserve"> </w:t>
      </w:r>
      <w:r w:rsidR="00CF3A62">
        <w:t>W</w:t>
      </w:r>
      <w:r w:rsidR="00EF689C" w:rsidRPr="00EF689C">
        <w:t>hile the aspiration that genetics might replace the need for race</w:t>
      </w:r>
      <w:r w:rsidR="00CF3A62">
        <w:t xml:space="preserve"> or </w:t>
      </w:r>
      <w:r w:rsidR="00EF689C" w:rsidRPr="00EF689C">
        <w:t xml:space="preserve">ethnicity is worthy </w:t>
      </w:r>
      <w:r w:rsidR="00CF3A62">
        <w:t>[</w:t>
      </w:r>
      <w:r w:rsidR="00191105">
        <w:t>8</w:t>
      </w:r>
      <w:r w:rsidR="00CF3A62">
        <w:t>]</w:t>
      </w:r>
      <w:r w:rsidR="00EF689C" w:rsidRPr="00EF689C">
        <w:t xml:space="preserve">, its potential </w:t>
      </w:r>
      <w:r w:rsidR="00CF3A62">
        <w:t xml:space="preserve">in osteoporosis </w:t>
      </w:r>
      <w:r w:rsidR="00EF689C" w:rsidRPr="00EF689C">
        <w:t xml:space="preserve">is </w:t>
      </w:r>
      <w:r w:rsidR="00CF3A62">
        <w:t xml:space="preserve">presently </w:t>
      </w:r>
      <w:r w:rsidR="00EF689C" w:rsidRPr="00EF689C">
        <w:t>limited and restricted to only a single component of fracture risk (</w:t>
      </w:r>
      <w:r w:rsidR="008447E8">
        <w:t>bone mineral density</w:t>
      </w:r>
      <w:r w:rsidR="00EF689C" w:rsidRPr="00EF689C">
        <w:t>)</w:t>
      </w:r>
      <w:r w:rsidR="008447E8">
        <w:t xml:space="preserve"> [</w:t>
      </w:r>
      <w:r w:rsidR="00191105">
        <w:t>9</w:t>
      </w:r>
      <w:r w:rsidR="008447E8">
        <w:t>]</w:t>
      </w:r>
      <w:r w:rsidR="00EF689C" w:rsidRPr="00EF689C">
        <w:t xml:space="preserve">.  </w:t>
      </w:r>
    </w:p>
    <w:p w14:paraId="52208B66" w14:textId="3FEF64DF" w:rsidR="00A0049B" w:rsidRDefault="00261148">
      <w:r w:rsidRPr="00261148">
        <w:t>The counter argument</w:t>
      </w:r>
      <w:r>
        <w:t xml:space="preserve"> is that r</w:t>
      </w:r>
      <w:r w:rsidR="006B1B87">
        <w:t>isk factors should be chosen according to established criteria</w:t>
      </w:r>
      <w:r w:rsidR="002E40E7">
        <w:t xml:space="preserve"> </w:t>
      </w:r>
      <w:r w:rsidR="00BA2B2A">
        <w:t>irrespective of our understanding of the</w:t>
      </w:r>
      <w:r w:rsidR="002E40E7">
        <w:t>ir basis or their accuracy</w:t>
      </w:r>
      <w:r w:rsidR="00DA7B77">
        <w:t xml:space="preserve">.  A good example is consumption of </w:t>
      </w:r>
      <w:r w:rsidR="00B37A7B">
        <w:t>alcohol,</w:t>
      </w:r>
      <w:r w:rsidR="00DA7B77">
        <w:t xml:space="preserve"> which is notoriou</w:t>
      </w:r>
      <w:r w:rsidR="00B37A7B">
        <w:t>s for being</w:t>
      </w:r>
      <w:r w:rsidR="00DC19DF">
        <w:t xml:space="preserve"> inaccurate</w:t>
      </w:r>
      <w:r w:rsidR="00B37A7B">
        <w:t>ly reported</w:t>
      </w:r>
      <w:r w:rsidR="00DC19DF">
        <w:t xml:space="preserve">.  </w:t>
      </w:r>
      <w:r w:rsidR="00CA15BC">
        <w:t>I</w:t>
      </w:r>
      <w:r w:rsidR="00455E52" w:rsidRPr="00455E52">
        <w:t xml:space="preserve">n general people who drink alcohol tend to neglect or underestimate their alcohol </w:t>
      </w:r>
      <w:r w:rsidR="00455E52" w:rsidRPr="006B1C76">
        <w:t xml:space="preserve">consumption </w:t>
      </w:r>
      <w:r w:rsidR="009A551C" w:rsidRPr="006B1C76">
        <w:t>[</w:t>
      </w:r>
      <w:r w:rsidR="00BB4E4F">
        <w:t>10, 11</w:t>
      </w:r>
      <w:r w:rsidR="009A551C" w:rsidRPr="006B1C76">
        <w:t>]</w:t>
      </w:r>
      <w:r w:rsidR="00455E52" w:rsidRPr="006B1C76">
        <w:t xml:space="preserve">. </w:t>
      </w:r>
      <w:r w:rsidR="00671292">
        <w:t xml:space="preserve"> </w:t>
      </w:r>
      <w:r w:rsidR="00DC19DF" w:rsidRPr="006B1C76">
        <w:t>It matters</w:t>
      </w:r>
      <w:r w:rsidR="00DC19DF">
        <w:t xml:space="preserve"> not whether the return is accurate </w:t>
      </w:r>
      <w:r w:rsidR="0003427F">
        <w:t>–</w:t>
      </w:r>
      <w:r w:rsidR="00DC19DF">
        <w:t xml:space="preserve"> </w:t>
      </w:r>
      <w:r w:rsidR="0003427F">
        <w:t>only that it provides a consistent indication of risk</w:t>
      </w:r>
      <w:r w:rsidR="007D3B7B">
        <w:t xml:space="preserve">, which it </w:t>
      </w:r>
      <w:r w:rsidR="00956EAF">
        <w:t>does</w:t>
      </w:r>
      <w:r w:rsidR="0003427F">
        <w:t>.</w:t>
      </w:r>
      <w:r w:rsidR="00477043">
        <w:t xml:space="preserve">  Thus</w:t>
      </w:r>
      <w:r w:rsidR="00D817FF">
        <w:t>,</w:t>
      </w:r>
      <w:r w:rsidR="00477043">
        <w:t xml:space="preserve"> we are more interested in </w:t>
      </w:r>
      <w:r w:rsidR="00BA4BB5">
        <w:t>association than causality.  The same goes for ra</w:t>
      </w:r>
      <w:r w:rsidR="00D817FF">
        <w:t>ce, location and ethnicity.</w:t>
      </w:r>
    </w:p>
    <w:p w14:paraId="6EC24366" w14:textId="537FE684" w:rsidR="00AF2D3B" w:rsidRDefault="00B71B84">
      <w:r>
        <w:t xml:space="preserve">It is important to recognise that </w:t>
      </w:r>
      <w:r w:rsidR="00E76A5A">
        <w:t xml:space="preserve">the significance of </w:t>
      </w:r>
      <w:r>
        <w:t>ethnicity</w:t>
      </w:r>
      <w:r w:rsidR="00FB000B">
        <w:t xml:space="preserve"> will vary by location.  Fo</w:t>
      </w:r>
      <w:r w:rsidR="00F47511">
        <w:t>r</w:t>
      </w:r>
      <w:r w:rsidR="00FB000B">
        <w:t xml:space="preserve"> example</w:t>
      </w:r>
      <w:r w:rsidR="009D24CE">
        <w:t>,</w:t>
      </w:r>
      <w:r w:rsidR="008D213D" w:rsidRPr="008D213D">
        <w:t xml:space="preserve"> black people in the US have lower fracture probabilities than </w:t>
      </w:r>
      <w:r w:rsidR="008D213D" w:rsidRPr="006514D3">
        <w:t>Caucasians [</w:t>
      </w:r>
      <w:r w:rsidR="004F601E">
        <w:t>12</w:t>
      </w:r>
      <w:r w:rsidR="008D213D" w:rsidRPr="006514D3">
        <w:t>],</w:t>
      </w:r>
      <w:r w:rsidR="008D213D" w:rsidRPr="008D213D">
        <w:t xml:space="preserve"> but the probability of fracture in US </w:t>
      </w:r>
      <w:r w:rsidR="008447E8">
        <w:t>b</w:t>
      </w:r>
      <w:r w:rsidR="008D213D" w:rsidRPr="008D213D">
        <w:t xml:space="preserve">lack people is much higher than in </w:t>
      </w:r>
      <w:r w:rsidR="008D213D" w:rsidRPr="00243E0C">
        <w:t xml:space="preserve">African </w:t>
      </w:r>
      <w:r w:rsidR="008447E8">
        <w:t>b</w:t>
      </w:r>
      <w:r w:rsidR="008D213D" w:rsidRPr="00243E0C">
        <w:t>lack people [</w:t>
      </w:r>
      <w:r w:rsidR="003021AA">
        <w:t>4</w:t>
      </w:r>
      <w:r w:rsidR="008D213D" w:rsidRPr="00243E0C">
        <w:t>] in</w:t>
      </w:r>
      <w:r w:rsidR="008D213D" w:rsidRPr="008D213D">
        <w:t xml:space="preserve"> part due to the higher fracture rates and lower mortality risks in those from the US</w:t>
      </w:r>
      <w:r w:rsidR="009D24CE">
        <w:t xml:space="preserve"> </w:t>
      </w:r>
      <w:r w:rsidR="0026049F">
        <w:t>(Figure 2)</w:t>
      </w:r>
      <w:r w:rsidR="008D213D" w:rsidRPr="008D213D">
        <w:t>.</w:t>
      </w:r>
      <w:r>
        <w:t xml:space="preserve"> </w:t>
      </w:r>
      <w:r w:rsidR="009D24CE">
        <w:t xml:space="preserve"> </w:t>
      </w:r>
      <w:r w:rsidR="0026049F">
        <w:t xml:space="preserve">The same holds true of </w:t>
      </w:r>
      <w:r w:rsidR="00BD1CB8">
        <w:t>Chi</w:t>
      </w:r>
      <w:r w:rsidR="00641E2D">
        <w:t>n</w:t>
      </w:r>
      <w:r w:rsidR="00BD1CB8">
        <w:t>ese from Hong Kong, mainland China and Sin</w:t>
      </w:r>
      <w:r w:rsidR="00641E2D">
        <w:t>gapore.</w:t>
      </w:r>
    </w:p>
    <w:p w14:paraId="21C81A1A" w14:textId="559F5792" w:rsidR="007B6E41" w:rsidRDefault="007B6E41" w:rsidP="007B6E41"/>
    <w:p w14:paraId="6A72B72A" w14:textId="63B072DF" w:rsidR="00C765EB" w:rsidRDefault="00C765EB" w:rsidP="007B6E41">
      <w:pPr>
        <w:ind w:left="1134" w:right="1655"/>
      </w:pPr>
      <w:r w:rsidRPr="00C765EB">
        <w:rPr>
          <w:noProof/>
          <w:lang w:eastAsia="en-GB"/>
        </w:rPr>
        <w:lastRenderedPageBreak/>
        <w:drawing>
          <wp:inline distT="0" distB="0" distL="0" distR="0" wp14:anchorId="0333C5AC" wp14:editId="1F131FC6">
            <wp:extent cx="4811468" cy="19526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3611" r="6563" b="15829"/>
                    <a:stretch/>
                  </pic:blipFill>
                  <pic:spPr bwMode="auto">
                    <a:xfrm>
                      <a:off x="0" y="0"/>
                      <a:ext cx="4814825" cy="1953987"/>
                    </a:xfrm>
                    <a:prstGeom prst="rect">
                      <a:avLst/>
                    </a:prstGeom>
                    <a:ln>
                      <a:noFill/>
                    </a:ln>
                    <a:extLst>
                      <a:ext uri="{53640926-AAD7-44D8-BBD7-CCE9431645EC}">
                        <a14:shadowObscured xmlns:a14="http://schemas.microsoft.com/office/drawing/2010/main"/>
                      </a:ext>
                    </a:extLst>
                  </pic:spPr>
                </pic:pic>
              </a:graphicData>
            </a:graphic>
          </wp:inline>
        </w:drawing>
      </w:r>
      <w:r w:rsidR="007B6E41">
        <w:t xml:space="preserve">  </w:t>
      </w:r>
    </w:p>
    <w:p w14:paraId="149E12B7" w14:textId="1BC4DD83" w:rsidR="007B6E41" w:rsidRDefault="007B6E41" w:rsidP="007B6E41">
      <w:pPr>
        <w:ind w:left="1134" w:right="1655"/>
        <w:rPr>
          <w:rFonts w:cs="Palatino"/>
          <w:color w:val="000000"/>
          <w:sz w:val="20"/>
          <w:szCs w:val="20"/>
        </w:rPr>
      </w:pPr>
      <w:r w:rsidRPr="00562A58">
        <w:rPr>
          <w:rFonts w:cs="Palatino"/>
          <w:b/>
          <w:bCs/>
          <w:color w:val="000000"/>
          <w:sz w:val="20"/>
          <w:szCs w:val="20"/>
        </w:rPr>
        <w:t xml:space="preserve">Fig. </w:t>
      </w:r>
      <w:r>
        <w:rPr>
          <w:rFonts w:cs="Palatino"/>
          <w:b/>
          <w:bCs/>
          <w:color w:val="000000"/>
          <w:sz w:val="20"/>
          <w:szCs w:val="20"/>
        </w:rPr>
        <w:t>2</w:t>
      </w:r>
      <w:r>
        <w:rPr>
          <w:rFonts w:cs="Palatino"/>
          <w:color w:val="000000"/>
          <w:sz w:val="20"/>
          <w:szCs w:val="20"/>
        </w:rPr>
        <w:t xml:space="preserve"> Ethnic specific 10-year probabilities of a major osteoporotic fracture in men and women age 65 years with a prior fragility fracture in the US and South Africa.  Body mass index set at 25 kg/m</w:t>
      </w:r>
      <w:r w:rsidRPr="00562A58">
        <w:rPr>
          <w:rFonts w:cs="Palatino"/>
          <w:color w:val="000000"/>
          <w:sz w:val="20"/>
          <w:szCs w:val="20"/>
          <w:vertAlign w:val="superscript"/>
        </w:rPr>
        <w:t>2</w:t>
      </w:r>
      <w:r>
        <w:rPr>
          <w:rFonts w:cs="Palatino"/>
          <w:color w:val="000000"/>
          <w:sz w:val="20"/>
          <w:szCs w:val="20"/>
        </w:rPr>
        <w:t xml:space="preserve">. </w:t>
      </w:r>
    </w:p>
    <w:p w14:paraId="138AC708" w14:textId="77777777" w:rsidR="00EB2DCA" w:rsidRDefault="00EB2DCA"/>
    <w:p w14:paraId="03343821" w14:textId="75B0DDAA" w:rsidR="00AF2D3B" w:rsidRPr="00175238" w:rsidRDefault="00AF2D3B">
      <w:pPr>
        <w:rPr>
          <w:b/>
          <w:bCs/>
        </w:rPr>
      </w:pPr>
      <w:r w:rsidRPr="00175238">
        <w:rPr>
          <w:b/>
          <w:bCs/>
        </w:rPr>
        <w:t>Intervention thresholds</w:t>
      </w:r>
    </w:p>
    <w:p w14:paraId="26DC8DD7" w14:textId="4D10CF0D" w:rsidR="00AE6474" w:rsidRDefault="00574ADC" w:rsidP="002F55F2">
      <w:r>
        <w:t>T</w:t>
      </w:r>
      <w:r w:rsidR="00BA1573">
        <w:t xml:space="preserve">he purpose of </w:t>
      </w:r>
      <w:r w:rsidR="00FC6A36">
        <w:t>FRAX</w:t>
      </w:r>
      <w:r w:rsidR="00BA1573">
        <w:t xml:space="preserve"> </w:t>
      </w:r>
      <w:bookmarkStart w:id="7" w:name="_Hlk49178933"/>
      <w:r w:rsidR="00BA1573">
        <w:t xml:space="preserve">is to characterise fracture risk so that decisions can be facilitated on the need for treatment and, in some instances, the type of </w:t>
      </w:r>
      <w:r w:rsidR="00BA1573" w:rsidRPr="00756A3A">
        <w:t>treatment</w:t>
      </w:r>
      <w:r w:rsidR="00D42923" w:rsidRPr="00756A3A">
        <w:t xml:space="preserve"> [</w:t>
      </w:r>
      <w:r w:rsidR="00372DB6">
        <w:t xml:space="preserve">6, </w:t>
      </w:r>
      <w:r w:rsidR="009E2299">
        <w:t>13</w:t>
      </w:r>
      <w:r w:rsidR="00D42923" w:rsidRPr="00756A3A">
        <w:t>]</w:t>
      </w:r>
      <w:r w:rsidR="00BA1573" w:rsidRPr="00756A3A">
        <w:t xml:space="preserve">. </w:t>
      </w:r>
      <w:bookmarkEnd w:id="7"/>
      <w:r w:rsidR="00BA1573" w:rsidRPr="00756A3A">
        <w:t xml:space="preserve"> </w:t>
      </w:r>
      <w:r w:rsidR="00D27F51" w:rsidRPr="00756A3A">
        <w:t>This demands</w:t>
      </w:r>
      <w:r w:rsidR="00D27F51">
        <w:t xml:space="preserve"> the </w:t>
      </w:r>
      <w:r w:rsidR="00086FB6">
        <w:t>consideration</w:t>
      </w:r>
      <w:r w:rsidR="00D27F51">
        <w:t xml:space="preserve"> of intervention thresholds</w:t>
      </w:r>
      <w:r w:rsidR="00006E10">
        <w:t xml:space="preserve"> which, in the case of FRAX, is the 10-year probability of fracture above whi</w:t>
      </w:r>
      <w:r w:rsidR="00AF7FC6">
        <w:t>ch pharmacological</w:t>
      </w:r>
      <w:r w:rsidR="00C2110D">
        <w:t xml:space="preserve"> intervention</w:t>
      </w:r>
      <w:r w:rsidR="00AF7FC6">
        <w:t xml:space="preserve"> should be considered</w:t>
      </w:r>
      <w:r w:rsidR="00C2110D">
        <w:t>.  Several methods have been used to defin</w:t>
      </w:r>
      <w:r w:rsidR="001A3E59">
        <w:t>e intervention thresholds [</w:t>
      </w:r>
      <w:r w:rsidR="00F52AE6">
        <w:t>14</w:t>
      </w:r>
      <w:r w:rsidR="001A3E59">
        <w:t>]</w:t>
      </w:r>
      <w:r w:rsidR="00292A72">
        <w:t xml:space="preserve"> but</w:t>
      </w:r>
      <w:r w:rsidR="00C0272D">
        <w:t>,</w:t>
      </w:r>
      <w:r w:rsidR="00292A72">
        <w:t xml:space="preserve"> </w:t>
      </w:r>
      <w:r w:rsidR="000E0B05">
        <w:t xml:space="preserve">in the case of </w:t>
      </w:r>
      <w:r w:rsidR="008F34AA">
        <w:t>ethnic</w:t>
      </w:r>
      <w:r w:rsidR="00316458">
        <w:t>ity</w:t>
      </w:r>
      <w:r w:rsidR="008F34AA">
        <w:t xml:space="preserve">-specific </w:t>
      </w:r>
      <w:r w:rsidR="00E62778">
        <w:t>models in</w:t>
      </w:r>
      <w:r w:rsidR="00FE19C4">
        <w:t xml:space="preserve"> the </w:t>
      </w:r>
      <w:r w:rsidR="00273290">
        <w:t>U</w:t>
      </w:r>
      <w:r w:rsidR="00E946B5">
        <w:t>S and Singapore</w:t>
      </w:r>
      <w:r w:rsidR="00C0272D">
        <w:t xml:space="preserve">, </w:t>
      </w:r>
      <w:r w:rsidR="00292A72">
        <w:t>use thresholds that apply to a</w:t>
      </w:r>
      <w:r w:rsidR="00311CE4">
        <w:t>ll ethnicities</w:t>
      </w:r>
      <w:r w:rsidR="00470DDC">
        <w:t xml:space="preserve"> [</w:t>
      </w:r>
      <w:r w:rsidR="00FB4738">
        <w:t>15</w:t>
      </w:r>
      <w:r w:rsidR="00D85C77">
        <w:t>, 16</w:t>
      </w:r>
      <w:r w:rsidR="00470DDC">
        <w:t>]</w:t>
      </w:r>
      <w:r w:rsidR="00EE08EF">
        <w:t xml:space="preserve">. </w:t>
      </w:r>
      <w:r w:rsidR="003E55A9">
        <w:t xml:space="preserve"> </w:t>
      </w:r>
      <w:r w:rsidR="00470DDC">
        <w:t>Thus</w:t>
      </w:r>
      <w:r w:rsidR="00C727D6">
        <w:t>,</w:t>
      </w:r>
      <w:r w:rsidR="00470DDC">
        <w:t xml:space="preserve"> we challenge the view</w:t>
      </w:r>
      <w:r w:rsidR="006905BC">
        <w:t xml:space="preserve"> of </w:t>
      </w:r>
      <w:r w:rsidR="00D62E22">
        <w:t>Vyas et al</w:t>
      </w:r>
      <w:r w:rsidR="006905BC">
        <w:t xml:space="preserve"> </w:t>
      </w:r>
      <w:r w:rsidR="001773B3">
        <w:t>[</w:t>
      </w:r>
      <w:r w:rsidR="00F52AE6">
        <w:t>1</w:t>
      </w:r>
      <w:r w:rsidR="001773B3">
        <w:t xml:space="preserve">] </w:t>
      </w:r>
      <w:r w:rsidR="004B089D">
        <w:t xml:space="preserve">that the </w:t>
      </w:r>
      <w:r w:rsidR="002F55F2">
        <w:t>incorporation of race</w:t>
      </w:r>
      <w:r w:rsidR="002F55F2" w:rsidRPr="002F55F2">
        <w:t xml:space="preserve"> </w:t>
      </w:r>
      <w:r w:rsidR="002F55F2">
        <w:t>can exacerbate inequities</w:t>
      </w:r>
      <w:r w:rsidR="003E55A9">
        <w:t xml:space="preserve">.  Indeed, the converse is true when the gateway to </w:t>
      </w:r>
      <w:r w:rsidR="00AE06E5">
        <w:t>risk assessment is based on BMD testin</w:t>
      </w:r>
      <w:r w:rsidR="00C727D6">
        <w:t>g rather than fracture probability</w:t>
      </w:r>
      <w:r w:rsidR="007A0CF3">
        <w:t>.</w:t>
      </w:r>
      <w:r w:rsidR="00557997">
        <w:t xml:space="preserve">  </w:t>
      </w:r>
      <w:r w:rsidR="00520F77">
        <w:t>If the intervention threshold is set</w:t>
      </w:r>
      <w:r w:rsidR="00E21A1A">
        <w:t xml:space="preserve"> at 20% as in North America</w:t>
      </w:r>
      <w:r w:rsidR="001A3906">
        <w:t xml:space="preserve"> [</w:t>
      </w:r>
      <w:r w:rsidR="00D85C77">
        <w:t xml:space="preserve">16, </w:t>
      </w:r>
      <w:r w:rsidR="00907814">
        <w:t>17</w:t>
      </w:r>
      <w:r w:rsidR="005E280E">
        <w:t>]</w:t>
      </w:r>
      <w:r w:rsidR="007D1D17">
        <w:t>, then the equivalent T-score</w:t>
      </w:r>
      <w:r w:rsidR="00680145">
        <w:t xml:space="preserve"> </w:t>
      </w:r>
      <w:r w:rsidR="00073E8A">
        <w:t>a</w:t>
      </w:r>
      <w:r w:rsidR="007B644A">
        <w:t>t</w:t>
      </w:r>
      <w:r w:rsidR="004F61D0">
        <w:t xml:space="preserve"> age </w:t>
      </w:r>
      <w:r w:rsidR="005E280E">
        <w:t>7</w:t>
      </w:r>
      <w:r w:rsidR="004F61D0">
        <w:t>5</w:t>
      </w:r>
      <w:r w:rsidR="00C27F6B">
        <w:t xml:space="preserve"> </w:t>
      </w:r>
      <w:r w:rsidR="002232A6">
        <w:t>years is</w:t>
      </w:r>
      <w:r w:rsidR="005E280E">
        <w:t xml:space="preserve"> -2.8 for </w:t>
      </w:r>
      <w:r w:rsidR="00B955CB" w:rsidRPr="00B955CB">
        <w:t>Caucasian women</w:t>
      </w:r>
      <w:r w:rsidR="00182B26">
        <w:t xml:space="preserve"> but -3.8 for Hispanic and Asian </w:t>
      </w:r>
      <w:r w:rsidR="00D40738">
        <w:t>women and -4.2 for black women</w:t>
      </w:r>
      <w:r w:rsidR="00073E8A">
        <w:t>.</w:t>
      </w:r>
      <w:r w:rsidR="007B644A">
        <w:t xml:space="preserve">  </w:t>
      </w:r>
      <w:r w:rsidR="003151AF">
        <w:t>Thus</w:t>
      </w:r>
      <w:r w:rsidR="007B6C50">
        <w:t xml:space="preserve">, the use of FRAX as a gateway for </w:t>
      </w:r>
      <w:r w:rsidR="00150370">
        <w:t>intervention</w:t>
      </w:r>
      <w:r w:rsidR="007F15D9">
        <w:t xml:space="preserve"> </w:t>
      </w:r>
      <w:r w:rsidR="007D3B7B">
        <w:t xml:space="preserve">helps to resolve, </w:t>
      </w:r>
      <w:r w:rsidR="007F15D9">
        <w:t>rather than exacerbate</w:t>
      </w:r>
      <w:r w:rsidR="007D3B7B">
        <w:t>,</w:t>
      </w:r>
      <w:r w:rsidR="007F15D9">
        <w:t xml:space="preserve"> </w:t>
      </w:r>
      <w:r w:rsidR="00373ADD">
        <w:t>racial inequalities.</w:t>
      </w:r>
    </w:p>
    <w:p w14:paraId="1DC7515E" w14:textId="6322B883" w:rsidR="006A7493" w:rsidRDefault="00AE6474" w:rsidP="002F55F2">
      <w:pPr>
        <w:rPr>
          <w:b/>
          <w:bCs/>
        </w:rPr>
      </w:pPr>
      <w:r w:rsidRPr="008447E8">
        <w:rPr>
          <w:b/>
          <w:bCs/>
        </w:rPr>
        <w:t>The elephant in the room</w:t>
      </w:r>
      <w:r w:rsidR="00373ADD" w:rsidRPr="008447E8">
        <w:rPr>
          <w:b/>
          <w:bCs/>
        </w:rPr>
        <w:t xml:space="preserve"> </w:t>
      </w:r>
    </w:p>
    <w:p w14:paraId="4B75BFE4" w14:textId="1D23A038" w:rsidR="008447E8" w:rsidRDefault="008447E8" w:rsidP="00B7316E">
      <w:r>
        <w:t>A useful measure of health service uptake is the treatment gap which is defined in its simplest form as the number of people with a condition or disease who need treatment for it but who do not get it.</w:t>
      </w:r>
      <w:r w:rsidR="007B702A">
        <w:t xml:space="preserve">  The quantification afforded by FRAX has allowed inequalities in the treatment gap to be identified. </w:t>
      </w:r>
      <w:r w:rsidR="007B702A" w:rsidRPr="007B702A">
        <w:t xml:space="preserve">Shortly after the release of FRAX, it was noted that </w:t>
      </w:r>
      <w:r w:rsidR="007B702A">
        <w:t xml:space="preserve">the </w:t>
      </w:r>
      <w:r w:rsidR="007B702A" w:rsidRPr="007B702A">
        <w:t>treatment gap was substantially wider in black than white patients at high risk even after adjustment for fracture probability [</w:t>
      </w:r>
      <w:r w:rsidR="000E17EE">
        <w:t>18, 19</w:t>
      </w:r>
      <w:r w:rsidR="007B702A" w:rsidRPr="007B702A">
        <w:t xml:space="preserve">]. </w:t>
      </w:r>
      <w:r w:rsidR="007B702A">
        <w:t xml:space="preserve"> </w:t>
      </w:r>
      <w:r w:rsidR="007B702A" w:rsidRPr="007B702A">
        <w:t>More recently in the Women’s Health Initiative, those at high risk and Asian ethnicity had a much higher likelihood (by 45%) of being on appropriate treatment compared with white women whilst in black/African American there remained almost half the likelihood of appropriate medication use</w:t>
      </w:r>
      <w:r w:rsidR="007B702A">
        <w:t xml:space="preserve"> [</w:t>
      </w:r>
      <w:r w:rsidR="00F51732">
        <w:t>20</w:t>
      </w:r>
      <w:r w:rsidR="007B702A">
        <w:t>]</w:t>
      </w:r>
      <w:r w:rsidR="005D7193">
        <w:t>.</w:t>
      </w:r>
      <w:r w:rsidR="00B7316E">
        <w:t xml:space="preserve">  In addition to racial inequalities, the treatment gap is higher in men than in women [</w:t>
      </w:r>
      <w:r w:rsidR="003531CA">
        <w:t xml:space="preserve">18, </w:t>
      </w:r>
      <w:r w:rsidR="00E510A4">
        <w:t xml:space="preserve">21, </w:t>
      </w:r>
      <w:r w:rsidR="006927D1">
        <w:t>22</w:t>
      </w:r>
      <w:r w:rsidR="00B7316E">
        <w:t>]. Paradoxically, the therapeutic care gap may be particularly wide</w:t>
      </w:r>
      <w:r w:rsidR="00334085">
        <w:t xml:space="preserve"> </w:t>
      </w:r>
      <w:r w:rsidR="00B7316E">
        <w:t>in the elderly in whom the importance and impact of treatment is</w:t>
      </w:r>
      <w:r w:rsidR="00334085">
        <w:t xml:space="preserve"> </w:t>
      </w:r>
      <w:r w:rsidR="00B7316E">
        <w:t>high</w:t>
      </w:r>
      <w:r w:rsidR="005B4E17">
        <w:t xml:space="preserve"> </w:t>
      </w:r>
      <w:r w:rsidR="00334085">
        <w:t>[</w:t>
      </w:r>
      <w:r w:rsidR="00185C5C">
        <w:t>23, 24</w:t>
      </w:r>
      <w:r w:rsidR="00334085">
        <w:t xml:space="preserve">] </w:t>
      </w:r>
      <w:r w:rsidR="005B4E17" w:rsidRPr="005B4E17">
        <w:t>and particularly</w:t>
      </w:r>
      <w:r w:rsidR="005B4E17">
        <w:t xml:space="preserve"> in individuals with fracture who reside in long‐term care [</w:t>
      </w:r>
      <w:r w:rsidR="00447FFE">
        <w:t>25</w:t>
      </w:r>
      <w:r w:rsidR="005B4E17">
        <w:t xml:space="preserve">]. </w:t>
      </w:r>
      <w:r w:rsidR="00B7316E">
        <w:t xml:space="preserve"> It is perhaps ironic that FRAX has permitted these inequalities to be </w:t>
      </w:r>
      <w:r w:rsidR="005B4E17">
        <w:t>recognised.</w:t>
      </w:r>
      <w:r w:rsidR="00B7316E">
        <w:t xml:space="preserve">  </w:t>
      </w:r>
    </w:p>
    <w:p w14:paraId="276624EE" w14:textId="2F4D991E" w:rsidR="00545C1B" w:rsidRDefault="00545C1B" w:rsidP="001655A3">
      <w:r>
        <w:t>In the context of osteoporosis</w:t>
      </w:r>
      <w:r w:rsidR="00A40C36">
        <w:t xml:space="preserve">, the major issue is disease discrimination. </w:t>
      </w:r>
      <w:r w:rsidR="001655A3">
        <w:t xml:space="preserve"> </w:t>
      </w:r>
      <w:r>
        <w:t xml:space="preserve">Many surveys indicate that a </w:t>
      </w:r>
      <w:r w:rsidR="005B4E17">
        <w:t xml:space="preserve">small </w:t>
      </w:r>
      <w:r>
        <w:t xml:space="preserve">minority of men and women at high fracture risk </w:t>
      </w:r>
      <w:proofErr w:type="gramStart"/>
      <w:r>
        <w:t>actually receive</w:t>
      </w:r>
      <w:proofErr w:type="gramEnd"/>
      <w:r>
        <w:t xml:space="preserve"> treatment</w:t>
      </w:r>
      <w:r w:rsidR="005B4E17">
        <w:t xml:space="preserve"> [</w:t>
      </w:r>
      <w:r w:rsidR="003B4CE8">
        <w:t xml:space="preserve">18, 21, </w:t>
      </w:r>
      <w:r w:rsidR="009E30DC">
        <w:t>22, 25</w:t>
      </w:r>
      <w:r w:rsidR="00E619C2">
        <w:t xml:space="preserve">, </w:t>
      </w:r>
      <w:r w:rsidR="00096294">
        <w:lastRenderedPageBreak/>
        <w:t>26</w:t>
      </w:r>
      <w:r w:rsidR="001655A3">
        <w:t xml:space="preserve">]. </w:t>
      </w:r>
      <w:r>
        <w:t xml:space="preserve"> </w:t>
      </w:r>
      <w:r w:rsidR="001655A3">
        <w:t>F</w:t>
      </w:r>
      <w:r>
        <w:t>ewer</w:t>
      </w:r>
      <w:r w:rsidR="001655A3">
        <w:t xml:space="preserve"> </w:t>
      </w:r>
      <w:r>
        <w:t>than 20% of individuals receive therapies to reduce the risk of</w:t>
      </w:r>
      <w:r w:rsidR="001655A3">
        <w:t xml:space="preserve"> </w:t>
      </w:r>
      <w:r>
        <w:t xml:space="preserve">future fracture within the year following </w:t>
      </w:r>
      <w:r w:rsidR="001655A3">
        <w:t>a</w:t>
      </w:r>
      <w:r>
        <w:t xml:space="preserve"> fracture.</w:t>
      </w:r>
      <w:r w:rsidR="001655A3">
        <w:t xml:space="preserve">  Moreover, the treatment gap is increasing with time [</w:t>
      </w:r>
      <w:r w:rsidR="00E619C2">
        <w:t>22</w:t>
      </w:r>
      <w:r w:rsidR="00C84F66">
        <w:t xml:space="preserve">, </w:t>
      </w:r>
      <w:r w:rsidR="00096294">
        <w:t>26</w:t>
      </w:r>
      <w:r w:rsidR="001655A3">
        <w:t>].</w:t>
      </w:r>
      <w:r w:rsidR="001655A3" w:rsidRPr="001655A3">
        <w:t xml:space="preserve"> </w:t>
      </w:r>
      <w:r w:rsidR="006D562A">
        <w:t xml:space="preserve"> </w:t>
      </w:r>
      <w:r w:rsidR="006D562A" w:rsidRPr="006D562A">
        <w:t xml:space="preserve">The under-treatment of osteoporosis globally, has led societies such as the International Osteoporosis Foundation and the American Society for Bone and Mineral Research to come together to urgently address this global crisis in the management of </w:t>
      </w:r>
      <w:r w:rsidR="006D562A" w:rsidRPr="007327A0">
        <w:t>osteoporosis [</w:t>
      </w:r>
      <w:r w:rsidR="00CC21B9" w:rsidRPr="007327A0">
        <w:t xml:space="preserve">27, </w:t>
      </w:r>
      <w:r w:rsidR="007327A0" w:rsidRPr="007327A0">
        <w:t>28</w:t>
      </w:r>
      <w:r w:rsidR="006D562A" w:rsidRPr="007327A0">
        <w:t xml:space="preserve">, </w:t>
      </w:r>
      <w:r w:rsidR="007327A0" w:rsidRPr="007327A0">
        <w:t>29</w:t>
      </w:r>
      <w:r w:rsidR="006D562A" w:rsidRPr="007327A0">
        <w:t xml:space="preserve">]. </w:t>
      </w:r>
      <w:r w:rsidR="001655A3" w:rsidRPr="007327A0">
        <w:t>This</w:t>
      </w:r>
      <w:r w:rsidR="001655A3">
        <w:t xml:space="preserve"> contrasts with the situation following myocardial infarction, for which condition a significant care gap has been overcome in the past 15 years: 75% of such individuals now receive beta blockers to help prevent recurrent myocardial infarction [</w:t>
      </w:r>
      <w:r w:rsidR="007327A0">
        <w:t>30</w:t>
      </w:r>
      <w:r w:rsidR="001655A3">
        <w:t>].</w:t>
      </w:r>
    </w:p>
    <w:p w14:paraId="69504DB0" w14:textId="3DE92CF4" w:rsidR="004A38AB" w:rsidRPr="009275E8" w:rsidRDefault="009275E8" w:rsidP="004A38AB">
      <w:r>
        <w:t>S</w:t>
      </w:r>
      <w:r w:rsidR="004A38AB" w:rsidRPr="009275E8">
        <w:t xml:space="preserve">tudies </w:t>
      </w:r>
      <w:r>
        <w:t xml:space="preserve">to date </w:t>
      </w:r>
      <w:r w:rsidR="004A38AB" w:rsidRPr="009275E8">
        <w:t>provide</w:t>
      </w:r>
      <w:r>
        <w:t xml:space="preserve"> little</w:t>
      </w:r>
      <w:r w:rsidR="004A38AB" w:rsidRPr="009275E8">
        <w:t xml:space="preserve"> insight into the causes</w:t>
      </w:r>
      <w:r>
        <w:t xml:space="preserve"> </w:t>
      </w:r>
      <w:r w:rsidR="004A38AB" w:rsidRPr="009275E8">
        <w:t>underlying the substantial and increasing treatment gap. Factors</w:t>
      </w:r>
      <w:r>
        <w:t xml:space="preserve"> </w:t>
      </w:r>
      <w:r w:rsidR="004A38AB" w:rsidRPr="009275E8">
        <w:t>that may play a role in the United States include a decline in BMD</w:t>
      </w:r>
      <w:r>
        <w:t xml:space="preserve"> </w:t>
      </w:r>
      <w:r w:rsidR="004A38AB" w:rsidRPr="009275E8">
        <w:t>testing owing to reimbursement issues and lack of intensive</w:t>
      </w:r>
      <w:r>
        <w:t xml:space="preserve"> </w:t>
      </w:r>
      <w:r w:rsidR="004A38AB" w:rsidRPr="009275E8">
        <w:t xml:space="preserve">detailing by pharmaceutical companies. </w:t>
      </w:r>
      <w:r>
        <w:t>Others</w:t>
      </w:r>
      <w:r w:rsidR="004A38AB" w:rsidRPr="009275E8">
        <w:t xml:space="preserve"> point the finger at the lay press for raising awareness</w:t>
      </w:r>
      <w:r>
        <w:t xml:space="preserve"> </w:t>
      </w:r>
      <w:r w:rsidR="004A38AB" w:rsidRPr="009275E8">
        <w:t>over the last decade of the potential side effects of the</w:t>
      </w:r>
      <w:r>
        <w:t xml:space="preserve"> </w:t>
      </w:r>
      <w:r w:rsidR="004A38AB" w:rsidRPr="009275E8">
        <w:t>bisphosphonates, such as osteonecrosis of the jaw, atypical</w:t>
      </w:r>
      <w:r>
        <w:t xml:space="preserve"> </w:t>
      </w:r>
      <w:r w:rsidR="004A38AB" w:rsidRPr="009275E8">
        <w:t>femoral fractures, and atrial fibrillation</w:t>
      </w:r>
      <w:r>
        <w:t xml:space="preserve"> [</w:t>
      </w:r>
      <w:r w:rsidR="00096294">
        <w:t xml:space="preserve">26, </w:t>
      </w:r>
      <w:r w:rsidR="001826E5">
        <w:t>28</w:t>
      </w:r>
      <w:r w:rsidR="00FC4CCD">
        <w:t>]</w:t>
      </w:r>
      <w:r w:rsidR="004A38AB" w:rsidRPr="009275E8">
        <w:t>. Indeed, many doctors,</w:t>
      </w:r>
      <w:r>
        <w:t xml:space="preserve"> </w:t>
      </w:r>
      <w:r w:rsidR="004A38AB" w:rsidRPr="009275E8">
        <w:t>dentists, and patients are now more frightened of the rare but</w:t>
      </w:r>
      <w:r>
        <w:t xml:space="preserve"> </w:t>
      </w:r>
      <w:r w:rsidR="004A38AB" w:rsidRPr="009275E8">
        <w:t>serious side effects than they are of the disease and the fractures</w:t>
      </w:r>
      <w:r>
        <w:t xml:space="preserve"> </w:t>
      </w:r>
      <w:r w:rsidR="004A38AB" w:rsidRPr="009275E8">
        <w:t>that arise. Notwithstanding, the lay press is simply the messenger</w:t>
      </w:r>
      <w:r>
        <w:t xml:space="preserve"> </w:t>
      </w:r>
      <w:r w:rsidR="004A38AB" w:rsidRPr="009275E8">
        <w:t>bringing news and opinion from the scientific community, some</w:t>
      </w:r>
      <w:r>
        <w:t xml:space="preserve"> </w:t>
      </w:r>
      <w:r w:rsidR="004A38AB" w:rsidRPr="009275E8">
        <w:t>or much of which may be ill‐judged. The paradox arises in that we</w:t>
      </w:r>
      <w:r>
        <w:t xml:space="preserve"> </w:t>
      </w:r>
      <w:r w:rsidR="004A38AB" w:rsidRPr="009275E8">
        <w:t>seek to treat individual patients to the highest standards but at</w:t>
      </w:r>
      <w:r>
        <w:t xml:space="preserve"> </w:t>
      </w:r>
      <w:r w:rsidR="004A38AB" w:rsidRPr="009275E8">
        <w:t>the same time disservice and disadvantage the wider osteoporosis</w:t>
      </w:r>
      <w:r>
        <w:t xml:space="preserve"> </w:t>
      </w:r>
      <w:r w:rsidR="004A38AB" w:rsidRPr="009275E8">
        <w:t>community</w:t>
      </w:r>
      <w:r>
        <w:t xml:space="preserve"> [</w:t>
      </w:r>
      <w:r w:rsidR="00EC36AF">
        <w:t>31</w:t>
      </w:r>
      <w:r w:rsidR="00FC4CCD">
        <w:t>]</w:t>
      </w:r>
      <w:r w:rsidR="004A38AB" w:rsidRPr="009275E8">
        <w:t>.</w:t>
      </w:r>
      <w:r w:rsidR="00FC4CCD">
        <w:t xml:space="preserve">  We should not make the same mistake with ethnicity and risk assessment</w:t>
      </w:r>
    </w:p>
    <w:p w14:paraId="67CA49B9" w14:textId="4B100F7D" w:rsidR="006A7493" w:rsidRPr="0090784F" w:rsidRDefault="00F31760">
      <w:pPr>
        <w:rPr>
          <w:b/>
          <w:bCs/>
        </w:rPr>
      </w:pPr>
      <w:r w:rsidRPr="0090784F">
        <w:rPr>
          <w:b/>
          <w:bCs/>
        </w:rPr>
        <w:t>Conclusion</w:t>
      </w:r>
    </w:p>
    <w:p w14:paraId="1700297A" w14:textId="78EA568D" w:rsidR="0090784F" w:rsidRDefault="0090784F" w:rsidP="0090784F">
      <w:r>
        <w:t>Despite the wide acceptance of the tool, FRAX should not be considered as a gold standard in patient</w:t>
      </w:r>
      <w:r w:rsidR="008B626C">
        <w:t xml:space="preserve"> </w:t>
      </w:r>
      <w:r>
        <w:t>assessment, but rather as a reference platform. Thus, the fracture risk</w:t>
      </w:r>
      <w:r w:rsidR="00163EC3">
        <w:t xml:space="preserve"> </w:t>
      </w:r>
      <w:r>
        <w:t>estimates derived from FRAX</w:t>
      </w:r>
      <w:r w:rsidR="00163EC3">
        <w:t xml:space="preserve"> </w:t>
      </w:r>
      <w:r>
        <w:t>should</w:t>
      </w:r>
      <w:r w:rsidR="00163EC3">
        <w:t xml:space="preserve"> </w:t>
      </w:r>
      <w:r>
        <w:t>not be uncritically used in the management of patients</w:t>
      </w:r>
      <w:r w:rsidR="00684BCB">
        <w:t xml:space="preserve"> </w:t>
      </w:r>
      <w:r>
        <w:t>without an appreciation of its limitations as well as its</w:t>
      </w:r>
      <w:r w:rsidR="00684BCB">
        <w:t xml:space="preserve"> </w:t>
      </w:r>
      <w:r>
        <w:t>strengths. In some instances, limitations (e.g. to experts</w:t>
      </w:r>
      <w:r w:rsidR="00684BCB">
        <w:t xml:space="preserve"> </w:t>
      </w:r>
      <w:r>
        <w:t>in bone disease) are perceived as strengths to others (e.g.</w:t>
      </w:r>
      <w:r w:rsidR="006E1F83">
        <w:t xml:space="preserve"> </w:t>
      </w:r>
      <w:r>
        <w:t>primary care physicians)</w:t>
      </w:r>
      <w:r w:rsidR="006D562A">
        <w:t xml:space="preserve"> </w:t>
      </w:r>
      <w:r w:rsidR="00B2413C" w:rsidRPr="0067124F">
        <w:t>[</w:t>
      </w:r>
      <w:r w:rsidR="008D4C34">
        <w:t xml:space="preserve">32, </w:t>
      </w:r>
      <w:r w:rsidR="003B6AEC">
        <w:t>33</w:t>
      </w:r>
      <w:r w:rsidR="00B2413C" w:rsidRPr="0067124F">
        <w:t>]</w:t>
      </w:r>
      <w:r w:rsidR="001633E5" w:rsidRPr="0067124F">
        <w:t>.</w:t>
      </w:r>
      <w:r w:rsidR="00434264">
        <w:t xml:space="preserve"> </w:t>
      </w:r>
      <w:r w:rsidR="00B736E7">
        <w:t xml:space="preserve"> </w:t>
      </w:r>
      <w:r w:rsidR="00434264">
        <w:t xml:space="preserve">Notwithstanding, the </w:t>
      </w:r>
      <w:r w:rsidR="00291975">
        <w:t>calibration</w:t>
      </w:r>
      <w:r w:rsidR="00434264">
        <w:t xml:space="preserve"> of country-</w:t>
      </w:r>
      <w:r w:rsidR="00163BA3">
        <w:t>specific models and</w:t>
      </w:r>
      <w:r w:rsidR="00B736E7">
        <w:t>,</w:t>
      </w:r>
      <w:r w:rsidR="00163BA3">
        <w:t xml:space="preserve"> where appropriate</w:t>
      </w:r>
      <w:r w:rsidR="00B736E7">
        <w:t>,</w:t>
      </w:r>
      <w:r w:rsidR="00163BA3">
        <w:t xml:space="preserve"> ethnic</w:t>
      </w:r>
      <w:r w:rsidR="00316458">
        <w:t>ity-</w:t>
      </w:r>
      <w:r w:rsidR="00CD01D0">
        <w:t>specific intranational models</w:t>
      </w:r>
      <w:r w:rsidR="007D3B7B">
        <w:t>,</w:t>
      </w:r>
      <w:r w:rsidR="00E02D86">
        <w:t xml:space="preserve"> help</w:t>
      </w:r>
      <w:r w:rsidR="007D3B7B">
        <w:t>s</w:t>
      </w:r>
      <w:r w:rsidR="00E02D86">
        <w:t xml:space="preserve"> direct treatment to those most at need and avoid unnecessary intervention </w:t>
      </w:r>
      <w:r w:rsidR="00B736E7">
        <w:t>in those at low risk</w:t>
      </w:r>
      <w:r w:rsidR="007D3B7B">
        <w:t xml:space="preserve">, amongst </w:t>
      </w:r>
      <w:r w:rsidR="00216870">
        <w:t>all segments of society.</w:t>
      </w:r>
      <w:r w:rsidR="00D63EF2" w:rsidRPr="00D63EF2">
        <w:t xml:space="preserve"> </w:t>
      </w:r>
      <w:r w:rsidR="00C20FED">
        <w:t xml:space="preserve"> </w:t>
      </w:r>
      <w:r w:rsidR="00D63EF2" w:rsidRPr="00D63EF2">
        <w:t>However well intentioned, the NEJM article has the potential to do more harm than good</w:t>
      </w:r>
      <w:r w:rsidR="00C20FED">
        <w:t xml:space="preserve"> to patients with </w:t>
      </w:r>
      <w:r w:rsidR="006D15BD">
        <w:t>osteoporosis.</w:t>
      </w:r>
      <w:r w:rsidR="00C20FED">
        <w:t xml:space="preserve"> </w:t>
      </w:r>
    </w:p>
    <w:p w14:paraId="4C424843" w14:textId="741429EF" w:rsidR="00B74515" w:rsidRDefault="00B74515" w:rsidP="0058689A">
      <w:pPr>
        <w:rPr>
          <w:b/>
          <w:bCs/>
        </w:rPr>
      </w:pPr>
      <w:r>
        <w:rPr>
          <w:b/>
          <w:bCs/>
        </w:rPr>
        <w:t>Competing Interests</w:t>
      </w:r>
    </w:p>
    <w:p w14:paraId="0749C50C" w14:textId="2DBAF1FC" w:rsidR="0092779A" w:rsidRDefault="0092779A" w:rsidP="0058689A">
      <w:r w:rsidRPr="0092779A">
        <w:t>JAK, NCH, HJ, ML and EVM are responsible for the creation and maintenance of FRAX but derive no financial benefit.</w:t>
      </w:r>
    </w:p>
    <w:p w14:paraId="77E225BD" w14:textId="25A5248E" w:rsidR="0092779A" w:rsidRDefault="0092779A" w:rsidP="0058689A">
      <w:r>
        <w:t xml:space="preserve">JAK reports no additional competing interests. </w:t>
      </w:r>
    </w:p>
    <w:p w14:paraId="05C4D42B" w14:textId="534C68CE" w:rsidR="005C3956" w:rsidRDefault="005C3956" w:rsidP="005C3956">
      <w:r>
        <w:t xml:space="preserve">CC reports personal fees from Alliance for Better Bone Health, Amgen, Eli Lilly, GSK, Medtronic, Merck, Novartis, Pfizer, Roche, </w:t>
      </w:r>
      <w:proofErr w:type="spellStart"/>
      <w:r>
        <w:t>Servier</w:t>
      </w:r>
      <w:proofErr w:type="spellEnd"/>
      <w:r>
        <w:t>, Takeda and UCB.</w:t>
      </w:r>
    </w:p>
    <w:p w14:paraId="4B783008" w14:textId="47077B85" w:rsidR="005C3956" w:rsidRDefault="005C3956" w:rsidP="005C3956">
      <w:r>
        <w:t xml:space="preserve">BD-H has received grant support from Pfizer and DSM and consulting fees from TTY Biopharma Co, Ltd, Intrinsic Therapeutics and </w:t>
      </w:r>
      <w:proofErr w:type="spellStart"/>
      <w:r>
        <w:t>Agnovos</w:t>
      </w:r>
      <w:proofErr w:type="spellEnd"/>
      <w:r>
        <w:t>.</w:t>
      </w:r>
    </w:p>
    <w:p w14:paraId="0A24CF9F" w14:textId="5536432F" w:rsidR="0092779A" w:rsidRDefault="0092779A" w:rsidP="0092779A">
      <w:r>
        <w:t xml:space="preserve">NCH has received consultancy/lecture fees/honoraria/grant funding from Alliance for Better Bone Health, Amgen, MSD, Eli Lilly, Radius Health, </w:t>
      </w:r>
      <w:proofErr w:type="spellStart"/>
      <w:r>
        <w:t>Servier</w:t>
      </w:r>
      <w:proofErr w:type="spellEnd"/>
      <w:r>
        <w:t xml:space="preserve">, Shire, UCB, </w:t>
      </w:r>
      <w:proofErr w:type="spellStart"/>
      <w:r>
        <w:t>Consilient</w:t>
      </w:r>
      <w:proofErr w:type="spellEnd"/>
      <w:r>
        <w:t xml:space="preserve"> Healthcare and </w:t>
      </w:r>
      <w:proofErr w:type="spellStart"/>
      <w:r>
        <w:t>Internis</w:t>
      </w:r>
      <w:proofErr w:type="spellEnd"/>
      <w:r>
        <w:t xml:space="preserve"> Pharma.</w:t>
      </w:r>
    </w:p>
    <w:p w14:paraId="1355B718" w14:textId="1DBC5850" w:rsidR="0092779A" w:rsidRDefault="0092779A" w:rsidP="0092779A">
      <w:r>
        <w:t>HJ has no conflicts of interest to declare.</w:t>
      </w:r>
    </w:p>
    <w:p w14:paraId="5D94C0AA" w14:textId="2D69A5A1" w:rsidR="0092779A" w:rsidRDefault="0092779A" w:rsidP="0092779A">
      <w:r>
        <w:lastRenderedPageBreak/>
        <w:t xml:space="preserve">ML has received lecture fees from Amgen, Lilly, </w:t>
      </w:r>
      <w:proofErr w:type="spellStart"/>
      <w:r>
        <w:t>Meda</w:t>
      </w:r>
      <w:proofErr w:type="spellEnd"/>
      <w:r>
        <w:t xml:space="preserve">, </w:t>
      </w:r>
      <w:proofErr w:type="spellStart"/>
      <w:r>
        <w:t>Renapharma</w:t>
      </w:r>
      <w:proofErr w:type="spellEnd"/>
      <w:r>
        <w:t xml:space="preserve"> and UCB Pharma and consulting fees from Amgen, Radius Health, UCB Pharma, </w:t>
      </w:r>
      <w:proofErr w:type="spellStart"/>
      <w:r>
        <w:t>Renapharma</w:t>
      </w:r>
      <w:proofErr w:type="spellEnd"/>
      <w:r>
        <w:t xml:space="preserve"> and </w:t>
      </w:r>
      <w:proofErr w:type="spellStart"/>
      <w:r>
        <w:t>Consilient</w:t>
      </w:r>
      <w:proofErr w:type="spellEnd"/>
      <w:r>
        <w:t xml:space="preserve"> Health.</w:t>
      </w:r>
    </w:p>
    <w:p w14:paraId="6BD1CABD" w14:textId="714FA734" w:rsidR="00C364E7" w:rsidRDefault="00C364E7" w:rsidP="005C3956">
      <w:r w:rsidRPr="00C364E7">
        <w:t xml:space="preserve">EVM has received consultancy/lecture fees/grant funding/honoraria from </w:t>
      </w:r>
      <w:proofErr w:type="spellStart"/>
      <w:r w:rsidRPr="00C364E7">
        <w:t>AgNovos</w:t>
      </w:r>
      <w:proofErr w:type="spellEnd"/>
      <w:r w:rsidRPr="00C364E7">
        <w:t xml:space="preserve">, Amgen, AstraZeneca, </w:t>
      </w:r>
      <w:proofErr w:type="spellStart"/>
      <w:r w:rsidRPr="00C364E7">
        <w:t>Consilient</w:t>
      </w:r>
      <w:proofErr w:type="spellEnd"/>
      <w:r w:rsidRPr="00C364E7">
        <w:t xml:space="preserve"> Healthcare, Fresenius </w:t>
      </w:r>
      <w:proofErr w:type="spellStart"/>
      <w:r w:rsidRPr="00C364E7">
        <w:t>Kabi</w:t>
      </w:r>
      <w:proofErr w:type="spellEnd"/>
      <w:r w:rsidRPr="00C364E7">
        <w:t xml:space="preserve">, Gilead, GSK, Hologic, </w:t>
      </w:r>
      <w:proofErr w:type="spellStart"/>
      <w:r w:rsidRPr="00C364E7">
        <w:t>Internis</w:t>
      </w:r>
      <w:proofErr w:type="spellEnd"/>
      <w:r w:rsidRPr="00C364E7">
        <w:t xml:space="preserve">, Lilly, Merck, Novartis, Pfizer, Radius Health, </w:t>
      </w:r>
      <w:proofErr w:type="spellStart"/>
      <w:r w:rsidRPr="00C364E7">
        <w:t>Redx</w:t>
      </w:r>
      <w:proofErr w:type="spellEnd"/>
      <w:r w:rsidRPr="00C364E7">
        <w:t xml:space="preserve"> Oncology, Roche, Sanofi Aventis, UCB, </w:t>
      </w:r>
      <w:proofErr w:type="spellStart"/>
      <w:r w:rsidRPr="00C364E7">
        <w:t>Viiv</w:t>
      </w:r>
      <w:proofErr w:type="spellEnd"/>
      <w:r w:rsidRPr="00C364E7">
        <w:t xml:space="preserve">, Warner Chilcott, and I3 </w:t>
      </w:r>
      <w:proofErr w:type="spellStart"/>
      <w:r w:rsidRPr="00C364E7">
        <w:t>Innovus</w:t>
      </w:r>
      <w:proofErr w:type="spellEnd"/>
      <w:r w:rsidRPr="00C364E7">
        <w:t>.</w:t>
      </w:r>
    </w:p>
    <w:p w14:paraId="67E1540E" w14:textId="462A9CE5" w:rsidR="005C3956" w:rsidRDefault="005C3956" w:rsidP="005C3956">
      <w:r>
        <w:t>J-YR has received advisory board or consulting fees from IBSA-</w:t>
      </w:r>
      <w:proofErr w:type="spellStart"/>
      <w:r>
        <w:t>Genévrier</w:t>
      </w:r>
      <w:proofErr w:type="spellEnd"/>
      <w:r>
        <w:t xml:space="preserve">, Pierre Fabre, Radius Health, TEVA and Mylan; lecture fees from </w:t>
      </w:r>
      <w:proofErr w:type="spellStart"/>
      <w:r>
        <w:t>Agnovos</w:t>
      </w:r>
      <w:proofErr w:type="spellEnd"/>
      <w:r>
        <w:t>, IBSA-</w:t>
      </w:r>
      <w:proofErr w:type="spellStart"/>
      <w:r>
        <w:t>Genévrier</w:t>
      </w:r>
      <w:proofErr w:type="spellEnd"/>
      <w:r>
        <w:t xml:space="preserve">, Mylan, CNIEL, Dairy Research Council (DRC) and </w:t>
      </w:r>
      <w:proofErr w:type="spellStart"/>
      <w:r>
        <w:t>Theramex</w:t>
      </w:r>
      <w:proofErr w:type="spellEnd"/>
      <w:r>
        <w:t xml:space="preserve"> and institutional grant support from IBSA-</w:t>
      </w:r>
      <w:proofErr w:type="spellStart"/>
      <w:r>
        <w:t>Genévrier</w:t>
      </w:r>
      <w:proofErr w:type="spellEnd"/>
      <w:r>
        <w:t>, Mylan, CNIEL and Radius Health.</w:t>
      </w:r>
    </w:p>
    <w:p w14:paraId="624D7FD1" w14:textId="31264EAE" w:rsidR="005C3956" w:rsidRPr="0092779A" w:rsidRDefault="005C3956" w:rsidP="005C3956">
      <w:r>
        <w:t xml:space="preserve">RR has received consulting fees or advisory board fees from Radius Health, </w:t>
      </w:r>
      <w:proofErr w:type="spellStart"/>
      <w:r>
        <w:t>Labatec</w:t>
      </w:r>
      <w:proofErr w:type="spellEnd"/>
      <w:r>
        <w:t>, Danone, Nestlé, CNIEL and Sandoz.</w:t>
      </w:r>
    </w:p>
    <w:p w14:paraId="3E311179" w14:textId="7AA5F8AF" w:rsidR="00C0249D" w:rsidRPr="008E18F2" w:rsidRDefault="00C0249D" w:rsidP="0058689A">
      <w:pPr>
        <w:rPr>
          <w:b/>
          <w:bCs/>
        </w:rPr>
      </w:pPr>
      <w:r w:rsidRPr="008E18F2">
        <w:rPr>
          <w:b/>
          <w:bCs/>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270133" w14:paraId="22DF3B6C" w14:textId="77777777" w:rsidTr="00B4247F">
        <w:tc>
          <w:tcPr>
            <w:tcW w:w="704" w:type="dxa"/>
            <w:shd w:val="clear" w:color="auto" w:fill="auto"/>
          </w:tcPr>
          <w:p w14:paraId="3A1CD5C7" w14:textId="77777777" w:rsidR="00270133" w:rsidRDefault="00270133" w:rsidP="005D3C78">
            <w:pPr>
              <w:spacing w:before="240"/>
              <w:jc w:val="right"/>
            </w:pPr>
            <w:r>
              <w:t>1.</w:t>
            </w:r>
          </w:p>
        </w:tc>
        <w:tc>
          <w:tcPr>
            <w:tcW w:w="8312" w:type="dxa"/>
            <w:shd w:val="clear" w:color="auto" w:fill="auto"/>
          </w:tcPr>
          <w:p w14:paraId="7F4205A3" w14:textId="77777777" w:rsidR="00270133" w:rsidRPr="00095382" w:rsidRDefault="00270133" w:rsidP="00254077">
            <w:pPr>
              <w:spacing w:before="240"/>
            </w:pPr>
            <w:r w:rsidRPr="00B56CBA">
              <w:t>Vyas</w:t>
            </w:r>
            <w:r>
              <w:t xml:space="preserve"> DA</w:t>
            </w:r>
            <w:r w:rsidRPr="00B56CBA">
              <w:t>, Eisenstein</w:t>
            </w:r>
            <w:r>
              <w:t xml:space="preserve"> LG</w:t>
            </w:r>
            <w:r w:rsidRPr="00B56CBA">
              <w:t>, Jones</w:t>
            </w:r>
            <w:r>
              <w:t xml:space="preserve"> DS (2020) Hidden in plain sight — Reconsidering the use of race correction in clinical algorithms. New </w:t>
            </w:r>
            <w:proofErr w:type="spellStart"/>
            <w:r>
              <w:t>Engl</w:t>
            </w:r>
            <w:proofErr w:type="spellEnd"/>
            <w:r>
              <w:t xml:space="preserve"> J Med </w:t>
            </w:r>
            <w:r w:rsidRPr="006A3AD7">
              <w:t>383:</w:t>
            </w:r>
            <w:r>
              <w:t xml:space="preserve"> </w:t>
            </w:r>
            <w:r w:rsidRPr="006A3AD7">
              <w:t>874-882</w:t>
            </w:r>
            <w:r>
              <w:t>.</w:t>
            </w:r>
            <w:r w:rsidRPr="006A3AD7">
              <w:t xml:space="preserve"> </w:t>
            </w:r>
          </w:p>
        </w:tc>
      </w:tr>
      <w:tr w:rsidR="00270133" w14:paraId="4DD7ED78" w14:textId="77777777" w:rsidTr="00B4247F">
        <w:tc>
          <w:tcPr>
            <w:tcW w:w="704" w:type="dxa"/>
            <w:shd w:val="clear" w:color="auto" w:fill="auto"/>
          </w:tcPr>
          <w:p w14:paraId="68F765CA" w14:textId="77777777" w:rsidR="00270133" w:rsidRDefault="00270133" w:rsidP="005D3C78">
            <w:pPr>
              <w:spacing w:before="240"/>
              <w:jc w:val="right"/>
            </w:pPr>
            <w:r>
              <w:t>2.</w:t>
            </w:r>
          </w:p>
        </w:tc>
        <w:tc>
          <w:tcPr>
            <w:tcW w:w="8312" w:type="dxa"/>
            <w:shd w:val="clear" w:color="auto" w:fill="auto"/>
          </w:tcPr>
          <w:p w14:paraId="7608E220" w14:textId="77777777" w:rsidR="00270133" w:rsidRDefault="00270133" w:rsidP="00254077">
            <w:pPr>
              <w:spacing w:before="240"/>
            </w:pPr>
            <w:proofErr w:type="spellStart"/>
            <w:r>
              <w:t>Kolata</w:t>
            </w:r>
            <w:proofErr w:type="spellEnd"/>
            <w:r>
              <w:t xml:space="preserve"> G (2020) Many medical </w:t>
            </w:r>
            <w:proofErr w:type="gramStart"/>
            <w:r>
              <w:t>decision</w:t>
            </w:r>
            <w:proofErr w:type="gramEnd"/>
            <w:r>
              <w:t xml:space="preserve"> tools disadvantage black patients. New </w:t>
            </w:r>
            <w:proofErr w:type="spellStart"/>
            <w:r>
              <w:t>YorkTimes</w:t>
            </w:r>
            <w:proofErr w:type="spellEnd"/>
            <w:r>
              <w:t xml:space="preserve">. New York Times, </w:t>
            </w:r>
            <w:hyperlink r:id="rId10" w:history="1">
              <w:r w:rsidRPr="008F2D19">
                <w:rPr>
                  <w:rStyle w:val="Hyperlink"/>
                </w:rPr>
                <w:t>https://www.nytimes.com/2020/06/17/health/many-medical-decision-tools-disadvantage-black-patients.html</w:t>
              </w:r>
            </w:hyperlink>
            <w:r>
              <w:t>, accessed 28 August 2020</w:t>
            </w:r>
          </w:p>
        </w:tc>
      </w:tr>
      <w:tr w:rsidR="00270133" w14:paraId="235CB751" w14:textId="77777777" w:rsidTr="00B4247F">
        <w:tc>
          <w:tcPr>
            <w:tcW w:w="704" w:type="dxa"/>
            <w:shd w:val="clear" w:color="auto" w:fill="auto"/>
          </w:tcPr>
          <w:p w14:paraId="6FBDFA92" w14:textId="77777777" w:rsidR="00270133" w:rsidRDefault="00270133" w:rsidP="005D3C78">
            <w:pPr>
              <w:spacing w:before="240"/>
              <w:jc w:val="right"/>
            </w:pPr>
            <w:r>
              <w:t>3.</w:t>
            </w:r>
          </w:p>
        </w:tc>
        <w:tc>
          <w:tcPr>
            <w:tcW w:w="8312" w:type="dxa"/>
            <w:shd w:val="clear" w:color="auto" w:fill="auto"/>
          </w:tcPr>
          <w:p w14:paraId="6642950B" w14:textId="77777777" w:rsidR="00270133" w:rsidRPr="003B6AEC" w:rsidRDefault="00270133" w:rsidP="00C524C1">
            <w:pPr>
              <w:spacing w:before="240"/>
            </w:pPr>
            <w:r w:rsidRPr="003B6AEC">
              <w:t xml:space="preserve">Kanis JA, </w:t>
            </w:r>
            <w:proofErr w:type="spellStart"/>
            <w:r w:rsidRPr="003B6AEC">
              <w:t>Johnell</w:t>
            </w:r>
            <w:proofErr w:type="spellEnd"/>
            <w:r w:rsidRPr="003B6AEC">
              <w:t xml:space="preserve"> O, De </w:t>
            </w:r>
            <w:proofErr w:type="spellStart"/>
            <w:r w:rsidRPr="003B6AEC">
              <w:t>Laet</w:t>
            </w:r>
            <w:proofErr w:type="spellEnd"/>
            <w:r w:rsidRPr="003B6AEC">
              <w:t xml:space="preserve"> C, Jonsson B, Oden A, Oglesby A (2002) International variations in hip fracture probabilities: implications for risk assessment. J Bone Miner Res 17: 1237–44.</w:t>
            </w:r>
          </w:p>
        </w:tc>
      </w:tr>
      <w:tr w:rsidR="00270133" w14:paraId="5A738C9C" w14:textId="77777777" w:rsidTr="00B4247F">
        <w:tc>
          <w:tcPr>
            <w:tcW w:w="704" w:type="dxa"/>
            <w:shd w:val="clear" w:color="auto" w:fill="auto"/>
          </w:tcPr>
          <w:p w14:paraId="36F15C9E" w14:textId="77777777" w:rsidR="00270133" w:rsidRDefault="00270133" w:rsidP="005D3C78">
            <w:pPr>
              <w:spacing w:before="240"/>
              <w:jc w:val="right"/>
            </w:pPr>
            <w:r>
              <w:t>4.</w:t>
            </w:r>
          </w:p>
        </w:tc>
        <w:tc>
          <w:tcPr>
            <w:tcW w:w="8312" w:type="dxa"/>
            <w:shd w:val="clear" w:color="auto" w:fill="auto"/>
          </w:tcPr>
          <w:p w14:paraId="647AEA18" w14:textId="77777777" w:rsidR="00270133" w:rsidRPr="003B6AEC" w:rsidRDefault="00270133" w:rsidP="00254077">
            <w:pPr>
              <w:spacing w:before="240"/>
            </w:pPr>
            <w:r w:rsidRPr="003B6AEC">
              <w:t>Kanis JA, Odén A, McCloskey EV, Johansson H, Wahl DA, Cooper C (2012) A systematic review of hip fracture incidence and probability of fracture worldwide. Osteoporos Int 23: 2239–56.</w:t>
            </w:r>
          </w:p>
        </w:tc>
      </w:tr>
      <w:tr w:rsidR="00270133" w14:paraId="360BCB7B" w14:textId="77777777" w:rsidTr="00B4247F">
        <w:tc>
          <w:tcPr>
            <w:tcW w:w="704" w:type="dxa"/>
            <w:shd w:val="clear" w:color="auto" w:fill="auto"/>
          </w:tcPr>
          <w:p w14:paraId="1DE61A1C" w14:textId="77777777" w:rsidR="00270133" w:rsidRDefault="00270133" w:rsidP="005D3C78">
            <w:pPr>
              <w:spacing w:before="240"/>
              <w:jc w:val="right"/>
            </w:pPr>
            <w:r>
              <w:t>5.</w:t>
            </w:r>
          </w:p>
        </w:tc>
        <w:tc>
          <w:tcPr>
            <w:tcW w:w="8312" w:type="dxa"/>
            <w:shd w:val="clear" w:color="auto" w:fill="auto"/>
          </w:tcPr>
          <w:p w14:paraId="1F846B0E" w14:textId="77777777" w:rsidR="00270133" w:rsidRPr="00095382" w:rsidRDefault="00270133" w:rsidP="00254077">
            <w:pPr>
              <w:spacing w:before="240"/>
            </w:pPr>
            <w:proofErr w:type="spellStart"/>
            <w:r w:rsidRPr="002A2F9A">
              <w:t>Ström</w:t>
            </w:r>
            <w:proofErr w:type="spellEnd"/>
            <w:r w:rsidRPr="002A2F9A">
              <w:t xml:space="preserve"> O, </w:t>
            </w:r>
            <w:proofErr w:type="spellStart"/>
            <w:r w:rsidRPr="002A2F9A">
              <w:t>Lauppe</w:t>
            </w:r>
            <w:proofErr w:type="spellEnd"/>
            <w:r w:rsidRPr="002A2F9A">
              <w:t xml:space="preserve"> R, </w:t>
            </w:r>
            <w:proofErr w:type="spellStart"/>
            <w:r w:rsidRPr="002A2F9A">
              <w:t>Ljunggren</w:t>
            </w:r>
            <w:proofErr w:type="spellEnd"/>
            <w:r w:rsidRPr="002A2F9A">
              <w:t xml:space="preserve"> Ö, </w:t>
            </w:r>
            <w:proofErr w:type="spellStart"/>
            <w:r w:rsidRPr="00082823">
              <w:t>Spångéus</w:t>
            </w:r>
            <w:proofErr w:type="spellEnd"/>
            <w:r w:rsidRPr="00082823">
              <w:t xml:space="preserve"> A, </w:t>
            </w:r>
            <w:proofErr w:type="spellStart"/>
            <w:r w:rsidRPr="00082823">
              <w:t>Ortsäter</w:t>
            </w:r>
            <w:proofErr w:type="spellEnd"/>
            <w:r w:rsidRPr="00082823">
              <w:t xml:space="preserve"> G, O'Kelly J, Åkesson K</w:t>
            </w:r>
            <w:r>
              <w:t xml:space="preserve"> (2020) </w:t>
            </w:r>
            <w:r w:rsidRPr="002A2F9A">
              <w:t>Real-world effectiveness of osteoporosis treatment in the oldest old. Osteoporos Int. 31</w:t>
            </w:r>
            <w:r>
              <w:t xml:space="preserve">: </w:t>
            </w:r>
            <w:r w:rsidRPr="002A2F9A">
              <w:t>1525-1533.</w:t>
            </w:r>
          </w:p>
        </w:tc>
      </w:tr>
      <w:tr w:rsidR="00270133" w14:paraId="271D8BDE" w14:textId="77777777" w:rsidTr="00B4247F">
        <w:tc>
          <w:tcPr>
            <w:tcW w:w="704" w:type="dxa"/>
            <w:shd w:val="clear" w:color="auto" w:fill="auto"/>
          </w:tcPr>
          <w:p w14:paraId="7D8A0DE3" w14:textId="77777777" w:rsidR="00270133" w:rsidRDefault="00270133" w:rsidP="005D3C78">
            <w:pPr>
              <w:spacing w:before="240"/>
              <w:jc w:val="right"/>
            </w:pPr>
            <w:r>
              <w:t>6.</w:t>
            </w:r>
          </w:p>
        </w:tc>
        <w:tc>
          <w:tcPr>
            <w:tcW w:w="8312" w:type="dxa"/>
            <w:shd w:val="clear" w:color="auto" w:fill="auto"/>
          </w:tcPr>
          <w:p w14:paraId="3443C65C" w14:textId="77777777" w:rsidR="00270133" w:rsidRPr="003B6AEC" w:rsidRDefault="00270133" w:rsidP="00254077">
            <w:pPr>
              <w:spacing w:before="240"/>
            </w:pPr>
            <w:r w:rsidRPr="003B6AEC">
              <w:t>Kanis JA on behalf of the World Health Organization Scientific Group (2007) Assessment of osteoporosis at the primary health-care level. Technical Report. WHO Collaborating Centre, University of Sheffield, UK. Available at http://www.shef.ac.uk/FRAX/index.htm</w:t>
            </w:r>
          </w:p>
        </w:tc>
      </w:tr>
      <w:tr w:rsidR="00270133" w14:paraId="23FFDB50" w14:textId="77777777" w:rsidTr="00B4247F">
        <w:tc>
          <w:tcPr>
            <w:tcW w:w="704" w:type="dxa"/>
            <w:shd w:val="clear" w:color="auto" w:fill="auto"/>
          </w:tcPr>
          <w:p w14:paraId="338B9253" w14:textId="77777777" w:rsidR="00270133" w:rsidRDefault="00270133" w:rsidP="005D3C78">
            <w:pPr>
              <w:spacing w:before="240"/>
              <w:jc w:val="right"/>
            </w:pPr>
            <w:r>
              <w:t>7.</w:t>
            </w:r>
          </w:p>
        </w:tc>
        <w:tc>
          <w:tcPr>
            <w:tcW w:w="8312" w:type="dxa"/>
            <w:shd w:val="clear" w:color="auto" w:fill="auto"/>
          </w:tcPr>
          <w:p w14:paraId="0C79495B" w14:textId="77777777" w:rsidR="00270133" w:rsidRPr="003B6AEC" w:rsidRDefault="00270133" w:rsidP="00254077">
            <w:pPr>
              <w:spacing w:before="240"/>
            </w:pPr>
            <w:r w:rsidRPr="003B6AEC">
              <w:rPr>
                <w:rFonts w:ascii="Calibri" w:hAnsi="Calibri"/>
                <w:bCs/>
              </w:rPr>
              <w:t>Kanis JA, McCloskey</w:t>
            </w:r>
            <w:r w:rsidRPr="003B6AEC">
              <w:rPr>
                <w:rFonts w:ascii="Calibri" w:hAnsi="Calibri"/>
              </w:rPr>
              <w:t xml:space="preserve"> E, Johansson H, Oden A, Leslie WD (2012) FRAX</w:t>
            </w:r>
            <w:r w:rsidRPr="003B6AEC">
              <w:rPr>
                <w:rFonts w:ascii="Calibri" w:hAnsi="Calibri"/>
                <w:vertAlign w:val="superscript"/>
              </w:rPr>
              <w:t>®</w:t>
            </w:r>
            <w:r w:rsidRPr="003B6AEC">
              <w:rPr>
                <w:rFonts w:ascii="Calibri" w:hAnsi="Calibri"/>
              </w:rPr>
              <w:t xml:space="preserve"> with and without BMD. </w:t>
            </w:r>
            <w:proofErr w:type="spellStart"/>
            <w:r w:rsidRPr="003B6AEC">
              <w:rPr>
                <w:rFonts w:ascii="Calibri" w:hAnsi="Calibri"/>
              </w:rPr>
              <w:t>Calcif</w:t>
            </w:r>
            <w:proofErr w:type="spellEnd"/>
            <w:r w:rsidRPr="003B6AEC">
              <w:rPr>
                <w:rFonts w:ascii="Calibri" w:hAnsi="Calibri"/>
              </w:rPr>
              <w:t xml:space="preserve"> Tissue Int 90: 1-13. </w:t>
            </w:r>
          </w:p>
        </w:tc>
      </w:tr>
      <w:tr w:rsidR="00270133" w14:paraId="41B59CAB" w14:textId="77777777" w:rsidTr="00B4247F">
        <w:tc>
          <w:tcPr>
            <w:tcW w:w="704" w:type="dxa"/>
            <w:shd w:val="clear" w:color="auto" w:fill="auto"/>
          </w:tcPr>
          <w:p w14:paraId="298D48D5" w14:textId="77777777" w:rsidR="00270133" w:rsidRDefault="00270133" w:rsidP="005D3C78">
            <w:pPr>
              <w:spacing w:before="240"/>
              <w:jc w:val="right"/>
            </w:pPr>
            <w:r>
              <w:t>8.</w:t>
            </w:r>
          </w:p>
        </w:tc>
        <w:tc>
          <w:tcPr>
            <w:tcW w:w="8312" w:type="dxa"/>
            <w:shd w:val="clear" w:color="auto" w:fill="auto"/>
          </w:tcPr>
          <w:p w14:paraId="2C2FD2C5" w14:textId="77777777" w:rsidR="00270133" w:rsidRPr="0014031E" w:rsidRDefault="00270133" w:rsidP="00C524C1">
            <w:pPr>
              <w:spacing w:before="240"/>
            </w:pPr>
            <w:r w:rsidRPr="00EF689C">
              <w:t xml:space="preserve">Bonham VL, Sellers SL, Gallagher TH, </w:t>
            </w:r>
            <w:r w:rsidRPr="00720673">
              <w:t xml:space="preserve">Frank D, </w:t>
            </w:r>
            <w:proofErr w:type="spellStart"/>
            <w:r w:rsidRPr="00720673">
              <w:t>Odunlami</w:t>
            </w:r>
            <w:proofErr w:type="spellEnd"/>
            <w:r w:rsidRPr="00720673">
              <w:t xml:space="preserve"> AO, Price EG, Cooper LA</w:t>
            </w:r>
            <w:r>
              <w:t xml:space="preserve"> (2009)</w:t>
            </w:r>
            <w:r w:rsidRPr="00EF689C">
              <w:t xml:space="preserve"> Physicians' attitudes toward race, genetics, and clinical medicine. Genet Med</w:t>
            </w:r>
            <w:r>
              <w:t xml:space="preserve"> </w:t>
            </w:r>
            <w:r w:rsidRPr="00EF689C">
              <w:t>11</w:t>
            </w:r>
            <w:r>
              <w:t xml:space="preserve">: </w:t>
            </w:r>
            <w:r w:rsidRPr="00EF689C">
              <w:t>279-286.</w:t>
            </w:r>
          </w:p>
        </w:tc>
      </w:tr>
      <w:tr w:rsidR="00270133" w14:paraId="5B1D883C" w14:textId="77777777" w:rsidTr="00B4247F">
        <w:tc>
          <w:tcPr>
            <w:tcW w:w="704" w:type="dxa"/>
            <w:shd w:val="clear" w:color="auto" w:fill="auto"/>
          </w:tcPr>
          <w:p w14:paraId="6F482270" w14:textId="77777777" w:rsidR="00270133" w:rsidRDefault="00270133" w:rsidP="005D3C78">
            <w:pPr>
              <w:spacing w:before="240"/>
              <w:jc w:val="right"/>
            </w:pPr>
            <w:r>
              <w:t>9.</w:t>
            </w:r>
          </w:p>
        </w:tc>
        <w:tc>
          <w:tcPr>
            <w:tcW w:w="8312" w:type="dxa"/>
            <w:shd w:val="clear" w:color="auto" w:fill="auto"/>
          </w:tcPr>
          <w:p w14:paraId="3D5E061E" w14:textId="77777777" w:rsidR="00270133" w:rsidRDefault="00270133" w:rsidP="00323695">
            <w:pPr>
              <w:spacing w:before="240"/>
            </w:pPr>
            <w:bookmarkStart w:id="8" w:name="_Hlk49514687"/>
            <w:r w:rsidRPr="008447E8">
              <w:t>Forgetta</w:t>
            </w:r>
            <w:bookmarkEnd w:id="8"/>
            <w:r w:rsidRPr="008447E8">
              <w:t xml:space="preserve"> V, Keller-Baruch J, Forest M, Durand A, Bhatnagar S, Kemp J, Nethander M, Evans D, Morris JA, Kiel DP, </w:t>
            </w:r>
            <w:proofErr w:type="spellStart"/>
            <w:r w:rsidRPr="008447E8">
              <w:t>Rivadeneira</w:t>
            </w:r>
            <w:proofErr w:type="spellEnd"/>
            <w:r w:rsidRPr="008447E8">
              <w:t xml:space="preserve"> F, </w:t>
            </w:r>
            <w:proofErr w:type="spellStart"/>
            <w:r w:rsidRPr="008447E8">
              <w:t>Johannson</w:t>
            </w:r>
            <w:proofErr w:type="spellEnd"/>
            <w:r w:rsidRPr="008447E8">
              <w:t xml:space="preserve"> H, Harvey N, </w:t>
            </w:r>
            <w:proofErr w:type="spellStart"/>
            <w:r w:rsidRPr="008447E8">
              <w:t>Mellström</w:t>
            </w:r>
            <w:proofErr w:type="spellEnd"/>
            <w:r w:rsidRPr="008447E8">
              <w:t xml:space="preserve"> D, Karlsson M, Cooper C, Evans DM, Clark R, Kanis JA, Orwoll E, McCloskey EV, Ohlsson C, Pineau J, Leslie WD, Greenwood CMT, Richards JB (2020) Development of a polygenic risk score to </w:t>
            </w:r>
            <w:r w:rsidRPr="008447E8">
              <w:lastRenderedPageBreak/>
              <w:t xml:space="preserve">improve screening for fracture risk: A genetic risk prediction study. </w:t>
            </w:r>
            <w:proofErr w:type="spellStart"/>
            <w:r w:rsidRPr="008447E8">
              <w:t>PLoS</w:t>
            </w:r>
            <w:proofErr w:type="spellEnd"/>
            <w:r w:rsidRPr="008447E8">
              <w:t xml:space="preserve"> Med 17</w:t>
            </w:r>
            <w:r>
              <w:t>:</w:t>
            </w:r>
            <w:r w:rsidRPr="008447E8">
              <w:t xml:space="preserve"> e1003152. doi:10.1371/journal. pmed.1003152</w:t>
            </w:r>
          </w:p>
        </w:tc>
      </w:tr>
      <w:tr w:rsidR="00270133" w14:paraId="5AC1C958" w14:textId="77777777" w:rsidTr="00B4247F">
        <w:tc>
          <w:tcPr>
            <w:tcW w:w="704" w:type="dxa"/>
            <w:shd w:val="clear" w:color="auto" w:fill="auto"/>
          </w:tcPr>
          <w:p w14:paraId="17004FC0" w14:textId="77777777" w:rsidR="00270133" w:rsidRDefault="00270133" w:rsidP="005D3C78">
            <w:pPr>
              <w:spacing w:before="240"/>
              <w:jc w:val="right"/>
            </w:pPr>
            <w:r>
              <w:lastRenderedPageBreak/>
              <w:t>10.</w:t>
            </w:r>
          </w:p>
        </w:tc>
        <w:tc>
          <w:tcPr>
            <w:tcW w:w="8312" w:type="dxa"/>
            <w:shd w:val="clear" w:color="auto" w:fill="auto"/>
          </w:tcPr>
          <w:p w14:paraId="02002616" w14:textId="77777777" w:rsidR="00270133" w:rsidRDefault="00270133" w:rsidP="00254077">
            <w:pPr>
              <w:spacing w:before="240"/>
            </w:pPr>
            <w:r w:rsidRPr="0093485B">
              <w:t xml:space="preserve">Popham, R. E. and Schmidt, W. (1981) Words and deeds: the validity of self-report data on alcohol consumption. </w:t>
            </w:r>
            <w:r w:rsidRPr="004127C6">
              <w:t xml:space="preserve">J Stud Alcohol </w:t>
            </w:r>
            <w:r w:rsidRPr="0093485B">
              <w:t>42</w:t>
            </w:r>
            <w:r>
              <w:t xml:space="preserve">: </w:t>
            </w:r>
            <w:r w:rsidRPr="0093485B">
              <w:t>355–368.</w:t>
            </w:r>
          </w:p>
        </w:tc>
      </w:tr>
      <w:tr w:rsidR="00270133" w14:paraId="4C713C17" w14:textId="77777777" w:rsidTr="00B4247F">
        <w:tc>
          <w:tcPr>
            <w:tcW w:w="704" w:type="dxa"/>
            <w:shd w:val="clear" w:color="auto" w:fill="auto"/>
          </w:tcPr>
          <w:p w14:paraId="57562D61" w14:textId="77777777" w:rsidR="00270133" w:rsidRDefault="00270133" w:rsidP="005D3C78">
            <w:pPr>
              <w:spacing w:before="240"/>
              <w:jc w:val="right"/>
            </w:pPr>
            <w:r>
              <w:t>11.</w:t>
            </w:r>
          </w:p>
        </w:tc>
        <w:tc>
          <w:tcPr>
            <w:tcW w:w="8312" w:type="dxa"/>
            <w:shd w:val="clear" w:color="auto" w:fill="auto"/>
          </w:tcPr>
          <w:p w14:paraId="2017CF1D" w14:textId="77777777" w:rsidR="00270133" w:rsidRDefault="00270133" w:rsidP="00254077">
            <w:pPr>
              <w:spacing w:before="240"/>
            </w:pPr>
            <w:r w:rsidRPr="00095382">
              <w:t>Watson</w:t>
            </w:r>
            <w:r>
              <w:t xml:space="preserve"> </w:t>
            </w:r>
            <w:r w:rsidRPr="00095382">
              <w:t xml:space="preserve">CG, </w:t>
            </w:r>
            <w:proofErr w:type="spellStart"/>
            <w:r w:rsidRPr="00095382">
              <w:t>Tilleskjor</w:t>
            </w:r>
            <w:proofErr w:type="spellEnd"/>
            <w:r w:rsidRPr="00095382">
              <w:t xml:space="preserve"> C, </w:t>
            </w:r>
            <w:proofErr w:type="spellStart"/>
            <w:r w:rsidRPr="00095382">
              <w:t>Hoodecheck-Schow</w:t>
            </w:r>
            <w:proofErr w:type="spellEnd"/>
            <w:r w:rsidRPr="00095382">
              <w:t xml:space="preserve"> EA, </w:t>
            </w:r>
            <w:proofErr w:type="spellStart"/>
            <w:r w:rsidRPr="00095382">
              <w:t>Pucel</w:t>
            </w:r>
            <w:proofErr w:type="spellEnd"/>
            <w:r w:rsidRPr="00095382">
              <w:t xml:space="preserve"> J</w:t>
            </w:r>
            <w:r>
              <w:t>,</w:t>
            </w:r>
            <w:r w:rsidRPr="00095382">
              <w:t xml:space="preserve"> Jacobs L (1984) Do alcoholics give valid self-reports? </w:t>
            </w:r>
            <w:r w:rsidRPr="00DA03E2">
              <w:t xml:space="preserve">J Stud Alcohol </w:t>
            </w:r>
            <w:r w:rsidRPr="00095382">
              <w:t>45</w:t>
            </w:r>
            <w:r>
              <w:t>:</w:t>
            </w:r>
            <w:r w:rsidRPr="00095382">
              <w:t xml:space="preserve"> 344–348.</w:t>
            </w:r>
          </w:p>
        </w:tc>
      </w:tr>
      <w:tr w:rsidR="00270133" w14:paraId="607696C0" w14:textId="77777777" w:rsidTr="00B4247F">
        <w:tc>
          <w:tcPr>
            <w:tcW w:w="704" w:type="dxa"/>
            <w:shd w:val="clear" w:color="auto" w:fill="auto"/>
          </w:tcPr>
          <w:p w14:paraId="2F1B0CCF" w14:textId="77777777" w:rsidR="00270133" w:rsidRDefault="00270133" w:rsidP="005D3C78">
            <w:pPr>
              <w:spacing w:before="240"/>
              <w:jc w:val="right"/>
            </w:pPr>
            <w:r>
              <w:t>12.</w:t>
            </w:r>
          </w:p>
        </w:tc>
        <w:tc>
          <w:tcPr>
            <w:tcW w:w="8312" w:type="dxa"/>
            <w:shd w:val="clear" w:color="auto" w:fill="auto"/>
          </w:tcPr>
          <w:p w14:paraId="3BC71B7E" w14:textId="77777777" w:rsidR="00270133" w:rsidRDefault="00270133" w:rsidP="00C524C1">
            <w:pPr>
              <w:spacing w:before="240"/>
            </w:pPr>
            <w:r w:rsidRPr="0014031E">
              <w:t xml:space="preserve">Cauley JA, El-Hajj Fuleihan G, Arabi A, Fujiwara S, </w:t>
            </w:r>
            <w:proofErr w:type="spellStart"/>
            <w:r w:rsidRPr="0014031E">
              <w:t>Ragi-Eis</w:t>
            </w:r>
            <w:proofErr w:type="spellEnd"/>
            <w:r w:rsidRPr="0014031E">
              <w:t xml:space="preserve"> S, Calderon A, </w:t>
            </w:r>
            <w:proofErr w:type="spellStart"/>
            <w:r w:rsidRPr="0014031E">
              <w:t>Chionh</w:t>
            </w:r>
            <w:proofErr w:type="spellEnd"/>
            <w:r w:rsidRPr="0014031E">
              <w:t xml:space="preserve"> SB, Chen Z, Curtis JR, Danielson ME, Hanley DA, Kroger H, Kung AW, </w:t>
            </w:r>
            <w:proofErr w:type="spellStart"/>
            <w:r w:rsidRPr="0014031E">
              <w:t>Lesnyak</w:t>
            </w:r>
            <w:proofErr w:type="spellEnd"/>
            <w:r w:rsidRPr="0014031E">
              <w:t xml:space="preserve"> O, Nieves J, </w:t>
            </w:r>
            <w:proofErr w:type="spellStart"/>
            <w:r w:rsidRPr="0014031E">
              <w:t>Pluskiewicz</w:t>
            </w:r>
            <w:proofErr w:type="spellEnd"/>
            <w:r w:rsidRPr="0014031E">
              <w:t xml:space="preserve"> W, El </w:t>
            </w:r>
            <w:proofErr w:type="spellStart"/>
            <w:r w:rsidRPr="0014031E">
              <w:t>Rassi</w:t>
            </w:r>
            <w:proofErr w:type="spellEnd"/>
            <w:r w:rsidRPr="0014031E">
              <w:t xml:space="preserve"> R, Silverman S, Schott AM, Rizzoli R, </w:t>
            </w:r>
            <w:proofErr w:type="spellStart"/>
            <w:r w:rsidRPr="0014031E">
              <w:t>Luckey</w:t>
            </w:r>
            <w:proofErr w:type="spellEnd"/>
            <w:r w:rsidRPr="0014031E">
              <w:t xml:space="preserve"> M; FRAX Position Conference Members</w:t>
            </w:r>
            <w:r>
              <w:t xml:space="preserve"> (2011) </w:t>
            </w:r>
            <w:r w:rsidRPr="00035691">
              <w:t xml:space="preserve">Official positions for FRAX clinical regarding international differences. J Clin </w:t>
            </w:r>
            <w:proofErr w:type="spellStart"/>
            <w:r w:rsidRPr="00035691">
              <w:t>Densitom</w:t>
            </w:r>
            <w:proofErr w:type="spellEnd"/>
            <w:r w:rsidRPr="00035691">
              <w:t xml:space="preserve"> 14:</w:t>
            </w:r>
            <w:r>
              <w:t xml:space="preserve"> </w:t>
            </w:r>
            <w:r w:rsidRPr="00035691">
              <w:t>240–62.</w:t>
            </w:r>
          </w:p>
        </w:tc>
      </w:tr>
      <w:tr w:rsidR="00270133" w14:paraId="067A5985" w14:textId="77777777" w:rsidTr="00B4247F">
        <w:tc>
          <w:tcPr>
            <w:tcW w:w="704" w:type="dxa"/>
            <w:shd w:val="clear" w:color="auto" w:fill="auto"/>
          </w:tcPr>
          <w:p w14:paraId="408225C2" w14:textId="77777777" w:rsidR="00270133" w:rsidRDefault="00270133" w:rsidP="005D3C78">
            <w:pPr>
              <w:spacing w:before="240"/>
              <w:jc w:val="right"/>
            </w:pPr>
            <w:r>
              <w:t>13.</w:t>
            </w:r>
          </w:p>
        </w:tc>
        <w:tc>
          <w:tcPr>
            <w:tcW w:w="8312" w:type="dxa"/>
            <w:shd w:val="clear" w:color="auto" w:fill="auto"/>
          </w:tcPr>
          <w:p w14:paraId="5BEF4D6E" w14:textId="77777777" w:rsidR="00270133" w:rsidRPr="003B6AEC" w:rsidRDefault="00270133" w:rsidP="00254077">
            <w:pPr>
              <w:spacing w:before="240"/>
            </w:pPr>
            <w:r w:rsidRPr="003B6AEC">
              <w:t xml:space="preserve">Kanis JA, Harvey NC, McCloskey E, Bruyère O, Veronese N, Lorentzon M, Cooper C, Rizzoli R, Adib G, Al-Daghri N, Campusano C, Chandran M, Dawson-Hughes B, Javaid K, F Jiwa F, Johansson H, Lee JK, Liu E, Messina D, </w:t>
            </w:r>
            <w:proofErr w:type="spellStart"/>
            <w:r w:rsidRPr="003B6AEC">
              <w:t>Mkinsi</w:t>
            </w:r>
            <w:proofErr w:type="spellEnd"/>
            <w:r w:rsidRPr="003B6AEC">
              <w:t xml:space="preserve"> O, Pinto D,  Prieto-Alhambra D, Saag K, Xia W, Zakraoui L,  Reginster J-Y (2020) Algorithm for the management of patients at low, high and very high risk of osteoporotic fracture.  Osteoporos Int 31: 1-12.  </w:t>
            </w:r>
          </w:p>
        </w:tc>
      </w:tr>
      <w:tr w:rsidR="00270133" w14:paraId="6AB8BA99" w14:textId="77777777" w:rsidTr="00B4247F">
        <w:tc>
          <w:tcPr>
            <w:tcW w:w="704" w:type="dxa"/>
            <w:shd w:val="clear" w:color="auto" w:fill="auto"/>
          </w:tcPr>
          <w:p w14:paraId="1EC8EDA7" w14:textId="77777777" w:rsidR="00270133" w:rsidRDefault="00270133" w:rsidP="005D3C78">
            <w:pPr>
              <w:spacing w:before="240"/>
              <w:jc w:val="right"/>
            </w:pPr>
            <w:r>
              <w:t>14.</w:t>
            </w:r>
          </w:p>
        </w:tc>
        <w:tc>
          <w:tcPr>
            <w:tcW w:w="8312" w:type="dxa"/>
            <w:shd w:val="clear" w:color="auto" w:fill="auto"/>
          </w:tcPr>
          <w:p w14:paraId="1D51EB33" w14:textId="77777777" w:rsidR="00270133" w:rsidRPr="003B6AEC" w:rsidRDefault="00270133" w:rsidP="00254077">
            <w:pPr>
              <w:spacing w:before="240"/>
            </w:pPr>
            <w:r w:rsidRPr="003B6AEC">
              <w:t>Kanis JA, Harvey NC, Cyrus Cooper C, Johansson H, Odén A, McCloskey EV, the Advisory Board of the National Osteoporosis Guideline Group (2016) A systematic review of intervention thresholds based on FRAX. A report prepared for the National Osteoporosis Guideline Group and the International Osteoporosis Foundation.  Arch Osteoporos 11(1):25. doi: 10.1007/s11657-016-0278-z.</w:t>
            </w:r>
          </w:p>
        </w:tc>
      </w:tr>
      <w:tr w:rsidR="00270133" w14:paraId="3AE3A05A" w14:textId="77777777" w:rsidTr="00B4247F">
        <w:tc>
          <w:tcPr>
            <w:tcW w:w="704" w:type="dxa"/>
            <w:shd w:val="clear" w:color="auto" w:fill="auto"/>
          </w:tcPr>
          <w:p w14:paraId="4BDB6CD4" w14:textId="77777777" w:rsidR="00270133" w:rsidRDefault="00270133" w:rsidP="005D3C78">
            <w:pPr>
              <w:spacing w:before="240"/>
              <w:jc w:val="right"/>
            </w:pPr>
            <w:r>
              <w:t>15.</w:t>
            </w:r>
          </w:p>
        </w:tc>
        <w:tc>
          <w:tcPr>
            <w:tcW w:w="8312" w:type="dxa"/>
            <w:shd w:val="clear" w:color="auto" w:fill="auto"/>
          </w:tcPr>
          <w:p w14:paraId="3BEAD469" w14:textId="77777777" w:rsidR="00270133" w:rsidRPr="003B6AEC" w:rsidRDefault="00270133" w:rsidP="00254077">
            <w:pPr>
              <w:spacing w:before="240"/>
            </w:pPr>
            <w:r w:rsidRPr="003B6AEC">
              <w:rPr>
                <w:rFonts w:ascii="Calibri" w:eastAsia="Times New Roman" w:hAnsi="Calibri" w:cs="Times New Roman"/>
                <w:bCs/>
                <w:iCs/>
                <w:lang w:val="en-US"/>
              </w:rPr>
              <w:t xml:space="preserve">Kanis JA, Chandran M, </w:t>
            </w:r>
            <w:proofErr w:type="spellStart"/>
            <w:r w:rsidRPr="003B6AEC">
              <w:rPr>
                <w:rFonts w:ascii="Calibri" w:eastAsia="Times New Roman" w:hAnsi="Calibri" w:cs="Times New Roman"/>
                <w:bCs/>
                <w:iCs/>
                <w:lang w:val="en-US"/>
              </w:rPr>
              <w:t>Chionh</w:t>
            </w:r>
            <w:proofErr w:type="spellEnd"/>
            <w:r w:rsidRPr="003B6AEC">
              <w:rPr>
                <w:rFonts w:ascii="Calibri" w:eastAsia="Times New Roman" w:hAnsi="Calibri" w:cs="Times New Roman"/>
                <w:bCs/>
                <w:iCs/>
                <w:lang w:val="en-US"/>
              </w:rPr>
              <w:t xml:space="preserve"> SB, </w:t>
            </w:r>
            <w:proofErr w:type="spellStart"/>
            <w:r w:rsidRPr="003B6AEC">
              <w:rPr>
                <w:rFonts w:ascii="Calibri" w:eastAsia="Times New Roman" w:hAnsi="Calibri" w:cs="Times New Roman"/>
                <w:bCs/>
                <w:iCs/>
                <w:lang w:val="en-US"/>
              </w:rPr>
              <w:t>Ganeson</w:t>
            </w:r>
            <w:proofErr w:type="spellEnd"/>
            <w:r w:rsidRPr="003B6AEC">
              <w:rPr>
                <w:rFonts w:ascii="Calibri" w:eastAsia="Times New Roman" w:hAnsi="Calibri" w:cs="Times New Roman"/>
                <w:bCs/>
                <w:iCs/>
                <w:lang w:val="en-US"/>
              </w:rPr>
              <w:t xml:space="preserve"> G, Harvey NC, Koh WP, Kwok T, Lau TC, Liu E, Lorentzon M, McCloskey EV, Tan KB, Vandenput L, Johansson H (2020b) Use of age-dependent FRAX-based intervention thresholds for Singapore.  Arch Osteoporos 15 (1):104. doi: 10.1007/s11657-020-00782-9.  </w:t>
            </w:r>
          </w:p>
        </w:tc>
      </w:tr>
      <w:tr w:rsidR="00270133" w14:paraId="1FF6BEC2" w14:textId="77777777" w:rsidTr="00B4247F">
        <w:tc>
          <w:tcPr>
            <w:tcW w:w="704" w:type="dxa"/>
            <w:shd w:val="clear" w:color="auto" w:fill="auto"/>
          </w:tcPr>
          <w:p w14:paraId="498B7F3A" w14:textId="77777777" w:rsidR="00270133" w:rsidRDefault="00270133" w:rsidP="005D3C78">
            <w:pPr>
              <w:spacing w:before="240"/>
              <w:jc w:val="right"/>
            </w:pPr>
            <w:r>
              <w:t>16.</w:t>
            </w:r>
          </w:p>
        </w:tc>
        <w:tc>
          <w:tcPr>
            <w:tcW w:w="8312" w:type="dxa"/>
            <w:shd w:val="clear" w:color="auto" w:fill="auto"/>
          </w:tcPr>
          <w:p w14:paraId="079CA871" w14:textId="77777777" w:rsidR="00270133" w:rsidRPr="00095382" w:rsidRDefault="00270133" w:rsidP="00C524C1">
            <w:pPr>
              <w:spacing w:before="240"/>
            </w:pPr>
            <w:proofErr w:type="spellStart"/>
            <w:r w:rsidRPr="007947EC">
              <w:t>Cosman</w:t>
            </w:r>
            <w:proofErr w:type="spellEnd"/>
            <w:r w:rsidRPr="007947EC">
              <w:t xml:space="preserve"> F, de </w:t>
            </w:r>
            <w:proofErr w:type="spellStart"/>
            <w:r w:rsidRPr="007947EC">
              <w:t>Beur</w:t>
            </w:r>
            <w:proofErr w:type="spellEnd"/>
            <w:r w:rsidRPr="007947EC">
              <w:t xml:space="preserve"> SJ, </w:t>
            </w:r>
            <w:proofErr w:type="spellStart"/>
            <w:r w:rsidRPr="007947EC">
              <w:t>LeBoff</w:t>
            </w:r>
            <w:proofErr w:type="spellEnd"/>
            <w:r w:rsidRPr="007947EC">
              <w:t xml:space="preserve"> MS, Lewiecki EM, Tanner B, Randall S, Lindsay R; National Osteoporosis Foundation </w:t>
            </w:r>
            <w:r>
              <w:t>(2014) Clinician’s guide to prevention and treatment of osteoporosis. Osteoporos Int 25: 2359–2381 (Erratum Osteoporos Int 2015; 26: 2045-7).</w:t>
            </w:r>
          </w:p>
        </w:tc>
      </w:tr>
      <w:tr w:rsidR="00270133" w14:paraId="06F99EFD" w14:textId="77777777" w:rsidTr="00B4247F">
        <w:tc>
          <w:tcPr>
            <w:tcW w:w="704" w:type="dxa"/>
            <w:shd w:val="clear" w:color="auto" w:fill="auto"/>
          </w:tcPr>
          <w:p w14:paraId="5800EBCC" w14:textId="77777777" w:rsidR="00270133" w:rsidRDefault="00270133" w:rsidP="005D3C78">
            <w:pPr>
              <w:spacing w:before="240"/>
              <w:jc w:val="right"/>
            </w:pPr>
            <w:r>
              <w:t>17.</w:t>
            </w:r>
          </w:p>
        </w:tc>
        <w:tc>
          <w:tcPr>
            <w:tcW w:w="8312" w:type="dxa"/>
            <w:shd w:val="clear" w:color="auto" w:fill="auto"/>
          </w:tcPr>
          <w:p w14:paraId="3662CA5A" w14:textId="77777777" w:rsidR="00270133" w:rsidRPr="00095382" w:rsidRDefault="00270133" w:rsidP="00254077">
            <w:pPr>
              <w:spacing w:before="240"/>
            </w:pPr>
            <w:proofErr w:type="spellStart"/>
            <w:r w:rsidRPr="000B6FEE">
              <w:t>Papaioannou</w:t>
            </w:r>
            <w:proofErr w:type="spellEnd"/>
            <w:r w:rsidRPr="000B6FEE">
              <w:t xml:space="preserve"> A, Morin S, Cheung AM, Atkinson S, Brown JP, Feldman S, Hanley DA, </w:t>
            </w:r>
            <w:proofErr w:type="spellStart"/>
            <w:r w:rsidRPr="000B6FEE">
              <w:t>Hodsman</w:t>
            </w:r>
            <w:proofErr w:type="spellEnd"/>
            <w:r w:rsidRPr="000B6FEE">
              <w:t xml:space="preserve"> A, Jamal SA, Kaiser SM, </w:t>
            </w:r>
            <w:proofErr w:type="spellStart"/>
            <w:r w:rsidRPr="000B6FEE">
              <w:t>Kvern</w:t>
            </w:r>
            <w:proofErr w:type="spellEnd"/>
            <w:r w:rsidRPr="000B6FEE">
              <w:t xml:space="preserve"> B, </w:t>
            </w:r>
            <w:proofErr w:type="spellStart"/>
            <w:r w:rsidRPr="000B6FEE">
              <w:t>Siminoski</w:t>
            </w:r>
            <w:proofErr w:type="spellEnd"/>
            <w:r w:rsidRPr="000B6FEE">
              <w:t xml:space="preserve"> K, Leslie WD; Scientific Advisory Council of Osteoporosis Canada</w:t>
            </w:r>
            <w:r>
              <w:t xml:space="preserve"> (2010) 2010 clinical practice guidelines for the diagnosis and management of osteoporosis in Canada: summary. CMAJ 182: 1864–73.</w:t>
            </w:r>
          </w:p>
        </w:tc>
      </w:tr>
      <w:tr w:rsidR="00270133" w14:paraId="317D0922" w14:textId="77777777" w:rsidTr="00B4247F">
        <w:tc>
          <w:tcPr>
            <w:tcW w:w="704" w:type="dxa"/>
            <w:shd w:val="clear" w:color="auto" w:fill="auto"/>
          </w:tcPr>
          <w:p w14:paraId="3154FD8B" w14:textId="77777777" w:rsidR="00270133" w:rsidRDefault="00270133" w:rsidP="005D3C78">
            <w:pPr>
              <w:spacing w:before="240"/>
              <w:jc w:val="right"/>
            </w:pPr>
            <w:r>
              <w:t>18.</w:t>
            </w:r>
          </w:p>
        </w:tc>
        <w:tc>
          <w:tcPr>
            <w:tcW w:w="8312" w:type="dxa"/>
            <w:shd w:val="clear" w:color="auto" w:fill="auto"/>
          </w:tcPr>
          <w:p w14:paraId="248F88BA" w14:textId="77777777" w:rsidR="00270133" w:rsidRPr="007947EC" w:rsidRDefault="00270133" w:rsidP="00323695">
            <w:pPr>
              <w:spacing w:before="240"/>
            </w:pPr>
            <w:r>
              <w:t xml:space="preserve">Curtis JR, McClure LA, </w:t>
            </w:r>
            <w:proofErr w:type="spellStart"/>
            <w:r>
              <w:t>Delzell</w:t>
            </w:r>
            <w:proofErr w:type="spellEnd"/>
            <w:r>
              <w:t xml:space="preserve"> E, Howard VJ, Orwoll E, Saag KG, Safford M, Howard G (2009) Population-based fracture risk assessment and osteoporosis treatment disparities by race and gender. J Gen Intern Med 24:956-962.</w:t>
            </w:r>
          </w:p>
        </w:tc>
      </w:tr>
      <w:tr w:rsidR="00270133" w14:paraId="58AE68F4" w14:textId="77777777" w:rsidTr="00B4247F">
        <w:tc>
          <w:tcPr>
            <w:tcW w:w="704" w:type="dxa"/>
            <w:shd w:val="clear" w:color="auto" w:fill="auto"/>
          </w:tcPr>
          <w:p w14:paraId="24D434B8" w14:textId="77777777" w:rsidR="00270133" w:rsidRDefault="00270133" w:rsidP="005D3C78">
            <w:pPr>
              <w:spacing w:before="240"/>
              <w:jc w:val="right"/>
            </w:pPr>
            <w:r>
              <w:t>19.</w:t>
            </w:r>
          </w:p>
        </w:tc>
        <w:tc>
          <w:tcPr>
            <w:tcW w:w="8312" w:type="dxa"/>
            <w:shd w:val="clear" w:color="auto" w:fill="auto"/>
          </w:tcPr>
          <w:p w14:paraId="7BF748BD" w14:textId="77777777" w:rsidR="00270133" w:rsidRPr="008447E8" w:rsidRDefault="00270133" w:rsidP="006A3AD7">
            <w:pPr>
              <w:spacing w:before="240"/>
            </w:pPr>
            <w:proofErr w:type="spellStart"/>
            <w:r>
              <w:t>Guggina</w:t>
            </w:r>
            <w:proofErr w:type="spellEnd"/>
            <w:r>
              <w:t xml:space="preserve"> P, </w:t>
            </w:r>
            <w:proofErr w:type="spellStart"/>
            <w:r>
              <w:t>Flahive</w:t>
            </w:r>
            <w:proofErr w:type="spellEnd"/>
            <w:r>
              <w:t xml:space="preserve"> J, </w:t>
            </w:r>
            <w:proofErr w:type="spellStart"/>
            <w:r>
              <w:t>Hooven</w:t>
            </w:r>
            <w:proofErr w:type="spellEnd"/>
            <w:r>
              <w:t xml:space="preserve"> FH, </w:t>
            </w:r>
            <w:r w:rsidRPr="006A3AD7">
              <w:t xml:space="preserve">Watts NB, Siris ES, Silverman S, Roux C, </w:t>
            </w:r>
            <w:proofErr w:type="spellStart"/>
            <w:r w:rsidRPr="006A3AD7">
              <w:t>Pfeilschifter</w:t>
            </w:r>
            <w:proofErr w:type="spellEnd"/>
            <w:r w:rsidRPr="006A3AD7">
              <w:t xml:space="preserve"> J, Greenspan SL, </w:t>
            </w:r>
            <w:proofErr w:type="spellStart"/>
            <w:r w:rsidRPr="006A3AD7">
              <w:t>Díez</w:t>
            </w:r>
            <w:proofErr w:type="spellEnd"/>
            <w:r w:rsidRPr="006A3AD7">
              <w:t xml:space="preserve">-Pérez A, Cooper C, Compston JE, Chapurlat R, Boonen S, Adachi JD, Anderson FA Jr, </w:t>
            </w:r>
            <w:proofErr w:type="spellStart"/>
            <w:r w:rsidRPr="006A3AD7">
              <w:t>Gehlbach</w:t>
            </w:r>
            <w:proofErr w:type="spellEnd"/>
            <w:r w:rsidRPr="006A3AD7">
              <w:t xml:space="preserve"> S; GLOW Investigators</w:t>
            </w:r>
            <w:r>
              <w:t xml:space="preserve"> (2012) Characteristics associated with anti‐osteoporosis medication use: data from the Global Longitudinal Study of Osteoporosis in Women (GLOW) USA cohort. Bone 51: 975–80.</w:t>
            </w:r>
          </w:p>
        </w:tc>
      </w:tr>
      <w:tr w:rsidR="00270133" w14:paraId="6D7A6974" w14:textId="77777777" w:rsidTr="00B4247F">
        <w:tc>
          <w:tcPr>
            <w:tcW w:w="704" w:type="dxa"/>
            <w:shd w:val="clear" w:color="auto" w:fill="auto"/>
          </w:tcPr>
          <w:p w14:paraId="35FD40DE" w14:textId="77777777" w:rsidR="00270133" w:rsidRDefault="00270133" w:rsidP="005D3C78">
            <w:pPr>
              <w:spacing w:before="240"/>
              <w:jc w:val="right"/>
            </w:pPr>
            <w:r>
              <w:t>20.</w:t>
            </w:r>
          </w:p>
        </w:tc>
        <w:tc>
          <w:tcPr>
            <w:tcW w:w="8312" w:type="dxa"/>
            <w:shd w:val="clear" w:color="auto" w:fill="auto"/>
          </w:tcPr>
          <w:p w14:paraId="4FAE5186" w14:textId="77777777" w:rsidR="00270133" w:rsidRPr="0093485B" w:rsidRDefault="00270133" w:rsidP="00254077">
            <w:pPr>
              <w:spacing w:before="240"/>
            </w:pPr>
            <w:proofErr w:type="spellStart"/>
            <w:r>
              <w:t>Sattari</w:t>
            </w:r>
            <w:proofErr w:type="spellEnd"/>
            <w:r>
              <w:t xml:space="preserve"> M, </w:t>
            </w:r>
            <w:proofErr w:type="spellStart"/>
            <w:r>
              <w:t>Cauley</w:t>
            </w:r>
            <w:proofErr w:type="spellEnd"/>
            <w:r>
              <w:t xml:space="preserve"> JA, Garvan C, et al. (2017) Osteoporosis in the Women's Health Initiative: Another treatment gap? Am J Med 130: 937-948</w:t>
            </w:r>
          </w:p>
        </w:tc>
      </w:tr>
      <w:tr w:rsidR="00270133" w14:paraId="212232EA" w14:textId="77777777" w:rsidTr="00B4247F">
        <w:tc>
          <w:tcPr>
            <w:tcW w:w="704" w:type="dxa"/>
            <w:shd w:val="clear" w:color="auto" w:fill="auto"/>
          </w:tcPr>
          <w:p w14:paraId="0C2C76F0" w14:textId="77777777" w:rsidR="00270133" w:rsidRDefault="00270133" w:rsidP="005D3C78">
            <w:pPr>
              <w:spacing w:before="240"/>
              <w:jc w:val="right"/>
            </w:pPr>
            <w:r>
              <w:lastRenderedPageBreak/>
              <w:t>21.</w:t>
            </w:r>
          </w:p>
        </w:tc>
        <w:tc>
          <w:tcPr>
            <w:tcW w:w="8312" w:type="dxa"/>
            <w:shd w:val="clear" w:color="auto" w:fill="auto"/>
          </w:tcPr>
          <w:p w14:paraId="20DB88F7" w14:textId="77777777" w:rsidR="00270133" w:rsidRPr="003B6AEC" w:rsidRDefault="00270133" w:rsidP="00323695">
            <w:pPr>
              <w:spacing w:before="240"/>
            </w:pPr>
            <w:r w:rsidRPr="003B6AEC">
              <w:t xml:space="preserve">Hernlund E, </w:t>
            </w:r>
            <w:proofErr w:type="spellStart"/>
            <w:r w:rsidRPr="003B6AEC">
              <w:t>Svedbom</w:t>
            </w:r>
            <w:proofErr w:type="spellEnd"/>
            <w:r w:rsidRPr="003B6AEC">
              <w:t xml:space="preserve"> A, </w:t>
            </w:r>
            <w:proofErr w:type="spellStart"/>
            <w:r w:rsidRPr="003B6AEC">
              <w:t>Ivergård</w:t>
            </w:r>
            <w:proofErr w:type="spellEnd"/>
            <w:r w:rsidRPr="003B6AEC">
              <w:t xml:space="preserve"> M </w:t>
            </w:r>
            <w:proofErr w:type="spellStart"/>
            <w:r w:rsidRPr="003B6AEC">
              <w:t>Compston</w:t>
            </w:r>
            <w:proofErr w:type="spellEnd"/>
            <w:r w:rsidRPr="003B6AEC">
              <w:t xml:space="preserve"> J, Cooper C, Stenmark J, McCloskey EV, Jönsson B, Kanis JA (2013) Osteoporosis in the European Union: Medical Management, Epidemiology and Economic Burden. A report prepared in collaboration with the International Osteoporosis Foundation (IOF) and the European Federation of Pharmaceutical Industry Associations (EFPIA). Arch Osteoporos 8:136. DOI: 10.1007/s11657-013-0136-1.</w:t>
            </w:r>
          </w:p>
        </w:tc>
      </w:tr>
      <w:tr w:rsidR="00270133" w14:paraId="3C4EA4F7" w14:textId="77777777" w:rsidTr="00B4247F">
        <w:tc>
          <w:tcPr>
            <w:tcW w:w="704" w:type="dxa"/>
            <w:shd w:val="clear" w:color="auto" w:fill="auto"/>
          </w:tcPr>
          <w:p w14:paraId="380803EA" w14:textId="77777777" w:rsidR="00270133" w:rsidRDefault="00270133" w:rsidP="005D3C78">
            <w:pPr>
              <w:spacing w:before="240"/>
              <w:jc w:val="right"/>
            </w:pPr>
            <w:r>
              <w:t>22.</w:t>
            </w:r>
          </w:p>
        </w:tc>
        <w:tc>
          <w:tcPr>
            <w:tcW w:w="8312" w:type="dxa"/>
            <w:shd w:val="clear" w:color="auto" w:fill="auto"/>
          </w:tcPr>
          <w:p w14:paraId="268AF7BC" w14:textId="77777777" w:rsidR="00270133" w:rsidRPr="00EF689C" w:rsidRDefault="00270133" w:rsidP="00C524C1">
            <w:pPr>
              <w:spacing w:before="240"/>
            </w:pPr>
            <w:r w:rsidRPr="00B7316E">
              <w:t xml:space="preserve">Borgström F, Karlsson L, </w:t>
            </w:r>
            <w:proofErr w:type="spellStart"/>
            <w:r w:rsidRPr="00B7316E">
              <w:t>Ortsäter</w:t>
            </w:r>
            <w:proofErr w:type="spellEnd"/>
            <w:r w:rsidRPr="00B7316E">
              <w:t xml:space="preserve"> G, Norton N, Halbout P, Cooper C, McCloskey EV, Harvey NC, Javaid K, Kanis JA for the International Osteoporosis Foundation (2020) Fragility fractures in Europe: Burden, management and opportunities.  Archives of Osteoporosis, Apr 19;15(1):59. doi: 10.1007/s11657-020-0706-y.</w:t>
            </w:r>
          </w:p>
        </w:tc>
      </w:tr>
      <w:tr w:rsidR="00270133" w14:paraId="065D8D0C" w14:textId="77777777" w:rsidTr="00B4247F">
        <w:tc>
          <w:tcPr>
            <w:tcW w:w="704" w:type="dxa"/>
            <w:shd w:val="clear" w:color="auto" w:fill="auto"/>
          </w:tcPr>
          <w:p w14:paraId="301B5E04" w14:textId="77777777" w:rsidR="00270133" w:rsidRDefault="00270133" w:rsidP="005D3C78">
            <w:pPr>
              <w:spacing w:before="240"/>
              <w:jc w:val="right"/>
            </w:pPr>
            <w:r>
              <w:t>23.</w:t>
            </w:r>
          </w:p>
        </w:tc>
        <w:tc>
          <w:tcPr>
            <w:tcW w:w="8312" w:type="dxa"/>
            <w:shd w:val="clear" w:color="auto" w:fill="auto"/>
          </w:tcPr>
          <w:p w14:paraId="24F28178" w14:textId="77777777" w:rsidR="00270133" w:rsidRPr="008447E8" w:rsidRDefault="00270133" w:rsidP="00A439A3">
            <w:pPr>
              <w:spacing w:before="240"/>
            </w:pPr>
            <w:bookmarkStart w:id="9" w:name="_Hlk49517589"/>
            <w:r>
              <w:t>Freedman</w:t>
            </w:r>
            <w:bookmarkEnd w:id="9"/>
            <w:r>
              <w:t xml:space="preserve"> KB, Kaplan FS, Bilker WB, Strom BL, Lowe RA (2000) Treatment of osteoporosis: are physicians missing an opportunity? J Bone Joint </w:t>
            </w:r>
            <w:proofErr w:type="spellStart"/>
            <w:r>
              <w:t>Surg</w:t>
            </w:r>
            <w:proofErr w:type="spellEnd"/>
            <w:r>
              <w:t xml:space="preserve"> Am 82‐A: 1063–70.</w:t>
            </w:r>
          </w:p>
        </w:tc>
      </w:tr>
      <w:tr w:rsidR="00270133" w14:paraId="01251A98" w14:textId="77777777" w:rsidTr="00B4247F">
        <w:tc>
          <w:tcPr>
            <w:tcW w:w="704" w:type="dxa"/>
            <w:shd w:val="clear" w:color="auto" w:fill="auto"/>
          </w:tcPr>
          <w:p w14:paraId="4DF8BE87" w14:textId="77777777" w:rsidR="00270133" w:rsidRDefault="00270133" w:rsidP="005D3C78">
            <w:pPr>
              <w:spacing w:before="240"/>
              <w:jc w:val="right"/>
            </w:pPr>
            <w:r>
              <w:t>24.</w:t>
            </w:r>
          </w:p>
        </w:tc>
        <w:tc>
          <w:tcPr>
            <w:tcW w:w="8312" w:type="dxa"/>
            <w:shd w:val="clear" w:color="auto" w:fill="auto"/>
          </w:tcPr>
          <w:p w14:paraId="5AB23195" w14:textId="77777777" w:rsidR="00270133" w:rsidRPr="002A2F9A" w:rsidRDefault="00270133" w:rsidP="00254077">
            <w:pPr>
              <w:spacing w:before="240"/>
            </w:pPr>
            <w:r>
              <w:t>Swedish National Board of Health and Welfare (2009) Quality and efficiency in Swedish Health Care. Stockholm, Sweden: Swedish Association of Local Authorities and Regions, Swedish National Board of Health and Welfare; 2009.</w:t>
            </w:r>
          </w:p>
        </w:tc>
      </w:tr>
      <w:tr w:rsidR="00270133" w14:paraId="2A2C2384" w14:textId="77777777" w:rsidTr="00B4247F">
        <w:tc>
          <w:tcPr>
            <w:tcW w:w="704" w:type="dxa"/>
            <w:shd w:val="clear" w:color="auto" w:fill="auto"/>
          </w:tcPr>
          <w:p w14:paraId="0779D732" w14:textId="77777777" w:rsidR="00270133" w:rsidRDefault="00270133" w:rsidP="005D3C78">
            <w:pPr>
              <w:spacing w:before="240"/>
              <w:jc w:val="right"/>
            </w:pPr>
            <w:r>
              <w:t>25.</w:t>
            </w:r>
          </w:p>
        </w:tc>
        <w:tc>
          <w:tcPr>
            <w:tcW w:w="8312" w:type="dxa"/>
            <w:shd w:val="clear" w:color="auto" w:fill="auto"/>
          </w:tcPr>
          <w:p w14:paraId="68413F74" w14:textId="77777777" w:rsidR="00270133" w:rsidRDefault="00270133" w:rsidP="00A439A3">
            <w:pPr>
              <w:spacing w:before="240"/>
            </w:pPr>
            <w:bookmarkStart w:id="10" w:name="_Hlk49518334"/>
            <w:proofErr w:type="spellStart"/>
            <w:r>
              <w:t>Giangregorio</w:t>
            </w:r>
            <w:bookmarkEnd w:id="10"/>
            <w:proofErr w:type="spellEnd"/>
            <w:r>
              <w:t xml:space="preserve"> L, </w:t>
            </w:r>
            <w:proofErr w:type="spellStart"/>
            <w:r>
              <w:t>Papaioannou</w:t>
            </w:r>
            <w:proofErr w:type="spellEnd"/>
            <w:r>
              <w:t xml:space="preserve"> A, Cranney A, </w:t>
            </w:r>
            <w:proofErr w:type="spellStart"/>
            <w:r>
              <w:t>Zytaruk</w:t>
            </w:r>
            <w:proofErr w:type="spellEnd"/>
            <w:r>
              <w:t xml:space="preserve"> N, Adachi JD (2006) Fragility fractures and the osteoporosis care gap: an international phenomenon. Semin Arthritis Rheum. 35: 293–305.</w:t>
            </w:r>
          </w:p>
        </w:tc>
      </w:tr>
      <w:tr w:rsidR="00270133" w14:paraId="3E84ADE6" w14:textId="77777777" w:rsidTr="00B4247F">
        <w:tc>
          <w:tcPr>
            <w:tcW w:w="704" w:type="dxa"/>
            <w:shd w:val="clear" w:color="auto" w:fill="auto"/>
          </w:tcPr>
          <w:p w14:paraId="7A5B3CFE" w14:textId="77777777" w:rsidR="00270133" w:rsidRDefault="00270133" w:rsidP="005D3C78">
            <w:pPr>
              <w:spacing w:before="240"/>
              <w:jc w:val="right"/>
            </w:pPr>
            <w:r>
              <w:t>26.</w:t>
            </w:r>
          </w:p>
        </w:tc>
        <w:tc>
          <w:tcPr>
            <w:tcW w:w="8312" w:type="dxa"/>
            <w:shd w:val="clear" w:color="auto" w:fill="auto"/>
          </w:tcPr>
          <w:p w14:paraId="193FC567" w14:textId="77777777" w:rsidR="00270133" w:rsidRDefault="00270133" w:rsidP="00254077">
            <w:pPr>
              <w:spacing w:before="240"/>
            </w:pPr>
            <w:r>
              <w:t xml:space="preserve">Solomon DH, Johnston SS, Boytsov NN, McMorrow D, Lane JM, </w:t>
            </w:r>
            <w:proofErr w:type="spellStart"/>
            <w:r>
              <w:t>Krohn</w:t>
            </w:r>
            <w:proofErr w:type="spellEnd"/>
            <w:r>
              <w:t xml:space="preserve"> KD (2014) Osteoporosis medication use after hip fracture in U.S. patients between 2002 and 2011. J Bone Miner Res 29: 1929–1937.</w:t>
            </w:r>
          </w:p>
        </w:tc>
      </w:tr>
      <w:tr w:rsidR="00270133" w14:paraId="353596DB" w14:textId="77777777" w:rsidTr="00B4247F">
        <w:tc>
          <w:tcPr>
            <w:tcW w:w="704" w:type="dxa"/>
            <w:shd w:val="clear" w:color="auto" w:fill="auto"/>
          </w:tcPr>
          <w:p w14:paraId="03103437" w14:textId="77777777" w:rsidR="00270133" w:rsidRDefault="00270133" w:rsidP="005D3C78">
            <w:pPr>
              <w:spacing w:before="240"/>
              <w:jc w:val="right"/>
            </w:pPr>
            <w:r>
              <w:t>27.</w:t>
            </w:r>
          </w:p>
        </w:tc>
        <w:tc>
          <w:tcPr>
            <w:tcW w:w="8312" w:type="dxa"/>
            <w:shd w:val="clear" w:color="auto" w:fill="auto"/>
          </w:tcPr>
          <w:p w14:paraId="1FAFC56D" w14:textId="77777777" w:rsidR="00270133" w:rsidRDefault="00270133" w:rsidP="005B4E17">
            <w:pPr>
              <w:spacing w:before="240"/>
            </w:pPr>
            <w:r w:rsidRPr="008D4EDF">
              <w:t>Harvey NCW, McCloskey EV, Mitchell PJ, Dawson-Hughes B, Pierroz DD, Reginster J-Y, Rizzoli R Cooper C, Kanis JA (2017) Mind the (treatment) gap: a global perspective on current and future strategies for prevention of fragility fractures.  Osteoporos Int 28: 1507-1529.</w:t>
            </w:r>
          </w:p>
        </w:tc>
      </w:tr>
      <w:tr w:rsidR="00270133" w14:paraId="52E099AF" w14:textId="77777777" w:rsidTr="00B4247F">
        <w:tc>
          <w:tcPr>
            <w:tcW w:w="704" w:type="dxa"/>
            <w:shd w:val="clear" w:color="auto" w:fill="auto"/>
          </w:tcPr>
          <w:p w14:paraId="63E91923" w14:textId="77777777" w:rsidR="00270133" w:rsidRDefault="00270133" w:rsidP="005D3C78">
            <w:pPr>
              <w:spacing w:before="240"/>
              <w:jc w:val="right"/>
            </w:pPr>
            <w:r>
              <w:t>28.</w:t>
            </w:r>
          </w:p>
        </w:tc>
        <w:tc>
          <w:tcPr>
            <w:tcW w:w="8312" w:type="dxa"/>
            <w:shd w:val="clear" w:color="auto" w:fill="auto"/>
          </w:tcPr>
          <w:p w14:paraId="00763BCB" w14:textId="77777777" w:rsidR="00270133" w:rsidRPr="003B6AEC" w:rsidRDefault="00270133" w:rsidP="00254077">
            <w:pPr>
              <w:spacing w:before="240"/>
            </w:pPr>
            <w:r w:rsidRPr="003B6AEC">
              <w:t>Khosla S, Cauley JA, Compston J, Kiel DP, Rosen C, Saag KG, Shane E (2017) Addressing the crisis in the treatment of osteoporosis: A path forward. J Bone Miner Res 32: 424-430.</w:t>
            </w:r>
          </w:p>
        </w:tc>
      </w:tr>
      <w:tr w:rsidR="00270133" w14:paraId="42FB45F3" w14:textId="77777777" w:rsidTr="00B4247F">
        <w:tc>
          <w:tcPr>
            <w:tcW w:w="704" w:type="dxa"/>
            <w:shd w:val="clear" w:color="auto" w:fill="auto"/>
          </w:tcPr>
          <w:p w14:paraId="0D74BE99" w14:textId="77777777" w:rsidR="00270133" w:rsidRDefault="00270133" w:rsidP="005D3C78">
            <w:pPr>
              <w:spacing w:before="240"/>
              <w:jc w:val="right"/>
            </w:pPr>
            <w:r>
              <w:t>29.</w:t>
            </w:r>
          </w:p>
        </w:tc>
        <w:tc>
          <w:tcPr>
            <w:tcW w:w="8312" w:type="dxa"/>
            <w:shd w:val="clear" w:color="auto" w:fill="auto"/>
          </w:tcPr>
          <w:p w14:paraId="52C0A15D" w14:textId="77777777" w:rsidR="00270133" w:rsidRPr="00B7316E" w:rsidRDefault="00270133" w:rsidP="00C524C1">
            <w:pPr>
              <w:spacing w:before="240"/>
            </w:pPr>
            <w:r w:rsidRPr="006D562A">
              <w:t xml:space="preserve">Conley RB, Adib G, Adler RA, </w:t>
            </w:r>
            <w:r w:rsidRPr="00A439A3">
              <w:t xml:space="preserve">Åkesson KE, Alexander IM, </w:t>
            </w:r>
            <w:proofErr w:type="spellStart"/>
            <w:r w:rsidRPr="00A439A3">
              <w:t>Amenta</w:t>
            </w:r>
            <w:proofErr w:type="spellEnd"/>
            <w:r w:rsidRPr="00A439A3">
              <w:t xml:space="preserve"> KC, Blank RD, </w:t>
            </w:r>
            <w:proofErr w:type="spellStart"/>
            <w:r w:rsidRPr="00A439A3">
              <w:t>Brox</w:t>
            </w:r>
            <w:proofErr w:type="spellEnd"/>
            <w:r w:rsidRPr="00A439A3">
              <w:t xml:space="preserve"> WT, Carmody EE, Chapman-</w:t>
            </w:r>
            <w:proofErr w:type="spellStart"/>
            <w:r w:rsidRPr="00A439A3">
              <w:t>Novakofski</w:t>
            </w:r>
            <w:proofErr w:type="spellEnd"/>
            <w:r w:rsidRPr="00A439A3">
              <w:t xml:space="preserve"> K, Clarke BL, Cody KM, Cooper C, Crandall CJ, </w:t>
            </w:r>
            <w:proofErr w:type="spellStart"/>
            <w:r w:rsidRPr="00A439A3">
              <w:t>Dirschl</w:t>
            </w:r>
            <w:proofErr w:type="spellEnd"/>
            <w:r w:rsidRPr="00A439A3">
              <w:t xml:space="preserve"> DR, </w:t>
            </w:r>
            <w:proofErr w:type="spellStart"/>
            <w:r w:rsidRPr="00A439A3">
              <w:t>Eagen</w:t>
            </w:r>
            <w:proofErr w:type="spellEnd"/>
            <w:r w:rsidRPr="00A439A3">
              <w:t xml:space="preserve"> TJ, Elderkin AL, Fujita M, Greenspan SL, Halbout P, Hochberg MC, Javaid M, </w:t>
            </w:r>
            <w:proofErr w:type="spellStart"/>
            <w:r w:rsidRPr="00A439A3">
              <w:t>Jeray</w:t>
            </w:r>
            <w:proofErr w:type="spellEnd"/>
            <w:r w:rsidRPr="00A439A3">
              <w:t xml:space="preserve"> KJ, Kearns AE, King T, </w:t>
            </w:r>
            <w:proofErr w:type="spellStart"/>
            <w:r w:rsidRPr="00A439A3">
              <w:t>Koinis</w:t>
            </w:r>
            <w:proofErr w:type="spellEnd"/>
            <w:r w:rsidRPr="00A439A3">
              <w:t xml:space="preserve"> TF, Koontz JS, </w:t>
            </w:r>
            <w:proofErr w:type="spellStart"/>
            <w:r w:rsidRPr="00A439A3">
              <w:t>Kužma</w:t>
            </w:r>
            <w:proofErr w:type="spellEnd"/>
            <w:r w:rsidRPr="00A439A3">
              <w:t xml:space="preserve"> M, Lindsey C, Lorentzon M, Lyritis GP, Michaud LB, </w:t>
            </w:r>
            <w:proofErr w:type="spellStart"/>
            <w:r w:rsidRPr="00A439A3">
              <w:t>Miciano</w:t>
            </w:r>
            <w:proofErr w:type="spellEnd"/>
            <w:r w:rsidRPr="00A439A3">
              <w:t xml:space="preserve"> A, Morin SN, Mujahid N, Napoli N, </w:t>
            </w:r>
            <w:proofErr w:type="spellStart"/>
            <w:r w:rsidRPr="00A439A3">
              <w:t>Olenginski</w:t>
            </w:r>
            <w:proofErr w:type="spellEnd"/>
            <w:r w:rsidRPr="00A439A3">
              <w:t xml:space="preserve"> TP, Puzas JE, </w:t>
            </w:r>
            <w:proofErr w:type="spellStart"/>
            <w:r w:rsidRPr="00A439A3">
              <w:t>Rizou</w:t>
            </w:r>
            <w:proofErr w:type="spellEnd"/>
            <w:r w:rsidRPr="00A439A3">
              <w:t xml:space="preserve"> S, Rosen CJ, Saag K, Thompson E, Tosi LL, Tracer H, Khosla S, Kiel DP </w:t>
            </w:r>
            <w:r>
              <w:t xml:space="preserve">(2020) </w:t>
            </w:r>
            <w:r w:rsidRPr="006D562A">
              <w:t xml:space="preserve">Secondary </w:t>
            </w:r>
            <w:r>
              <w:t>f</w:t>
            </w:r>
            <w:r w:rsidRPr="006D562A">
              <w:t xml:space="preserve">racture </w:t>
            </w:r>
            <w:r>
              <w:t>p</w:t>
            </w:r>
            <w:r w:rsidRPr="006D562A">
              <w:t xml:space="preserve">revention: Consensus </w:t>
            </w:r>
            <w:r>
              <w:t>c</w:t>
            </w:r>
            <w:r w:rsidRPr="006D562A">
              <w:t xml:space="preserve">linical </w:t>
            </w:r>
            <w:r>
              <w:t>r</w:t>
            </w:r>
            <w:r w:rsidRPr="006D562A">
              <w:t xml:space="preserve">ecommendations from a </w:t>
            </w:r>
            <w:proofErr w:type="spellStart"/>
            <w:r>
              <w:t>m</w:t>
            </w:r>
            <w:r w:rsidRPr="006D562A">
              <w:t>ultistakeholder</w:t>
            </w:r>
            <w:proofErr w:type="spellEnd"/>
            <w:r w:rsidRPr="006D562A">
              <w:t xml:space="preserve"> </w:t>
            </w:r>
            <w:r>
              <w:t>c</w:t>
            </w:r>
            <w:r w:rsidRPr="006D562A">
              <w:t>oalition. J Bone Miner Res</w:t>
            </w:r>
            <w:r>
              <w:t xml:space="preserve"> </w:t>
            </w:r>
            <w:r w:rsidRPr="006D562A">
              <w:t>35</w:t>
            </w:r>
            <w:r>
              <w:t xml:space="preserve">: </w:t>
            </w:r>
            <w:r w:rsidRPr="006D562A">
              <w:t>36-52.</w:t>
            </w:r>
          </w:p>
        </w:tc>
      </w:tr>
      <w:tr w:rsidR="00270133" w14:paraId="0C73CAE7" w14:textId="77777777" w:rsidTr="00B4247F">
        <w:tc>
          <w:tcPr>
            <w:tcW w:w="704" w:type="dxa"/>
            <w:shd w:val="clear" w:color="auto" w:fill="auto"/>
          </w:tcPr>
          <w:p w14:paraId="3CB75AF6" w14:textId="77777777" w:rsidR="00270133" w:rsidRDefault="00270133" w:rsidP="005D3C78">
            <w:pPr>
              <w:spacing w:before="240"/>
              <w:jc w:val="right"/>
            </w:pPr>
            <w:r>
              <w:t>30.</w:t>
            </w:r>
          </w:p>
        </w:tc>
        <w:tc>
          <w:tcPr>
            <w:tcW w:w="8312" w:type="dxa"/>
            <w:shd w:val="clear" w:color="auto" w:fill="auto"/>
          </w:tcPr>
          <w:p w14:paraId="6129677B" w14:textId="77777777" w:rsidR="00270133" w:rsidRPr="0014031E" w:rsidRDefault="00270133" w:rsidP="00720673">
            <w:pPr>
              <w:spacing w:before="240"/>
            </w:pPr>
            <w:bookmarkStart w:id="11" w:name="_Hlk49519359"/>
            <w:r>
              <w:t>Austin</w:t>
            </w:r>
            <w:bookmarkEnd w:id="11"/>
            <w:r>
              <w:t xml:space="preserve"> P, Tu J, Ko D, Alter D (2008) Factors associated with the use of evidence‐based therapies after discharge among elderly patients with myocardial infarction. CMAJ 179: 901–8.</w:t>
            </w:r>
          </w:p>
        </w:tc>
      </w:tr>
      <w:tr w:rsidR="00270133" w14:paraId="3D242C7B" w14:textId="77777777" w:rsidTr="00B4247F">
        <w:tc>
          <w:tcPr>
            <w:tcW w:w="704" w:type="dxa"/>
            <w:shd w:val="clear" w:color="auto" w:fill="auto"/>
          </w:tcPr>
          <w:p w14:paraId="513BC500" w14:textId="77777777" w:rsidR="00270133" w:rsidRDefault="00270133" w:rsidP="005D3C78">
            <w:pPr>
              <w:spacing w:before="240"/>
              <w:jc w:val="right"/>
            </w:pPr>
            <w:r>
              <w:t>31.</w:t>
            </w:r>
          </w:p>
        </w:tc>
        <w:tc>
          <w:tcPr>
            <w:tcW w:w="8312" w:type="dxa"/>
            <w:shd w:val="clear" w:color="auto" w:fill="auto"/>
          </w:tcPr>
          <w:p w14:paraId="7D017CF8" w14:textId="77777777" w:rsidR="00270133" w:rsidRPr="003B6AEC" w:rsidRDefault="00270133" w:rsidP="00254077">
            <w:pPr>
              <w:spacing w:before="240"/>
            </w:pPr>
            <w:r w:rsidRPr="003B6AEC">
              <w:t xml:space="preserve">Kanis JA, Svedbom A, Harvey N, McCloskey EV (2014) The osteoporosis treatment gap.  J Bone </w:t>
            </w:r>
            <w:proofErr w:type="spellStart"/>
            <w:r w:rsidRPr="003B6AEC">
              <w:t>Minerl</w:t>
            </w:r>
            <w:proofErr w:type="spellEnd"/>
            <w:r w:rsidRPr="003B6AEC">
              <w:t xml:space="preserve"> Res 29: 1926-8.</w:t>
            </w:r>
          </w:p>
        </w:tc>
      </w:tr>
      <w:tr w:rsidR="00270133" w14:paraId="72E4A085" w14:textId="77777777" w:rsidTr="00B4247F">
        <w:tc>
          <w:tcPr>
            <w:tcW w:w="704" w:type="dxa"/>
            <w:shd w:val="clear" w:color="auto" w:fill="auto"/>
          </w:tcPr>
          <w:p w14:paraId="2FCB4439" w14:textId="77777777" w:rsidR="00270133" w:rsidRDefault="00270133" w:rsidP="005D3C78">
            <w:pPr>
              <w:spacing w:before="240"/>
              <w:jc w:val="right"/>
            </w:pPr>
            <w:r>
              <w:lastRenderedPageBreak/>
              <w:t>32.</w:t>
            </w:r>
          </w:p>
        </w:tc>
        <w:tc>
          <w:tcPr>
            <w:tcW w:w="8312" w:type="dxa"/>
            <w:shd w:val="clear" w:color="auto" w:fill="auto"/>
          </w:tcPr>
          <w:p w14:paraId="24051ADF" w14:textId="77777777" w:rsidR="00270133" w:rsidRPr="003B6AEC" w:rsidRDefault="00270133" w:rsidP="00254077">
            <w:pPr>
              <w:spacing w:before="240"/>
            </w:pPr>
            <w:r w:rsidRPr="003B6AEC">
              <w:t xml:space="preserve">Kanis JA, Hans D, Cooper C, </w:t>
            </w:r>
            <w:proofErr w:type="spellStart"/>
            <w:r w:rsidRPr="003B6AEC">
              <w:t>Baim</w:t>
            </w:r>
            <w:proofErr w:type="spellEnd"/>
            <w:r w:rsidRPr="003B6AEC">
              <w:t xml:space="preserve"> S, </w:t>
            </w:r>
            <w:proofErr w:type="spellStart"/>
            <w:r w:rsidRPr="003B6AEC">
              <w:t>Bilezikian</w:t>
            </w:r>
            <w:proofErr w:type="spellEnd"/>
            <w:r w:rsidRPr="003B6AEC">
              <w:t xml:space="preserve"> JP, Binkley N, Compston J, Dawson-Hughes B, El-Hajj Fuleihan G, Johansson H, Leslie WD, </w:t>
            </w:r>
            <w:proofErr w:type="spellStart"/>
            <w:r w:rsidRPr="003B6AEC">
              <w:t>Lewiecki</w:t>
            </w:r>
            <w:proofErr w:type="spellEnd"/>
            <w:r w:rsidRPr="003B6AEC">
              <w:t xml:space="preserve"> EM, </w:t>
            </w:r>
            <w:proofErr w:type="spellStart"/>
            <w:r w:rsidRPr="003B6AEC">
              <w:t>Luckey</w:t>
            </w:r>
            <w:proofErr w:type="spellEnd"/>
            <w:r w:rsidRPr="003B6AEC">
              <w:t xml:space="preserve"> MM, Oden A, Papapoulos SE, Poiana C, Wahl DA, McCloskey E, and the Task Force of the FRAX Initiative (2011) Interpretation and use of FRAX in clinical practice. Osteoporos Int 22: 395-411.</w:t>
            </w:r>
          </w:p>
        </w:tc>
      </w:tr>
      <w:tr w:rsidR="00270133" w14:paraId="5A57C16F" w14:textId="77777777" w:rsidTr="00B4247F">
        <w:tc>
          <w:tcPr>
            <w:tcW w:w="704" w:type="dxa"/>
            <w:shd w:val="clear" w:color="auto" w:fill="auto"/>
          </w:tcPr>
          <w:p w14:paraId="47EF0168" w14:textId="77777777" w:rsidR="00270133" w:rsidRDefault="00270133" w:rsidP="005D3C78">
            <w:pPr>
              <w:spacing w:before="240"/>
              <w:jc w:val="right"/>
            </w:pPr>
            <w:r>
              <w:t>33.</w:t>
            </w:r>
          </w:p>
        </w:tc>
        <w:tc>
          <w:tcPr>
            <w:tcW w:w="8312" w:type="dxa"/>
            <w:shd w:val="clear" w:color="auto" w:fill="auto"/>
          </w:tcPr>
          <w:p w14:paraId="3715CC9F" w14:textId="77777777" w:rsidR="00270133" w:rsidRPr="003B6AEC" w:rsidRDefault="00270133" w:rsidP="00254077">
            <w:pPr>
              <w:spacing w:before="240"/>
            </w:pPr>
            <w:r w:rsidRPr="003B6AEC">
              <w:t>Kanis JA, Harvey NC, Johansson H, Liu E, Lorentzon M, Leslie WD, Eugene V McCloskey E (2020) A decade of FRAX: How has it changed the management of osteoporosis? Aging Clinical and Experimental Research 32: 187-196.</w:t>
            </w:r>
          </w:p>
        </w:tc>
      </w:tr>
    </w:tbl>
    <w:p w14:paraId="4C54852F" w14:textId="77777777" w:rsidR="00C0249D" w:rsidRDefault="00C0249D" w:rsidP="0058689A"/>
    <w:p w14:paraId="6647C96C" w14:textId="5C65B4C3" w:rsidR="0058689A" w:rsidRPr="00B74515" w:rsidRDefault="00B74515" w:rsidP="0058689A">
      <w:pPr>
        <w:rPr>
          <w:b/>
          <w:bCs/>
        </w:rPr>
      </w:pPr>
      <w:r w:rsidRPr="00B74515">
        <w:rPr>
          <w:b/>
          <w:bCs/>
        </w:rPr>
        <w:t>Contact details of authors</w:t>
      </w:r>
    </w:p>
    <w:tbl>
      <w:tblPr>
        <w:tblStyle w:val="TableGrid"/>
        <w:tblW w:w="0" w:type="auto"/>
        <w:tblLook w:val="04A0" w:firstRow="1" w:lastRow="0" w:firstColumn="1" w:lastColumn="0" w:noHBand="0" w:noVBand="1"/>
      </w:tblPr>
      <w:tblGrid>
        <w:gridCol w:w="4508"/>
        <w:gridCol w:w="4508"/>
      </w:tblGrid>
      <w:tr w:rsidR="00B74515" w14:paraId="2D922DF3" w14:textId="77777777" w:rsidTr="00253D73">
        <w:tc>
          <w:tcPr>
            <w:tcW w:w="4508" w:type="dxa"/>
          </w:tcPr>
          <w:p w14:paraId="5F1A677D" w14:textId="25EC9E8D" w:rsidR="00B74515" w:rsidRDefault="00B74515" w:rsidP="00B74515">
            <w:r w:rsidRPr="00253D73">
              <w:t>John A Kanis</w:t>
            </w:r>
          </w:p>
        </w:tc>
        <w:tc>
          <w:tcPr>
            <w:tcW w:w="4508" w:type="dxa"/>
          </w:tcPr>
          <w:p w14:paraId="1301226B" w14:textId="7582D9EE" w:rsidR="00B74515" w:rsidRDefault="00B74515" w:rsidP="00B74515">
            <w:r w:rsidRPr="00D90C27">
              <w:t xml:space="preserve">w.j.pontefract@sheffield.ac.uk </w:t>
            </w:r>
          </w:p>
        </w:tc>
      </w:tr>
      <w:tr w:rsidR="00B74515" w14:paraId="01BEE337" w14:textId="77777777" w:rsidTr="00253D73">
        <w:tc>
          <w:tcPr>
            <w:tcW w:w="4508" w:type="dxa"/>
          </w:tcPr>
          <w:p w14:paraId="5BF99D44" w14:textId="546E1584" w:rsidR="00B74515" w:rsidRDefault="00B74515" w:rsidP="00B74515">
            <w:r w:rsidRPr="00253D73">
              <w:t>Cyrus Cooper</w:t>
            </w:r>
          </w:p>
        </w:tc>
        <w:tc>
          <w:tcPr>
            <w:tcW w:w="4508" w:type="dxa"/>
          </w:tcPr>
          <w:p w14:paraId="12131951" w14:textId="043B17C5" w:rsidR="00B74515" w:rsidRDefault="00B74515" w:rsidP="00B74515">
            <w:r w:rsidRPr="00D90C27">
              <w:t xml:space="preserve">cc@mrc.soton.ac.uk </w:t>
            </w:r>
          </w:p>
        </w:tc>
      </w:tr>
      <w:tr w:rsidR="00B74515" w14:paraId="4C050E98" w14:textId="77777777" w:rsidTr="00253D73">
        <w:tc>
          <w:tcPr>
            <w:tcW w:w="4508" w:type="dxa"/>
          </w:tcPr>
          <w:p w14:paraId="131F5D98" w14:textId="7C9AC43D" w:rsidR="00B74515" w:rsidRDefault="00B74515" w:rsidP="00B74515">
            <w:r w:rsidRPr="00253D73">
              <w:t>Bess Dawson-Hughes</w:t>
            </w:r>
          </w:p>
        </w:tc>
        <w:tc>
          <w:tcPr>
            <w:tcW w:w="4508" w:type="dxa"/>
          </w:tcPr>
          <w:p w14:paraId="355654EE" w14:textId="199E7C44" w:rsidR="00B74515" w:rsidRDefault="00B74515" w:rsidP="00B74515">
            <w:r w:rsidRPr="00D90C27">
              <w:t xml:space="preserve">bess.dawson-hughes@tufts.edu </w:t>
            </w:r>
          </w:p>
        </w:tc>
      </w:tr>
      <w:tr w:rsidR="00B74515" w14:paraId="4943DE36" w14:textId="77777777" w:rsidTr="00253D73">
        <w:tc>
          <w:tcPr>
            <w:tcW w:w="4508" w:type="dxa"/>
          </w:tcPr>
          <w:p w14:paraId="790DB8C7" w14:textId="043EA125" w:rsidR="00B74515" w:rsidRDefault="00B74515" w:rsidP="00B74515">
            <w:r w:rsidRPr="00253D73">
              <w:t>Nicholas C Harvey</w:t>
            </w:r>
          </w:p>
        </w:tc>
        <w:tc>
          <w:tcPr>
            <w:tcW w:w="4508" w:type="dxa"/>
          </w:tcPr>
          <w:p w14:paraId="1E76A926" w14:textId="5B997000" w:rsidR="00B74515" w:rsidRDefault="00B74515" w:rsidP="00B74515">
            <w:r w:rsidRPr="00D90C27">
              <w:t xml:space="preserve">nch@mrc.soton.ac.uk </w:t>
            </w:r>
          </w:p>
        </w:tc>
      </w:tr>
      <w:tr w:rsidR="00B74515" w14:paraId="412BC4F1" w14:textId="77777777" w:rsidTr="00253D73">
        <w:tc>
          <w:tcPr>
            <w:tcW w:w="4508" w:type="dxa"/>
          </w:tcPr>
          <w:p w14:paraId="4BB09B6D" w14:textId="73B72FFE" w:rsidR="00B74515" w:rsidRDefault="00B74515" w:rsidP="00B74515">
            <w:r w:rsidRPr="00253D73">
              <w:t>Helena Johansson</w:t>
            </w:r>
          </w:p>
        </w:tc>
        <w:tc>
          <w:tcPr>
            <w:tcW w:w="4508" w:type="dxa"/>
          </w:tcPr>
          <w:p w14:paraId="51478E52" w14:textId="432B0D41" w:rsidR="00B74515" w:rsidRDefault="00B74515" w:rsidP="00B74515">
            <w:r w:rsidRPr="00D90C27">
              <w:t>helena@statiq.se</w:t>
            </w:r>
          </w:p>
        </w:tc>
      </w:tr>
      <w:tr w:rsidR="00B74515" w14:paraId="42C3F25D" w14:textId="77777777" w:rsidTr="00253D73">
        <w:tc>
          <w:tcPr>
            <w:tcW w:w="4508" w:type="dxa"/>
          </w:tcPr>
          <w:p w14:paraId="472F33A2" w14:textId="3258F34D" w:rsidR="00B74515" w:rsidRDefault="00B74515" w:rsidP="00B74515">
            <w:r w:rsidRPr="00253D73">
              <w:t>Mattias Lorentzon</w:t>
            </w:r>
          </w:p>
        </w:tc>
        <w:tc>
          <w:tcPr>
            <w:tcW w:w="4508" w:type="dxa"/>
          </w:tcPr>
          <w:p w14:paraId="78DC9EC5" w14:textId="543568B9" w:rsidR="00B74515" w:rsidRDefault="00B74515" w:rsidP="00B74515">
            <w:r w:rsidRPr="00D90C27">
              <w:t>mattias.lorentzon@medic.gu.se</w:t>
            </w:r>
          </w:p>
        </w:tc>
      </w:tr>
      <w:tr w:rsidR="00B74515" w14:paraId="5413BA55" w14:textId="77777777" w:rsidTr="00253D73">
        <w:tc>
          <w:tcPr>
            <w:tcW w:w="4508" w:type="dxa"/>
          </w:tcPr>
          <w:p w14:paraId="7235AAEE" w14:textId="74A3825D" w:rsidR="00B74515" w:rsidRDefault="00B74515" w:rsidP="00B74515">
            <w:r w:rsidRPr="00253D73">
              <w:t>Eugene V McCloskey</w:t>
            </w:r>
          </w:p>
        </w:tc>
        <w:tc>
          <w:tcPr>
            <w:tcW w:w="4508" w:type="dxa"/>
          </w:tcPr>
          <w:p w14:paraId="0FEB61CD" w14:textId="21A2750D" w:rsidR="00B74515" w:rsidRDefault="00B74515" w:rsidP="00B74515">
            <w:r w:rsidRPr="00D90C27">
              <w:t>e.v.mccloskey@sheffield.ac.uk</w:t>
            </w:r>
          </w:p>
        </w:tc>
      </w:tr>
      <w:tr w:rsidR="00B74515" w14:paraId="77FF0F63" w14:textId="77777777" w:rsidTr="00253D73">
        <w:tc>
          <w:tcPr>
            <w:tcW w:w="4508" w:type="dxa"/>
          </w:tcPr>
          <w:p w14:paraId="13E025F3" w14:textId="5185279E" w:rsidR="00B74515" w:rsidRDefault="00B74515" w:rsidP="00B74515">
            <w:r w:rsidRPr="00B74515">
              <w:t>Jean-Yves Reginster</w:t>
            </w:r>
          </w:p>
        </w:tc>
        <w:tc>
          <w:tcPr>
            <w:tcW w:w="4508" w:type="dxa"/>
          </w:tcPr>
          <w:p w14:paraId="191C914E" w14:textId="307EF6A0" w:rsidR="00B74515" w:rsidRDefault="00B74515" w:rsidP="00B74515">
            <w:r w:rsidRPr="00D90C27">
              <w:t>jyr.ch@bluewin.ch</w:t>
            </w:r>
          </w:p>
        </w:tc>
      </w:tr>
      <w:tr w:rsidR="00B74515" w14:paraId="03F7637B" w14:textId="77777777" w:rsidTr="00253D73">
        <w:tc>
          <w:tcPr>
            <w:tcW w:w="4508" w:type="dxa"/>
          </w:tcPr>
          <w:p w14:paraId="18D4DFB9" w14:textId="6BE1288D" w:rsidR="00B74515" w:rsidRPr="00B74515" w:rsidRDefault="00B74515" w:rsidP="00B74515">
            <w:r w:rsidRPr="00B74515">
              <w:t>Rene Rizzoli</w:t>
            </w:r>
          </w:p>
        </w:tc>
        <w:tc>
          <w:tcPr>
            <w:tcW w:w="4508" w:type="dxa"/>
          </w:tcPr>
          <w:p w14:paraId="39977F32" w14:textId="2BF1E9E0" w:rsidR="00B74515" w:rsidRDefault="00B74515" w:rsidP="00B74515">
            <w:r w:rsidRPr="00D90C27">
              <w:t>Rene.Rizzoli@unige.ch</w:t>
            </w:r>
          </w:p>
        </w:tc>
      </w:tr>
    </w:tbl>
    <w:p w14:paraId="7571CCDA" w14:textId="77777777" w:rsidR="00253D73" w:rsidRDefault="00253D73" w:rsidP="0058689A"/>
    <w:sectPr w:rsidR="00253D7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B743B" w14:textId="77777777" w:rsidR="004F2D83" w:rsidRDefault="004F2D83" w:rsidP="001F15E6">
      <w:pPr>
        <w:spacing w:after="0" w:line="240" w:lineRule="auto"/>
      </w:pPr>
      <w:r>
        <w:separator/>
      </w:r>
    </w:p>
  </w:endnote>
  <w:endnote w:type="continuationSeparator" w:id="0">
    <w:p w14:paraId="08F59832" w14:textId="77777777" w:rsidR="004F2D83" w:rsidRDefault="004F2D83" w:rsidP="001F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Palatino"/>
    <w:panose1 w:val="00000000000000000000"/>
    <w:charset w:val="4D"/>
    <w:family w:val="auto"/>
    <w:notTrueType/>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6E7B6" w14:textId="77777777" w:rsidR="004F2D83" w:rsidRDefault="004F2D83" w:rsidP="001F15E6">
      <w:pPr>
        <w:spacing w:after="0" w:line="240" w:lineRule="auto"/>
      </w:pPr>
      <w:r>
        <w:separator/>
      </w:r>
    </w:p>
  </w:footnote>
  <w:footnote w:type="continuationSeparator" w:id="0">
    <w:p w14:paraId="0CC2976D" w14:textId="77777777" w:rsidR="004F2D83" w:rsidRDefault="004F2D83" w:rsidP="001F1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634508"/>
      <w:docPartObj>
        <w:docPartGallery w:val="Page Numbers (Top of Page)"/>
        <w:docPartUnique/>
      </w:docPartObj>
    </w:sdtPr>
    <w:sdtEndPr>
      <w:rPr>
        <w:noProof/>
      </w:rPr>
    </w:sdtEndPr>
    <w:sdtContent>
      <w:p w14:paraId="2559076E" w14:textId="375CB8DE" w:rsidR="001F15E6" w:rsidRDefault="001F15E6">
        <w:pPr>
          <w:pStyle w:val="Header"/>
          <w:jc w:val="right"/>
        </w:pPr>
        <w:r>
          <w:fldChar w:fldCharType="begin"/>
        </w:r>
        <w:r>
          <w:instrText xml:space="preserve"> PAGE   \* MERGEFORMAT </w:instrText>
        </w:r>
        <w:r>
          <w:fldChar w:fldCharType="separate"/>
        </w:r>
        <w:r w:rsidR="009F48DA">
          <w:rPr>
            <w:noProof/>
          </w:rPr>
          <w:t>3</w:t>
        </w:r>
        <w:r>
          <w:rPr>
            <w:noProof/>
          </w:rPr>
          <w:fldChar w:fldCharType="end"/>
        </w:r>
      </w:p>
    </w:sdtContent>
  </w:sdt>
  <w:p w14:paraId="21542545" w14:textId="77777777" w:rsidR="001F15E6" w:rsidRDefault="001F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30294"/>
    <w:multiLevelType w:val="multilevel"/>
    <w:tmpl w:val="3A08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573"/>
    <w:rsid w:val="00006E10"/>
    <w:rsid w:val="00013F08"/>
    <w:rsid w:val="0003427F"/>
    <w:rsid w:val="00035691"/>
    <w:rsid w:val="00036AF0"/>
    <w:rsid w:val="00043E1F"/>
    <w:rsid w:val="000501F3"/>
    <w:rsid w:val="00052B75"/>
    <w:rsid w:val="00060272"/>
    <w:rsid w:val="000620DF"/>
    <w:rsid w:val="000654D1"/>
    <w:rsid w:val="0007291F"/>
    <w:rsid w:val="00073E8A"/>
    <w:rsid w:val="00075B53"/>
    <w:rsid w:val="00082823"/>
    <w:rsid w:val="00086FB6"/>
    <w:rsid w:val="0008761B"/>
    <w:rsid w:val="00087EC7"/>
    <w:rsid w:val="00093DE6"/>
    <w:rsid w:val="00095382"/>
    <w:rsid w:val="00096294"/>
    <w:rsid w:val="000B21D4"/>
    <w:rsid w:val="000B6FEE"/>
    <w:rsid w:val="000C6855"/>
    <w:rsid w:val="000D398C"/>
    <w:rsid w:val="000D48BF"/>
    <w:rsid w:val="000D4D8B"/>
    <w:rsid w:val="000E0B05"/>
    <w:rsid w:val="000E17EE"/>
    <w:rsid w:val="000E194A"/>
    <w:rsid w:val="000E280F"/>
    <w:rsid w:val="000F79C6"/>
    <w:rsid w:val="00107213"/>
    <w:rsid w:val="00120F13"/>
    <w:rsid w:val="00131CBE"/>
    <w:rsid w:val="00131D89"/>
    <w:rsid w:val="0014031E"/>
    <w:rsid w:val="001403AF"/>
    <w:rsid w:val="00141939"/>
    <w:rsid w:val="00150370"/>
    <w:rsid w:val="00151BEE"/>
    <w:rsid w:val="001547C8"/>
    <w:rsid w:val="0015722C"/>
    <w:rsid w:val="001633E5"/>
    <w:rsid w:val="00163BA3"/>
    <w:rsid w:val="00163EC3"/>
    <w:rsid w:val="001655A3"/>
    <w:rsid w:val="0016619C"/>
    <w:rsid w:val="00170F5A"/>
    <w:rsid w:val="00172F79"/>
    <w:rsid w:val="00175238"/>
    <w:rsid w:val="00175DD7"/>
    <w:rsid w:val="001773B3"/>
    <w:rsid w:val="001826E5"/>
    <w:rsid w:val="00182B26"/>
    <w:rsid w:val="00185C5C"/>
    <w:rsid w:val="00191105"/>
    <w:rsid w:val="00196A5F"/>
    <w:rsid w:val="001A1370"/>
    <w:rsid w:val="001A360E"/>
    <w:rsid w:val="001A3906"/>
    <w:rsid w:val="001A3E59"/>
    <w:rsid w:val="001B4DA4"/>
    <w:rsid w:val="001B5F3B"/>
    <w:rsid w:val="001C26DF"/>
    <w:rsid w:val="001C2FA7"/>
    <w:rsid w:val="001F0669"/>
    <w:rsid w:val="001F15E6"/>
    <w:rsid w:val="001F20E2"/>
    <w:rsid w:val="002009B4"/>
    <w:rsid w:val="002037B9"/>
    <w:rsid w:val="0020764C"/>
    <w:rsid w:val="002108A4"/>
    <w:rsid w:val="00216870"/>
    <w:rsid w:val="0021759B"/>
    <w:rsid w:val="002232A6"/>
    <w:rsid w:val="0023010A"/>
    <w:rsid w:val="002347BC"/>
    <w:rsid w:val="0024295E"/>
    <w:rsid w:val="00243E0C"/>
    <w:rsid w:val="00253541"/>
    <w:rsid w:val="00253D73"/>
    <w:rsid w:val="00254077"/>
    <w:rsid w:val="00257F0A"/>
    <w:rsid w:val="00257F97"/>
    <w:rsid w:val="0026049F"/>
    <w:rsid w:val="00261148"/>
    <w:rsid w:val="00270133"/>
    <w:rsid w:val="00271321"/>
    <w:rsid w:val="00273290"/>
    <w:rsid w:val="00283844"/>
    <w:rsid w:val="002841AE"/>
    <w:rsid w:val="00291975"/>
    <w:rsid w:val="00292A72"/>
    <w:rsid w:val="00293E2E"/>
    <w:rsid w:val="002A0AA1"/>
    <w:rsid w:val="002A2F9A"/>
    <w:rsid w:val="002A6387"/>
    <w:rsid w:val="002B7051"/>
    <w:rsid w:val="002C79DF"/>
    <w:rsid w:val="002D2ADE"/>
    <w:rsid w:val="002E27B2"/>
    <w:rsid w:val="002E40E7"/>
    <w:rsid w:val="002F35B5"/>
    <w:rsid w:val="002F404B"/>
    <w:rsid w:val="002F55F2"/>
    <w:rsid w:val="003007AF"/>
    <w:rsid w:val="003021AA"/>
    <w:rsid w:val="0030552E"/>
    <w:rsid w:val="00305C78"/>
    <w:rsid w:val="00310EF8"/>
    <w:rsid w:val="00311CE4"/>
    <w:rsid w:val="003151AF"/>
    <w:rsid w:val="00316458"/>
    <w:rsid w:val="00323695"/>
    <w:rsid w:val="00334085"/>
    <w:rsid w:val="00334361"/>
    <w:rsid w:val="00336075"/>
    <w:rsid w:val="00337A20"/>
    <w:rsid w:val="00346887"/>
    <w:rsid w:val="0035112F"/>
    <w:rsid w:val="003531CA"/>
    <w:rsid w:val="003718F5"/>
    <w:rsid w:val="00372DB6"/>
    <w:rsid w:val="00373ADD"/>
    <w:rsid w:val="003754A9"/>
    <w:rsid w:val="00375F3E"/>
    <w:rsid w:val="00382E8C"/>
    <w:rsid w:val="00394FF7"/>
    <w:rsid w:val="003B4CE8"/>
    <w:rsid w:val="003B6AEC"/>
    <w:rsid w:val="003C5DB4"/>
    <w:rsid w:val="003D7087"/>
    <w:rsid w:val="003E2590"/>
    <w:rsid w:val="003E5400"/>
    <w:rsid w:val="003E55A9"/>
    <w:rsid w:val="003F2660"/>
    <w:rsid w:val="004028F5"/>
    <w:rsid w:val="0040442D"/>
    <w:rsid w:val="0040558A"/>
    <w:rsid w:val="00410817"/>
    <w:rsid w:val="0041131C"/>
    <w:rsid w:val="004127C6"/>
    <w:rsid w:val="00424A11"/>
    <w:rsid w:val="00434264"/>
    <w:rsid w:val="00441581"/>
    <w:rsid w:val="00447FFE"/>
    <w:rsid w:val="004507AA"/>
    <w:rsid w:val="0045277B"/>
    <w:rsid w:val="00455E52"/>
    <w:rsid w:val="00462004"/>
    <w:rsid w:val="00470DDC"/>
    <w:rsid w:val="0047485E"/>
    <w:rsid w:val="00477043"/>
    <w:rsid w:val="00481690"/>
    <w:rsid w:val="00483F45"/>
    <w:rsid w:val="00492BA9"/>
    <w:rsid w:val="004A0E4F"/>
    <w:rsid w:val="004A31E8"/>
    <w:rsid w:val="004A38AB"/>
    <w:rsid w:val="004B02C2"/>
    <w:rsid w:val="004B075A"/>
    <w:rsid w:val="004B089D"/>
    <w:rsid w:val="004C2D6E"/>
    <w:rsid w:val="004D0428"/>
    <w:rsid w:val="004D4844"/>
    <w:rsid w:val="004E1377"/>
    <w:rsid w:val="004E5BAF"/>
    <w:rsid w:val="004F08A3"/>
    <w:rsid w:val="004F1D7C"/>
    <w:rsid w:val="004F2D83"/>
    <w:rsid w:val="004F601E"/>
    <w:rsid w:val="004F61D0"/>
    <w:rsid w:val="004F76B8"/>
    <w:rsid w:val="00500C72"/>
    <w:rsid w:val="00501FB3"/>
    <w:rsid w:val="00520F77"/>
    <w:rsid w:val="00526960"/>
    <w:rsid w:val="00530A33"/>
    <w:rsid w:val="00537504"/>
    <w:rsid w:val="0053798D"/>
    <w:rsid w:val="00544692"/>
    <w:rsid w:val="00545C1B"/>
    <w:rsid w:val="00551537"/>
    <w:rsid w:val="00557997"/>
    <w:rsid w:val="00562A58"/>
    <w:rsid w:val="00567780"/>
    <w:rsid w:val="00574ADC"/>
    <w:rsid w:val="00577B00"/>
    <w:rsid w:val="00582CAC"/>
    <w:rsid w:val="0058689A"/>
    <w:rsid w:val="005B23CE"/>
    <w:rsid w:val="005B4E17"/>
    <w:rsid w:val="005C1CCF"/>
    <w:rsid w:val="005C3956"/>
    <w:rsid w:val="005D0808"/>
    <w:rsid w:val="005D0FDE"/>
    <w:rsid w:val="005D2F8F"/>
    <w:rsid w:val="005D3C78"/>
    <w:rsid w:val="005D5F69"/>
    <w:rsid w:val="005D7193"/>
    <w:rsid w:val="005D7C76"/>
    <w:rsid w:val="005E0123"/>
    <w:rsid w:val="005E280E"/>
    <w:rsid w:val="005F16F9"/>
    <w:rsid w:val="005F24C7"/>
    <w:rsid w:val="00600195"/>
    <w:rsid w:val="006014E0"/>
    <w:rsid w:val="006075F2"/>
    <w:rsid w:val="00610EB6"/>
    <w:rsid w:val="00623453"/>
    <w:rsid w:val="006336E9"/>
    <w:rsid w:val="006338A1"/>
    <w:rsid w:val="0063740C"/>
    <w:rsid w:val="00637E83"/>
    <w:rsid w:val="00641E2D"/>
    <w:rsid w:val="006514D3"/>
    <w:rsid w:val="006521A0"/>
    <w:rsid w:val="00653C21"/>
    <w:rsid w:val="006610A7"/>
    <w:rsid w:val="00665D8E"/>
    <w:rsid w:val="0066729D"/>
    <w:rsid w:val="00667F19"/>
    <w:rsid w:val="0067124F"/>
    <w:rsid w:val="00671292"/>
    <w:rsid w:val="00675D61"/>
    <w:rsid w:val="006766C5"/>
    <w:rsid w:val="00680145"/>
    <w:rsid w:val="006844B2"/>
    <w:rsid w:val="00684BCB"/>
    <w:rsid w:val="006905BC"/>
    <w:rsid w:val="006927D1"/>
    <w:rsid w:val="00693D31"/>
    <w:rsid w:val="00696A85"/>
    <w:rsid w:val="006A3AD7"/>
    <w:rsid w:val="006A5277"/>
    <w:rsid w:val="006A647E"/>
    <w:rsid w:val="006A7493"/>
    <w:rsid w:val="006B1B87"/>
    <w:rsid w:val="006B1C76"/>
    <w:rsid w:val="006B4404"/>
    <w:rsid w:val="006B6627"/>
    <w:rsid w:val="006C2932"/>
    <w:rsid w:val="006C300E"/>
    <w:rsid w:val="006D15BD"/>
    <w:rsid w:val="006D562A"/>
    <w:rsid w:val="006E1F83"/>
    <w:rsid w:val="006E5193"/>
    <w:rsid w:val="006F19EA"/>
    <w:rsid w:val="006F3532"/>
    <w:rsid w:val="00701966"/>
    <w:rsid w:val="007038BC"/>
    <w:rsid w:val="00705B27"/>
    <w:rsid w:val="00705BB3"/>
    <w:rsid w:val="00711E61"/>
    <w:rsid w:val="00713CD1"/>
    <w:rsid w:val="00714924"/>
    <w:rsid w:val="007164B8"/>
    <w:rsid w:val="00720673"/>
    <w:rsid w:val="007327A0"/>
    <w:rsid w:val="00744B7A"/>
    <w:rsid w:val="00746582"/>
    <w:rsid w:val="0075132A"/>
    <w:rsid w:val="00756A3A"/>
    <w:rsid w:val="007820F3"/>
    <w:rsid w:val="007947EC"/>
    <w:rsid w:val="007A0CF3"/>
    <w:rsid w:val="007A1C06"/>
    <w:rsid w:val="007A7EDC"/>
    <w:rsid w:val="007B2738"/>
    <w:rsid w:val="007B36C3"/>
    <w:rsid w:val="007B644A"/>
    <w:rsid w:val="007B6C50"/>
    <w:rsid w:val="007B6E41"/>
    <w:rsid w:val="007B702A"/>
    <w:rsid w:val="007D1D17"/>
    <w:rsid w:val="007D3B7B"/>
    <w:rsid w:val="007D3F36"/>
    <w:rsid w:val="007E3428"/>
    <w:rsid w:val="007E4A2B"/>
    <w:rsid w:val="007F15D9"/>
    <w:rsid w:val="007F4C26"/>
    <w:rsid w:val="00816F6B"/>
    <w:rsid w:val="008304C2"/>
    <w:rsid w:val="00833BC9"/>
    <w:rsid w:val="008345A1"/>
    <w:rsid w:val="008447E8"/>
    <w:rsid w:val="00845D55"/>
    <w:rsid w:val="008575D6"/>
    <w:rsid w:val="00873FB8"/>
    <w:rsid w:val="008744D9"/>
    <w:rsid w:val="0089066E"/>
    <w:rsid w:val="00891C44"/>
    <w:rsid w:val="008933AC"/>
    <w:rsid w:val="008A48BB"/>
    <w:rsid w:val="008B626C"/>
    <w:rsid w:val="008C1DBF"/>
    <w:rsid w:val="008D213D"/>
    <w:rsid w:val="008D4C34"/>
    <w:rsid w:val="008D4EDF"/>
    <w:rsid w:val="008E18F2"/>
    <w:rsid w:val="008E1929"/>
    <w:rsid w:val="008F330C"/>
    <w:rsid w:val="008F34AA"/>
    <w:rsid w:val="008F4D0D"/>
    <w:rsid w:val="009028FE"/>
    <w:rsid w:val="00902E61"/>
    <w:rsid w:val="00903C8E"/>
    <w:rsid w:val="00907814"/>
    <w:rsid w:val="0090784F"/>
    <w:rsid w:val="00921764"/>
    <w:rsid w:val="00924D71"/>
    <w:rsid w:val="009275E8"/>
    <w:rsid w:val="0092779A"/>
    <w:rsid w:val="0093485B"/>
    <w:rsid w:val="00935775"/>
    <w:rsid w:val="00936A87"/>
    <w:rsid w:val="00937286"/>
    <w:rsid w:val="00941646"/>
    <w:rsid w:val="00941BF5"/>
    <w:rsid w:val="00943338"/>
    <w:rsid w:val="00956EAF"/>
    <w:rsid w:val="00971B77"/>
    <w:rsid w:val="00975F2A"/>
    <w:rsid w:val="00987BAF"/>
    <w:rsid w:val="00996668"/>
    <w:rsid w:val="009A551C"/>
    <w:rsid w:val="009C71E7"/>
    <w:rsid w:val="009D24CE"/>
    <w:rsid w:val="009D3998"/>
    <w:rsid w:val="009D418E"/>
    <w:rsid w:val="009D6EB1"/>
    <w:rsid w:val="009E2299"/>
    <w:rsid w:val="009E30DC"/>
    <w:rsid w:val="009E4707"/>
    <w:rsid w:val="009E6D3B"/>
    <w:rsid w:val="009E787B"/>
    <w:rsid w:val="009F48DA"/>
    <w:rsid w:val="00A0049B"/>
    <w:rsid w:val="00A06A01"/>
    <w:rsid w:val="00A163DF"/>
    <w:rsid w:val="00A248E0"/>
    <w:rsid w:val="00A40C36"/>
    <w:rsid w:val="00A439A3"/>
    <w:rsid w:val="00A46DDE"/>
    <w:rsid w:val="00A50D18"/>
    <w:rsid w:val="00A62505"/>
    <w:rsid w:val="00A703F3"/>
    <w:rsid w:val="00A72B90"/>
    <w:rsid w:val="00A75181"/>
    <w:rsid w:val="00A84EB1"/>
    <w:rsid w:val="00A90C8C"/>
    <w:rsid w:val="00A912D4"/>
    <w:rsid w:val="00A91370"/>
    <w:rsid w:val="00AC0BD6"/>
    <w:rsid w:val="00AC60E8"/>
    <w:rsid w:val="00AD6B8A"/>
    <w:rsid w:val="00AD776B"/>
    <w:rsid w:val="00AE06E5"/>
    <w:rsid w:val="00AE6474"/>
    <w:rsid w:val="00AF2D3B"/>
    <w:rsid w:val="00AF41D4"/>
    <w:rsid w:val="00AF7FC6"/>
    <w:rsid w:val="00B0190A"/>
    <w:rsid w:val="00B04D7F"/>
    <w:rsid w:val="00B06639"/>
    <w:rsid w:val="00B2413C"/>
    <w:rsid w:val="00B32B41"/>
    <w:rsid w:val="00B37A7B"/>
    <w:rsid w:val="00B4082C"/>
    <w:rsid w:val="00B4247F"/>
    <w:rsid w:val="00B47CBC"/>
    <w:rsid w:val="00B537BE"/>
    <w:rsid w:val="00B56CBA"/>
    <w:rsid w:val="00B71B84"/>
    <w:rsid w:val="00B7316E"/>
    <w:rsid w:val="00B736E7"/>
    <w:rsid w:val="00B74515"/>
    <w:rsid w:val="00B8164A"/>
    <w:rsid w:val="00B84DA8"/>
    <w:rsid w:val="00B94B44"/>
    <w:rsid w:val="00B955CB"/>
    <w:rsid w:val="00B96F73"/>
    <w:rsid w:val="00BA1573"/>
    <w:rsid w:val="00BA1793"/>
    <w:rsid w:val="00BA1B07"/>
    <w:rsid w:val="00BA2B2A"/>
    <w:rsid w:val="00BA4BB5"/>
    <w:rsid w:val="00BB147B"/>
    <w:rsid w:val="00BB4E4F"/>
    <w:rsid w:val="00BC37DB"/>
    <w:rsid w:val="00BD1CB8"/>
    <w:rsid w:val="00BD2968"/>
    <w:rsid w:val="00BE4DF4"/>
    <w:rsid w:val="00BF2A82"/>
    <w:rsid w:val="00C02108"/>
    <w:rsid w:val="00C0249D"/>
    <w:rsid w:val="00C0272D"/>
    <w:rsid w:val="00C03640"/>
    <w:rsid w:val="00C133F7"/>
    <w:rsid w:val="00C15EA2"/>
    <w:rsid w:val="00C15FB5"/>
    <w:rsid w:val="00C20FED"/>
    <w:rsid w:val="00C2110D"/>
    <w:rsid w:val="00C26D2B"/>
    <w:rsid w:val="00C27F6B"/>
    <w:rsid w:val="00C35C74"/>
    <w:rsid w:val="00C3606F"/>
    <w:rsid w:val="00C364E7"/>
    <w:rsid w:val="00C524C1"/>
    <w:rsid w:val="00C54CDF"/>
    <w:rsid w:val="00C62F69"/>
    <w:rsid w:val="00C727D6"/>
    <w:rsid w:val="00C765EB"/>
    <w:rsid w:val="00C84F66"/>
    <w:rsid w:val="00C919DA"/>
    <w:rsid w:val="00C91C3A"/>
    <w:rsid w:val="00CA15BC"/>
    <w:rsid w:val="00CA2B78"/>
    <w:rsid w:val="00CA33B9"/>
    <w:rsid w:val="00CA4CC8"/>
    <w:rsid w:val="00CB53B2"/>
    <w:rsid w:val="00CB67E1"/>
    <w:rsid w:val="00CC21B9"/>
    <w:rsid w:val="00CD01D0"/>
    <w:rsid w:val="00CD11F7"/>
    <w:rsid w:val="00CD22CF"/>
    <w:rsid w:val="00CD4B71"/>
    <w:rsid w:val="00CE4885"/>
    <w:rsid w:val="00CF0680"/>
    <w:rsid w:val="00CF3A62"/>
    <w:rsid w:val="00CF417D"/>
    <w:rsid w:val="00CF5B88"/>
    <w:rsid w:val="00CF742D"/>
    <w:rsid w:val="00D147EA"/>
    <w:rsid w:val="00D27F51"/>
    <w:rsid w:val="00D318B5"/>
    <w:rsid w:val="00D40738"/>
    <w:rsid w:val="00D42923"/>
    <w:rsid w:val="00D433F1"/>
    <w:rsid w:val="00D437DF"/>
    <w:rsid w:val="00D54552"/>
    <w:rsid w:val="00D62E22"/>
    <w:rsid w:val="00D63BA5"/>
    <w:rsid w:val="00D63EF2"/>
    <w:rsid w:val="00D817FF"/>
    <w:rsid w:val="00D83A82"/>
    <w:rsid w:val="00D85C77"/>
    <w:rsid w:val="00DA03E2"/>
    <w:rsid w:val="00DA7B77"/>
    <w:rsid w:val="00DB6025"/>
    <w:rsid w:val="00DB7333"/>
    <w:rsid w:val="00DC0047"/>
    <w:rsid w:val="00DC17B3"/>
    <w:rsid w:val="00DC19DF"/>
    <w:rsid w:val="00DC1C62"/>
    <w:rsid w:val="00DD5203"/>
    <w:rsid w:val="00DE3CC2"/>
    <w:rsid w:val="00DE5823"/>
    <w:rsid w:val="00E003D3"/>
    <w:rsid w:val="00E02D86"/>
    <w:rsid w:val="00E0415E"/>
    <w:rsid w:val="00E21A1A"/>
    <w:rsid w:val="00E241EB"/>
    <w:rsid w:val="00E31AA4"/>
    <w:rsid w:val="00E37F90"/>
    <w:rsid w:val="00E45885"/>
    <w:rsid w:val="00E479C2"/>
    <w:rsid w:val="00E510A4"/>
    <w:rsid w:val="00E60DA3"/>
    <w:rsid w:val="00E619C2"/>
    <w:rsid w:val="00E62778"/>
    <w:rsid w:val="00E721C4"/>
    <w:rsid w:val="00E76A5A"/>
    <w:rsid w:val="00E8010A"/>
    <w:rsid w:val="00E827CE"/>
    <w:rsid w:val="00E90732"/>
    <w:rsid w:val="00E92B3D"/>
    <w:rsid w:val="00E946B5"/>
    <w:rsid w:val="00EA2158"/>
    <w:rsid w:val="00EA3E6D"/>
    <w:rsid w:val="00EB2DCA"/>
    <w:rsid w:val="00EB314F"/>
    <w:rsid w:val="00EB32B4"/>
    <w:rsid w:val="00EC2305"/>
    <w:rsid w:val="00EC36AF"/>
    <w:rsid w:val="00EC5634"/>
    <w:rsid w:val="00ED0958"/>
    <w:rsid w:val="00EE085B"/>
    <w:rsid w:val="00EE08EF"/>
    <w:rsid w:val="00EE391F"/>
    <w:rsid w:val="00EE3F98"/>
    <w:rsid w:val="00EE7AA0"/>
    <w:rsid w:val="00EF689C"/>
    <w:rsid w:val="00F02445"/>
    <w:rsid w:val="00F02FA2"/>
    <w:rsid w:val="00F03491"/>
    <w:rsid w:val="00F0566B"/>
    <w:rsid w:val="00F116A1"/>
    <w:rsid w:val="00F11F03"/>
    <w:rsid w:val="00F13A6F"/>
    <w:rsid w:val="00F31760"/>
    <w:rsid w:val="00F42504"/>
    <w:rsid w:val="00F43A79"/>
    <w:rsid w:val="00F47511"/>
    <w:rsid w:val="00F50324"/>
    <w:rsid w:val="00F51732"/>
    <w:rsid w:val="00F52AE6"/>
    <w:rsid w:val="00F53622"/>
    <w:rsid w:val="00F55766"/>
    <w:rsid w:val="00F63F18"/>
    <w:rsid w:val="00FA164F"/>
    <w:rsid w:val="00FA73B4"/>
    <w:rsid w:val="00FB000B"/>
    <w:rsid w:val="00FB4738"/>
    <w:rsid w:val="00FB77C9"/>
    <w:rsid w:val="00FC0E46"/>
    <w:rsid w:val="00FC4CCD"/>
    <w:rsid w:val="00FC6A36"/>
    <w:rsid w:val="00FC7013"/>
    <w:rsid w:val="00FC7E05"/>
    <w:rsid w:val="00FE19C4"/>
    <w:rsid w:val="00FE1C6C"/>
    <w:rsid w:val="00FE46F1"/>
    <w:rsid w:val="00FF1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6136"/>
  <w15:chartTrackingRefBased/>
  <w15:docId w15:val="{5F028EDB-CC8C-4724-8C1A-92FCD57B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BA5"/>
  </w:style>
  <w:style w:type="paragraph" w:styleId="Heading1">
    <w:name w:val="heading 1"/>
    <w:basedOn w:val="Normal"/>
    <w:link w:val="Heading1Char"/>
    <w:uiPriority w:val="9"/>
    <w:qFormat/>
    <w:rsid w:val="00FE1C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79DF"/>
    <w:rPr>
      <w:color w:val="0563C1" w:themeColor="hyperlink"/>
      <w:u w:val="single"/>
    </w:rPr>
  </w:style>
  <w:style w:type="character" w:customStyle="1" w:styleId="UnresolvedMention1">
    <w:name w:val="Unresolved Mention1"/>
    <w:basedOn w:val="DefaultParagraphFont"/>
    <w:uiPriority w:val="99"/>
    <w:semiHidden/>
    <w:unhideWhenUsed/>
    <w:rsid w:val="002C79DF"/>
    <w:rPr>
      <w:color w:val="605E5C"/>
      <w:shd w:val="clear" w:color="auto" w:fill="E1DFDD"/>
    </w:rPr>
  </w:style>
  <w:style w:type="character" w:customStyle="1" w:styleId="A6">
    <w:name w:val="A6"/>
    <w:uiPriority w:val="99"/>
    <w:rsid w:val="00C919DA"/>
    <w:rPr>
      <w:rFonts w:cs="Palatino"/>
      <w:color w:val="000000"/>
      <w:sz w:val="14"/>
      <w:szCs w:val="14"/>
    </w:rPr>
  </w:style>
  <w:style w:type="paragraph" w:customStyle="1" w:styleId="Pa9">
    <w:name w:val="Pa9"/>
    <w:basedOn w:val="Normal"/>
    <w:next w:val="Normal"/>
    <w:uiPriority w:val="99"/>
    <w:rsid w:val="008C1DBF"/>
    <w:pPr>
      <w:autoSpaceDE w:val="0"/>
      <w:autoSpaceDN w:val="0"/>
      <w:adjustRightInd w:val="0"/>
      <w:spacing w:after="0" w:line="160" w:lineRule="atLeast"/>
    </w:pPr>
    <w:rPr>
      <w:rFonts w:ascii="Palatino" w:hAnsi="Palatino"/>
      <w:sz w:val="24"/>
      <w:szCs w:val="24"/>
    </w:rPr>
  </w:style>
  <w:style w:type="table" w:styleId="TableGrid">
    <w:name w:val="Table Grid"/>
    <w:basedOn w:val="TableNormal"/>
    <w:uiPriority w:val="39"/>
    <w:rsid w:val="008E1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3DE6"/>
    <w:rPr>
      <w:color w:val="954F72" w:themeColor="followedHyperlink"/>
      <w:u w:val="single"/>
    </w:rPr>
  </w:style>
  <w:style w:type="paragraph" w:styleId="BalloonText">
    <w:name w:val="Balloon Text"/>
    <w:basedOn w:val="Normal"/>
    <w:link w:val="BalloonTextChar"/>
    <w:uiPriority w:val="99"/>
    <w:semiHidden/>
    <w:unhideWhenUsed/>
    <w:rsid w:val="008D2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13D"/>
    <w:rPr>
      <w:rFonts w:ascii="Segoe UI" w:hAnsi="Segoe UI" w:cs="Segoe UI"/>
      <w:sz w:val="18"/>
      <w:szCs w:val="18"/>
    </w:rPr>
  </w:style>
  <w:style w:type="paragraph" w:styleId="Header">
    <w:name w:val="header"/>
    <w:basedOn w:val="Normal"/>
    <w:link w:val="HeaderChar"/>
    <w:uiPriority w:val="99"/>
    <w:unhideWhenUsed/>
    <w:rsid w:val="001F1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5E6"/>
  </w:style>
  <w:style w:type="paragraph" w:styleId="Footer">
    <w:name w:val="footer"/>
    <w:basedOn w:val="Normal"/>
    <w:link w:val="FooterChar"/>
    <w:uiPriority w:val="99"/>
    <w:unhideWhenUsed/>
    <w:rsid w:val="001F1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5E6"/>
  </w:style>
  <w:style w:type="character" w:styleId="CommentReference">
    <w:name w:val="annotation reference"/>
    <w:basedOn w:val="DefaultParagraphFont"/>
    <w:uiPriority w:val="99"/>
    <w:semiHidden/>
    <w:unhideWhenUsed/>
    <w:rsid w:val="00B37A7B"/>
    <w:rPr>
      <w:sz w:val="16"/>
      <w:szCs w:val="16"/>
    </w:rPr>
  </w:style>
  <w:style w:type="paragraph" w:styleId="CommentText">
    <w:name w:val="annotation text"/>
    <w:basedOn w:val="Normal"/>
    <w:link w:val="CommentTextChar"/>
    <w:uiPriority w:val="99"/>
    <w:semiHidden/>
    <w:unhideWhenUsed/>
    <w:rsid w:val="00B37A7B"/>
    <w:pPr>
      <w:spacing w:line="240" w:lineRule="auto"/>
    </w:pPr>
    <w:rPr>
      <w:sz w:val="20"/>
      <w:szCs w:val="20"/>
    </w:rPr>
  </w:style>
  <w:style w:type="character" w:customStyle="1" w:styleId="CommentTextChar">
    <w:name w:val="Comment Text Char"/>
    <w:basedOn w:val="DefaultParagraphFont"/>
    <w:link w:val="CommentText"/>
    <w:uiPriority w:val="99"/>
    <w:semiHidden/>
    <w:rsid w:val="00B37A7B"/>
    <w:rPr>
      <w:sz w:val="20"/>
      <w:szCs w:val="20"/>
    </w:rPr>
  </w:style>
  <w:style w:type="paragraph" w:styleId="CommentSubject">
    <w:name w:val="annotation subject"/>
    <w:basedOn w:val="CommentText"/>
    <w:next w:val="CommentText"/>
    <w:link w:val="CommentSubjectChar"/>
    <w:uiPriority w:val="99"/>
    <w:semiHidden/>
    <w:unhideWhenUsed/>
    <w:rsid w:val="00B37A7B"/>
    <w:rPr>
      <w:b/>
      <w:bCs/>
    </w:rPr>
  </w:style>
  <w:style w:type="character" w:customStyle="1" w:styleId="CommentSubjectChar">
    <w:name w:val="Comment Subject Char"/>
    <w:basedOn w:val="CommentTextChar"/>
    <w:link w:val="CommentSubject"/>
    <w:uiPriority w:val="99"/>
    <w:semiHidden/>
    <w:rsid w:val="00B37A7B"/>
    <w:rPr>
      <w:b/>
      <w:bCs/>
      <w:sz w:val="20"/>
      <w:szCs w:val="20"/>
    </w:rPr>
  </w:style>
  <w:style w:type="character" w:customStyle="1" w:styleId="docsum-authors">
    <w:name w:val="docsum-authors"/>
    <w:basedOn w:val="DefaultParagraphFont"/>
    <w:rsid w:val="00FE1C6C"/>
  </w:style>
  <w:style w:type="character" w:customStyle="1" w:styleId="docsum-journal-citation">
    <w:name w:val="docsum-journal-citation"/>
    <w:basedOn w:val="DefaultParagraphFont"/>
    <w:rsid w:val="00FE1C6C"/>
  </w:style>
  <w:style w:type="character" w:customStyle="1" w:styleId="citation-part">
    <w:name w:val="citation-part"/>
    <w:basedOn w:val="DefaultParagraphFont"/>
    <w:rsid w:val="00FE1C6C"/>
  </w:style>
  <w:style w:type="character" w:customStyle="1" w:styleId="docsum-pmid">
    <w:name w:val="docsum-pmid"/>
    <w:basedOn w:val="DefaultParagraphFont"/>
    <w:rsid w:val="00FE1C6C"/>
  </w:style>
  <w:style w:type="character" w:customStyle="1" w:styleId="Heading1Char">
    <w:name w:val="Heading 1 Char"/>
    <w:basedOn w:val="DefaultParagraphFont"/>
    <w:link w:val="Heading1"/>
    <w:uiPriority w:val="9"/>
    <w:rsid w:val="00FE1C6C"/>
    <w:rPr>
      <w:rFonts w:ascii="Times New Roman" w:eastAsia="Times New Roman" w:hAnsi="Times New Roman" w:cs="Times New Roman"/>
      <w:b/>
      <w:bCs/>
      <w:kern w:val="36"/>
      <w:sz w:val="48"/>
      <w:szCs w:val="48"/>
      <w:lang w:eastAsia="en-GB"/>
    </w:rPr>
  </w:style>
  <w:style w:type="character" w:customStyle="1" w:styleId="period">
    <w:name w:val="period"/>
    <w:basedOn w:val="DefaultParagraphFont"/>
    <w:rsid w:val="00FE1C6C"/>
  </w:style>
  <w:style w:type="character" w:customStyle="1" w:styleId="cit">
    <w:name w:val="cit"/>
    <w:basedOn w:val="DefaultParagraphFont"/>
    <w:rsid w:val="00FE1C6C"/>
  </w:style>
  <w:style w:type="character" w:customStyle="1" w:styleId="citation-doi">
    <w:name w:val="citation-doi"/>
    <w:basedOn w:val="DefaultParagraphFont"/>
    <w:rsid w:val="00FE1C6C"/>
  </w:style>
  <w:style w:type="character" w:customStyle="1" w:styleId="secondary-date">
    <w:name w:val="secondary-date"/>
    <w:basedOn w:val="DefaultParagraphFont"/>
    <w:rsid w:val="00FE1C6C"/>
  </w:style>
  <w:style w:type="character" w:customStyle="1" w:styleId="authors-list-item">
    <w:name w:val="authors-list-item"/>
    <w:basedOn w:val="DefaultParagraphFont"/>
    <w:rsid w:val="00FE1C6C"/>
  </w:style>
  <w:style w:type="character" w:customStyle="1" w:styleId="author-sup-separator">
    <w:name w:val="author-sup-separator"/>
    <w:basedOn w:val="DefaultParagraphFont"/>
    <w:rsid w:val="00FE1C6C"/>
  </w:style>
  <w:style w:type="character" w:customStyle="1" w:styleId="comma">
    <w:name w:val="comma"/>
    <w:basedOn w:val="DefaultParagraphFont"/>
    <w:rsid w:val="00FE1C6C"/>
  </w:style>
  <w:style w:type="character" w:styleId="UnresolvedMention">
    <w:name w:val="Unresolved Mention"/>
    <w:basedOn w:val="DefaultParagraphFont"/>
    <w:uiPriority w:val="99"/>
    <w:semiHidden/>
    <w:unhideWhenUsed/>
    <w:rsid w:val="00CB5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975966">
      <w:bodyDiv w:val="1"/>
      <w:marLeft w:val="0"/>
      <w:marRight w:val="0"/>
      <w:marTop w:val="0"/>
      <w:marBottom w:val="0"/>
      <w:divBdr>
        <w:top w:val="none" w:sz="0" w:space="0" w:color="auto"/>
        <w:left w:val="none" w:sz="0" w:space="0" w:color="auto"/>
        <w:bottom w:val="none" w:sz="0" w:space="0" w:color="auto"/>
        <w:right w:val="none" w:sz="0" w:space="0" w:color="auto"/>
      </w:divBdr>
      <w:divsChild>
        <w:div w:id="481049171">
          <w:marLeft w:val="0"/>
          <w:marRight w:val="0"/>
          <w:marTop w:val="0"/>
          <w:marBottom w:val="0"/>
          <w:divBdr>
            <w:top w:val="none" w:sz="0" w:space="0" w:color="auto"/>
            <w:left w:val="none" w:sz="0" w:space="0" w:color="auto"/>
            <w:bottom w:val="none" w:sz="0" w:space="0" w:color="auto"/>
            <w:right w:val="none" w:sz="0" w:space="0" w:color="auto"/>
          </w:divBdr>
        </w:div>
      </w:divsChild>
    </w:div>
    <w:div w:id="827670148">
      <w:bodyDiv w:val="1"/>
      <w:marLeft w:val="0"/>
      <w:marRight w:val="0"/>
      <w:marTop w:val="0"/>
      <w:marBottom w:val="0"/>
      <w:divBdr>
        <w:top w:val="none" w:sz="0" w:space="0" w:color="auto"/>
        <w:left w:val="none" w:sz="0" w:space="0" w:color="auto"/>
        <w:bottom w:val="none" w:sz="0" w:space="0" w:color="auto"/>
        <w:right w:val="none" w:sz="0" w:space="0" w:color="auto"/>
      </w:divBdr>
    </w:div>
    <w:div w:id="972444521">
      <w:bodyDiv w:val="1"/>
      <w:marLeft w:val="0"/>
      <w:marRight w:val="0"/>
      <w:marTop w:val="0"/>
      <w:marBottom w:val="0"/>
      <w:divBdr>
        <w:top w:val="none" w:sz="0" w:space="0" w:color="auto"/>
        <w:left w:val="none" w:sz="0" w:space="0" w:color="auto"/>
        <w:bottom w:val="none" w:sz="0" w:space="0" w:color="auto"/>
        <w:right w:val="none" w:sz="0" w:space="0" w:color="auto"/>
      </w:divBdr>
      <w:divsChild>
        <w:div w:id="728726740">
          <w:marLeft w:val="0"/>
          <w:marRight w:val="0"/>
          <w:marTop w:val="0"/>
          <w:marBottom w:val="0"/>
          <w:divBdr>
            <w:top w:val="none" w:sz="0" w:space="0" w:color="auto"/>
            <w:left w:val="none" w:sz="0" w:space="0" w:color="auto"/>
            <w:bottom w:val="none" w:sz="0" w:space="0" w:color="auto"/>
            <w:right w:val="none" w:sz="0" w:space="0" w:color="auto"/>
          </w:divBdr>
          <w:divsChild>
            <w:div w:id="166557025">
              <w:marLeft w:val="0"/>
              <w:marRight w:val="0"/>
              <w:marTop w:val="0"/>
              <w:marBottom w:val="0"/>
              <w:divBdr>
                <w:top w:val="none" w:sz="0" w:space="0" w:color="auto"/>
                <w:left w:val="none" w:sz="0" w:space="0" w:color="auto"/>
                <w:bottom w:val="none" w:sz="0" w:space="0" w:color="auto"/>
                <w:right w:val="none" w:sz="0" w:space="0" w:color="auto"/>
              </w:divBdr>
              <w:divsChild>
                <w:div w:id="1100955416">
                  <w:marLeft w:val="0"/>
                  <w:marRight w:val="0"/>
                  <w:marTop w:val="0"/>
                  <w:marBottom w:val="0"/>
                  <w:divBdr>
                    <w:top w:val="none" w:sz="0" w:space="0" w:color="auto"/>
                    <w:left w:val="none" w:sz="0" w:space="0" w:color="auto"/>
                    <w:bottom w:val="none" w:sz="0" w:space="0" w:color="auto"/>
                    <w:right w:val="none" w:sz="0" w:space="0" w:color="auto"/>
                  </w:divBdr>
                  <w:divsChild>
                    <w:div w:id="3841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65490">
          <w:marLeft w:val="0"/>
          <w:marRight w:val="0"/>
          <w:marTop w:val="0"/>
          <w:marBottom w:val="0"/>
          <w:divBdr>
            <w:top w:val="none" w:sz="0" w:space="0" w:color="auto"/>
            <w:left w:val="none" w:sz="0" w:space="0" w:color="auto"/>
            <w:bottom w:val="none" w:sz="0" w:space="0" w:color="auto"/>
            <w:right w:val="none" w:sz="0" w:space="0" w:color="auto"/>
          </w:divBdr>
          <w:divsChild>
            <w:div w:id="1888712017">
              <w:marLeft w:val="0"/>
              <w:marRight w:val="0"/>
              <w:marTop w:val="0"/>
              <w:marBottom w:val="0"/>
              <w:divBdr>
                <w:top w:val="none" w:sz="0" w:space="0" w:color="auto"/>
                <w:left w:val="none" w:sz="0" w:space="0" w:color="auto"/>
                <w:bottom w:val="none" w:sz="0" w:space="0" w:color="auto"/>
                <w:right w:val="none" w:sz="0" w:space="0" w:color="auto"/>
              </w:divBdr>
              <w:divsChild>
                <w:div w:id="19175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95955">
      <w:bodyDiv w:val="1"/>
      <w:marLeft w:val="0"/>
      <w:marRight w:val="0"/>
      <w:marTop w:val="0"/>
      <w:marBottom w:val="0"/>
      <w:divBdr>
        <w:top w:val="none" w:sz="0" w:space="0" w:color="auto"/>
        <w:left w:val="none" w:sz="0" w:space="0" w:color="auto"/>
        <w:bottom w:val="none" w:sz="0" w:space="0" w:color="auto"/>
        <w:right w:val="none" w:sz="0" w:space="0" w:color="auto"/>
      </w:divBdr>
      <w:divsChild>
        <w:div w:id="421490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j.pontefract@shef.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ytimes.com/2020/06/17/health/many-medical-decision-tools-disadvantage-black-patients.html"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dc:description/>
  <cp:lastModifiedBy>Karen Drake</cp:lastModifiedBy>
  <cp:revision>2</cp:revision>
  <dcterms:created xsi:type="dcterms:W3CDTF">2020-09-07T09:41:00Z</dcterms:created>
  <dcterms:modified xsi:type="dcterms:W3CDTF">2020-09-07T09:41:00Z</dcterms:modified>
</cp:coreProperties>
</file>