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FBF58" w14:textId="77777777" w:rsidR="00632BCA" w:rsidRPr="00E139C2" w:rsidRDefault="00E6641B" w:rsidP="0057042B">
      <w:pPr>
        <w:pStyle w:val="LeftRunhead"/>
        <w:rPr>
          <w:b/>
          <w:szCs w:val="24"/>
        </w:rPr>
      </w:pPr>
      <w:r w:rsidRPr="00E139C2">
        <w:rPr>
          <w:b/>
          <w:szCs w:val="24"/>
        </w:rPr>
        <w:fldChar w:fldCharType="begin"/>
      </w:r>
      <w:r w:rsidRPr="00E139C2">
        <w:rPr>
          <w:b/>
          <w:szCs w:val="24"/>
        </w:rPr>
        <w:instrText xml:space="preserve"> MACROBUTTON MTEditEquationSection2 </w:instrText>
      </w:r>
      <w:r w:rsidRPr="00E139C2">
        <w:rPr>
          <w:rStyle w:val="MTEquationSection"/>
          <w:szCs w:val="24"/>
        </w:rPr>
        <w:instrText>Equation Chapter 1 Section 1</w:instrText>
      </w:r>
      <w:r w:rsidRPr="00E139C2">
        <w:rPr>
          <w:b/>
          <w:szCs w:val="24"/>
        </w:rPr>
        <w:fldChar w:fldCharType="begin"/>
      </w:r>
      <w:r w:rsidRPr="00E139C2">
        <w:rPr>
          <w:b/>
          <w:szCs w:val="24"/>
        </w:rPr>
        <w:instrText xml:space="preserve"> SEQ MTEqn \r \h \* MERGEFORMAT </w:instrText>
      </w:r>
      <w:r w:rsidRPr="00E139C2">
        <w:rPr>
          <w:b/>
          <w:szCs w:val="24"/>
        </w:rPr>
        <w:fldChar w:fldCharType="end"/>
      </w:r>
      <w:r w:rsidRPr="00E139C2">
        <w:rPr>
          <w:b/>
          <w:szCs w:val="24"/>
        </w:rPr>
        <w:fldChar w:fldCharType="begin"/>
      </w:r>
      <w:r w:rsidRPr="00E139C2">
        <w:rPr>
          <w:b/>
          <w:szCs w:val="24"/>
        </w:rPr>
        <w:instrText xml:space="preserve"> SEQ MTSec \r 1 \h \* MERGEFORMAT </w:instrText>
      </w:r>
      <w:r w:rsidRPr="00E139C2">
        <w:rPr>
          <w:b/>
          <w:szCs w:val="24"/>
        </w:rPr>
        <w:fldChar w:fldCharType="end"/>
      </w:r>
      <w:r w:rsidRPr="00E139C2">
        <w:rPr>
          <w:b/>
          <w:szCs w:val="24"/>
        </w:rPr>
        <w:fldChar w:fldCharType="begin"/>
      </w:r>
      <w:r w:rsidRPr="00E139C2">
        <w:rPr>
          <w:b/>
          <w:szCs w:val="24"/>
        </w:rPr>
        <w:instrText xml:space="preserve"> SEQ MTChap \r 1 \h \* MERGEFORMAT </w:instrText>
      </w:r>
      <w:r w:rsidRPr="00E139C2">
        <w:rPr>
          <w:b/>
          <w:szCs w:val="24"/>
        </w:rPr>
        <w:fldChar w:fldCharType="end"/>
      </w:r>
      <w:r w:rsidRPr="00E139C2">
        <w:rPr>
          <w:b/>
          <w:szCs w:val="24"/>
        </w:rPr>
        <w:fldChar w:fldCharType="end"/>
      </w:r>
      <w:r w:rsidR="00632BCA" w:rsidRPr="00E139C2">
        <w:rPr>
          <w:b/>
          <w:szCs w:val="24"/>
        </w:rPr>
        <w:t xml:space="preserve">NOTE: This template is meant to provide high-level assistance with formatting manuscripts for submission to </w:t>
      </w:r>
      <w:r w:rsidR="00862D58" w:rsidRPr="00E139C2">
        <w:rPr>
          <w:b/>
          <w:i/>
          <w:szCs w:val="24"/>
        </w:rPr>
        <w:t>A</w:t>
      </w:r>
      <w:r w:rsidR="000C074C" w:rsidRPr="00E139C2">
        <w:rPr>
          <w:b/>
          <w:i/>
          <w:szCs w:val="24"/>
        </w:rPr>
        <w:t>gronomy Journal;</w:t>
      </w:r>
      <w:r w:rsidR="00862D58" w:rsidRPr="00E139C2">
        <w:rPr>
          <w:b/>
          <w:i/>
          <w:szCs w:val="24"/>
        </w:rPr>
        <w:t xml:space="preserve"> Soil Sci</w:t>
      </w:r>
      <w:r w:rsidR="000C074C" w:rsidRPr="00E139C2">
        <w:rPr>
          <w:b/>
          <w:i/>
          <w:szCs w:val="24"/>
        </w:rPr>
        <w:t>ence Society of America Journal</w:t>
      </w:r>
      <w:r w:rsidR="00CB0347" w:rsidRPr="00E139C2">
        <w:rPr>
          <w:b/>
          <w:i/>
          <w:szCs w:val="24"/>
        </w:rPr>
        <w:t>;</w:t>
      </w:r>
      <w:r w:rsidR="00862D58" w:rsidRPr="00E139C2">
        <w:rPr>
          <w:b/>
          <w:i/>
          <w:szCs w:val="24"/>
        </w:rPr>
        <w:t xml:space="preserve"> </w:t>
      </w:r>
      <w:r w:rsidR="00862D58" w:rsidRPr="00E139C2">
        <w:rPr>
          <w:b/>
          <w:szCs w:val="24"/>
        </w:rPr>
        <w:t>and</w:t>
      </w:r>
      <w:r w:rsidR="00862D58" w:rsidRPr="00E139C2">
        <w:rPr>
          <w:b/>
          <w:i/>
          <w:szCs w:val="24"/>
        </w:rPr>
        <w:t xml:space="preserve"> Urban Agriculture &amp; Regional Food Systems</w:t>
      </w:r>
      <w:r w:rsidR="00632BCA" w:rsidRPr="00E139C2">
        <w:rPr>
          <w:b/>
          <w:szCs w:val="24"/>
        </w:rPr>
        <w:t xml:space="preserve">. </w:t>
      </w:r>
      <w:r w:rsidR="008E3D4B" w:rsidRPr="00E139C2">
        <w:rPr>
          <w:b/>
          <w:szCs w:val="24"/>
        </w:rPr>
        <w:t>More information is provided about the formatting of each of these sections in</w:t>
      </w:r>
      <w:r w:rsidR="00632BCA" w:rsidRPr="00E139C2">
        <w:rPr>
          <w:b/>
          <w:szCs w:val="24"/>
        </w:rPr>
        <w:t xml:space="preserve"> our official style guide</w:t>
      </w:r>
      <w:r w:rsidR="008E3D4B" w:rsidRPr="00E139C2">
        <w:rPr>
          <w:b/>
          <w:szCs w:val="24"/>
        </w:rPr>
        <w:t>:</w:t>
      </w:r>
      <w:r w:rsidR="00632BCA" w:rsidRPr="00E139C2">
        <w:rPr>
          <w:b/>
          <w:szCs w:val="24"/>
        </w:rPr>
        <w:t xml:space="preserve"> </w:t>
      </w:r>
      <w:hyperlink r:id="rId8" w:history="1">
        <w:r w:rsidR="00632BCA" w:rsidRPr="00E139C2">
          <w:rPr>
            <w:rStyle w:val="Hyperlink"/>
            <w:b/>
            <w:szCs w:val="24"/>
          </w:rPr>
          <w:t>https://dl.sciencesocieties.org/publications/style/</w:t>
        </w:r>
      </w:hyperlink>
      <w:r w:rsidR="00632BCA" w:rsidRPr="00E139C2">
        <w:rPr>
          <w:b/>
          <w:szCs w:val="24"/>
        </w:rPr>
        <w:t>.</w:t>
      </w:r>
    </w:p>
    <w:p w14:paraId="707C64A3" w14:textId="77777777" w:rsidR="00632BCA" w:rsidRPr="00E139C2" w:rsidRDefault="00632BCA" w:rsidP="00FE38E4">
      <w:pPr>
        <w:pStyle w:val="LeftRunhead"/>
        <w:spacing w:line="480" w:lineRule="auto"/>
        <w:rPr>
          <w:szCs w:val="24"/>
        </w:rPr>
      </w:pPr>
    </w:p>
    <w:p w14:paraId="6F2DC0F7" w14:textId="77777777" w:rsidR="00FE24A3" w:rsidRPr="00E139C2" w:rsidRDefault="00FE24A3" w:rsidP="00FE38E4">
      <w:pPr>
        <w:pStyle w:val="LeftRunhead"/>
        <w:spacing w:line="480" w:lineRule="auto"/>
        <w:rPr>
          <w:szCs w:val="24"/>
        </w:rPr>
      </w:pPr>
      <w:r w:rsidRPr="00E139C2">
        <w:rPr>
          <w:szCs w:val="24"/>
        </w:rPr>
        <w:t>Running title</w:t>
      </w:r>
      <w:r w:rsidR="00F118DC" w:rsidRPr="00E139C2">
        <w:rPr>
          <w:szCs w:val="24"/>
        </w:rPr>
        <w:t xml:space="preserve"> (optional)</w:t>
      </w:r>
    </w:p>
    <w:p w14:paraId="4950B865" w14:textId="0B1E09CD" w:rsidR="00632BCA" w:rsidRDefault="00FE24A3" w:rsidP="00FE38E4">
      <w:pPr>
        <w:pStyle w:val="LeftRunhead"/>
        <w:spacing w:line="480" w:lineRule="auto"/>
        <w:rPr>
          <w:szCs w:val="24"/>
        </w:rPr>
      </w:pPr>
      <w:r w:rsidRPr="00E139C2">
        <w:rPr>
          <w:szCs w:val="24"/>
        </w:rPr>
        <w:t>Core ideas</w:t>
      </w:r>
      <w:r w:rsidR="000502F0" w:rsidRPr="00E139C2">
        <w:rPr>
          <w:szCs w:val="24"/>
        </w:rPr>
        <w:t xml:space="preserve"> (3-5 impact statements, 85 char </w:t>
      </w:r>
      <w:proofErr w:type="gramStart"/>
      <w:r w:rsidR="000502F0" w:rsidRPr="00E139C2">
        <w:rPr>
          <w:szCs w:val="24"/>
        </w:rPr>
        <w:t>max</w:t>
      </w:r>
      <w:proofErr w:type="gramEnd"/>
      <w:r w:rsidR="000502F0" w:rsidRPr="00E139C2">
        <w:rPr>
          <w:szCs w:val="24"/>
        </w:rPr>
        <w:t xml:space="preserve"> for each)</w:t>
      </w:r>
    </w:p>
    <w:p w14:paraId="1A6AADBB" w14:textId="06425673" w:rsidR="00FB5D20" w:rsidRDefault="00F17ED5" w:rsidP="00FB5D20">
      <w:pPr>
        <w:pStyle w:val="LeftRunhead"/>
        <w:numPr>
          <w:ilvl w:val="0"/>
          <w:numId w:val="1"/>
        </w:numPr>
        <w:spacing w:line="480" w:lineRule="auto"/>
        <w:rPr>
          <w:szCs w:val="24"/>
        </w:rPr>
      </w:pPr>
      <w:r>
        <w:rPr>
          <w:szCs w:val="24"/>
        </w:rPr>
        <w:t xml:space="preserve">The initial release of </w:t>
      </w:r>
      <w:r w:rsidR="00F4462A">
        <w:rPr>
          <w:szCs w:val="24"/>
        </w:rPr>
        <w:t>phosphorus</w:t>
      </w:r>
      <w:r w:rsidR="00FC12BA">
        <w:rPr>
          <w:szCs w:val="24"/>
        </w:rPr>
        <w:t xml:space="preserve"> (P)</w:t>
      </w:r>
      <w:r w:rsidR="00FB5D20">
        <w:rPr>
          <w:szCs w:val="24"/>
        </w:rPr>
        <w:t xml:space="preserve"> from fertilizer pellets</w:t>
      </w:r>
      <w:r>
        <w:rPr>
          <w:szCs w:val="24"/>
        </w:rPr>
        <w:t xml:space="preserve"> is not well studied</w:t>
      </w:r>
    </w:p>
    <w:p w14:paraId="4091E2D1" w14:textId="3E33364F" w:rsidR="00FB5D20" w:rsidRDefault="00F17ED5" w:rsidP="00FB5D20">
      <w:pPr>
        <w:pStyle w:val="LeftRunhead"/>
        <w:numPr>
          <w:ilvl w:val="0"/>
          <w:numId w:val="1"/>
        </w:numPr>
        <w:spacing w:line="480" w:lineRule="auto"/>
        <w:rPr>
          <w:szCs w:val="24"/>
        </w:rPr>
      </w:pPr>
      <w:r>
        <w:rPr>
          <w:szCs w:val="24"/>
        </w:rPr>
        <w:t>M</w:t>
      </w:r>
      <w:r w:rsidR="00FB5D20">
        <w:rPr>
          <w:szCs w:val="24"/>
        </w:rPr>
        <w:t xml:space="preserve">icrodialysis and X-ray </w:t>
      </w:r>
      <w:r>
        <w:rPr>
          <w:szCs w:val="24"/>
        </w:rPr>
        <w:t>CT</w:t>
      </w:r>
      <w:r w:rsidR="00FB5D20">
        <w:rPr>
          <w:szCs w:val="24"/>
        </w:rPr>
        <w:t xml:space="preserve"> </w:t>
      </w:r>
      <w:r>
        <w:rPr>
          <w:szCs w:val="24"/>
        </w:rPr>
        <w:t>permit non-invasive time-resolved monitoring</w:t>
      </w:r>
    </w:p>
    <w:p w14:paraId="4DB74EEA" w14:textId="507C6A11" w:rsidR="00F17ED5" w:rsidRDefault="00FC12BA" w:rsidP="00FB5D20">
      <w:pPr>
        <w:pStyle w:val="LeftRunhead"/>
        <w:numPr>
          <w:ilvl w:val="0"/>
          <w:numId w:val="1"/>
        </w:numPr>
        <w:spacing w:line="480" w:lineRule="auto"/>
        <w:rPr>
          <w:szCs w:val="24"/>
        </w:rPr>
      </w:pPr>
      <w:r>
        <w:rPr>
          <w:szCs w:val="24"/>
        </w:rPr>
        <w:t>A l</w:t>
      </w:r>
      <w:r w:rsidR="00F17ED5">
        <w:rPr>
          <w:szCs w:val="24"/>
        </w:rPr>
        <w:t>ab</w:t>
      </w:r>
      <w:r>
        <w:rPr>
          <w:szCs w:val="24"/>
        </w:rPr>
        <w:t xml:space="preserve">-scale </w:t>
      </w:r>
      <w:r w:rsidR="00F17ED5">
        <w:rPr>
          <w:szCs w:val="24"/>
        </w:rPr>
        <w:t>setup</w:t>
      </w:r>
      <w:r>
        <w:rPr>
          <w:szCs w:val="24"/>
        </w:rPr>
        <w:t xml:space="preserve"> was used</w:t>
      </w:r>
      <w:r w:rsidR="00F17ED5">
        <w:rPr>
          <w:szCs w:val="24"/>
        </w:rPr>
        <w:t xml:space="preserve"> to study</w:t>
      </w:r>
      <w:r>
        <w:rPr>
          <w:szCs w:val="24"/>
        </w:rPr>
        <w:t xml:space="preserve"> solution P concentration in time and space</w:t>
      </w:r>
    </w:p>
    <w:p w14:paraId="61AC5C6C" w14:textId="7E80D945" w:rsidR="00F17ED5" w:rsidRPr="00F17ED5" w:rsidRDefault="00FC12BA" w:rsidP="00F17ED5">
      <w:pPr>
        <w:pStyle w:val="LeftRunhead"/>
        <w:numPr>
          <w:ilvl w:val="0"/>
          <w:numId w:val="1"/>
        </w:numPr>
        <w:spacing w:line="480" w:lineRule="auto"/>
        <w:rPr>
          <w:szCs w:val="24"/>
        </w:rPr>
      </w:pPr>
      <w:r>
        <w:rPr>
          <w:szCs w:val="24"/>
        </w:rPr>
        <w:t>A r</w:t>
      </w:r>
      <w:r w:rsidR="00C22F00">
        <w:rPr>
          <w:szCs w:val="24"/>
        </w:rPr>
        <w:t xml:space="preserve">apid </w:t>
      </w:r>
      <w:r w:rsidR="00F17ED5">
        <w:rPr>
          <w:szCs w:val="24"/>
        </w:rPr>
        <w:t xml:space="preserve">initial </w:t>
      </w:r>
      <w:r w:rsidR="00C22F00">
        <w:rPr>
          <w:szCs w:val="24"/>
        </w:rPr>
        <w:t xml:space="preserve">release </w:t>
      </w:r>
      <w:r w:rsidR="00F17ED5">
        <w:rPr>
          <w:szCs w:val="24"/>
        </w:rPr>
        <w:t xml:space="preserve">of P </w:t>
      </w:r>
      <w:r w:rsidR="00C22F00">
        <w:rPr>
          <w:szCs w:val="24"/>
        </w:rPr>
        <w:t>from the pellet</w:t>
      </w:r>
      <w:r>
        <w:rPr>
          <w:szCs w:val="24"/>
        </w:rPr>
        <w:t xml:space="preserve"> was measured</w:t>
      </w:r>
      <w:r w:rsidR="00C22F00">
        <w:rPr>
          <w:szCs w:val="24"/>
        </w:rPr>
        <w:t xml:space="preserve">, </w:t>
      </w:r>
      <w:r>
        <w:rPr>
          <w:szCs w:val="24"/>
        </w:rPr>
        <w:t>with</w:t>
      </w:r>
      <w:r w:rsidR="00F17ED5">
        <w:rPr>
          <w:szCs w:val="24"/>
        </w:rPr>
        <w:t xml:space="preserve"> </w:t>
      </w:r>
      <w:r w:rsidR="00C22F00">
        <w:rPr>
          <w:szCs w:val="24"/>
        </w:rPr>
        <w:t>no replenishment</w:t>
      </w:r>
    </w:p>
    <w:p w14:paraId="0D956E6D" w14:textId="79115210" w:rsidR="00C22F00" w:rsidRDefault="00FC12BA" w:rsidP="00FB5D20">
      <w:pPr>
        <w:pStyle w:val="LeftRunhead"/>
        <w:numPr>
          <w:ilvl w:val="0"/>
          <w:numId w:val="1"/>
        </w:numPr>
        <w:spacing w:line="480" w:lineRule="auto"/>
        <w:rPr>
          <w:szCs w:val="24"/>
        </w:rPr>
      </w:pPr>
      <w:r>
        <w:rPr>
          <w:szCs w:val="24"/>
        </w:rPr>
        <w:t>P c</w:t>
      </w:r>
      <w:r w:rsidR="00C22F00">
        <w:rPr>
          <w:szCs w:val="24"/>
        </w:rPr>
        <w:t>oncentration decrease</w:t>
      </w:r>
      <w:r>
        <w:rPr>
          <w:szCs w:val="24"/>
        </w:rPr>
        <w:t>d</w:t>
      </w:r>
      <w:r w:rsidR="00C22F00">
        <w:rPr>
          <w:szCs w:val="24"/>
        </w:rPr>
        <w:t xml:space="preserve"> over time compatible with a</w:t>
      </w:r>
      <w:r>
        <w:rPr>
          <w:szCs w:val="24"/>
        </w:rPr>
        <w:t>d</w:t>
      </w:r>
      <w:r w:rsidR="00C22F00">
        <w:rPr>
          <w:szCs w:val="24"/>
        </w:rPr>
        <w:t>sorption onto soil</w:t>
      </w:r>
    </w:p>
    <w:p w14:paraId="62AAB7B1" w14:textId="77777777" w:rsidR="00C22F00" w:rsidRPr="00E139C2" w:rsidRDefault="00C22F00" w:rsidP="00C22F00">
      <w:pPr>
        <w:pStyle w:val="LeftRunhead"/>
        <w:spacing w:line="480" w:lineRule="auto"/>
        <w:rPr>
          <w:szCs w:val="24"/>
        </w:rPr>
      </w:pPr>
    </w:p>
    <w:p w14:paraId="6234EA18" w14:textId="763BC13B" w:rsidR="00A725CF" w:rsidRDefault="00A725CF" w:rsidP="00A725CF">
      <w:pPr>
        <w:pStyle w:val="Abbreviations"/>
        <w:spacing w:line="480" w:lineRule="auto"/>
        <w:jc w:val="center"/>
        <w:rPr>
          <w:b/>
          <w:kern w:val="28"/>
          <w:sz w:val="24"/>
          <w:szCs w:val="24"/>
        </w:rPr>
      </w:pPr>
      <w:bookmarkStart w:id="0" w:name="_Hlk46158095"/>
      <w:r w:rsidRPr="00A725CF">
        <w:rPr>
          <w:b/>
          <w:kern w:val="28"/>
          <w:sz w:val="24"/>
          <w:szCs w:val="24"/>
        </w:rPr>
        <w:t xml:space="preserve">Space and </w:t>
      </w:r>
      <w:r>
        <w:rPr>
          <w:b/>
          <w:kern w:val="28"/>
          <w:sz w:val="24"/>
          <w:szCs w:val="24"/>
        </w:rPr>
        <w:t>T</w:t>
      </w:r>
      <w:r w:rsidRPr="00A725CF">
        <w:rPr>
          <w:b/>
          <w:kern w:val="28"/>
          <w:sz w:val="24"/>
          <w:szCs w:val="24"/>
        </w:rPr>
        <w:t>ime-</w:t>
      </w:r>
      <w:r>
        <w:rPr>
          <w:b/>
          <w:kern w:val="28"/>
          <w:sz w:val="24"/>
          <w:szCs w:val="24"/>
        </w:rPr>
        <w:t>R</w:t>
      </w:r>
      <w:r w:rsidRPr="00A725CF">
        <w:rPr>
          <w:b/>
          <w:kern w:val="28"/>
          <w:sz w:val="24"/>
          <w:szCs w:val="24"/>
        </w:rPr>
        <w:t xml:space="preserve">esolved </w:t>
      </w:r>
      <w:r>
        <w:rPr>
          <w:b/>
          <w:kern w:val="28"/>
          <w:sz w:val="24"/>
          <w:szCs w:val="24"/>
        </w:rPr>
        <w:t>M</w:t>
      </w:r>
      <w:r w:rsidRPr="00A725CF">
        <w:rPr>
          <w:b/>
          <w:kern w:val="28"/>
          <w:sz w:val="24"/>
          <w:szCs w:val="24"/>
        </w:rPr>
        <w:t xml:space="preserve">onitoring of </w:t>
      </w:r>
      <w:r>
        <w:rPr>
          <w:b/>
          <w:kern w:val="28"/>
          <w:sz w:val="24"/>
          <w:szCs w:val="24"/>
        </w:rPr>
        <w:t>P</w:t>
      </w:r>
      <w:r w:rsidRPr="00A725CF">
        <w:rPr>
          <w:b/>
          <w:kern w:val="28"/>
          <w:sz w:val="24"/>
          <w:szCs w:val="24"/>
        </w:rPr>
        <w:t xml:space="preserve">hosphorus </w:t>
      </w:r>
      <w:r>
        <w:rPr>
          <w:b/>
          <w:kern w:val="28"/>
          <w:sz w:val="24"/>
          <w:szCs w:val="24"/>
        </w:rPr>
        <w:t>R</w:t>
      </w:r>
      <w:r w:rsidRPr="00A725CF">
        <w:rPr>
          <w:b/>
          <w:kern w:val="28"/>
          <w:sz w:val="24"/>
          <w:szCs w:val="24"/>
        </w:rPr>
        <w:t xml:space="preserve">elease from a </w:t>
      </w:r>
      <w:r w:rsidR="00046530">
        <w:rPr>
          <w:b/>
          <w:kern w:val="28"/>
          <w:sz w:val="24"/>
          <w:szCs w:val="24"/>
        </w:rPr>
        <w:t>Fertilizer</w:t>
      </w:r>
      <w:r w:rsidRPr="00A725CF">
        <w:rPr>
          <w:b/>
          <w:kern w:val="28"/>
          <w:sz w:val="24"/>
          <w:szCs w:val="24"/>
        </w:rPr>
        <w:t xml:space="preserve"> </w:t>
      </w:r>
      <w:r>
        <w:rPr>
          <w:b/>
          <w:kern w:val="28"/>
          <w:sz w:val="24"/>
          <w:szCs w:val="24"/>
        </w:rPr>
        <w:t>P</w:t>
      </w:r>
      <w:r w:rsidRPr="00A725CF">
        <w:rPr>
          <w:b/>
          <w:kern w:val="28"/>
          <w:sz w:val="24"/>
          <w:szCs w:val="24"/>
        </w:rPr>
        <w:t xml:space="preserve">ellet and its </w:t>
      </w:r>
      <w:r>
        <w:rPr>
          <w:b/>
          <w:kern w:val="28"/>
          <w:sz w:val="24"/>
          <w:szCs w:val="24"/>
        </w:rPr>
        <w:t>M</w:t>
      </w:r>
      <w:r w:rsidRPr="00A725CF">
        <w:rPr>
          <w:b/>
          <w:kern w:val="28"/>
          <w:sz w:val="24"/>
          <w:szCs w:val="24"/>
        </w:rPr>
        <w:t xml:space="preserve">obility in </w:t>
      </w:r>
      <w:r>
        <w:rPr>
          <w:b/>
          <w:kern w:val="28"/>
          <w:sz w:val="24"/>
          <w:szCs w:val="24"/>
        </w:rPr>
        <w:t>S</w:t>
      </w:r>
      <w:r w:rsidRPr="00A725CF">
        <w:rPr>
          <w:b/>
          <w:kern w:val="28"/>
          <w:sz w:val="24"/>
          <w:szCs w:val="24"/>
        </w:rPr>
        <w:t xml:space="preserve">oil </w:t>
      </w:r>
      <w:r>
        <w:rPr>
          <w:b/>
          <w:kern w:val="28"/>
          <w:sz w:val="24"/>
          <w:szCs w:val="24"/>
        </w:rPr>
        <w:t>U</w:t>
      </w:r>
      <w:r w:rsidRPr="00A725CF">
        <w:rPr>
          <w:b/>
          <w:kern w:val="28"/>
          <w:sz w:val="24"/>
          <w:szCs w:val="24"/>
        </w:rPr>
        <w:t xml:space="preserve">sing </w:t>
      </w:r>
      <w:r>
        <w:rPr>
          <w:b/>
          <w:kern w:val="28"/>
          <w:sz w:val="24"/>
          <w:szCs w:val="24"/>
        </w:rPr>
        <w:t>M</w:t>
      </w:r>
      <w:r w:rsidRPr="00A725CF">
        <w:rPr>
          <w:b/>
          <w:kern w:val="28"/>
          <w:sz w:val="24"/>
          <w:szCs w:val="24"/>
        </w:rPr>
        <w:t>icrodialysis and X-ray Computed Tomography</w:t>
      </w:r>
    </w:p>
    <w:bookmarkEnd w:id="0"/>
    <w:p w14:paraId="77D80F72" w14:textId="73EF502F" w:rsidR="00C85DC3" w:rsidRPr="00C85DC3" w:rsidRDefault="00C85DC3" w:rsidP="00C85DC3">
      <w:pPr>
        <w:pStyle w:val="Abbreviations"/>
        <w:spacing w:line="480" w:lineRule="auto"/>
        <w:jc w:val="center"/>
        <w:rPr>
          <w:sz w:val="24"/>
          <w:szCs w:val="24"/>
        </w:rPr>
      </w:pPr>
      <w:r w:rsidRPr="00C85DC3">
        <w:rPr>
          <w:sz w:val="24"/>
          <w:szCs w:val="24"/>
        </w:rPr>
        <w:t>Chiara Petroselli*</w:t>
      </w:r>
      <w:r w:rsidRPr="00C85DC3">
        <w:rPr>
          <w:sz w:val="24"/>
          <w:szCs w:val="24"/>
          <w:vertAlign w:val="superscript"/>
        </w:rPr>
        <w:t>1</w:t>
      </w:r>
      <w:r w:rsidRPr="00C85DC3">
        <w:rPr>
          <w:sz w:val="24"/>
          <w:szCs w:val="24"/>
        </w:rPr>
        <w:t>, Katherine A. Williams*</w:t>
      </w:r>
      <w:r w:rsidRPr="00C85DC3">
        <w:rPr>
          <w:sz w:val="24"/>
          <w:szCs w:val="24"/>
          <w:vertAlign w:val="superscript"/>
        </w:rPr>
        <w:t>1</w:t>
      </w:r>
      <w:r w:rsidRPr="00C85DC3">
        <w:rPr>
          <w:sz w:val="24"/>
          <w:szCs w:val="24"/>
        </w:rPr>
        <w:t>, Arpan Ghosh</w:t>
      </w:r>
      <w:r w:rsidRPr="00C85DC3">
        <w:rPr>
          <w:sz w:val="24"/>
          <w:szCs w:val="24"/>
          <w:vertAlign w:val="superscript"/>
        </w:rPr>
        <w:t>1</w:t>
      </w:r>
      <w:r w:rsidRPr="00C85DC3">
        <w:rPr>
          <w:sz w:val="24"/>
          <w:szCs w:val="24"/>
        </w:rPr>
        <w:t>, Daniel McKay Fletcher</w:t>
      </w:r>
      <w:r w:rsidRPr="00C85DC3">
        <w:rPr>
          <w:sz w:val="24"/>
          <w:szCs w:val="24"/>
          <w:vertAlign w:val="superscript"/>
        </w:rPr>
        <w:t>1</w:t>
      </w:r>
      <w:r w:rsidRPr="00C85DC3">
        <w:rPr>
          <w:sz w:val="24"/>
          <w:szCs w:val="24"/>
        </w:rPr>
        <w:t xml:space="preserve">, </w:t>
      </w:r>
      <w:proofErr w:type="spellStart"/>
      <w:r w:rsidRPr="00C85DC3">
        <w:rPr>
          <w:sz w:val="24"/>
          <w:szCs w:val="24"/>
        </w:rPr>
        <w:t>Siul</w:t>
      </w:r>
      <w:proofErr w:type="spellEnd"/>
      <w:r w:rsidRPr="00C85DC3">
        <w:rPr>
          <w:sz w:val="24"/>
          <w:szCs w:val="24"/>
        </w:rPr>
        <w:t xml:space="preserve"> A. Ruiz</w:t>
      </w:r>
      <w:r w:rsidRPr="00C85DC3">
        <w:rPr>
          <w:sz w:val="24"/>
          <w:szCs w:val="24"/>
          <w:vertAlign w:val="superscript"/>
        </w:rPr>
        <w:t>1</w:t>
      </w:r>
      <w:r w:rsidRPr="00C85DC3">
        <w:rPr>
          <w:sz w:val="24"/>
          <w:szCs w:val="24"/>
        </w:rPr>
        <w:t xml:space="preserve">, Tiago </w:t>
      </w:r>
      <w:proofErr w:type="spellStart"/>
      <w:r w:rsidRPr="00C85DC3">
        <w:rPr>
          <w:sz w:val="24"/>
          <w:szCs w:val="24"/>
        </w:rPr>
        <w:t>Gerheim</w:t>
      </w:r>
      <w:proofErr w:type="spellEnd"/>
      <w:r w:rsidRPr="00C85DC3">
        <w:rPr>
          <w:sz w:val="24"/>
          <w:szCs w:val="24"/>
        </w:rPr>
        <w:t xml:space="preserve"> Souza Dias</w:t>
      </w:r>
      <w:r w:rsidRPr="00C85DC3">
        <w:rPr>
          <w:sz w:val="24"/>
          <w:szCs w:val="24"/>
          <w:vertAlign w:val="superscript"/>
        </w:rPr>
        <w:t>1</w:t>
      </w:r>
      <w:r w:rsidRPr="00C85DC3">
        <w:rPr>
          <w:sz w:val="24"/>
          <w:szCs w:val="24"/>
        </w:rPr>
        <w:t xml:space="preserve">, </w:t>
      </w:r>
      <w:proofErr w:type="spellStart"/>
      <w:r w:rsidRPr="00C85DC3">
        <w:rPr>
          <w:sz w:val="24"/>
          <w:szCs w:val="24"/>
        </w:rPr>
        <w:t>Callum</w:t>
      </w:r>
      <w:proofErr w:type="spellEnd"/>
      <w:r w:rsidRPr="00C85DC3">
        <w:rPr>
          <w:sz w:val="24"/>
          <w:szCs w:val="24"/>
        </w:rPr>
        <w:t xml:space="preserve"> P. Scotson</w:t>
      </w:r>
      <w:r w:rsidRPr="00C85DC3">
        <w:rPr>
          <w:sz w:val="24"/>
          <w:szCs w:val="24"/>
          <w:vertAlign w:val="superscript"/>
        </w:rPr>
        <w:t>1</w:t>
      </w:r>
      <w:r w:rsidRPr="00C85DC3">
        <w:rPr>
          <w:sz w:val="24"/>
          <w:szCs w:val="24"/>
        </w:rPr>
        <w:t xml:space="preserve">, </w:t>
      </w:r>
      <w:proofErr w:type="spellStart"/>
      <w:r w:rsidRPr="00C85DC3">
        <w:rPr>
          <w:sz w:val="24"/>
          <w:szCs w:val="24"/>
        </w:rPr>
        <w:t>Tiina</w:t>
      </w:r>
      <w:proofErr w:type="spellEnd"/>
      <w:r w:rsidRPr="00C85DC3">
        <w:rPr>
          <w:sz w:val="24"/>
          <w:szCs w:val="24"/>
        </w:rPr>
        <w:t xml:space="preserve"> Roose</w:t>
      </w:r>
      <w:r w:rsidRPr="00C85DC3">
        <w:rPr>
          <w:sz w:val="24"/>
          <w:szCs w:val="24"/>
          <w:vertAlign w:val="superscript"/>
        </w:rPr>
        <w:t>1</w:t>
      </w:r>
    </w:p>
    <w:p w14:paraId="36D57BE1" w14:textId="6ED92386" w:rsidR="00C85DC3" w:rsidRPr="00C85DC3" w:rsidRDefault="00C85DC3" w:rsidP="00C85DC3">
      <w:pPr>
        <w:pStyle w:val="Abbreviations"/>
        <w:spacing w:line="480" w:lineRule="auto"/>
        <w:rPr>
          <w:sz w:val="24"/>
          <w:szCs w:val="24"/>
        </w:rPr>
      </w:pPr>
      <w:r w:rsidRPr="00C85DC3">
        <w:rPr>
          <w:sz w:val="24"/>
          <w:szCs w:val="24"/>
          <w:vertAlign w:val="superscript"/>
        </w:rPr>
        <w:t>1</w:t>
      </w:r>
      <w:r w:rsidRPr="00C85DC3">
        <w:rPr>
          <w:sz w:val="24"/>
          <w:szCs w:val="24"/>
        </w:rPr>
        <w:t>University of Southampton, Faculty of Engineering and Physical Sciences, Southampton (UK)</w:t>
      </w:r>
    </w:p>
    <w:p w14:paraId="0ADE033D" w14:textId="60268CF1" w:rsidR="004C2298" w:rsidRPr="00E139C2" w:rsidRDefault="00C85DC3" w:rsidP="00C85DC3">
      <w:pPr>
        <w:pStyle w:val="Abbreviations"/>
        <w:spacing w:line="480" w:lineRule="auto"/>
        <w:rPr>
          <w:sz w:val="24"/>
          <w:szCs w:val="24"/>
        </w:rPr>
      </w:pPr>
      <w:r w:rsidRPr="00C85DC3">
        <w:rPr>
          <w:sz w:val="24"/>
          <w:szCs w:val="24"/>
        </w:rPr>
        <w:t>*these authors contributed equally to this study</w:t>
      </w:r>
    </w:p>
    <w:p w14:paraId="0F1FCF13" w14:textId="77777777" w:rsidR="005276C8" w:rsidRDefault="005276C8" w:rsidP="00FE38E4">
      <w:pPr>
        <w:pStyle w:val="Abbreviations"/>
        <w:spacing w:line="480" w:lineRule="auto"/>
        <w:rPr>
          <w:sz w:val="24"/>
          <w:szCs w:val="24"/>
        </w:rPr>
      </w:pPr>
    </w:p>
    <w:p w14:paraId="4ADD0D47" w14:textId="1AE64633" w:rsidR="0034015A" w:rsidRDefault="00AE1D24" w:rsidP="00FE38E4">
      <w:pPr>
        <w:pStyle w:val="Abbreviations"/>
        <w:spacing w:line="480" w:lineRule="auto"/>
        <w:rPr>
          <w:sz w:val="24"/>
          <w:szCs w:val="24"/>
        </w:rPr>
      </w:pPr>
      <w:r w:rsidRPr="00E139C2">
        <w:rPr>
          <w:sz w:val="24"/>
          <w:szCs w:val="24"/>
        </w:rPr>
        <w:t xml:space="preserve">Abbreviations: </w:t>
      </w:r>
    </w:p>
    <w:p w14:paraId="6BAED7A5" w14:textId="77777777" w:rsidR="006176B8" w:rsidRDefault="005276C8" w:rsidP="00FE38E4">
      <w:pPr>
        <w:pStyle w:val="Abbreviations"/>
        <w:spacing w:line="480" w:lineRule="auto"/>
        <w:rPr>
          <w:sz w:val="24"/>
          <w:szCs w:val="24"/>
        </w:rPr>
      </w:pPr>
      <w:r>
        <w:rPr>
          <w:sz w:val="24"/>
          <w:szCs w:val="24"/>
        </w:rPr>
        <w:lastRenderedPageBreak/>
        <w:t>ICP-MS, Inductively Coupled Plasma – Mass Spectrometry</w:t>
      </w:r>
    </w:p>
    <w:p w14:paraId="13BB6BC2" w14:textId="5D6979A7" w:rsidR="0034015A" w:rsidRDefault="0034015A" w:rsidP="00FE38E4">
      <w:pPr>
        <w:pStyle w:val="Abbreviations"/>
        <w:spacing w:line="480" w:lineRule="auto"/>
        <w:rPr>
          <w:sz w:val="24"/>
          <w:szCs w:val="24"/>
        </w:rPr>
      </w:pPr>
      <w:r>
        <w:rPr>
          <w:sz w:val="24"/>
          <w:szCs w:val="24"/>
        </w:rPr>
        <w:t>MD, Microdialysis</w:t>
      </w:r>
    </w:p>
    <w:p w14:paraId="62A1B6CB" w14:textId="7E2058FE" w:rsidR="005276C8" w:rsidRDefault="005276C8" w:rsidP="00FE38E4">
      <w:pPr>
        <w:pStyle w:val="Abbreviations"/>
        <w:spacing w:line="480" w:lineRule="auto"/>
        <w:rPr>
          <w:sz w:val="24"/>
          <w:szCs w:val="24"/>
        </w:rPr>
      </w:pPr>
      <w:r>
        <w:rPr>
          <w:sz w:val="24"/>
          <w:szCs w:val="24"/>
        </w:rPr>
        <w:t>RR, Relative Recovery Rates</w:t>
      </w:r>
    </w:p>
    <w:p w14:paraId="5E6812A2" w14:textId="0503174E" w:rsidR="0034015A" w:rsidRDefault="0034015A" w:rsidP="00FE38E4">
      <w:pPr>
        <w:pStyle w:val="Abbreviations"/>
        <w:spacing w:line="480" w:lineRule="auto"/>
        <w:rPr>
          <w:sz w:val="24"/>
          <w:szCs w:val="24"/>
        </w:rPr>
      </w:pPr>
      <w:r>
        <w:rPr>
          <w:sz w:val="24"/>
          <w:szCs w:val="24"/>
        </w:rPr>
        <w:t>SC, Suction Cups</w:t>
      </w:r>
    </w:p>
    <w:p w14:paraId="40291319" w14:textId="2BD94BA2" w:rsidR="005276C8" w:rsidRDefault="005276C8" w:rsidP="00FE38E4">
      <w:pPr>
        <w:pStyle w:val="Abbreviations"/>
        <w:spacing w:line="480" w:lineRule="auto"/>
        <w:rPr>
          <w:sz w:val="24"/>
          <w:szCs w:val="24"/>
        </w:rPr>
      </w:pPr>
      <w:r>
        <w:rPr>
          <w:sz w:val="24"/>
          <w:szCs w:val="24"/>
        </w:rPr>
        <w:t>TSP, Triple Super Phosphate</w:t>
      </w:r>
    </w:p>
    <w:p w14:paraId="04EC80BB" w14:textId="30B045BE" w:rsidR="0034015A" w:rsidRDefault="0034015A" w:rsidP="00FE38E4">
      <w:pPr>
        <w:pStyle w:val="Abbreviations"/>
        <w:spacing w:line="480" w:lineRule="auto"/>
        <w:rPr>
          <w:sz w:val="24"/>
          <w:szCs w:val="24"/>
        </w:rPr>
      </w:pPr>
      <w:r>
        <w:rPr>
          <w:sz w:val="24"/>
          <w:szCs w:val="24"/>
        </w:rPr>
        <w:t>XCT, X-ray Computed Tomography</w:t>
      </w:r>
    </w:p>
    <w:p w14:paraId="757068A8" w14:textId="77777777" w:rsidR="00046530" w:rsidRDefault="00046530" w:rsidP="00FE38E4">
      <w:pPr>
        <w:pStyle w:val="Abbreviations"/>
        <w:spacing w:line="480" w:lineRule="auto"/>
        <w:rPr>
          <w:sz w:val="24"/>
          <w:szCs w:val="24"/>
        </w:rPr>
      </w:pPr>
    </w:p>
    <w:p w14:paraId="5E042F32" w14:textId="77777777" w:rsidR="00FE38E4" w:rsidRPr="00E139C2" w:rsidRDefault="00AE1D24" w:rsidP="00FE38E4">
      <w:pPr>
        <w:pStyle w:val="AbstractTitle"/>
        <w:spacing w:line="480" w:lineRule="auto"/>
        <w:rPr>
          <w:sz w:val="24"/>
          <w:szCs w:val="24"/>
        </w:rPr>
      </w:pPr>
      <w:r w:rsidRPr="00E139C2">
        <w:rPr>
          <w:sz w:val="24"/>
          <w:szCs w:val="24"/>
        </w:rPr>
        <w:t>Abstract</w:t>
      </w:r>
    </w:p>
    <w:p w14:paraId="2F710760" w14:textId="7785F7D6" w:rsidR="00FB5D20" w:rsidRPr="00C85DC3" w:rsidRDefault="00A725CF" w:rsidP="00FB5D20">
      <w:pPr>
        <w:pStyle w:val="H1"/>
        <w:spacing w:line="480" w:lineRule="auto"/>
        <w:jc w:val="left"/>
        <w:rPr>
          <w:b w:val="0"/>
          <w:caps w:val="0"/>
          <w:kern w:val="0"/>
          <w:sz w:val="24"/>
          <w:szCs w:val="24"/>
        </w:rPr>
      </w:pPr>
      <w:r w:rsidRPr="00C85DC3">
        <w:rPr>
          <w:b w:val="0"/>
          <w:caps w:val="0"/>
          <w:kern w:val="0"/>
          <w:sz w:val="24"/>
          <w:szCs w:val="24"/>
        </w:rPr>
        <w:t xml:space="preserve">Phosphorus (P) is an essential nutrient for crops and precise spatiotemporal application of P </w:t>
      </w:r>
      <w:r w:rsidR="00046530" w:rsidRPr="00C85DC3">
        <w:rPr>
          <w:b w:val="0"/>
          <w:caps w:val="0"/>
          <w:kern w:val="0"/>
          <w:sz w:val="24"/>
          <w:szCs w:val="24"/>
        </w:rPr>
        <w:t>fertilizer</w:t>
      </w:r>
      <w:r w:rsidRPr="00C85DC3">
        <w:rPr>
          <w:b w:val="0"/>
          <w:caps w:val="0"/>
          <w:kern w:val="0"/>
          <w:sz w:val="24"/>
          <w:szCs w:val="24"/>
        </w:rPr>
        <w:t xml:space="preserve"> can improve </w:t>
      </w:r>
      <w:r w:rsidR="00041ECD" w:rsidRPr="00C85DC3">
        <w:rPr>
          <w:b w:val="0"/>
          <w:caps w:val="0"/>
          <w:kern w:val="0"/>
          <w:sz w:val="24"/>
          <w:szCs w:val="24"/>
        </w:rPr>
        <w:t xml:space="preserve">plant </w:t>
      </w:r>
      <w:r w:rsidRPr="00C85DC3">
        <w:rPr>
          <w:b w:val="0"/>
          <w:caps w:val="0"/>
          <w:kern w:val="0"/>
          <w:sz w:val="24"/>
          <w:szCs w:val="24"/>
        </w:rPr>
        <w:t xml:space="preserve">P </w:t>
      </w:r>
      <w:r w:rsidR="00041ECD" w:rsidRPr="00C85DC3">
        <w:rPr>
          <w:b w:val="0"/>
          <w:caps w:val="0"/>
          <w:kern w:val="0"/>
          <w:sz w:val="24"/>
          <w:szCs w:val="24"/>
        </w:rPr>
        <w:t>acquisition</w:t>
      </w:r>
      <w:r w:rsidRPr="00C85DC3">
        <w:rPr>
          <w:b w:val="0"/>
          <w:caps w:val="0"/>
          <w:kern w:val="0"/>
          <w:sz w:val="24"/>
          <w:szCs w:val="24"/>
        </w:rPr>
        <w:t xml:space="preserve"> and reduce</w:t>
      </w:r>
      <w:r w:rsidR="00B20E35" w:rsidRPr="00C85DC3">
        <w:rPr>
          <w:b w:val="0"/>
          <w:caps w:val="0"/>
          <w:kern w:val="0"/>
          <w:sz w:val="24"/>
          <w:szCs w:val="24"/>
        </w:rPr>
        <w:t xml:space="preserve"> run-off losses of</w:t>
      </w:r>
      <w:r w:rsidRPr="00C85DC3">
        <w:rPr>
          <w:b w:val="0"/>
          <w:caps w:val="0"/>
          <w:kern w:val="0"/>
          <w:sz w:val="24"/>
          <w:szCs w:val="24"/>
        </w:rPr>
        <w:t xml:space="preserve"> </w:t>
      </w:r>
      <w:r w:rsidR="00041ECD" w:rsidRPr="00C85DC3">
        <w:rPr>
          <w:b w:val="0"/>
          <w:caps w:val="0"/>
          <w:kern w:val="0"/>
          <w:sz w:val="24"/>
          <w:szCs w:val="24"/>
        </w:rPr>
        <w:t>P</w:t>
      </w:r>
      <w:r w:rsidRPr="00C85DC3">
        <w:rPr>
          <w:b w:val="0"/>
          <w:caps w:val="0"/>
          <w:kern w:val="0"/>
          <w:sz w:val="24"/>
          <w:szCs w:val="24"/>
        </w:rPr>
        <w:t xml:space="preserve">. </w:t>
      </w:r>
      <w:r w:rsidR="00B20E35" w:rsidRPr="00C85DC3">
        <w:rPr>
          <w:b w:val="0"/>
          <w:caps w:val="0"/>
          <w:kern w:val="0"/>
          <w:sz w:val="24"/>
          <w:szCs w:val="24"/>
        </w:rPr>
        <w:t xml:space="preserve">Optimizing application would benefit from understanding the dynamics of P release from a fertilizer pellet into bulk soil, which requires space and time-resolved measurements of P concentration in soil solution. </w:t>
      </w:r>
      <w:r w:rsidR="00041ECD" w:rsidRPr="00C85DC3">
        <w:rPr>
          <w:b w:val="0"/>
          <w:caps w:val="0"/>
          <w:kern w:val="0"/>
          <w:sz w:val="24"/>
          <w:szCs w:val="24"/>
        </w:rPr>
        <w:t xml:space="preserve">In this study, we combined microdialysis and X-ray Computed Tomography to investigate P transport in soil. </w:t>
      </w:r>
      <w:r w:rsidRPr="00C85DC3">
        <w:rPr>
          <w:b w:val="0"/>
          <w:caps w:val="0"/>
          <w:kern w:val="0"/>
          <w:sz w:val="24"/>
          <w:szCs w:val="24"/>
        </w:rPr>
        <w:t xml:space="preserve">Microdialysis probes enable repeated solute sampling from one location with minimal physical disturbance, and their small dimensions permit </w:t>
      </w:r>
      <w:proofErr w:type="gramStart"/>
      <w:r w:rsidRPr="00C85DC3">
        <w:rPr>
          <w:b w:val="0"/>
          <w:caps w:val="0"/>
          <w:kern w:val="0"/>
          <w:sz w:val="24"/>
          <w:szCs w:val="24"/>
        </w:rPr>
        <w:t>spatially-resolved</w:t>
      </w:r>
      <w:proofErr w:type="gramEnd"/>
      <w:r w:rsidRPr="00C85DC3">
        <w:rPr>
          <w:b w:val="0"/>
          <w:caps w:val="0"/>
          <w:kern w:val="0"/>
          <w:sz w:val="24"/>
          <w:szCs w:val="24"/>
        </w:rPr>
        <w:t xml:space="preserve"> monitoring. We observed a rapid initial release of P from the source, producing high dissolved P concentrations within the first 24 hours, followed by a decrease in dissolved P over time compatible with adsorption onto soil particles. </w:t>
      </w:r>
      <w:r w:rsidR="00041ECD" w:rsidRPr="00C85DC3">
        <w:rPr>
          <w:b w:val="0"/>
          <w:caps w:val="0"/>
          <w:kern w:val="0"/>
          <w:sz w:val="24"/>
          <w:szCs w:val="24"/>
        </w:rPr>
        <w:t xml:space="preserve">Soils with greater </w:t>
      </w:r>
      <w:r w:rsidRPr="00C85DC3">
        <w:rPr>
          <w:b w:val="0"/>
          <w:caps w:val="0"/>
          <w:kern w:val="0"/>
          <w:sz w:val="24"/>
          <w:szCs w:val="24"/>
        </w:rPr>
        <w:t>bulk density</w:t>
      </w:r>
      <w:r w:rsidR="00C9339F" w:rsidRPr="00C85DC3">
        <w:rPr>
          <w:b w:val="0"/>
          <w:caps w:val="0"/>
          <w:kern w:val="0"/>
          <w:sz w:val="24"/>
          <w:szCs w:val="24"/>
        </w:rPr>
        <w:t xml:space="preserve"> </w:t>
      </w:r>
      <w:r w:rsidR="00041ECD" w:rsidRPr="00C85DC3">
        <w:rPr>
          <w:b w:val="0"/>
          <w:caps w:val="0"/>
          <w:kern w:val="0"/>
          <w:sz w:val="24"/>
          <w:szCs w:val="24"/>
        </w:rPr>
        <w:t>(</w:t>
      </w:r>
      <w:r w:rsidR="00041ECD" w:rsidRPr="00C85DC3">
        <w:rPr>
          <w:b w:val="0"/>
          <w:i/>
          <w:caps w:val="0"/>
          <w:kern w:val="0"/>
          <w:sz w:val="24"/>
          <w:szCs w:val="24"/>
        </w:rPr>
        <w:t>i.e.</w:t>
      </w:r>
      <w:r w:rsidRPr="00C85DC3">
        <w:rPr>
          <w:b w:val="0"/>
          <w:caps w:val="0"/>
          <w:kern w:val="0"/>
          <w:sz w:val="24"/>
          <w:szCs w:val="24"/>
        </w:rPr>
        <w:t xml:space="preserve"> reduced soil porosity</w:t>
      </w:r>
      <w:r w:rsidR="00041ECD" w:rsidRPr="00C85DC3">
        <w:rPr>
          <w:b w:val="0"/>
          <w:caps w:val="0"/>
          <w:kern w:val="0"/>
          <w:sz w:val="24"/>
          <w:szCs w:val="24"/>
        </w:rPr>
        <w:t>)</w:t>
      </w:r>
      <w:r w:rsidRPr="00C85DC3">
        <w:rPr>
          <w:b w:val="0"/>
          <w:caps w:val="0"/>
          <w:kern w:val="0"/>
          <w:sz w:val="24"/>
          <w:szCs w:val="24"/>
        </w:rPr>
        <w:t xml:space="preserve"> </w:t>
      </w:r>
      <w:r w:rsidR="00E64100" w:rsidRPr="00C85DC3">
        <w:rPr>
          <w:b w:val="0"/>
          <w:caps w:val="0"/>
          <w:kern w:val="0"/>
          <w:sz w:val="24"/>
          <w:szCs w:val="24"/>
        </w:rPr>
        <w:t xml:space="preserve">impeded </w:t>
      </w:r>
      <w:r w:rsidRPr="00C85DC3">
        <w:rPr>
          <w:b w:val="0"/>
          <w:caps w:val="0"/>
          <w:kern w:val="0"/>
          <w:sz w:val="24"/>
          <w:szCs w:val="24"/>
        </w:rPr>
        <w:t>the P pulse movement</w:t>
      </w:r>
      <w:r w:rsidR="00E64100" w:rsidRPr="00C85DC3">
        <w:rPr>
          <w:b w:val="0"/>
          <w:caps w:val="0"/>
          <w:kern w:val="0"/>
          <w:sz w:val="24"/>
          <w:szCs w:val="24"/>
        </w:rPr>
        <w:t>, which resulted in</w:t>
      </w:r>
      <w:r w:rsidRPr="00C85DC3">
        <w:rPr>
          <w:b w:val="0"/>
          <w:caps w:val="0"/>
          <w:kern w:val="0"/>
          <w:sz w:val="24"/>
          <w:szCs w:val="24"/>
        </w:rPr>
        <w:t xml:space="preserve"> a less homogeneous distribution of total P in the soil column at the end of the experiment. Model fit to the data showed that the observed phenomena can be explained with diffusion and adsorption. </w:t>
      </w:r>
      <w:r w:rsidR="000C4226" w:rsidRPr="00C85DC3">
        <w:rPr>
          <w:b w:val="0"/>
          <w:caps w:val="0"/>
          <w:kern w:val="0"/>
          <w:sz w:val="24"/>
          <w:szCs w:val="24"/>
        </w:rPr>
        <w:t xml:space="preserve"> Results showed that compared with </w:t>
      </w:r>
      <w:r w:rsidR="000C4226" w:rsidRPr="00C85DC3">
        <w:rPr>
          <w:b w:val="0"/>
          <w:caps w:val="0"/>
          <w:kern w:val="0"/>
          <w:sz w:val="24"/>
          <w:szCs w:val="24"/>
        </w:rPr>
        <w:lastRenderedPageBreak/>
        <w:t>conventional measurement techniques (</w:t>
      </w:r>
      <w:r w:rsidR="000C4226" w:rsidRPr="00C85DC3">
        <w:rPr>
          <w:b w:val="0"/>
          <w:i/>
          <w:caps w:val="0"/>
          <w:kern w:val="0"/>
          <w:sz w:val="24"/>
          <w:szCs w:val="24"/>
        </w:rPr>
        <w:t>e.g.</w:t>
      </w:r>
      <w:r w:rsidR="000C4226" w:rsidRPr="00C85DC3">
        <w:rPr>
          <w:b w:val="0"/>
          <w:caps w:val="0"/>
          <w:kern w:val="0"/>
          <w:sz w:val="24"/>
          <w:szCs w:val="24"/>
        </w:rPr>
        <w:t xml:space="preserve"> suction cups), microdialysis </w:t>
      </w:r>
      <w:r w:rsidR="001B293C" w:rsidRPr="00C85DC3">
        <w:rPr>
          <w:b w:val="0"/>
          <w:caps w:val="0"/>
          <w:kern w:val="0"/>
          <w:sz w:val="24"/>
          <w:szCs w:val="24"/>
        </w:rPr>
        <w:t>measurements present a less invasive alternative.</w:t>
      </w:r>
      <w:r w:rsidR="008910AC" w:rsidRPr="00C85DC3">
        <w:rPr>
          <w:b w:val="0"/>
          <w:caps w:val="0"/>
          <w:kern w:val="0"/>
          <w:sz w:val="24"/>
          <w:szCs w:val="24"/>
        </w:rPr>
        <w:t xml:space="preserve"> The time resolved measurements ultimately highlight rapid P dynamics that require more attention for improving P use efficiency. </w:t>
      </w:r>
      <w:r w:rsidR="00FB5D20" w:rsidRPr="00C85DC3">
        <w:rPr>
          <w:sz w:val="24"/>
          <w:szCs w:val="24"/>
        </w:rPr>
        <w:br w:type="page"/>
      </w:r>
    </w:p>
    <w:p w14:paraId="70FE1CB5" w14:textId="034CAC0C" w:rsidR="00AE1D24" w:rsidRPr="00C85DC3" w:rsidRDefault="00AE1D24" w:rsidP="00FE38E4">
      <w:pPr>
        <w:pStyle w:val="H1"/>
        <w:spacing w:line="480" w:lineRule="auto"/>
        <w:rPr>
          <w:sz w:val="24"/>
          <w:szCs w:val="24"/>
        </w:rPr>
      </w:pPr>
      <w:r w:rsidRPr="00C85DC3">
        <w:rPr>
          <w:sz w:val="24"/>
          <w:szCs w:val="24"/>
        </w:rPr>
        <w:lastRenderedPageBreak/>
        <w:t>Introduction</w:t>
      </w:r>
    </w:p>
    <w:p w14:paraId="37AC30A0" w14:textId="746C6545" w:rsidR="00A725CF" w:rsidRPr="00C85DC3" w:rsidRDefault="00A725CF" w:rsidP="00A725CF">
      <w:pPr>
        <w:pStyle w:val="ParaText"/>
        <w:spacing w:line="480" w:lineRule="auto"/>
        <w:rPr>
          <w:szCs w:val="24"/>
        </w:rPr>
      </w:pPr>
      <w:r w:rsidRPr="00C85DC3">
        <w:rPr>
          <w:szCs w:val="24"/>
        </w:rPr>
        <w:t xml:space="preserve">Phosphorus is one of the major limiting nutrients for crop yields </w:t>
      </w:r>
      <w:r w:rsidR="004F47EF" w:rsidRPr="00C85DC3">
        <w:rPr>
          <w:szCs w:val="24"/>
        </w:rPr>
        <w:fldChar w:fldCharType="begin"/>
      </w:r>
      <w:r w:rsidR="00820A36" w:rsidRPr="00C85DC3">
        <w:rPr>
          <w:szCs w:val="24"/>
        </w:rPr>
        <w:instrText xml:space="preserve"> ADDIN EN.CITE &lt;EndNote&gt;&lt;Cite&gt;&lt;Author&gt;Shen&lt;/Author&gt;&lt;Year&gt;2011&lt;/Year&gt;&lt;RecNum&gt;228&lt;/RecNum&gt;&lt;DisplayText&gt;(Shen, Yuan et al. 2011)&lt;/DisplayText&gt;&lt;record&gt;&lt;rec-number&gt;228&lt;/rec-number&gt;&lt;foreign-keys&gt;&lt;key app="EN" db-id="s52dvfwe4ets06ezr9nxref1rfr2ddwraees" timestamp="1585234875"&gt;228&lt;/key&gt;&lt;/foreign-keys&gt;&lt;ref-type name="Journal Article"&gt;17&lt;/ref-type&gt;&lt;contributors&gt;&lt;authors&gt;&lt;author&gt;Shen, J.&lt;/author&gt;&lt;author&gt;Yuan, L.&lt;/author&gt;&lt;author&gt;Zhang, J.&lt;/author&gt;&lt;author&gt;Li, H.&lt;/author&gt;&lt;author&gt;Bai, Z.&lt;/author&gt;&lt;author&gt;Chen, X.&lt;/author&gt;&lt;author&gt;Zhang, W.&lt;/author&gt;&lt;author&gt;Zhang, F.&lt;/author&gt;&lt;/authors&gt;&lt;/contributors&gt;&lt;auth-address&gt;Department of Plant Nutrition, Key Laboratory of Plant-Soil Interactions, Ministry of Education, China Agricultural University, Beijing 100193, China.&lt;/auth-address&gt;&lt;titles&gt;&lt;title&gt;Phosphorus dynamics: from soil to plant&lt;/title&gt;&lt;secondary-title&gt;Plant Physiol&lt;/secondary-title&gt;&lt;/titles&gt;&lt;periodical&gt;&lt;full-title&gt;Plant Physiol&lt;/full-title&gt;&lt;abbr-1&gt;Plant physiology&lt;/abbr-1&gt;&lt;/periodical&gt;&lt;pages&gt;997-1005&lt;/pages&gt;&lt;volume&gt;156&lt;/volume&gt;&lt;number&gt;3&lt;/number&gt;&lt;edition&gt;2011/05/17&lt;/edition&gt;&lt;keywords&gt;&lt;keyword&gt;Phosphorus/*metabolism&lt;/keyword&gt;&lt;keyword&gt;Plants/*metabolism&lt;/keyword&gt;&lt;keyword&gt;Rhizosphere&lt;/keyword&gt;&lt;keyword&gt;Soil/*chemistry&lt;/keyword&gt;&lt;/keywords&gt;&lt;dates&gt;&lt;year&gt;2011&lt;/year&gt;&lt;pub-dates&gt;&lt;date&gt;Jul&lt;/date&gt;&lt;/pub-dates&gt;&lt;/dates&gt;&lt;isbn&gt;1532-2548 (Electronic)&amp;#xD;0032-0889 (Linking)&lt;/isbn&gt;&lt;accession-num&gt;21571668&lt;/accession-num&gt;&lt;urls&gt;&lt;related-urls&gt;&lt;url&gt;https://www.ncbi.nlm.nih.gov/pubmed/21571668&lt;/url&gt;&lt;/related-urls&gt;&lt;/urls&gt;&lt;custom2&gt;PMC3135930&lt;/custom2&gt;&lt;electronic-resource-num&gt;10.1104/pp.111.175232&lt;/electronic-resource-num&gt;&lt;/record&gt;&lt;/Cite&gt;&lt;/EndNote&gt;</w:instrText>
      </w:r>
      <w:r w:rsidR="004F47EF" w:rsidRPr="00C85DC3">
        <w:rPr>
          <w:szCs w:val="24"/>
        </w:rPr>
        <w:fldChar w:fldCharType="separate"/>
      </w:r>
      <w:r w:rsidR="000E3868" w:rsidRPr="00C85DC3">
        <w:rPr>
          <w:noProof/>
          <w:szCs w:val="24"/>
        </w:rPr>
        <w:t>(Shen, Yuan et al. 2011)</w:t>
      </w:r>
      <w:r w:rsidR="004F47EF" w:rsidRPr="00C85DC3">
        <w:rPr>
          <w:szCs w:val="24"/>
        </w:rPr>
        <w:fldChar w:fldCharType="end"/>
      </w:r>
      <w:r w:rsidR="004F47EF" w:rsidRPr="00C85DC3">
        <w:rPr>
          <w:szCs w:val="24"/>
        </w:rPr>
        <w:t xml:space="preserve"> </w:t>
      </w:r>
      <w:r w:rsidRPr="00C85DC3">
        <w:rPr>
          <w:szCs w:val="24"/>
        </w:rPr>
        <w:t xml:space="preserve">and global food production relies on </w:t>
      </w:r>
      <w:r w:rsidR="00046530" w:rsidRPr="00C85DC3">
        <w:rPr>
          <w:szCs w:val="24"/>
        </w:rPr>
        <w:t>fertilizer</w:t>
      </w:r>
      <w:r w:rsidRPr="00C85DC3">
        <w:rPr>
          <w:szCs w:val="24"/>
        </w:rPr>
        <w:t xml:space="preserve"> application </w:t>
      </w:r>
      <w:r w:rsidR="004F47EF" w:rsidRPr="00C85DC3">
        <w:rPr>
          <w:szCs w:val="24"/>
        </w:rPr>
        <w:fldChar w:fldCharType="begin"/>
      </w:r>
      <w:r w:rsidR="002A1395" w:rsidRPr="00C85DC3">
        <w:rPr>
          <w:szCs w:val="24"/>
        </w:rPr>
        <w:instrText xml:space="preserve"> ADDIN EN.CITE &lt;EndNote&gt;&lt;Cite&gt;&lt;Author&gt;Ashley&lt;/Author&gt;&lt;Year&gt;2011&lt;/Year&gt;&lt;RecNum&gt;1&lt;/RecNum&gt;&lt;DisplayText&gt;(Ashley, Cordell et al. 2011)&lt;/DisplayText&gt;&lt;record&gt;&lt;rec-number&gt;1&lt;/rec-number&gt;&lt;foreign-keys&gt;&lt;key app="EN" db-id="e0pf0dz95w2e2qesp0ev9tvwdse5fap0eprw" timestamp="1588583549"&gt;1&lt;/key&gt;&lt;key app="ENWeb" db-id=""&gt;0&lt;/key&gt;&lt;/foreign-keys&gt;&lt;ref-type name="Journal Article"&gt;17&lt;/ref-type&gt;&lt;contributors&gt;&lt;authors&gt;&lt;author&gt;Ashley, K.&lt;/author&gt;&lt;author&gt;Cordell, D.&lt;/author&gt;&lt;author&gt;Mavinic, D.&lt;/author&gt;&lt;/authors&gt;&lt;/contributors&gt;&lt;auth-address&gt;Department of Civil Engineering, Faculty of Applied Science, University of British Columbia, 6250 Applied Science Lane, Vancouver, BC, Canada V6T 1Z4. ken.ashley@shaw.ca&lt;/auth-address&gt;&lt;titles&gt;&lt;title&gt;A brief history of phosphorus: from the philosopher&amp;apos;s stone to nutrient recovery and reuse&lt;/title&gt;&lt;secondary-title&gt;Chemosphere&lt;/secondary-title&gt;&lt;/titles&gt;&lt;periodical&gt;&lt;full-title&gt;Chemosphere&lt;/full-title&gt;&lt;/periodical&gt;&lt;pages&gt;737-46&lt;/pages&gt;&lt;volume&gt;84&lt;/volume&gt;&lt;number&gt;6&lt;/number&gt;&lt;edition&gt;2011/04/13&lt;/edition&gt;&lt;keywords&gt;&lt;keyword&gt;Alchemy&lt;/keyword&gt;&lt;keyword&gt;Ecological and Environmental Phenomena&lt;/keyword&gt;&lt;keyword&gt;Environmental Pollutants/history&lt;/keyword&gt;&lt;keyword&gt;History, 17th Century&lt;/keyword&gt;&lt;keyword&gt;History, 18th Century&lt;/keyword&gt;&lt;keyword&gt;History, 19th Century&lt;/keyword&gt;&lt;keyword&gt;History, 20th Century&lt;/keyword&gt;&lt;keyword&gt;Humans&lt;/keyword&gt;&lt;keyword&gt;Phosphorus/*history&lt;/keyword&gt;&lt;keyword&gt;Recycling&lt;/keyword&gt;&lt;/keywords&gt;&lt;dates&gt;&lt;year&gt;2011&lt;/year&gt;&lt;pub-dates&gt;&lt;date&gt;Aug&lt;/date&gt;&lt;/pub-dates&gt;&lt;/dates&gt;&lt;isbn&gt;1879-1298 (Electronic)&amp;#xD;0045-6535 (Linking)&lt;/isbn&gt;&lt;accession-num&gt;21481914&lt;/accession-num&gt;&lt;urls&gt;&lt;related-urls&gt;&lt;url&gt;https://www.ncbi.nlm.nih.gov/pubmed/21481914&lt;/url&gt;&lt;/related-urls&gt;&lt;/urls&gt;&lt;electronic-resource-num&gt;10.1016/j.chemosphere.2011.03.001&lt;/electronic-resource-num&gt;&lt;/record&gt;&lt;/Cite&gt;&lt;/EndNote&gt;</w:instrText>
      </w:r>
      <w:r w:rsidR="004F47EF" w:rsidRPr="00C85DC3">
        <w:rPr>
          <w:szCs w:val="24"/>
        </w:rPr>
        <w:fldChar w:fldCharType="separate"/>
      </w:r>
      <w:r w:rsidR="000E3868" w:rsidRPr="00C85DC3">
        <w:rPr>
          <w:noProof/>
          <w:szCs w:val="24"/>
        </w:rPr>
        <w:t>(Ashley, Cordell et al. 2011)</w:t>
      </w:r>
      <w:r w:rsidR="004F47EF" w:rsidRPr="00C85DC3">
        <w:rPr>
          <w:szCs w:val="24"/>
        </w:rPr>
        <w:fldChar w:fldCharType="end"/>
      </w:r>
      <w:r w:rsidRPr="00C85DC3">
        <w:rPr>
          <w:szCs w:val="24"/>
        </w:rPr>
        <w:t xml:space="preserve">. The most widely used </w:t>
      </w:r>
      <w:r w:rsidR="0013252F" w:rsidRPr="00C85DC3">
        <w:rPr>
          <w:szCs w:val="24"/>
        </w:rPr>
        <w:t xml:space="preserve">source for </w:t>
      </w:r>
      <w:r w:rsidR="003C15D9" w:rsidRPr="00C85DC3">
        <w:rPr>
          <w:szCs w:val="24"/>
        </w:rPr>
        <w:t xml:space="preserve">producing </w:t>
      </w:r>
      <w:r w:rsidRPr="00C85DC3">
        <w:rPr>
          <w:szCs w:val="24"/>
        </w:rPr>
        <w:t xml:space="preserve">phosphorus </w:t>
      </w:r>
      <w:r w:rsidR="00046530" w:rsidRPr="00C85DC3">
        <w:rPr>
          <w:szCs w:val="24"/>
        </w:rPr>
        <w:t>fertilizer</w:t>
      </w:r>
      <w:r w:rsidR="0013252F" w:rsidRPr="00C85DC3">
        <w:rPr>
          <w:szCs w:val="24"/>
        </w:rPr>
        <w:t xml:space="preserve"> </w:t>
      </w:r>
      <w:r w:rsidRPr="00C85DC3">
        <w:rPr>
          <w:szCs w:val="24"/>
        </w:rPr>
        <w:t xml:space="preserve">is rock phosphate </w:t>
      </w:r>
      <w:r w:rsidR="003C15D9" w:rsidRPr="00C85DC3">
        <w:rPr>
          <w:szCs w:val="24"/>
        </w:rPr>
        <w:fldChar w:fldCharType="begin"/>
      </w:r>
      <w:r w:rsidR="003C15D9" w:rsidRPr="00C85DC3">
        <w:rPr>
          <w:szCs w:val="24"/>
        </w:rPr>
        <w:instrText xml:space="preserve"> ADDIN EN.CITE &lt;EndNote&gt;&lt;Cite&gt;&lt;Author&gt;Smil&lt;/Author&gt;&lt;Year&gt;2000&lt;/Year&gt;&lt;RecNum&gt;29&lt;/RecNum&gt;&lt;DisplayText&gt;(Smil 2000)&lt;/DisplayText&gt;&lt;record&gt;&lt;rec-number&gt;29&lt;/rec-number&gt;&lt;foreign-keys&gt;&lt;key app="EN" db-id="e0pf0dz95w2e2qesp0ev9tvwdse5fap0eprw" timestamp="1588584824"&gt;29&lt;/key&gt;&lt;/foreign-keys&gt;&lt;ref-type name="Journal Article"&gt;17&lt;/ref-type&gt;&lt;contributors&gt;&lt;authors&gt;&lt;author&gt;Smil, Vaclav&lt;/author&gt;&lt;/authors&gt;&lt;/contributors&gt;&lt;titles&gt;&lt;title&gt;Phosphorus in the environment: natural flows and human interferences&lt;/title&gt;&lt;secondary-title&gt;Annual review of energy and the environment&lt;/secondary-title&gt;&lt;/titles&gt;&lt;periodical&gt;&lt;full-title&gt;Annual review of energy and the environment&lt;/full-title&gt;&lt;/periodical&gt;&lt;pages&gt;53-88&lt;/pages&gt;&lt;volume&gt;25&lt;/volume&gt;&lt;number&gt;1&lt;/number&gt;&lt;dates&gt;&lt;year&gt;2000&lt;/year&gt;&lt;/dates&gt;&lt;isbn&gt;1056-3466&lt;/isbn&gt;&lt;urls&gt;&lt;/urls&gt;&lt;/record&gt;&lt;/Cite&gt;&lt;/EndNote&gt;</w:instrText>
      </w:r>
      <w:r w:rsidR="003C15D9" w:rsidRPr="00C85DC3">
        <w:rPr>
          <w:szCs w:val="24"/>
        </w:rPr>
        <w:fldChar w:fldCharType="separate"/>
      </w:r>
      <w:r w:rsidR="003C15D9" w:rsidRPr="00C85DC3">
        <w:rPr>
          <w:noProof/>
          <w:szCs w:val="24"/>
        </w:rPr>
        <w:t>(Smil 2000)</w:t>
      </w:r>
      <w:r w:rsidR="003C15D9" w:rsidRPr="00C85DC3">
        <w:rPr>
          <w:szCs w:val="24"/>
        </w:rPr>
        <w:fldChar w:fldCharType="end"/>
      </w:r>
      <w:r w:rsidR="003C15D9" w:rsidRPr="00C85DC3">
        <w:rPr>
          <w:szCs w:val="24"/>
        </w:rPr>
        <w:t>. However,  the</w:t>
      </w:r>
      <w:r w:rsidRPr="00C85DC3">
        <w:rPr>
          <w:szCs w:val="24"/>
        </w:rPr>
        <w:t xml:space="preserve"> global reserves of</w:t>
      </w:r>
      <w:r w:rsidR="003C15D9" w:rsidRPr="00C85DC3">
        <w:rPr>
          <w:szCs w:val="24"/>
        </w:rPr>
        <w:t xml:space="preserve"> this is a non-renewable resource</w:t>
      </w:r>
      <w:r w:rsidRPr="00C85DC3">
        <w:rPr>
          <w:szCs w:val="24"/>
        </w:rPr>
        <w:t xml:space="preserve"> could run out in less than 100 years </w:t>
      </w:r>
      <w:r w:rsidR="004F47EF" w:rsidRPr="00C85DC3">
        <w:rPr>
          <w:szCs w:val="24"/>
        </w:rPr>
        <w:fldChar w:fldCharType="begin"/>
      </w:r>
      <w:r w:rsidR="002A1395" w:rsidRPr="00C85DC3">
        <w:rPr>
          <w:szCs w:val="24"/>
        </w:rPr>
        <w:instrText xml:space="preserve"> ADDIN EN.CITE &lt;EndNote&gt;&lt;Cite&gt;&lt;Author&gt;Cordell&lt;/Author&gt;&lt;Year&gt;2009&lt;/Year&gt;&lt;RecNum&gt;3&lt;/RecNum&gt;&lt;DisplayText&gt;(Cordell, Drangert et al. 2009)&lt;/DisplayText&gt;&lt;record&gt;&lt;rec-number&gt;3&lt;/rec-number&gt;&lt;foreign-keys&gt;&lt;key app="EN" db-id="e0pf0dz95w2e2qesp0ev9tvwdse5fap0eprw" timestamp="1588583608"&gt;3&lt;/key&gt;&lt;key app="ENWeb" db-id=""&gt;0&lt;/key&gt;&lt;/foreign-keys&gt;&lt;ref-type name="Journal Article"&gt;17&lt;/ref-type&gt;&lt;contributors&gt;&lt;authors&gt;&lt;author&gt;Cordell, Dana&lt;/author&gt;&lt;author&gt;Drangert, Jan-Olof&lt;/author&gt;&lt;author&gt;White, Stuart&lt;/author&gt;&lt;/authors&gt;&lt;/contributors&gt;&lt;titles&gt;&lt;title&gt;The story of phosphorus: Global food security and food for thought&lt;/title&gt;&lt;secondary-title&gt;Global Environmental Change&lt;/secondary-title&gt;&lt;/titles&gt;&lt;periodical&gt;&lt;full-title&gt;Global Environmental Change&lt;/full-title&gt;&lt;/periodical&gt;&lt;pages&gt;292-305&lt;/pages&gt;&lt;volume&gt;19&lt;/volume&gt;&lt;number&gt;2&lt;/number&gt;&lt;section&gt;292&lt;/section&gt;&lt;dates&gt;&lt;year&gt;2009&lt;/year&gt;&lt;/dates&gt;&lt;isbn&gt;09593780&lt;/isbn&gt;&lt;urls&gt;&lt;/urls&gt;&lt;electronic-resource-num&gt;10.1016/j.gloenvcha.2008.10.009&lt;/electronic-resource-num&gt;&lt;/record&gt;&lt;/Cite&gt;&lt;/EndNote&gt;</w:instrText>
      </w:r>
      <w:r w:rsidR="004F47EF" w:rsidRPr="00C85DC3">
        <w:rPr>
          <w:szCs w:val="24"/>
        </w:rPr>
        <w:fldChar w:fldCharType="separate"/>
      </w:r>
      <w:r w:rsidR="000E3868" w:rsidRPr="00C85DC3">
        <w:rPr>
          <w:noProof/>
          <w:szCs w:val="24"/>
        </w:rPr>
        <w:t>(Cordell, Drangert et al. 2009)</w:t>
      </w:r>
      <w:r w:rsidR="004F47EF" w:rsidRPr="00C85DC3">
        <w:rPr>
          <w:szCs w:val="24"/>
        </w:rPr>
        <w:fldChar w:fldCharType="end"/>
      </w:r>
      <w:r w:rsidRPr="00C85DC3">
        <w:rPr>
          <w:szCs w:val="24"/>
        </w:rPr>
        <w:t xml:space="preserve">. Improving </w:t>
      </w:r>
      <w:r w:rsidR="00046530" w:rsidRPr="00C85DC3">
        <w:rPr>
          <w:szCs w:val="24"/>
        </w:rPr>
        <w:t>fertilizer</w:t>
      </w:r>
      <w:r w:rsidRPr="00C85DC3">
        <w:rPr>
          <w:szCs w:val="24"/>
        </w:rPr>
        <w:t xml:space="preserve"> practices involves </w:t>
      </w:r>
      <w:r w:rsidR="00046530" w:rsidRPr="00C85DC3">
        <w:rPr>
          <w:szCs w:val="24"/>
        </w:rPr>
        <w:t>maximizing</w:t>
      </w:r>
      <w:r w:rsidRPr="00C85DC3">
        <w:rPr>
          <w:szCs w:val="24"/>
        </w:rPr>
        <w:t xml:space="preserve"> crop production whilst </w:t>
      </w:r>
      <w:r w:rsidR="00046530" w:rsidRPr="00C85DC3">
        <w:rPr>
          <w:szCs w:val="24"/>
        </w:rPr>
        <w:t>minimizing</w:t>
      </w:r>
      <w:r w:rsidRPr="00C85DC3">
        <w:rPr>
          <w:szCs w:val="24"/>
        </w:rPr>
        <w:t xml:space="preserve"> costs and avoiding phosphorus </w:t>
      </w:r>
      <w:r w:rsidR="003C15D9" w:rsidRPr="00C85DC3">
        <w:rPr>
          <w:szCs w:val="24"/>
        </w:rPr>
        <w:t xml:space="preserve">losses </w:t>
      </w:r>
      <w:r w:rsidRPr="00C85DC3">
        <w:rPr>
          <w:szCs w:val="24"/>
        </w:rPr>
        <w:t xml:space="preserve">and subsequent contamination of water bodies </w:t>
      </w:r>
      <w:r w:rsidR="004F47EF" w:rsidRPr="00C85DC3">
        <w:rPr>
          <w:szCs w:val="24"/>
        </w:rPr>
        <w:fldChar w:fldCharType="begin"/>
      </w:r>
      <w:r w:rsidR="002A1395" w:rsidRPr="00C85DC3">
        <w:rPr>
          <w:szCs w:val="24"/>
        </w:rPr>
        <w:instrText xml:space="preserve"> ADDIN EN.CITE &lt;EndNote&gt;&lt;Cite&gt;&lt;Author&gt;Smil&lt;/Author&gt;&lt;Year&gt;2000&lt;/Year&gt;&lt;RecNum&gt;29&lt;/RecNum&gt;&lt;DisplayText&gt;(Smil 2000)&lt;/DisplayText&gt;&lt;record&gt;&lt;rec-number&gt;29&lt;/rec-number&gt;&lt;foreign-keys&gt;&lt;key app="EN" db-id="e0pf0dz95w2e2qesp0ev9tvwdse5fap0eprw" timestamp="1588584824"&gt;29&lt;/key&gt;&lt;/foreign-keys&gt;&lt;ref-type name="Journal Article"&gt;17&lt;/ref-type&gt;&lt;contributors&gt;&lt;authors&gt;&lt;author&gt;Smil, Vaclav&lt;/author&gt;&lt;/authors&gt;&lt;/contributors&gt;&lt;titles&gt;&lt;title&gt;Phosphorus in the environment: natural flows and human interferences&lt;/title&gt;&lt;secondary-title&gt;Annual review of energy and the environment&lt;/secondary-title&gt;&lt;/titles&gt;&lt;periodical&gt;&lt;full-title&gt;Annual review of energy and the environment&lt;/full-title&gt;&lt;/periodical&gt;&lt;pages&gt;53-88&lt;/pages&gt;&lt;volume&gt;25&lt;/volume&gt;&lt;number&gt;1&lt;/number&gt;&lt;dates&gt;&lt;year&gt;2000&lt;/year&gt;&lt;/dates&gt;&lt;isbn&gt;1056-3466&lt;/isbn&gt;&lt;urls&gt;&lt;/urls&gt;&lt;/record&gt;&lt;/Cite&gt;&lt;/EndNote&gt;</w:instrText>
      </w:r>
      <w:r w:rsidR="004F47EF" w:rsidRPr="00C85DC3">
        <w:rPr>
          <w:szCs w:val="24"/>
        </w:rPr>
        <w:fldChar w:fldCharType="separate"/>
      </w:r>
      <w:r w:rsidR="000E3868" w:rsidRPr="00C85DC3">
        <w:rPr>
          <w:noProof/>
          <w:szCs w:val="24"/>
        </w:rPr>
        <w:t>(Smil 2000)</w:t>
      </w:r>
      <w:r w:rsidR="004F47EF" w:rsidRPr="00C85DC3">
        <w:rPr>
          <w:szCs w:val="24"/>
        </w:rPr>
        <w:fldChar w:fldCharType="end"/>
      </w:r>
      <w:r w:rsidRPr="00C85DC3">
        <w:rPr>
          <w:szCs w:val="24"/>
        </w:rPr>
        <w:t xml:space="preserve">. In order to </w:t>
      </w:r>
      <w:r w:rsidR="00046530" w:rsidRPr="00C85DC3">
        <w:rPr>
          <w:szCs w:val="24"/>
        </w:rPr>
        <w:t>optimize</w:t>
      </w:r>
      <w:r w:rsidRPr="00C85DC3">
        <w:rPr>
          <w:szCs w:val="24"/>
        </w:rPr>
        <w:t xml:space="preserve"> these factors, crop plants need to absorb the delivered nutrients efficiently. Plants can only take up phosphorus from soil water solution, but phosphorus concentrations in soil solution are usually very low (&lt;10µM; </w:t>
      </w:r>
      <w:r w:rsidR="004F47EF" w:rsidRPr="00C85DC3">
        <w:rPr>
          <w:szCs w:val="24"/>
        </w:rPr>
        <w:fldChar w:fldCharType="begin"/>
      </w:r>
      <w:r w:rsidR="002A1395" w:rsidRPr="00C85DC3">
        <w:rPr>
          <w:szCs w:val="24"/>
        </w:rPr>
        <w:instrText xml:space="preserve"> ADDIN EN.CITE &lt;EndNote&gt;&lt;Cite&gt;&lt;Author&gt;Schachtman&lt;/Author&gt;&lt;Year&gt;1998&lt;/Year&gt;&lt;RecNum&gt;56&lt;/RecNum&gt;&lt;DisplayText&gt;(Schachtman, Reid et al. 1998)&lt;/DisplayText&gt;&lt;record&gt;&lt;rec-number&gt;56&lt;/rec-number&gt;&lt;foreign-keys&gt;&lt;key app="EN" db-id="e0pf0dz95w2e2qesp0ev9tvwdse5fap0eprw" timestamp="1588586171"&gt;56&lt;/key&gt;&lt;/foreign-keys&gt;&lt;ref-type name="Journal Article"&gt;17&lt;/ref-type&gt;&lt;contributors&gt;&lt;authors&gt;&lt;author&gt;Schachtman, Daniel P&lt;/author&gt;&lt;author&gt;Reid, Robert J&lt;/author&gt;&lt;author&gt;Ayling, Sarah M&lt;/author&gt;&lt;/authors&gt;&lt;/contributors&gt;&lt;titles&gt;&lt;title&gt;Phosphorus uptake by plants: from soil to cell&lt;/title&gt;&lt;secondary-title&gt;Plant physiology&lt;/secondary-title&gt;&lt;/titles&gt;&lt;periodical&gt;&lt;full-title&gt;Plant physiology&lt;/full-title&gt;&lt;/periodical&gt;&lt;pages&gt;447-453&lt;/pages&gt;&lt;volume&gt;116&lt;/volume&gt;&lt;number&gt;2&lt;/number&gt;&lt;dates&gt;&lt;year&gt;1998&lt;/year&gt;&lt;/dates&gt;&lt;isbn&gt;0032-0889&lt;/isbn&gt;&lt;urls&gt;&lt;/urls&gt;&lt;/record&gt;&lt;/Cite&gt;&lt;/EndNote&gt;</w:instrText>
      </w:r>
      <w:r w:rsidR="004F47EF" w:rsidRPr="00C85DC3">
        <w:rPr>
          <w:szCs w:val="24"/>
        </w:rPr>
        <w:fldChar w:fldCharType="separate"/>
      </w:r>
      <w:r w:rsidR="000E3868" w:rsidRPr="00C85DC3">
        <w:rPr>
          <w:noProof/>
          <w:szCs w:val="24"/>
        </w:rPr>
        <w:t>(Schachtman, Reid et al. 1998)</w:t>
      </w:r>
      <w:r w:rsidR="004F47EF" w:rsidRPr="00C85DC3">
        <w:rPr>
          <w:szCs w:val="24"/>
        </w:rPr>
        <w:fldChar w:fldCharType="end"/>
      </w:r>
      <w:r w:rsidRPr="00C85DC3">
        <w:rPr>
          <w:szCs w:val="24"/>
        </w:rPr>
        <w:t xml:space="preserve">) due to its fast adsorption onto soil particles and microbial and degradation processes </w:t>
      </w:r>
      <w:r w:rsidR="004F47EF" w:rsidRPr="00C85DC3">
        <w:rPr>
          <w:szCs w:val="24"/>
        </w:rPr>
        <w:fldChar w:fldCharType="begin"/>
      </w:r>
      <w:r w:rsidR="003C15D9" w:rsidRPr="00C85DC3">
        <w:rPr>
          <w:szCs w:val="24"/>
        </w:rPr>
        <w:instrText xml:space="preserve"> ADDIN EN.CITE &lt;EndNote&gt;&lt;Cite&gt;&lt;Author&gt;Barber&lt;/Author&gt;&lt;Year&gt;1995&lt;/Year&gt;&lt;RecNum&gt;1025&lt;/RecNum&gt;&lt;DisplayText&gt;(Barber 1995)&lt;/DisplayText&gt;&lt;record&gt;&lt;rec-number&gt;1025&lt;/rec-number&gt;&lt;foreign-keys&gt;&lt;key app="EN" db-id="wddptpswvxrss6evz01p5sxgwr2vrv5evpfs" timestamp="0"&gt;1025&lt;/key&gt;&lt;/foreign-keys&gt;&lt;ref-type name="Book"&gt;6&lt;/ref-type&gt;&lt;contributors&gt;&lt;authors&gt;&lt;author&gt;Barber, Stanley A&lt;/author&gt;&lt;/authors&gt;&lt;/contributors&gt;&lt;titles&gt;&lt;title&gt;Soil nutrient bioavailability: a mechanistic approach&lt;/title&gt;&lt;/titles&gt;&lt;dates&gt;&lt;year&gt;1995&lt;/year&gt;&lt;/dates&gt;&lt;publisher&gt;John Wiley &amp;amp; Sons&lt;/publisher&gt;&lt;isbn&gt;0471587478&lt;/isbn&gt;&lt;urls&gt;&lt;/urls&gt;&lt;/record&gt;&lt;/Cite&gt;&lt;/EndNote&gt;</w:instrText>
      </w:r>
      <w:r w:rsidR="004F47EF" w:rsidRPr="00C85DC3">
        <w:rPr>
          <w:szCs w:val="24"/>
        </w:rPr>
        <w:fldChar w:fldCharType="separate"/>
      </w:r>
      <w:r w:rsidR="000E3868" w:rsidRPr="00C85DC3">
        <w:rPr>
          <w:noProof/>
          <w:szCs w:val="24"/>
        </w:rPr>
        <w:t>(Barber 1995)</w:t>
      </w:r>
      <w:r w:rsidR="004F47EF" w:rsidRPr="00C85DC3">
        <w:rPr>
          <w:szCs w:val="24"/>
        </w:rPr>
        <w:fldChar w:fldCharType="end"/>
      </w:r>
      <w:r w:rsidRPr="00C85DC3">
        <w:rPr>
          <w:szCs w:val="24"/>
        </w:rPr>
        <w:t xml:space="preserve">.  Precision agriculture can improve </w:t>
      </w:r>
      <w:r w:rsidR="00046530" w:rsidRPr="00C85DC3">
        <w:rPr>
          <w:szCs w:val="24"/>
        </w:rPr>
        <w:t>fertilization</w:t>
      </w:r>
      <w:r w:rsidRPr="00C85DC3">
        <w:rPr>
          <w:szCs w:val="24"/>
        </w:rPr>
        <w:t xml:space="preserve"> practice by limiting P runoff </w:t>
      </w:r>
      <w:r w:rsidR="004F47EF" w:rsidRPr="00C85DC3">
        <w:rPr>
          <w:szCs w:val="24"/>
        </w:rPr>
        <w:fldChar w:fldCharType="begin"/>
      </w:r>
      <w:r w:rsidR="002A1395" w:rsidRPr="00C85DC3">
        <w:rPr>
          <w:szCs w:val="24"/>
        </w:rPr>
        <w:instrText xml:space="preserve"> ADDIN EN.CITE &lt;EndNote&gt;&lt;Cite&gt;&lt;Author&gt;Withers&lt;/Author&gt;&lt;Year&gt;2014&lt;/Year&gt;&lt;RecNum&gt;26&lt;/RecNum&gt;&lt;DisplayText&gt;(Withers, Neal et al. 2014)&lt;/DisplayText&gt;&lt;record&gt;&lt;rec-number&gt;26&lt;/rec-number&gt;&lt;foreign-keys&gt;&lt;key app="EN" db-id="e0pf0dz95w2e2qesp0ev9tvwdse5fap0eprw" timestamp="1588583719"&gt;26&lt;/key&gt;&lt;key app="ENWeb" db-id=""&gt;0&lt;/key&gt;&lt;/foreign-keys&gt;&lt;ref-type name="Journal Article"&gt;17&lt;/ref-type&gt;&lt;contributors&gt;&lt;authors&gt;&lt;author&gt;Withers, Paul&lt;/author&gt;&lt;author&gt;Neal, Colin&lt;/author&gt;&lt;author&gt;Jarvie, Helen&lt;/author&gt;&lt;author&gt;Doody, Donnacha&lt;/author&gt;&lt;/authors&gt;&lt;/contributors&gt;&lt;titles&gt;&lt;title&gt;Agriculture and Eutrophication: Where Do We Go from Here?&lt;/title&gt;&lt;secondary-title&gt;Sustainability&lt;/secondary-title&gt;&lt;/titles&gt;&lt;periodical&gt;&lt;full-title&gt;Sustainability&lt;/full-title&gt;&lt;/periodical&gt;&lt;pages&gt;5853-5875&lt;/pages&gt;&lt;volume&gt;6&lt;/volume&gt;&lt;number&gt;9&lt;/number&gt;&lt;section&gt;5853&lt;/section&gt;&lt;dates&gt;&lt;year&gt;2014&lt;/year&gt;&lt;/dates&gt;&lt;isbn&gt;2071-1050&lt;/isbn&gt;&lt;urls&gt;&lt;/urls&gt;&lt;electronic-resource-num&gt;10.3390/su6095853&lt;/electronic-resource-num&gt;&lt;/record&gt;&lt;/Cite&gt;&lt;/EndNote&gt;</w:instrText>
      </w:r>
      <w:r w:rsidR="004F47EF" w:rsidRPr="00C85DC3">
        <w:rPr>
          <w:szCs w:val="24"/>
        </w:rPr>
        <w:fldChar w:fldCharType="separate"/>
      </w:r>
      <w:r w:rsidR="000E3868" w:rsidRPr="00C85DC3">
        <w:rPr>
          <w:noProof/>
          <w:szCs w:val="24"/>
        </w:rPr>
        <w:t>(Withers, Neal et al. 2014)</w:t>
      </w:r>
      <w:r w:rsidR="004F47EF" w:rsidRPr="00C85DC3">
        <w:rPr>
          <w:szCs w:val="24"/>
        </w:rPr>
        <w:fldChar w:fldCharType="end"/>
      </w:r>
      <w:r w:rsidRPr="00C85DC3">
        <w:rPr>
          <w:szCs w:val="24"/>
        </w:rPr>
        <w:t xml:space="preserve"> and </w:t>
      </w:r>
      <w:r w:rsidR="00046530" w:rsidRPr="00C85DC3">
        <w:rPr>
          <w:szCs w:val="24"/>
        </w:rPr>
        <w:t>minimizing</w:t>
      </w:r>
      <w:r w:rsidRPr="00C85DC3">
        <w:rPr>
          <w:szCs w:val="24"/>
        </w:rPr>
        <w:t xml:space="preserve"> unintended side effects that contribute to P removal from the soil solution, </w:t>
      </w:r>
      <w:r w:rsidRPr="00C85DC3">
        <w:rPr>
          <w:i/>
          <w:szCs w:val="24"/>
        </w:rPr>
        <w:t>i.e.</w:t>
      </w:r>
      <w:r w:rsidRPr="00C85DC3">
        <w:rPr>
          <w:szCs w:val="24"/>
        </w:rPr>
        <w:t xml:space="preserve"> fixation or competition with other plant species </w:t>
      </w:r>
      <w:r w:rsidR="004F47EF" w:rsidRPr="00C85DC3">
        <w:rPr>
          <w:szCs w:val="24"/>
        </w:rPr>
        <w:fldChar w:fldCharType="begin"/>
      </w:r>
      <w:r w:rsidR="002A1395" w:rsidRPr="00C85DC3">
        <w:rPr>
          <w:szCs w:val="24"/>
        </w:rPr>
        <w:instrText xml:space="preserve"> ADDIN EN.CITE &lt;EndNote&gt;&lt;Cite&gt;&lt;Author&gt;Blackshaw&lt;/Author&gt;&lt;Year&gt;2017&lt;/Year&gt;&lt;RecNum&gt;5&lt;/RecNum&gt;&lt;DisplayText&gt;(Grant, Flaten et al. 2001, Blackshaw and Molnar 2017)&lt;/DisplayText&gt;&lt;record&gt;&lt;rec-number&gt;5&lt;/rec-number&gt;&lt;foreign-keys&gt;&lt;key app="EN" db-id="e0pf0dz95w2e2qesp0ev9tvwdse5fap0eprw" timestamp="1588583618"&gt;5&lt;/key&gt;&lt;key app="ENWeb" db-id=""&gt;0&lt;/key&gt;&lt;/foreign-keys&gt;&lt;ref-type name="Journal Article"&gt;17&lt;/ref-type&gt;&lt;contributors&gt;&lt;authors&gt;&lt;author&gt;Blackshaw, Robert E.&lt;/author&gt;&lt;author&gt;Molnar, Louis J.&lt;/author&gt;&lt;/authors&gt;&lt;/contributors&gt;&lt;titles&gt;&lt;title&gt;Phosphorus Fertilizer Application Method Affects Weed Growth and Competition with Wheat&lt;/title&gt;&lt;secondary-title&gt;Weed Science&lt;/secondary-title&gt;&lt;/titles&gt;&lt;periodical&gt;&lt;full-title&gt;Weed Science&lt;/full-title&gt;&lt;/periodical&gt;&lt;pages&gt;311-318&lt;/pages&gt;&lt;volume&gt;57&lt;/volume&gt;&lt;number&gt;3&lt;/number&gt;&lt;section&gt;311&lt;/section&gt;&lt;dates&gt;&lt;year&gt;2017&lt;/year&gt;&lt;/dates&gt;&lt;isbn&gt;0043-1745&amp;#xD;1550-2759&lt;/isbn&gt;&lt;urls&gt;&lt;/urls&gt;&lt;electronic-resource-num&gt;10.1614/ws-08-173.1&lt;/electronic-resource-num&gt;&lt;/record&gt;&lt;/Cite&gt;&lt;Cite&gt;&lt;Author&gt;Grant&lt;/Author&gt;&lt;Year&gt;2001&lt;/Year&gt;&lt;RecNum&gt;31&lt;/RecNum&gt;&lt;record&gt;&lt;rec-number&gt;31&lt;/rec-number&gt;&lt;foreign-keys&gt;&lt;key app="EN" db-id="e0pf0dz95w2e2qesp0ev9tvwdse5fap0eprw" timestamp="1588584912"&gt;31&lt;/key&gt;&lt;/foreign-keys&gt;&lt;ref-type name="Journal Article"&gt;17&lt;/ref-type&gt;&lt;contributors&gt;&lt;authors&gt;&lt;author&gt;Grant, CA&lt;/author&gt;&lt;author&gt;Flaten, DN&lt;/author&gt;&lt;author&gt;Tomasiewicz, DJ&lt;/author&gt;&lt;author&gt;Sheppard, SC&lt;/author&gt;&lt;/authors&gt;&lt;/contributors&gt;&lt;titles&gt;&lt;title&gt;The importance of early season phosphorus nutrition&lt;/title&gt;&lt;secondary-title&gt;Canadian Journal of Plant Science&lt;/secondary-title&gt;&lt;/titles&gt;&lt;periodical&gt;&lt;full-title&gt;Canadian Journal of Plant Science&lt;/full-title&gt;&lt;/periodical&gt;&lt;pages&gt;211-224&lt;/pages&gt;&lt;volume&gt;81&lt;/volume&gt;&lt;number&gt;2&lt;/number&gt;&lt;dates&gt;&lt;year&gt;2001&lt;/year&gt;&lt;/dates&gt;&lt;isbn&gt;0008-4220&lt;/isbn&gt;&lt;urls&gt;&lt;/urls&gt;&lt;/record&gt;&lt;/Cite&gt;&lt;/EndNote&gt;</w:instrText>
      </w:r>
      <w:r w:rsidR="004F47EF" w:rsidRPr="00C85DC3">
        <w:rPr>
          <w:szCs w:val="24"/>
        </w:rPr>
        <w:fldChar w:fldCharType="separate"/>
      </w:r>
      <w:r w:rsidR="000E3868" w:rsidRPr="00C85DC3">
        <w:rPr>
          <w:noProof/>
          <w:szCs w:val="24"/>
        </w:rPr>
        <w:t>(Grant, Flaten et al. 2001, Blackshaw and Molnar 2017)</w:t>
      </w:r>
      <w:r w:rsidR="004F47EF" w:rsidRPr="00C85DC3">
        <w:rPr>
          <w:szCs w:val="24"/>
        </w:rPr>
        <w:fldChar w:fldCharType="end"/>
      </w:r>
      <w:r w:rsidRPr="00C85DC3">
        <w:rPr>
          <w:szCs w:val="24"/>
        </w:rPr>
        <w:t>.</w:t>
      </w:r>
      <w:r w:rsidR="00D6161B" w:rsidRPr="00C85DC3">
        <w:t xml:space="preserve"> </w:t>
      </w:r>
      <w:bookmarkStart w:id="1" w:name="_Hlk47010761"/>
      <w:r w:rsidR="00D6161B" w:rsidRPr="00C85DC3">
        <w:rPr>
          <w:szCs w:val="24"/>
        </w:rPr>
        <w:t>However, in order to develop precision agriculture strategies</w:t>
      </w:r>
      <w:r w:rsidR="00C03ED0" w:rsidRPr="00C85DC3">
        <w:rPr>
          <w:szCs w:val="24"/>
        </w:rPr>
        <w:t>,</w:t>
      </w:r>
      <w:r w:rsidR="00D6161B" w:rsidRPr="00C85DC3">
        <w:rPr>
          <w:szCs w:val="24"/>
        </w:rPr>
        <w:t xml:space="preserve"> it is necessary to </w:t>
      </w:r>
      <w:r w:rsidR="00C03ED0" w:rsidRPr="00C85DC3">
        <w:rPr>
          <w:szCs w:val="24"/>
        </w:rPr>
        <w:t xml:space="preserve">gain a fundamental </w:t>
      </w:r>
      <w:r w:rsidR="00D6161B" w:rsidRPr="00C85DC3">
        <w:rPr>
          <w:szCs w:val="24"/>
        </w:rPr>
        <w:t>understand</w:t>
      </w:r>
      <w:r w:rsidR="00C03ED0" w:rsidRPr="00C85DC3">
        <w:rPr>
          <w:szCs w:val="24"/>
        </w:rPr>
        <w:t>ing</w:t>
      </w:r>
      <w:r w:rsidR="00D6161B" w:rsidRPr="00C85DC3">
        <w:rPr>
          <w:szCs w:val="24"/>
        </w:rPr>
        <w:t xml:space="preserve"> </w:t>
      </w:r>
      <w:r w:rsidR="00C03ED0" w:rsidRPr="00C85DC3">
        <w:rPr>
          <w:szCs w:val="24"/>
        </w:rPr>
        <w:t xml:space="preserve">of </w:t>
      </w:r>
      <w:r w:rsidR="00D6161B" w:rsidRPr="00C85DC3">
        <w:rPr>
          <w:szCs w:val="24"/>
        </w:rPr>
        <w:t>the movement and behavior of fertilizer products in soil.</w:t>
      </w:r>
    </w:p>
    <w:p w14:paraId="63D234D4" w14:textId="22931F86" w:rsidR="00A725CF" w:rsidRPr="00C85DC3" w:rsidRDefault="00A725CF" w:rsidP="00A725CF">
      <w:pPr>
        <w:pStyle w:val="ParaText"/>
        <w:spacing w:line="480" w:lineRule="auto"/>
        <w:rPr>
          <w:szCs w:val="24"/>
        </w:rPr>
      </w:pPr>
      <w:r w:rsidRPr="00C85DC3">
        <w:rPr>
          <w:szCs w:val="24"/>
        </w:rPr>
        <w:t xml:space="preserve">In this context understanding the spatial and temporal scales of phosphorus (P) mobility in soil is critical for understanding its availability to plants and ultimately for </w:t>
      </w:r>
      <w:r w:rsidR="00046530" w:rsidRPr="00C85DC3">
        <w:rPr>
          <w:szCs w:val="24"/>
        </w:rPr>
        <w:t>optimizing</w:t>
      </w:r>
      <w:r w:rsidRPr="00C85DC3">
        <w:rPr>
          <w:szCs w:val="24"/>
        </w:rPr>
        <w:t xml:space="preserve"> the </w:t>
      </w:r>
      <w:r w:rsidR="00046530" w:rsidRPr="00C85DC3">
        <w:rPr>
          <w:szCs w:val="24"/>
        </w:rPr>
        <w:t>fertilizer</w:t>
      </w:r>
      <w:r w:rsidRPr="00C85DC3">
        <w:rPr>
          <w:szCs w:val="24"/>
        </w:rPr>
        <w:t xml:space="preserve"> application. </w:t>
      </w:r>
      <w:bookmarkEnd w:id="1"/>
      <w:r w:rsidRPr="00C85DC3">
        <w:rPr>
          <w:szCs w:val="24"/>
        </w:rPr>
        <w:t>To achieve this, high</w:t>
      </w:r>
      <w:r w:rsidR="00C03ED0" w:rsidRPr="00C85DC3">
        <w:rPr>
          <w:szCs w:val="24"/>
        </w:rPr>
        <w:t>ly resolved</w:t>
      </w:r>
      <w:r w:rsidRPr="00C85DC3">
        <w:rPr>
          <w:szCs w:val="24"/>
        </w:rPr>
        <w:t xml:space="preserve"> spatial measurement</w:t>
      </w:r>
      <w:r w:rsidR="00C03ED0" w:rsidRPr="00C85DC3">
        <w:rPr>
          <w:szCs w:val="24"/>
        </w:rPr>
        <w:t>s in solute</w:t>
      </w:r>
      <w:r w:rsidRPr="00C85DC3">
        <w:rPr>
          <w:szCs w:val="24"/>
        </w:rPr>
        <w:t xml:space="preserve"> </w:t>
      </w:r>
      <w:r w:rsidR="00C03ED0" w:rsidRPr="00C85DC3">
        <w:rPr>
          <w:szCs w:val="24"/>
        </w:rPr>
        <w:t xml:space="preserve">are </w:t>
      </w:r>
      <w:r w:rsidRPr="00C85DC3">
        <w:rPr>
          <w:szCs w:val="24"/>
        </w:rPr>
        <w:t xml:space="preserve">needed to investigate </w:t>
      </w:r>
      <w:r w:rsidR="00046530" w:rsidRPr="00C85DC3">
        <w:rPr>
          <w:szCs w:val="24"/>
        </w:rPr>
        <w:t>localized</w:t>
      </w:r>
      <w:r w:rsidRPr="00C85DC3">
        <w:rPr>
          <w:szCs w:val="24"/>
        </w:rPr>
        <w:t xml:space="preserve"> movement of this low-mobility nutrient, and high temporal resolution is required for assessing the initial release of P from the </w:t>
      </w:r>
      <w:r w:rsidR="002A1395" w:rsidRPr="00C85DC3">
        <w:rPr>
          <w:szCs w:val="24"/>
        </w:rPr>
        <w:t xml:space="preserve">inorganic P fertilizer </w:t>
      </w:r>
      <w:r w:rsidRPr="00C85DC3">
        <w:rPr>
          <w:szCs w:val="24"/>
        </w:rPr>
        <w:t xml:space="preserve">pellet along with the timescales of P </w:t>
      </w:r>
      <w:r w:rsidR="00494844" w:rsidRPr="00C85DC3">
        <w:rPr>
          <w:szCs w:val="24"/>
        </w:rPr>
        <w:t xml:space="preserve">transport </w:t>
      </w:r>
      <w:r w:rsidRPr="00C85DC3">
        <w:rPr>
          <w:szCs w:val="24"/>
        </w:rPr>
        <w:t xml:space="preserve">and </w:t>
      </w:r>
      <w:r w:rsidR="00046530" w:rsidRPr="00C85DC3">
        <w:rPr>
          <w:szCs w:val="24"/>
        </w:rPr>
        <w:t>immobilization</w:t>
      </w:r>
      <w:r w:rsidRPr="00C85DC3">
        <w:rPr>
          <w:szCs w:val="24"/>
        </w:rPr>
        <w:t xml:space="preserve"> in soil. However, achieving high spatiotemporal </w:t>
      </w:r>
      <w:r w:rsidRPr="00C85DC3">
        <w:rPr>
          <w:szCs w:val="24"/>
        </w:rPr>
        <w:lastRenderedPageBreak/>
        <w:t xml:space="preserve">resolution presents some technical challenges. Firstly, low P concentrations in soil solution (&lt;10µM; </w:t>
      </w:r>
      <w:r w:rsidR="004F47EF" w:rsidRPr="00C85DC3">
        <w:rPr>
          <w:szCs w:val="24"/>
        </w:rPr>
        <w:fldChar w:fldCharType="begin"/>
      </w:r>
      <w:r w:rsidR="002A1395" w:rsidRPr="00C85DC3">
        <w:rPr>
          <w:szCs w:val="24"/>
        </w:rPr>
        <w:instrText xml:space="preserve"> ADDIN EN.CITE &lt;EndNote&gt;&lt;Cite&gt;&lt;Author&gt;Schachtman&lt;/Author&gt;&lt;Year&gt;1998&lt;/Year&gt;&lt;RecNum&gt;56&lt;/RecNum&gt;&lt;DisplayText&gt;(Schachtman, Reid et al. 1998)&lt;/DisplayText&gt;&lt;record&gt;&lt;rec-number&gt;56&lt;/rec-number&gt;&lt;foreign-keys&gt;&lt;key app="EN" db-id="e0pf0dz95w2e2qesp0ev9tvwdse5fap0eprw" timestamp="1588586171"&gt;56&lt;/key&gt;&lt;/foreign-keys&gt;&lt;ref-type name="Journal Article"&gt;17&lt;/ref-type&gt;&lt;contributors&gt;&lt;authors&gt;&lt;author&gt;Schachtman, Daniel P&lt;/author&gt;&lt;author&gt;Reid, Robert J&lt;/author&gt;&lt;author&gt;Ayling, Sarah M&lt;/author&gt;&lt;/authors&gt;&lt;/contributors&gt;&lt;titles&gt;&lt;title&gt;Phosphorus uptake by plants: from soil to cell&lt;/title&gt;&lt;secondary-title&gt;Plant physiology&lt;/secondary-title&gt;&lt;/titles&gt;&lt;periodical&gt;&lt;full-title&gt;Plant physiology&lt;/full-title&gt;&lt;/periodical&gt;&lt;pages&gt;447-453&lt;/pages&gt;&lt;volume&gt;116&lt;/volume&gt;&lt;number&gt;2&lt;/number&gt;&lt;dates&gt;&lt;year&gt;1998&lt;/year&gt;&lt;/dates&gt;&lt;isbn&gt;0032-0889&lt;/isbn&gt;&lt;urls&gt;&lt;/urls&gt;&lt;/record&gt;&lt;/Cite&gt;&lt;/EndNote&gt;</w:instrText>
      </w:r>
      <w:r w:rsidR="004F47EF" w:rsidRPr="00C85DC3">
        <w:rPr>
          <w:szCs w:val="24"/>
        </w:rPr>
        <w:fldChar w:fldCharType="separate"/>
      </w:r>
      <w:r w:rsidR="000E3868" w:rsidRPr="00C85DC3">
        <w:rPr>
          <w:noProof/>
          <w:szCs w:val="24"/>
        </w:rPr>
        <w:t>(Schachtman, Reid et al. 1998)</w:t>
      </w:r>
      <w:r w:rsidR="004F47EF" w:rsidRPr="00C85DC3">
        <w:rPr>
          <w:szCs w:val="24"/>
        </w:rPr>
        <w:fldChar w:fldCharType="end"/>
      </w:r>
      <w:r w:rsidRPr="00C85DC3">
        <w:rPr>
          <w:szCs w:val="24"/>
        </w:rPr>
        <w:t xml:space="preserve">) mean sensitive analytical techniques are required to detect and quantify </w:t>
      </w:r>
      <w:r w:rsidR="00494844" w:rsidRPr="00C85DC3">
        <w:rPr>
          <w:szCs w:val="24"/>
        </w:rPr>
        <w:t>them</w:t>
      </w:r>
      <w:r w:rsidRPr="00C85DC3">
        <w:rPr>
          <w:szCs w:val="24"/>
        </w:rPr>
        <w:t xml:space="preserve">. Additionally, to acquire representative and accurate time-resolved data, the chosen soil solution sampling method should be minimally invasive allowing the collection of multiple samples without perturbing the experimental setup. </w:t>
      </w:r>
    </w:p>
    <w:p w14:paraId="12418687" w14:textId="4F9315FE" w:rsidR="00A725CF" w:rsidRPr="00C85DC3" w:rsidRDefault="00A725CF" w:rsidP="00A725CF">
      <w:pPr>
        <w:pStyle w:val="ParaText"/>
        <w:spacing w:line="480" w:lineRule="auto"/>
        <w:rPr>
          <w:szCs w:val="24"/>
        </w:rPr>
      </w:pPr>
      <w:r w:rsidRPr="00C85DC3">
        <w:rPr>
          <w:szCs w:val="24"/>
        </w:rPr>
        <w:t xml:space="preserve">Suction cups are widely used </w:t>
      </w:r>
      <w:r w:rsidRPr="00C85DC3">
        <w:rPr>
          <w:i/>
          <w:szCs w:val="24"/>
        </w:rPr>
        <w:t>in situ</w:t>
      </w:r>
      <w:r w:rsidRPr="00C85DC3">
        <w:rPr>
          <w:szCs w:val="24"/>
        </w:rPr>
        <w:t xml:space="preserve"> sampling devices for soil solution. They directly extract soil solution by inducing </w:t>
      </w:r>
      <w:r w:rsidR="002A1395" w:rsidRPr="00C85DC3">
        <w:rPr>
          <w:szCs w:val="24"/>
        </w:rPr>
        <w:t>lower pressure in the probe compared to soil water,</w:t>
      </w:r>
      <w:r w:rsidRPr="00C85DC3">
        <w:rPr>
          <w:szCs w:val="24"/>
        </w:rPr>
        <w:t xml:space="preserve"> drawing water into the probe through a porous ceramic</w:t>
      </w:r>
      <w:r w:rsidR="002A1395" w:rsidRPr="00C85DC3">
        <w:rPr>
          <w:szCs w:val="24"/>
        </w:rPr>
        <w:t xml:space="preserve"> cup</w:t>
      </w:r>
      <w:r w:rsidRPr="00C85DC3">
        <w:rPr>
          <w:szCs w:val="24"/>
        </w:rPr>
        <w:t xml:space="preserve"> </w:t>
      </w:r>
      <w:r w:rsidR="004F47EF" w:rsidRPr="00C85DC3">
        <w:rPr>
          <w:szCs w:val="24"/>
        </w:rPr>
        <w:fldChar w:fldCharType="begin"/>
      </w:r>
      <w:r w:rsidR="002A1395" w:rsidRPr="00C85DC3">
        <w:rPr>
          <w:szCs w:val="24"/>
        </w:rPr>
        <w:instrText xml:space="preserve"> ADDIN EN.CITE &lt;EndNote&gt;&lt;Cite&gt;&lt;Author&gt;Göttlein&lt;/Author&gt;&lt;Year&gt;1996&lt;/Year&gt;&lt;RecNum&gt;32&lt;/RecNum&gt;&lt;DisplayText&gt;(Göttlein, Hell et al. 1996)&lt;/DisplayText&gt;&lt;record&gt;&lt;rec-number&gt;32&lt;/rec-number&gt;&lt;foreign-keys&gt;&lt;key app="EN" db-id="e0pf0dz95w2e2qesp0ev9tvwdse5fap0eprw" timestamp="1588584952"&gt;32&lt;/key&gt;&lt;/foreign-keys&gt;&lt;ref-type name="Journal Article"&gt;17&lt;/ref-type&gt;&lt;contributors&gt;&lt;authors&gt;&lt;author&gt;Göttlein, Axel&lt;/author&gt;&lt;author&gt;Hell, Uwe&lt;/author&gt;&lt;author&gt;Blasek, Roland&lt;/author&gt;&lt;/authors&gt;&lt;/contributors&gt;&lt;titles&gt;&lt;title&gt;A system for microscale tensiometry and lysimetry&lt;/title&gt;&lt;secondary-title&gt;Geoderma&lt;/secondary-title&gt;&lt;/titles&gt;&lt;periodical&gt;&lt;full-title&gt;Geoderma&lt;/full-title&gt;&lt;/periodical&gt;&lt;pages&gt;147-156&lt;/pages&gt;&lt;volume&gt;69&lt;/volume&gt;&lt;number&gt;1-2&lt;/number&gt;&lt;dates&gt;&lt;year&gt;1996&lt;/year&gt;&lt;/dates&gt;&lt;isbn&gt;0016-7061&lt;/isbn&gt;&lt;urls&gt;&lt;/urls&gt;&lt;/record&gt;&lt;/Cite&gt;&lt;/EndNote&gt;</w:instrText>
      </w:r>
      <w:r w:rsidR="004F47EF" w:rsidRPr="00C85DC3">
        <w:rPr>
          <w:szCs w:val="24"/>
        </w:rPr>
        <w:fldChar w:fldCharType="separate"/>
      </w:r>
      <w:r w:rsidR="000E3868" w:rsidRPr="00C85DC3">
        <w:rPr>
          <w:noProof/>
          <w:szCs w:val="24"/>
        </w:rPr>
        <w:t>(Göttlein, Hell et al. 1996)</w:t>
      </w:r>
      <w:r w:rsidR="004F47EF" w:rsidRPr="00C85DC3">
        <w:rPr>
          <w:szCs w:val="24"/>
        </w:rPr>
        <w:fldChar w:fldCharType="end"/>
      </w:r>
      <w:r w:rsidRPr="00C85DC3">
        <w:rPr>
          <w:szCs w:val="24"/>
        </w:rPr>
        <w:t xml:space="preserve">. Suction cups come in a range of </w:t>
      </w:r>
      <w:r w:rsidR="00494844" w:rsidRPr="00C85DC3">
        <w:rPr>
          <w:szCs w:val="24"/>
        </w:rPr>
        <w:t xml:space="preserve">sizes </w:t>
      </w:r>
      <w:r w:rsidRPr="00C85DC3">
        <w:rPr>
          <w:szCs w:val="24"/>
        </w:rPr>
        <w:t xml:space="preserve">and they are routinely </w:t>
      </w:r>
      <w:r w:rsidR="002A1395" w:rsidRPr="00C85DC3">
        <w:rPr>
          <w:szCs w:val="24"/>
        </w:rPr>
        <w:t>used for sampling soil solution</w:t>
      </w:r>
      <w:r w:rsidRPr="00C85DC3">
        <w:rPr>
          <w:szCs w:val="24"/>
        </w:rPr>
        <w:t xml:space="preserve"> both in laboratory </w:t>
      </w:r>
      <w:r w:rsidR="004F47EF" w:rsidRPr="00C85DC3">
        <w:rPr>
          <w:szCs w:val="24"/>
        </w:rPr>
        <w:fldChar w:fldCharType="begin"/>
      </w:r>
      <w:r w:rsidR="002A1395" w:rsidRPr="00C85DC3">
        <w:rPr>
          <w:szCs w:val="24"/>
        </w:rPr>
        <w:instrText xml:space="preserve"> ADDIN EN.CITE &lt;EndNote&gt;&lt;Cite&gt;&lt;Author&gt;Gao&lt;/Author&gt;&lt;Year&gt;2019&lt;/Year&gt;&lt;RecNum&gt;25&lt;/RecNum&gt;&lt;DisplayText&gt;(Vetterlein and Jahn 2004, Gao, Blaser et al. 2019)&lt;/DisplayText&gt;&lt;record&gt;&lt;rec-number&gt;25&lt;/rec-number&gt;&lt;foreign-keys&gt;&lt;key app="EN" db-id="e0pf0dz95w2e2qesp0ev9tvwdse5fap0eprw" timestamp="1588583714"&gt;25&lt;/key&gt;&lt;key app="ENWeb" db-id=""&gt;0&lt;/key&gt;&lt;/foreign-keys&gt;&lt;ref-type name="Journal Article"&gt;17&lt;/ref-type&gt;&lt;contributors&gt;&lt;authors&gt;&lt;author&gt;Gao, Wei&lt;/author&gt;&lt;author&gt;Blaser, Sebastian R. G. A.&lt;/author&gt;&lt;auth</w:instrText>
      </w:r>
      <w:r w:rsidR="002A1395" w:rsidRPr="00C85DC3">
        <w:rPr>
          <w:szCs w:val="24"/>
          <w:lang w:val="de-DE"/>
        </w:rPr>
        <w:instrText>or&gt;Schlüter, Steffen&lt;/author&gt;&lt;author&gt;Shen, Jianbo&lt;/author&gt;&lt;author&gt;Vetterlein, Doris&lt;/author&gt;&lt;/authors&gt;&lt;/contributors&gt;&lt;titles&gt;&lt;title&gt;Effect of localised phosphorus application on root growth and soil nutrient dynamics in situ – comparison of maize (Zea mays) and faba bean (Vicia faba) at the seedling stage&lt;/title&gt;&lt;secondary-title&gt;Plant and Soil&lt;/secondary-title&gt;&lt;/titles&gt;&lt;periodical&gt;&lt;full-title&gt;Plant and Soil&lt;/full-title&gt;&lt;/periodical&gt;&lt;pages&gt;469-483&lt;/pages&gt;&lt;volume&gt;441&lt;/volume&gt;&lt;number&gt;1-2&lt;/number&gt;&lt;section&gt;469&lt;/section&gt;&lt;dates&gt;&lt;year&gt;2019&lt;/year&gt;&lt;/dates&gt;&lt;isbn&gt;0032-079X&amp;#xD;1573-5036&lt;/isbn&gt;&lt;urls&gt;&lt;/urls&gt;&lt;electronic-resource-num&gt;10.1007/s11104-019-04138-2&lt;/electronic-resource-num&gt;&lt;/record&gt;&lt;/Cite&gt;&lt;Cite&gt;&lt;Author&gt;Vetterlein&lt;/Author&gt;&lt;Year&gt;2004&lt;/Year&gt;&lt;RecNum&gt;58&lt;/RecNum&gt;&lt;record&gt;&lt;rec-number&gt;58&lt;/rec-number&gt;&lt;foreign-keys&gt;&lt;key app="EN" db-id="e0pf0dz95w2e2qesp0ev9tvwdse5fap0eprw" timestamp="1588586231"&gt;58&lt;/key&gt;&lt;/foreign-keys&gt;&lt;ref-type name="Journal Article"&gt;17&lt;/ref-type&gt;&lt;contributors&gt;&lt;authors&gt;&lt;author&gt;Vetterlein, Doris&lt;/author&gt;&lt;author&gt;Jahn, Reinhold&lt;/author&gt;&lt;/authors&gt;&lt;/contributors&gt;&lt;titles&gt;&lt;title&gt;Gradients in soil solution composition between bulk soil and rhizosphere–In situ measurement with changing soil water content&lt;/title&gt;&lt;secondary-title&gt;Plant and Soil&lt;/secondary-title&gt;&lt;/titles&gt;&lt;periodical&gt;&lt;full-title&gt;Plant and Soil&lt;/full-title&gt;&lt;/periodical&gt;&lt;pages&gt;307-327&lt;/pages&gt;&lt;volume&gt;258&lt;/volume&gt;&lt;number&gt;1&lt;/number&gt;&lt;dates&gt;&lt;year&gt;2004&lt;/year&gt;&lt;/dates&gt;&lt;isbn&gt;0032-079X&lt;/isbn&gt;&lt;urls&gt;&lt;/urls&gt;&lt;/record&gt;&lt;/Cite&gt;&lt;/EndNote&gt;</w:instrText>
      </w:r>
      <w:r w:rsidR="004F47EF" w:rsidRPr="00C85DC3">
        <w:rPr>
          <w:szCs w:val="24"/>
        </w:rPr>
        <w:fldChar w:fldCharType="separate"/>
      </w:r>
      <w:r w:rsidR="000E3868" w:rsidRPr="00C85DC3">
        <w:rPr>
          <w:noProof/>
          <w:szCs w:val="24"/>
          <w:lang w:val="de-DE"/>
        </w:rPr>
        <w:t>(Vetterlein and Jahn 2004, Gao, Blaser et al. 2019)</w:t>
      </w:r>
      <w:r w:rsidR="004F47EF" w:rsidRPr="00C85DC3">
        <w:rPr>
          <w:szCs w:val="24"/>
        </w:rPr>
        <w:fldChar w:fldCharType="end"/>
      </w:r>
      <w:r w:rsidRPr="00C85DC3">
        <w:rPr>
          <w:szCs w:val="24"/>
          <w:lang w:val="de-DE"/>
        </w:rPr>
        <w:t xml:space="preserve"> and field-scale experiments </w:t>
      </w:r>
      <w:r w:rsidR="004F47EF" w:rsidRPr="00C85DC3">
        <w:rPr>
          <w:szCs w:val="24"/>
        </w:rPr>
        <w:fldChar w:fldCharType="begin"/>
      </w:r>
      <w:r w:rsidR="002A1395" w:rsidRPr="00C85DC3">
        <w:rPr>
          <w:szCs w:val="24"/>
          <w:lang w:val="de-DE"/>
        </w:rPr>
        <w:instrText xml:space="preserve"> ADDIN EN.CITE &lt;EndNote&gt;&lt;Cite&gt;&lt;Author&gt;Blicher-Mathiesen&lt;/Author&gt;&lt;Year&gt;2014&lt;/Year&gt;&lt;RecNum&gt;6&lt;/RecNum&gt;&lt;DisplayText&gt;(Blicher-Mathiesen, Andersen et al. 2014)&lt;/DisplayText&gt;&lt;record&gt;&lt;rec-number&gt;6&lt;/rec-number&gt;&lt;foreign-keys&gt;&lt;key app="EN" db-id="e0pf0dz95w2e2qesp0ev9tvwdse5fap0eprw" timestamp="1588583623"&gt;6&lt;/key&gt;&lt;key app="ENWeb" db-id=""&gt;0&lt;/key&gt;&lt;/foreign-keys&gt;&lt;ref-type name="Journal Article"&gt;17&lt;/ref-type&gt;&lt;contributors&gt;&lt;authors&gt;&lt;author&gt;Blicher-Mathiesen, Gitte&lt;/author&gt;&lt;author&gt;Andersen, Hans Estrup&lt;/author&gt;&lt;author&gt;Larsen, Søren Erik&lt;/author&gt;&lt;/authors&gt;&lt;/contributors&gt;&lt;titles&gt;&lt;title&gt;Nitrogen field balances and suction cup-measured N leaching in Danish catchments&lt;/title&gt;&lt;secondary-title&gt;Agriculture, Ecosystems &amp;amp; Environment&lt;/secondary-title&gt;&lt;/titles&gt;&lt;periodical&gt;&lt;full-title&gt;Agriculture, Ecosystems &amp;amp; Environment&lt;/full-title&gt;&lt;/periodical&gt;&lt;pages&gt;69-75&lt;/pages&gt;&lt;volume&gt;196&lt;/volume&gt;&lt;section&gt;69&lt;/section&gt;&lt;dates&gt;&lt;year&gt;2014&lt;/year&gt;&lt;/dates&gt;&lt;isbn&gt;01678809&lt;/isbn&gt;&lt;urls&gt;&lt;/urls&gt;&lt;electronic-resource-num&gt;10.1016/j.agee.2014.06.022&lt;/electronic-resource-num&gt;&lt;/record&gt;&lt;/Cite&gt;&lt;/EndNote&gt;</w:instrText>
      </w:r>
      <w:r w:rsidR="004F47EF" w:rsidRPr="00C85DC3">
        <w:rPr>
          <w:szCs w:val="24"/>
        </w:rPr>
        <w:fldChar w:fldCharType="separate"/>
      </w:r>
      <w:r w:rsidR="000E3868" w:rsidRPr="00C85DC3">
        <w:rPr>
          <w:noProof/>
          <w:szCs w:val="24"/>
          <w:lang w:val="de-DE"/>
        </w:rPr>
        <w:t>(Blicher-Mathiesen, Andersen et al. 2014)</w:t>
      </w:r>
      <w:r w:rsidR="004F47EF" w:rsidRPr="00C85DC3">
        <w:rPr>
          <w:szCs w:val="24"/>
        </w:rPr>
        <w:fldChar w:fldCharType="end"/>
      </w:r>
      <w:r w:rsidRPr="00C85DC3">
        <w:rPr>
          <w:szCs w:val="24"/>
          <w:lang w:val="de-DE"/>
        </w:rPr>
        <w:t xml:space="preserve">. </w:t>
      </w:r>
      <w:r w:rsidRPr="00C85DC3">
        <w:rPr>
          <w:szCs w:val="24"/>
        </w:rPr>
        <w:t>However, as they directly sample soil solution, they can affect the flow of water through the soil.</w:t>
      </w:r>
    </w:p>
    <w:p w14:paraId="76D2B6E4" w14:textId="4F8C8388" w:rsidR="00A725CF" w:rsidRPr="00C85DC3" w:rsidRDefault="00A725CF" w:rsidP="00A725CF">
      <w:pPr>
        <w:pStyle w:val="ParaText"/>
        <w:spacing w:line="480" w:lineRule="auto"/>
        <w:rPr>
          <w:szCs w:val="24"/>
        </w:rPr>
      </w:pPr>
      <w:r w:rsidRPr="00C85DC3">
        <w:rPr>
          <w:szCs w:val="24"/>
        </w:rPr>
        <w:t xml:space="preserve">Microdialysis provides a minimally invasive and non-destructive in situ sampling technique designed for sampling small quantities of solutes from living organisms </w:t>
      </w:r>
      <w:r w:rsidR="004F47EF" w:rsidRPr="00C85DC3">
        <w:rPr>
          <w:szCs w:val="24"/>
        </w:rPr>
        <w:fldChar w:fldCharType="begin"/>
      </w:r>
      <w:r w:rsidR="002A1395" w:rsidRPr="00C85DC3">
        <w:rPr>
          <w:szCs w:val="24"/>
        </w:rPr>
        <w:instrText xml:space="preserve"> ADDIN EN.CITE &lt;EndNote&gt;&lt;Cite&gt;&lt;Author&gt;Bourne&lt;/Author&gt;&lt;Year&gt;2003&lt;/Year&gt;&lt;RecNum&gt;37&lt;/RecNum&gt;&lt;DisplayText&gt;(Bourne 2003, Hammarlund-Udenaes 2017)&lt;/DisplayText&gt;&lt;record&gt;&lt;rec-number&gt;37&lt;/rec-number&gt;&lt;foreign-keys&gt;&lt;key app="EN" db-id="e0pf0dz95w2e2qesp0ev9tvwdse5fap0eprw" timestamp="1588585383"&gt;37&lt;/key&gt;&lt;/foreign-keys&gt;&lt;ref-type name="Journal Article"&gt;17&lt;/ref-type&gt;&lt;contributors&gt;&lt;authors&gt;&lt;author&gt;Bourne, James A&lt;/author&gt;&lt;/authors&gt;&lt;/contributors&gt;&lt;titles&gt;&lt;title&gt;Intracerebral microdialysis: 30 years as a tool for the neuroscientist&lt;/title&gt;&lt;secondary-title&gt;Clinical and experimental pharmacology and physiology&lt;/secondary-title&gt;&lt;/titles&gt;&lt;periodical&gt;&lt;full-title&gt;Clinical and experimental pharmacology and physiology&lt;/full-title&gt;&lt;/periodical&gt;&lt;pages&gt;16-24&lt;/pages&gt;&lt;volume&gt;30&lt;/volume&gt;&lt;number&gt;1‐2&lt;/number&gt;&lt;dates&gt;&lt;year&gt;2003&lt;/year&gt;&lt;/dates&gt;&lt;isbn&gt;0305-1870&lt;/isbn&gt;&lt;urls&gt;&lt;/urls&gt;&lt;/record&gt;&lt;/Cite&gt;&lt;Cite&gt;&lt;Author&gt;Hammarlund-Udenaes&lt;/Author&gt;&lt;Year&gt;2017&lt;/Year&gt;&lt;RecNum&gt;43&lt;/RecNum&gt;&lt;record&gt;&lt;rec-number&gt;43&lt;/rec-number&gt;&lt;foreign-keys&gt;&lt;key app="EN" db-id="e0pf0dz95w2e2qesp0ev9tvwdse5fap0eprw" timestamp="1588585594"&gt;43&lt;/key&gt;&lt;/foreign-keys&gt;&lt;ref-type name="Journal Article"&gt;17&lt;/ref-type&gt;&lt;contributors&gt;&lt;authors&gt;&lt;author&gt;Hammarlund-Udenaes, Margareta&lt;/author&gt;&lt;/authors&gt;&lt;/contributors&gt;&lt;titles&gt;&lt;title&gt;Microdialysis as an important technique in systems pharmacology—a historical and methodological review&lt;/title&gt;&lt;secondary-title&gt;The AAPS journal&lt;/secondary-title&gt;&lt;/titles&gt;&lt;periodical&gt;&lt;full-title&gt;The AAPS journal&lt;/full-title&gt;&lt;/periodical&gt;&lt;pages&gt;1294-1303&lt;/pages&gt;&lt;volume&gt;19&lt;/volume&gt;&lt;number&gt;5&lt;/number&gt;&lt;dates&gt;&lt;year&gt;2017&lt;/year&gt;&lt;/dates&gt;&lt;isbn&gt;1550-7416&lt;/isbn&gt;&lt;urls&gt;&lt;/urls&gt;&lt;/record&gt;&lt;/Cite&gt;&lt;/EndNote&gt;</w:instrText>
      </w:r>
      <w:r w:rsidR="004F47EF" w:rsidRPr="00C85DC3">
        <w:rPr>
          <w:szCs w:val="24"/>
        </w:rPr>
        <w:fldChar w:fldCharType="separate"/>
      </w:r>
      <w:r w:rsidR="000E3868" w:rsidRPr="00C85DC3">
        <w:rPr>
          <w:noProof/>
          <w:szCs w:val="24"/>
        </w:rPr>
        <w:t>(Bourne 2003, Hammarlund-Udenaes 2017)</w:t>
      </w:r>
      <w:r w:rsidR="004F47EF" w:rsidRPr="00C85DC3">
        <w:rPr>
          <w:szCs w:val="24"/>
        </w:rPr>
        <w:fldChar w:fldCharType="end"/>
      </w:r>
      <w:r w:rsidRPr="00C85DC3">
        <w:rPr>
          <w:szCs w:val="24"/>
        </w:rPr>
        <w:t xml:space="preserve">. Microdialysis relies on the principle of passive diffusion of solutes through a semi-permeable membrane. Therefore, the device does not actively remove water from the system, reducing its invasiveness compared with suction cups. Although microdialysis is primarily a technique in pharmacokinetics, and despite the fragility of the probes, it has been successfully applied to soil </w:t>
      </w:r>
      <w:r w:rsidR="004F47EF" w:rsidRPr="00C85DC3">
        <w:rPr>
          <w:szCs w:val="24"/>
        </w:rPr>
        <w:fldChar w:fldCharType="begin"/>
      </w:r>
      <w:r w:rsidR="002A1395" w:rsidRPr="00C85DC3">
        <w:rPr>
          <w:szCs w:val="24"/>
        </w:rPr>
        <w:instrText xml:space="preserve"> ADDIN EN.CITE &lt;EndNote&gt;&lt;Cite&gt;&lt;Author&gt;Miró&lt;/Author&gt;&lt;Year&gt;2004&lt;/Year&gt;&lt;RecNum&gt;49&lt;/RecNum&gt;&lt;DisplayText&gt;(Miró and Frenzel 2004, Miró and Frenzel 2005)&lt;/DisplayText&gt;&lt;record&gt;&lt;rec-number&gt;49&lt;/rec-number&gt;&lt;foreign-keys&gt;&lt;key app="EN" db-id="e0pf0dz95w2e2qesp0ev9tvwdse5fap0eprw" timestamp="1588585974"&gt;49&lt;/key&gt;&lt;/foreign-keys&gt;&lt;ref-type name="Journal Article"&gt;17&lt;/ref-type&gt;&lt;contributors&gt;&lt;authors&gt;&lt;author&gt;Miró, Manuel&lt;/author&gt;&lt;author&gt;Frenzel, Wolfgang&lt;/author&gt;&lt;/authors&gt;&lt;/contributors&gt;&lt;titles&gt;&lt;title&gt;Implantable flow-through capillary-type microdialyzers for continuous in situ monitoring of environmentally relevant parameters&lt;/title&gt;&lt;secondary-title&gt;Analytical chemistry&lt;/secondary-title&gt;&lt;/titles&gt;&lt;periodical&gt;&lt;full-title&gt;Analytical chemistry&lt;/full-title&gt;&lt;/periodical&gt;&lt;pages&gt;5974-5981&lt;/pages&gt;&lt;volume&gt;76&lt;/volume&gt;&lt;number&gt;19&lt;/number&gt;&lt;dates&gt;&lt;year&gt;2004&lt;/year&gt;&lt;/dates&gt;&lt;isbn&gt;0003-2700&lt;/isbn&gt;&lt;urls&gt;&lt;/urls&gt;&lt;/record&gt;&lt;/Cite&gt;&lt;Cite&gt;&lt;Author&gt;Miró&lt;/Author&gt;&lt;Year&gt;2005&lt;/Year&gt;&lt;RecNum&gt;50&lt;/RecNum&gt;&lt;record&gt;&lt;rec-number&gt;50&lt;/rec-number&gt;&lt;foreign-keys&gt;&lt;key app="EN" db-id="e0pf0dz95w2e2qesp0ev9tvwdse5fap0eprw" timestamp="1588586003"&gt;50&lt;/key&gt;&lt;/foreign-keys&gt;&lt;ref-type name="Journal Article"&gt;17&lt;/ref-type&gt;&lt;contributors&gt;&lt;authors&gt;&lt;author&gt;Miró, Manuel&lt;/author&gt;&lt;author&gt;Frenzel, Wolfgang&lt;/author&gt;&lt;/authors&gt;&lt;/contributors&gt;&lt;titles&gt;&lt;title&gt;The potential of microdialysis as an automatic sample-processing technique for environmental research&lt;/title&gt;&lt;secondary-title&gt;TrAC Trends in Analytical Chemistry&lt;/secondary-title&gt;&lt;/titles&gt;&lt;periodical&gt;&lt;full-title&gt;TrAC Trends in Analytical Chemistry&lt;/full-title&gt;&lt;/periodical&gt;&lt;pages&gt;324-333&lt;/pages&gt;&lt;volume&gt;24&lt;/volume&gt;&lt;number&gt;4&lt;/number&gt;&lt;dates&gt;&lt;year&gt;2005&lt;/year&gt;&lt;/dates&gt;&lt;isbn&gt;0165-9936&lt;/isbn&gt;&lt;urls&gt;&lt;/urls&gt;&lt;/record&gt;&lt;/Cite&gt;&lt;/EndNote&gt;</w:instrText>
      </w:r>
      <w:r w:rsidR="004F47EF" w:rsidRPr="00C85DC3">
        <w:rPr>
          <w:szCs w:val="24"/>
        </w:rPr>
        <w:fldChar w:fldCharType="separate"/>
      </w:r>
      <w:r w:rsidR="000E3868" w:rsidRPr="00C85DC3">
        <w:rPr>
          <w:noProof/>
          <w:szCs w:val="24"/>
        </w:rPr>
        <w:t>(Miró and Frenzel 2004, Miró and Frenzel 2005)</w:t>
      </w:r>
      <w:r w:rsidR="004F47EF" w:rsidRPr="00C85DC3">
        <w:rPr>
          <w:szCs w:val="24"/>
        </w:rPr>
        <w:fldChar w:fldCharType="end"/>
      </w:r>
      <w:r w:rsidRPr="00C85DC3">
        <w:rPr>
          <w:szCs w:val="24"/>
        </w:rPr>
        <w:t xml:space="preserve"> and recently to sampling phosphorus from soil solution </w:t>
      </w:r>
      <w:r w:rsidR="004F47EF" w:rsidRPr="00C85DC3">
        <w:rPr>
          <w:szCs w:val="24"/>
        </w:rPr>
        <w:fldChar w:fldCharType="begin"/>
      </w:r>
      <w:r w:rsidR="002A1395" w:rsidRPr="00C85DC3">
        <w:rPr>
          <w:szCs w:val="24"/>
        </w:rPr>
        <w:instrText xml:space="preserve"> ADDIN EN.CITE &lt;EndNote&gt;&lt;Cite&gt;&lt;Author&gt;Demand&lt;/Author&gt;&lt;Year&gt;2017&lt;/Year&gt;&lt;RecNum&gt;41&lt;/RecNum&gt;&lt;DisplayText&gt;(Demand, Schack-Kirchner et al. 2017, McKay Fletcher, Shaw et al. 2019)&lt;/DisplayText&gt;&lt;record&gt;&lt;rec-number&gt;41&lt;/rec-number&gt;&lt;foreign-keys&gt;&lt;key app="EN" db-id="e0pf0dz95w2e2qesp0ev9tvwdse5fap0eprw" timestamp</w:instrText>
      </w:r>
      <w:r w:rsidR="002A1395" w:rsidRPr="00C85DC3">
        <w:rPr>
          <w:szCs w:val="24"/>
          <w:lang w:val="de-DE"/>
        </w:rPr>
        <w:instrText>="1588585516"&gt;41&lt;/key&gt;&lt;/foreign-keys&gt;&lt;ref-type name="Journal Article"&gt;17&lt;/ref-type&gt;&lt;contributors&gt;&lt;authors&gt;&lt;author&gt;Demand, Dominic&lt;/author&gt;&lt;author&gt;Schack-Kirchner, Helmer&lt;/author&gt;&lt;author&gt;Lang, Friederike&lt;/author&gt;&lt;/authors&gt;&lt;/contributors&gt;&lt;titles&gt;&lt;title&gt;Assessment of diffusive phosphate supply in soils by microdialysis&lt;/title&gt;&lt;secondary-title&gt;Journal of Plant Nutrition and Soil Science&lt;/secondary-title&gt;&lt;/titles&gt;&lt;periodical&gt;&lt;full-title&gt;Journal of Plant Nutrition and Soil Science&lt;/full-title&gt;&lt;/periodical&gt;&lt;pages&gt;220-230&lt;/pages&gt;&lt;volume&gt;180&lt;/volume&gt;&lt;number&gt;2&lt;/number&gt;&lt;dates&gt;&lt;year&gt;2017&lt;/year&gt;&lt;/dates&gt;&lt;isbn&gt;1436-8730&lt;/isbn&gt;&lt;urls&gt;&lt;/urls&gt;&lt;/record&gt;&lt;/Cite&gt;&lt;Cite&gt;&lt;Author&gt;McKay Fletcher&lt;/Author&gt;&lt;Year&gt;2019&lt;/Year&gt;&lt;RecNum&gt;46&lt;/RecNum&gt;&lt;record&gt;&lt;rec-number&gt;46&lt;/rec-number&gt;&lt;foreign-keys&gt;&lt;key app="EN" db-id="e0pf0dz95w2e2qesp0ev9tvwdse5fap0eprw" timestamp="1588585869"&gt;46&lt;/key&gt;&lt;/foreign-keys&gt;&lt;ref-type name="Journal Article"&gt;17&lt;/ref-type&gt;&lt;contributors&gt;&lt;authors&gt;&lt;author&gt;McKay Fletcher, DM&lt;/author&gt;&lt;author&gt;Shaw, R&lt;/author&gt;&lt;author&gt;Sánchez-Rodríguez, AR&lt;/author&gt;&lt;author&gt;Daly, KR&lt;/author&gt;&lt;author&gt;Van Veelen, A&lt;/author&gt;&lt;author&gt;Jones, DL&lt;/author&gt;&lt;author&gt;Roose, T&lt;/author&gt;&lt;/authors&gt;&lt;/contributors&gt;&lt;titles&gt;&lt;title&gt;Quantifying citrate-enhanced phosphate root uptake using microdialysis&lt;/title&gt;&lt;secondary-title&gt;Plant and Soil&lt;/secondary-title&gt;&lt;/titles&gt;&lt;periodical&gt;&lt;full-title&gt;Plant and Soil&lt;/full-title&gt;&lt;/periodical&gt;&lt;pages&gt;1-21&lt;/pages&gt;&lt;dates&gt;&lt;year&gt;2019&lt;/year&gt;&lt;/dates&gt;&lt;isbn&gt;0032-079X&lt;/isbn&gt;&lt;urls&gt;&lt;/urls&gt;&lt;/record&gt;&lt;/Cite&gt;&lt;/EndNote&gt;</w:instrText>
      </w:r>
      <w:r w:rsidR="004F47EF" w:rsidRPr="00C85DC3">
        <w:rPr>
          <w:szCs w:val="24"/>
        </w:rPr>
        <w:fldChar w:fldCharType="separate"/>
      </w:r>
      <w:r w:rsidR="000E3868" w:rsidRPr="00C85DC3">
        <w:rPr>
          <w:noProof/>
          <w:szCs w:val="24"/>
          <w:lang w:val="de-DE"/>
        </w:rPr>
        <w:t>(Demand, Schack-Kirchner et al. 2017, McKay Fletcher, Shaw et al. 2019)</w:t>
      </w:r>
      <w:r w:rsidR="004F47EF" w:rsidRPr="00C85DC3">
        <w:rPr>
          <w:szCs w:val="24"/>
        </w:rPr>
        <w:fldChar w:fldCharType="end"/>
      </w:r>
      <w:r w:rsidRPr="00C85DC3">
        <w:rPr>
          <w:szCs w:val="24"/>
          <w:lang w:val="de-DE"/>
        </w:rPr>
        <w:t xml:space="preserve">. </w:t>
      </w:r>
      <w:r w:rsidRPr="00C85DC3">
        <w:rPr>
          <w:szCs w:val="24"/>
        </w:rPr>
        <w:t xml:space="preserve">Microdialysis relative recovery rates (RR) of solutes can be very high (RR&gt;100% have previously been reported; </w:t>
      </w:r>
      <w:r w:rsidR="004F47EF" w:rsidRPr="00C85DC3">
        <w:rPr>
          <w:szCs w:val="24"/>
        </w:rPr>
        <w:fldChar w:fldCharType="begin"/>
      </w:r>
      <w:r w:rsidR="002A1395" w:rsidRPr="00C85DC3">
        <w:rPr>
          <w:szCs w:val="24"/>
        </w:rPr>
        <w:instrText xml:space="preserve"> ADDIN EN.CITE &lt;EndNote&gt;&lt;Cite&gt;&lt;Author&gt;Torto&lt;/Author&gt;&lt;Year&gt;1995&lt;/Year&gt;&lt;RecNum&gt;57&lt;/RecNum&gt;&lt;DisplayText&gt;(Torto, Buttler et al. 1995)&lt;/DisplayText&gt;&lt;record&gt;&lt;rec-number&gt;57&lt;/rec-number&gt;&lt;foreign-keys&gt;&lt;key app="EN" db-id="e0pf0dz95w2e2qesp0ev9tvwdse5fap0eprw" timestamp="1588586202"&gt;57&lt;/key&gt;&lt;/foreign-keys&gt;&lt;ref-type name="Journal Article"&gt;17&lt;/ref-type&gt;&lt;contributors&gt;&lt;authors&gt;&lt;author&gt;Torto, Nelson&lt;/author&gt;&lt;author&gt;Buttler, Torbjörn&lt;/author&gt;&lt;author&gt;Gorton, Lo&lt;/author&gt;&lt;author&gt;Marko-Varga, György&lt;/author&gt;&lt;author&gt;Stålbrand, Henrik&lt;/author&gt;&lt;author&gt;Tjerneld, Folke&lt;/author&gt;&lt;/authors&gt;&lt;/contributors&gt;&lt;titles&gt;&lt;title&gt;Monitoring of enzymatic hydrolysis of ivory nut mannan using on-line microdialysis sampling and anion-exchange chromatography with integrated pulsed electrochemical detection&lt;/title&gt;&lt;secondary-title&gt;Analytica chimica acta&lt;/secondary-title&gt;&lt;/titles&gt;&lt;periodical&gt;&lt;full-title&gt;Analytica chimica acta&lt;/full-title&gt;&lt;/periodical&gt;&lt;pages&gt;15-24&lt;/pages&gt;&lt;volume&gt;313&lt;/volume&gt;&lt;number&gt;1-2&lt;/number&gt;&lt;dates&gt;&lt;year&gt;1995&lt;/year&gt;&lt;/dates&gt;&lt;isbn&gt;0003-2670&lt;/isbn&gt;&lt;urls&gt;&lt;/urls&gt;&lt;/record&gt;&lt;/Cite&gt;&lt;/EndNote&gt;</w:instrText>
      </w:r>
      <w:r w:rsidR="004F47EF" w:rsidRPr="00C85DC3">
        <w:rPr>
          <w:szCs w:val="24"/>
        </w:rPr>
        <w:fldChar w:fldCharType="separate"/>
      </w:r>
      <w:r w:rsidR="000E3868" w:rsidRPr="00C85DC3">
        <w:rPr>
          <w:noProof/>
          <w:szCs w:val="24"/>
        </w:rPr>
        <w:t>(Torto, Buttler et al. 1995)</w:t>
      </w:r>
      <w:r w:rsidR="004F47EF" w:rsidRPr="00C85DC3">
        <w:rPr>
          <w:szCs w:val="24"/>
        </w:rPr>
        <w:fldChar w:fldCharType="end"/>
      </w:r>
      <w:r w:rsidRPr="00C85DC3">
        <w:rPr>
          <w:szCs w:val="24"/>
        </w:rPr>
        <w:t xml:space="preserve">) but RR are highly dependent on the perfusion flow rate, with slower flow rates promoting higher RR </w:t>
      </w:r>
      <w:r w:rsidR="00A572C5" w:rsidRPr="00C85DC3">
        <w:rPr>
          <w:szCs w:val="24"/>
        </w:rPr>
        <w:fldChar w:fldCharType="begin"/>
      </w:r>
      <w:r w:rsidR="002A1395" w:rsidRPr="00C85DC3">
        <w:rPr>
          <w:szCs w:val="24"/>
        </w:rPr>
        <w:instrText xml:space="preserve"> ADDIN EN.CITE &lt;EndNote&gt;&lt;Cite&gt;&lt;Author&gt;Miró&lt;/Author&gt;&lt;Year&gt;2004&lt;/Year&gt;&lt;RecNum&gt;49&lt;/RecNum&gt;&lt;DisplayText&gt;(Miró and Frenzel 2004, Inselsbacher, Öhlund et al. 2011)&lt;/DisplayText&gt;&lt;record&gt;&lt;rec-number&gt;49&lt;/rec-number&gt;&lt;foreign-keys&gt;&lt;key app="EN" db-id="e0pf0dz95w2e2qesp0ev9tvwdse5fap0eprw" timestamp="1588585974"&gt;49&lt;/key&gt;&lt;/foreign-keys&gt;&lt;ref-type name="Journal Article"&gt;17&lt;/ref-type&gt;&lt;contributors&gt;&lt;authors&gt;&lt;author&gt;Miró, Manuel&lt;/author&gt;&lt;author&gt;Frenzel, Wolfgang&lt;/author&gt;&lt;/authors&gt;&lt;/contributors&gt;&lt;titles&gt;&lt;title&gt;Implantable flow-through capillary-type microdialyzers for continuous in situ monitoring of environmentally relevant parameters&lt;/title&gt;&lt;secondary-title&gt;Analytical chemistry&lt;/secondary-title&gt;&lt;/titles&gt;&lt;periodical&gt;&lt;full-title&gt;Analytical chemistry&lt;/full-title&gt;&lt;/periodical&gt;&lt;pages&gt;5974-5981&lt;/pages&gt;&lt;volume&gt;76&lt;/volume&gt;&lt;number&gt;19&lt;/number&gt;&lt;dates&gt;&lt;year&gt;2004&lt;/year&gt;&lt;/dates&gt;&lt;isbn&gt;0003-2700&lt;/isbn&gt;&lt;urls&gt;&lt;/urls&gt;&lt;/record&gt;&lt;/Cite&gt;&lt;Cite&gt;&lt;Author&gt;Inselsbacher&lt;/Author&gt;&lt;Year&gt;2011&lt;/Year&gt;&lt;RecNum&gt;14&lt;/RecNum&gt;&lt;record&gt;&lt;rec-number&gt;14&lt;/rec-number&gt;&lt;foreign-keys&gt;&lt;key app="EN" db-id="e0pf0dz95w2e2qesp0ev9tvwdse5fap0eprw" timestamp="1588583659"&gt;14&lt;/key&gt;&lt;key app="ENWeb" db-id=""&gt;0&lt;/key&gt;&lt;/foreign-keys&gt;&lt;ref-type name="Journal Article"&gt;17&lt;/ref-type&gt;&lt;contributors&gt;&lt;authors&gt;&lt;author&gt;Inselsbacher, Erich&lt;/author&gt;&lt;author&gt;Öhlund, Jonas&lt;/author&gt;&lt;author&gt;Jämtgård, Sandra&lt;/author&gt;&lt;author&gt;Huss-Danell, Kerstin&lt;/author&gt;&lt;author&gt;Näsholm, Torgny&lt;/author&gt;&lt;/authors&gt;&lt;/contributors&gt;&lt;titles&gt;&lt;title&gt;The potential of microdialysis to monitor organic and inorganic nitrogen compounds in soil&lt;/title&gt;&lt;secondary-title&gt;Soil Biology and Biochemistry&lt;/secondary-title&gt;&lt;/titles&gt;&lt;periodical&gt;&lt;full-title&gt;Soil Biology and Biochemistry&lt;/full-title&gt;&lt;/periodical&gt;&lt;pages&gt;1321-1332&lt;/pages&gt;&lt;volume&gt;43&lt;/volume&gt;&lt;number&gt;6&lt;/number&gt;&lt;section&gt;1321&lt;/section&gt;&lt;dates&gt;&lt;year&gt;2011&lt;/year&gt;&lt;/dates&gt;&lt;isbn&gt;00380717&lt;/isbn&gt;&lt;urls&gt;&lt;/urls&gt;&lt;electronic-resource-num&gt;10.1016/j.soilbio.2011.03.003&lt;/electronic-resource-num&gt;&lt;/record&gt;&lt;/Cite&gt;&lt;/EndNote&gt;</w:instrText>
      </w:r>
      <w:r w:rsidR="00A572C5" w:rsidRPr="00C85DC3">
        <w:rPr>
          <w:szCs w:val="24"/>
        </w:rPr>
        <w:fldChar w:fldCharType="separate"/>
      </w:r>
      <w:r w:rsidR="000E3868" w:rsidRPr="00C85DC3">
        <w:rPr>
          <w:noProof/>
          <w:szCs w:val="24"/>
        </w:rPr>
        <w:t xml:space="preserve">(Miró and </w:t>
      </w:r>
      <w:r w:rsidR="000E3868" w:rsidRPr="00C85DC3">
        <w:rPr>
          <w:noProof/>
          <w:szCs w:val="24"/>
        </w:rPr>
        <w:lastRenderedPageBreak/>
        <w:t>Frenzel 2004, Inselsbacher, Öhlund et al. 2011)</w:t>
      </w:r>
      <w:r w:rsidR="00A572C5" w:rsidRPr="00C85DC3">
        <w:rPr>
          <w:szCs w:val="24"/>
        </w:rPr>
        <w:fldChar w:fldCharType="end"/>
      </w:r>
      <w:r w:rsidRPr="00C85DC3">
        <w:rPr>
          <w:szCs w:val="24"/>
        </w:rPr>
        <w:t xml:space="preserve">. The relative recovery also depends strongly on the composition of the perfusion fluid </w:t>
      </w:r>
      <w:r w:rsidR="00A572C5" w:rsidRPr="00C85DC3">
        <w:rPr>
          <w:szCs w:val="24"/>
        </w:rPr>
        <w:fldChar w:fldCharType="begin"/>
      </w:r>
      <w:r w:rsidR="002A1395" w:rsidRPr="00C85DC3">
        <w:rPr>
          <w:szCs w:val="24"/>
        </w:rPr>
        <w:instrText xml:space="preserve"> ADDIN EN.CITE &lt;EndNote&gt;&lt;Cite&gt;&lt;Author&gt;Buckley&lt;/Author&gt;&lt;Year&gt;2020&lt;/Year&gt;&lt;RecNum&gt;40&lt;/RecNum&gt;&lt;DisplayText&gt;(Buckley, Brackin et al. 2020)&lt;/DisplayText&gt;&lt;record&gt;&lt;rec-number&gt;40&lt;/rec-number&gt;&lt;foreign-keys&gt;&lt;key app="EN" db-id="e0pf0dz95w2e2qesp0ev9tvwdse5fap0eprw" timestamp="1588585469"&gt;40&lt;/key&gt;&lt;/foreign-keys&gt;&lt;ref-type name="Journal Article"&gt;17&lt;/ref-type&gt;&lt;contributors&gt;&lt;authors&gt;&lt;author&gt;Buckley, Scott&lt;/author&gt;&lt;author&gt;Brackin, Richard&lt;/author&gt;&lt;author&gt;Jämtgård, Sandra&lt;/author&gt;&lt;author&gt;Näsholm, Torgny&lt;/author&gt;&lt;author&gt;Schmidt, Susanne&lt;/author&gt;&lt;/authors&gt;&lt;/contributors&gt;&lt;titles&gt;&lt;title&gt;Microdialysis in soil environments: Current practice and future perspectives&lt;/title&gt;&lt;secondary-title&gt;Soil Biology and Biochemistry&lt;/secondary-title&gt;&lt;/titles&gt;&lt;periodical&gt;&lt;full-title&gt;Soil Biology and Biochemistry&lt;/full-title&gt;&lt;/periodical&gt;&lt;pages&gt;107743&lt;/pages&gt;&lt;volume&gt;143&lt;/volume&gt;&lt;dates&gt;&lt;year&gt;2020&lt;/year&gt;&lt;/dates&gt;&lt;isbn&gt;0038-0717&lt;/isbn&gt;&lt;urls&gt;&lt;/urls&gt;&lt;/record&gt;&lt;/Cite&gt;&lt;/EndNote&gt;</w:instrText>
      </w:r>
      <w:r w:rsidR="00A572C5" w:rsidRPr="00C85DC3">
        <w:rPr>
          <w:szCs w:val="24"/>
        </w:rPr>
        <w:fldChar w:fldCharType="separate"/>
      </w:r>
      <w:r w:rsidR="000E3868" w:rsidRPr="00C85DC3">
        <w:rPr>
          <w:noProof/>
          <w:szCs w:val="24"/>
        </w:rPr>
        <w:t>(Buckley, Brackin et al. 2020)</w:t>
      </w:r>
      <w:r w:rsidR="00A572C5" w:rsidRPr="00C85DC3">
        <w:rPr>
          <w:szCs w:val="24"/>
        </w:rPr>
        <w:fldChar w:fldCharType="end"/>
      </w:r>
      <w:r w:rsidRPr="00C85DC3">
        <w:rPr>
          <w:szCs w:val="24"/>
        </w:rPr>
        <w:t xml:space="preserve">, soil moisture </w:t>
      </w:r>
      <w:r w:rsidR="00A572C5" w:rsidRPr="00C85DC3">
        <w:rPr>
          <w:szCs w:val="24"/>
        </w:rPr>
        <w:fldChar w:fldCharType="begin"/>
      </w:r>
      <w:r w:rsidR="002A1395" w:rsidRPr="00C85DC3">
        <w:rPr>
          <w:szCs w:val="24"/>
        </w:rPr>
        <w:instrText xml:space="preserve"> ADDIN EN.CITE &lt;EndNote&gt;&lt;Cite&gt;&lt;Author&gt;Buckley&lt;/Author&gt;&lt;Year&gt;2017&lt;/Year&gt;&lt;RecNum&gt;39&lt;/RecNum&gt;&lt;DisplayText&gt;(Buckley, Brackin et al. 2017, Jämtgård, Robinson et al. 2018)&lt;/DisplayText&gt;&lt;record&gt;&lt;rec-number&gt;39&lt;/rec-number&gt;&lt;foreign-keys&gt;&lt;key app="EN" db-id="e0pf0dz95w2e2qesp0ev9tvwdse5fap0eprw" timestamp="1588585446"&gt;39&lt;/key&gt;&lt;/foreign-keys&gt;&lt;ref-type name="Journal Article"&gt;17&lt;/ref-type&gt;&lt;contributors&gt;&lt;authors&gt;&lt;author&gt;Buckley, Scott&lt;/author&gt;&lt;author&gt;Brackin, Richard&lt;/author&gt;&lt;author&gt;Näsholm, Torgny&lt;/author&gt;&lt;author&gt;Schmidt, Susanne&lt;/author&gt;&lt;author&gt;Jämtgård, Sandra&lt;/author&gt;&lt;/authors&gt;&lt;/contributors&gt;&lt;titles&gt;&lt;title&gt;Improving in situ recovery of soil nitrogen using the microdialysis technique&lt;/title&gt;&lt;secondary-title&gt;Soil Biology and Biochemistry&lt;/secondary-title&gt;&lt;/titles&gt;&lt;periodical&gt;&lt;full-title&gt;Soil Biology and Biochemistry&lt;/full-title&gt;&lt;/periodical&gt;&lt;pages&gt;93-103&lt;/pages&gt;&lt;volume&gt;114&lt;/volume&gt;&lt;dates&gt;&lt;year&gt;2017&lt;/year&gt;&lt;/dates&gt;&lt;isbn&gt;0038-0717&lt;/isbn&gt;&lt;urls&gt;&lt;/urls&gt;&lt;/record&gt;&lt;/Cite&gt;&lt;Cite&gt;&lt;Author&gt;Jämtgård&lt;/Author&gt;&lt;Year&gt;2018&lt;/Year&gt;&lt;RecNum&gt;44&lt;/RecNum&gt;&lt;record&gt;&lt;rec-number&gt;44&lt;/rec-number&gt;&lt;foreign-keys&gt;&lt;key app="EN" db-id="e0pf0dz95w2e2qesp0ev9tvwdse5fap0eprw" timestamp="1588585791"&gt;44&lt;/key&gt;&lt;/foreign-keys&gt;&lt;ref-type name="Journal Article"&gt;17&lt;/ref-type&gt;&lt;contributors&gt;&lt;authors&gt;&lt;author&gt;Jämtgård, Sandra&lt;/author&gt;&lt;author&gt;Robinson, Nicole&lt;/author&gt;&lt;author&gt;Moritz, Thomas&lt;/author&gt;&lt;author&gt;Colgrave, Michelle L&lt;/author&gt;&lt;author&gt;Schmidt, Susanne&lt;/author&gt;&lt;/authors&gt;&lt;/contributors&gt;&lt;titles&gt;&lt;title&gt;Optimising methods for the recovery and quantification of di-and tripeptides in soil&lt;/title&gt;&lt;secondary-title&gt;Soil Research&lt;/secondary-title&gt;&lt;/titles&gt;&lt;periodical&gt;&lt;full-title&gt;Soil Research&lt;/full-title&gt;&lt;/periodical&gt;&lt;pages&gt;404-412&lt;/pages&gt;&lt;volume&gt;56&lt;/volume&gt;&lt;number&gt;4&lt;/number&gt;&lt;dates&gt;&lt;year&gt;2018&lt;/year&gt;&lt;/dates&gt;&lt;isbn&gt;1838-6768&lt;/isbn&gt;&lt;urls&gt;&lt;/urls&gt;&lt;/record&gt;&lt;/Cite&gt;&lt;/EndNote&gt;</w:instrText>
      </w:r>
      <w:r w:rsidR="00A572C5" w:rsidRPr="00C85DC3">
        <w:rPr>
          <w:szCs w:val="24"/>
        </w:rPr>
        <w:fldChar w:fldCharType="separate"/>
      </w:r>
      <w:r w:rsidR="000E3868" w:rsidRPr="00C85DC3">
        <w:rPr>
          <w:noProof/>
          <w:szCs w:val="24"/>
        </w:rPr>
        <w:t>(Buckley, Brackin et al. 2017, Jämtgård, Robinson et al. 2018)</w:t>
      </w:r>
      <w:r w:rsidR="00A572C5" w:rsidRPr="00C85DC3">
        <w:rPr>
          <w:szCs w:val="24"/>
        </w:rPr>
        <w:fldChar w:fldCharType="end"/>
      </w:r>
      <w:r w:rsidRPr="00C85DC3">
        <w:rPr>
          <w:szCs w:val="24"/>
        </w:rPr>
        <w:t xml:space="preserve"> and on physical, chemical and biological processes that happen in soil </w:t>
      </w:r>
      <w:r w:rsidR="00A572C5" w:rsidRPr="00C85DC3">
        <w:rPr>
          <w:szCs w:val="24"/>
        </w:rPr>
        <w:fldChar w:fldCharType="begin"/>
      </w:r>
      <w:r w:rsidR="002A1395" w:rsidRPr="00C85DC3">
        <w:rPr>
          <w:szCs w:val="24"/>
        </w:rPr>
        <w:instrText xml:space="preserve"> ADDIN EN.CITE &lt;EndNote&gt;&lt;Cite&gt;&lt;Author&gt;Demand&lt;/Author&gt;&lt;Year&gt;2017&lt;/Year&gt;&lt;RecNum&gt;41&lt;/RecNum&gt;&lt;DisplayText&gt;(Demand, Schack-Kirchner et al. 2017)&lt;/DisplayText&gt;&lt;record&gt;&lt;rec-number&gt;41&lt;/rec-number&gt;&lt;foreign-keys&gt;&lt;key app="EN" db-id="e0pf0dz95w2e2qesp0ev9tvwdse5fap0eprw" timestamp="1588585516"&gt;41&lt;/key&gt;&lt;/foreign-keys&gt;&lt;ref-type name="Journal Article"&gt;17&lt;/ref-type&gt;&lt;contributors&gt;&lt;authors&gt;&lt;author&gt;Demand, Dominic&lt;/author&gt;&lt;author&gt;Schack-Kirchner, Helmer&lt;/author&gt;&lt;author&gt;Lang, Friederike&lt;/author&gt;&lt;/authors&gt;&lt;/contributors&gt;&lt;titles&gt;&lt;title&gt;Assessment of diffusive phosphate supply in soils by microdialysis&lt;/title&gt;&lt;secondary-title&gt;Journal of Plant Nutrition and Soil Science&lt;/secondary-title&gt;&lt;/titles&gt;&lt;periodical&gt;&lt;full-title&gt;Journal of Plant Nutrition and Soil Science&lt;/full-title&gt;&lt;/periodical&gt;&lt;pages&gt;220-230&lt;/pages&gt;&lt;volume&gt;180&lt;/volume&gt;&lt;number&gt;2&lt;/number&gt;&lt;dates&gt;&lt;year&gt;2017&lt;/year&gt;&lt;/dates&gt;&lt;isbn&gt;1436-8730&lt;/isbn&gt;&lt;urls&gt;&lt;/urls&gt;&lt;/record&gt;&lt;/Cite&gt;&lt;/EndNote&gt;</w:instrText>
      </w:r>
      <w:r w:rsidR="00A572C5" w:rsidRPr="00C85DC3">
        <w:rPr>
          <w:szCs w:val="24"/>
        </w:rPr>
        <w:fldChar w:fldCharType="separate"/>
      </w:r>
      <w:r w:rsidR="000E3868" w:rsidRPr="00C85DC3">
        <w:rPr>
          <w:noProof/>
          <w:szCs w:val="24"/>
        </w:rPr>
        <w:t>(Demand, Schack-Kirchner et al. 2017)</w:t>
      </w:r>
      <w:r w:rsidR="00A572C5" w:rsidRPr="00C85DC3">
        <w:rPr>
          <w:szCs w:val="24"/>
        </w:rPr>
        <w:fldChar w:fldCharType="end"/>
      </w:r>
      <w:r w:rsidRPr="00C85DC3">
        <w:rPr>
          <w:szCs w:val="24"/>
        </w:rPr>
        <w:t xml:space="preserve">. </w:t>
      </w:r>
    </w:p>
    <w:p w14:paraId="0CBF3E78" w14:textId="239EF92E" w:rsidR="00A725CF" w:rsidRPr="00C85DC3" w:rsidRDefault="00A725CF" w:rsidP="00A725CF">
      <w:pPr>
        <w:pStyle w:val="ParaText"/>
        <w:spacing w:line="480" w:lineRule="auto"/>
        <w:rPr>
          <w:szCs w:val="24"/>
        </w:rPr>
      </w:pPr>
      <w:r w:rsidRPr="00C85DC3">
        <w:rPr>
          <w:szCs w:val="24"/>
        </w:rPr>
        <w:t xml:space="preserve">X-ray computed tomography (XCT) is a powerful technique for investigating 3D pore space </w:t>
      </w:r>
      <w:r w:rsidR="00396D8F" w:rsidRPr="00C85DC3">
        <w:rPr>
          <w:szCs w:val="24"/>
        </w:rPr>
        <w:fldChar w:fldCharType="begin"/>
      </w:r>
      <w:r w:rsidR="002A1395" w:rsidRPr="00C85DC3">
        <w:rPr>
          <w:szCs w:val="24"/>
        </w:rPr>
        <w:instrText xml:space="preserve"> ADDIN EN.CITE &lt;EndNote&gt;&lt;Cite&gt;&lt;Author&gt;Lehmann&lt;/Author&gt;&lt;Year&gt;2006&lt;/Year&gt;&lt;RecNum&gt;19&lt;/RecNum&gt;&lt;DisplayText&gt;(Lehmann, Wyss et al. 2006)&lt;/DisplayText&gt;&lt;record&gt;&lt;rec-number&gt;19&lt;/rec-number&gt;&lt;foreign-keys&gt;&lt;key app="EN" db-id="e0pf0dz95w2e2qesp0ev9tvwdse5fap0eprw" timestamp="1588583685"&gt;19&lt;/key&gt;&lt;key app="ENWeb" db-id=""&gt;0&lt;/key&gt;&lt;/foreign-keys&gt;&lt;ref-type name="Journal Article"&gt;17&lt;/ref-type&gt;&lt;contributors&gt;&lt;authors&gt;&lt;author&gt;Lehmann, P.&lt;/author&gt;&lt;author&gt;Wyss, P.&lt;/author&gt;&lt;author&gt;Flisch, A.&lt;/author&gt;&lt;author&gt;Lehmann, E.&lt;/author&gt;&lt;author&gt;Vontobel, P.&lt;/author&gt;&lt;author&gt;Krafczyk, M.&lt;/author&gt;&lt;author&gt;Kaestner, A.&lt;/author&gt;&lt;author&gt;Beckmann, F.&lt;/author&gt;&lt;author&gt;Gygi, A.&lt;/author&gt;&lt;author&gt;Flühler, H.&lt;/author&gt;&lt;/authors&gt;&lt;/contributors&gt;&lt;titles&gt;&lt;title&gt;Tomographical Imaging and Mathematical Description of Porous Media Used for the Prediction of Fluid Distribution&lt;/title&gt;&lt;secondary-title&gt;Vadose Zone Journal&lt;/secondary-title&gt;&lt;/titles&gt;&lt;periodical&gt;&lt;full-title&gt;Vadose Zone Journal&lt;/full-title&gt;&lt;/periodical&gt;&lt;pages&gt;80-97&lt;/pages&gt;&lt;volume&gt;5&lt;/volume&gt;&lt;number&gt;1&lt;/number&gt;&lt;section&gt;80&lt;/section&gt;&lt;dates&gt;&lt;year&gt;2006&lt;/year&gt;&lt;/dates&gt;&lt;isbn&gt;15391663&lt;/isbn&gt;&lt;urls&gt;&lt;/urls&gt;&lt;electronic-resource-num&gt;10.2136/vzj2004.0177&lt;/electronic-resource-num&gt;&lt;/record&gt;&lt;/Cite&gt;&lt;/EndNote&gt;</w:instrText>
      </w:r>
      <w:r w:rsidR="00396D8F" w:rsidRPr="00C85DC3">
        <w:rPr>
          <w:szCs w:val="24"/>
        </w:rPr>
        <w:fldChar w:fldCharType="separate"/>
      </w:r>
      <w:r w:rsidR="000E3868" w:rsidRPr="00C85DC3">
        <w:rPr>
          <w:noProof/>
          <w:szCs w:val="24"/>
        </w:rPr>
        <w:t>(Lehmann, Wyss et al. 2006)</w:t>
      </w:r>
      <w:r w:rsidR="00396D8F" w:rsidRPr="00C85DC3">
        <w:rPr>
          <w:szCs w:val="24"/>
        </w:rPr>
        <w:fldChar w:fldCharType="end"/>
      </w:r>
      <w:r w:rsidRPr="00C85DC3">
        <w:rPr>
          <w:szCs w:val="24"/>
        </w:rPr>
        <w:t xml:space="preserve"> and in situ root structure </w:t>
      </w:r>
      <w:r w:rsidR="00396D8F" w:rsidRPr="00C85DC3">
        <w:rPr>
          <w:szCs w:val="24"/>
        </w:rPr>
        <w:fldChar w:fldCharType="begin"/>
      </w:r>
      <w:r w:rsidR="002A1395" w:rsidRPr="00C85DC3">
        <w:rPr>
          <w:szCs w:val="24"/>
        </w:rPr>
        <w:instrText xml:space="preserve"> ADDIN EN.CITE &lt;EndNote&gt;&lt;Cite&gt;&lt;Author&gt;Mooney&lt;/Author&gt;&lt;Year&gt;2012&lt;/Year&gt;&lt;RecNum&gt;52&lt;/RecNum&gt;&lt;DisplayText&gt;(Mooney, Pridmore et al. 2012)&lt;/DisplayText&gt;&lt;record&gt;&lt;rec-number&gt;52&lt;/rec-number&gt;&lt;foreign-keys&gt;&lt;key app="EN" db-id="e0pf0dz95w2e2qesp0ev9tvwdse5fap0eprw" timestamp="1588586063"&gt;52&lt;/key&gt;&lt;/foreign-keys&gt;&lt;ref-type name="Journal Article"&gt;17&lt;/ref-type&gt;&lt;contributors&gt;&lt;authors&gt;&lt;author&gt;Mooney, Sacha J&lt;/author&gt;&lt;author&gt;Pridmore, Tony P&lt;/author&gt;&lt;author&gt;Helliwell, Jonathan&lt;/author&gt;&lt;author&gt;Bennett, Malcolm J&lt;/author&gt;&lt;/authors&gt;&lt;/contributors&gt;&lt;titles&gt;&lt;title&gt;Developing X-ray computed tomography to non-invasively image 3-D root systems architecture in soil&lt;/title&gt;&lt;secondary-title&gt;Plant and soil&lt;/secondary-title&gt;&lt;/titles&gt;&lt;periodical&gt;&lt;full-title&gt;Plant and Soil&lt;/full-title&gt;&lt;/periodical&gt;&lt;pages&gt;1-22&lt;/pages&gt;&lt;volume&gt;352&lt;/volume&gt;&lt;number&gt;1-2&lt;/number&gt;&lt;dates&gt;&lt;year&gt;2012&lt;/year&gt;&lt;/dates&gt;&lt;isbn&gt;0032-079X&lt;/isbn&gt;&lt;urls&gt;&lt;/urls&gt;&lt;/record&gt;&lt;/Cite&gt;&lt;/EndNote&gt;</w:instrText>
      </w:r>
      <w:r w:rsidR="00396D8F" w:rsidRPr="00C85DC3">
        <w:rPr>
          <w:szCs w:val="24"/>
        </w:rPr>
        <w:fldChar w:fldCharType="separate"/>
      </w:r>
      <w:r w:rsidR="000E3868" w:rsidRPr="00C85DC3">
        <w:rPr>
          <w:noProof/>
          <w:szCs w:val="24"/>
        </w:rPr>
        <w:t>(Mooney, Pridmore et al. 2012)</w:t>
      </w:r>
      <w:r w:rsidR="00396D8F" w:rsidRPr="00C85DC3">
        <w:rPr>
          <w:szCs w:val="24"/>
        </w:rPr>
        <w:fldChar w:fldCharType="end"/>
      </w:r>
      <w:r w:rsidRPr="00C85DC3">
        <w:rPr>
          <w:szCs w:val="24"/>
        </w:rPr>
        <w:t xml:space="preserve">. </w:t>
      </w:r>
      <w:bookmarkStart w:id="2" w:name="_Hlk47010815"/>
      <w:r w:rsidR="0089775A" w:rsidRPr="00C85DC3">
        <w:rPr>
          <w:szCs w:val="24"/>
        </w:rPr>
        <w:t>Coupling XCT with non-destructive in situ sampling techniques (</w:t>
      </w:r>
      <w:r w:rsidR="0089775A" w:rsidRPr="00C85DC3">
        <w:rPr>
          <w:i/>
          <w:szCs w:val="24"/>
        </w:rPr>
        <w:t>e.g.</w:t>
      </w:r>
      <w:r w:rsidR="0089775A" w:rsidRPr="00C85DC3">
        <w:rPr>
          <w:szCs w:val="24"/>
        </w:rPr>
        <w:t xml:space="preserve"> microdialysis) shows promise for elucidating structural and spatial factors that influences solute transport in porous media, which could ultimately help interpreting the fate of P in the pore space</w:t>
      </w:r>
      <w:bookmarkEnd w:id="2"/>
      <w:r w:rsidR="0089775A" w:rsidRPr="00C85DC3">
        <w:rPr>
          <w:szCs w:val="24"/>
        </w:rPr>
        <w:t xml:space="preserve">. </w:t>
      </w:r>
      <w:r w:rsidRPr="00C85DC3">
        <w:rPr>
          <w:szCs w:val="24"/>
        </w:rPr>
        <w:t xml:space="preserve">For example, XCT </w:t>
      </w:r>
      <w:r w:rsidR="00046530" w:rsidRPr="00C85DC3">
        <w:rPr>
          <w:szCs w:val="24"/>
        </w:rPr>
        <w:t>visualization</w:t>
      </w:r>
      <w:r w:rsidRPr="00C85DC3">
        <w:rPr>
          <w:szCs w:val="24"/>
        </w:rPr>
        <w:t xml:space="preserve"> of microdialysis probes in soil revealed the presence of a cavity around the membrane due to the insertion needle used, which could affect the probe recovery efficiency at different water saturation levels </w:t>
      </w:r>
      <w:r w:rsidR="00396D8F" w:rsidRPr="00C85DC3">
        <w:rPr>
          <w:szCs w:val="24"/>
        </w:rPr>
        <w:fldChar w:fldCharType="begin"/>
      </w:r>
      <w:r w:rsidR="002A1395" w:rsidRPr="00C85DC3">
        <w:rPr>
          <w:szCs w:val="24"/>
        </w:rPr>
        <w:instrText xml:space="preserve"> ADDIN EN.CITE &lt;EndNote&gt;&lt;Cite&gt;&lt;Author&gt;Brackin&lt;/Author&gt;&lt;Year&gt;2017&lt;/Year&gt;&lt;RecNum&gt;38&lt;/RecNum&gt;&lt;DisplayText&gt;(Brackin, Atkinson et al. 2017)&lt;/DisplayText&gt;&lt;record&gt;&lt;rec-number&gt;38&lt;/rec-number&gt;&lt;foreign-keys&gt;&lt;key app="EN" db-id="e0pf0dz95w2e2qesp0ev9tvwdse5fap0eprw" timestamp="1588585413"&gt;38&lt;/key&gt;&lt;/foreign-keys&gt;&lt;ref-type name="Journal Article"&gt;17&lt;/ref-type&gt;&lt;contributors&gt;&lt;authors&gt;&lt;author&gt;Brackin, Richard&lt;/author&gt;&lt;author&gt;Atkinson, Brian S&lt;/author&gt;&lt;author&gt;Sturrock, Craig J&lt;/author&gt;&lt;author&gt;Rasmussen, Amanda&lt;/author&gt;&lt;/authors&gt;&lt;/contributors&gt;&lt;titles&gt;&lt;title&gt;Roots‐eye view: Using microdialysis and microCT to non‐destructively map root nutrient depletion and accumulation zones&lt;/title&gt;&lt;secondary-title&gt;Plant, cell &amp;amp; environment&lt;/secondary-title&gt;&lt;/titles&gt;&lt;periodical&gt;&lt;full-title&gt;Plant, cell &amp;amp; environment&lt;/full-title&gt;&lt;/periodical&gt;&lt;pages&gt;3135-3142&lt;/pages&gt;&lt;volume&gt;40&lt;/volume&gt;&lt;number&gt;12&lt;/number&gt;&lt;dates&gt;&lt;year&gt;2017&lt;/year&gt;&lt;/dates&gt;&lt;isbn&gt;0140-7791&lt;/isbn&gt;&lt;urls&gt;&lt;/urls&gt;&lt;/record&gt;&lt;/Cite&gt;&lt;/EndNote&gt;</w:instrText>
      </w:r>
      <w:r w:rsidR="00396D8F" w:rsidRPr="00C85DC3">
        <w:rPr>
          <w:szCs w:val="24"/>
        </w:rPr>
        <w:fldChar w:fldCharType="separate"/>
      </w:r>
      <w:r w:rsidR="000E3868" w:rsidRPr="00C85DC3">
        <w:rPr>
          <w:noProof/>
          <w:szCs w:val="24"/>
        </w:rPr>
        <w:t>(Brackin, Atkinson et al. 2017)</w:t>
      </w:r>
      <w:r w:rsidR="00396D8F" w:rsidRPr="00C85DC3">
        <w:rPr>
          <w:szCs w:val="24"/>
        </w:rPr>
        <w:fldChar w:fldCharType="end"/>
      </w:r>
      <w:r w:rsidRPr="00C85DC3">
        <w:rPr>
          <w:szCs w:val="24"/>
        </w:rPr>
        <w:t xml:space="preserve">. The same study combined microdialysis and XCT to measure nutrients concentrations at different distances from the roots </w:t>
      </w:r>
      <w:r w:rsidR="00396D8F" w:rsidRPr="00C85DC3">
        <w:rPr>
          <w:szCs w:val="24"/>
        </w:rPr>
        <w:fldChar w:fldCharType="begin"/>
      </w:r>
      <w:r w:rsidR="002A1395" w:rsidRPr="00C85DC3">
        <w:rPr>
          <w:szCs w:val="24"/>
        </w:rPr>
        <w:instrText xml:space="preserve"> ADDIN EN.CITE &lt;EndNote&gt;&lt;Cite&gt;&lt;Author&gt;Brackin&lt;/Author&gt;&lt;Year&gt;2017&lt;/Year&gt;&lt;RecNum&gt;38&lt;/RecNum&gt;&lt;DisplayText&gt;(Brackin, Atkinson et al. 2017)&lt;/DisplayText&gt;&lt;record&gt;&lt;rec-number&gt;38&lt;/rec-number&gt;&lt;foreign-keys&gt;&lt;key app="EN" db-id="e0pf0dz95w2e2qesp0ev9tvwdse5fap0eprw" timestamp="1588585413"&gt;38&lt;/key&gt;&lt;/foreign-keys&gt;&lt;ref-type name="Journal Article"&gt;17&lt;/ref-type&gt;&lt;contributors&gt;&lt;authors&gt;&lt;author&gt;Brackin, Richard&lt;/author&gt;&lt;author&gt;Atkinson, Brian S&lt;/author&gt;&lt;author&gt;Sturrock, Craig J&lt;/author&gt;&lt;author&gt;Rasmussen, Amanda&lt;/author&gt;&lt;/authors&gt;&lt;/contributors&gt;&lt;titles&gt;&lt;title&gt;Roots‐eye view: Using microdialysis and microCT to non‐destructively map root nutrient depletion and accumulation zones&lt;/title&gt;&lt;secondary-title&gt;Plant, cell &amp;amp; environment&lt;/secondary-title&gt;&lt;/titles&gt;&lt;periodical&gt;&lt;full-title&gt;Plant, cell &amp;amp; environment&lt;/full-title&gt;&lt;/periodical&gt;&lt;pages&gt;3135-3142&lt;/pages&gt;&lt;volume&gt;40&lt;/volume&gt;&lt;number&gt;12&lt;/number&gt;&lt;dates&gt;&lt;year&gt;2017&lt;/year&gt;&lt;/dates&gt;&lt;isbn&gt;0140-7791&lt;/isbn&gt;&lt;urls&gt;&lt;/urls&gt;&lt;/record&gt;&lt;/Cite&gt;&lt;/EndNote&gt;</w:instrText>
      </w:r>
      <w:r w:rsidR="00396D8F" w:rsidRPr="00C85DC3">
        <w:rPr>
          <w:szCs w:val="24"/>
        </w:rPr>
        <w:fldChar w:fldCharType="separate"/>
      </w:r>
      <w:r w:rsidR="000E3868" w:rsidRPr="00C85DC3">
        <w:rPr>
          <w:noProof/>
          <w:szCs w:val="24"/>
        </w:rPr>
        <w:t>(Brackin, Atkinson et al. 2017)</w:t>
      </w:r>
      <w:r w:rsidR="00396D8F" w:rsidRPr="00C85DC3">
        <w:rPr>
          <w:szCs w:val="24"/>
        </w:rPr>
        <w:fldChar w:fldCharType="end"/>
      </w:r>
      <w:r w:rsidRPr="00C85DC3">
        <w:rPr>
          <w:szCs w:val="24"/>
        </w:rPr>
        <w:t>. Recently,</w:t>
      </w:r>
      <w:r w:rsidR="002A1395" w:rsidRPr="00C85DC3">
        <w:rPr>
          <w:szCs w:val="24"/>
        </w:rPr>
        <w:t xml:space="preserve"> Gao, Blaser et al. 2019</w:t>
      </w:r>
      <w:r w:rsidR="00396D8F" w:rsidRPr="00C85DC3">
        <w:rPr>
          <w:szCs w:val="24"/>
        </w:rPr>
        <w:t xml:space="preserve"> </w:t>
      </w:r>
      <w:r w:rsidRPr="00C85DC3">
        <w:rPr>
          <w:szCs w:val="24"/>
        </w:rPr>
        <w:t xml:space="preserve">used suction cups and XCT for assessing root architecture response to different spatial distributions of phosphorus </w:t>
      </w:r>
      <w:r w:rsidR="00046530" w:rsidRPr="00C85DC3">
        <w:rPr>
          <w:szCs w:val="24"/>
        </w:rPr>
        <w:t>fertilizer</w:t>
      </w:r>
      <w:r w:rsidRPr="00C85DC3">
        <w:rPr>
          <w:szCs w:val="24"/>
        </w:rPr>
        <w:t xml:space="preserve"> in soil. They demonstrated a species-specific response of maize root structure to </w:t>
      </w:r>
      <w:r w:rsidR="00046530" w:rsidRPr="00C85DC3">
        <w:rPr>
          <w:szCs w:val="24"/>
        </w:rPr>
        <w:t>localized</w:t>
      </w:r>
      <w:r w:rsidRPr="00C85DC3">
        <w:rPr>
          <w:szCs w:val="24"/>
        </w:rPr>
        <w:t xml:space="preserve"> P supply in the first 2.5 cm from the </w:t>
      </w:r>
      <w:r w:rsidR="00046530" w:rsidRPr="00C85DC3">
        <w:rPr>
          <w:szCs w:val="24"/>
        </w:rPr>
        <w:t>fertilizer</w:t>
      </w:r>
      <w:r w:rsidRPr="00C85DC3">
        <w:rPr>
          <w:szCs w:val="24"/>
        </w:rPr>
        <w:t xml:space="preserve"> pellets. </w:t>
      </w:r>
    </w:p>
    <w:p w14:paraId="0399CAA9" w14:textId="69BA8F6B" w:rsidR="00FB5D20" w:rsidRPr="00C85DC3" w:rsidRDefault="00A725CF" w:rsidP="00A725CF">
      <w:pPr>
        <w:pStyle w:val="ParaText"/>
        <w:spacing w:line="480" w:lineRule="auto"/>
        <w:ind w:firstLine="0"/>
        <w:rPr>
          <w:szCs w:val="24"/>
        </w:rPr>
      </w:pPr>
      <w:bookmarkStart w:id="3" w:name="_Hlk46824951"/>
      <w:r w:rsidRPr="00C85DC3">
        <w:rPr>
          <w:szCs w:val="24"/>
        </w:rPr>
        <w:t xml:space="preserve">The aim of this work is to gain an insight into the first steps of phosphorus release from a </w:t>
      </w:r>
      <w:r w:rsidR="00046530" w:rsidRPr="00C85DC3">
        <w:rPr>
          <w:szCs w:val="24"/>
        </w:rPr>
        <w:t>fertilizer</w:t>
      </w:r>
      <w:r w:rsidRPr="00C85DC3">
        <w:rPr>
          <w:szCs w:val="24"/>
        </w:rPr>
        <w:t xml:space="preserve"> pellet and its diffusion into bulk soil using a coupled microdialysis and XCT approach. </w:t>
      </w:r>
      <w:bookmarkStart w:id="4" w:name="_Hlk47009707"/>
      <w:r w:rsidR="003554DF" w:rsidRPr="00C85DC3">
        <w:rPr>
          <w:szCs w:val="24"/>
        </w:rPr>
        <w:t xml:space="preserve">As the fertilizer pellet is placed in soil, many processes take place as reviewed by </w:t>
      </w:r>
      <w:r w:rsidR="00974F09" w:rsidRPr="00C85DC3">
        <w:rPr>
          <w:szCs w:val="24"/>
        </w:rPr>
        <w:fldChar w:fldCharType="begin"/>
      </w:r>
      <w:r w:rsidR="00820A36" w:rsidRPr="00C85DC3">
        <w:rPr>
          <w:szCs w:val="24"/>
        </w:rPr>
        <w:instrText xml:space="preserve"> ADDIN EN.CITE &lt;EndNote&gt;&lt;Cite&gt;&lt;Author&gt;Hedley&lt;/Author&gt;&lt;Year&gt;2005&lt;/Year&gt;&lt;RecNum&gt;65&lt;/RecNum&gt;&lt;DisplayText&gt;(Hedley and McLaughlin 2005)&lt;/DisplayText&gt;&lt;record&gt;&lt;rec-number&gt;65&lt;/rec-number&gt;&lt;foreign-keys&gt;&lt;key app="EN" db-id="e0pf0dz95w2e2qesp0ev9tvwdse5fap0eprw" timestamp="1595934349"&gt;65&lt;/key&gt;&lt;key app="ENWeb" db-id=""&gt;0&lt;/key&gt;&lt;/foreign-keys&gt;&lt;ref-type name="Journal Article"&gt;17&lt;/ref-type&gt;&lt;contributors&gt;&lt;authors&gt;&lt;author&gt;Hedley, M&lt;/author&gt;&lt;author&gt;McLaughlin, MJ&lt;/author&gt;&lt;/authors&gt;&lt;/contributors&gt;&lt;titles&gt;&lt;title&gt;Reactions of phosphate fertilizers and by-products in soil&lt;/title&gt;&lt;secondary-title&gt;J.T. Sims and A.N. Sharpley (ed.) Phosphorus: Agriculture and the environment.&lt;/secondary-title&gt;&lt;/titles&gt;&lt;periodical&gt;&lt;full-title&gt;J.T. Sims and A.N. Sharpley (ed.) Phosphorus: Agriculture and the environment.&lt;/full-title&gt;&lt;/periodical&gt;&lt;pages&gt;181-252&lt;/pages&gt;&lt;volume&gt;Agron. Monogr. No. 46. ASA, CSSA, and SSSA, Madison, WI&lt;/volume&gt;&lt;dates&gt;&lt;year&gt;2005&lt;/year&gt;&lt;/dates&gt;&lt;urls&gt;&lt;/urls&gt;&lt;/record&gt;&lt;/Cite&gt;&lt;/EndNote&gt;</w:instrText>
      </w:r>
      <w:r w:rsidR="00974F09" w:rsidRPr="00C85DC3">
        <w:rPr>
          <w:szCs w:val="24"/>
        </w:rPr>
        <w:fldChar w:fldCharType="separate"/>
      </w:r>
      <w:r w:rsidR="00820A36" w:rsidRPr="00C85DC3">
        <w:rPr>
          <w:noProof/>
          <w:szCs w:val="24"/>
        </w:rPr>
        <w:t>(Hedley and McLaughlin 2005)</w:t>
      </w:r>
      <w:r w:rsidR="00974F09" w:rsidRPr="00C85DC3">
        <w:rPr>
          <w:szCs w:val="24"/>
        </w:rPr>
        <w:fldChar w:fldCharType="end"/>
      </w:r>
      <w:r w:rsidR="003554DF" w:rsidRPr="00C85DC3">
        <w:rPr>
          <w:szCs w:val="24"/>
        </w:rPr>
        <w:t xml:space="preserve">. The initial wetting of the pellet </w:t>
      </w:r>
      <w:r w:rsidR="00974F09" w:rsidRPr="00C85DC3">
        <w:rPr>
          <w:szCs w:val="24"/>
        </w:rPr>
        <w:fldChar w:fldCharType="begin"/>
      </w:r>
      <w:r w:rsidR="00974F09" w:rsidRPr="00C85DC3">
        <w:rPr>
          <w:szCs w:val="24"/>
        </w:rPr>
        <w:instrText xml:space="preserve"> ADDIN EN.CITE &lt;EndNote&gt;&lt;Cite&gt;&lt;Author&gt;Hettiarachchi&lt;/Author&gt;&lt;Year&gt;2006&lt;/Year&gt;&lt;RecNum&gt;67&lt;/RecNum&gt;&lt;DisplayText&gt;(Hettiarachchi, Lombi et al. 2006)&lt;/DisplayText&gt;&lt;record&gt;&lt;rec-number&gt;67&lt;/rec-number&gt;&lt;foreign-keys&gt;&lt;key app="EN" db-id="e0pf0dz95w2e2qesp0ev9tvwdse5fap0eprw" timestamp="1595934586"&gt;67&lt;/key&gt;&lt;key app="ENWeb" db-id=""&gt;0&lt;/key&gt;&lt;/foreign-keys&gt;&lt;ref-type name="Journal Article"&gt;17&lt;/ref-type&gt;&lt;contributors&gt;&lt;authors&gt;&lt;author&gt;Hettiarachchi, Ganga M.&lt;/author&gt;&lt;author&gt;Lombi, Enzo&lt;/author&gt;&lt;author&gt;McLaughlin, Mike J.&lt;/author&gt;&lt;author&gt;Chittleborough, David&lt;/author&gt;&lt;author&gt;Self, Peter&lt;/author&gt;&lt;/authors&gt;&lt;/contributors&gt;&lt;titles&gt;&lt;title&gt;Density Changes around Phosphorus Granules and Fluid Bands in a Calcareous Soil&lt;/title&gt;&lt;secondary-title&gt;Soil Science Society of America Journal&lt;/secondary-title&gt;&lt;/titles&gt;&lt;periodical&gt;&lt;full-title&gt;Soil science society of America Journal&lt;/full-title&gt;&lt;/periodical&gt;&lt;pages&gt;960-966&lt;/pages&gt;&lt;volume&gt;70&lt;/volume&gt;&lt;number&gt;3&lt;/number&gt;&lt;section&gt;960&lt;/section&gt;&lt;dates&gt;&lt;year&gt;2006&lt;/year&gt;&lt;/dates&gt;&lt;isbn&gt;03615995&lt;/isbn&gt;&lt;urls&gt;&lt;/urls&gt;&lt;electronic-resource-num&gt;10.2136/sssaj2005.0296&lt;/electronic-resource-num&gt;&lt;/record&gt;&lt;/Cite&gt;&lt;/EndNote&gt;</w:instrText>
      </w:r>
      <w:r w:rsidR="00974F09" w:rsidRPr="00C85DC3">
        <w:rPr>
          <w:szCs w:val="24"/>
        </w:rPr>
        <w:fldChar w:fldCharType="separate"/>
      </w:r>
      <w:r w:rsidR="00974F09" w:rsidRPr="00C85DC3">
        <w:rPr>
          <w:noProof/>
          <w:szCs w:val="24"/>
        </w:rPr>
        <w:t>(Hettiarachchi, Lombi et al. 2006)</w:t>
      </w:r>
      <w:r w:rsidR="00974F09" w:rsidRPr="00C85DC3">
        <w:rPr>
          <w:szCs w:val="24"/>
        </w:rPr>
        <w:fldChar w:fldCharType="end"/>
      </w:r>
      <w:r w:rsidR="003554DF" w:rsidRPr="00C85DC3">
        <w:rPr>
          <w:szCs w:val="24"/>
        </w:rPr>
        <w:t xml:space="preserve"> is followed by the release of P producing a highly concentrated and strongly acidic solution in the vicinity of the pellet. The </w:t>
      </w:r>
      <w:r w:rsidR="000F33B1" w:rsidRPr="00C85DC3">
        <w:rPr>
          <w:szCs w:val="24"/>
        </w:rPr>
        <w:t>transport</w:t>
      </w:r>
      <w:r w:rsidR="003554DF" w:rsidRPr="00C85DC3">
        <w:rPr>
          <w:szCs w:val="24"/>
        </w:rPr>
        <w:t xml:space="preserve"> of the released P can be slowed down by the movement of </w:t>
      </w:r>
      <w:r w:rsidR="003554DF" w:rsidRPr="00C85DC3">
        <w:rPr>
          <w:szCs w:val="24"/>
        </w:rPr>
        <w:lastRenderedPageBreak/>
        <w:t xml:space="preserve">water towards the pellet </w:t>
      </w:r>
      <w:proofErr w:type="gramStart"/>
      <w:r w:rsidR="003554DF" w:rsidRPr="00C85DC3">
        <w:rPr>
          <w:szCs w:val="24"/>
        </w:rPr>
        <w:t>and also</w:t>
      </w:r>
      <w:proofErr w:type="gramEnd"/>
      <w:r w:rsidR="003554DF" w:rsidRPr="00C85DC3">
        <w:rPr>
          <w:szCs w:val="24"/>
        </w:rPr>
        <w:t xml:space="preserve"> by the advection of cations which can determine the precipitation of secondary P compounds. Two different concentration zones establish outside the residual pellet </w:t>
      </w:r>
      <w:r w:rsidR="00974F09" w:rsidRPr="00C85DC3">
        <w:rPr>
          <w:szCs w:val="24"/>
        </w:rPr>
        <w:fldChar w:fldCharType="begin"/>
      </w:r>
      <w:r w:rsidR="00974F09" w:rsidRPr="00C85DC3">
        <w:rPr>
          <w:szCs w:val="24"/>
        </w:rPr>
        <w:instrText xml:space="preserve"> ADDIN EN.CITE &lt;EndNote&gt;&lt;Cite&gt;&lt;Author&gt;Benbi&lt;/Author&gt;&lt;Year&gt;1987&lt;/Year&gt;&lt;RecNum&gt;66&lt;/RecNum&gt;&lt;DisplayText&gt;(Benbi and Gilkes 1987)&lt;/DisplayText&gt;&lt;record&gt;&lt;rec-number&gt;66&lt;/rec-number&gt;&lt;foreign-keys&gt;&lt;key app="EN" db-id="e0pf0dz95w2e2qesp0ev9tvwdse5fap0eprw" timestamp="1595934505"&gt;66&lt;/key&gt;&lt;key app="ENWeb" db-id=""&gt;0&lt;/key&gt;&lt;/foreign-keys&gt;&lt;ref-type name="Journal Article"&gt;17&lt;/ref-type&gt;&lt;contributors&gt;&lt;authors&gt;&lt;author&gt;Benbi, DK&lt;/author&gt;&lt;author&gt;Gilkes, RJ&lt;/author&gt;&lt;/authors&gt;&lt;/contributors&gt;&lt;titles&gt;&lt;title&gt;The movement into soil of P from superphosphate grains and its availability to plants&lt;/title&gt;&lt;secondary-title&gt;Fertilizer Research&lt;/secondary-title&gt;&lt;/titles&gt;&lt;periodical&gt;&lt;full-title&gt;Fertilizer Research&lt;/full-title&gt;&lt;/periodical&gt;&lt;pages&gt;21-36&lt;/pages&gt;&lt;volume&gt;12&lt;/volume&gt;&lt;dates&gt;&lt;year&gt;1987&lt;/year&gt;&lt;/dates&gt;&lt;urls&gt;&lt;/urls&gt;&lt;/record&gt;&lt;/Cite&gt;&lt;/EndNote&gt;</w:instrText>
      </w:r>
      <w:r w:rsidR="00974F09" w:rsidRPr="00C85DC3">
        <w:rPr>
          <w:szCs w:val="24"/>
        </w:rPr>
        <w:fldChar w:fldCharType="separate"/>
      </w:r>
      <w:r w:rsidR="00974F09" w:rsidRPr="00C85DC3">
        <w:rPr>
          <w:noProof/>
          <w:szCs w:val="24"/>
        </w:rPr>
        <w:t>(Benbi and Gilkes 1987)</w:t>
      </w:r>
      <w:r w:rsidR="00974F09" w:rsidRPr="00C85DC3">
        <w:rPr>
          <w:szCs w:val="24"/>
        </w:rPr>
        <w:fldChar w:fldCharType="end"/>
      </w:r>
      <w:r w:rsidR="00974F09" w:rsidRPr="00C85DC3">
        <w:rPr>
          <w:szCs w:val="24"/>
        </w:rPr>
        <w:t xml:space="preserve">, </w:t>
      </w:r>
      <w:r w:rsidR="003554DF" w:rsidRPr="00C85DC3">
        <w:rPr>
          <w:szCs w:val="24"/>
        </w:rPr>
        <w:t xml:space="preserve">one P saturated zone near the pellet where soil sorption capacity is exceeded and precipitation is the main P immobilization mechanism, and a wider P unsaturated zone where P movement is mainly by diffusion. </w:t>
      </w:r>
      <w:bookmarkEnd w:id="4"/>
      <w:r w:rsidRPr="00C85DC3">
        <w:rPr>
          <w:szCs w:val="24"/>
        </w:rPr>
        <w:t>Phosphorus is not expected to travel far from the source due to its slow diffusivity and high susceptibility to adsorption onto soil particles. Therefore, high spatial resolution is required to capture any movement within soil solution. Moreover, we hypothesi</w:t>
      </w:r>
      <w:r w:rsidR="00396D8F" w:rsidRPr="00C85DC3">
        <w:rPr>
          <w:szCs w:val="24"/>
        </w:rPr>
        <w:t>z</w:t>
      </w:r>
      <w:r w:rsidRPr="00C85DC3">
        <w:rPr>
          <w:szCs w:val="24"/>
        </w:rPr>
        <w:t xml:space="preserve">e that diffusion timescales are linked to hydraulic connectivity in soil and available surface area of soil for adsorption. These in turn depend on soil porosity and soil particle size. To test these hypotheses, samples were collected at high temporal resolution for two different soil particle size distributions in order to assess the influence of soil porosity on phosphorus movement. Subsequently, a comparison with an active soil water sampling technique (suction cups) was carried out in order to assess the effect of sampling method on observed patterns of phosphorus movement, </w:t>
      </w:r>
      <w:proofErr w:type="gramStart"/>
      <w:r w:rsidRPr="00C85DC3">
        <w:rPr>
          <w:szCs w:val="24"/>
        </w:rPr>
        <w:t>in particular the</w:t>
      </w:r>
      <w:proofErr w:type="gramEnd"/>
      <w:r w:rsidRPr="00C85DC3">
        <w:rPr>
          <w:szCs w:val="24"/>
        </w:rPr>
        <w:t xml:space="preserve"> influence of active water flow caused by the suction cups. Understanding these small-scale processes can give useful information to help </w:t>
      </w:r>
      <w:r w:rsidR="00046530" w:rsidRPr="00C85DC3">
        <w:rPr>
          <w:szCs w:val="24"/>
        </w:rPr>
        <w:t>optimize</w:t>
      </w:r>
      <w:r w:rsidRPr="00C85DC3">
        <w:rPr>
          <w:szCs w:val="24"/>
        </w:rPr>
        <w:t xml:space="preserve"> the spatiotemporal scales of phosphorus </w:t>
      </w:r>
      <w:r w:rsidR="00046530" w:rsidRPr="00C85DC3">
        <w:rPr>
          <w:szCs w:val="24"/>
        </w:rPr>
        <w:t>fertilization</w:t>
      </w:r>
      <w:r w:rsidRPr="00C85DC3">
        <w:rPr>
          <w:szCs w:val="24"/>
        </w:rPr>
        <w:t xml:space="preserve"> in terms of both </w:t>
      </w:r>
      <w:r w:rsidR="00046530" w:rsidRPr="00C85DC3">
        <w:rPr>
          <w:szCs w:val="24"/>
        </w:rPr>
        <w:t>maximizing</w:t>
      </w:r>
      <w:r w:rsidRPr="00C85DC3">
        <w:rPr>
          <w:szCs w:val="24"/>
        </w:rPr>
        <w:t xml:space="preserve"> plant P uptake and </w:t>
      </w:r>
      <w:r w:rsidR="00046530" w:rsidRPr="00C85DC3">
        <w:rPr>
          <w:szCs w:val="24"/>
        </w:rPr>
        <w:t>minimizing</w:t>
      </w:r>
      <w:r w:rsidRPr="00C85DC3">
        <w:rPr>
          <w:szCs w:val="24"/>
        </w:rPr>
        <w:t xml:space="preserve"> P runoff.</w:t>
      </w:r>
      <w:bookmarkEnd w:id="3"/>
      <w:r w:rsidR="00FB5D20" w:rsidRPr="00C85DC3">
        <w:rPr>
          <w:szCs w:val="24"/>
        </w:rPr>
        <w:br w:type="page"/>
      </w:r>
    </w:p>
    <w:p w14:paraId="1FDD1260" w14:textId="77777777" w:rsidR="00AE1D24" w:rsidRPr="00C85DC3" w:rsidRDefault="00AE1D24" w:rsidP="00FE38E4">
      <w:pPr>
        <w:pStyle w:val="H1"/>
        <w:spacing w:line="480" w:lineRule="auto"/>
        <w:rPr>
          <w:sz w:val="24"/>
          <w:szCs w:val="24"/>
        </w:rPr>
      </w:pPr>
      <w:r w:rsidRPr="00C85DC3">
        <w:rPr>
          <w:sz w:val="24"/>
          <w:szCs w:val="24"/>
        </w:rPr>
        <w:lastRenderedPageBreak/>
        <w:t>Materials and Methods</w:t>
      </w:r>
    </w:p>
    <w:p w14:paraId="5274A6DB" w14:textId="04914307" w:rsidR="00A725CF" w:rsidRPr="00C85DC3" w:rsidRDefault="00A725CF" w:rsidP="00FE38E4">
      <w:pPr>
        <w:pStyle w:val="H3"/>
        <w:spacing w:line="480" w:lineRule="auto"/>
        <w:rPr>
          <w:szCs w:val="24"/>
        </w:rPr>
      </w:pPr>
      <w:r w:rsidRPr="00C85DC3">
        <w:rPr>
          <w:szCs w:val="24"/>
        </w:rPr>
        <w:t xml:space="preserve">Experimental setup </w:t>
      </w:r>
    </w:p>
    <w:p w14:paraId="1DB4EB11" w14:textId="0F7BE836" w:rsidR="00A725CF" w:rsidRPr="00C85DC3" w:rsidRDefault="00A725CF" w:rsidP="00A725CF">
      <w:pPr>
        <w:pStyle w:val="ParaText"/>
        <w:spacing w:line="480" w:lineRule="auto"/>
        <w:rPr>
          <w:szCs w:val="24"/>
        </w:rPr>
      </w:pPr>
      <w:r w:rsidRPr="00C85DC3">
        <w:rPr>
          <w:szCs w:val="24"/>
        </w:rPr>
        <w:t xml:space="preserve">The experimental setup consisted of a 20 mL syringe barrel tube filled with soil kept at close to 100% water saturation by supplying </w:t>
      </w:r>
      <w:proofErr w:type="spellStart"/>
      <w:r w:rsidRPr="00C85DC3">
        <w:rPr>
          <w:szCs w:val="24"/>
        </w:rPr>
        <w:t>MilliQ</w:t>
      </w:r>
      <w:proofErr w:type="spellEnd"/>
      <w:r w:rsidRPr="00C85DC3">
        <w:rPr>
          <w:szCs w:val="24"/>
        </w:rPr>
        <w:t xml:space="preserve"> water (18 MΩ) from the bottom of the soil column (see </w:t>
      </w:r>
      <w:r w:rsidR="00E51745" w:rsidRPr="00C85DC3">
        <w:rPr>
          <w:szCs w:val="24"/>
        </w:rPr>
        <w:t>Supplementary Material</w:t>
      </w:r>
      <w:r w:rsidRPr="00C85DC3">
        <w:rPr>
          <w:szCs w:val="24"/>
        </w:rPr>
        <w:t xml:space="preserve">, Figures S1 and S2). </w:t>
      </w:r>
      <w:bookmarkStart w:id="5" w:name="_Hlk47008933"/>
      <w:bookmarkStart w:id="6" w:name="_Hlk47008652"/>
      <w:r w:rsidR="00E04366" w:rsidRPr="00C85DC3">
        <w:rPr>
          <w:szCs w:val="24"/>
        </w:rPr>
        <w:t>The soil was kept at 100% saturation in order to maintain a continuous water domain throughout the soil. This does mean that anaerobic conditions (and reducing conditions for iron oxides) were maintained during the experiment period</w:t>
      </w:r>
      <w:r w:rsidR="007A3CE6" w:rsidRPr="00C85DC3">
        <w:rPr>
          <w:szCs w:val="24"/>
        </w:rPr>
        <w:t>.</w:t>
      </w:r>
      <w:r w:rsidR="00E04366" w:rsidRPr="00C85DC3">
        <w:rPr>
          <w:szCs w:val="24"/>
        </w:rPr>
        <w:t xml:space="preserve"> </w:t>
      </w:r>
      <w:r w:rsidR="007A3CE6" w:rsidRPr="00C85DC3">
        <w:rPr>
          <w:szCs w:val="24"/>
        </w:rPr>
        <w:t>H</w:t>
      </w:r>
      <w:r w:rsidR="00E04366" w:rsidRPr="00C85DC3">
        <w:rPr>
          <w:szCs w:val="24"/>
        </w:rPr>
        <w:t>owever, had the soil been partially saturated</w:t>
      </w:r>
      <w:r w:rsidR="007A3CE6" w:rsidRPr="00C85DC3">
        <w:rPr>
          <w:szCs w:val="24"/>
        </w:rPr>
        <w:t>,</w:t>
      </w:r>
      <w:r w:rsidR="00E04366" w:rsidRPr="00C85DC3">
        <w:rPr>
          <w:szCs w:val="24"/>
        </w:rPr>
        <w:t xml:space="preserve"> there would likely have been considerable spatial variation in water saturation. Since the spatial variation in water saturation could not be continuously assessed</w:t>
      </w:r>
      <w:r w:rsidR="00B05FCB" w:rsidRPr="00C85DC3">
        <w:rPr>
          <w:szCs w:val="24"/>
        </w:rPr>
        <w:t xml:space="preserve"> in this setup</w:t>
      </w:r>
      <w:r w:rsidR="00E04366" w:rsidRPr="00C85DC3">
        <w:rPr>
          <w:szCs w:val="24"/>
        </w:rPr>
        <w:t xml:space="preserve">, it would not have been possible to control for the effect of a non-continuous water domain on the movement of P through the system. In addition, microdialysis probes function on the principle of diffusion across a semi-permeable membrane and operate best when the semi-permeable tip is fully saturated. This is easier to achieve in a soil system which has 100% water saturation than one which has spatial variation in saturation. </w:t>
      </w:r>
      <w:bookmarkStart w:id="7" w:name="_Hlk47008827"/>
      <w:bookmarkEnd w:id="5"/>
      <w:r w:rsidRPr="00C85DC3">
        <w:rPr>
          <w:szCs w:val="24"/>
        </w:rPr>
        <w:t xml:space="preserve">Preliminary experiments performed watering from the top of the soil column, indicated that </w:t>
      </w:r>
      <w:r w:rsidR="00005604" w:rsidRPr="00C85DC3">
        <w:rPr>
          <w:szCs w:val="24"/>
        </w:rPr>
        <w:t xml:space="preserve">watering from the top accelerates P washout in the first 50 h, but the overall trend is comparable </w:t>
      </w:r>
      <w:r w:rsidRPr="00C85DC3">
        <w:rPr>
          <w:szCs w:val="24"/>
        </w:rPr>
        <w:t xml:space="preserve">(see </w:t>
      </w:r>
      <w:r w:rsidR="00E51745" w:rsidRPr="00C85DC3">
        <w:rPr>
          <w:szCs w:val="24"/>
        </w:rPr>
        <w:t>Supplementary Material</w:t>
      </w:r>
      <w:r w:rsidRPr="00C85DC3">
        <w:rPr>
          <w:szCs w:val="24"/>
        </w:rPr>
        <w:t>, Figure S3).</w:t>
      </w:r>
      <w:bookmarkEnd w:id="6"/>
      <w:bookmarkEnd w:id="7"/>
      <w:r w:rsidR="00496BCA" w:rsidRPr="00C85DC3">
        <w:rPr>
          <w:szCs w:val="24"/>
        </w:rPr>
        <w:t xml:space="preserve"> </w:t>
      </w:r>
      <w:bookmarkStart w:id="8" w:name="_Hlk47014452"/>
      <w:r w:rsidR="00496BCA" w:rsidRPr="00C85DC3">
        <w:rPr>
          <w:szCs w:val="24"/>
        </w:rPr>
        <w:t xml:space="preserve">Despite </w:t>
      </w:r>
      <w:r w:rsidR="00496BCA" w:rsidRPr="00C85DC3">
        <w:rPr>
          <w:rFonts w:cstheme="minorHAnsi"/>
          <w:bCs/>
          <w:szCs w:val="24"/>
          <w:lang w:val="en-GB"/>
        </w:rPr>
        <w:t>watering from the top would give a more realistic representation of what happens in the field, the proposed setup is aimed at being as simplified and controlled as possible in order to actively change one parameter at a time.</w:t>
      </w:r>
      <w:bookmarkEnd w:id="8"/>
    </w:p>
    <w:p w14:paraId="40AAAC83" w14:textId="7F04CBFE" w:rsidR="00A725CF" w:rsidRPr="00C85DC3" w:rsidRDefault="00A725CF" w:rsidP="00A725CF">
      <w:pPr>
        <w:pStyle w:val="ParaText"/>
        <w:spacing w:line="480" w:lineRule="auto"/>
        <w:rPr>
          <w:szCs w:val="24"/>
        </w:rPr>
      </w:pPr>
      <w:r w:rsidRPr="00C85DC3">
        <w:rPr>
          <w:szCs w:val="24"/>
        </w:rPr>
        <w:t xml:space="preserve">The chosen soil was a sandy clay loam </w:t>
      </w:r>
      <w:proofErr w:type="spellStart"/>
      <w:r w:rsidRPr="00C85DC3">
        <w:rPr>
          <w:szCs w:val="24"/>
        </w:rPr>
        <w:t>Eutric</w:t>
      </w:r>
      <w:proofErr w:type="spellEnd"/>
      <w:r w:rsidRPr="00C85DC3">
        <w:rPr>
          <w:szCs w:val="24"/>
        </w:rPr>
        <w:t xml:space="preserve"> </w:t>
      </w:r>
      <w:proofErr w:type="spellStart"/>
      <w:r w:rsidRPr="00C85DC3">
        <w:rPr>
          <w:szCs w:val="24"/>
        </w:rPr>
        <w:t>Cambisol</w:t>
      </w:r>
      <w:proofErr w:type="spellEnd"/>
      <w:r w:rsidRPr="00C85DC3">
        <w:rPr>
          <w:szCs w:val="24"/>
        </w:rPr>
        <w:t xml:space="preserve">, collected from the Ah horizon of an agricultural grassland in the </w:t>
      </w:r>
      <w:proofErr w:type="spellStart"/>
      <w:r w:rsidRPr="00C85DC3">
        <w:rPr>
          <w:szCs w:val="24"/>
        </w:rPr>
        <w:t>Henfaes</w:t>
      </w:r>
      <w:proofErr w:type="spellEnd"/>
      <w:r w:rsidRPr="00C85DC3">
        <w:rPr>
          <w:szCs w:val="24"/>
        </w:rPr>
        <w:t xml:space="preserve"> Research Station in </w:t>
      </w:r>
      <w:proofErr w:type="spellStart"/>
      <w:r w:rsidRPr="00C85DC3">
        <w:rPr>
          <w:szCs w:val="24"/>
        </w:rPr>
        <w:t>Abergwyngregyn</w:t>
      </w:r>
      <w:proofErr w:type="spellEnd"/>
      <w:r w:rsidRPr="00C85DC3">
        <w:rPr>
          <w:szCs w:val="24"/>
        </w:rPr>
        <w:t xml:space="preserve">, Wales (UK; 53°14’N, 4°01’W). </w:t>
      </w:r>
      <w:r w:rsidR="00722B37" w:rsidRPr="00C85DC3">
        <w:rPr>
          <w:szCs w:val="24"/>
        </w:rPr>
        <w:t>A summary of the soil properties is presented in Supplementary Material Table S</w:t>
      </w:r>
      <w:r w:rsidR="00FC6A36" w:rsidRPr="00C85DC3">
        <w:rPr>
          <w:szCs w:val="24"/>
        </w:rPr>
        <w:t>1</w:t>
      </w:r>
      <w:r w:rsidR="00722B37" w:rsidRPr="00C85DC3">
        <w:rPr>
          <w:szCs w:val="24"/>
        </w:rPr>
        <w:t xml:space="preserve">. </w:t>
      </w:r>
      <w:r w:rsidRPr="00C85DC3">
        <w:rPr>
          <w:szCs w:val="24"/>
        </w:rPr>
        <w:t xml:space="preserve">A more detailed description of the soil properties can be found in </w:t>
      </w:r>
      <w:r w:rsidR="00396D8F" w:rsidRPr="00C85DC3">
        <w:rPr>
          <w:szCs w:val="24"/>
        </w:rPr>
        <w:fldChar w:fldCharType="begin"/>
      </w:r>
      <w:r w:rsidR="003C15D9" w:rsidRPr="00C85DC3">
        <w:rPr>
          <w:szCs w:val="24"/>
        </w:rPr>
        <w:instrText xml:space="preserve"> ADDIN EN.CITE &lt;EndNote&gt;&lt;Cite&gt;&lt;Author&gt;McKay Fletcher&lt;/Author&gt;&lt;Year&gt;2019&lt;/Year&gt;&lt;RecNum&gt;1088&lt;/RecNum&gt;&lt;DisplayText&gt;(Oburger, Jones et al. 2011, McKay Fletcher, Keyes et al. 2019)&lt;/DisplayText&gt;&lt;record&gt;&lt;rec-number&gt;1088&lt;/rec-number&gt;&lt;foreign-keys&gt;&lt;key app="EN" db-id="wddptpswvxrss6evz01p5sxgwr2vrv5evpfs" timestamp="1586860311"&gt;1088&lt;/key&gt;&lt;/foreign-keys&gt;&lt;ref-type name="Journal Article"&gt;17&lt;/ref-type&gt;&lt;contributors&gt;&lt;authors&gt;&lt;author&gt;McKay Fletcher, Daniel M &lt;/author&gt;&lt;author&gt;Keyes, Samuel D&lt;/author&gt;&lt;author&gt;Daly, Keith R&lt;/author&gt;&lt;author&gt;Van Veelen, Arjen&lt;/author&gt;&lt;author&gt;Roose, Tiina&lt;/author&gt;&lt;/authors&gt;&lt;/contributors&gt;&lt;titles&gt;&lt;title&gt;A multi image-based approach for modelling plant-fertiliser interaction&lt;/title&gt;&lt;secondary-title&gt;Rhizosphere&lt;/secondary-title&gt;&lt;/titles&gt;&lt;periodical&gt;&lt;full-title&gt;Rhizosphere&lt;/full-title&gt;&lt;/periodical&gt;&lt;pages&gt;100152&lt;/pages&gt;&lt;volume&gt;10&lt;/volume&gt;&lt;dates&gt;&lt;year&gt;2019&lt;/year&gt;&lt;/dates&gt;&lt;isbn&gt;2452-2198&lt;/isbn&gt;&lt;urls&gt;&lt;/urls&gt;&lt;/record&gt;&lt;/Cite&gt;&lt;Cite&gt;&lt;Author&gt;Oburger&lt;/Author&gt;&lt;Year&gt;2011&lt;/Year&gt;&lt;RecNum&gt;53&lt;/RecNum&gt;&lt;record&gt;&lt;rec-number&gt;53&lt;/rec-number&gt;&lt;foreign-keys&gt;&lt;key app="EN" db-id="e0pf0dz95w2e2qesp0ev9tvwdse5fap0eprw" timestamp="1588586087"&gt;53&lt;/key&gt;&lt;/foreign-keys&gt;&lt;ref-type name="Journal Article"&gt;17&lt;/ref-type&gt;&lt;contributors&gt;&lt;authors&gt;&lt;author&gt;Oburger, Eva&lt;/author&gt;&lt;author&gt;Jones, David L&lt;/author&gt;&lt;author&gt;Wenzel, Walter W&lt;/author&gt;&lt;/authors&gt;&lt;/contributors&gt;&lt;titles&gt;&lt;title&gt;Phosphorus saturation and pH differentially regulate the efficiency of organic acid anion-mediated P solubilization mechanisms in soil&lt;/title&gt;&lt;secondary-title&gt;Plant and Soil&lt;/secondary-title&gt;&lt;/titles&gt;&lt;periodical&gt;&lt;full-title&gt;Plant and Soil&lt;/full-title&gt;&lt;/periodical&gt;&lt;pages&gt;363-382&lt;/pages&gt;&lt;volume&gt;341&lt;/volume&gt;&lt;number&gt;1-2&lt;/number&gt;&lt;dates&gt;&lt;year&gt;2011&lt;/year&gt;&lt;/dates&gt;&lt;isbn&gt;0032-079X&lt;/isbn&gt;&lt;urls&gt;&lt;/urls&gt;&lt;/record&gt;&lt;/Cite&gt;&lt;/EndNote&gt;</w:instrText>
      </w:r>
      <w:r w:rsidR="00396D8F" w:rsidRPr="00C85DC3">
        <w:rPr>
          <w:szCs w:val="24"/>
        </w:rPr>
        <w:fldChar w:fldCharType="separate"/>
      </w:r>
      <w:r w:rsidR="000E3868" w:rsidRPr="00C85DC3">
        <w:rPr>
          <w:noProof/>
          <w:szCs w:val="24"/>
        </w:rPr>
        <w:t xml:space="preserve">(Oburger, Jones et al. </w:t>
      </w:r>
      <w:r w:rsidR="000E3868" w:rsidRPr="00C85DC3">
        <w:rPr>
          <w:noProof/>
          <w:szCs w:val="24"/>
        </w:rPr>
        <w:lastRenderedPageBreak/>
        <w:t>2011, McKay Fletcher, Keyes et al. 2019)</w:t>
      </w:r>
      <w:r w:rsidR="00396D8F" w:rsidRPr="00C85DC3">
        <w:rPr>
          <w:szCs w:val="24"/>
        </w:rPr>
        <w:fldChar w:fldCharType="end"/>
      </w:r>
      <w:r w:rsidRPr="00C85DC3">
        <w:rPr>
          <w:szCs w:val="24"/>
        </w:rPr>
        <w:t xml:space="preserve">. Two soil fractions were used in order to investigate the effect of the particle size on P movement. </w:t>
      </w:r>
      <w:bookmarkStart w:id="9" w:name="_Hlk47009819"/>
      <w:r w:rsidR="00136152" w:rsidRPr="00C85DC3">
        <w:rPr>
          <w:rFonts w:cstheme="minorHAnsi"/>
          <w:bCs/>
          <w:szCs w:val="24"/>
        </w:rPr>
        <w:t xml:space="preserve">Both soil fractions were obtained starting from the same soil sieved below 2 mm. The fine fraction comprised all the particles with diameter below 2 mm, while for obtaining the coarse fraction the particles with diameter below 1.18 mm were removed. </w:t>
      </w:r>
      <w:bookmarkStart w:id="10" w:name="_Hlk47017672"/>
      <w:bookmarkStart w:id="11" w:name="_Hlk47011093"/>
      <w:bookmarkStart w:id="12" w:name="_Hlk47010915"/>
      <w:r w:rsidR="00545826" w:rsidRPr="00C85DC3">
        <w:rPr>
          <w:szCs w:val="24"/>
        </w:rPr>
        <w:t xml:space="preserve">Dry bulk density was </w:t>
      </w:r>
      <m:oMath>
        <m:sSub>
          <m:sSubPr>
            <m:ctrlPr>
              <w:rPr>
                <w:rFonts w:ascii="Cambria Math" w:hAnsi="Cambria Math"/>
                <w:i/>
                <w:szCs w:val="24"/>
              </w:rPr>
            </m:ctrlPr>
          </m:sSubPr>
          <m:e>
            <m:r>
              <w:rPr>
                <w:rFonts w:ascii="Cambria Math" w:hAnsi="Cambria Math"/>
                <w:szCs w:val="24"/>
              </w:rPr>
              <m:t>ρ</m:t>
            </m:r>
          </m:e>
          <m:sub>
            <m:r>
              <w:rPr>
                <w:rFonts w:ascii="Cambria Math" w:hAnsi="Cambria Math"/>
                <w:szCs w:val="24"/>
              </w:rPr>
              <m:t>b,c</m:t>
            </m:r>
          </m:sub>
        </m:sSub>
      </m:oMath>
      <w:r w:rsidR="00545826" w:rsidRPr="00C85DC3">
        <w:rPr>
          <w:rFonts w:eastAsiaTheme="minorEastAsia"/>
          <w:szCs w:val="24"/>
        </w:rPr>
        <w:t xml:space="preserve">= </w:t>
      </w:r>
      <w:r w:rsidR="00545826" w:rsidRPr="00C85DC3">
        <w:rPr>
          <w:szCs w:val="24"/>
        </w:rPr>
        <w:t>1.02 ± 0.01 g mL</w:t>
      </w:r>
      <w:r w:rsidR="00545826" w:rsidRPr="00C85DC3">
        <w:rPr>
          <w:szCs w:val="24"/>
          <w:vertAlign w:val="superscript"/>
        </w:rPr>
        <w:t>-1</w:t>
      </w:r>
      <w:r w:rsidR="00545826" w:rsidRPr="00C85DC3">
        <w:rPr>
          <w:szCs w:val="24"/>
        </w:rPr>
        <w:t xml:space="preserve"> in coarse soil and </w:t>
      </w:r>
      <m:oMath>
        <m:sSub>
          <m:sSubPr>
            <m:ctrlPr>
              <w:rPr>
                <w:rFonts w:ascii="Cambria Math" w:hAnsi="Cambria Math"/>
                <w:i/>
                <w:szCs w:val="24"/>
              </w:rPr>
            </m:ctrlPr>
          </m:sSubPr>
          <m:e>
            <m:r>
              <w:rPr>
                <w:rFonts w:ascii="Cambria Math" w:hAnsi="Cambria Math"/>
                <w:szCs w:val="24"/>
              </w:rPr>
              <m:t>ρ</m:t>
            </m:r>
          </m:e>
          <m:sub>
            <m:r>
              <w:rPr>
                <w:rFonts w:ascii="Cambria Math" w:hAnsi="Cambria Math"/>
                <w:szCs w:val="24"/>
              </w:rPr>
              <m:t>b,f</m:t>
            </m:r>
          </m:sub>
        </m:sSub>
      </m:oMath>
      <w:r w:rsidR="00545826" w:rsidRPr="00C85DC3">
        <w:rPr>
          <w:rFonts w:eastAsiaTheme="minorEastAsia"/>
          <w:szCs w:val="24"/>
        </w:rPr>
        <w:t xml:space="preserve">= </w:t>
      </w:r>
      <w:r w:rsidR="00545826" w:rsidRPr="00C85DC3">
        <w:rPr>
          <w:szCs w:val="24"/>
        </w:rPr>
        <w:t>1.26 ± 0.01 g m</w:t>
      </w:r>
      <w:r w:rsidR="00545826" w:rsidRPr="00C85DC3">
        <w:rPr>
          <w:rFonts w:eastAsiaTheme="minorEastAsia"/>
          <w:szCs w:val="24"/>
        </w:rPr>
        <w:t>L</w:t>
      </w:r>
      <w:r w:rsidR="00545826" w:rsidRPr="00C85DC3">
        <w:rPr>
          <w:rFonts w:eastAsiaTheme="minorEastAsia"/>
          <w:szCs w:val="24"/>
          <w:vertAlign w:val="superscript"/>
        </w:rPr>
        <w:t>-1</w:t>
      </w:r>
      <w:r w:rsidR="00545826" w:rsidRPr="00C85DC3">
        <w:rPr>
          <w:szCs w:val="24"/>
        </w:rPr>
        <w:t xml:space="preserve"> in fine soil</w:t>
      </w:r>
      <w:bookmarkEnd w:id="10"/>
      <w:r w:rsidR="00545826" w:rsidRPr="00C85DC3">
        <w:rPr>
          <w:szCs w:val="24"/>
        </w:rPr>
        <w:t xml:space="preserve">. </w:t>
      </w:r>
      <w:bookmarkStart w:id="13" w:name="_Hlk47009045"/>
      <w:bookmarkEnd w:id="11"/>
      <w:r w:rsidR="00FC6A36" w:rsidRPr="00C85DC3">
        <w:rPr>
          <w:rFonts w:cstheme="minorHAnsi"/>
          <w:bCs/>
          <w:szCs w:val="24"/>
        </w:rPr>
        <w:t>Initial soil blank P concentration was 597±16 ppm for the coarse and 682±23 ppm for the fine fraction.</w:t>
      </w:r>
      <w:r w:rsidR="00FC6A36" w:rsidRPr="00C85DC3" w:rsidDel="00136152">
        <w:rPr>
          <w:szCs w:val="24"/>
        </w:rPr>
        <w:t xml:space="preserve"> </w:t>
      </w:r>
      <w:bookmarkEnd w:id="13"/>
      <w:r w:rsidR="009D6192" w:rsidRPr="00C85DC3">
        <w:rPr>
          <w:szCs w:val="24"/>
        </w:rPr>
        <w:t xml:space="preserve">A comparison between the two soil fractions compositions is shown in the Supplementary Material Figure S4. </w:t>
      </w:r>
      <w:r w:rsidRPr="00C85DC3">
        <w:rPr>
          <w:szCs w:val="24"/>
        </w:rPr>
        <w:t xml:space="preserve">One triple super phosphate (TSP) </w:t>
      </w:r>
      <w:r w:rsidR="00046530" w:rsidRPr="00C85DC3">
        <w:rPr>
          <w:szCs w:val="24"/>
        </w:rPr>
        <w:t>fertilizer</w:t>
      </w:r>
      <w:r w:rsidRPr="00C85DC3">
        <w:rPr>
          <w:szCs w:val="24"/>
        </w:rPr>
        <w:t xml:space="preserve"> pellet per tube (mass range 50-60 mg) was used as a </w:t>
      </w:r>
      <w:r w:rsidR="00046530" w:rsidRPr="00C85DC3">
        <w:rPr>
          <w:szCs w:val="24"/>
        </w:rPr>
        <w:t>localized</w:t>
      </w:r>
      <w:r w:rsidRPr="00C85DC3">
        <w:rPr>
          <w:szCs w:val="24"/>
        </w:rPr>
        <w:t xml:space="preserve"> phosphorus source</w:t>
      </w:r>
      <w:r w:rsidR="006F2A32" w:rsidRPr="00C85DC3">
        <w:rPr>
          <w:szCs w:val="24"/>
        </w:rPr>
        <w:t xml:space="preserve"> and positioned 1.5 cm below the soil surface</w:t>
      </w:r>
      <w:r w:rsidRPr="00C85DC3">
        <w:rPr>
          <w:szCs w:val="24"/>
        </w:rPr>
        <w:t xml:space="preserve">. </w:t>
      </w:r>
      <w:bookmarkStart w:id="14" w:name="_Hlk47009096"/>
      <w:r w:rsidR="00FC6A36" w:rsidRPr="00C85DC3">
        <w:rPr>
          <w:szCs w:val="24"/>
        </w:rPr>
        <w:t>The average P concentration in the fertilizer used was 2.1</w:t>
      </w:r>
      <m:oMath>
        <m:r>
          <w:rPr>
            <w:rFonts w:ascii="Cambria Math" w:hAnsi="Cambria Math"/>
            <w:szCs w:val="24"/>
          </w:rPr>
          <m:t>×</m:t>
        </m:r>
      </m:oMath>
      <w:r w:rsidR="00FC6A36" w:rsidRPr="00C85DC3">
        <w:rPr>
          <w:rFonts w:cstheme="minorHAnsi"/>
          <w:bCs/>
          <w:szCs w:val="24"/>
        </w:rPr>
        <w:t>10</w:t>
      </w:r>
      <w:r w:rsidR="00FC6A36" w:rsidRPr="00C85DC3">
        <w:rPr>
          <w:rFonts w:cstheme="minorHAnsi"/>
          <w:bCs/>
          <w:szCs w:val="24"/>
          <w:vertAlign w:val="superscript"/>
        </w:rPr>
        <w:t>5</w:t>
      </w:r>
      <w:r w:rsidR="00FC6A36" w:rsidRPr="00C85DC3">
        <w:rPr>
          <w:rFonts w:cstheme="minorHAnsi"/>
          <w:bCs/>
          <w:szCs w:val="24"/>
        </w:rPr>
        <w:t xml:space="preserve"> ppm. P was therefore added at a rate of 333 kg </w:t>
      </w:r>
      <w:proofErr w:type="gramStart"/>
      <w:r w:rsidR="00FC6A36" w:rsidRPr="00C85DC3">
        <w:rPr>
          <w:rFonts w:cstheme="minorHAnsi"/>
          <w:bCs/>
          <w:szCs w:val="24"/>
        </w:rPr>
        <w:t>ha</w:t>
      </w:r>
      <w:r w:rsidR="00FC6A36" w:rsidRPr="00C85DC3">
        <w:rPr>
          <w:rFonts w:cstheme="minorHAnsi"/>
          <w:bCs/>
          <w:szCs w:val="24"/>
          <w:vertAlign w:val="superscript"/>
        </w:rPr>
        <w:t>-1</w:t>
      </w:r>
      <w:proofErr w:type="gramEnd"/>
      <w:r w:rsidR="00FC6A36" w:rsidRPr="00C85DC3">
        <w:rPr>
          <w:rFonts w:cstheme="minorHAnsi"/>
          <w:bCs/>
          <w:szCs w:val="24"/>
        </w:rPr>
        <w:t>.</w:t>
      </w:r>
      <w:bookmarkEnd w:id="14"/>
    </w:p>
    <w:bookmarkEnd w:id="9"/>
    <w:bookmarkEnd w:id="12"/>
    <w:p w14:paraId="6EA90669" w14:textId="56EA8B08" w:rsidR="00A725CF" w:rsidRPr="00C85DC3" w:rsidRDefault="00A725CF" w:rsidP="00A725CF">
      <w:pPr>
        <w:pStyle w:val="ParaText"/>
        <w:spacing w:line="480" w:lineRule="auto"/>
        <w:rPr>
          <w:szCs w:val="24"/>
        </w:rPr>
      </w:pPr>
      <w:r w:rsidRPr="00C85DC3">
        <w:rPr>
          <w:szCs w:val="24"/>
        </w:rPr>
        <w:t xml:space="preserve">In situ sampling was performed using microdialysis CMA 11 metal free (4 mm) probes (CMA Microdialysis AB, Sweden) with a 6 </w:t>
      </w:r>
      <w:proofErr w:type="spellStart"/>
      <w:r w:rsidRPr="00C85DC3">
        <w:rPr>
          <w:szCs w:val="24"/>
        </w:rPr>
        <w:t>kDa</w:t>
      </w:r>
      <w:proofErr w:type="spellEnd"/>
      <w:r w:rsidRPr="00C85DC3">
        <w:rPr>
          <w:szCs w:val="24"/>
        </w:rPr>
        <w:t xml:space="preserve"> molecular weight cut-off. Microdialysis probes were perfused with </w:t>
      </w:r>
      <w:proofErr w:type="spellStart"/>
      <w:r w:rsidRPr="00C85DC3">
        <w:rPr>
          <w:szCs w:val="24"/>
        </w:rPr>
        <w:t>MilliQ</w:t>
      </w:r>
      <w:proofErr w:type="spellEnd"/>
      <w:r w:rsidRPr="00C85DC3">
        <w:rPr>
          <w:szCs w:val="24"/>
        </w:rPr>
        <w:t xml:space="preserve"> water (18 MΩ) at 3.3 µL min</w:t>
      </w:r>
      <w:r w:rsidRPr="00C85DC3">
        <w:rPr>
          <w:szCs w:val="24"/>
          <w:vertAlign w:val="superscript"/>
        </w:rPr>
        <w:t>-1</w:t>
      </w:r>
      <w:r w:rsidRPr="00C85DC3">
        <w:rPr>
          <w:szCs w:val="24"/>
        </w:rPr>
        <w:t xml:space="preserve"> flow rate </w:t>
      </w:r>
      <w:r w:rsidR="00396D8F" w:rsidRPr="00C85DC3">
        <w:rPr>
          <w:szCs w:val="24"/>
        </w:rPr>
        <w:fldChar w:fldCharType="begin"/>
      </w:r>
      <w:r w:rsidR="002A1395" w:rsidRPr="00C85DC3">
        <w:rPr>
          <w:szCs w:val="24"/>
        </w:rPr>
        <w:instrText xml:space="preserve"> ADDIN EN.CITE &lt;EndNote&gt;&lt;Cite&gt;&lt;Author&gt;McKay Fletcher&lt;/Author&gt;&lt;Year&gt;2019&lt;/Year&gt;&lt;RecNum&gt;46&lt;/RecNum&gt;&lt;DisplayText&gt;(McKay Fletcher, Shaw et al. 2019)&lt;/DisplayText&gt;&lt;record&gt;&lt;rec-number&gt;46&lt;/rec-number&gt;&lt;foreign-keys&gt;&lt;key app="EN" db-id="e0pf0dz95w2e2qesp0ev9tvwdse5fap0eprw" timestamp="1588585869"&gt;46&lt;/key&gt;&lt;/foreign-keys&gt;&lt;ref-type name="Journal Article"&gt;17&lt;/ref-type&gt;&lt;contributors&gt;&lt;authors&gt;&lt;author&gt;McKay Fletcher, DM&lt;/author&gt;&lt;author&gt;Shaw, R&lt;/author&gt;&lt;author&gt;Sánchez-Rodríguez, AR&lt;/author&gt;&lt;author&gt;Daly, KR&lt;/author&gt;&lt;author&gt;Van Veelen, A&lt;/author&gt;&lt;author&gt;Jones, DL&lt;/author&gt;&lt;author&gt;Roose, T&lt;/author&gt;&lt;/authors&gt;&lt;/contributors&gt;&lt;titles&gt;&lt;title&gt;Quantifying citrate-enhanced phosphate root uptake using microdialysis&lt;/title&gt;&lt;secondary-title&gt;Plant and Soil&lt;/secondary-title&gt;&lt;/titles&gt;&lt;periodical&gt;&lt;full-title&gt;Plant and Soil&lt;/full-title&gt;&lt;/periodical&gt;&lt;pages&gt;1-21&lt;/pages&gt;&lt;dates&gt;&lt;year&gt;2019&lt;/year&gt;&lt;/dates&gt;&lt;isbn&gt;0032-079X&lt;/isbn&gt;&lt;urls&gt;&lt;/urls&gt;&lt;/record&gt;&lt;/Cite&gt;&lt;/EndNote&gt;</w:instrText>
      </w:r>
      <w:r w:rsidR="00396D8F" w:rsidRPr="00C85DC3">
        <w:rPr>
          <w:szCs w:val="24"/>
        </w:rPr>
        <w:fldChar w:fldCharType="separate"/>
      </w:r>
      <w:r w:rsidR="000E3868" w:rsidRPr="00C85DC3">
        <w:rPr>
          <w:noProof/>
          <w:szCs w:val="24"/>
        </w:rPr>
        <w:t>(McKay Fletcher, Shaw et al. 2019)</w:t>
      </w:r>
      <w:r w:rsidR="00396D8F" w:rsidRPr="00C85DC3">
        <w:rPr>
          <w:szCs w:val="24"/>
        </w:rPr>
        <w:fldChar w:fldCharType="end"/>
      </w:r>
      <w:r w:rsidRPr="00C85DC3">
        <w:rPr>
          <w:szCs w:val="24"/>
        </w:rPr>
        <w:t xml:space="preserve"> using a PHD 2000 Programmable Syringe Pump (Harvard Apparatus, UK). Three probes per tube were set up for assessing phosphorus movement spatial scales, one placed </w:t>
      </w:r>
      <w:r w:rsidR="00971A39" w:rsidRPr="00C85DC3">
        <w:rPr>
          <w:szCs w:val="24"/>
        </w:rPr>
        <w:t>0.</w:t>
      </w:r>
      <w:r w:rsidRPr="00C85DC3">
        <w:rPr>
          <w:szCs w:val="24"/>
        </w:rPr>
        <w:t xml:space="preserve">5 </w:t>
      </w:r>
      <w:r w:rsidR="00971A39" w:rsidRPr="00C85DC3">
        <w:rPr>
          <w:szCs w:val="24"/>
        </w:rPr>
        <w:t>c</w:t>
      </w:r>
      <w:r w:rsidRPr="00C85DC3">
        <w:rPr>
          <w:szCs w:val="24"/>
        </w:rPr>
        <w:t>m above the pellet, and the other two placed below the pellet, at 1</w:t>
      </w:r>
      <w:r w:rsidR="00971A39" w:rsidRPr="00C85DC3">
        <w:rPr>
          <w:szCs w:val="24"/>
        </w:rPr>
        <w:t>.</w:t>
      </w:r>
      <w:r w:rsidRPr="00C85DC3">
        <w:rPr>
          <w:szCs w:val="24"/>
        </w:rPr>
        <w:t xml:space="preserve">5 </w:t>
      </w:r>
      <w:r w:rsidR="00971A39" w:rsidRPr="00C85DC3">
        <w:rPr>
          <w:szCs w:val="24"/>
        </w:rPr>
        <w:t>c</w:t>
      </w:r>
      <w:r w:rsidRPr="00C85DC3">
        <w:rPr>
          <w:szCs w:val="24"/>
        </w:rPr>
        <w:t>m and 3</w:t>
      </w:r>
      <w:r w:rsidR="00971A39" w:rsidRPr="00C85DC3">
        <w:rPr>
          <w:szCs w:val="24"/>
        </w:rPr>
        <w:t>.0</w:t>
      </w:r>
      <w:r w:rsidRPr="00C85DC3">
        <w:rPr>
          <w:szCs w:val="24"/>
        </w:rPr>
        <w:t xml:space="preserve"> </w:t>
      </w:r>
      <w:r w:rsidR="00971A39" w:rsidRPr="00C85DC3">
        <w:rPr>
          <w:szCs w:val="24"/>
        </w:rPr>
        <w:t>c</w:t>
      </w:r>
      <w:r w:rsidRPr="00C85DC3">
        <w:rPr>
          <w:szCs w:val="24"/>
        </w:rPr>
        <w:t>m distance from the P source, respectively (Figure S2). In the first 12 hours of measurements, sampling was performed at high time resolution by perfusing the probes for consecutive 2 hours periods (sample volume 0.396 mL). For the remainder of the two-week experiment, one sample was collected every 24h by perfusing the probes over a 12</w:t>
      </w:r>
      <w:r w:rsidR="00396D8F" w:rsidRPr="00C85DC3">
        <w:rPr>
          <w:szCs w:val="24"/>
        </w:rPr>
        <w:t>-</w:t>
      </w:r>
      <w:r w:rsidRPr="00C85DC3">
        <w:rPr>
          <w:szCs w:val="24"/>
        </w:rPr>
        <w:t>hour period (sample volume 2.376 mL).</w:t>
      </w:r>
    </w:p>
    <w:p w14:paraId="6567EEC4" w14:textId="77777777" w:rsidR="00A725CF" w:rsidRPr="00C85DC3" w:rsidRDefault="00A725CF" w:rsidP="00A725CF">
      <w:pPr>
        <w:pStyle w:val="ParaText"/>
        <w:spacing w:line="480" w:lineRule="auto"/>
        <w:rPr>
          <w:szCs w:val="24"/>
        </w:rPr>
      </w:pPr>
      <w:proofErr w:type="spellStart"/>
      <w:r w:rsidRPr="00C85DC3">
        <w:rPr>
          <w:szCs w:val="24"/>
        </w:rPr>
        <w:t>MicroRhizon</w:t>
      </w:r>
      <w:proofErr w:type="spellEnd"/>
      <w:r w:rsidRPr="00C85DC3">
        <w:rPr>
          <w:szCs w:val="24"/>
        </w:rPr>
        <w:t xml:space="preserve"> suction cup samplers, whose ceramic tips have a mean pore size of 0.15 µm (Rhizosphere Research Products B.V., Netherlands) were used for comparison with </w:t>
      </w:r>
      <w:r w:rsidRPr="00C85DC3">
        <w:rPr>
          <w:szCs w:val="24"/>
        </w:rPr>
        <w:lastRenderedPageBreak/>
        <w:t xml:space="preserve">microdialysis probes. Suction cups were deployed in replicate setups at the same positions as the microdialysis probes and operated at a 33 µL min-1 flow rate using the same syringe pump. A fixed volume of 0.6 mL of soil solution for each probe was sampled every 24h. High resolution sampling was not performed due to the volume of water removed from the soil column at each timepoint in relation to the total volume of water present in the system. </w:t>
      </w:r>
    </w:p>
    <w:p w14:paraId="5F3FC286" w14:textId="77777777" w:rsidR="00A725CF" w:rsidRPr="00C85DC3" w:rsidRDefault="00A725CF" w:rsidP="00A725CF">
      <w:pPr>
        <w:pStyle w:val="ParaText"/>
        <w:spacing w:line="480" w:lineRule="auto"/>
        <w:rPr>
          <w:szCs w:val="24"/>
        </w:rPr>
      </w:pPr>
      <w:r w:rsidRPr="00C85DC3">
        <w:rPr>
          <w:szCs w:val="24"/>
        </w:rPr>
        <w:t>Both microdialysis (dialysates) and suction cup samples were kept sealed and refrigerated (+4°C) until analysis.</w:t>
      </w:r>
    </w:p>
    <w:p w14:paraId="2C16690B" w14:textId="74DE959A" w:rsidR="00A725CF" w:rsidRPr="00C85DC3" w:rsidRDefault="00A725CF" w:rsidP="00A725CF">
      <w:pPr>
        <w:pStyle w:val="ParaText"/>
        <w:spacing w:line="480" w:lineRule="auto"/>
        <w:rPr>
          <w:szCs w:val="24"/>
        </w:rPr>
      </w:pPr>
      <w:r w:rsidRPr="00C85DC3">
        <w:rPr>
          <w:szCs w:val="24"/>
        </w:rPr>
        <w:t xml:space="preserve">In order to assess the baseline P values for the chosen soil, a soil blank treatment was set up with the same characteristics and sampling procedure as the others but without the pellet. Phosphorus concentrations in dialysates from blank soil were consistently lower than detection limits (LOD; data not shown), while in suction cups samples blanks were two orders of magnitude higher than LOD, but still two orders of magnitude lower than </w:t>
      </w:r>
      <w:r w:rsidR="00046530" w:rsidRPr="00C85DC3">
        <w:rPr>
          <w:szCs w:val="24"/>
        </w:rPr>
        <w:t>fertilizer</w:t>
      </w:r>
      <w:r w:rsidRPr="00C85DC3">
        <w:rPr>
          <w:szCs w:val="24"/>
        </w:rPr>
        <w:t xml:space="preserve"> treatment data.</w:t>
      </w:r>
    </w:p>
    <w:p w14:paraId="53C521E2" w14:textId="4B0D600F" w:rsidR="00A725CF" w:rsidRPr="00C85DC3" w:rsidRDefault="00A725CF" w:rsidP="00A725CF">
      <w:pPr>
        <w:pStyle w:val="ParaText"/>
        <w:spacing w:line="480" w:lineRule="auto"/>
        <w:rPr>
          <w:szCs w:val="24"/>
        </w:rPr>
      </w:pPr>
      <w:r w:rsidRPr="00C85DC3">
        <w:rPr>
          <w:szCs w:val="24"/>
        </w:rPr>
        <w:t xml:space="preserve">The two sampling techniques were inter-calibrated in order to obtain comparable values. Calibration standards were made from extraction of ground TSP pellets in </w:t>
      </w:r>
      <w:proofErr w:type="spellStart"/>
      <w:r w:rsidRPr="00C85DC3">
        <w:rPr>
          <w:szCs w:val="24"/>
        </w:rPr>
        <w:t>MilliQ</w:t>
      </w:r>
      <w:proofErr w:type="spellEnd"/>
      <w:r w:rsidRPr="00C85DC3">
        <w:rPr>
          <w:szCs w:val="24"/>
        </w:rPr>
        <w:t xml:space="preserve"> water, filtration of the obtained solution and subsequent dilution of the stock concentration. A four-standard calibration was performed for both microdialysis and suction cups and calibration curves are shown in </w:t>
      </w:r>
      <w:r w:rsidR="00E51745" w:rsidRPr="00C85DC3">
        <w:rPr>
          <w:szCs w:val="24"/>
        </w:rPr>
        <w:t>Supplementary Material</w:t>
      </w:r>
      <w:r w:rsidRPr="00C85DC3">
        <w:rPr>
          <w:szCs w:val="24"/>
        </w:rPr>
        <w:t xml:space="preserve"> Figure S</w:t>
      </w:r>
      <w:r w:rsidR="001D6DA5" w:rsidRPr="00C85DC3">
        <w:rPr>
          <w:szCs w:val="24"/>
        </w:rPr>
        <w:t>5</w:t>
      </w:r>
      <w:r w:rsidRPr="00C85DC3">
        <w:rPr>
          <w:szCs w:val="24"/>
        </w:rPr>
        <w:t xml:space="preserve">. </w:t>
      </w:r>
      <w:bookmarkStart w:id="15" w:name="_Hlk47011009"/>
      <w:r w:rsidRPr="00C85DC3">
        <w:rPr>
          <w:szCs w:val="24"/>
        </w:rPr>
        <w:t>Data show</w:t>
      </w:r>
      <w:r w:rsidR="008E2D37" w:rsidRPr="00C85DC3">
        <w:rPr>
          <w:szCs w:val="24"/>
        </w:rPr>
        <w:t>s</w:t>
      </w:r>
      <w:r w:rsidRPr="00C85DC3">
        <w:rPr>
          <w:szCs w:val="24"/>
        </w:rPr>
        <w:t xml:space="preserve"> that </w:t>
      </w:r>
      <w:r w:rsidR="004438D6" w:rsidRPr="00C85DC3">
        <w:rPr>
          <w:szCs w:val="24"/>
        </w:rPr>
        <w:t xml:space="preserve">absolute </w:t>
      </w:r>
      <w:r w:rsidRPr="00C85DC3">
        <w:rPr>
          <w:szCs w:val="24"/>
        </w:rPr>
        <w:t xml:space="preserve">recovery using microdialysis decreases with increasing phosphorus concentrations </w:t>
      </w:r>
      <w:bookmarkEnd w:id="15"/>
      <w:r w:rsidRPr="00C85DC3">
        <w:rPr>
          <w:szCs w:val="24"/>
        </w:rPr>
        <w:t>(Figure S</w:t>
      </w:r>
      <w:r w:rsidR="001D6DA5" w:rsidRPr="00C85DC3">
        <w:rPr>
          <w:szCs w:val="24"/>
        </w:rPr>
        <w:t>5)</w:t>
      </w:r>
      <w:r w:rsidRPr="00C85DC3">
        <w:rPr>
          <w:szCs w:val="24"/>
        </w:rPr>
        <w:t xml:space="preserve">. A correction factor derived from calibration experiments was therefore applied to all the microdialysis data in order to normalize them to effective soil solution concentrations. Furthermore, probe inter-variability was evaluated by replicating the calibration using three different probes of each kind. </w:t>
      </w:r>
      <w:r w:rsidRPr="00C85DC3">
        <w:rPr>
          <w:szCs w:val="24"/>
        </w:rPr>
        <w:lastRenderedPageBreak/>
        <w:t>Microdialysis probes show higher variability (with a standard deviation of 6% the mean) with respect to suction cups (2%)</w:t>
      </w:r>
      <w:r w:rsidR="00DB687B" w:rsidRPr="00C85DC3">
        <w:rPr>
          <w:szCs w:val="24"/>
        </w:rPr>
        <w:t>.</w:t>
      </w:r>
    </w:p>
    <w:p w14:paraId="64EBD7EC" w14:textId="77777777" w:rsidR="00DA75B2" w:rsidRPr="00C85DC3" w:rsidRDefault="00A725CF" w:rsidP="00DA75B2">
      <w:pPr>
        <w:pStyle w:val="ParaText"/>
        <w:spacing w:line="480" w:lineRule="auto"/>
        <w:ind w:firstLine="0"/>
        <w:rPr>
          <w:b/>
          <w:kern w:val="28"/>
          <w:szCs w:val="24"/>
        </w:rPr>
      </w:pPr>
      <w:r w:rsidRPr="00C85DC3">
        <w:rPr>
          <w:b/>
          <w:kern w:val="28"/>
          <w:szCs w:val="24"/>
        </w:rPr>
        <w:t>Quantitative phosphorus determination by ICP-MS</w:t>
      </w:r>
    </w:p>
    <w:p w14:paraId="42DE91CB" w14:textId="648FA78A" w:rsidR="00DA75B2" w:rsidRPr="00C85DC3" w:rsidRDefault="00A725CF" w:rsidP="00DA75B2">
      <w:pPr>
        <w:pStyle w:val="ParaText"/>
        <w:spacing w:line="480" w:lineRule="auto"/>
        <w:ind w:firstLine="0"/>
        <w:rPr>
          <w:szCs w:val="24"/>
        </w:rPr>
      </w:pPr>
      <w:r w:rsidRPr="00C85DC3">
        <w:rPr>
          <w:szCs w:val="24"/>
        </w:rPr>
        <w:t xml:space="preserve">Inductively Coupled Plasma Mass Spectrometry (ICP-MS) </w:t>
      </w:r>
      <w:r w:rsidR="00C85DC3" w:rsidRPr="00C85DC3">
        <w:rPr>
          <w:szCs w:val="24"/>
        </w:rPr>
        <w:t>analyses were performed at the School of Ocean and Earth Science, University of Southampton</w:t>
      </w:r>
      <w:r w:rsidRPr="00C85DC3">
        <w:rPr>
          <w:szCs w:val="24"/>
        </w:rPr>
        <w:t xml:space="preserve"> using a quadrupole ICP-MS (Thermo-Scientific, XSeries2). Thirteen elements were quantified, namely </w:t>
      </w:r>
      <w:bookmarkStart w:id="16" w:name="_Hlk46760865"/>
      <w:r w:rsidRPr="00C85DC3">
        <w:rPr>
          <w:szCs w:val="24"/>
        </w:rPr>
        <w:t>Na, Mg, Al, Si, P, K, Ca, Mn, Fe, Cu, Zn, Sr, Pb</w:t>
      </w:r>
      <w:bookmarkEnd w:id="16"/>
      <w:r w:rsidRPr="00C85DC3">
        <w:rPr>
          <w:szCs w:val="24"/>
        </w:rPr>
        <w:t xml:space="preserve">. Calibration was performed with seven custom synthetic standard solutions prepared from single element standards (Inorganic </w:t>
      </w:r>
      <w:proofErr w:type="spellStart"/>
      <w:r w:rsidRPr="00C85DC3">
        <w:rPr>
          <w:szCs w:val="24"/>
        </w:rPr>
        <w:t>VenturesTM</w:t>
      </w:r>
      <w:proofErr w:type="spellEnd"/>
      <w:r w:rsidRPr="00C85DC3">
        <w:rPr>
          <w:szCs w:val="24"/>
        </w:rPr>
        <w:t>). All samples and standards were prepared in 3% sub boiled nitric acid spiked with internal standard elements (Be, In and Re) to correct for drift and matrix effects during ICP-MS measurements. The dialysate and suction cups samples were diluted by 25-fold prior to analysis</w:t>
      </w:r>
      <w:bookmarkStart w:id="17" w:name="_Hlk47009269"/>
      <w:r w:rsidR="00F05D27" w:rsidRPr="00C85DC3">
        <w:rPr>
          <w:szCs w:val="24"/>
        </w:rPr>
        <w:t xml:space="preserve"> to fit within the measurement range of the instrument</w:t>
      </w:r>
      <w:r w:rsidRPr="00C85DC3">
        <w:rPr>
          <w:szCs w:val="24"/>
        </w:rPr>
        <w:t>.</w:t>
      </w:r>
      <w:bookmarkEnd w:id="17"/>
    </w:p>
    <w:p w14:paraId="0A593A4C" w14:textId="1D2B60B8" w:rsidR="00DA75B2" w:rsidRPr="00C85DC3" w:rsidRDefault="00FD290E" w:rsidP="00DA75B2">
      <w:pPr>
        <w:pStyle w:val="ParaText"/>
        <w:spacing w:line="480" w:lineRule="auto"/>
        <w:ind w:firstLine="0"/>
        <w:rPr>
          <w:szCs w:val="24"/>
        </w:rPr>
      </w:pPr>
      <w:bookmarkStart w:id="18" w:name="_Hlk47009416"/>
      <w:bookmarkStart w:id="19" w:name="_Hlk47010093"/>
      <w:r w:rsidRPr="00C85DC3">
        <w:rPr>
          <w:szCs w:val="24"/>
        </w:rPr>
        <w:t xml:space="preserve">At the end of the experiment, </w:t>
      </w:r>
      <w:r w:rsidR="00F05D27" w:rsidRPr="00C85DC3">
        <w:rPr>
          <w:szCs w:val="24"/>
        </w:rPr>
        <w:t xml:space="preserve">the total P concentration at different heights along the column (both in solution and bound to the soil) was measured in the following way. </w:t>
      </w:r>
      <w:bookmarkEnd w:id="18"/>
      <w:r w:rsidR="00F05D27" w:rsidRPr="00C85DC3">
        <w:rPr>
          <w:szCs w:val="24"/>
        </w:rPr>
        <w:t>T</w:t>
      </w:r>
      <w:r w:rsidRPr="00C85DC3">
        <w:rPr>
          <w:szCs w:val="24"/>
        </w:rPr>
        <w:t xml:space="preserve">he soil columns were isolated from the watering system by closing the tap and immediately frozen standing vertically without allowing water to drain or dry. </w:t>
      </w:r>
      <w:r w:rsidR="00A725CF" w:rsidRPr="00C85DC3">
        <w:rPr>
          <w:szCs w:val="24"/>
        </w:rPr>
        <w:t xml:space="preserve">The soil columns were </w:t>
      </w:r>
      <w:r w:rsidRPr="00C85DC3">
        <w:rPr>
          <w:szCs w:val="24"/>
        </w:rPr>
        <w:t xml:space="preserve">then </w:t>
      </w:r>
      <w:r w:rsidR="00A725CF" w:rsidRPr="00C85DC3">
        <w:rPr>
          <w:szCs w:val="24"/>
        </w:rPr>
        <w:t>sliced at a 0.5 cm resolution using a ceramic knife</w:t>
      </w:r>
      <w:r w:rsidRPr="00C85DC3">
        <w:rPr>
          <w:szCs w:val="24"/>
        </w:rPr>
        <w:t xml:space="preserve">, the obtained samples were </w:t>
      </w:r>
      <w:r w:rsidR="00A725CF" w:rsidRPr="00C85DC3">
        <w:rPr>
          <w:szCs w:val="24"/>
        </w:rPr>
        <w:t xml:space="preserve">air-dried for 48 hours and then oven-dried at 65°C overnight. </w:t>
      </w:r>
      <w:bookmarkEnd w:id="19"/>
      <w:r w:rsidR="00A725CF" w:rsidRPr="00C85DC3">
        <w:rPr>
          <w:szCs w:val="24"/>
        </w:rPr>
        <w:t>An aliquot of approximately 100 mg of oven-dried sample was weighed for digestion. The soil digestions were performed using a combined aqua regia and HF/HClO</w:t>
      </w:r>
      <w:r w:rsidR="00A725CF" w:rsidRPr="00C85DC3">
        <w:rPr>
          <w:szCs w:val="24"/>
          <w:vertAlign w:val="subscript"/>
        </w:rPr>
        <w:t>4</w:t>
      </w:r>
      <w:r w:rsidR="00A725CF" w:rsidRPr="00C85DC3">
        <w:rPr>
          <w:szCs w:val="24"/>
        </w:rPr>
        <w:t xml:space="preserve"> protocol to give total digestion (see </w:t>
      </w:r>
      <w:r w:rsidR="00E51745" w:rsidRPr="00C85DC3">
        <w:rPr>
          <w:szCs w:val="24"/>
        </w:rPr>
        <w:t>Supplementary Material</w:t>
      </w:r>
      <w:r w:rsidR="00A725CF" w:rsidRPr="00C85DC3">
        <w:rPr>
          <w:szCs w:val="24"/>
        </w:rPr>
        <w:t>). The final solutions were sub sampled, dried and then dissolved for analysis.</w:t>
      </w:r>
    </w:p>
    <w:p w14:paraId="7C970924" w14:textId="68A7D9BE" w:rsidR="00A725CF" w:rsidRPr="00C85DC3" w:rsidRDefault="00A725CF" w:rsidP="00DA75B2">
      <w:pPr>
        <w:pStyle w:val="ParaText"/>
        <w:spacing w:line="480" w:lineRule="auto"/>
        <w:ind w:firstLine="0"/>
        <w:rPr>
          <w:b/>
          <w:bCs/>
          <w:kern w:val="28"/>
          <w:szCs w:val="24"/>
        </w:rPr>
      </w:pPr>
      <w:r w:rsidRPr="00C85DC3">
        <w:rPr>
          <w:b/>
          <w:bCs/>
          <w:szCs w:val="24"/>
        </w:rPr>
        <w:t>X-Ray Computed Tomography</w:t>
      </w:r>
    </w:p>
    <w:p w14:paraId="310961A8" w14:textId="242A2798" w:rsidR="00A725CF" w:rsidRPr="00C85DC3" w:rsidRDefault="00A725CF" w:rsidP="00A725CF">
      <w:pPr>
        <w:pStyle w:val="ParaText"/>
        <w:spacing w:line="480" w:lineRule="auto"/>
        <w:rPr>
          <w:szCs w:val="24"/>
        </w:rPr>
      </w:pPr>
      <w:r w:rsidRPr="00C85DC3">
        <w:rPr>
          <w:szCs w:val="24"/>
        </w:rPr>
        <w:lastRenderedPageBreak/>
        <w:t xml:space="preserve">XCT scans were carried out to </w:t>
      </w:r>
      <w:r w:rsidR="00046530" w:rsidRPr="00C85DC3">
        <w:rPr>
          <w:szCs w:val="24"/>
        </w:rPr>
        <w:t>visualize</w:t>
      </w:r>
      <w:r w:rsidRPr="00C85DC3">
        <w:rPr>
          <w:szCs w:val="24"/>
        </w:rPr>
        <w:t xml:space="preserve"> changes in pellet structure over time and to demonstrate that all the components in the microdialysis setup could be </w:t>
      </w:r>
      <w:r w:rsidR="00046530" w:rsidRPr="00C85DC3">
        <w:rPr>
          <w:szCs w:val="24"/>
        </w:rPr>
        <w:t>visualize</w:t>
      </w:r>
      <w:r w:rsidRPr="00C85DC3">
        <w:rPr>
          <w:szCs w:val="24"/>
        </w:rPr>
        <w:t xml:space="preserve">d in 3D using XCT. Scans were carried out using a modified 225 </w:t>
      </w:r>
      <w:proofErr w:type="spellStart"/>
      <w:r w:rsidRPr="00C85DC3">
        <w:rPr>
          <w:szCs w:val="24"/>
        </w:rPr>
        <w:t>kVp</w:t>
      </w:r>
      <w:proofErr w:type="spellEnd"/>
      <w:r w:rsidRPr="00C85DC3">
        <w:rPr>
          <w:szCs w:val="24"/>
        </w:rPr>
        <w:t xml:space="preserve"> Nikon/</w:t>
      </w:r>
      <w:proofErr w:type="spellStart"/>
      <w:r w:rsidRPr="00C85DC3">
        <w:rPr>
          <w:szCs w:val="24"/>
        </w:rPr>
        <w:t>Xtek</w:t>
      </w:r>
      <w:proofErr w:type="spellEnd"/>
      <w:r w:rsidRPr="00C85DC3">
        <w:rPr>
          <w:szCs w:val="24"/>
        </w:rPr>
        <w:t xml:space="preserve"> HMX CT scanner at the Mu-VIS imaging </w:t>
      </w:r>
      <w:proofErr w:type="spellStart"/>
      <w:r w:rsidRPr="00C85DC3">
        <w:rPr>
          <w:szCs w:val="24"/>
        </w:rPr>
        <w:t>centre</w:t>
      </w:r>
      <w:proofErr w:type="spellEnd"/>
      <w:r w:rsidRPr="00C85DC3">
        <w:rPr>
          <w:szCs w:val="24"/>
        </w:rPr>
        <w:t xml:space="preserve">, University of Southampton, UK. Each scan used 1601 projections, with 8 frames per projection, and 134 </w:t>
      </w:r>
      <w:proofErr w:type="spellStart"/>
      <w:r w:rsidRPr="00C85DC3">
        <w:rPr>
          <w:szCs w:val="24"/>
        </w:rPr>
        <w:t>ms</w:t>
      </w:r>
      <w:proofErr w:type="spellEnd"/>
      <w:r w:rsidRPr="00C85DC3">
        <w:rPr>
          <w:szCs w:val="24"/>
        </w:rPr>
        <w:t xml:space="preserve"> exposure per frame. The energy chosen was 120 kV, at 44 W. The resulting voxel size was 20 µm. </w:t>
      </w:r>
      <w:bookmarkStart w:id="20" w:name="_Hlk47009540"/>
      <w:r w:rsidR="00715ACD" w:rsidRPr="00C85DC3">
        <w:rPr>
          <w:szCs w:val="24"/>
        </w:rPr>
        <w:t xml:space="preserve">These parameters were chosen to provide </w:t>
      </w:r>
      <w:proofErr w:type="gramStart"/>
      <w:r w:rsidR="00715ACD" w:rsidRPr="00C85DC3">
        <w:rPr>
          <w:szCs w:val="24"/>
        </w:rPr>
        <w:t>sufficient</w:t>
      </w:r>
      <w:proofErr w:type="gramEnd"/>
      <w:r w:rsidR="00715ACD" w:rsidRPr="00C85DC3">
        <w:rPr>
          <w:szCs w:val="24"/>
        </w:rPr>
        <w:t xml:space="preserve"> contrast to visualize the differences between the soil, soil water, probes, fertilizer pellet, whilst </w:t>
      </w:r>
      <w:r w:rsidR="00F73520" w:rsidRPr="00C85DC3">
        <w:rPr>
          <w:szCs w:val="24"/>
        </w:rPr>
        <w:t>minimizing scan time</w:t>
      </w:r>
      <w:r w:rsidR="00715ACD" w:rsidRPr="00C85DC3">
        <w:rPr>
          <w:szCs w:val="24"/>
        </w:rPr>
        <w:t xml:space="preserve"> (each scan took approximately 30 minutes). The voxel size was the smallest possible so that the entire column fitted within the field of view, to give the highest resolution possible. </w:t>
      </w:r>
      <w:bookmarkEnd w:id="20"/>
      <w:r w:rsidRPr="00C85DC3">
        <w:rPr>
          <w:szCs w:val="24"/>
        </w:rPr>
        <w:t xml:space="preserve">Scans were reconstructed using a filtered back-projection algorithm in </w:t>
      </w:r>
      <w:proofErr w:type="spellStart"/>
      <w:r w:rsidRPr="00C85DC3">
        <w:rPr>
          <w:szCs w:val="24"/>
        </w:rPr>
        <w:t>CTPro</w:t>
      </w:r>
      <w:proofErr w:type="spellEnd"/>
      <w:r w:rsidRPr="00C85DC3">
        <w:rPr>
          <w:szCs w:val="24"/>
        </w:rPr>
        <w:t xml:space="preserve"> (Nikon).</w:t>
      </w:r>
    </w:p>
    <w:p w14:paraId="2CB51AAE" w14:textId="122E661F" w:rsidR="00030EDB" w:rsidRPr="00C85DC3" w:rsidRDefault="00030EDB" w:rsidP="00030EDB">
      <w:pPr>
        <w:pStyle w:val="H3"/>
        <w:spacing w:line="480" w:lineRule="auto"/>
        <w:rPr>
          <w:szCs w:val="24"/>
        </w:rPr>
      </w:pPr>
      <w:r w:rsidRPr="00C85DC3">
        <w:rPr>
          <w:szCs w:val="24"/>
        </w:rPr>
        <w:t>Model parameter estimation</w:t>
      </w:r>
      <w:bookmarkStart w:id="21" w:name="_Hlk40451508"/>
    </w:p>
    <w:tbl>
      <w:tblPr>
        <w:tblpPr w:leftFromText="180" w:rightFromText="180" w:vertAnchor="text" w:horzAnchor="margin" w:tblpY="4010"/>
        <w:tblW w:w="0" w:type="auto"/>
        <w:tblLook w:val="04A0" w:firstRow="1" w:lastRow="0" w:firstColumn="1" w:lastColumn="0" w:noHBand="0" w:noVBand="1"/>
      </w:tblPr>
      <w:tblGrid>
        <w:gridCol w:w="709"/>
        <w:gridCol w:w="7734"/>
        <w:gridCol w:w="583"/>
      </w:tblGrid>
      <w:tr w:rsidR="00ED3AFC" w:rsidRPr="00C85DC3" w14:paraId="726FDBF9" w14:textId="77777777" w:rsidTr="00ED3AFC">
        <w:tc>
          <w:tcPr>
            <w:tcW w:w="709" w:type="dxa"/>
          </w:tcPr>
          <w:p w14:paraId="7D058C73" w14:textId="77777777" w:rsidR="00ED3AFC" w:rsidRPr="00C85DC3" w:rsidRDefault="00ED3AFC" w:rsidP="00ED3AFC">
            <w:pPr>
              <w:pStyle w:val="ListParagraph"/>
              <w:spacing w:line="480" w:lineRule="auto"/>
              <w:ind w:left="0"/>
              <w:jc w:val="both"/>
              <w:rPr>
                <w:rFonts w:ascii="Times New Roman" w:hAnsi="Times New Roman" w:cs="Times New Roman"/>
                <w:sz w:val="24"/>
                <w:szCs w:val="24"/>
                <w:lang w:val="en-US"/>
              </w:rPr>
            </w:pPr>
            <w:bookmarkStart w:id="22" w:name="_Hlk40451546"/>
          </w:p>
        </w:tc>
        <w:tc>
          <w:tcPr>
            <w:tcW w:w="7734" w:type="dxa"/>
            <w:vAlign w:val="center"/>
            <w:hideMark/>
          </w:tcPr>
          <w:p w14:paraId="58EA0339" w14:textId="77777777" w:rsidR="00ED3AFC" w:rsidRPr="00C85DC3" w:rsidRDefault="004C77E2" w:rsidP="00ED3AFC">
            <w:pPr>
              <w:spacing w:line="480" w:lineRule="auto"/>
              <w:jc w:val="center"/>
              <w:rPr>
                <w:rFonts w:ascii="Times New Roman" w:eastAsiaTheme="minorEastAsia" w:hAnsi="Times New Roman" w:cs="Times New Roman"/>
                <w:sz w:val="24"/>
                <w:szCs w:val="24"/>
              </w:rPr>
            </w:pPr>
            <m:oMathPara>
              <m:oMathParaPr>
                <m:jc m:val="center"/>
              </m:oMathParaPr>
              <m:oMath>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sol</m:t>
                        </m:r>
                      </m:sub>
                    </m:sSub>
                  </m:num>
                  <m:den>
                    <m:r>
                      <w:rPr>
                        <w:rFonts w:ascii="Cambria Math" w:hAnsi="Cambria Math" w:cs="Times New Roman"/>
                      </w:rPr>
                      <m:t>∂t</m:t>
                    </m:r>
                  </m:den>
                </m:f>
                <m:d>
                  <m:dPr>
                    <m:ctrlPr>
                      <w:rPr>
                        <w:rFonts w:ascii="Cambria Math" w:hAnsi="Cambria Math" w:cs="Times New Roman"/>
                        <w:i/>
                      </w:rPr>
                    </m:ctrlPr>
                  </m:dPr>
                  <m:e>
                    <m:r>
                      <w:rPr>
                        <w:rFonts w:ascii="Cambria Math" w:hAnsi="Cambria Math" w:cs="Times New Roman"/>
                      </w:rPr>
                      <m:t>z,t</m:t>
                    </m:r>
                  </m:e>
                </m:d>
                <m:r>
                  <w:rPr>
                    <w:rFonts w:ascii="Cambria Math" w:hAnsi="Cambria Math" w:cs="Times New Roman"/>
                  </w:rPr>
                  <m:t>= D</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sol</m:t>
                        </m:r>
                      </m:sub>
                    </m:sSub>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z</m:t>
                        </m:r>
                      </m:e>
                      <m:sup>
                        <m:r>
                          <w:rPr>
                            <w:rFonts w:ascii="Cambria Math" w:hAnsi="Cambria Math" w:cs="Times New Roman"/>
                          </w:rPr>
                          <m:t>2</m:t>
                        </m:r>
                      </m:sup>
                    </m:sSup>
                  </m:den>
                </m:f>
                <m:d>
                  <m:dPr>
                    <m:ctrlPr>
                      <w:rPr>
                        <w:rFonts w:ascii="Cambria Math" w:hAnsi="Cambria Math" w:cs="Times New Roman"/>
                        <w:i/>
                      </w:rPr>
                    </m:ctrlPr>
                  </m:dPr>
                  <m:e>
                    <m:r>
                      <w:rPr>
                        <w:rFonts w:ascii="Cambria Math" w:hAnsi="Cambria Math" w:cs="Times New Roman"/>
                      </w:rPr>
                      <m:t>z,t</m:t>
                    </m:r>
                  </m:e>
                </m:d>
                <m:r>
                  <w:rPr>
                    <w:rFonts w:ascii="Cambria Math" w:hAnsi="Cambria Math" w:cs="Times New Roman"/>
                  </w:rPr>
                  <m:t>-</m:t>
                </m:r>
                <m:r>
                  <m:rPr>
                    <m:sty m:val="p"/>
                  </m:rP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sol</m:t>
                    </m:r>
                  </m:sub>
                </m:sSub>
                <m:d>
                  <m:dPr>
                    <m:ctrlPr>
                      <w:rPr>
                        <w:rFonts w:ascii="Cambria Math" w:hAnsi="Cambria Math" w:cs="Times New Roman"/>
                        <w:i/>
                      </w:rPr>
                    </m:ctrlPr>
                  </m:dPr>
                  <m:e>
                    <m:r>
                      <w:rPr>
                        <w:rFonts w:ascii="Cambria Math" w:hAnsi="Cambria Math" w:cs="Times New Roman"/>
                      </w:rPr>
                      <m:t>z,t</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2</m:t>
                    </m:r>
                  </m:sub>
                </m:sSub>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ad</m:t>
                    </m:r>
                  </m:sub>
                </m:sSub>
                <m:d>
                  <m:dPr>
                    <m:ctrlPr>
                      <w:rPr>
                        <w:rFonts w:ascii="Cambria Math" w:hAnsi="Cambria Math" w:cs="Times New Roman"/>
                        <w:i/>
                      </w:rPr>
                    </m:ctrlPr>
                  </m:dPr>
                  <m:e>
                    <m:r>
                      <w:rPr>
                        <w:rFonts w:ascii="Cambria Math" w:hAnsi="Cambria Math" w:cs="Times New Roman"/>
                      </w:rPr>
                      <m:t>z,t</m:t>
                    </m:r>
                  </m:e>
                </m:d>
                <m:r>
                  <w:rPr>
                    <w:rFonts w:ascii="Cambria Math" w:hAnsi="Cambria Math" w:cs="Times New Roman"/>
                  </w:rPr>
                  <m:t xml:space="preserve">, 0&lt;z&lt;L, 0&lt;t&lt;T, </m:t>
                </m:r>
              </m:oMath>
            </m:oMathPara>
          </w:p>
        </w:tc>
        <w:tc>
          <w:tcPr>
            <w:tcW w:w="583" w:type="dxa"/>
            <w:hideMark/>
          </w:tcPr>
          <w:p w14:paraId="248A8DD5" w14:textId="77777777" w:rsidR="00ED3AFC" w:rsidRPr="00C85DC3" w:rsidRDefault="00ED3AFC" w:rsidP="00ED3AFC">
            <w:pPr>
              <w:pStyle w:val="ListParagraph"/>
              <w:spacing w:line="480" w:lineRule="auto"/>
              <w:ind w:left="0"/>
              <w:jc w:val="both"/>
              <w:rPr>
                <w:rFonts w:ascii="Times New Roman" w:hAnsi="Times New Roman" w:cs="Times New Roman"/>
                <w:sz w:val="24"/>
                <w:szCs w:val="24"/>
                <w:lang w:val="en-US"/>
              </w:rPr>
            </w:pPr>
            <w:r w:rsidRPr="00C85DC3">
              <w:rPr>
                <w:rFonts w:ascii="Times New Roman" w:hAnsi="Times New Roman" w:cs="Times New Roman"/>
                <w:sz w:val="24"/>
                <w:szCs w:val="24"/>
                <w:lang w:val="en-US"/>
              </w:rPr>
              <w:t>(1)</w:t>
            </w:r>
          </w:p>
        </w:tc>
      </w:tr>
      <w:tr w:rsidR="00ED3AFC" w:rsidRPr="00C85DC3" w14:paraId="593154AD" w14:textId="77777777" w:rsidTr="00ED3AFC">
        <w:tc>
          <w:tcPr>
            <w:tcW w:w="709" w:type="dxa"/>
          </w:tcPr>
          <w:p w14:paraId="4856D71E" w14:textId="77777777" w:rsidR="00ED3AFC" w:rsidRPr="00C85DC3" w:rsidRDefault="00ED3AFC" w:rsidP="00ED3AFC">
            <w:pPr>
              <w:pStyle w:val="ListParagraph"/>
              <w:spacing w:line="480" w:lineRule="auto"/>
              <w:ind w:left="0"/>
              <w:jc w:val="both"/>
              <w:rPr>
                <w:rFonts w:ascii="Times New Roman" w:hAnsi="Times New Roman" w:cs="Times New Roman"/>
                <w:sz w:val="24"/>
                <w:szCs w:val="24"/>
                <w:lang w:val="en-US"/>
              </w:rPr>
            </w:pPr>
          </w:p>
        </w:tc>
        <w:tc>
          <w:tcPr>
            <w:tcW w:w="7734" w:type="dxa"/>
            <w:vAlign w:val="center"/>
            <w:hideMark/>
          </w:tcPr>
          <w:p w14:paraId="468776E2" w14:textId="77777777" w:rsidR="00ED3AFC" w:rsidRPr="00C85DC3" w:rsidRDefault="004C77E2" w:rsidP="00ED3AFC">
            <w:pPr>
              <w:spacing w:line="480" w:lineRule="auto"/>
              <w:jc w:val="center"/>
              <w:rPr>
                <w:rFonts w:ascii="Cambria Math" w:hAnsi="Cambria Math" w:cs="Times New Roman"/>
                <w:oMath/>
              </w:rPr>
            </w:pPr>
            <m:oMathPara>
              <m:oMath>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ad</m:t>
                        </m:r>
                      </m:sub>
                    </m:sSub>
                  </m:num>
                  <m:den>
                    <m:r>
                      <w:rPr>
                        <w:rFonts w:ascii="Cambria Math" w:hAnsi="Cambria Math" w:cs="Times New Roman"/>
                      </w:rPr>
                      <m:t>∂t</m:t>
                    </m:r>
                  </m:den>
                </m:f>
                <m:d>
                  <m:dPr>
                    <m:ctrlPr>
                      <w:rPr>
                        <w:rFonts w:ascii="Cambria Math" w:hAnsi="Cambria Math" w:cs="Times New Roman"/>
                        <w:i/>
                      </w:rPr>
                    </m:ctrlPr>
                  </m:dPr>
                  <m:e>
                    <m:r>
                      <w:rPr>
                        <w:rFonts w:ascii="Cambria Math" w:hAnsi="Cambria Math" w:cs="Times New Roman"/>
                      </w:rPr>
                      <m:t>z,t</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sol</m:t>
                    </m:r>
                  </m:sub>
                </m:sSub>
                <m:d>
                  <m:dPr>
                    <m:ctrlPr>
                      <w:rPr>
                        <w:rFonts w:ascii="Cambria Math" w:hAnsi="Cambria Math" w:cs="Times New Roman"/>
                        <w:i/>
                      </w:rPr>
                    </m:ctrlPr>
                  </m:dPr>
                  <m:e>
                    <m:r>
                      <w:rPr>
                        <w:rFonts w:ascii="Cambria Math" w:hAnsi="Cambria Math" w:cs="Times New Roman"/>
                      </w:rPr>
                      <m:t>z,t</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ad</m:t>
                    </m:r>
                  </m:sub>
                </m:sSub>
                <m:d>
                  <m:dPr>
                    <m:ctrlPr>
                      <w:rPr>
                        <w:rFonts w:ascii="Cambria Math" w:hAnsi="Cambria Math" w:cs="Times New Roman"/>
                        <w:i/>
                      </w:rPr>
                    </m:ctrlPr>
                  </m:dPr>
                  <m:e>
                    <m:r>
                      <w:rPr>
                        <w:rFonts w:ascii="Cambria Math" w:hAnsi="Cambria Math" w:cs="Times New Roman"/>
                      </w:rPr>
                      <m:t>z,t</m:t>
                    </m:r>
                  </m:e>
                </m:d>
                <m:r>
                  <w:rPr>
                    <w:rFonts w:ascii="Cambria Math" w:hAnsi="Cambria Math" w:cs="Times New Roman"/>
                  </w:rPr>
                  <m:t xml:space="preserve">,  0&lt;z&lt;L, 0&lt;t&lt;T, </m:t>
                </m:r>
              </m:oMath>
            </m:oMathPara>
          </w:p>
        </w:tc>
        <w:tc>
          <w:tcPr>
            <w:tcW w:w="583" w:type="dxa"/>
            <w:hideMark/>
          </w:tcPr>
          <w:p w14:paraId="55E8A5E6" w14:textId="77777777" w:rsidR="00ED3AFC" w:rsidRPr="00C85DC3" w:rsidRDefault="00ED3AFC" w:rsidP="00ED3AFC">
            <w:pPr>
              <w:pStyle w:val="ListParagraph"/>
              <w:spacing w:line="480" w:lineRule="auto"/>
              <w:ind w:left="0"/>
              <w:jc w:val="both"/>
              <w:rPr>
                <w:rFonts w:ascii="Times New Roman" w:hAnsi="Times New Roman" w:cs="Times New Roman"/>
                <w:sz w:val="24"/>
                <w:szCs w:val="24"/>
                <w:lang w:val="en-US"/>
              </w:rPr>
            </w:pPr>
            <w:r w:rsidRPr="00C85DC3">
              <w:rPr>
                <w:rFonts w:ascii="Times New Roman" w:hAnsi="Times New Roman" w:cs="Times New Roman"/>
                <w:sz w:val="24"/>
                <w:szCs w:val="24"/>
                <w:lang w:val="en-US"/>
              </w:rPr>
              <w:t>(2)</w:t>
            </w:r>
          </w:p>
        </w:tc>
      </w:tr>
    </w:tbl>
    <w:bookmarkEnd w:id="22"/>
    <w:p w14:paraId="2EA1066C" w14:textId="0CA4AC77" w:rsidR="00030EDB" w:rsidRPr="00C85DC3" w:rsidRDefault="00030EDB" w:rsidP="00030EDB">
      <w:pPr>
        <w:spacing w:line="480" w:lineRule="auto"/>
        <w:jc w:val="both"/>
        <w:rPr>
          <w:rFonts w:ascii="Times New Roman" w:hAnsi="Times New Roman" w:cs="Times New Roman"/>
          <w:sz w:val="24"/>
          <w:szCs w:val="24"/>
        </w:rPr>
      </w:pPr>
      <w:r w:rsidRPr="00C85DC3">
        <w:rPr>
          <w:rFonts w:ascii="Times New Roman" w:hAnsi="Times New Roman" w:cs="Times New Roman"/>
          <w:sz w:val="24"/>
          <w:szCs w:val="24"/>
        </w:rPr>
        <w:t xml:space="preserve">      The parameter estimation for diffusion of P through soil and its adsorption onto soil particles is based on the model presented by</w:t>
      </w:r>
      <w:r w:rsidR="00DA75B2" w:rsidRPr="00C85DC3">
        <w:rPr>
          <w:rFonts w:ascii="Times New Roman" w:hAnsi="Times New Roman" w:cs="Times New Roman"/>
          <w:sz w:val="24"/>
          <w:szCs w:val="24"/>
        </w:rPr>
        <w:t xml:space="preserve"> </w:t>
      </w:r>
      <w:r w:rsidR="00DE7EC1" w:rsidRPr="00C85DC3">
        <w:rPr>
          <w:rFonts w:ascii="Times New Roman" w:hAnsi="Times New Roman" w:cs="Times New Roman"/>
          <w:sz w:val="24"/>
          <w:szCs w:val="24"/>
        </w:rPr>
        <w:t xml:space="preserve">McKay Fletcher, Shaw et al. </w:t>
      </w:r>
      <w:r w:rsidR="00820A36" w:rsidRPr="00C85DC3">
        <w:rPr>
          <w:rFonts w:ascii="Times New Roman" w:hAnsi="Times New Roman" w:cs="Times New Roman"/>
          <w:sz w:val="24"/>
          <w:szCs w:val="24"/>
        </w:rPr>
        <w:t>(</w:t>
      </w:r>
      <w:r w:rsidR="00DE7EC1" w:rsidRPr="00C85DC3">
        <w:rPr>
          <w:rFonts w:ascii="Times New Roman" w:hAnsi="Times New Roman" w:cs="Times New Roman"/>
          <w:sz w:val="24"/>
          <w:szCs w:val="24"/>
        </w:rPr>
        <w:t>2019</w:t>
      </w:r>
      <w:r w:rsidR="00820A36" w:rsidRPr="00C85DC3">
        <w:rPr>
          <w:rFonts w:ascii="Times New Roman" w:hAnsi="Times New Roman" w:cs="Times New Roman"/>
          <w:sz w:val="24"/>
          <w:szCs w:val="24"/>
        </w:rPr>
        <w:t>)</w:t>
      </w:r>
      <w:r w:rsidRPr="00C85DC3">
        <w:rPr>
          <w:rFonts w:ascii="Times New Roman" w:hAnsi="Times New Roman" w:cs="Times New Roman"/>
          <w:sz w:val="24"/>
          <w:szCs w:val="24"/>
        </w:rPr>
        <w:t>.</w:t>
      </w:r>
      <w:r w:rsidRPr="00C85DC3" w:rsidDel="000D47E1">
        <w:rPr>
          <w:rFonts w:ascii="Times New Roman" w:hAnsi="Times New Roman" w:cs="Times New Roman"/>
          <w:sz w:val="24"/>
          <w:szCs w:val="24"/>
        </w:rPr>
        <w:t xml:space="preserve"> </w:t>
      </w:r>
      <w:r w:rsidRPr="00C85DC3">
        <w:rPr>
          <w:rFonts w:ascii="Times New Roman" w:hAnsi="Times New Roman" w:cs="Times New Roman"/>
          <w:sz w:val="24"/>
          <w:szCs w:val="24"/>
        </w:rPr>
        <w:t xml:space="preserve">This model describes the evolution of P concentration in soil solution (dissolved P) as well as concentration of P adsorbed onto the soil particles. However, unlike </w:t>
      </w:r>
      <w:r w:rsidRPr="00C85DC3">
        <w:rPr>
          <w:rFonts w:ascii="Times New Roman" w:hAnsi="Times New Roman" w:cs="Times New Roman"/>
          <w:sz w:val="24"/>
          <w:szCs w:val="24"/>
        </w:rPr>
        <w:fldChar w:fldCharType="begin"/>
      </w:r>
      <w:r w:rsidR="00820A36" w:rsidRPr="00C85DC3">
        <w:rPr>
          <w:rFonts w:ascii="Times New Roman" w:hAnsi="Times New Roman" w:cs="Times New Roman"/>
          <w:sz w:val="24"/>
          <w:szCs w:val="24"/>
        </w:rPr>
        <w:instrText xml:space="preserve"> ADDIN EN.CITE &lt;EndNote&gt;&lt;Cite&gt;&lt;Author&gt;McKay Fletcher&lt;/Author&gt;&lt;Year&gt;2019&lt;/Year&gt;&lt;RecNum&gt;46&lt;/RecNum&gt;&lt;DisplayText&gt;(McKay Fletcher, Shaw et al. 2019)&lt;/DisplayText&gt;&lt;record&gt;&lt;rec-number&gt;46&lt;/rec-number&gt;&lt;foreign-keys&gt;&lt;key app="EN" db-id="e0pf0dz95w2e2qesp0ev9tvwdse5fap0eprw" timestamp="1588585869"&gt;46&lt;/key&gt;&lt;/foreign-keys&gt;&lt;ref-type name="Journal Article"&gt;17&lt;/ref-type&gt;&lt;contributors&gt;&lt;authors&gt;&lt;author&gt;McKay Fletcher, DM&lt;/author&gt;&lt;author&gt;Shaw, R&lt;/author&gt;&lt;author&gt;Sánchez-Rodríguez, AR&lt;/author&gt;&lt;author&gt;Daly, KR&lt;/author&gt;&lt;author&gt;Van Veelen, A&lt;/author&gt;&lt;author&gt;Jones, DL&lt;/author&gt;&lt;author&gt;Roose, T&lt;/author&gt;&lt;/authors&gt;&lt;/contributors&gt;&lt;titles&gt;&lt;title&gt;Quantifying citrate-enhanced phosphate root uptake using microdialysis&lt;/title&gt;&lt;secondary-title&gt;Plant and Soil&lt;/secondary-title&gt;&lt;/titles&gt;&lt;periodical&gt;&lt;full-title&gt;Plant and Soil&lt;/full-title&gt;&lt;/periodical&gt;&lt;pages&gt;1-21&lt;/pages&gt;&lt;dates&gt;&lt;year&gt;2019&lt;/year&gt;&lt;/dates&gt;&lt;isbn&gt;0032-079X&lt;/isbn&gt;&lt;urls&gt;&lt;/urls&gt;&lt;/record&gt;&lt;/Cite&gt;&lt;/EndNote&gt;</w:instrText>
      </w:r>
      <w:r w:rsidRPr="00C85DC3">
        <w:rPr>
          <w:rFonts w:ascii="Times New Roman" w:hAnsi="Times New Roman" w:cs="Times New Roman"/>
          <w:sz w:val="24"/>
          <w:szCs w:val="24"/>
        </w:rPr>
        <w:fldChar w:fldCharType="separate"/>
      </w:r>
      <w:r w:rsidR="00820A36" w:rsidRPr="00C85DC3">
        <w:rPr>
          <w:rFonts w:ascii="Times New Roman" w:hAnsi="Times New Roman" w:cs="Times New Roman"/>
          <w:noProof/>
          <w:sz w:val="24"/>
          <w:szCs w:val="24"/>
        </w:rPr>
        <w:t>(McKay Fletcher, Shaw et al. 2019)</w:t>
      </w:r>
      <w:r w:rsidRPr="00C85DC3">
        <w:rPr>
          <w:rFonts w:ascii="Times New Roman" w:hAnsi="Times New Roman" w:cs="Times New Roman"/>
          <w:sz w:val="24"/>
          <w:szCs w:val="24"/>
        </w:rPr>
        <w:fldChar w:fldCharType="end"/>
      </w:r>
      <w:r w:rsidRPr="00C85DC3">
        <w:rPr>
          <w:rFonts w:ascii="Times New Roman" w:hAnsi="Times New Roman" w:cs="Times New Roman"/>
          <w:sz w:val="24"/>
          <w:szCs w:val="24"/>
        </w:rPr>
        <w:t xml:space="preserve">, we do not consider the removal of P by the microdialysis probes. At any time </w:t>
      </w:r>
      <m:oMath>
        <m:r>
          <w:rPr>
            <w:rFonts w:ascii="Cambria Math" w:hAnsi="Cambria Math" w:cs="Times New Roman"/>
            <w:sz w:val="24"/>
            <w:szCs w:val="24"/>
          </w:rPr>
          <m:t>t</m:t>
        </m:r>
      </m:oMath>
      <w:r w:rsidRPr="00C85DC3">
        <w:rPr>
          <w:rFonts w:ascii="Times New Roman" w:hAnsi="Times New Roman" w:cs="Times New Roman"/>
          <w:sz w:val="24"/>
          <w:szCs w:val="24"/>
        </w:rPr>
        <w:t xml:space="preserve"> and depth </w:t>
      </w:r>
      <m:oMath>
        <m:r>
          <w:rPr>
            <w:rFonts w:ascii="Cambria Math" w:hAnsi="Cambria Math" w:cs="Times New Roman"/>
            <w:sz w:val="24"/>
            <w:szCs w:val="24"/>
          </w:rPr>
          <m:t>z</m:t>
        </m:r>
      </m:oMath>
      <w:r w:rsidRPr="00C85DC3">
        <w:rPr>
          <w:rFonts w:ascii="Times New Roman" w:hAnsi="Times New Roman" w:cs="Times New Roman"/>
          <w:sz w:val="24"/>
          <w:szCs w:val="24"/>
        </w:rPr>
        <w:t xml:space="preserve"> in the sample, we denote the concentration of dissolved P by </w:t>
      </w: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sol</m:t>
            </m:r>
          </m:sub>
        </m:sSub>
        <m:r>
          <w:rPr>
            <w:rFonts w:ascii="Cambria Math" w:hAnsi="Cambria Math" w:cs="Times New Roman"/>
            <w:sz w:val="24"/>
            <w:szCs w:val="24"/>
          </w:rPr>
          <m:t>(z,t)</m:t>
        </m:r>
      </m:oMath>
      <w:r w:rsidRPr="00C85DC3">
        <w:rPr>
          <w:rFonts w:ascii="Times New Roman" w:eastAsiaTheme="minorEastAsia" w:hAnsi="Times New Roman" w:cs="Times New Roman"/>
          <w:sz w:val="24"/>
          <w:szCs w:val="24"/>
        </w:rPr>
        <w:t xml:space="preserve"> </w:t>
      </w:r>
      <w:r w:rsidRPr="00C85DC3">
        <w:rPr>
          <w:rFonts w:ascii="Times New Roman" w:hAnsi="Times New Roman" w:cs="Times New Roman"/>
          <w:sz w:val="24"/>
          <w:szCs w:val="24"/>
        </w:rPr>
        <w:t xml:space="preserve">and adsorbed P by </w:t>
      </w: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ad</m:t>
            </m:r>
          </m:sub>
        </m:sSub>
        <m:r>
          <m:rPr>
            <m:sty m:val="bi"/>
          </m:rPr>
          <w:rPr>
            <w:rFonts w:ascii="Cambria Math" w:hAnsi="Cambria Math" w:cs="Times New Roman"/>
            <w:sz w:val="24"/>
            <w:szCs w:val="24"/>
          </w:rPr>
          <m:t>(</m:t>
        </m:r>
        <m:r>
          <w:rPr>
            <w:rFonts w:ascii="Cambria Math" w:hAnsi="Cambria Math" w:cs="Times New Roman"/>
            <w:sz w:val="24"/>
            <w:szCs w:val="24"/>
          </w:rPr>
          <m:t>z</m:t>
        </m:r>
        <m:r>
          <m:rPr>
            <m:sty m:val="bi"/>
          </m:rPr>
          <w:rPr>
            <w:rFonts w:ascii="Cambria Math" w:hAnsi="Cambria Math" w:cs="Times New Roman"/>
            <w:sz w:val="24"/>
            <w:szCs w:val="24"/>
          </w:rPr>
          <m:t>,</m:t>
        </m:r>
        <m:r>
          <w:rPr>
            <w:rFonts w:ascii="Cambria Math" w:hAnsi="Cambria Math" w:cs="Times New Roman"/>
            <w:sz w:val="24"/>
            <w:szCs w:val="24"/>
          </w:rPr>
          <m:t>t)</m:t>
        </m:r>
      </m:oMath>
      <w:r w:rsidRPr="00C85DC3">
        <w:rPr>
          <w:rFonts w:ascii="Times New Roman" w:eastAsia="Times New Roman" w:hAnsi="Times New Roman" w:cs="Times New Roman"/>
          <w:sz w:val="24"/>
          <w:szCs w:val="24"/>
        </w:rPr>
        <w:t>. T</w:t>
      </w:r>
      <w:r w:rsidRPr="00C85DC3">
        <w:rPr>
          <w:rFonts w:ascii="Times New Roman" w:hAnsi="Times New Roman" w:cs="Times New Roman"/>
          <w:sz w:val="24"/>
          <w:szCs w:val="24"/>
        </w:rPr>
        <w:t>he model that we use is given by the following equations</w:t>
      </w:r>
    </w:p>
    <w:p w14:paraId="66194558" w14:textId="77777777" w:rsidR="00030EDB" w:rsidRPr="00C85DC3" w:rsidRDefault="00030EDB" w:rsidP="00030EDB">
      <w:pPr>
        <w:spacing w:line="480" w:lineRule="auto"/>
        <w:jc w:val="both"/>
        <w:rPr>
          <w:rFonts w:ascii="Times New Roman" w:hAnsi="Times New Roman" w:cs="Times New Roman"/>
          <w:sz w:val="24"/>
          <w:szCs w:val="24"/>
        </w:rPr>
      </w:pPr>
      <w:r w:rsidRPr="00C85DC3">
        <w:rPr>
          <w:rFonts w:ascii="Times New Roman" w:hAnsi="Times New Roman" w:cs="Times New Roman"/>
          <w:sz w:val="24"/>
          <w:szCs w:val="24"/>
        </w:rPr>
        <w:lastRenderedPageBreak/>
        <w:t xml:space="preserve">where </w:t>
      </w:r>
      <w:r w:rsidRPr="00C85DC3">
        <w:rPr>
          <w:rFonts w:ascii="Times New Roman" w:hAnsi="Times New Roman" w:cs="Times New Roman"/>
          <w:i/>
          <w:iCs/>
          <w:sz w:val="24"/>
          <w:szCs w:val="24"/>
        </w:rPr>
        <w:t>D</w:t>
      </w:r>
      <w:r w:rsidRPr="00C85DC3">
        <w:rPr>
          <w:rFonts w:ascii="Times New Roman" w:hAnsi="Times New Roman" w:cs="Times New Roman"/>
          <w:sz w:val="24"/>
          <w:szCs w:val="24"/>
        </w:rPr>
        <w:t xml:space="preserve"> [m</w:t>
      </w:r>
      <w:r w:rsidRPr="00C85DC3">
        <w:rPr>
          <w:rFonts w:ascii="Times New Roman" w:hAnsi="Times New Roman" w:cs="Times New Roman"/>
          <w:sz w:val="24"/>
          <w:szCs w:val="24"/>
          <w:vertAlign w:val="superscript"/>
        </w:rPr>
        <w:t>2</w:t>
      </w:r>
      <w:r w:rsidRPr="00C85DC3">
        <w:rPr>
          <w:rFonts w:ascii="Times New Roman" w:hAnsi="Times New Roman" w:cs="Times New Roman"/>
          <w:sz w:val="24"/>
          <w:szCs w:val="24"/>
        </w:rPr>
        <w:t xml:space="preserve"> s</w:t>
      </w:r>
      <w:r w:rsidRPr="00C85DC3">
        <w:rPr>
          <w:rFonts w:ascii="Times New Roman" w:hAnsi="Times New Roman" w:cs="Times New Roman"/>
          <w:sz w:val="24"/>
          <w:szCs w:val="24"/>
          <w:vertAlign w:val="superscript"/>
        </w:rPr>
        <w:t>-1</w:t>
      </w:r>
      <w:r w:rsidRPr="00C85DC3">
        <w:rPr>
          <w:rFonts w:ascii="Times New Roman" w:hAnsi="Times New Roman" w:cs="Times New Roman"/>
          <w:sz w:val="24"/>
          <w:szCs w:val="24"/>
        </w:rPr>
        <w:t xml:space="preserve">] is the effective diffusivity of P in the sample (including geometric impedance, but not the buffer power of soil)  , </w:t>
      </w:r>
      <m:oMath>
        <m:sSub>
          <m:sSubPr>
            <m:ctrlPr>
              <w:rPr>
                <w:rFonts w:ascii="Cambria Math" w:hAnsi="Cambria Math" w:cs="Times New Roman"/>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r w:rsidRPr="00C85DC3">
        <w:rPr>
          <w:rFonts w:ascii="Times New Roman" w:hAnsi="Times New Roman" w:cs="Times New Roman"/>
          <w:sz w:val="24"/>
          <w:szCs w:val="24"/>
        </w:rPr>
        <w:t xml:space="preserve"> </w:t>
      </w:r>
      <w:r w:rsidRPr="00C85DC3">
        <w:rPr>
          <w:rFonts w:ascii="Times New Roman" w:eastAsiaTheme="minorEastAsia" w:hAnsi="Times New Roman" w:cs="Times New Roman"/>
          <w:sz w:val="24"/>
          <w:szCs w:val="24"/>
        </w:rPr>
        <w:t>[s</w:t>
      </w:r>
      <w:r w:rsidRPr="00C85DC3">
        <w:rPr>
          <w:rFonts w:ascii="Times New Roman" w:eastAsiaTheme="minorEastAsia" w:hAnsi="Times New Roman" w:cs="Times New Roman"/>
          <w:sz w:val="24"/>
          <w:szCs w:val="24"/>
          <w:vertAlign w:val="superscript"/>
        </w:rPr>
        <w:t>-1</w:t>
      </w:r>
      <w:r w:rsidRPr="00C85DC3">
        <w:rPr>
          <w:rFonts w:ascii="Times New Roman" w:eastAsiaTheme="minorEastAsia" w:hAnsi="Times New Roman" w:cs="Times New Roman"/>
          <w:sz w:val="24"/>
          <w:szCs w:val="24"/>
        </w:rPr>
        <w:t>]</w:t>
      </w:r>
      <w:r w:rsidRPr="00C85DC3">
        <w:rPr>
          <w:rFonts w:ascii="Times New Roman" w:hAnsi="Times New Roman" w:cs="Times New Roman"/>
          <w:sz w:val="24"/>
          <w:szCs w:val="24"/>
        </w:rPr>
        <w:t xml:space="preserve"> is the rate of adsorption of dissolved P onto the soil particles and </w:t>
      </w:r>
      <m:oMath>
        <m:sSub>
          <m:sSubPr>
            <m:ctrlPr>
              <w:rPr>
                <w:rFonts w:ascii="Cambria Math" w:hAnsi="Cambria Math" w:cs="Times New Roman"/>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oMath>
      <w:r w:rsidRPr="00C85DC3">
        <w:rPr>
          <w:rFonts w:ascii="Times New Roman" w:eastAsiaTheme="minorEastAsia" w:hAnsi="Times New Roman" w:cs="Times New Roman"/>
          <w:sz w:val="24"/>
          <w:szCs w:val="24"/>
        </w:rPr>
        <w:t xml:space="preserve"> [s</w:t>
      </w:r>
      <w:r w:rsidRPr="00C85DC3">
        <w:rPr>
          <w:rFonts w:ascii="Times New Roman" w:eastAsiaTheme="minorEastAsia" w:hAnsi="Times New Roman" w:cs="Times New Roman"/>
          <w:sz w:val="24"/>
          <w:szCs w:val="24"/>
          <w:vertAlign w:val="superscript"/>
        </w:rPr>
        <w:t>-1</w:t>
      </w:r>
      <w:r w:rsidRPr="00C85DC3">
        <w:rPr>
          <w:rFonts w:ascii="Times New Roman" w:eastAsiaTheme="minorEastAsia" w:hAnsi="Times New Roman" w:cs="Times New Roman"/>
          <w:sz w:val="24"/>
          <w:szCs w:val="24"/>
        </w:rPr>
        <w:t>]</w:t>
      </w:r>
      <w:r w:rsidRPr="00C85DC3">
        <w:rPr>
          <w:rFonts w:ascii="Times New Roman" w:hAnsi="Times New Roman" w:cs="Times New Roman"/>
          <w:sz w:val="24"/>
          <w:szCs w:val="24"/>
        </w:rPr>
        <w:t xml:space="preserve"> is the rate of desorption of P from the soil particle surfaces to the solution,</w:t>
      </w:r>
      <w:r w:rsidRPr="00C85DC3">
        <w:rPr>
          <w:rFonts w:ascii="Times New Roman" w:hAnsi="Times New Roman" w:cs="Times New Roman"/>
          <w:i/>
          <w:iCs/>
          <w:sz w:val="24"/>
          <w:szCs w:val="24"/>
        </w:rPr>
        <w:t xml:space="preserve"> L</w:t>
      </w:r>
      <w:r w:rsidRPr="00C85DC3">
        <w:rPr>
          <w:rFonts w:ascii="Times New Roman" w:hAnsi="Times New Roman" w:cs="Times New Roman"/>
          <w:sz w:val="24"/>
          <w:szCs w:val="24"/>
        </w:rPr>
        <w:t xml:space="preserve"> is the total depth of the column used in the setup and </w:t>
      </w:r>
      <w:r w:rsidRPr="00C85DC3">
        <w:rPr>
          <w:rFonts w:ascii="Times New Roman" w:hAnsi="Times New Roman" w:cs="Times New Roman"/>
          <w:i/>
          <w:iCs/>
          <w:sz w:val="24"/>
          <w:szCs w:val="24"/>
        </w:rPr>
        <w:t>T</w:t>
      </w:r>
      <w:r w:rsidRPr="00C85DC3">
        <w:rPr>
          <w:rFonts w:ascii="Times New Roman" w:hAnsi="Times New Roman" w:cs="Times New Roman"/>
          <w:sz w:val="24"/>
          <w:szCs w:val="24"/>
        </w:rPr>
        <w:t xml:space="preserve"> is the total duration of the experiment. The model assumes that no amount of P is lost or gained in the system. This implies that any loss of P due to sampling is considered negligible. It is also assumed that P disperses through the soil only through diffusion.</w:t>
      </w:r>
    </w:p>
    <w:p w14:paraId="72862479" w14:textId="77777777" w:rsidR="00030EDB" w:rsidRPr="00C85DC3" w:rsidRDefault="00030EDB" w:rsidP="00030EDB">
      <w:pPr>
        <w:spacing w:line="480" w:lineRule="auto"/>
        <w:jc w:val="both"/>
        <w:rPr>
          <w:rFonts w:ascii="Times New Roman" w:hAnsi="Times New Roman" w:cs="Times New Roman"/>
          <w:sz w:val="24"/>
          <w:szCs w:val="24"/>
        </w:rPr>
      </w:pPr>
      <w:r w:rsidRPr="00C85DC3">
        <w:rPr>
          <w:rFonts w:ascii="Times New Roman" w:hAnsi="Times New Roman" w:cs="Times New Roman"/>
          <w:sz w:val="24"/>
          <w:szCs w:val="24"/>
        </w:rPr>
        <w:t>The boundary conditions for equation (1) is taken to be no flux of P through either the top or bottom surfaces, in accordance with the experimental setup. That is expressed by equation (3) and equation (4), below</w:t>
      </w:r>
    </w:p>
    <w:tbl>
      <w:tblPr>
        <w:tblW w:w="0" w:type="auto"/>
        <w:tblInd w:w="720" w:type="dxa"/>
        <w:tblLook w:val="04A0" w:firstRow="1" w:lastRow="0" w:firstColumn="1" w:lastColumn="0" w:noHBand="0" w:noVBand="1"/>
      </w:tblPr>
      <w:tblGrid>
        <w:gridCol w:w="270"/>
        <w:gridCol w:w="7453"/>
        <w:gridCol w:w="583"/>
      </w:tblGrid>
      <w:tr w:rsidR="00030EDB" w:rsidRPr="00C85DC3" w14:paraId="034C6B30" w14:textId="77777777" w:rsidTr="00F4462A">
        <w:tc>
          <w:tcPr>
            <w:tcW w:w="270" w:type="dxa"/>
          </w:tcPr>
          <w:p w14:paraId="1F321831" w14:textId="77777777" w:rsidR="00030EDB" w:rsidRPr="00C85DC3" w:rsidRDefault="00030EDB" w:rsidP="00F4462A">
            <w:pPr>
              <w:pStyle w:val="ListParagraph"/>
              <w:spacing w:line="480" w:lineRule="auto"/>
              <w:ind w:left="0"/>
              <w:jc w:val="both"/>
              <w:rPr>
                <w:rFonts w:ascii="Times New Roman" w:hAnsi="Times New Roman" w:cs="Times New Roman"/>
                <w:sz w:val="24"/>
                <w:szCs w:val="24"/>
                <w:lang w:val="en-US"/>
              </w:rPr>
            </w:pPr>
          </w:p>
        </w:tc>
        <w:tc>
          <w:tcPr>
            <w:tcW w:w="7453" w:type="dxa"/>
            <w:vAlign w:val="center"/>
            <w:hideMark/>
          </w:tcPr>
          <w:p w14:paraId="5FD6C85F" w14:textId="77777777" w:rsidR="00030EDB" w:rsidRPr="00C85DC3" w:rsidRDefault="004C77E2" w:rsidP="00F4462A">
            <w:pPr>
              <w:spacing w:line="480" w:lineRule="auto"/>
              <w:jc w:val="center"/>
              <w:rPr>
                <w:rFonts w:ascii="Times New Roman" w:eastAsiaTheme="minorEastAsia" w:hAnsi="Times New Roman" w:cs="Times New Roman"/>
                <w:sz w:val="24"/>
                <w:szCs w:val="24"/>
              </w:rPr>
            </w:pPr>
            <m:oMathPara>
              <m:oMath>
                <m:f>
                  <m:fPr>
                    <m:ctrlPr>
                      <w:rPr>
                        <w:rFonts w:ascii="Cambria Math" w:hAnsi="Cambria Math" w:cs="Times New Roman"/>
                      </w:rPr>
                    </m:ctrlPr>
                  </m:fPr>
                  <m:num>
                    <m:r>
                      <w:rPr>
                        <w:rFonts w:ascii="Cambria Math" w:hAnsi="Cambria Math" w:cs="Times New Roman"/>
                      </w:rPr>
                      <m:t>∂</m:t>
                    </m:r>
                  </m:num>
                  <m:den>
                    <m:r>
                      <w:rPr>
                        <w:rFonts w:ascii="Cambria Math" w:hAnsi="Cambria Math" w:cs="Times New Roman"/>
                      </w:rPr>
                      <m:t>∂z</m:t>
                    </m:r>
                  </m:den>
                </m:f>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sol</m:t>
                    </m:r>
                  </m:sub>
                </m:sSub>
                <m:d>
                  <m:dPr>
                    <m:ctrlPr>
                      <w:rPr>
                        <w:rFonts w:ascii="Cambria Math" w:hAnsi="Cambria Math" w:cs="Times New Roman"/>
                      </w:rPr>
                    </m:ctrlPr>
                  </m:dPr>
                  <m:e>
                    <m:r>
                      <w:rPr>
                        <w:rFonts w:ascii="Cambria Math" w:hAnsi="Cambria Math" w:cs="Times New Roman"/>
                      </w:rPr>
                      <m:t>0,t</m:t>
                    </m:r>
                  </m:e>
                </m:d>
                <m:r>
                  <w:rPr>
                    <w:rFonts w:ascii="Cambria Math" w:hAnsi="Cambria Math" w:cs="Times New Roman"/>
                  </w:rPr>
                  <m:t>=0,  0&lt;t&lt;T,</m:t>
                </m:r>
              </m:oMath>
            </m:oMathPara>
          </w:p>
        </w:tc>
        <w:tc>
          <w:tcPr>
            <w:tcW w:w="583" w:type="dxa"/>
            <w:hideMark/>
          </w:tcPr>
          <w:p w14:paraId="4DD1C3AC" w14:textId="77777777" w:rsidR="00030EDB" w:rsidRPr="00C85DC3" w:rsidRDefault="00030EDB" w:rsidP="00F4462A">
            <w:pPr>
              <w:pStyle w:val="ListParagraph"/>
              <w:spacing w:line="480" w:lineRule="auto"/>
              <w:ind w:left="0"/>
              <w:jc w:val="both"/>
              <w:rPr>
                <w:rFonts w:ascii="Times New Roman" w:hAnsi="Times New Roman" w:cs="Times New Roman"/>
                <w:sz w:val="24"/>
                <w:szCs w:val="24"/>
                <w:lang w:val="en-US"/>
              </w:rPr>
            </w:pPr>
            <w:r w:rsidRPr="00C85DC3">
              <w:rPr>
                <w:rFonts w:ascii="Times New Roman" w:hAnsi="Times New Roman" w:cs="Times New Roman"/>
                <w:sz w:val="24"/>
                <w:szCs w:val="24"/>
                <w:lang w:val="en-US"/>
              </w:rPr>
              <w:t>(3)</w:t>
            </w:r>
          </w:p>
        </w:tc>
      </w:tr>
      <w:tr w:rsidR="00030EDB" w:rsidRPr="00C85DC3" w14:paraId="434E4CFB" w14:textId="77777777" w:rsidTr="00F4462A">
        <w:tc>
          <w:tcPr>
            <w:tcW w:w="270" w:type="dxa"/>
          </w:tcPr>
          <w:p w14:paraId="25B8D1C7" w14:textId="77777777" w:rsidR="00030EDB" w:rsidRPr="00C85DC3" w:rsidRDefault="00030EDB" w:rsidP="00F4462A">
            <w:pPr>
              <w:pStyle w:val="ListParagraph"/>
              <w:spacing w:line="480" w:lineRule="auto"/>
              <w:ind w:left="0"/>
              <w:jc w:val="both"/>
              <w:rPr>
                <w:rFonts w:ascii="Times New Roman" w:hAnsi="Times New Roman" w:cs="Times New Roman"/>
                <w:sz w:val="24"/>
                <w:szCs w:val="24"/>
                <w:lang w:val="en-US"/>
              </w:rPr>
            </w:pPr>
          </w:p>
        </w:tc>
        <w:tc>
          <w:tcPr>
            <w:tcW w:w="7453" w:type="dxa"/>
            <w:vAlign w:val="center"/>
            <w:hideMark/>
          </w:tcPr>
          <w:p w14:paraId="3E5481C2" w14:textId="77777777" w:rsidR="00030EDB" w:rsidRPr="00C85DC3" w:rsidRDefault="004C77E2" w:rsidP="00F4462A">
            <w:pPr>
              <w:spacing w:line="480" w:lineRule="auto"/>
              <w:jc w:val="center"/>
              <w:rPr>
                <w:rFonts w:ascii="Cambria Math" w:hAnsi="Cambria Math" w:cs="Times New Roman"/>
                <w:oMath/>
              </w:rPr>
            </w:pPr>
            <m:oMathPara>
              <m:oMath>
                <m:f>
                  <m:fPr>
                    <m:ctrlPr>
                      <w:rPr>
                        <w:rFonts w:ascii="Cambria Math" w:hAnsi="Cambria Math" w:cs="Times New Roman"/>
                      </w:rPr>
                    </m:ctrlPr>
                  </m:fPr>
                  <m:num>
                    <m:r>
                      <w:rPr>
                        <w:rFonts w:ascii="Cambria Math" w:hAnsi="Cambria Math" w:cs="Times New Roman"/>
                      </w:rPr>
                      <m:t>∂</m:t>
                    </m:r>
                  </m:num>
                  <m:den>
                    <m:r>
                      <w:rPr>
                        <w:rFonts w:ascii="Cambria Math" w:hAnsi="Cambria Math" w:cs="Times New Roman"/>
                      </w:rPr>
                      <m:t>∂z</m:t>
                    </m:r>
                  </m:den>
                </m:f>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sol</m:t>
                    </m:r>
                  </m:sub>
                </m:sSub>
                <m:d>
                  <m:dPr>
                    <m:ctrlPr>
                      <w:rPr>
                        <w:rFonts w:ascii="Cambria Math" w:hAnsi="Cambria Math" w:cs="Times New Roman"/>
                      </w:rPr>
                    </m:ctrlPr>
                  </m:dPr>
                  <m:e>
                    <m:r>
                      <w:rPr>
                        <w:rFonts w:ascii="Cambria Math" w:hAnsi="Cambria Math" w:cs="Times New Roman"/>
                      </w:rPr>
                      <m:t>L</m:t>
                    </m:r>
                    <m:r>
                      <m:rPr>
                        <m:sty m:val="p"/>
                      </m:rPr>
                      <w:rPr>
                        <w:rFonts w:ascii="Cambria Math" w:hAnsi="Cambria Math" w:cs="Times New Roman"/>
                      </w:rPr>
                      <m:t>,</m:t>
                    </m:r>
                    <m:r>
                      <w:rPr>
                        <w:rFonts w:ascii="Cambria Math" w:hAnsi="Cambria Math" w:cs="Times New Roman"/>
                      </w:rPr>
                      <m:t>t</m:t>
                    </m:r>
                  </m:e>
                </m:d>
                <m:r>
                  <m:rPr>
                    <m:sty m:val="p"/>
                  </m:rPr>
                  <w:rPr>
                    <w:rFonts w:ascii="Cambria Math" w:hAnsi="Cambria Math" w:cs="Times New Roman"/>
                  </w:rPr>
                  <m:t xml:space="preserve">=0,  </m:t>
                </m:r>
                <m:r>
                  <w:rPr>
                    <w:rFonts w:ascii="Cambria Math" w:hAnsi="Cambria Math" w:cs="Times New Roman"/>
                  </w:rPr>
                  <m:t>0&lt;t&lt;T</m:t>
                </m:r>
                <m:r>
                  <m:rPr>
                    <m:sty m:val="p"/>
                  </m:rPr>
                  <w:rPr>
                    <w:rFonts w:ascii="Cambria Math" w:hAnsi="Cambria Math" w:cs="Times New Roman"/>
                  </w:rPr>
                  <m:t>.</m:t>
                </m:r>
              </m:oMath>
            </m:oMathPara>
          </w:p>
        </w:tc>
        <w:tc>
          <w:tcPr>
            <w:tcW w:w="583" w:type="dxa"/>
            <w:hideMark/>
          </w:tcPr>
          <w:p w14:paraId="4B02BE60" w14:textId="77777777" w:rsidR="00030EDB" w:rsidRPr="00C85DC3" w:rsidRDefault="00030EDB" w:rsidP="00F4462A">
            <w:pPr>
              <w:pStyle w:val="ListParagraph"/>
              <w:spacing w:line="480" w:lineRule="auto"/>
              <w:ind w:left="0"/>
              <w:jc w:val="both"/>
              <w:rPr>
                <w:rFonts w:ascii="Times New Roman" w:hAnsi="Times New Roman" w:cs="Times New Roman"/>
                <w:sz w:val="24"/>
                <w:szCs w:val="24"/>
                <w:lang w:val="en-US"/>
              </w:rPr>
            </w:pPr>
            <w:r w:rsidRPr="00C85DC3">
              <w:rPr>
                <w:rFonts w:ascii="Times New Roman" w:hAnsi="Times New Roman" w:cs="Times New Roman"/>
                <w:sz w:val="24"/>
                <w:szCs w:val="24"/>
                <w:lang w:val="en-US"/>
              </w:rPr>
              <w:t>(4)</w:t>
            </w:r>
          </w:p>
        </w:tc>
      </w:tr>
    </w:tbl>
    <w:p w14:paraId="2DEC0670" w14:textId="77777777" w:rsidR="00030EDB" w:rsidRPr="00C85DC3" w:rsidRDefault="00030EDB" w:rsidP="00030EDB">
      <w:pPr>
        <w:spacing w:line="480" w:lineRule="auto"/>
        <w:rPr>
          <w:rFonts w:ascii="Times New Roman" w:eastAsia="Times New Roman" w:hAnsi="Times New Roman" w:cs="Times New Roman"/>
          <w:sz w:val="24"/>
          <w:szCs w:val="24"/>
        </w:rPr>
      </w:pPr>
      <w:r w:rsidRPr="00C85DC3">
        <w:rPr>
          <w:rFonts w:ascii="Times New Roman" w:hAnsi="Times New Roman" w:cs="Times New Roman"/>
          <w:sz w:val="24"/>
          <w:szCs w:val="24"/>
        </w:rPr>
        <w:t xml:space="preserve">Given the above boundary conditions, the one-dimensional model equations can be uniquely solved for any given initial </w:t>
      </w:r>
      <w:r w:rsidRPr="00C85DC3">
        <w:rPr>
          <w:rFonts w:ascii="Times New Roman" w:eastAsia="Times New Roman" w:hAnsi="Times New Roman" w:cs="Times New Roman"/>
          <w:sz w:val="24"/>
          <w:szCs w:val="24"/>
        </w:rPr>
        <w:t xml:space="preserve">concentrations </w:t>
      </w: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sol</m:t>
            </m:r>
          </m:sub>
        </m:sSub>
        <m:r>
          <w:rPr>
            <w:rFonts w:ascii="Cambria Math" w:hAnsi="Cambria Math" w:cs="Times New Roman"/>
            <w:sz w:val="24"/>
            <w:szCs w:val="24"/>
          </w:rPr>
          <m:t>(z,0)</m:t>
        </m:r>
      </m:oMath>
      <w:r w:rsidRPr="00C85DC3">
        <w:rPr>
          <w:rFonts w:ascii="Times New Roman" w:eastAsia="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ad</m:t>
            </m:r>
          </m:sub>
        </m:sSub>
        <m:r>
          <w:rPr>
            <w:rFonts w:ascii="Cambria Math" w:hAnsi="Cambria Math" w:cs="Times New Roman"/>
            <w:sz w:val="24"/>
            <w:szCs w:val="24"/>
          </w:rPr>
          <m:t>(z,0).</m:t>
        </m:r>
      </m:oMath>
    </w:p>
    <w:p w14:paraId="52BFB494" w14:textId="77777777" w:rsidR="00030EDB" w:rsidRPr="00C85DC3" w:rsidRDefault="00030EDB" w:rsidP="00030EDB">
      <w:pPr>
        <w:spacing w:line="480" w:lineRule="auto"/>
        <w:rPr>
          <w:rFonts w:ascii="Times New Roman" w:eastAsia="Times New Roman" w:hAnsi="Times New Roman" w:cs="Times New Roman"/>
          <w:sz w:val="24"/>
          <w:szCs w:val="24"/>
        </w:rPr>
      </w:pPr>
      <w:r w:rsidRPr="00C85DC3">
        <w:rPr>
          <w:rFonts w:ascii="Times New Roman" w:hAnsi="Times New Roman" w:cs="Times New Roman"/>
          <w:sz w:val="24"/>
          <w:szCs w:val="24"/>
        </w:rPr>
        <w:t>We numerically estimate the model parameters</w:t>
      </w:r>
      <m:oMath>
        <m:r>
          <w:rPr>
            <w:rFonts w:ascii="Cambria Math" w:hAnsi="Cambria Math" w:cs="Times New Roman"/>
            <w:sz w:val="24"/>
            <w:szCs w:val="24"/>
          </w:rPr>
          <m:t xml:space="preserve"> D</m:t>
        </m:r>
      </m:oMath>
      <w:r w:rsidRPr="00C85DC3">
        <w:rPr>
          <w:rFonts w:ascii="Times New Roman" w:eastAsia="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r w:rsidRPr="00C85DC3">
        <w:rPr>
          <w:rFonts w:ascii="Times New Roman" w:eastAsia="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oMath>
      <w:r w:rsidRPr="00C85DC3">
        <w:rPr>
          <w:rFonts w:ascii="Times New Roman" w:eastAsia="Times New Roman" w:hAnsi="Times New Roman" w:cs="Times New Roman"/>
          <w:sz w:val="24"/>
          <w:szCs w:val="24"/>
        </w:rPr>
        <w:t xml:space="preserve"> for coarse soil using data from the experiments using the following methodology. Let us denote the depths of the three probes by</w:t>
      </w:r>
      <m:oMath>
        <m:r>
          <w:rPr>
            <w:rFonts w:ascii="Cambria Math" w:eastAsia="Times New Roman"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oMath>
      <w:r w:rsidRPr="00C85DC3">
        <w:rPr>
          <w:rFonts w:ascii="Times New Roman" w:eastAsia="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oMath>
      <w:r w:rsidRPr="00C85DC3">
        <w:rPr>
          <w:rFonts w:ascii="Times New Roman" w:eastAsia="Times New Roman" w:hAnsi="Times New Roman" w:cs="Times New Roman"/>
          <w:sz w:val="24"/>
          <w:szCs w:val="24"/>
        </w:rPr>
        <w:t xml:space="preserve"> and</w:t>
      </w:r>
      <m:oMath>
        <m:r>
          <w:rPr>
            <w:rFonts w:ascii="Cambria Math" w:eastAsia="Times New Roman"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3</m:t>
            </m:r>
          </m:sub>
        </m:sSub>
      </m:oMath>
      <w:r w:rsidRPr="00C85DC3">
        <w:rPr>
          <w:rFonts w:ascii="Times New Roman" w:eastAsia="Times New Roman" w:hAnsi="Times New Roman" w:cs="Times New Roman"/>
          <w:sz w:val="24"/>
          <w:szCs w:val="24"/>
        </w:rPr>
        <w:t xml:space="preserve">. Let us also denote the mean value of the data at sampling time </w:t>
      </w:r>
      <m:oMath>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j</m:t>
            </m:r>
          </m:sub>
        </m:sSub>
      </m:oMath>
      <w:r w:rsidRPr="00C85DC3">
        <w:rPr>
          <w:rFonts w:ascii="Times New Roman" w:eastAsia="Times New Roman" w:hAnsi="Times New Roman" w:cs="Times New Roman"/>
          <w:sz w:val="24"/>
          <w:szCs w:val="24"/>
        </w:rPr>
        <w:t xml:space="preserve"> for the probe at depth </w:t>
      </w:r>
      <m:oMath>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i</m:t>
            </m:r>
          </m:sub>
        </m:sSub>
      </m:oMath>
      <w:r w:rsidRPr="00C85DC3">
        <w:rPr>
          <w:rFonts w:ascii="Times New Roman" w:eastAsia="Times New Roman" w:hAnsi="Times New Roman" w:cs="Times New Roman"/>
          <w:sz w:val="24"/>
          <w:szCs w:val="24"/>
        </w:rPr>
        <w:t xml:space="preserve"> by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ϕ</m:t>
            </m:r>
          </m:e>
          <m:sub>
            <m:r>
              <w:rPr>
                <w:rFonts w:ascii="Cambria Math" w:hAnsi="Cambria Math" w:cs="Times New Roman"/>
                <w:sz w:val="24"/>
                <w:szCs w:val="24"/>
              </w:rPr>
              <m:t>ij</m:t>
            </m:r>
          </m:sub>
        </m:sSub>
      </m:oMath>
      <w:r w:rsidRPr="00C85DC3">
        <w:rPr>
          <w:rFonts w:ascii="Times New Roman" w:eastAsia="Times New Roman" w:hAnsi="Times New Roman" w:cs="Times New Roman"/>
          <w:sz w:val="24"/>
          <w:szCs w:val="24"/>
        </w:rPr>
        <w:t xml:space="preserve"> and the corresponding standard deviation by</w:t>
      </w:r>
      <m:oMath>
        <m:r>
          <w:rPr>
            <w:rFonts w:ascii="Cambria Math" w:eastAsia="Times New Roman" w:hAnsi="Cambria Math" w:cs="Times New Roman"/>
            <w:sz w:val="24"/>
            <w:szCs w:val="24"/>
          </w:rPr>
          <m:t xml:space="preserve"> </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σ</m:t>
            </m:r>
          </m:e>
          <m:sub>
            <m:r>
              <w:rPr>
                <w:rFonts w:ascii="Cambria Math" w:eastAsia="Times New Roman" w:hAnsi="Cambria Math" w:cs="Times New Roman"/>
                <w:sz w:val="24"/>
                <w:szCs w:val="24"/>
              </w:rPr>
              <m:t>ij</m:t>
            </m:r>
          </m:sub>
        </m:sSub>
      </m:oMath>
      <w:r w:rsidRPr="00C85DC3">
        <w:rPr>
          <w:rFonts w:ascii="Times New Roman" w:eastAsia="Times New Roman" w:hAnsi="Times New Roman" w:cs="Times New Roman"/>
          <w:sz w:val="24"/>
          <w:szCs w:val="24"/>
        </w:rPr>
        <w:t xml:space="preserve">. </w:t>
      </w:r>
    </w:p>
    <w:p w14:paraId="1F7F6CF5" w14:textId="77777777" w:rsidR="00030EDB" w:rsidRPr="00C85DC3" w:rsidRDefault="00030EDB" w:rsidP="00030EDB">
      <w:pPr>
        <w:spacing w:line="480" w:lineRule="auto"/>
        <w:rPr>
          <w:rFonts w:ascii="Times New Roman" w:eastAsia="Times New Roman" w:hAnsi="Times New Roman" w:cs="Times New Roman"/>
          <w:sz w:val="24"/>
          <w:szCs w:val="24"/>
        </w:rPr>
      </w:pPr>
      <w:r w:rsidRPr="00C85DC3">
        <w:rPr>
          <w:rFonts w:ascii="Times New Roman" w:eastAsia="Times New Roman" w:hAnsi="Times New Roman" w:cs="Times New Roman"/>
          <w:sz w:val="24"/>
          <w:szCs w:val="24"/>
        </w:rPr>
        <w:t>The parameters in equations (1) and (2) are estimated by minimizing the error functional R described by equation (5).</w:t>
      </w:r>
    </w:p>
    <w:tbl>
      <w:tblPr>
        <w:tblW w:w="0" w:type="auto"/>
        <w:tblInd w:w="270" w:type="dxa"/>
        <w:tblLook w:val="04A0" w:firstRow="1" w:lastRow="0" w:firstColumn="1" w:lastColumn="0" w:noHBand="0" w:noVBand="1"/>
      </w:tblPr>
      <w:tblGrid>
        <w:gridCol w:w="478"/>
        <w:gridCol w:w="6664"/>
        <w:gridCol w:w="1614"/>
      </w:tblGrid>
      <w:tr w:rsidR="00030EDB" w:rsidRPr="00C85DC3" w14:paraId="5BD889C1" w14:textId="77777777" w:rsidTr="00F4462A">
        <w:tc>
          <w:tcPr>
            <w:tcW w:w="478" w:type="dxa"/>
          </w:tcPr>
          <w:p w14:paraId="7683A8A6" w14:textId="77777777" w:rsidR="00030EDB" w:rsidRPr="00C85DC3" w:rsidRDefault="00030EDB" w:rsidP="00F4462A">
            <w:pPr>
              <w:pStyle w:val="ListParagraph"/>
              <w:spacing w:line="480" w:lineRule="auto"/>
              <w:jc w:val="both"/>
              <w:rPr>
                <w:rFonts w:ascii="Times New Roman" w:hAnsi="Times New Roman" w:cs="Times New Roman"/>
                <w:sz w:val="24"/>
                <w:szCs w:val="24"/>
                <w:lang w:val="en-US"/>
              </w:rPr>
            </w:pPr>
            <w:bookmarkStart w:id="23" w:name="_Hlk39488852"/>
          </w:p>
        </w:tc>
        <w:tc>
          <w:tcPr>
            <w:tcW w:w="6664" w:type="dxa"/>
            <w:vAlign w:val="center"/>
            <w:hideMark/>
          </w:tcPr>
          <w:p w14:paraId="33E9EA9B" w14:textId="77777777" w:rsidR="00030EDB" w:rsidRPr="00C85DC3" w:rsidRDefault="00030EDB" w:rsidP="00F4462A">
            <w:pPr>
              <w:spacing w:line="480" w:lineRule="auto"/>
              <w:jc w:val="center"/>
              <w:rPr>
                <w:rFonts w:ascii="Times New Roman" w:eastAsiaTheme="minorEastAsia" w:hAnsi="Times New Roman" w:cs="Times New Roman"/>
                <w:sz w:val="24"/>
                <w:szCs w:val="24"/>
              </w:rPr>
            </w:pPr>
            <m:oMathPara>
              <m:oMath>
                <m:r>
                  <w:rPr>
                    <w:rFonts w:ascii="Cambria Math" w:hAnsi="Cambria Math" w:cs="Times New Roman"/>
                  </w:rPr>
                  <m:t>R=</m:t>
                </m:r>
                <m:nary>
                  <m:naryPr>
                    <m:chr m:val="∑"/>
                    <m:limLoc m:val="undOvr"/>
                    <m:supHide m:val="1"/>
                    <m:ctrlPr>
                      <w:rPr>
                        <w:rFonts w:ascii="Cambria Math" w:hAnsi="Cambria Math" w:cs="Times New Roman"/>
                      </w:rPr>
                    </m:ctrlPr>
                  </m:naryPr>
                  <m:sub>
                    <m:r>
                      <w:rPr>
                        <w:rFonts w:ascii="Cambria Math" w:hAnsi="Cambria Math" w:cs="Times New Roman"/>
                      </w:rPr>
                      <m:t>i,j</m:t>
                    </m:r>
                  </m:sub>
                  <m:sup/>
                  <m:e>
                    <m:f>
                      <m:fPr>
                        <m:ctrlPr>
                          <w:rPr>
                            <w:rFonts w:ascii="Cambria Math" w:hAnsi="Cambria Math" w:cs="Times New Roman"/>
                          </w:rPr>
                        </m:ctrlPr>
                      </m:fPr>
                      <m:num>
                        <m:sSup>
                          <m:sSupPr>
                            <m:ctrlPr>
                              <w:rPr>
                                <w:rFonts w:ascii="Cambria Math" w:hAnsi="Cambria Math" w:cs="Times New Roman"/>
                              </w:rPr>
                            </m:ctrlPr>
                          </m:sSupPr>
                          <m:e>
                            <m:d>
                              <m:dPr>
                                <m:begChr m:val="‖"/>
                                <m:endChr m:val="‖"/>
                                <m:ctrlPr>
                                  <w:rPr>
                                    <w:rFonts w:ascii="Cambria Math" w:hAnsi="Cambria Math" w:cs="Times New Roman"/>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sol</m:t>
                                    </m:r>
                                  </m:sub>
                                </m:sSub>
                                <m:r>
                                  <w:rPr>
                                    <w:rFonts w:ascii="Cambria Math" w:hAnsi="Cambria Math" w:cs="Times New Roman"/>
                                  </w:rPr>
                                  <m:t>(</m:t>
                                </m:r>
                                <m:sSub>
                                  <m:sSubPr>
                                    <m:ctrlPr>
                                      <w:rPr>
                                        <w:rFonts w:ascii="Cambria Math" w:hAnsi="Cambria Math" w:cs="Times New Roman"/>
                                      </w:rPr>
                                    </m:ctrlPr>
                                  </m:sSubPr>
                                  <m:e>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i</m:t>
                                        </m:r>
                                      </m:sub>
                                    </m:sSub>
                                    <m:r>
                                      <w:rPr>
                                        <w:rFonts w:ascii="Cambria Math" w:hAnsi="Cambria Math" w:cs="Times New Roman"/>
                                      </w:rPr>
                                      <m:t>,t</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ϕ</m:t>
                                    </m:r>
                                  </m:e>
                                  <m:sub>
                                    <m:r>
                                      <w:rPr>
                                        <w:rFonts w:ascii="Cambria Math" w:hAnsi="Cambria Math" w:cs="Times New Roman"/>
                                      </w:rPr>
                                      <m:t>ij</m:t>
                                    </m:r>
                                  </m:sub>
                                </m:sSub>
                              </m:e>
                            </m:d>
                          </m:e>
                          <m:sup>
                            <m:r>
                              <w:rPr>
                                <w:rFonts w:ascii="Cambria Math" w:hAnsi="Cambria Math" w:cs="Times New Roman"/>
                              </w:rPr>
                              <m:t>2</m:t>
                            </m:r>
                          </m:sup>
                        </m:sSup>
                      </m:num>
                      <m:den>
                        <m:sSup>
                          <m:sSupPr>
                            <m:ctrlPr>
                              <w:rPr>
                                <w:rFonts w:ascii="Cambria Math" w:hAnsi="Cambria Math" w:cs="Times New Roman"/>
                                <w:i/>
                              </w:rPr>
                            </m:ctrlPr>
                          </m:sSupPr>
                          <m:e>
                            <m:sSub>
                              <m:sSubPr>
                                <m:ctrlPr>
                                  <w:rPr>
                                    <w:rFonts w:ascii="Cambria Math" w:eastAsia="Times New Roman" w:hAnsi="Cambria Math" w:cs="Times New Roman"/>
                                  </w:rPr>
                                </m:ctrlPr>
                              </m:sSubPr>
                              <m:e>
                                <m:r>
                                  <m:rPr>
                                    <m:sty m:val="p"/>
                                  </m:rPr>
                                  <w:rPr>
                                    <w:rFonts w:ascii="Cambria Math" w:eastAsia="Times New Roman" w:hAnsi="Cambria Math" w:cs="Times New Roman"/>
                                  </w:rPr>
                                  <m:t>σ</m:t>
                                </m:r>
                              </m:e>
                              <m:sub>
                                <m:r>
                                  <w:rPr>
                                    <w:rFonts w:ascii="Cambria Math" w:eastAsia="Times New Roman" w:hAnsi="Cambria Math" w:cs="Times New Roman"/>
                                  </w:rPr>
                                  <m:t>ij</m:t>
                                </m:r>
                              </m:sub>
                            </m:sSub>
                          </m:e>
                          <m:sup>
                            <m:r>
                              <w:rPr>
                                <w:rFonts w:ascii="Cambria Math" w:hAnsi="Cambria Math" w:cs="Times New Roman"/>
                              </w:rPr>
                              <m:t>2</m:t>
                            </m:r>
                          </m:sup>
                        </m:sSup>
                      </m:den>
                    </m:f>
                    <m:r>
                      <w:rPr>
                        <w:rFonts w:ascii="Cambria Math" w:hAnsi="Cambria Math" w:cs="Times New Roman"/>
                      </w:rPr>
                      <m:t>.</m:t>
                    </m:r>
                  </m:e>
                </m:nary>
              </m:oMath>
            </m:oMathPara>
          </w:p>
        </w:tc>
        <w:tc>
          <w:tcPr>
            <w:tcW w:w="1614" w:type="dxa"/>
            <w:hideMark/>
          </w:tcPr>
          <w:p w14:paraId="2FDA115B" w14:textId="77777777" w:rsidR="00030EDB" w:rsidRPr="00C85DC3" w:rsidRDefault="00030EDB" w:rsidP="00F4462A">
            <w:pPr>
              <w:pStyle w:val="ListParagraph"/>
              <w:spacing w:line="480" w:lineRule="auto"/>
              <w:jc w:val="both"/>
              <w:rPr>
                <w:rFonts w:ascii="Times New Roman" w:hAnsi="Times New Roman" w:cs="Times New Roman"/>
                <w:sz w:val="24"/>
                <w:szCs w:val="24"/>
                <w:lang w:val="en-US"/>
              </w:rPr>
            </w:pPr>
            <w:r w:rsidRPr="00C85DC3">
              <w:rPr>
                <w:rFonts w:ascii="Times New Roman" w:hAnsi="Times New Roman" w:cs="Times New Roman"/>
                <w:sz w:val="24"/>
                <w:szCs w:val="24"/>
                <w:lang w:val="en-US"/>
              </w:rPr>
              <w:t>(5)</w:t>
            </w:r>
          </w:p>
        </w:tc>
      </w:tr>
    </w:tbl>
    <w:bookmarkEnd w:id="23"/>
    <w:p w14:paraId="79DC19CD" w14:textId="6A9CADD1" w:rsidR="00FB5D20" w:rsidRPr="00C85DC3" w:rsidRDefault="00030EDB" w:rsidP="00FB5D20">
      <w:pPr>
        <w:spacing w:line="480" w:lineRule="auto"/>
        <w:rPr>
          <w:rFonts w:ascii="Times New Roman" w:eastAsia="Times New Roman" w:hAnsi="Times New Roman" w:cs="Times New Roman"/>
          <w:sz w:val="24"/>
          <w:szCs w:val="24"/>
        </w:rPr>
      </w:pPr>
      <w:r w:rsidRPr="00C85DC3">
        <w:rPr>
          <w:rFonts w:ascii="Times New Roman" w:eastAsia="Times New Roman" w:hAnsi="Times New Roman" w:cs="Times New Roman"/>
          <w:sz w:val="24"/>
          <w:szCs w:val="24"/>
        </w:rPr>
        <w:t>The minimization is performed using the MATLAB function “</w:t>
      </w:r>
      <w:proofErr w:type="spellStart"/>
      <w:r w:rsidRPr="00C85DC3">
        <w:rPr>
          <w:rFonts w:ascii="Times New Roman" w:eastAsia="Times New Roman" w:hAnsi="Times New Roman" w:cs="Times New Roman"/>
          <w:sz w:val="24"/>
          <w:szCs w:val="24"/>
        </w:rPr>
        <w:t>fmincon</w:t>
      </w:r>
      <w:proofErr w:type="spellEnd"/>
      <w:r w:rsidRPr="00C85DC3">
        <w:rPr>
          <w:rFonts w:ascii="Times New Roman" w:eastAsia="Times New Roman" w:hAnsi="Times New Roman" w:cs="Times New Roman"/>
          <w:sz w:val="24"/>
          <w:szCs w:val="24"/>
        </w:rPr>
        <w:t xml:space="preserve">” while the partial differential equations for </w:t>
      </w: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sol</m:t>
            </m:r>
          </m:sub>
        </m:sSub>
      </m:oMath>
      <w:r w:rsidRPr="00C85DC3">
        <w:rPr>
          <w:rFonts w:ascii="Times New Roman" w:eastAsia="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ad</m:t>
            </m:r>
          </m:sub>
        </m:sSub>
      </m:oMath>
      <w:r w:rsidRPr="00C85DC3">
        <w:rPr>
          <w:rFonts w:ascii="Times New Roman" w:eastAsia="Times New Roman" w:hAnsi="Times New Roman" w:cs="Times New Roman"/>
          <w:sz w:val="24"/>
          <w:szCs w:val="24"/>
        </w:rPr>
        <w:t xml:space="preserve"> is solved at each optimization step using a finite difference approximation and the MATLAB function “ode45”.</w:t>
      </w:r>
      <w:bookmarkEnd w:id="21"/>
      <w:r w:rsidR="00FB5D20" w:rsidRPr="00C85DC3">
        <w:rPr>
          <w:sz w:val="24"/>
          <w:szCs w:val="24"/>
        </w:rPr>
        <w:br w:type="page"/>
      </w:r>
    </w:p>
    <w:p w14:paraId="43E2800F" w14:textId="3B8509F7" w:rsidR="00AE1D24" w:rsidRPr="00C85DC3" w:rsidRDefault="00AE1D24" w:rsidP="00FE38E4">
      <w:pPr>
        <w:pStyle w:val="H1"/>
        <w:spacing w:line="480" w:lineRule="auto"/>
        <w:rPr>
          <w:sz w:val="24"/>
          <w:szCs w:val="24"/>
        </w:rPr>
      </w:pPr>
      <w:r w:rsidRPr="00C85DC3">
        <w:rPr>
          <w:sz w:val="24"/>
          <w:szCs w:val="24"/>
        </w:rPr>
        <w:lastRenderedPageBreak/>
        <w:t>Results and Discussion</w:t>
      </w:r>
    </w:p>
    <w:p w14:paraId="2DC542C8" w14:textId="02E9C5A8" w:rsidR="00030EDB" w:rsidRPr="00C85DC3" w:rsidRDefault="00030EDB" w:rsidP="00030EDB">
      <w:pPr>
        <w:pStyle w:val="H3"/>
        <w:spacing w:line="480" w:lineRule="auto"/>
        <w:rPr>
          <w:szCs w:val="24"/>
        </w:rPr>
      </w:pPr>
      <w:r w:rsidRPr="00C85DC3">
        <w:rPr>
          <w:szCs w:val="24"/>
        </w:rPr>
        <w:t>Phosphorus pellet dissolution</w:t>
      </w:r>
    </w:p>
    <w:p w14:paraId="039FCE4C" w14:textId="6580015C" w:rsidR="00030EDB" w:rsidRPr="00C85DC3" w:rsidRDefault="007714EA" w:rsidP="00030EDB">
      <w:pPr>
        <w:pStyle w:val="ParaText"/>
        <w:spacing w:line="480" w:lineRule="auto"/>
        <w:rPr>
          <w:szCs w:val="24"/>
        </w:rPr>
      </w:pPr>
      <w:r w:rsidRPr="00C85DC3">
        <w:rPr>
          <w:szCs w:val="24"/>
        </w:rPr>
        <w:t xml:space="preserve">The XCT data (Figure 1) demonstrates that the TSP pellet remained in place for the 8 days that the soil was scanned for. However, the appearance of the pellet changed over time, particularly in the first 24 hours. One hour after wetting, the pellet has two distinct bands of X-ray attenuation, showing water infiltrating partway into the pellet. After 24 hours the solid parts of the pellet are completely wetted though pockets of air remain. </w:t>
      </w:r>
      <w:bookmarkStart w:id="24" w:name="_Hlk47009605"/>
      <w:r w:rsidR="00523F31" w:rsidRPr="00C85DC3">
        <w:rPr>
          <w:szCs w:val="24"/>
        </w:rPr>
        <w:t>T</w:t>
      </w:r>
      <w:r w:rsidRPr="00C85DC3">
        <w:rPr>
          <w:szCs w:val="24"/>
        </w:rPr>
        <w:t xml:space="preserve">he initial </w:t>
      </w:r>
      <w:r w:rsidR="00523F31" w:rsidRPr="00C85DC3">
        <w:rPr>
          <w:szCs w:val="24"/>
        </w:rPr>
        <w:t xml:space="preserve">pellet </w:t>
      </w:r>
      <w:r w:rsidRPr="00C85DC3">
        <w:rPr>
          <w:szCs w:val="24"/>
        </w:rPr>
        <w:t xml:space="preserve">wetting was rapid and occurred within the first 24 hours, </w:t>
      </w:r>
      <w:r w:rsidR="00523F31" w:rsidRPr="00C85DC3">
        <w:rPr>
          <w:szCs w:val="24"/>
        </w:rPr>
        <w:t xml:space="preserve">maximizing </w:t>
      </w:r>
      <w:r w:rsidRPr="00C85DC3">
        <w:rPr>
          <w:szCs w:val="24"/>
        </w:rPr>
        <w:t xml:space="preserve">diffusion pathway for P </w:t>
      </w:r>
      <w:r w:rsidR="00523F31" w:rsidRPr="00C85DC3">
        <w:rPr>
          <w:szCs w:val="24"/>
        </w:rPr>
        <w:t xml:space="preserve">throughout </w:t>
      </w:r>
      <w:r w:rsidRPr="00C85DC3">
        <w:rPr>
          <w:szCs w:val="24"/>
        </w:rPr>
        <w:t>the pellet to the soil. The pellet reduced in X-ray attenuation by 96 hours, becoming increasingly difficult to distinguish from the surrounding soil</w:t>
      </w:r>
      <w:r w:rsidR="00523F31" w:rsidRPr="00C85DC3">
        <w:rPr>
          <w:szCs w:val="24"/>
        </w:rPr>
        <w:t>.</w:t>
      </w:r>
      <w:r w:rsidRPr="00C85DC3">
        <w:rPr>
          <w:szCs w:val="24"/>
        </w:rPr>
        <w:t xml:space="preserve"> </w:t>
      </w:r>
      <w:r w:rsidR="00523F31" w:rsidRPr="00C85DC3">
        <w:rPr>
          <w:szCs w:val="24"/>
        </w:rPr>
        <w:t>W</w:t>
      </w:r>
      <w:r w:rsidRPr="00C85DC3">
        <w:rPr>
          <w:szCs w:val="24"/>
        </w:rPr>
        <w:t>e interpret this as a sign of dissolution, although the pellet changed very little</w:t>
      </w:r>
      <w:r w:rsidR="00523F31" w:rsidRPr="00C85DC3">
        <w:rPr>
          <w:szCs w:val="24"/>
        </w:rPr>
        <w:t xml:space="preserve"> in geometry</w:t>
      </w:r>
      <w:r w:rsidRPr="00C85DC3">
        <w:rPr>
          <w:szCs w:val="24"/>
        </w:rPr>
        <w:t xml:space="preserve">. Therefore, either no dissolution occurred within the experimental period or, while P dissolved and diffused away from the pellet, parts of the pellet were </w:t>
      </w:r>
      <w:proofErr w:type="gramStart"/>
      <w:r w:rsidRPr="00C85DC3">
        <w:rPr>
          <w:szCs w:val="24"/>
        </w:rPr>
        <w:t>insoluble</w:t>
      </w:r>
      <w:proofErr w:type="gramEnd"/>
      <w:r w:rsidRPr="00C85DC3">
        <w:rPr>
          <w:szCs w:val="24"/>
        </w:rPr>
        <w:t xml:space="preserve"> and the pellet therefore remained </w:t>
      </w:r>
      <w:r w:rsidR="00523F31" w:rsidRPr="00C85DC3">
        <w:rPr>
          <w:szCs w:val="24"/>
        </w:rPr>
        <w:t>geometrically</w:t>
      </w:r>
      <w:r w:rsidRPr="00C85DC3">
        <w:rPr>
          <w:szCs w:val="24"/>
        </w:rPr>
        <w:t xml:space="preserve"> sound. </w:t>
      </w:r>
      <w:r w:rsidR="00F04030" w:rsidRPr="00C85DC3">
        <w:rPr>
          <w:szCs w:val="24"/>
        </w:rPr>
        <w:t xml:space="preserve">This second hypothesis is supported by the observations by Hettiarachchi, </w:t>
      </w:r>
      <w:proofErr w:type="spellStart"/>
      <w:r w:rsidR="00F04030" w:rsidRPr="00C85DC3">
        <w:rPr>
          <w:szCs w:val="24"/>
        </w:rPr>
        <w:t>Lombi</w:t>
      </w:r>
      <w:proofErr w:type="spellEnd"/>
      <w:r w:rsidR="00F04030" w:rsidRPr="00C85DC3">
        <w:rPr>
          <w:szCs w:val="24"/>
        </w:rPr>
        <w:t xml:space="preserve"> et al. 2006, who observed via X-ray CT a decrease in the pellet density along with an increase in its porosity over time and attributed that to the progress of the pellet water absorption and inorganic P compound dissolution. </w:t>
      </w:r>
      <w:bookmarkEnd w:id="24"/>
      <w:r w:rsidRPr="00C85DC3">
        <w:rPr>
          <w:szCs w:val="24"/>
        </w:rPr>
        <w:t>No further changes were recorded after 96 hours, with the pellet showing the same attenuation after 168 hours.</w:t>
      </w:r>
    </w:p>
    <w:p w14:paraId="31523CE4" w14:textId="59A34022" w:rsidR="00030EDB" w:rsidRPr="00C85DC3" w:rsidRDefault="00030EDB" w:rsidP="00030EDB">
      <w:pPr>
        <w:pStyle w:val="ParaText"/>
        <w:spacing w:line="480" w:lineRule="auto"/>
        <w:jc w:val="center"/>
        <w:rPr>
          <w:szCs w:val="24"/>
        </w:rPr>
      </w:pPr>
      <w:r w:rsidRPr="00C85DC3">
        <w:rPr>
          <w:noProof/>
          <w:lang w:val="en-GB" w:eastAsia="en-GB"/>
        </w:rPr>
        <w:lastRenderedPageBreak/>
        <w:drawing>
          <wp:inline distT="0" distB="0" distL="0" distR="0" wp14:anchorId="49774333" wp14:editId="7F59CDCC">
            <wp:extent cx="4567823" cy="25200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567823"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66E03483" w14:textId="0251ABBF" w:rsidR="00030EDB" w:rsidRPr="00C85DC3" w:rsidRDefault="00030EDB" w:rsidP="00030EDB">
      <w:pPr>
        <w:pStyle w:val="Caption"/>
        <w:spacing w:line="480" w:lineRule="auto"/>
        <w:jc w:val="center"/>
        <w:rPr>
          <w:rFonts w:ascii="Times New Roman" w:hAnsi="Times New Roman" w:cs="Times New Roman"/>
          <w:i w:val="0"/>
          <w:iCs w:val="0"/>
          <w:color w:val="auto"/>
          <w:sz w:val="22"/>
          <w:szCs w:val="22"/>
        </w:rPr>
      </w:pPr>
      <w:r w:rsidRPr="00C85DC3">
        <w:rPr>
          <w:rFonts w:ascii="Times New Roman" w:hAnsi="Times New Roman" w:cs="Times New Roman"/>
          <w:i w:val="0"/>
          <w:iCs w:val="0"/>
          <w:color w:val="auto"/>
          <w:sz w:val="22"/>
          <w:szCs w:val="22"/>
        </w:rPr>
        <w:t>Figure 1</w:t>
      </w:r>
      <w:r w:rsidR="005A729B" w:rsidRPr="00C85DC3">
        <w:rPr>
          <w:rFonts w:ascii="Times New Roman" w:hAnsi="Times New Roman" w:cs="Times New Roman"/>
          <w:i w:val="0"/>
          <w:iCs w:val="0"/>
          <w:color w:val="auto"/>
          <w:sz w:val="22"/>
          <w:szCs w:val="22"/>
        </w:rPr>
        <w:t>.</w:t>
      </w:r>
      <w:r w:rsidRPr="00C85DC3">
        <w:rPr>
          <w:rFonts w:ascii="Times New Roman" w:hAnsi="Times New Roman" w:cs="Times New Roman"/>
          <w:b/>
          <w:bCs/>
          <w:i w:val="0"/>
          <w:iCs w:val="0"/>
          <w:color w:val="auto"/>
          <w:sz w:val="22"/>
          <w:szCs w:val="22"/>
        </w:rPr>
        <w:t xml:space="preserve"> </w:t>
      </w:r>
      <w:r w:rsidRPr="00C85DC3">
        <w:rPr>
          <w:rFonts w:ascii="Times New Roman" w:hAnsi="Times New Roman" w:cs="Times New Roman"/>
          <w:i w:val="0"/>
          <w:iCs w:val="0"/>
          <w:color w:val="auto"/>
          <w:sz w:val="22"/>
          <w:szCs w:val="22"/>
        </w:rPr>
        <w:t xml:space="preserve">Triple Super Phosphate pellet dissolution in coarse soil </w:t>
      </w:r>
      <w:r w:rsidR="00046530" w:rsidRPr="00C85DC3">
        <w:rPr>
          <w:rFonts w:ascii="Times New Roman" w:hAnsi="Times New Roman" w:cs="Times New Roman"/>
          <w:i w:val="0"/>
          <w:iCs w:val="0"/>
          <w:color w:val="auto"/>
          <w:sz w:val="22"/>
          <w:szCs w:val="22"/>
        </w:rPr>
        <w:t>visualize</w:t>
      </w:r>
      <w:r w:rsidRPr="00C85DC3">
        <w:rPr>
          <w:rFonts w:ascii="Times New Roman" w:hAnsi="Times New Roman" w:cs="Times New Roman"/>
          <w:i w:val="0"/>
          <w:iCs w:val="0"/>
          <w:color w:val="auto"/>
          <w:sz w:val="22"/>
          <w:szCs w:val="22"/>
        </w:rPr>
        <w:t>d using X-ray Computed Tomography imaging. Top row is reconstructed grey value slices through the same region of the pellet at different time points, lower row is the pellet enlarged and a heat-map look up table (Fire in ImageJ) applied to the pellet to accentuate the differences in grey values.</w:t>
      </w:r>
    </w:p>
    <w:p w14:paraId="28FD6A8F" w14:textId="3B9EA85A" w:rsidR="00030EDB" w:rsidRPr="00C85DC3" w:rsidRDefault="00030EDB" w:rsidP="00030EDB">
      <w:pPr>
        <w:pStyle w:val="H3"/>
        <w:spacing w:line="480" w:lineRule="auto"/>
        <w:rPr>
          <w:szCs w:val="24"/>
        </w:rPr>
      </w:pPr>
      <w:r w:rsidRPr="00C85DC3">
        <w:rPr>
          <w:szCs w:val="24"/>
        </w:rPr>
        <w:t>Phosphorus space and time-resolved pattern</w:t>
      </w:r>
    </w:p>
    <w:p w14:paraId="6D1D6567" w14:textId="20620F9A" w:rsidR="00030EDB" w:rsidRPr="00C85DC3" w:rsidRDefault="00030EDB" w:rsidP="00030EDB">
      <w:pPr>
        <w:pStyle w:val="ParaText"/>
        <w:spacing w:line="480" w:lineRule="auto"/>
        <w:rPr>
          <w:szCs w:val="24"/>
        </w:rPr>
      </w:pPr>
      <w:r w:rsidRPr="00C85DC3">
        <w:rPr>
          <w:szCs w:val="24"/>
        </w:rPr>
        <w:t>Figure 2a shows the time resolved data from the three microdialysis probes at different depths in the coarse soil experiment. The two probes positioned below the pellet (C2 and C3) show the same temporal pattern and comparable P concentrations: an initially very high concentration of P which subsequently decays exponentially. This pattern suggests an ‘instantaneous’ (below sampling frequency) release of P from the pellet that occurs within the first 2 hours from wetting the soil, followed by a P concentration decrease in soil solution over time, that can be attributed to</w:t>
      </w:r>
      <w:r w:rsidR="00EF4CCF" w:rsidRPr="00C85DC3">
        <w:rPr>
          <w:szCs w:val="24"/>
        </w:rPr>
        <w:t xml:space="preserve"> different processes that determine immobilization of P like its</w:t>
      </w:r>
      <w:r w:rsidRPr="00C85DC3">
        <w:rPr>
          <w:szCs w:val="24"/>
        </w:rPr>
        <w:t xml:space="preserve"> adsorption onto soil particles. This ‘instantaneous’ release is supported by the rapid wetting of the TSP pellet shown in the </w:t>
      </w:r>
      <w:r w:rsidR="0034015A" w:rsidRPr="00C85DC3">
        <w:rPr>
          <w:szCs w:val="24"/>
        </w:rPr>
        <w:t>X</w:t>
      </w:r>
      <w:r w:rsidRPr="00C85DC3">
        <w:rPr>
          <w:szCs w:val="24"/>
        </w:rPr>
        <w:t xml:space="preserve">CT scans (Figure 1). Probe C1, which is positioned above the </w:t>
      </w:r>
      <w:r w:rsidR="00046530" w:rsidRPr="00C85DC3">
        <w:rPr>
          <w:szCs w:val="24"/>
        </w:rPr>
        <w:t>fertilizer</w:t>
      </w:r>
      <w:r w:rsidRPr="00C85DC3">
        <w:rPr>
          <w:szCs w:val="24"/>
        </w:rPr>
        <w:t xml:space="preserve"> pellet, shows a slower increase in P concentration in soil solution (over the first 83 </w:t>
      </w:r>
      <w:r w:rsidRPr="00C85DC3">
        <w:rPr>
          <w:szCs w:val="24"/>
        </w:rPr>
        <w:lastRenderedPageBreak/>
        <w:t xml:space="preserve">hours), followed by a decrease compatible with adsorption onto soil particles. Moreover, the maximum P concentration detected by the probe positioned above the pellet (C1; 3.3 ± 0.7 ppm) was one order of magnitude lower than the ones detected by the probes below the pellet (C2 and C3; 45 ± 8 ppm and 48 ± 16 ppm), suggesting that P movement is favored in the downward direction, likely due to gravity. This hypothesis was tested with a set of experiments in non-stirred water columns, which showed that P concentrations increased 10 times faster in the downward compared with the upward direction. Details and data from this experiment can be found in the </w:t>
      </w:r>
      <w:r w:rsidR="00E51745" w:rsidRPr="00C85DC3">
        <w:rPr>
          <w:szCs w:val="24"/>
        </w:rPr>
        <w:t>Supplementary Material</w:t>
      </w:r>
      <w:r w:rsidRPr="00C85DC3">
        <w:rPr>
          <w:szCs w:val="24"/>
        </w:rPr>
        <w:t xml:space="preserve"> (Figure S</w:t>
      </w:r>
      <w:r w:rsidR="001D6DA5" w:rsidRPr="00C85DC3">
        <w:rPr>
          <w:szCs w:val="24"/>
        </w:rPr>
        <w:t>6</w:t>
      </w:r>
      <w:r w:rsidRPr="00C85DC3">
        <w:rPr>
          <w:szCs w:val="24"/>
        </w:rPr>
        <w:t>).</w:t>
      </w:r>
    </w:p>
    <w:p w14:paraId="1BC81948" w14:textId="518B657B" w:rsidR="00030EDB" w:rsidRPr="00C85DC3" w:rsidRDefault="00030EDB" w:rsidP="00030EDB">
      <w:pPr>
        <w:pStyle w:val="ParaText"/>
        <w:spacing w:line="480" w:lineRule="auto"/>
        <w:rPr>
          <w:szCs w:val="24"/>
        </w:rPr>
      </w:pPr>
      <w:r w:rsidRPr="00C85DC3">
        <w:rPr>
          <w:szCs w:val="24"/>
        </w:rPr>
        <w:t xml:space="preserve">The effect of soil particle size on the phosphorus dispersion rates was investigated. </w:t>
      </w:r>
      <w:r w:rsidR="00545826" w:rsidRPr="00C85DC3">
        <w:rPr>
          <w:szCs w:val="24"/>
        </w:rPr>
        <w:t>E</w:t>
      </w:r>
      <w:r w:rsidRPr="00C85DC3">
        <w:rPr>
          <w:szCs w:val="24"/>
        </w:rPr>
        <w:t>stimating the mean particle density with the density of quartz (</w:t>
      </w:r>
      <m:oMath>
        <m:sSub>
          <m:sSubPr>
            <m:ctrlPr>
              <w:rPr>
                <w:rFonts w:ascii="Cambria Math" w:hAnsi="Cambria Math"/>
                <w:i/>
                <w:szCs w:val="24"/>
              </w:rPr>
            </m:ctrlPr>
          </m:sSubPr>
          <m:e>
            <m:r>
              <w:rPr>
                <w:rFonts w:ascii="Cambria Math" w:hAnsi="Cambria Math"/>
                <w:szCs w:val="24"/>
              </w:rPr>
              <m:t>ρ</m:t>
            </m:r>
          </m:e>
          <m:sub>
            <m:r>
              <w:rPr>
                <w:rFonts w:ascii="Cambria Math" w:hAnsi="Cambria Math"/>
                <w:szCs w:val="24"/>
              </w:rPr>
              <m:t>s</m:t>
            </m:r>
          </m:sub>
        </m:sSub>
      </m:oMath>
      <w:r w:rsidRPr="00C85DC3">
        <w:rPr>
          <w:rFonts w:eastAsiaTheme="minorEastAsia"/>
          <w:szCs w:val="24"/>
        </w:rPr>
        <w:t xml:space="preserve">= </w:t>
      </w:r>
      <w:r w:rsidRPr="00C85DC3">
        <w:rPr>
          <w:szCs w:val="24"/>
        </w:rPr>
        <w:t>2.65 g m</w:t>
      </w:r>
      <w:r w:rsidRPr="00C85DC3">
        <w:rPr>
          <w:rFonts w:eastAsiaTheme="minorEastAsia"/>
          <w:szCs w:val="24"/>
        </w:rPr>
        <w:t>L</w:t>
      </w:r>
      <w:r w:rsidRPr="00C85DC3">
        <w:rPr>
          <w:rFonts w:eastAsiaTheme="minorEastAsia"/>
          <w:szCs w:val="24"/>
          <w:vertAlign w:val="subscript"/>
        </w:rPr>
        <w:t>solid</w:t>
      </w:r>
      <w:r w:rsidRPr="00C85DC3">
        <w:rPr>
          <w:rFonts w:eastAsiaTheme="minorEastAsia"/>
          <w:szCs w:val="24"/>
          <w:vertAlign w:val="superscript"/>
        </w:rPr>
        <w:t>-1</w:t>
      </w:r>
      <w:r w:rsidRPr="00C85DC3">
        <w:rPr>
          <w:szCs w:val="24"/>
        </w:rPr>
        <w:t xml:space="preserve">), we estimated the soil porosity as </w:t>
      </w:r>
      <m:oMath>
        <m:r>
          <w:rPr>
            <w:rFonts w:ascii="Cambria Math" w:hAnsi="Cambria Math"/>
            <w:szCs w:val="24"/>
          </w:rPr>
          <m:t>ϕ</m:t>
        </m:r>
        <m:r>
          <w:rPr>
            <w:rFonts w:ascii="Cambria Math" w:eastAsiaTheme="minorEastAsia" w:hAnsi="Cambria Math"/>
            <w:szCs w:val="24"/>
          </w:rPr>
          <m:t>=1-</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ρ</m:t>
                </m:r>
              </m:e>
              <m:sub>
                <m:r>
                  <w:rPr>
                    <w:rFonts w:ascii="Cambria Math" w:eastAsiaTheme="minorEastAsia" w:hAnsi="Cambria Math"/>
                    <w:szCs w:val="24"/>
                  </w:rPr>
                  <m:t>b</m:t>
                </m:r>
              </m:sub>
            </m:sSub>
          </m:num>
          <m:den>
            <m:sSub>
              <m:sSubPr>
                <m:ctrlPr>
                  <w:rPr>
                    <w:rFonts w:ascii="Cambria Math" w:eastAsiaTheme="minorEastAsia" w:hAnsi="Cambria Math"/>
                    <w:i/>
                    <w:szCs w:val="24"/>
                  </w:rPr>
                </m:ctrlPr>
              </m:sSubPr>
              <m:e>
                <m:r>
                  <w:rPr>
                    <w:rFonts w:ascii="Cambria Math" w:eastAsiaTheme="minorEastAsia" w:hAnsi="Cambria Math"/>
                    <w:szCs w:val="24"/>
                  </w:rPr>
                  <m:t>ρ</m:t>
                </m:r>
              </m:e>
              <m:sub>
                <m:r>
                  <w:rPr>
                    <w:rFonts w:ascii="Cambria Math" w:eastAsiaTheme="minorEastAsia" w:hAnsi="Cambria Math"/>
                    <w:szCs w:val="24"/>
                  </w:rPr>
                  <m:t>s</m:t>
                </m:r>
              </m:sub>
            </m:sSub>
          </m:den>
        </m:f>
      </m:oMath>
      <w:r w:rsidRPr="00C85DC3">
        <w:rPr>
          <w:rFonts w:eastAsiaTheme="minorEastAsia"/>
          <w:szCs w:val="24"/>
        </w:rPr>
        <w:t>, thus</w:t>
      </w:r>
      <w:r w:rsidRPr="00C85DC3">
        <w:rPr>
          <w:szCs w:val="24"/>
        </w:rPr>
        <w:t xml:space="preserve"> an overall decrease in soil porosity from </w:t>
      </w:r>
      <m:oMath>
        <m:sSub>
          <m:sSubPr>
            <m:ctrlPr>
              <w:rPr>
                <w:rFonts w:ascii="Cambria Math" w:hAnsi="Cambria Math"/>
                <w:i/>
                <w:szCs w:val="24"/>
              </w:rPr>
            </m:ctrlPr>
          </m:sSubPr>
          <m:e>
            <m:r>
              <w:rPr>
                <w:rFonts w:ascii="Cambria Math" w:hAnsi="Cambria Math"/>
                <w:szCs w:val="24"/>
              </w:rPr>
              <m:t>ϕ</m:t>
            </m:r>
          </m:e>
          <m:sub>
            <m:r>
              <w:rPr>
                <w:rFonts w:ascii="Cambria Math" w:hAnsi="Cambria Math"/>
                <w:szCs w:val="24"/>
              </w:rPr>
              <m:t>c</m:t>
            </m:r>
          </m:sub>
        </m:sSub>
        <m:r>
          <w:rPr>
            <w:rFonts w:ascii="Cambria Math" w:eastAsiaTheme="minorEastAsia" w:hAnsi="Cambria Math"/>
            <w:szCs w:val="24"/>
          </w:rPr>
          <m:t>=0.614</m:t>
        </m:r>
      </m:oMath>
      <w:r w:rsidRPr="00C85DC3">
        <w:rPr>
          <w:rFonts w:eastAsiaTheme="minorEastAsia"/>
          <w:szCs w:val="24"/>
        </w:rPr>
        <w:t xml:space="preserve"> L</w:t>
      </w:r>
      <w:r w:rsidRPr="00C85DC3">
        <w:rPr>
          <w:rFonts w:eastAsiaTheme="minorEastAsia"/>
          <w:szCs w:val="24"/>
          <w:vertAlign w:val="subscript"/>
        </w:rPr>
        <w:t>pore</w:t>
      </w:r>
      <w:r w:rsidRPr="00C85DC3">
        <w:rPr>
          <w:rFonts w:eastAsiaTheme="minorEastAsia"/>
          <w:szCs w:val="24"/>
        </w:rPr>
        <w:t xml:space="preserve"> L</w:t>
      </w:r>
      <w:r w:rsidRPr="00C85DC3">
        <w:rPr>
          <w:rFonts w:eastAsiaTheme="minorEastAsia"/>
          <w:szCs w:val="24"/>
          <w:vertAlign w:val="subscript"/>
        </w:rPr>
        <w:t>bulk</w:t>
      </w:r>
      <w:r w:rsidRPr="00C85DC3">
        <w:rPr>
          <w:rFonts w:eastAsiaTheme="minorEastAsia"/>
          <w:szCs w:val="24"/>
          <w:vertAlign w:val="superscript"/>
        </w:rPr>
        <w:t>-1</w:t>
      </w:r>
      <w:r w:rsidRPr="00C85DC3">
        <w:rPr>
          <w:rFonts w:eastAsiaTheme="minorEastAsia"/>
          <w:szCs w:val="24"/>
          <w:vertAlign w:val="subscript"/>
        </w:rPr>
        <w:t xml:space="preserve"> </w:t>
      </w:r>
      <w:r w:rsidRPr="00C85DC3">
        <w:rPr>
          <w:rFonts w:eastAsiaTheme="minorEastAsia"/>
          <w:szCs w:val="24"/>
        </w:rPr>
        <w:t xml:space="preserve">to </w:t>
      </w:r>
      <m:oMath>
        <m:sSub>
          <m:sSubPr>
            <m:ctrlPr>
              <w:rPr>
                <w:rFonts w:ascii="Cambria Math" w:hAnsi="Cambria Math"/>
                <w:i/>
                <w:szCs w:val="24"/>
              </w:rPr>
            </m:ctrlPr>
          </m:sSubPr>
          <m:e>
            <m:r>
              <w:rPr>
                <w:rFonts w:ascii="Cambria Math" w:hAnsi="Cambria Math"/>
                <w:szCs w:val="24"/>
              </w:rPr>
              <m:t>ϕ</m:t>
            </m:r>
          </m:e>
          <m:sub>
            <m:r>
              <w:rPr>
                <w:rFonts w:ascii="Cambria Math" w:hAnsi="Cambria Math"/>
                <w:szCs w:val="24"/>
              </w:rPr>
              <m:t>f</m:t>
            </m:r>
          </m:sub>
        </m:sSub>
        <m:r>
          <w:rPr>
            <w:rFonts w:ascii="Cambria Math" w:eastAsiaTheme="minorEastAsia" w:hAnsi="Cambria Math"/>
            <w:szCs w:val="24"/>
          </w:rPr>
          <m:t>=0.525</m:t>
        </m:r>
      </m:oMath>
      <w:r w:rsidRPr="00C85DC3">
        <w:rPr>
          <w:rFonts w:eastAsiaTheme="minorEastAsia"/>
          <w:szCs w:val="24"/>
        </w:rPr>
        <w:t xml:space="preserve"> L</w:t>
      </w:r>
      <w:r w:rsidRPr="00C85DC3">
        <w:rPr>
          <w:rFonts w:eastAsiaTheme="minorEastAsia"/>
          <w:szCs w:val="24"/>
          <w:vertAlign w:val="subscript"/>
        </w:rPr>
        <w:t>pore</w:t>
      </w:r>
      <w:r w:rsidRPr="00C85DC3">
        <w:rPr>
          <w:rFonts w:eastAsiaTheme="minorEastAsia"/>
          <w:szCs w:val="24"/>
        </w:rPr>
        <w:t xml:space="preserve"> L</w:t>
      </w:r>
      <w:r w:rsidRPr="00C85DC3">
        <w:rPr>
          <w:rFonts w:eastAsiaTheme="minorEastAsia"/>
          <w:szCs w:val="24"/>
          <w:vertAlign w:val="subscript"/>
        </w:rPr>
        <w:t>bulk</w:t>
      </w:r>
      <w:r w:rsidRPr="00C85DC3">
        <w:rPr>
          <w:rFonts w:eastAsiaTheme="minorEastAsia"/>
          <w:szCs w:val="24"/>
          <w:vertAlign w:val="superscript"/>
        </w:rPr>
        <w:t>-1</w:t>
      </w:r>
      <w:r w:rsidRPr="00C85DC3">
        <w:rPr>
          <w:szCs w:val="24"/>
        </w:rPr>
        <w:t xml:space="preserve"> was observed.</w:t>
      </w:r>
      <w:r w:rsidRPr="00C85DC3">
        <w:t xml:space="preserve"> </w:t>
      </w:r>
      <w:r w:rsidRPr="00C85DC3">
        <w:rPr>
          <w:szCs w:val="24"/>
        </w:rPr>
        <w:t xml:space="preserve">This change in soil porosity leads to a decrease in the effective diffusion of P in soil due to decreased soil pore volume </w:t>
      </w:r>
      <w:r w:rsidR="00F86147" w:rsidRPr="00C85DC3">
        <w:rPr>
          <w:szCs w:val="24"/>
        </w:rPr>
        <w:fldChar w:fldCharType="begin"/>
      </w:r>
      <w:r w:rsidR="002A1395" w:rsidRPr="00C85DC3">
        <w:rPr>
          <w:szCs w:val="24"/>
        </w:rPr>
        <w:instrText xml:space="preserve"> ADDIN EN.CITE &lt;EndNote&gt;&lt;Cite&gt;&lt;Author&gt;Barraclough&lt;/Author&gt;&lt;Year&gt;1981&lt;/Year&gt;&lt;RecNum&gt;35&lt;/RecNum&gt;&lt;DisplayText&gt;(Barraclough and Tinker 1981)&lt;/DisplayText&gt;&lt;record&gt;&lt;rec-number&gt;35&lt;/rec-number&gt;&lt;foreign-keys&gt;&lt;key app="EN" db-id="e0pf0dz95w2e2qesp0ev9tvwdse5fap0eprw" timestamp="1588585119"&gt;35&lt;/key&gt;&lt;/foreign-keys&gt;&lt;ref-type name="Journal Article"&gt;17&lt;/ref-type&gt;&lt;contributors&gt;&lt;authors&gt;&lt;author&gt;Barraclough, PB&lt;/author&gt;&lt;author&gt;Tinker, PB&lt;/author&gt;&lt;/authors&gt;&lt;/contributors&gt;&lt;titles&gt;&lt;title&gt;The determination of ionic diffusion coefficients in field soils. I. Diffusion coefficients in sieved soils in relation to water content and bulk density&lt;/title&gt;&lt;secondary-title&gt;Journal of Soil Science&lt;/secondary-title&gt;&lt;/titles&gt;&lt;periodical&gt;&lt;full-title&gt;Journal of Soil Science&lt;/full-title&gt;&lt;/periodical&gt;&lt;pages&gt;225-236&lt;/pages&gt;&lt;volume&gt;32&lt;/volume&gt;&lt;number&gt;2&lt;/number&gt;&lt;dates&gt;&lt;year&gt;1981&lt;/year&gt;&lt;/dates&gt;&lt;isbn&gt;0022-4588&lt;/isbn&gt;&lt;urls&gt;&lt;/urls&gt;&lt;/record&gt;&lt;/Cite&gt;&lt;/EndNote&gt;</w:instrText>
      </w:r>
      <w:r w:rsidR="00F86147" w:rsidRPr="00C85DC3">
        <w:rPr>
          <w:szCs w:val="24"/>
        </w:rPr>
        <w:fldChar w:fldCharType="separate"/>
      </w:r>
      <w:r w:rsidR="000E3868" w:rsidRPr="00C85DC3">
        <w:rPr>
          <w:noProof/>
          <w:szCs w:val="24"/>
        </w:rPr>
        <w:t>(Barraclough and Tinker 1981)</w:t>
      </w:r>
      <w:r w:rsidR="00F86147" w:rsidRPr="00C85DC3">
        <w:rPr>
          <w:szCs w:val="24"/>
        </w:rPr>
        <w:fldChar w:fldCharType="end"/>
      </w:r>
      <w:r w:rsidRPr="00C85DC3">
        <w:rPr>
          <w:szCs w:val="24"/>
        </w:rPr>
        <w:t xml:space="preserve">. However, the increase in soil surface area could play a role as well, due to P adsorption onto soil particles. We therefore expect an overall nonlinear decrease of effective diffusion of P in the fine soil case due to the sum of these two processes.  </w:t>
      </w:r>
    </w:p>
    <w:p w14:paraId="1CEDC046" w14:textId="6E3C657E" w:rsidR="00030EDB" w:rsidRPr="00C85DC3" w:rsidRDefault="00030EDB" w:rsidP="00030EDB">
      <w:pPr>
        <w:pStyle w:val="ParaText"/>
        <w:spacing w:line="480" w:lineRule="auto"/>
        <w:rPr>
          <w:szCs w:val="24"/>
        </w:rPr>
      </w:pPr>
      <w:r w:rsidRPr="00C85DC3">
        <w:rPr>
          <w:szCs w:val="24"/>
        </w:rPr>
        <w:t>The results from the experiment conducted in fine soil (particle diameter below 2 mm) are shown in Figure 2b.  The trend detected by the probes below the pellet (F2 and F3) confirm the ‘instantaneous’ release of a pulse of P from the pellet. Probe F3, which is positioned 3 cm below the pellet, captured the whole profile of the pulse, the start of which was missed in coarse soil and in probe F2</w:t>
      </w:r>
      <w:r w:rsidR="009C304C" w:rsidRPr="00C85DC3">
        <w:rPr>
          <w:szCs w:val="24"/>
        </w:rPr>
        <w:t>,</w:t>
      </w:r>
      <w:r w:rsidRPr="00C85DC3">
        <w:rPr>
          <w:szCs w:val="24"/>
        </w:rPr>
        <w:t xml:space="preserve"> resulting in a high apparent initial P </w:t>
      </w:r>
      <w:proofErr w:type="gramStart"/>
      <w:r w:rsidRPr="00C85DC3">
        <w:rPr>
          <w:szCs w:val="24"/>
        </w:rPr>
        <w:t>concentrations</w:t>
      </w:r>
      <w:proofErr w:type="gramEnd"/>
      <w:r w:rsidRPr="00C85DC3">
        <w:rPr>
          <w:szCs w:val="24"/>
        </w:rPr>
        <w:t xml:space="preserve">. In the fine soil, this pulse lasted 125 hours. The time shift between the maximum concentration recorded by probe F2 and probe F3 is about 31 hours and the maximum P concentrations detected by probe F3 (11±3 ppm) </w:t>
      </w:r>
      <w:r w:rsidRPr="00C85DC3">
        <w:rPr>
          <w:szCs w:val="24"/>
        </w:rPr>
        <w:lastRenderedPageBreak/>
        <w:t xml:space="preserve">are almost one order of magnitude lower than those detected by probe F2 (72±16). </w:t>
      </w:r>
      <w:bookmarkStart w:id="25" w:name="_Hlk46235112"/>
      <w:r w:rsidR="00D93F38" w:rsidRPr="00C85DC3">
        <w:rPr>
          <w:szCs w:val="24"/>
        </w:rPr>
        <w:t xml:space="preserve">These results support the hypothesized role of smaller particles in slowing down the movement of phosphorus through the soil column. In fact, the more effective packing of small particles can lead to a decrease in soil porosity and connectivity, together with increased tortuosity of the diffusive paths, therefore slowing down </w:t>
      </w:r>
      <w:r w:rsidR="005A7D3A" w:rsidRPr="00C85DC3">
        <w:rPr>
          <w:szCs w:val="24"/>
        </w:rPr>
        <w:t xml:space="preserve">the </w:t>
      </w:r>
      <w:r w:rsidR="00D93F38" w:rsidRPr="00C85DC3">
        <w:rPr>
          <w:szCs w:val="24"/>
        </w:rPr>
        <w:t xml:space="preserve">movement </w:t>
      </w:r>
      <w:r w:rsidR="005A7D3A" w:rsidRPr="00C85DC3">
        <w:rPr>
          <w:szCs w:val="24"/>
        </w:rPr>
        <w:t xml:space="preserve">of solutes </w:t>
      </w:r>
      <w:r w:rsidR="00D93F38" w:rsidRPr="00C85DC3">
        <w:rPr>
          <w:szCs w:val="24"/>
        </w:rPr>
        <w:t xml:space="preserve">through soil. Moreover, colloidal particles can adsorb high quantities of P due to their high surface area to mass ratio and can contribute to its mobility by particles diffusion through soil </w:t>
      </w:r>
      <w:r w:rsidR="00150738" w:rsidRPr="00C85DC3">
        <w:rPr>
          <w:szCs w:val="24"/>
        </w:rPr>
        <w:fldChar w:fldCharType="begin"/>
      </w:r>
      <w:r w:rsidR="00150738" w:rsidRPr="00C85DC3">
        <w:rPr>
          <w:szCs w:val="24"/>
        </w:rPr>
        <w:instrText xml:space="preserve"> ADDIN EN.CITE &lt;EndNote&gt;&lt;Cite&gt;&lt;Author&gt;de Jonge&lt;/Author&gt;&lt;Year&gt;2004&lt;/Year&gt;&lt;RecNum&gt;62&lt;/RecNum&gt;&lt;DisplayText&gt;(de Jonge, Kjaergaard et al. 2004)&lt;/DisplayText&gt;&lt;record&gt;&lt;rec-number&gt;62&lt;/rec-number&gt;&lt;foreign-keys&gt;&lt;key app="EN" db-id="e0pf0dz95w2e2qesp0ev9tvwdse5fap0eprw" timestamp="1595342141"&gt;62&lt;/key&gt;&lt;key app="ENWeb" db-id=""&gt;0&lt;/key&gt;&lt;/foreign-keys&gt;&lt;ref-type name="Journal Article"&gt;17&lt;/ref-type&gt;&lt;contributors&gt;&lt;authors&gt;&lt;author&gt;de Jonge, L.W.&lt;/author&gt;&lt;author&gt;Kjaergaard, C.&lt;/author&gt;&lt;author&gt;Moldrup, P.&lt;/author&gt;&lt;/authors&gt;&lt;/contributors&gt;&lt;titles&gt;&lt;title&gt;Colloids and colloid-facilitated transport of contaminants in soils: an introduction&lt;/title&gt;&lt;secondary-title&gt;Vadose Zone Journal&lt;/secondary-title&gt;&lt;/titles&gt;&lt;periodical&gt;&lt;full-title&gt;Vadose Zone Journal&lt;/full-title&gt;&lt;/periodical&gt;&lt;pages&gt;321-325&lt;/pages&gt;&lt;volume&gt;3&lt;/volume&gt;&lt;dates&gt;&lt;year&gt;2004&lt;/year&gt;&lt;/dates&gt;&lt;urls&gt;&lt;/urls&gt;&lt;/record&gt;&lt;/Cite&gt;&lt;/EndNote&gt;</w:instrText>
      </w:r>
      <w:r w:rsidR="00150738" w:rsidRPr="00C85DC3">
        <w:rPr>
          <w:szCs w:val="24"/>
        </w:rPr>
        <w:fldChar w:fldCharType="separate"/>
      </w:r>
      <w:r w:rsidR="00150738" w:rsidRPr="00C85DC3">
        <w:rPr>
          <w:noProof/>
          <w:szCs w:val="24"/>
        </w:rPr>
        <w:t>(de Jonge, Kjaergaard et al. 2004)</w:t>
      </w:r>
      <w:r w:rsidR="00150738" w:rsidRPr="00C85DC3">
        <w:rPr>
          <w:szCs w:val="24"/>
        </w:rPr>
        <w:fldChar w:fldCharType="end"/>
      </w:r>
      <w:r w:rsidR="00D93F38" w:rsidRPr="00C85DC3">
        <w:rPr>
          <w:szCs w:val="24"/>
        </w:rPr>
        <w:t xml:space="preserve">. As </w:t>
      </w:r>
      <w:proofErr w:type="gramStart"/>
      <w:r w:rsidR="00D93F38" w:rsidRPr="00C85DC3">
        <w:rPr>
          <w:szCs w:val="24"/>
        </w:rPr>
        <w:t>all of</w:t>
      </w:r>
      <w:proofErr w:type="gramEnd"/>
      <w:r w:rsidR="00D93F38" w:rsidRPr="00C85DC3">
        <w:rPr>
          <w:szCs w:val="24"/>
        </w:rPr>
        <w:t xml:space="preserve"> these processes affect the </w:t>
      </w:r>
      <w:r w:rsidR="00094928" w:rsidRPr="00C85DC3">
        <w:rPr>
          <w:szCs w:val="24"/>
        </w:rPr>
        <w:t>speed</w:t>
      </w:r>
      <w:r w:rsidR="00D93F38" w:rsidRPr="00C85DC3">
        <w:rPr>
          <w:szCs w:val="24"/>
        </w:rPr>
        <w:t xml:space="preserve"> of P movement in soil, and they can affect the adsorption/desorption equilibrium determining a different distribution of P associated to soil particles in the soil column.</w:t>
      </w:r>
      <w:r w:rsidRPr="00C85DC3">
        <w:rPr>
          <w:szCs w:val="24"/>
        </w:rPr>
        <w:t xml:space="preserve"> </w:t>
      </w:r>
      <w:bookmarkEnd w:id="25"/>
      <w:r w:rsidRPr="00C85DC3">
        <w:rPr>
          <w:szCs w:val="24"/>
        </w:rPr>
        <w:t xml:space="preserve">Above the </w:t>
      </w:r>
      <w:r w:rsidR="00046530" w:rsidRPr="00C85DC3">
        <w:rPr>
          <w:szCs w:val="24"/>
        </w:rPr>
        <w:t>fertilizer</w:t>
      </w:r>
      <w:r w:rsidRPr="00C85DC3">
        <w:rPr>
          <w:szCs w:val="24"/>
        </w:rPr>
        <w:t xml:space="preserve"> pellet, the P concentration values are still above the limit of detection (LOD), however, no clear concentration trend is recorded. </w:t>
      </w:r>
      <w:bookmarkStart w:id="26" w:name="_Hlk47011251"/>
      <w:r w:rsidRPr="00C85DC3">
        <w:rPr>
          <w:szCs w:val="24"/>
        </w:rPr>
        <w:t>This is due to a higher variability between the three replicates, attributed to the lower soil homogeneity given by the presence of different sized particles in the system</w:t>
      </w:r>
      <w:r w:rsidR="00653C63" w:rsidRPr="00C85DC3">
        <w:rPr>
          <w:szCs w:val="24"/>
        </w:rPr>
        <w:t xml:space="preserve"> and to a lower control on the reproducibility of the soil column packing stage</w:t>
      </w:r>
      <w:r w:rsidRPr="00C85DC3">
        <w:rPr>
          <w:szCs w:val="24"/>
        </w:rPr>
        <w:t>.</w:t>
      </w:r>
      <w:bookmarkEnd w:id="26"/>
    </w:p>
    <w:p w14:paraId="1308B56A" w14:textId="4BE5FAC2" w:rsidR="00030EDB" w:rsidRPr="00C85DC3" w:rsidRDefault="00030EDB" w:rsidP="00030EDB">
      <w:pPr>
        <w:pStyle w:val="ParaText"/>
        <w:spacing w:line="480" w:lineRule="auto"/>
        <w:rPr>
          <w:szCs w:val="24"/>
        </w:rPr>
      </w:pPr>
      <w:r w:rsidRPr="00C85DC3">
        <w:rPr>
          <w:noProof/>
          <w:lang w:val="en-GB" w:eastAsia="en-GB"/>
        </w:rPr>
        <w:drawing>
          <wp:inline distT="0" distB="0" distL="0" distR="0" wp14:anchorId="0CCEDDD1" wp14:editId="757851E8">
            <wp:extent cx="5943600" cy="193769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3600" cy="1937698"/>
                    </a:xfrm>
                    <a:prstGeom prst="rect">
                      <a:avLst/>
                    </a:prstGeom>
                    <a:noFill/>
                    <a:ln>
                      <a:noFill/>
                    </a:ln>
                  </pic:spPr>
                </pic:pic>
              </a:graphicData>
            </a:graphic>
          </wp:inline>
        </w:drawing>
      </w:r>
    </w:p>
    <w:p w14:paraId="50D1D086" w14:textId="4F6F2FAE" w:rsidR="00030EDB" w:rsidRPr="00C85DC3" w:rsidRDefault="00030EDB" w:rsidP="005A729B">
      <w:pPr>
        <w:pStyle w:val="Caption"/>
        <w:spacing w:after="0" w:line="480" w:lineRule="auto"/>
        <w:jc w:val="center"/>
        <w:rPr>
          <w:rFonts w:ascii="Times New Roman" w:hAnsi="Times New Roman" w:cs="Times New Roman"/>
          <w:i w:val="0"/>
          <w:iCs w:val="0"/>
          <w:color w:val="auto"/>
          <w:sz w:val="22"/>
          <w:szCs w:val="22"/>
        </w:rPr>
      </w:pPr>
      <w:r w:rsidRPr="00C85DC3">
        <w:rPr>
          <w:rFonts w:ascii="Times New Roman" w:hAnsi="Times New Roman" w:cs="Times New Roman"/>
          <w:i w:val="0"/>
          <w:iCs w:val="0"/>
          <w:color w:val="auto"/>
          <w:sz w:val="22"/>
          <w:szCs w:val="22"/>
        </w:rPr>
        <w:t>Figure 2</w:t>
      </w:r>
      <w:r w:rsidR="005A729B" w:rsidRPr="00C85DC3">
        <w:rPr>
          <w:rFonts w:ascii="Times New Roman" w:hAnsi="Times New Roman" w:cs="Times New Roman"/>
          <w:b/>
          <w:bCs/>
          <w:i w:val="0"/>
          <w:iCs w:val="0"/>
          <w:color w:val="auto"/>
          <w:sz w:val="22"/>
          <w:szCs w:val="22"/>
        </w:rPr>
        <w:t>.</w:t>
      </w:r>
      <w:r w:rsidRPr="00C85DC3">
        <w:rPr>
          <w:rFonts w:ascii="Times New Roman" w:hAnsi="Times New Roman" w:cs="Times New Roman"/>
          <w:b/>
          <w:bCs/>
          <w:i w:val="0"/>
          <w:iCs w:val="0"/>
          <w:color w:val="auto"/>
          <w:sz w:val="22"/>
          <w:szCs w:val="22"/>
        </w:rPr>
        <w:t xml:space="preserve"> </w:t>
      </w:r>
      <w:r w:rsidRPr="00C85DC3">
        <w:rPr>
          <w:rFonts w:ascii="Times New Roman" w:hAnsi="Times New Roman" w:cs="Times New Roman"/>
          <w:i w:val="0"/>
          <w:iCs w:val="0"/>
          <w:color w:val="auto"/>
          <w:sz w:val="22"/>
          <w:szCs w:val="22"/>
        </w:rPr>
        <w:t>Microdialysis results for (a) coarse soil (1.18&lt;d&lt;2 mm) and (b) fine soil (d&lt;2mm). Average and standard deviation are shown for each probe.  (c) Schematic of the setup. Probe 1 (grey) is positioned 0.5 cm above the pellet, probes 2 (red) and probe 3 (blue) are positioned below the pellet, at 1.5 cm and 3 cm distance from it, respectively</w:t>
      </w:r>
    </w:p>
    <w:p w14:paraId="268BC197" w14:textId="0FEA05F7" w:rsidR="00030EDB" w:rsidRPr="00C85DC3" w:rsidRDefault="005A729B" w:rsidP="00030EDB">
      <w:pPr>
        <w:pStyle w:val="H3"/>
        <w:spacing w:line="480" w:lineRule="auto"/>
        <w:rPr>
          <w:szCs w:val="24"/>
        </w:rPr>
      </w:pPr>
      <w:r w:rsidRPr="00C85DC3">
        <w:rPr>
          <w:szCs w:val="24"/>
        </w:rPr>
        <w:lastRenderedPageBreak/>
        <w:t>Total P concentration profile</w:t>
      </w:r>
    </w:p>
    <w:p w14:paraId="26775D23" w14:textId="3BCC027E" w:rsidR="005A729B" w:rsidRPr="00C85DC3" w:rsidRDefault="005A729B" w:rsidP="005A729B">
      <w:pPr>
        <w:pStyle w:val="ParaText"/>
        <w:spacing w:line="480" w:lineRule="auto"/>
        <w:rPr>
          <w:szCs w:val="24"/>
        </w:rPr>
      </w:pPr>
      <w:r w:rsidRPr="00C85DC3">
        <w:rPr>
          <w:szCs w:val="24"/>
        </w:rPr>
        <w:t xml:space="preserve">Total P concentrations in both soil types were recorded at the end of the experiment by total soil digestion followed by ICP-MS analysis. </w:t>
      </w:r>
      <w:r w:rsidR="009F5288" w:rsidRPr="00C85DC3">
        <w:rPr>
          <w:szCs w:val="24"/>
        </w:rPr>
        <w:t>Total P concentrations expressed as mass by mass ppm (</w:t>
      </w:r>
      <w:proofErr w:type="spellStart"/>
      <w:r w:rsidR="009F5288" w:rsidRPr="00C85DC3">
        <w:rPr>
          <w:szCs w:val="24"/>
        </w:rPr>
        <w:t>μg</w:t>
      </w:r>
      <w:proofErr w:type="spellEnd"/>
      <w:r w:rsidR="009F5288" w:rsidRPr="00C85DC3">
        <w:rPr>
          <w:szCs w:val="24"/>
        </w:rPr>
        <w:t>(P)/g(soil)) per each layer in coarse and fine soil are shown in Figure 3</w:t>
      </w:r>
      <w:r w:rsidRPr="00C85DC3">
        <w:rPr>
          <w:szCs w:val="24"/>
        </w:rPr>
        <w:t xml:space="preserve">. The TSP pellet is located 1.5–2 cm from the top of the soil column, and its presence is evidenced by a spike of P concentration in both soil types. P concentrations above the pellet are consistently lower than below the pellet in both soil types, confirming the trend observed in soil solution and demonstrating the overall effect of gravity on P distribution. In coarse soil, P movement is promoted in both upward and downward directions from the pellet, producing higher concentrations in all the layers and lower concentration in the pellet layer compared to fine soil. On the other hand, fine soil impedes the movement causing more P to be trapped in the pellet layer and causing decreasing concentrations at increasing distances from the pellet. </w:t>
      </w:r>
    </w:p>
    <w:p w14:paraId="5A8E729B" w14:textId="1C886881" w:rsidR="00030EDB" w:rsidRPr="00C85DC3" w:rsidRDefault="005A729B" w:rsidP="005A729B">
      <w:pPr>
        <w:pStyle w:val="ParaText"/>
        <w:spacing w:line="480" w:lineRule="auto"/>
        <w:rPr>
          <w:szCs w:val="24"/>
        </w:rPr>
      </w:pPr>
      <w:r w:rsidRPr="00C85DC3">
        <w:rPr>
          <w:szCs w:val="24"/>
        </w:rPr>
        <w:t xml:space="preserve">Overall, experimental data show faster diffusion of P from the </w:t>
      </w:r>
      <w:r w:rsidR="00046530" w:rsidRPr="00C85DC3">
        <w:rPr>
          <w:szCs w:val="24"/>
        </w:rPr>
        <w:t>fertilizer</w:t>
      </w:r>
      <w:r w:rsidRPr="00C85DC3">
        <w:rPr>
          <w:szCs w:val="24"/>
        </w:rPr>
        <w:t xml:space="preserve"> pellet to bulk soil, faster pulse movement, and a more homogeneous distribution of P over the soil column in the coarse case compared to the fine one. </w:t>
      </w:r>
      <w:bookmarkStart w:id="27" w:name="_Hlk47009751"/>
      <w:r w:rsidR="00A11289" w:rsidRPr="00C85DC3">
        <w:rPr>
          <w:szCs w:val="24"/>
        </w:rPr>
        <w:t>This experiment showed that, among all the complex processes regulating P mobility in soil, a f</w:t>
      </w:r>
      <w:r w:rsidRPr="00C85DC3">
        <w:rPr>
          <w:szCs w:val="24"/>
        </w:rPr>
        <w:t>ine</w:t>
      </w:r>
      <w:r w:rsidR="00A11289" w:rsidRPr="00C85DC3">
        <w:rPr>
          <w:szCs w:val="24"/>
        </w:rPr>
        <w:t>r</w:t>
      </w:r>
      <w:r w:rsidRPr="00C85DC3">
        <w:rPr>
          <w:szCs w:val="24"/>
        </w:rPr>
        <w:t xml:space="preserve"> soil particles</w:t>
      </w:r>
      <w:r w:rsidR="00A11289" w:rsidRPr="00C85DC3">
        <w:rPr>
          <w:szCs w:val="24"/>
        </w:rPr>
        <w:t xml:space="preserve"> size distribution contributes to actively</w:t>
      </w:r>
      <w:r w:rsidRPr="00C85DC3">
        <w:rPr>
          <w:szCs w:val="24"/>
        </w:rPr>
        <w:t xml:space="preserve"> slow down the pulse, </w:t>
      </w:r>
      <w:bookmarkEnd w:id="27"/>
      <w:r w:rsidRPr="00C85DC3">
        <w:rPr>
          <w:szCs w:val="24"/>
        </w:rPr>
        <w:t xml:space="preserve">and a decreasing P concentration trend in soil at the end of the experiment is also observed with increasing distance from the P source.  </w:t>
      </w:r>
    </w:p>
    <w:p w14:paraId="428B0EF1" w14:textId="2A7CDFEC" w:rsidR="005A729B" w:rsidRPr="00C85DC3" w:rsidRDefault="005A729B" w:rsidP="005A729B">
      <w:pPr>
        <w:pStyle w:val="ParaText"/>
        <w:spacing w:line="480" w:lineRule="auto"/>
        <w:jc w:val="center"/>
        <w:rPr>
          <w:szCs w:val="24"/>
        </w:rPr>
      </w:pPr>
      <w:r w:rsidRPr="00C85DC3">
        <w:rPr>
          <w:noProof/>
          <w:lang w:val="en-GB" w:eastAsia="en-GB"/>
        </w:rPr>
        <w:lastRenderedPageBreak/>
        <w:drawing>
          <wp:inline distT="0" distB="0" distL="0" distR="0" wp14:anchorId="582AC69B" wp14:editId="7C120C1A">
            <wp:extent cx="3033768" cy="252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33768"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13A72D17" w14:textId="31183FED" w:rsidR="005A729B" w:rsidRPr="00C85DC3" w:rsidRDefault="005A729B" w:rsidP="005A729B">
      <w:pPr>
        <w:spacing w:after="0" w:line="480" w:lineRule="auto"/>
        <w:jc w:val="center"/>
        <w:rPr>
          <w:rFonts w:ascii="Times New Roman" w:hAnsi="Times New Roman" w:cs="Times New Roman"/>
          <w:iCs/>
        </w:rPr>
      </w:pPr>
      <w:r w:rsidRPr="00C85DC3">
        <w:rPr>
          <w:rFonts w:ascii="Times New Roman" w:hAnsi="Times New Roman" w:cs="Times New Roman"/>
          <w:bCs/>
        </w:rPr>
        <w:t>Figure 3.</w:t>
      </w:r>
      <w:r w:rsidRPr="00C85DC3">
        <w:rPr>
          <w:rFonts w:ascii="Times New Roman" w:hAnsi="Times New Roman" w:cs="Times New Roman"/>
          <w:b/>
        </w:rPr>
        <w:t xml:space="preserve"> </w:t>
      </w:r>
      <w:r w:rsidRPr="00C85DC3">
        <w:rPr>
          <w:rFonts w:ascii="Times New Roman" w:hAnsi="Times New Roman" w:cs="Times New Roman"/>
          <w:bCs/>
        </w:rPr>
        <w:t xml:space="preserve">Total </w:t>
      </w:r>
      <w:r w:rsidRPr="00C85DC3">
        <w:rPr>
          <w:rFonts w:ascii="Times New Roman" w:hAnsi="Times New Roman" w:cs="Times New Roman"/>
        </w:rPr>
        <w:t xml:space="preserve">P concentration profiles in the soil columns at the end of the experiment, measured by soil digestion. Fine soil is sieved below 2 mm, coarse soil between 1.18 </w:t>
      </w:r>
      <w:r w:rsidR="005F69AE" w:rsidRPr="00C85DC3">
        <w:rPr>
          <w:rFonts w:ascii="Times New Roman" w:hAnsi="Times New Roman" w:cs="Times New Roman"/>
        </w:rPr>
        <w:t xml:space="preserve">mm </w:t>
      </w:r>
      <w:r w:rsidRPr="00C85DC3">
        <w:rPr>
          <w:rFonts w:ascii="Times New Roman" w:hAnsi="Times New Roman" w:cs="Times New Roman"/>
        </w:rPr>
        <w:t>and 2 mm. Errors are reported as standard deviations over three replicates</w:t>
      </w:r>
    </w:p>
    <w:p w14:paraId="08A107B1" w14:textId="565E2370" w:rsidR="00030EDB" w:rsidRPr="00C85DC3" w:rsidRDefault="005A729B" w:rsidP="00030EDB">
      <w:pPr>
        <w:pStyle w:val="H3"/>
        <w:spacing w:line="480" w:lineRule="auto"/>
        <w:rPr>
          <w:szCs w:val="24"/>
        </w:rPr>
      </w:pPr>
      <w:r w:rsidRPr="00C85DC3">
        <w:rPr>
          <w:szCs w:val="24"/>
        </w:rPr>
        <w:t xml:space="preserve">Modeling of P movement pattern in coarse soil </w:t>
      </w:r>
    </w:p>
    <w:p w14:paraId="28D6F9D4" w14:textId="48CDF4E9" w:rsidR="005A729B" w:rsidRPr="00C85DC3" w:rsidRDefault="005A729B" w:rsidP="005A729B">
      <w:pPr>
        <w:pStyle w:val="ParaText"/>
        <w:spacing w:line="480" w:lineRule="auto"/>
        <w:rPr>
          <w:szCs w:val="24"/>
        </w:rPr>
      </w:pPr>
      <w:r w:rsidRPr="00C85DC3">
        <w:rPr>
          <w:szCs w:val="24"/>
        </w:rPr>
        <w:t xml:space="preserve">Data for the coarse soil (Figure 2a), show high initial concentrations (i.e. after the first two hours) for both the probes positioned below the pellet. After the first 8 hours, a steady diffusion pattern can be observed for these two probes. This suggests that the concentration pulse emanated by the </w:t>
      </w:r>
      <w:r w:rsidR="00046530" w:rsidRPr="00C85DC3">
        <w:rPr>
          <w:szCs w:val="24"/>
        </w:rPr>
        <w:t>fertilizer</w:t>
      </w:r>
      <w:r w:rsidRPr="00C85DC3">
        <w:rPr>
          <w:szCs w:val="24"/>
        </w:rPr>
        <w:t xml:space="preserve"> pellet disperses down the column and settles into a certain distribution, early in the experiment. We estimated the parameters D, β</w:t>
      </w:r>
      <w:r w:rsidRPr="00C85DC3">
        <w:rPr>
          <w:szCs w:val="24"/>
          <w:vertAlign w:val="subscript"/>
        </w:rPr>
        <w:t>1</w:t>
      </w:r>
      <w:r w:rsidRPr="00C85DC3">
        <w:rPr>
          <w:szCs w:val="24"/>
        </w:rPr>
        <w:t xml:space="preserve"> and β</w:t>
      </w:r>
      <w:r w:rsidRPr="00C85DC3">
        <w:rPr>
          <w:szCs w:val="24"/>
          <w:vertAlign w:val="subscript"/>
        </w:rPr>
        <w:t>2</w:t>
      </w:r>
      <w:r w:rsidRPr="00C85DC3">
        <w:rPr>
          <w:szCs w:val="24"/>
        </w:rPr>
        <w:t xml:space="preserve"> by fitting the data recorded after 8 hours from the start of the experiment.</w:t>
      </w:r>
      <w:r w:rsidR="00071837" w:rsidRPr="00C85DC3">
        <w:rPr>
          <w:szCs w:val="24"/>
        </w:rPr>
        <w:t xml:space="preserve"> </w:t>
      </w:r>
      <w:r w:rsidRPr="00C85DC3">
        <w:rPr>
          <w:szCs w:val="24"/>
        </w:rPr>
        <w:t>We used an effective continuous initial distribution that would best explain the eventual distributions observed in the data. Running iterations of the model using values close to the estimated values of the parameters given in</w:t>
      </w:r>
      <w:r w:rsidR="00F86147" w:rsidRPr="00C85DC3">
        <w:rPr>
          <w:szCs w:val="24"/>
        </w:rPr>
        <w:t xml:space="preserve"> </w:t>
      </w:r>
      <w:r w:rsidR="00F86147" w:rsidRPr="00C85DC3">
        <w:rPr>
          <w:szCs w:val="24"/>
        </w:rPr>
        <w:fldChar w:fldCharType="begin"/>
      </w:r>
      <w:r w:rsidR="002A1395" w:rsidRPr="00C85DC3">
        <w:rPr>
          <w:szCs w:val="24"/>
        </w:rPr>
        <w:instrText xml:space="preserve"> ADDIN EN.CITE &lt;EndNote&gt;&lt;Cite&gt;&lt;Author&gt;McKay Fletcher&lt;/Author&gt;&lt;Year&gt;2019&lt;/Year&gt;&lt;RecNum&gt;46&lt;/RecNum&gt;&lt;DisplayText&gt;(McKay Fletcher, Shaw et al. 2019)&lt;/DisplayText&gt;&lt;record&gt;&lt;rec-number&gt;46&lt;/rec-number&gt;&lt;foreign-keys&gt;&lt;key app="EN" db-id="e0pf0dz95w2e2qesp0ev9tvwdse5fap0eprw" timestamp="1588585869"&gt;46&lt;/key&gt;&lt;/foreign-keys&gt;&lt;ref-type name="Journal Article"&gt;17&lt;/ref-type&gt;&lt;contributors&gt;&lt;authors&gt;&lt;author&gt;McKay Fletcher, DM&lt;/author&gt;&lt;author&gt;Shaw, R&lt;/author&gt;&lt;author&gt;Sánchez-Rodríguez, AR&lt;/author&gt;&lt;author&gt;Daly, KR&lt;/author&gt;&lt;author&gt;Van Veelen, A&lt;/author&gt;&lt;author&gt;Jones, DL&lt;/author&gt;&lt;author&gt;Roose, T&lt;/author&gt;&lt;/authors&gt;&lt;/contributors&gt;&lt;titles&gt;&lt;title&gt;Quantifying citrate-enhanced phosphate root uptake using microdialysis&lt;/title&gt;&lt;secondary-title&gt;Plant and Soil&lt;/secondary-title&gt;&lt;/titles&gt;&lt;periodical&gt;&lt;full-title&gt;Plant and Soil&lt;/full-title&gt;&lt;/periodical&gt;&lt;pages&gt;1-21&lt;/pages&gt;&lt;dates&gt;&lt;year&gt;2019&lt;/year&gt;&lt;/dates&gt;&lt;isbn&gt;0032-079X&lt;/isbn&gt;&lt;urls&gt;&lt;/urls&gt;&lt;/record&gt;&lt;/Cite&gt;&lt;/EndNote&gt;</w:instrText>
      </w:r>
      <w:r w:rsidR="00F86147" w:rsidRPr="00C85DC3">
        <w:rPr>
          <w:szCs w:val="24"/>
        </w:rPr>
        <w:fldChar w:fldCharType="separate"/>
      </w:r>
      <w:r w:rsidR="000E3868" w:rsidRPr="00C85DC3">
        <w:rPr>
          <w:noProof/>
          <w:szCs w:val="24"/>
        </w:rPr>
        <w:t>(McKay Fletcher, Shaw et al. 2019)</w:t>
      </w:r>
      <w:r w:rsidR="00F86147" w:rsidRPr="00C85DC3">
        <w:rPr>
          <w:szCs w:val="24"/>
        </w:rPr>
        <w:fldChar w:fldCharType="end"/>
      </w:r>
      <w:r w:rsidRPr="00C85DC3">
        <w:rPr>
          <w:szCs w:val="24"/>
        </w:rPr>
        <w:t xml:space="preserve">, we noticed that the initial profile of P concentrations in soil solution is reflected in the final profile of total P concentration, which is mainly determined by P adsorbed onto soil particles, suggesting that adsorption occurs at a higher rate than diffusion. Based on the </w:t>
      </w:r>
      <w:r w:rsidRPr="00C85DC3">
        <w:rPr>
          <w:szCs w:val="24"/>
        </w:rPr>
        <w:lastRenderedPageBreak/>
        <w:t xml:space="preserve">soil digestion data (total P concentrations) we assumed a Gaussian profile for the initial concentration of dissolved P, with its peak value </w:t>
      </w:r>
      <w:proofErr w:type="spellStart"/>
      <w:r w:rsidRPr="00C85DC3">
        <w:rPr>
          <w:szCs w:val="24"/>
        </w:rPr>
        <w:t>c</w:t>
      </w:r>
      <w:r w:rsidRPr="00C85DC3">
        <w:rPr>
          <w:szCs w:val="24"/>
          <w:vertAlign w:val="subscript"/>
        </w:rPr>
        <w:t>pulse</w:t>
      </w:r>
      <w:proofErr w:type="spellEnd"/>
      <w:r w:rsidRPr="00C85DC3">
        <w:rPr>
          <w:szCs w:val="24"/>
        </w:rPr>
        <w:t xml:space="preserve"> at the initial position of the pellet, and variances a</w:t>
      </w:r>
      <w:r w:rsidRPr="00C85DC3">
        <w:rPr>
          <w:szCs w:val="24"/>
          <w:vertAlign w:val="superscript"/>
        </w:rPr>
        <w:t>2</w:t>
      </w:r>
      <w:r w:rsidRPr="00C85DC3">
        <w:rPr>
          <w:szCs w:val="24"/>
        </w:rPr>
        <w:t xml:space="preserve"> above the pellet and b</w:t>
      </w:r>
      <w:r w:rsidRPr="00C85DC3">
        <w:rPr>
          <w:szCs w:val="24"/>
          <w:vertAlign w:val="superscript"/>
        </w:rPr>
        <w:t>2</w:t>
      </w:r>
      <w:r w:rsidRPr="00C85DC3">
        <w:rPr>
          <w:szCs w:val="24"/>
        </w:rPr>
        <w:t xml:space="preserve"> below the pellet till a depth 27.5 mm. Below this, we assumed a constant uniform profile for the initial concentration of dissolved P through to the bottom. The parameters </w:t>
      </w:r>
      <w:proofErr w:type="spellStart"/>
      <w:r w:rsidR="00F86147" w:rsidRPr="00C85DC3">
        <w:rPr>
          <w:szCs w:val="24"/>
        </w:rPr>
        <w:t>c</w:t>
      </w:r>
      <w:r w:rsidR="00F86147" w:rsidRPr="00C85DC3">
        <w:rPr>
          <w:szCs w:val="24"/>
          <w:vertAlign w:val="subscript"/>
        </w:rPr>
        <w:t>pulse</w:t>
      </w:r>
      <w:proofErr w:type="spellEnd"/>
      <w:r w:rsidRPr="00C85DC3">
        <w:rPr>
          <w:szCs w:val="24"/>
        </w:rPr>
        <w:t xml:space="preserve">, a and b are also determined by the </w:t>
      </w:r>
      <w:r w:rsidR="00046530" w:rsidRPr="00C85DC3">
        <w:rPr>
          <w:szCs w:val="24"/>
        </w:rPr>
        <w:t>optimization</w:t>
      </w:r>
      <w:r w:rsidRPr="00C85DC3">
        <w:rPr>
          <w:szCs w:val="24"/>
        </w:rPr>
        <w:t xml:space="preserve"> of the function R as defined in equation (5). The initial distribution of the concentration of adsorbed P, that </w:t>
      </w:r>
      <w:proofErr w:type="gramStart"/>
      <w:r w:rsidRPr="00C85DC3">
        <w:rPr>
          <w:szCs w:val="24"/>
        </w:rPr>
        <w:t>is  c</w:t>
      </w:r>
      <w:r w:rsidRPr="00C85DC3">
        <w:rPr>
          <w:szCs w:val="24"/>
          <w:vertAlign w:val="subscript"/>
        </w:rPr>
        <w:t>ad</w:t>
      </w:r>
      <w:proofErr w:type="gramEnd"/>
      <w:r w:rsidRPr="00C85DC3">
        <w:rPr>
          <w:szCs w:val="24"/>
        </w:rPr>
        <w:t xml:space="preserve"> (z,0), is taken to be a uniform pre-</w:t>
      </w:r>
      <w:r w:rsidR="00046530" w:rsidRPr="00C85DC3">
        <w:rPr>
          <w:szCs w:val="24"/>
        </w:rPr>
        <w:t>fertilization</w:t>
      </w:r>
      <w:r w:rsidRPr="00C85DC3">
        <w:rPr>
          <w:szCs w:val="24"/>
        </w:rPr>
        <w:t xml:space="preserve"> equilibrium value. The expressions for </w:t>
      </w:r>
      <w:proofErr w:type="spellStart"/>
      <w:r w:rsidRPr="00C85DC3">
        <w:rPr>
          <w:szCs w:val="24"/>
        </w:rPr>
        <w:t>c</w:t>
      </w:r>
      <w:r w:rsidRPr="00C85DC3">
        <w:rPr>
          <w:szCs w:val="24"/>
          <w:vertAlign w:val="subscript"/>
        </w:rPr>
        <w:t>sol</w:t>
      </w:r>
      <w:proofErr w:type="spellEnd"/>
      <w:r w:rsidRPr="00C85DC3">
        <w:rPr>
          <w:szCs w:val="24"/>
        </w:rPr>
        <w:t xml:space="preserve"> (z,0) and c</w:t>
      </w:r>
      <w:r w:rsidRPr="00C85DC3">
        <w:rPr>
          <w:szCs w:val="24"/>
          <w:vertAlign w:val="subscript"/>
        </w:rPr>
        <w:t>ad</w:t>
      </w:r>
      <w:r w:rsidRPr="00C85DC3">
        <w:rPr>
          <w:szCs w:val="24"/>
        </w:rPr>
        <w:t xml:space="preserve"> (z,0) are provided in equations (S1) and (S2) in </w:t>
      </w:r>
      <w:r w:rsidR="00E51745" w:rsidRPr="00C85DC3">
        <w:rPr>
          <w:szCs w:val="24"/>
        </w:rPr>
        <w:t>Supplementary Material</w:t>
      </w:r>
      <w:r w:rsidRPr="00C85DC3">
        <w:rPr>
          <w:szCs w:val="24"/>
        </w:rPr>
        <w:t xml:space="preserve">. The initial distribution profile of dissolved P is shown in </w:t>
      </w:r>
      <w:r w:rsidR="00E51745" w:rsidRPr="00C85DC3">
        <w:rPr>
          <w:szCs w:val="24"/>
        </w:rPr>
        <w:t>Supplementary Material</w:t>
      </w:r>
      <w:r w:rsidRPr="00C85DC3">
        <w:rPr>
          <w:szCs w:val="24"/>
        </w:rPr>
        <w:t xml:space="preserve"> (Figure S</w:t>
      </w:r>
      <w:r w:rsidR="001D6DA5" w:rsidRPr="00C85DC3">
        <w:rPr>
          <w:szCs w:val="24"/>
        </w:rPr>
        <w:t>7</w:t>
      </w:r>
      <w:r w:rsidRPr="00C85DC3">
        <w:rPr>
          <w:szCs w:val="24"/>
        </w:rPr>
        <w:t xml:space="preserve">) where the estimated values of </w:t>
      </w:r>
      <w:proofErr w:type="spellStart"/>
      <w:r w:rsidR="00F86147" w:rsidRPr="00C85DC3">
        <w:rPr>
          <w:szCs w:val="24"/>
        </w:rPr>
        <w:t>c</w:t>
      </w:r>
      <w:r w:rsidR="00F86147" w:rsidRPr="00C85DC3">
        <w:rPr>
          <w:szCs w:val="24"/>
          <w:vertAlign w:val="subscript"/>
        </w:rPr>
        <w:t>pulse</w:t>
      </w:r>
      <w:proofErr w:type="spellEnd"/>
      <w:r w:rsidRPr="00C85DC3">
        <w:rPr>
          <w:szCs w:val="24"/>
        </w:rPr>
        <w:t xml:space="preserve">, a and b have been used. </w:t>
      </w:r>
    </w:p>
    <w:p w14:paraId="71E0FD05" w14:textId="3B1BE9A9" w:rsidR="005A729B" w:rsidRPr="00C85DC3" w:rsidRDefault="005A729B" w:rsidP="005A729B">
      <w:pPr>
        <w:pStyle w:val="ParaText"/>
        <w:spacing w:line="480" w:lineRule="auto"/>
        <w:rPr>
          <w:szCs w:val="24"/>
        </w:rPr>
      </w:pPr>
      <w:r w:rsidRPr="00C85DC3">
        <w:rPr>
          <w:szCs w:val="24"/>
        </w:rPr>
        <w:t>Table 1 shows the estimated values of the model parameters along with the corresponding initial values used to initiali</w:t>
      </w:r>
      <w:r w:rsidR="00046530" w:rsidRPr="00C85DC3">
        <w:rPr>
          <w:szCs w:val="24"/>
        </w:rPr>
        <w:t>z</w:t>
      </w:r>
      <w:r w:rsidRPr="00C85DC3">
        <w:rPr>
          <w:szCs w:val="24"/>
        </w:rPr>
        <w:t xml:space="preserve">e the </w:t>
      </w:r>
      <w:r w:rsidR="00046530" w:rsidRPr="00C85DC3">
        <w:rPr>
          <w:szCs w:val="24"/>
        </w:rPr>
        <w:t>optimization</w:t>
      </w:r>
      <w:r w:rsidRPr="00C85DC3">
        <w:rPr>
          <w:szCs w:val="24"/>
        </w:rPr>
        <w:t xml:space="preserve"> algorithm. </w:t>
      </w:r>
    </w:p>
    <w:p w14:paraId="331F6F19" w14:textId="1F24D3B3" w:rsidR="005A729B" w:rsidRPr="00C85DC3" w:rsidRDefault="005A729B" w:rsidP="005A729B">
      <w:pPr>
        <w:pStyle w:val="TableTitle"/>
        <w:spacing w:line="480" w:lineRule="auto"/>
        <w:rPr>
          <w:b w:val="0"/>
          <w:bCs/>
          <w:sz w:val="24"/>
          <w:szCs w:val="24"/>
        </w:rPr>
      </w:pPr>
      <w:r w:rsidRPr="00C85DC3">
        <w:rPr>
          <w:b w:val="0"/>
          <w:bCs/>
          <w:sz w:val="24"/>
          <w:szCs w:val="24"/>
        </w:rPr>
        <w:t xml:space="preserve">Table 1. Initial values of </w:t>
      </w:r>
      <w:r w:rsidR="00046530" w:rsidRPr="00C85DC3">
        <w:rPr>
          <w:b w:val="0"/>
          <w:bCs/>
          <w:sz w:val="24"/>
          <w:szCs w:val="24"/>
        </w:rPr>
        <w:t>optimization</w:t>
      </w:r>
      <w:r w:rsidRPr="00C85DC3">
        <w:rPr>
          <w:b w:val="0"/>
          <w:bCs/>
          <w:sz w:val="24"/>
          <w:szCs w:val="24"/>
        </w:rPr>
        <w:t xml:space="preserve"> parameters</w:t>
      </w:r>
    </w:p>
    <w:tbl>
      <w:tblPr>
        <w:tblW w:w="9493" w:type="dxa"/>
        <w:tblCellMar>
          <w:left w:w="10" w:type="dxa"/>
          <w:right w:w="10" w:type="dxa"/>
        </w:tblCellMar>
        <w:tblLook w:val="0000" w:firstRow="0" w:lastRow="0" w:firstColumn="0" w:lastColumn="0" w:noHBand="0" w:noVBand="0"/>
      </w:tblPr>
      <w:tblGrid>
        <w:gridCol w:w="1164"/>
        <w:gridCol w:w="3793"/>
        <w:gridCol w:w="1701"/>
        <w:gridCol w:w="1559"/>
        <w:gridCol w:w="1276"/>
      </w:tblGrid>
      <w:tr w:rsidR="005A729B" w:rsidRPr="00C85DC3" w14:paraId="06FEC8D5" w14:textId="77777777" w:rsidTr="00F4462A">
        <w:tc>
          <w:tcPr>
            <w:tcW w:w="11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83310" w14:textId="77777777" w:rsidR="005A729B" w:rsidRPr="00C85DC3" w:rsidRDefault="005A729B" w:rsidP="00F4462A">
            <w:pPr>
              <w:spacing w:after="0" w:line="240" w:lineRule="auto"/>
              <w:jc w:val="both"/>
            </w:pPr>
            <w:r w:rsidRPr="00C85DC3">
              <w:t>Parameter</w:t>
            </w:r>
          </w:p>
        </w:tc>
        <w:tc>
          <w:tcPr>
            <w:tcW w:w="3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BCFDE" w14:textId="77777777" w:rsidR="005A729B" w:rsidRPr="00C85DC3" w:rsidRDefault="005A729B" w:rsidP="00F4462A">
            <w:pPr>
              <w:spacing w:after="0" w:line="240" w:lineRule="auto"/>
              <w:jc w:val="both"/>
            </w:pPr>
            <w:r w:rsidRPr="00C85DC3">
              <w:t>Description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25696" w14:textId="77777777" w:rsidR="005A729B" w:rsidRPr="00C85DC3" w:rsidRDefault="005A729B" w:rsidP="00F4462A">
            <w:pPr>
              <w:spacing w:after="0" w:line="240" w:lineRule="auto"/>
              <w:jc w:val="both"/>
            </w:pPr>
            <w:r w:rsidRPr="00C85DC3">
              <w:t>Initial guess</w:t>
            </w:r>
          </w:p>
        </w:tc>
        <w:tc>
          <w:tcPr>
            <w:tcW w:w="1559" w:type="dxa"/>
            <w:tcBorders>
              <w:top w:val="single" w:sz="4" w:space="0" w:color="000000"/>
              <w:left w:val="single" w:sz="4" w:space="0" w:color="000000"/>
              <w:bottom w:val="single" w:sz="4" w:space="0" w:color="000000"/>
              <w:right w:val="single" w:sz="4" w:space="0" w:color="000000"/>
            </w:tcBorders>
          </w:tcPr>
          <w:p w14:paraId="4110714A" w14:textId="77777777" w:rsidR="005A729B" w:rsidRPr="00C85DC3" w:rsidRDefault="005A729B" w:rsidP="00F4462A">
            <w:pPr>
              <w:spacing w:after="0" w:line="240" w:lineRule="auto"/>
              <w:jc w:val="both"/>
            </w:pPr>
            <w:r w:rsidRPr="00C85DC3">
              <w:t>Estimated value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6F196" w14:textId="77777777" w:rsidR="005A729B" w:rsidRPr="00C85DC3" w:rsidRDefault="005A729B" w:rsidP="00F4462A">
            <w:pPr>
              <w:spacing w:after="0" w:line="240" w:lineRule="auto"/>
              <w:jc w:val="both"/>
            </w:pPr>
            <w:r w:rsidRPr="00C85DC3">
              <w:t>Units</w:t>
            </w:r>
          </w:p>
        </w:tc>
      </w:tr>
      <w:tr w:rsidR="005A729B" w:rsidRPr="00C85DC3" w14:paraId="7C52B155" w14:textId="77777777" w:rsidTr="00F4462A">
        <w:tc>
          <w:tcPr>
            <w:tcW w:w="11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B55D6" w14:textId="77777777" w:rsidR="005A729B" w:rsidRPr="00C85DC3" w:rsidRDefault="005A729B" w:rsidP="00F4462A">
            <w:pPr>
              <w:spacing w:after="0" w:line="240" w:lineRule="auto"/>
              <w:jc w:val="both"/>
            </w:pPr>
            <m:oMathPara>
              <m:oMathParaPr>
                <m:jc m:val="center"/>
              </m:oMathParaPr>
              <m:oMath>
                <m:r>
                  <w:rPr>
                    <w:rFonts w:ascii="Cambria Math" w:hAnsi="Cambria Math"/>
                  </w:rPr>
                  <m:t>D</m:t>
                </m:r>
              </m:oMath>
            </m:oMathPara>
          </w:p>
        </w:tc>
        <w:tc>
          <w:tcPr>
            <w:tcW w:w="3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C8F75D" w14:textId="77777777" w:rsidR="005A729B" w:rsidRPr="00C85DC3" w:rsidRDefault="005A729B" w:rsidP="00F4462A">
            <w:pPr>
              <w:spacing w:after="0" w:line="240" w:lineRule="auto"/>
              <w:jc w:val="both"/>
            </w:pPr>
            <w:r w:rsidRPr="00C85DC3">
              <w:t>Diffusion rate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6981C" w14:textId="77777777" w:rsidR="005A729B" w:rsidRPr="00C85DC3" w:rsidRDefault="005A729B" w:rsidP="00F4462A">
            <w:pPr>
              <w:spacing w:after="0" w:line="240" w:lineRule="auto"/>
              <w:jc w:val="center"/>
            </w:pPr>
            <m:oMathPara>
              <m:oMathParaPr>
                <m:jc m:val="center"/>
              </m:oMathParaPr>
              <m:oMath>
                <m:r>
                  <w:rPr>
                    <w:rFonts w:ascii="Cambria Math" w:hAnsi="Cambria Math"/>
                  </w:rPr>
                  <m:t>1.9×</m:t>
                </m:r>
                <m:sSup>
                  <m:sSupPr>
                    <m:ctrlPr>
                      <w:rPr>
                        <w:rFonts w:ascii="Cambria Math" w:hAnsi="Cambria Math"/>
                      </w:rPr>
                    </m:ctrlPr>
                  </m:sSupPr>
                  <m:e>
                    <m:r>
                      <w:rPr>
                        <w:rFonts w:ascii="Cambria Math" w:hAnsi="Cambria Math"/>
                      </w:rPr>
                      <m:t>10</m:t>
                    </m:r>
                  </m:e>
                  <m:sup>
                    <m:r>
                      <w:rPr>
                        <w:rFonts w:ascii="Cambria Math" w:hAnsi="Cambria Math"/>
                      </w:rPr>
                      <m:t>-11</m:t>
                    </m:r>
                  </m:sup>
                </m:sSup>
              </m:oMath>
            </m:oMathPara>
          </w:p>
        </w:tc>
        <w:tc>
          <w:tcPr>
            <w:tcW w:w="1559" w:type="dxa"/>
            <w:tcBorders>
              <w:top w:val="single" w:sz="4" w:space="0" w:color="000000"/>
              <w:left w:val="single" w:sz="4" w:space="0" w:color="000000"/>
              <w:bottom w:val="single" w:sz="4" w:space="0" w:color="000000"/>
              <w:right w:val="single" w:sz="4" w:space="0" w:color="000000"/>
            </w:tcBorders>
          </w:tcPr>
          <w:p w14:paraId="38C61E3F" w14:textId="77777777" w:rsidR="005A729B" w:rsidRPr="00C85DC3" w:rsidRDefault="005A729B" w:rsidP="00F4462A">
            <w:pPr>
              <w:spacing w:after="0" w:line="240" w:lineRule="auto"/>
              <w:jc w:val="center"/>
            </w:pPr>
            <m:oMathPara>
              <m:oMath>
                <m:r>
                  <w:rPr>
                    <w:rFonts w:ascii="Cambria Math" w:hAnsi="Cambria Math"/>
                  </w:rPr>
                  <m:t>1.6×</m:t>
                </m:r>
                <m:sSup>
                  <m:sSupPr>
                    <m:ctrlPr>
                      <w:rPr>
                        <w:rFonts w:ascii="Cambria Math" w:hAnsi="Cambria Math"/>
                      </w:rPr>
                    </m:ctrlPr>
                  </m:sSupPr>
                  <m:e>
                    <m:r>
                      <w:rPr>
                        <w:rFonts w:ascii="Cambria Math" w:hAnsi="Cambria Math"/>
                      </w:rPr>
                      <m:t>10</m:t>
                    </m:r>
                  </m:e>
                  <m:sup>
                    <m:r>
                      <w:rPr>
                        <w:rFonts w:ascii="Cambria Math" w:hAnsi="Cambria Math"/>
                      </w:rPr>
                      <m:t>-11</m:t>
                    </m:r>
                  </m:sup>
                </m:sSup>
              </m:oMath>
            </m:oMathPara>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339F2" w14:textId="77777777" w:rsidR="005A729B" w:rsidRPr="00C85DC3" w:rsidRDefault="004C77E2" w:rsidP="00F4462A">
            <w:pPr>
              <w:spacing w:after="0" w:line="240" w:lineRule="auto"/>
              <w:jc w:val="both"/>
            </w:pPr>
            <m:oMathPara>
              <m:oMathParaPr>
                <m:jc m:val="center"/>
              </m:oMathParaPr>
              <m:oMath>
                <m:sSup>
                  <m:sSupPr>
                    <m:ctrlPr>
                      <w:rPr>
                        <w:rFonts w:ascii="Cambria Math" w:hAnsi="Cambria Math"/>
                      </w:rPr>
                    </m:ctrlPr>
                  </m:sSupPr>
                  <m:e>
                    <m:r>
                      <w:rPr>
                        <w:rFonts w:ascii="Cambria Math" w:hAnsi="Cambria Math"/>
                      </w:rPr>
                      <m:t>m</m:t>
                    </m:r>
                  </m:e>
                  <m:sup>
                    <m:r>
                      <w:rPr>
                        <w:rFonts w:ascii="Cambria Math" w:hAnsi="Cambria Math"/>
                      </w:rPr>
                      <m:t>2</m:t>
                    </m:r>
                  </m:sup>
                </m:sSup>
                <m:sSup>
                  <m:sSupPr>
                    <m:ctrlPr>
                      <w:rPr>
                        <w:rFonts w:ascii="Cambria Math" w:hAnsi="Cambria Math"/>
                      </w:rPr>
                    </m:ctrlPr>
                  </m:sSupPr>
                  <m:e>
                    <m:r>
                      <w:rPr>
                        <w:rFonts w:ascii="Cambria Math" w:hAnsi="Cambria Math"/>
                      </w:rPr>
                      <m:t>s</m:t>
                    </m:r>
                  </m:e>
                  <m:sup>
                    <m:r>
                      <w:rPr>
                        <w:rFonts w:ascii="Cambria Math" w:hAnsi="Cambria Math"/>
                      </w:rPr>
                      <m:t>-1</m:t>
                    </m:r>
                  </m:sup>
                </m:sSup>
              </m:oMath>
            </m:oMathPara>
          </w:p>
        </w:tc>
      </w:tr>
      <w:tr w:rsidR="005A729B" w:rsidRPr="00C85DC3" w14:paraId="53D45BDB" w14:textId="77777777" w:rsidTr="00F4462A">
        <w:tc>
          <w:tcPr>
            <w:tcW w:w="11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A0178" w14:textId="77777777" w:rsidR="005A729B" w:rsidRPr="00C85DC3" w:rsidRDefault="004C77E2" w:rsidP="00F4462A">
            <w:pPr>
              <w:spacing w:after="0" w:line="240" w:lineRule="auto"/>
              <w:jc w:val="both"/>
            </w:pPr>
            <m:oMathPara>
              <m:oMathParaPr>
                <m:jc m:val="center"/>
              </m:oMathParaPr>
              <m:oMath>
                <m:sSub>
                  <m:sSubPr>
                    <m:ctrlPr>
                      <w:rPr>
                        <w:rFonts w:ascii="Cambria Math" w:hAnsi="Cambria Math"/>
                        <w:i/>
                      </w:rPr>
                    </m:ctrlPr>
                  </m:sSubPr>
                  <m:e>
                    <m:r>
                      <w:rPr>
                        <w:rFonts w:ascii="Cambria Math" w:hAnsi="Cambria Math"/>
                      </w:rPr>
                      <m:t>β</m:t>
                    </m:r>
                  </m:e>
                  <m:sub>
                    <m:r>
                      <w:rPr>
                        <w:rFonts w:ascii="Cambria Math" w:hAnsi="Cambria Math"/>
                      </w:rPr>
                      <m:t>1</m:t>
                    </m:r>
                  </m:sub>
                </m:sSub>
              </m:oMath>
            </m:oMathPara>
          </w:p>
        </w:tc>
        <w:tc>
          <w:tcPr>
            <w:tcW w:w="3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7082B" w14:textId="77777777" w:rsidR="005A729B" w:rsidRPr="00C85DC3" w:rsidRDefault="005A729B" w:rsidP="00F4462A">
            <w:pPr>
              <w:spacing w:after="0" w:line="240" w:lineRule="auto"/>
              <w:jc w:val="both"/>
            </w:pPr>
            <w:r w:rsidRPr="00C85DC3">
              <w:t>Adsorption rate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9166EF" w14:textId="77777777" w:rsidR="005A729B" w:rsidRPr="00C85DC3" w:rsidRDefault="005A729B" w:rsidP="00F4462A">
            <w:pPr>
              <w:spacing w:after="0" w:line="240" w:lineRule="auto"/>
              <w:jc w:val="center"/>
            </w:pPr>
            <m:oMathPara>
              <m:oMathParaPr>
                <m:jc m:val="center"/>
              </m:oMathParaPr>
              <m:oMath>
                <m:r>
                  <w:rPr>
                    <w:rFonts w:ascii="Cambria Math" w:hAnsi="Cambria Math"/>
                  </w:rPr>
                  <m:t>3.1×</m:t>
                </m:r>
                <m:sSup>
                  <m:sSupPr>
                    <m:ctrlPr>
                      <w:rPr>
                        <w:rFonts w:ascii="Cambria Math" w:hAnsi="Cambria Math"/>
                      </w:rPr>
                    </m:ctrlPr>
                  </m:sSupPr>
                  <m:e>
                    <m:r>
                      <w:rPr>
                        <w:rFonts w:ascii="Cambria Math" w:hAnsi="Cambria Math"/>
                      </w:rPr>
                      <m:t>10</m:t>
                    </m:r>
                  </m:e>
                  <m:sup>
                    <m:r>
                      <w:rPr>
                        <w:rFonts w:ascii="Cambria Math" w:hAnsi="Cambria Math"/>
                      </w:rPr>
                      <m:t>-6</m:t>
                    </m:r>
                  </m:sup>
                </m:sSup>
              </m:oMath>
            </m:oMathPara>
          </w:p>
        </w:tc>
        <w:tc>
          <w:tcPr>
            <w:tcW w:w="1559" w:type="dxa"/>
            <w:tcBorders>
              <w:top w:val="single" w:sz="4" w:space="0" w:color="000000"/>
              <w:left w:val="single" w:sz="4" w:space="0" w:color="000000"/>
              <w:bottom w:val="single" w:sz="4" w:space="0" w:color="000000"/>
              <w:right w:val="single" w:sz="4" w:space="0" w:color="000000"/>
            </w:tcBorders>
          </w:tcPr>
          <w:p w14:paraId="3726CED8" w14:textId="77777777" w:rsidR="005A729B" w:rsidRPr="00C85DC3" w:rsidRDefault="005A729B" w:rsidP="00F4462A">
            <w:pPr>
              <w:spacing w:after="0" w:line="240" w:lineRule="auto"/>
              <w:jc w:val="center"/>
            </w:pPr>
            <m:oMathPara>
              <m:oMath>
                <m:r>
                  <w:rPr>
                    <w:rFonts w:ascii="Cambria Math" w:hAnsi="Cambria Math"/>
                  </w:rPr>
                  <m:t>2.7×</m:t>
                </m:r>
                <m:sSup>
                  <m:sSupPr>
                    <m:ctrlPr>
                      <w:rPr>
                        <w:rFonts w:ascii="Cambria Math" w:hAnsi="Cambria Math"/>
                      </w:rPr>
                    </m:ctrlPr>
                  </m:sSupPr>
                  <m:e>
                    <m:r>
                      <w:rPr>
                        <w:rFonts w:ascii="Cambria Math" w:hAnsi="Cambria Math"/>
                      </w:rPr>
                      <m:t>10</m:t>
                    </m:r>
                  </m:e>
                  <m:sup>
                    <m:r>
                      <w:rPr>
                        <w:rFonts w:ascii="Cambria Math" w:hAnsi="Cambria Math"/>
                      </w:rPr>
                      <m:t>-6</m:t>
                    </m:r>
                  </m:sup>
                </m:sSup>
              </m:oMath>
            </m:oMathPara>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9FD39" w14:textId="77777777" w:rsidR="005A729B" w:rsidRPr="00C85DC3" w:rsidRDefault="004C77E2" w:rsidP="00F4462A">
            <w:pPr>
              <w:spacing w:after="0" w:line="240" w:lineRule="auto"/>
              <w:jc w:val="both"/>
            </w:pPr>
            <m:oMathPara>
              <m:oMathParaPr>
                <m:jc m:val="center"/>
              </m:oMathParaPr>
              <m:oMath>
                <m:sSup>
                  <m:sSupPr>
                    <m:ctrlPr>
                      <w:rPr>
                        <w:rFonts w:ascii="Cambria Math" w:hAnsi="Cambria Math"/>
                      </w:rPr>
                    </m:ctrlPr>
                  </m:sSupPr>
                  <m:e>
                    <m:r>
                      <w:rPr>
                        <w:rFonts w:ascii="Cambria Math" w:hAnsi="Cambria Math"/>
                      </w:rPr>
                      <m:t>s</m:t>
                    </m:r>
                  </m:e>
                  <m:sup>
                    <m:r>
                      <w:rPr>
                        <w:rFonts w:ascii="Cambria Math" w:hAnsi="Cambria Math"/>
                      </w:rPr>
                      <m:t>-1</m:t>
                    </m:r>
                  </m:sup>
                </m:sSup>
              </m:oMath>
            </m:oMathPara>
          </w:p>
        </w:tc>
      </w:tr>
      <w:tr w:rsidR="005A729B" w:rsidRPr="00C85DC3" w14:paraId="08C7B86C" w14:textId="77777777" w:rsidTr="00F4462A">
        <w:tc>
          <w:tcPr>
            <w:tcW w:w="11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D4CCD5" w14:textId="77777777" w:rsidR="005A729B" w:rsidRPr="00C85DC3" w:rsidRDefault="004C77E2" w:rsidP="00F4462A">
            <w:pPr>
              <w:spacing w:after="0" w:line="240" w:lineRule="auto"/>
              <w:jc w:val="both"/>
            </w:pPr>
            <m:oMathPara>
              <m:oMathParaPr>
                <m:jc m:val="center"/>
              </m:oMathParaPr>
              <m:oMath>
                <m:sSub>
                  <m:sSubPr>
                    <m:ctrlPr>
                      <w:rPr>
                        <w:rFonts w:ascii="Cambria Math" w:hAnsi="Cambria Math"/>
                        <w:i/>
                      </w:rPr>
                    </m:ctrlPr>
                  </m:sSubPr>
                  <m:e>
                    <m:r>
                      <w:rPr>
                        <w:rFonts w:ascii="Cambria Math" w:hAnsi="Cambria Math"/>
                      </w:rPr>
                      <m:t>β</m:t>
                    </m:r>
                  </m:e>
                  <m:sub>
                    <m:r>
                      <w:rPr>
                        <w:rFonts w:ascii="Cambria Math" w:hAnsi="Cambria Math"/>
                      </w:rPr>
                      <m:t>2</m:t>
                    </m:r>
                  </m:sub>
                </m:sSub>
              </m:oMath>
            </m:oMathPara>
          </w:p>
        </w:tc>
        <w:tc>
          <w:tcPr>
            <w:tcW w:w="3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2CCEA" w14:textId="77777777" w:rsidR="005A729B" w:rsidRPr="00C85DC3" w:rsidRDefault="005A729B" w:rsidP="00F4462A">
            <w:pPr>
              <w:spacing w:after="0" w:line="240" w:lineRule="auto"/>
              <w:jc w:val="both"/>
            </w:pPr>
            <w:r w:rsidRPr="00C85DC3">
              <w:t>Desorption rate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BF610" w14:textId="77777777" w:rsidR="005A729B" w:rsidRPr="00C85DC3" w:rsidRDefault="005A729B" w:rsidP="00F4462A">
            <w:pPr>
              <w:spacing w:after="0" w:line="240" w:lineRule="auto"/>
              <w:jc w:val="center"/>
            </w:pPr>
            <m:oMathPara>
              <m:oMathParaPr>
                <m:jc m:val="center"/>
              </m:oMathParaPr>
              <m:oMath>
                <m:r>
                  <w:rPr>
                    <w:rFonts w:ascii="Cambria Math" w:hAnsi="Cambria Math"/>
                  </w:rPr>
                  <m:t>3.6×</m:t>
                </m:r>
                <m:sSup>
                  <m:sSupPr>
                    <m:ctrlPr>
                      <w:rPr>
                        <w:rFonts w:ascii="Cambria Math" w:hAnsi="Cambria Math"/>
                      </w:rPr>
                    </m:ctrlPr>
                  </m:sSupPr>
                  <m:e>
                    <m:r>
                      <w:rPr>
                        <w:rFonts w:ascii="Cambria Math" w:hAnsi="Cambria Math"/>
                      </w:rPr>
                      <m:t>10</m:t>
                    </m:r>
                  </m:e>
                  <m:sup>
                    <m:r>
                      <w:rPr>
                        <w:rFonts w:ascii="Cambria Math" w:hAnsi="Cambria Math"/>
                      </w:rPr>
                      <m:t>-9</m:t>
                    </m:r>
                  </m:sup>
                </m:sSup>
              </m:oMath>
            </m:oMathPara>
          </w:p>
        </w:tc>
        <w:tc>
          <w:tcPr>
            <w:tcW w:w="1559" w:type="dxa"/>
            <w:tcBorders>
              <w:top w:val="single" w:sz="4" w:space="0" w:color="000000"/>
              <w:left w:val="single" w:sz="4" w:space="0" w:color="000000"/>
              <w:bottom w:val="single" w:sz="4" w:space="0" w:color="000000"/>
              <w:right w:val="single" w:sz="4" w:space="0" w:color="000000"/>
            </w:tcBorders>
          </w:tcPr>
          <w:p w14:paraId="055BA17A" w14:textId="77777777" w:rsidR="005A729B" w:rsidRPr="00C85DC3" w:rsidRDefault="005A729B" w:rsidP="00F4462A">
            <w:pPr>
              <w:spacing w:after="0" w:line="240" w:lineRule="auto"/>
              <w:jc w:val="center"/>
            </w:pPr>
            <m:oMathPara>
              <m:oMath>
                <m:r>
                  <w:rPr>
                    <w:rFonts w:ascii="Cambria Math" w:hAnsi="Cambria Math"/>
                  </w:rPr>
                  <m:t>5.2×</m:t>
                </m:r>
                <m:sSup>
                  <m:sSupPr>
                    <m:ctrlPr>
                      <w:rPr>
                        <w:rFonts w:ascii="Cambria Math" w:hAnsi="Cambria Math"/>
                      </w:rPr>
                    </m:ctrlPr>
                  </m:sSupPr>
                  <m:e>
                    <m:r>
                      <w:rPr>
                        <w:rFonts w:ascii="Cambria Math" w:hAnsi="Cambria Math"/>
                      </w:rPr>
                      <m:t>10</m:t>
                    </m:r>
                  </m:e>
                  <m:sup>
                    <m:r>
                      <w:rPr>
                        <w:rFonts w:ascii="Cambria Math" w:hAnsi="Cambria Math"/>
                      </w:rPr>
                      <m:t>-9</m:t>
                    </m:r>
                  </m:sup>
                </m:sSup>
              </m:oMath>
            </m:oMathPara>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E7ABF" w14:textId="77777777" w:rsidR="005A729B" w:rsidRPr="00C85DC3" w:rsidRDefault="004C77E2" w:rsidP="00F4462A">
            <w:pPr>
              <w:spacing w:after="0" w:line="240" w:lineRule="auto"/>
              <w:jc w:val="both"/>
            </w:pPr>
            <m:oMathPara>
              <m:oMathParaPr>
                <m:jc m:val="center"/>
              </m:oMathParaPr>
              <m:oMath>
                <m:sSup>
                  <m:sSupPr>
                    <m:ctrlPr>
                      <w:rPr>
                        <w:rFonts w:ascii="Cambria Math" w:hAnsi="Cambria Math"/>
                      </w:rPr>
                    </m:ctrlPr>
                  </m:sSupPr>
                  <m:e>
                    <m:r>
                      <w:rPr>
                        <w:rFonts w:ascii="Cambria Math" w:hAnsi="Cambria Math"/>
                      </w:rPr>
                      <m:t>s</m:t>
                    </m:r>
                  </m:e>
                  <m:sup>
                    <m:r>
                      <w:rPr>
                        <w:rFonts w:ascii="Cambria Math" w:hAnsi="Cambria Math"/>
                      </w:rPr>
                      <m:t>-1</m:t>
                    </m:r>
                  </m:sup>
                </m:sSup>
              </m:oMath>
            </m:oMathPara>
          </w:p>
        </w:tc>
      </w:tr>
      <w:tr w:rsidR="005A729B" w:rsidRPr="00C85DC3" w14:paraId="02D73A8D" w14:textId="77777777" w:rsidTr="00F4462A">
        <w:tc>
          <w:tcPr>
            <w:tcW w:w="11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AC233" w14:textId="77777777" w:rsidR="005A729B" w:rsidRPr="00C85DC3" w:rsidRDefault="004C77E2" w:rsidP="00F4462A">
            <w:pPr>
              <w:spacing w:after="0" w:line="240" w:lineRule="auto"/>
              <w:jc w:val="both"/>
            </w:pPr>
            <m:oMathPara>
              <m:oMath>
                <m:sSub>
                  <m:sSubPr>
                    <m:ctrlPr>
                      <w:rPr>
                        <w:rFonts w:ascii="Cambria Math" w:hAnsi="Cambria Math"/>
                      </w:rPr>
                    </m:ctrlPr>
                  </m:sSubPr>
                  <m:e>
                    <m:r>
                      <w:rPr>
                        <w:rFonts w:ascii="Cambria Math" w:hAnsi="Cambria Math"/>
                      </w:rPr>
                      <m:t>c</m:t>
                    </m:r>
                  </m:e>
                  <m:sub>
                    <m:r>
                      <w:rPr>
                        <w:rFonts w:ascii="Cambria Math" w:hAnsi="Cambria Math"/>
                      </w:rPr>
                      <m:t>pulse</m:t>
                    </m:r>
                  </m:sub>
                </m:sSub>
              </m:oMath>
            </m:oMathPara>
          </w:p>
        </w:tc>
        <w:tc>
          <w:tcPr>
            <w:tcW w:w="3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91CDB" w14:textId="77777777" w:rsidR="005A729B" w:rsidRPr="00C85DC3" w:rsidRDefault="005A729B" w:rsidP="00F4462A">
            <w:pPr>
              <w:spacing w:after="0" w:line="240" w:lineRule="auto"/>
              <w:jc w:val="both"/>
            </w:pPr>
            <w:r w:rsidRPr="00C85DC3">
              <w:t>Maximum strength of initial pulse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D4E0FE" w14:textId="77777777" w:rsidR="005A729B" w:rsidRPr="00C85DC3" w:rsidRDefault="005A729B" w:rsidP="00F4462A">
            <w:pPr>
              <w:spacing w:after="0" w:line="240" w:lineRule="auto"/>
              <w:jc w:val="center"/>
            </w:pPr>
            <m:oMathPara>
              <m:oMathParaPr>
                <m:jc m:val="center"/>
              </m:oMathParaPr>
              <m:oMath>
                <m:r>
                  <w:rPr>
                    <w:rFonts w:ascii="Cambria Math" w:hAnsi="Cambria Math"/>
                  </w:rPr>
                  <m:t>8.5×</m:t>
                </m:r>
                <m:sSup>
                  <m:sSupPr>
                    <m:ctrlPr>
                      <w:rPr>
                        <w:rFonts w:ascii="Cambria Math" w:hAnsi="Cambria Math"/>
                        <w:i/>
                      </w:rPr>
                    </m:ctrlPr>
                  </m:sSupPr>
                  <m:e>
                    <m:r>
                      <w:rPr>
                        <w:rFonts w:ascii="Cambria Math" w:hAnsi="Cambria Math"/>
                      </w:rPr>
                      <m:t>10</m:t>
                    </m:r>
                  </m:e>
                  <m:sup>
                    <m:r>
                      <w:rPr>
                        <w:rFonts w:ascii="Cambria Math" w:hAnsi="Cambria Math"/>
                      </w:rPr>
                      <m:t>2</m:t>
                    </m:r>
                  </m:sup>
                </m:sSup>
              </m:oMath>
            </m:oMathPara>
          </w:p>
        </w:tc>
        <w:tc>
          <w:tcPr>
            <w:tcW w:w="1559" w:type="dxa"/>
            <w:tcBorders>
              <w:top w:val="single" w:sz="4" w:space="0" w:color="000000"/>
              <w:left w:val="single" w:sz="4" w:space="0" w:color="000000"/>
              <w:bottom w:val="single" w:sz="4" w:space="0" w:color="000000"/>
              <w:right w:val="single" w:sz="4" w:space="0" w:color="000000"/>
            </w:tcBorders>
          </w:tcPr>
          <w:p w14:paraId="22C8252D" w14:textId="77777777" w:rsidR="005A729B" w:rsidRPr="00C85DC3" w:rsidRDefault="005A729B" w:rsidP="00F4462A">
            <w:pPr>
              <w:spacing w:after="0" w:line="240" w:lineRule="auto"/>
              <w:jc w:val="center"/>
            </w:pPr>
            <m:oMathPara>
              <m:oMath>
                <m:r>
                  <w:rPr>
                    <w:rFonts w:ascii="Cambria Math" w:hAnsi="Cambria Math"/>
                  </w:rPr>
                  <m:t>9.0×</m:t>
                </m:r>
                <m:sSup>
                  <m:sSupPr>
                    <m:ctrlPr>
                      <w:rPr>
                        <w:rFonts w:ascii="Cambria Math" w:hAnsi="Cambria Math"/>
                        <w:i/>
                      </w:rPr>
                    </m:ctrlPr>
                  </m:sSupPr>
                  <m:e>
                    <m:r>
                      <w:rPr>
                        <w:rFonts w:ascii="Cambria Math" w:hAnsi="Cambria Math"/>
                      </w:rPr>
                      <m:t>10</m:t>
                    </m:r>
                  </m:e>
                  <m:sup>
                    <m:r>
                      <w:rPr>
                        <w:rFonts w:ascii="Cambria Math" w:hAnsi="Cambria Math"/>
                      </w:rPr>
                      <m:t>2</m:t>
                    </m:r>
                  </m:sup>
                </m:sSup>
              </m:oMath>
            </m:oMathPara>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46EBF6" w14:textId="77777777" w:rsidR="005A729B" w:rsidRPr="00C85DC3" w:rsidRDefault="005A729B" w:rsidP="00F4462A">
            <w:pPr>
              <w:spacing w:after="0" w:line="240" w:lineRule="auto"/>
              <w:jc w:val="both"/>
              <w:rPr>
                <w:rFonts w:eastAsiaTheme="minorEastAsia"/>
              </w:rPr>
            </w:pPr>
            <m:oMathPara>
              <m:oMath>
                <m:r>
                  <w:rPr>
                    <w:rFonts w:ascii="Cambria Math" w:hAnsi="Cambria Math"/>
                  </w:rPr>
                  <m:t>ppm</m:t>
                </m:r>
              </m:oMath>
            </m:oMathPara>
          </w:p>
        </w:tc>
      </w:tr>
      <w:tr w:rsidR="005A729B" w:rsidRPr="00C85DC3" w14:paraId="1D3F5C75" w14:textId="77777777" w:rsidTr="00F4462A">
        <w:tc>
          <w:tcPr>
            <w:tcW w:w="11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EDE235" w14:textId="77777777" w:rsidR="005A729B" w:rsidRPr="00C85DC3" w:rsidRDefault="005A729B" w:rsidP="00F4462A">
            <w:pPr>
              <w:spacing w:after="0" w:line="240" w:lineRule="auto"/>
              <w:jc w:val="both"/>
              <w:rPr>
                <w:rFonts w:eastAsiaTheme="minorEastAsia"/>
              </w:rPr>
            </w:pPr>
            <m:oMathPara>
              <m:oMath>
                <m:r>
                  <w:rPr>
                    <w:rFonts w:ascii="Cambria Math" w:hAnsi="Cambria Math" w:cs="Times New Roman"/>
                  </w:rPr>
                  <m:t>a</m:t>
                </m:r>
              </m:oMath>
            </m:oMathPara>
          </w:p>
        </w:tc>
        <w:tc>
          <w:tcPr>
            <w:tcW w:w="3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BBA76" w14:textId="77777777" w:rsidR="005A729B" w:rsidRPr="00C85DC3" w:rsidRDefault="005A729B" w:rsidP="00F4462A">
            <w:pPr>
              <w:spacing w:after="0" w:line="240" w:lineRule="auto"/>
              <w:jc w:val="both"/>
            </w:pPr>
            <w:r w:rsidRPr="00C85DC3">
              <w:t>Spread of initial pulse above the pellet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D1BFA" w14:textId="77777777" w:rsidR="005A729B" w:rsidRPr="00C85DC3" w:rsidRDefault="005A729B" w:rsidP="00F4462A">
            <w:pPr>
              <w:spacing w:after="0" w:line="240" w:lineRule="auto"/>
              <w:jc w:val="center"/>
              <w:rPr>
                <w:rFonts w:cs="Times New Roman"/>
              </w:rPr>
            </w:pPr>
            <w:r w:rsidRPr="00C85DC3">
              <w:rPr>
                <w:rFonts w:cs="Times New Roman"/>
              </w:rPr>
              <w:t>3.0</w:t>
            </w:r>
          </w:p>
        </w:tc>
        <w:tc>
          <w:tcPr>
            <w:tcW w:w="1559" w:type="dxa"/>
            <w:tcBorders>
              <w:top w:val="single" w:sz="4" w:space="0" w:color="000000"/>
              <w:left w:val="single" w:sz="4" w:space="0" w:color="000000"/>
              <w:bottom w:val="single" w:sz="4" w:space="0" w:color="000000"/>
              <w:right w:val="single" w:sz="4" w:space="0" w:color="000000"/>
            </w:tcBorders>
          </w:tcPr>
          <w:p w14:paraId="6727413A" w14:textId="77777777" w:rsidR="005A729B" w:rsidRPr="00C85DC3" w:rsidRDefault="005A729B" w:rsidP="00F4462A">
            <w:pPr>
              <w:spacing w:after="0" w:line="240" w:lineRule="auto"/>
              <w:jc w:val="center"/>
            </w:pPr>
            <w:r w:rsidRPr="00C85DC3">
              <w:rPr>
                <w:rFonts w:cs="Times New Roman"/>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FE2E34" w14:textId="77777777" w:rsidR="005A729B" w:rsidRPr="00C85DC3" w:rsidRDefault="005A729B" w:rsidP="00F4462A">
            <w:pPr>
              <w:spacing w:after="0" w:line="240" w:lineRule="auto"/>
              <w:jc w:val="both"/>
              <w:rPr>
                <w:rFonts w:cs="Times New Roman"/>
              </w:rPr>
            </w:pPr>
            <m:oMathPara>
              <m:oMath>
                <m:r>
                  <w:rPr>
                    <w:rFonts w:ascii="Cambria Math" w:hAnsi="Cambria Math" w:cs="Times New Roman"/>
                  </w:rPr>
                  <m:t>mm</m:t>
                </m:r>
              </m:oMath>
            </m:oMathPara>
          </w:p>
        </w:tc>
      </w:tr>
      <w:tr w:rsidR="005A729B" w:rsidRPr="00C85DC3" w14:paraId="36BF1810" w14:textId="77777777" w:rsidTr="00F4462A">
        <w:tc>
          <w:tcPr>
            <w:tcW w:w="11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AA6A2" w14:textId="77777777" w:rsidR="005A729B" w:rsidRPr="00C85DC3" w:rsidRDefault="005A729B" w:rsidP="00F4462A">
            <w:pPr>
              <w:spacing w:after="0" w:line="240" w:lineRule="auto"/>
              <w:jc w:val="both"/>
              <w:rPr>
                <w:rFonts w:cs="Times New Roman"/>
              </w:rPr>
            </w:pPr>
            <m:oMathPara>
              <m:oMath>
                <m:r>
                  <w:rPr>
                    <w:rFonts w:ascii="Cambria Math" w:hAnsi="Cambria Math" w:cs="Times New Roman"/>
                  </w:rPr>
                  <m:t>b</m:t>
                </m:r>
              </m:oMath>
            </m:oMathPara>
          </w:p>
        </w:tc>
        <w:tc>
          <w:tcPr>
            <w:tcW w:w="3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75C2F" w14:textId="77777777" w:rsidR="005A729B" w:rsidRPr="00C85DC3" w:rsidRDefault="005A729B" w:rsidP="00F4462A">
            <w:pPr>
              <w:spacing w:after="0" w:line="240" w:lineRule="auto"/>
              <w:jc w:val="both"/>
            </w:pPr>
            <w:r w:rsidRPr="00C85DC3">
              <w:t>Spread of initial pulse below the pellet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84DEB" w14:textId="77777777" w:rsidR="005A729B" w:rsidRPr="00C85DC3" w:rsidRDefault="005A729B" w:rsidP="00F4462A">
            <w:pPr>
              <w:spacing w:after="0" w:line="240" w:lineRule="auto"/>
              <w:jc w:val="center"/>
              <w:rPr>
                <w:rFonts w:cs="Times New Roman"/>
              </w:rPr>
            </w:pPr>
            <w:r w:rsidRPr="00C85DC3">
              <w:rPr>
                <w:rFonts w:cs="Times New Roman"/>
              </w:rPr>
              <w:t>12</w:t>
            </w:r>
          </w:p>
        </w:tc>
        <w:tc>
          <w:tcPr>
            <w:tcW w:w="1559" w:type="dxa"/>
            <w:tcBorders>
              <w:top w:val="single" w:sz="4" w:space="0" w:color="000000"/>
              <w:left w:val="single" w:sz="4" w:space="0" w:color="000000"/>
              <w:bottom w:val="single" w:sz="4" w:space="0" w:color="000000"/>
              <w:right w:val="single" w:sz="4" w:space="0" w:color="000000"/>
            </w:tcBorders>
          </w:tcPr>
          <w:p w14:paraId="53E1F7DA" w14:textId="77777777" w:rsidR="005A729B" w:rsidRPr="00C85DC3" w:rsidRDefault="005A729B" w:rsidP="00F4462A">
            <w:pPr>
              <w:spacing w:after="0" w:line="240" w:lineRule="auto"/>
              <w:jc w:val="center"/>
            </w:pPr>
            <w:r w:rsidRPr="00C85DC3">
              <w:rPr>
                <w:rFonts w:cs="Times New Roman"/>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E4AFA" w14:textId="77777777" w:rsidR="005A729B" w:rsidRPr="00C85DC3" w:rsidRDefault="005A729B" w:rsidP="00F4462A">
            <w:pPr>
              <w:spacing w:after="0" w:line="240" w:lineRule="auto"/>
              <w:jc w:val="both"/>
              <w:rPr>
                <w:rFonts w:cs="Times New Roman"/>
              </w:rPr>
            </w:pPr>
            <m:oMathPara>
              <m:oMath>
                <m:r>
                  <w:rPr>
                    <w:rFonts w:ascii="Cambria Math" w:hAnsi="Cambria Math" w:cs="Times New Roman"/>
                  </w:rPr>
                  <m:t>mm</m:t>
                </m:r>
              </m:oMath>
            </m:oMathPara>
          </w:p>
        </w:tc>
      </w:tr>
    </w:tbl>
    <w:p w14:paraId="5ABA1875" w14:textId="77777777" w:rsidR="005A729B" w:rsidRPr="00C85DC3" w:rsidRDefault="005A729B" w:rsidP="005A729B">
      <w:pPr>
        <w:pStyle w:val="ParaText"/>
        <w:spacing w:before="360" w:line="480" w:lineRule="auto"/>
        <w:rPr>
          <w:szCs w:val="24"/>
        </w:rPr>
      </w:pPr>
      <w:r w:rsidRPr="00C85DC3">
        <w:rPr>
          <w:szCs w:val="24"/>
        </w:rPr>
        <w:t xml:space="preserve">With the estimated values of the model parameters, the model fits the data with 22% error. </w:t>
      </w:r>
    </w:p>
    <w:p w14:paraId="71CB2386" w14:textId="77777777" w:rsidR="005A729B" w:rsidRPr="00C85DC3" w:rsidRDefault="005A729B" w:rsidP="005A729B">
      <w:pPr>
        <w:pStyle w:val="ParaText"/>
        <w:spacing w:line="480" w:lineRule="auto"/>
        <w:rPr>
          <w:szCs w:val="24"/>
        </w:rPr>
      </w:pPr>
      <w:r w:rsidRPr="00C85DC3">
        <w:rPr>
          <w:szCs w:val="24"/>
        </w:rPr>
        <w:t xml:space="preserve">Figure 4 shows the model fit of the P concentrations recorded by the three microdialysis probes in coarse soil. As can be observed in the figure, the concentrations of dissolved P as predicted by the model using the estimated parameters are close to the recorded data and mostly lie within the standard deviations of the data points. At the top probe position, the model predicts </w:t>
      </w:r>
      <w:r w:rsidRPr="00C85DC3">
        <w:rPr>
          <w:szCs w:val="24"/>
        </w:rPr>
        <w:lastRenderedPageBreak/>
        <w:t>an initial rise in dissolved P concentration which results from diffusion of the pulse and then a subsequent decrease in concentration which is due to adsorption of P onto soil, all in agreement with the data. At the bottom two probe positions, the model predicts adsorption to be the dominant process resulting in an exponential decrease in the dissolved P concentrations, once again in close agreement with the observed data.</w:t>
      </w:r>
    </w:p>
    <w:p w14:paraId="6521EFEB" w14:textId="22108CA7" w:rsidR="00030EDB" w:rsidRPr="00C85DC3" w:rsidRDefault="005A729B" w:rsidP="005A729B">
      <w:pPr>
        <w:pStyle w:val="ParaText"/>
        <w:spacing w:line="480" w:lineRule="auto"/>
        <w:jc w:val="center"/>
        <w:rPr>
          <w:szCs w:val="24"/>
        </w:rPr>
      </w:pPr>
      <w:r w:rsidRPr="00C85DC3">
        <w:rPr>
          <w:noProof/>
          <w:lang w:val="en-GB" w:eastAsia="en-GB"/>
        </w:rPr>
        <w:drawing>
          <wp:inline distT="0" distB="0" distL="0" distR="0" wp14:anchorId="317A9033" wp14:editId="45FAD1D0">
            <wp:extent cx="5731146" cy="150685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31146" cy="1506855"/>
                    </a:xfrm>
                    <a:prstGeom prst="rect">
                      <a:avLst/>
                    </a:prstGeom>
                    <a:noFill/>
                    <a:ln>
                      <a:noFill/>
                    </a:ln>
                  </pic:spPr>
                </pic:pic>
              </a:graphicData>
            </a:graphic>
          </wp:inline>
        </w:drawing>
      </w:r>
    </w:p>
    <w:p w14:paraId="6FF0970A" w14:textId="5775572E" w:rsidR="005A729B" w:rsidRPr="00C85DC3" w:rsidRDefault="005A729B" w:rsidP="005A729B">
      <w:pPr>
        <w:spacing w:after="0" w:line="480" w:lineRule="auto"/>
        <w:jc w:val="center"/>
        <w:rPr>
          <w:rFonts w:ascii="Times New Roman" w:hAnsi="Times New Roman" w:cs="Times New Roman"/>
        </w:rPr>
      </w:pPr>
      <w:r w:rsidRPr="00C85DC3">
        <w:rPr>
          <w:rFonts w:ascii="Times New Roman" w:hAnsi="Times New Roman" w:cs="Times New Roman"/>
          <w:bCs/>
        </w:rPr>
        <w:t>Figure 4.</w:t>
      </w:r>
      <w:r w:rsidRPr="00C85DC3">
        <w:rPr>
          <w:rFonts w:ascii="Times New Roman" w:hAnsi="Times New Roman" w:cs="Times New Roman"/>
        </w:rPr>
        <w:t xml:space="preserve"> Data from the probes with standard deviation in red and the fitted curve in blue. Panel (a) corresponds to probe 1 positioned 0.5 cm above the pellet, panel (b) corresponds to probe 2 positioned 1</w:t>
      </w:r>
      <w:r w:rsidR="00971A39" w:rsidRPr="00C85DC3">
        <w:rPr>
          <w:rFonts w:ascii="Times New Roman" w:hAnsi="Times New Roman" w:cs="Times New Roman"/>
        </w:rPr>
        <w:t>.</w:t>
      </w:r>
      <w:r w:rsidRPr="00C85DC3">
        <w:rPr>
          <w:rFonts w:ascii="Times New Roman" w:hAnsi="Times New Roman" w:cs="Times New Roman"/>
        </w:rPr>
        <w:t xml:space="preserve">5 </w:t>
      </w:r>
      <w:r w:rsidR="00971A39" w:rsidRPr="00C85DC3">
        <w:rPr>
          <w:rFonts w:ascii="Times New Roman" w:hAnsi="Times New Roman" w:cs="Times New Roman"/>
        </w:rPr>
        <w:t>c</w:t>
      </w:r>
      <w:r w:rsidRPr="00C85DC3">
        <w:rPr>
          <w:rFonts w:ascii="Times New Roman" w:hAnsi="Times New Roman" w:cs="Times New Roman"/>
        </w:rPr>
        <w:t>m below the pellet and panel (c) probe 3 positioned 3</w:t>
      </w:r>
      <w:r w:rsidR="00971A39" w:rsidRPr="00C85DC3">
        <w:rPr>
          <w:rFonts w:ascii="Times New Roman" w:hAnsi="Times New Roman" w:cs="Times New Roman"/>
        </w:rPr>
        <w:t>.</w:t>
      </w:r>
      <w:r w:rsidRPr="00C85DC3">
        <w:rPr>
          <w:rFonts w:ascii="Times New Roman" w:hAnsi="Times New Roman" w:cs="Times New Roman"/>
        </w:rPr>
        <w:t xml:space="preserve">0 </w:t>
      </w:r>
      <w:r w:rsidR="00971A39" w:rsidRPr="00C85DC3">
        <w:rPr>
          <w:rFonts w:ascii="Times New Roman" w:hAnsi="Times New Roman" w:cs="Times New Roman"/>
        </w:rPr>
        <w:t>c</w:t>
      </w:r>
      <w:r w:rsidRPr="00C85DC3">
        <w:rPr>
          <w:rFonts w:ascii="Times New Roman" w:hAnsi="Times New Roman" w:cs="Times New Roman"/>
        </w:rPr>
        <w:t>m below the pellet.</w:t>
      </w:r>
    </w:p>
    <w:p w14:paraId="0512C8F8" w14:textId="41F7DCB9" w:rsidR="005A729B" w:rsidRPr="00C85DC3" w:rsidRDefault="005A729B" w:rsidP="005A729B">
      <w:pPr>
        <w:pStyle w:val="H3"/>
        <w:spacing w:line="480" w:lineRule="auto"/>
        <w:rPr>
          <w:szCs w:val="24"/>
        </w:rPr>
      </w:pPr>
      <w:r w:rsidRPr="00C85DC3">
        <w:rPr>
          <w:szCs w:val="24"/>
        </w:rPr>
        <w:t>Comparison between microdialysis probes and suction cups</w:t>
      </w:r>
    </w:p>
    <w:p w14:paraId="71EEBBC4" w14:textId="4B9E6A55" w:rsidR="005A729B" w:rsidRPr="00C85DC3" w:rsidRDefault="005A729B" w:rsidP="005A729B">
      <w:pPr>
        <w:pStyle w:val="ParaText"/>
        <w:spacing w:line="480" w:lineRule="auto"/>
        <w:rPr>
          <w:szCs w:val="24"/>
        </w:rPr>
      </w:pPr>
      <w:r w:rsidRPr="00C85DC3">
        <w:rPr>
          <w:szCs w:val="24"/>
        </w:rPr>
        <w:t xml:space="preserve">The effect on P movement using passive sampling from microdialysis was compared with the active uptake of soil solution using suction cups in an experiment using fine soil. The phosphorus concentrations and the trend detected from the two suction cups positioned below the pellet are compatible with microdialysis results (Figure 5b and 5c). However, while suction cup sampling was carried out in fine soil, the recorded concentrations resemble more the ones detected by microdialysis in coarse soil. This suggests that advection caused by the active suction of the devices transports P through the fine soil at rates comparable with the passive transport monitored using microdialysis in the coarse soil. In addition, above the pellet (Figure 5a), microdialysis in fine soil recorded no trend in P concentration.  Suction cups, on the other hand, </w:t>
      </w:r>
      <w:r w:rsidRPr="00C85DC3">
        <w:rPr>
          <w:szCs w:val="24"/>
        </w:rPr>
        <w:lastRenderedPageBreak/>
        <w:t xml:space="preserve">recorded a clear trend with a delayed peak with respect to the one detected by microdialysis in coarse soil: P concentrations rise slowly over the first 175 hours when they reach a peak and start declining again. The discrepancy between microdialysis and suction cups suggest that water movement caused by the active sampling technique could lead to an overestimation of P mobility. It is worth noting that the temporal resolution of suction cups in the first 12h is lower than the microdialysis experiment, because of the active uptake of soil water by the suction cups. Due to this resolution limitation, the maximum concentration recorded 1.5 cm below the pellet (SC2) were lower than 3 cm below the pellet (SC3) at the same timepoint, despite being closer to the pellet. Moreover, it was not possible to capture the whole pulse profile as was achieved with microdialysis. Therefore, it was not possible to quantify the effect of the active sampling procedure on counteracting the decreased movement of the pulse due to fine soil particles and possibly overestimate P mobility in fine soil. A thorough modeling approach that accounts for pellet dissolution rate </w:t>
      </w:r>
      <w:r w:rsidR="00037AF6" w:rsidRPr="00C85DC3">
        <w:rPr>
          <w:szCs w:val="24"/>
        </w:rPr>
        <w:fldChar w:fldCharType="begin"/>
      </w:r>
      <w:r w:rsidR="002A1395" w:rsidRPr="00C85DC3">
        <w:rPr>
          <w:szCs w:val="24"/>
        </w:rPr>
        <w:instrText xml:space="preserve"> ADDIN EN.CITE &lt;EndNote&gt;&lt;Cite&gt;&lt;Author&gt;Ruiz&lt;/Author&gt;&lt;Year&gt;2020&lt;/Year&gt;&lt;RecNum&gt;55&lt;/RecNum&gt;&lt;DisplayText&gt;(Ruiz, Fletcher et al. 2020)&lt;/DisplayText&gt;&lt;record&gt;&lt;rec-number&gt;55&lt;/rec-number&gt;&lt;foreign-keys&gt;&lt;key app="EN" db-id="e0pf0dz95w2e2qesp0ev9tvwdse5fap0eprw" timestamp="1588586141"&gt;55&lt;/key&gt;&lt;/foreign-keys&gt;&lt;ref-type name="Journal Article"&gt;17&lt;/ref-type&gt;&lt;contributors&gt;&lt;authors&gt;&lt;author&gt;Ruiz, S&lt;/author&gt;&lt;author&gt;Fletcher, D McKay&lt;/author&gt;&lt;author&gt;Boghi, Andrea&lt;/author&gt;&lt;author&gt;Williams, Katherine&lt;/author&gt;&lt;author&gt;Duncan, Simon&lt;/author&gt;&lt;author&gt;Scotson, Callum&lt;/author&gt;&lt;author&gt;Petroselli, Chiara&lt;/author&gt;&lt;author&gt;Dias, T&lt;/author&gt;&lt;author&gt;Chadwick, DR&lt;/author&gt;&lt;author&gt;Jones, DL&lt;/author&gt;&lt;/authors&gt;&lt;/contributors&gt;&lt;titles&gt;&lt;title&gt;Image-based quantification of soil microbial dead zones induced by nitrogen fertilization&lt;/title&gt;&lt;secondary-title&gt;Science of The Total Environment&lt;/secondary-title&gt;&lt;/titles&gt;&lt;periodical&gt;&lt;full-title&gt;Science of The Total Environment&lt;/full-title&gt;&lt;/periodical&gt;&lt;pages&gt;138197&lt;/pages&gt;&lt;dates&gt;&lt;year&gt;2020&lt;/year&gt;&lt;/dates&gt;&lt;isbn&gt;0048-9697&lt;/isbn&gt;&lt;urls&gt;&lt;/urls&gt;&lt;/record&gt;&lt;/Cite&gt;&lt;/EndNote&gt;</w:instrText>
      </w:r>
      <w:r w:rsidR="00037AF6" w:rsidRPr="00C85DC3">
        <w:rPr>
          <w:szCs w:val="24"/>
        </w:rPr>
        <w:fldChar w:fldCharType="separate"/>
      </w:r>
      <w:r w:rsidR="000E3868" w:rsidRPr="00C85DC3">
        <w:rPr>
          <w:noProof/>
          <w:szCs w:val="24"/>
        </w:rPr>
        <w:t>(Ruiz, Fletcher et al. 2020)</w:t>
      </w:r>
      <w:r w:rsidR="00037AF6" w:rsidRPr="00C85DC3">
        <w:rPr>
          <w:szCs w:val="24"/>
        </w:rPr>
        <w:fldChar w:fldCharType="end"/>
      </w:r>
      <w:r w:rsidRPr="00C85DC3">
        <w:rPr>
          <w:szCs w:val="24"/>
        </w:rPr>
        <w:t xml:space="preserve"> and for probe uptake in the different sampling techniques could shed some light on these aspects, as could further studies dealing with device specific sampling methodology. </w:t>
      </w:r>
    </w:p>
    <w:p w14:paraId="5C9F70D3" w14:textId="17622AEE" w:rsidR="005A729B" w:rsidRPr="00C85DC3" w:rsidRDefault="005A729B" w:rsidP="005A729B">
      <w:pPr>
        <w:pStyle w:val="ParaText"/>
        <w:spacing w:line="480" w:lineRule="auto"/>
        <w:rPr>
          <w:szCs w:val="24"/>
        </w:rPr>
      </w:pPr>
      <w:r w:rsidRPr="00C85DC3">
        <w:rPr>
          <w:szCs w:val="24"/>
        </w:rPr>
        <w:t xml:space="preserve">The suction cup experiment allowed our microdialysis results to be compared with a similar study that investigated the plant response to </w:t>
      </w:r>
      <w:r w:rsidR="00046530" w:rsidRPr="00C85DC3">
        <w:rPr>
          <w:szCs w:val="24"/>
        </w:rPr>
        <w:t>localized</w:t>
      </w:r>
      <w:r w:rsidRPr="00C85DC3">
        <w:rPr>
          <w:szCs w:val="24"/>
        </w:rPr>
        <w:t xml:space="preserve"> versus homogeneous P </w:t>
      </w:r>
      <w:r w:rsidR="00046530" w:rsidRPr="00C85DC3">
        <w:rPr>
          <w:szCs w:val="24"/>
        </w:rPr>
        <w:t>fertilizer</w:t>
      </w:r>
      <w:r w:rsidRPr="00C85DC3">
        <w:rPr>
          <w:szCs w:val="24"/>
        </w:rPr>
        <w:t xml:space="preserve"> distribution using suction cups </w:t>
      </w:r>
      <w:r w:rsidR="00037AF6" w:rsidRPr="00C85DC3">
        <w:rPr>
          <w:szCs w:val="24"/>
        </w:rPr>
        <w:fldChar w:fldCharType="begin"/>
      </w:r>
      <w:r w:rsidR="002A1395" w:rsidRPr="00C85DC3">
        <w:rPr>
          <w:szCs w:val="24"/>
        </w:rPr>
        <w:instrText xml:space="preserve"> ADDIN EN.CITE &lt;EndNote&gt;&lt;Cite&gt;&lt;Author&gt;Gao&lt;/Author&gt;&lt;Year&gt;2019&lt;/Year&gt;&lt;RecNum&gt;25&lt;/RecNum&gt;&lt;DisplayText&gt;(Gao, Blaser et al. 2019)&lt;/DisplayText&gt;&lt;record&gt;&lt;rec-number&gt;25&lt;/rec-number&gt;&lt;foreign-keys&gt;&lt;key app="EN" db-id="e0pf0dz95w2e2qesp0ev9tvwdse5fap0eprw" timestamp="1588583714"&gt;25&lt;/key&gt;&lt;key app="ENWeb" db-id=""&gt;0&lt;/key&gt;&lt;/foreign-keys&gt;&lt;ref-type name="Journal Article"&gt;17&lt;/ref-type&gt;&lt;contributors&gt;&lt;authors&gt;&lt;author&gt;Gao, Wei&lt;/author&gt;&lt;author&gt;Blaser, Sebastian R. G. A.&lt;/author&gt;&lt;author&gt;Schlüter, Steffen&lt;/author&gt;&lt;author&gt;Shen, Jianbo&lt;/author&gt;&lt;author&gt;Vetterlein, Doris&lt;/author&gt;&lt;/authors&gt;&lt;/contributors&gt;&lt;titles&gt;&lt;title&gt;Effect of localised phosphorus application on root growth and soil nutrient dynamics in situ – comparison of maize (Zea mays) and faba bean (Vicia faba) at the seedling stage&lt;/title&gt;&lt;secondary-title&gt;Plant and Soil&lt;/secondary-title&gt;&lt;/titles&gt;&lt;periodical&gt;&lt;full-title&gt;Plant and Soil&lt;/full-title&gt;&lt;/periodical&gt;&lt;pages&gt;469-483&lt;/pages&gt;&lt;volume&gt;441&lt;/volume&gt;&lt;number&gt;1-2&lt;/number&gt;&lt;section&gt;469&lt;/section&gt;&lt;dates&gt;&lt;year&gt;2019&lt;/year&gt;&lt;/dates&gt;&lt;isbn&gt;0032-079X&amp;#xD;1573-5036&lt;/isbn&gt;&lt;urls&gt;&lt;/urls&gt;&lt;electronic-resource-num&gt;10.1007/s11104-019-04138-2&lt;/electronic-resource-num&gt;&lt;/record&gt;&lt;/Cite&gt;&lt;/EndNote&gt;</w:instrText>
      </w:r>
      <w:r w:rsidR="00037AF6" w:rsidRPr="00C85DC3">
        <w:rPr>
          <w:szCs w:val="24"/>
        </w:rPr>
        <w:fldChar w:fldCharType="separate"/>
      </w:r>
      <w:r w:rsidR="000E3868" w:rsidRPr="00C85DC3">
        <w:rPr>
          <w:noProof/>
          <w:szCs w:val="24"/>
        </w:rPr>
        <w:t>(Gao, Blaser et al. 2019)</w:t>
      </w:r>
      <w:r w:rsidR="00037AF6" w:rsidRPr="00C85DC3">
        <w:rPr>
          <w:szCs w:val="24"/>
        </w:rPr>
        <w:fldChar w:fldCharType="end"/>
      </w:r>
      <w:r w:rsidRPr="00C85DC3">
        <w:rPr>
          <w:szCs w:val="24"/>
        </w:rPr>
        <w:t xml:space="preserve">. The authors observed very high P concentrations in the </w:t>
      </w:r>
      <w:r w:rsidR="00046530" w:rsidRPr="00C85DC3">
        <w:rPr>
          <w:szCs w:val="24"/>
        </w:rPr>
        <w:t>localized</w:t>
      </w:r>
      <w:r w:rsidRPr="00C85DC3">
        <w:rPr>
          <w:szCs w:val="24"/>
        </w:rPr>
        <w:t xml:space="preserve"> P treatment on the first day, followed by a concentration decrease over time. Despite our use of microdialysis, the different scales of the setup, and the plant in their system, our results are all compatible with what they observed below the pellet. </w:t>
      </w:r>
      <w:r w:rsidR="00037AF6" w:rsidRPr="00C85DC3">
        <w:rPr>
          <w:szCs w:val="24"/>
        </w:rPr>
        <w:fldChar w:fldCharType="begin"/>
      </w:r>
      <w:r w:rsidR="002A1395" w:rsidRPr="00C85DC3">
        <w:rPr>
          <w:szCs w:val="24"/>
        </w:rPr>
        <w:instrText xml:space="preserve"> ADDIN EN.CITE &lt;EndNote&gt;&lt;Cite&gt;&lt;Author&gt;Gao&lt;/Author&gt;&lt;Year&gt;2019&lt;/Year&gt;&lt;RecNum&gt;25&lt;/RecNum&gt;&lt;DisplayText&gt;(Gao, Blaser et al. 2019)&lt;/DisplayText&gt;&lt;record&gt;&lt;rec-number&gt;25&lt;/rec-number&gt;&lt;foreign-keys&gt;&lt;key app="EN" db-id="e0pf0dz95w2e2qesp0ev9tvwdse5fap0eprw" timestamp="1588583714"&gt;25&lt;/key&gt;&lt;key app="ENWeb" db-id=""&gt;0&lt;/key&gt;&lt;/foreign-keys&gt;&lt;ref-type name="Journal Article"&gt;17&lt;/ref-type&gt;&lt;contributors&gt;&lt;authors&gt;&lt;author&gt;Gao, Wei&lt;/author&gt;&lt;author&gt;Blaser, Sebastian R. G. A.&lt;/author&gt;&lt;author&gt;Schlüter, Steffen&lt;/author&gt;&lt;author&gt;Shen, Jianbo&lt;/author&gt;&lt;author&gt;Vetterlein, Doris&lt;/author&gt;&lt;/authors&gt;&lt;/contributors&gt;&lt;titles&gt;&lt;title&gt;Effect of localised phosphorus application on root growth and soil nutrient dynamics in situ – comparison of maize (Zea mays) and faba bean (Vicia faba) at the seedling stage&lt;/title&gt;&lt;secondary-title&gt;Plant and Soil&lt;/secondary-title&gt;&lt;/titles&gt;&lt;periodical&gt;&lt;full-title&gt;Plant and Soil&lt;/full-title&gt;&lt;/periodical&gt;&lt;pages&gt;469-483&lt;/pages&gt;&lt;volume&gt;441&lt;/volume&gt;&lt;number&gt;1-2&lt;/number&gt;&lt;section&gt;469&lt;/section&gt;&lt;dates&gt;&lt;year&gt;2019&lt;/year&gt;&lt;/dates&gt;&lt;isbn&gt;0032-079X&amp;#xD;1573-5036&lt;/isbn&gt;&lt;urls&gt;&lt;/urls&gt;&lt;electronic-resource-num&gt;10.1007/s11104-019-04138-2&lt;/electronic-resource-num&gt;&lt;/record&gt;&lt;/Cite&gt;&lt;/EndNote&gt;</w:instrText>
      </w:r>
      <w:r w:rsidR="00037AF6" w:rsidRPr="00C85DC3">
        <w:rPr>
          <w:szCs w:val="24"/>
        </w:rPr>
        <w:fldChar w:fldCharType="separate"/>
      </w:r>
      <w:r w:rsidR="000E3868" w:rsidRPr="00C85DC3">
        <w:rPr>
          <w:noProof/>
          <w:szCs w:val="24"/>
        </w:rPr>
        <w:t>(Gao, Blaser et al. 2019)</w:t>
      </w:r>
      <w:r w:rsidR="00037AF6" w:rsidRPr="00C85DC3">
        <w:rPr>
          <w:szCs w:val="24"/>
        </w:rPr>
        <w:fldChar w:fldCharType="end"/>
      </w:r>
      <w:r w:rsidR="00037AF6" w:rsidRPr="00C85DC3">
        <w:rPr>
          <w:szCs w:val="24"/>
        </w:rPr>
        <w:t xml:space="preserve"> </w:t>
      </w:r>
      <w:r w:rsidRPr="00C85DC3">
        <w:rPr>
          <w:szCs w:val="24"/>
        </w:rPr>
        <w:t xml:space="preserve">also observed maize root response to the </w:t>
      </w:r>
      <w:r w:rsidR="00046530" w:rsidRPr="00C85DC3">
        <w:rPr>
          <w:szCs w:val="24"/>
        </w:rPr>
        <w:t>localized</w:t>
      </w:r>
      <w:r w:rsidRPr="00C85DC3">
        <w:rPr>
          <w:szCs w:val="24"/>
        </w:rPr>
        <w:t xml:space="preserve"> phosphorus supply in the first 2</w:t>
      </w:r>
      <w:r w:rsidR="00971A39" w:rsidRPr="00C85DC3">
        <w:rPr>
          <w:szCs w:val="24"/>
        </w:rPr>
        <w:t>.</w:t>
      </w:r>
      <w:r w:rsidRPr="00C85DC3">
        <w:rPr>
          <w:szCs w:val="24"/>
        </w:rPr>
        <w:t xml:space="preserve">4 </w:t>
      </w:r>
      <w:r w:rsidR="00971A39" w:rsidRPr="00C85DC3">
        <w:rPr>
          <w:szCs w:val="24"/>
        </w:rPr>
        <w:t>c</w:t>
      </w:r>
      <w:r w:rsidRPr="00C85DC3">
        <w:rPr>
          <w:szCs w:val="24"/>
        </w:rPr>
        <w:t xml:space="preserve">m below the </w:t>
      </w:r>
      <w:r w:rsidR="00046530" w:rsidRPr="00C85DC3">
        <w:rPr>
          <w:szCs w:val="24"/>
        </w:rPr>
        <w:t>fertilizer</w:t>
      </w:r>
      <w:r w:rsidRPr="00C85DC3">
        <w:rPr>
          <w:szCs w:val="24"/>
        </w:rPr>
        <w:t xml:space="preserve"> pellets layer, but no increased root biomass was observed above the layer. </w:t>
      </w:r>
      <w:r w:rsidRPr="00C85DC3">
        <w:rPr>
          <w:szCs w:val="24"/>
        </w:rPr>
        <w:lastRenderedPageBreak/>
        <w:t>We hypothesi</w:t>
      </w:r>
      <w:r w:rsidR="00046530" w:rsidRPr="00C85DC3">
        <w:rPr>
          <w:szCs w:val="24"/>
        </w:rPr>
        <w:t>z</w:t>
      </w:r>
      <w:r w:rsidRPr="00C85DC3">
        <w:rPr>
          <w:szCs w:val="24"/>
        </w:rPr>
        <w:t xml:space="preserve">e that the preferential movement of P in the downward direction observed in this study induces root proliferation in the area below the pellet but the concentrations above the pellet do not reach the required levels to induce a plastic response </w:t>
      </w:r>
      <w:r w:rsidR="00037AF6" w:rsidRPr="00C85DC3">
        <w:rPr>
          <w:szCs w:val="24"/>
        </w:rPr>
        <w:fldChar w:fldCharType="begin"/>
      </w:r>
      <w:r w:rsidR="002A1395" w:rsidRPr="00C85DC3">
        <w:rPr>
          <w:szCs w:val="24"/>
        </w:rPr>
        <w:instrText xml:space="preserve"> ADDIN EN.CITE &lt;EndNote&gt;&lt;Cite&gt;&lt;Author&gt;Drew&lt;/Author&gt;&lt;Year&gt;1975&lt;/Year&gt;&lt;RecNum&gt;33&lt;/RecNum&gt;&lt;DisplayText&gt;(Drew 1975)&lt;/DisplayText&gt;&lt;record&gt;&lt;rec-number&gt;33&lt;/rec-number&gt;&lt;foreign-keys&gt;&lt;key app="EN" db-id="e0pf0dz95w2e2qesp0ev9tvwdse5fap0eprw" timestamp="1588585012"&gt;33&lt;/key&gt;&lt;/foreign-keys&gt;&lt;ref-type name="Journal Article"&gt;17&lt;/ref-type&gt;&lt;contributors&gt;&lt;authors&gt;&lt;author&gt;Drew, MC&lt;/author&gt;&lt;/authors&gt;&lt;/contributors&gt;&lt;titles&gt;&lt;title&gt;Comparison of the effects of a localised supply of phosphate, nitrate, ammonium and potassium on the growth of the seminal root system, and the shoot, in barley&lt;/title&gt;&lt;secondary-title&gt;New Phytologist&lt;/secondary-title&gt;&lt;/titles&gt;&lt;periodical&gt;&lt;full-title&gt;New Phytologist&lt;/full-title&gt;&lt;/periodical&gt;&lt;pages&gt;479-490&lt;/pages&gt;&lt;volume&gt;75&lt;/volume&gt;&lt;number&gt;3&lt;/number&gt;&lt;dates&gt;&lt;year&gt;1975&lt;/year&gt;&lt;/dates&gt;&lt;isbn&gt;0028-646X&lt;/isbn&gt;&lt;urls&gt;&lt;/urls&gt;&lt;/record&gt;&lt;/Cite&gt;&lt;/EndNote&gt;</w:instrText>
      </w:r>
      <w:r w:rsidR="00037AF6" w:rsidRPr="00C85DC3">
        <w:rPr>
          <w:szCs w:val="24"/>
        </w:rPr>
        <w:fldChar w:fldCharType="separate"/>
      </w:r>
      <w:r w:rsidR="000E3868" w:rsidRPr="00C85DC3">
        <w:rPr>
          <w:noProof/>
          <w:szCs w:val="24"/>
        </w:rPr>
        <w:t>(Drew 1975)</w:t>
      </w:r>
      <w:r w:rsidR="00037AF6" w:rsidRPr="00C85DC3">
        <w:rPr>
          <w:szCs w:val="24"/>
        </w:rPr>
        <w:fldChar w:fldCharType="end"/>
      </w:r>
      <w:r w:rsidRPr="00C85DC3">
        <w:rPr>
          <w:szCs w:val="24"/>
        </w:rPr>
        <w:t>.</w:t>
      </w:r>
    </w:p>
    <w:p w14:paraId="01316F5B" w14:textId="3843C625" w:rsidR="005A729B" w:rsidRPr="00C85DC3" w:rsidRDefault="005A729B" w:rsidP="005A729B">
      <w:pPr>
        <w:pStyle w:val="ParaText"/>
        <w:spacing w:line="480" w:lineRule="auto"/>
        <w:jc w:val="center"/>
        <w:rPr>
          <w:szCs w:val="24"/>
        </w:rPr>
      </w:pPr>
      <w:r w:rsidRPr="00C85DC3">
        <w:rPr>
          <w:noProof/>
          <w:lang w:val="en-GB" w:eastAsia="en-GB"/>
        </w:rPr>
        <w:drawing>
          <wp:inline distT="0" distB="0" distL="0" distR="0" wp14:anchorId="62D9B776" wp14:editId="556008CD">
            <wp:extent cx="5846519" cy="19080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954" t="7791" r="4055"/>
                    <a:stretch/>
                  </pic:blipFill>
                  <pic:spPr bwMode="auto">
                    <a:xfrm>
                      <a:off x="0" y="0"/>
                      <a:ext cx="5846519" cy="1908000"/>
                    </a:xfrm>
                    <a:prstGeom prst="rect">
                      <a:avLst/>
                    </a:prstGeom>
                    <a:noFill/>
                    <a:ln>
                      <a:noFill/>
                    </a:ln>
                    <a:extLst>
                      <a:ext uri="{53640926-AAD7-44D8-BBD7-CCE9431645EC}">
                        <a14:shadowObscured xmlns:a14="http://schemas.microsoft.com/office/drawing/2010/main"/>
                      </a:ext>
                    </a:extLst>
                  </pic:spPr>
                </pic:pic>
              </a:graphicData>
            </a:graphic>
          </wp:inline>
        </w:drawing>
      </w:r>
    </w:p>
    <w:p w14:paraId="6EC0FB33" w14:textId="543850C6" w:rsidR="00AE65B4" w:rsidRPr="00C85DC3" w:rsidRDefault="005A729B" w:rsidP="00371E22">
      <w:pPr>
        <w:spacing w:after="0" w:line="480" w:lineRule="auto"/>
        <w:jc w:val="center"/>
      </w:pPr>
      <w:r w:rsidRPr="00C85DC3">
        <w:rPr>
          <w:rFonts w:ascii="Times New Roman" w:hAnsi="Times New Roman" w:cs="Times New Roman"/>
          <w:bCs/>
        </w:rPr>
        <w:t>Figure 5.</w:t>
      </w:r>
      <w:r w:rsidRPr="00C85DC3">
        <w:rPr>
          <w:rFonts w:ascii="Times New Roman" w:hAnsi="Times New Roman" w:cs="Times New Roman"/>
        </w:rPr>
        <w:t xml:space="preserve"> Comparison between suction cups (red, fine soil) and microdialysis in fine (grey) and coarse (black) soil. Average and standard deviation are shown for each data point. Lefthand panel show probe 1 positioned 0.5 cm above the pellet. Central panel shows probe 2 positioned 1.5 cm below the pellet and righthand panel show probe 3 positioned 3 cm below the pellet.</w:t>
      </w:r>
    </w:p>
    <w:p w14:paraId="3199041C" w14:textId="4CFEE8A8" w:rsidR="000A7D80" w:rsidRPr="00C85DC3" w:rsidRDefault="000A7D80" w:rsidP="000A7D80">
      <w:pPr>
        <w:pStyle w:val="ParaText"/>
        <w:spacing w:line="480" w:lineRule="auto"/>
        <w:ind w:firstLine="0"/>
        <w:rPr>
          <w:szCs w:val="24"/>
        </w:rPr>
      </w:pPr>
      <w:bookmarkStart w:id="28" w:name="_Hlk47017600"/>
      <w:r w:rsidRPr="00C85DC3">
        <w:rPr>
          <w:szCs w:val="24"/>
        </w:rPr>
        <w:t xml:space="preserve">In summary, we developed an </w:t>
      </w:r>
      <w:r w:rsidR="00AE65B4" w:rsidRPr="00C85DC3">
        <w:rPr>
          <w:szCs w:val="24"/>
        </w:rPr>
        <w:t>a</w:t>
      </w:r>
      <w:r w:rsidRPr="00C85DC3">
        <w:rPr>
          <w:szCs w:val="24"/>
        </w:rPr>
        <w:t xml:space="preserve">ssay for monitoring phosphorus release from a </w:t>
      </w:r>
      <w:r w:rsidR="00F258B3" w:rsidRPr="00C85DC3">
        <w:rPr>
          <w:szCs w:val="24"/>
        </w:rPr>
        <w:t>fertilizer</w:t>
      </w:r>
      <w:r w:rsidRPr="00C85DC3">
        <w:rPr>
          <w:szCs w:val="24"/>
        </w:rPr>
        <w:t xml:space="preserve"> pellet and its </w:t>
      </w:r>
      <w:r w:rsidR="00AE65B4" w:rsidRPr="00C85DC3">
        <w:rPr>
          <w:szCs w:val="24"/>
        </w:rPr>
        <w:t>movement</w:t>
      </w:r>
      <w:r w:rsidRPr="00C85DC3">
        <w:rPr>
          <w:szCs w:val="24"/>
        </w:rPr>
        <w:t xml:space="preserve"> into bulk soil. Microdialysis allows for space and time resolved measurements of P in soil solution and yields comparable results to the </w:t>
      </w:r>
      <w:r w:rsidR="00D03E27" w:rsidRPr="00C85DC3">
        <w:rPr>
          <w:szCs w:val="24"/>
        </w:rPr>
        <w:t>popular</w:t>
      </w:r>
      <w:r w:rsidRPr="00C85DC3">
        <w:rPr>
          <w:szCs w:val="24"/>
        </w:rPr>
        <w:t xml:space="preserve"> suction cups, which </w:t>
      </w:r>
      <w:r w:rsidR="00D03E27" w:rsidRPr="00C85DC3">
        <w:rPr>
          <w:szCs w:val="24"/>
        </w:rPr>
        <w:t xml:space="preserve">are </w:t>
      </w:r>
      <w:r w:rsidRPr="00C85DC3">
        <w:rPr>
          <w:szCs w:val="24"/>
        </w:rPr>
        <w:t>more invasive. The results show a rapid release of P from the fertili</w:t>
      </w:r>
      <w:r w:rsidR="00AE65B4" w:rsidRPr="00C85DC3">
        <w:rPr>
          <w:szCs w:val="24"/>
        </w:rPr>
        <w:t>z</w:t>
      </w:r>
      <w:r w:rsidRPr="00C85DC3">
        <w:rPr>
          <w:szCs w:val="24"/>
        </w:rPr>
        <w:t>er pellet, which happens with a narrower timescale than the sampling resolution, followed by a decrease over time compatible with adsorption onto soil particles.</w:t>
      </w:r>
      <w:r w:rsidR="00B5643D" w:rsidRPr="00C85DC3">
        <w:rPr>
          <w:szCs w:val="24"/>
        </w:rPr>
        <w:t xml:space="preserve"> For agricultural applications, this might indicate that there are only </w:t>
      </w:r>
      <w:r w:rsidR="00B5643D" w:rsidRPr="00C85DC3">
        <w:t>narrow time windows after fertilizing where actions can be taken to mitigate P pollution. This is also a point that requires more research and further verification at larger spatial scales, as it is not clear to what extent P is able to transport through the soil domain.</w:t>
      </w:r>
      <w:r w:rsidR="00AE65B4" w:rsidRPr="00C85DC3">
        <w:rPr>
          <w:szCs w:val="24"/>
        </w:rPr>
        <w:t xml:space="preserve"> </w:t>
      </w:r>
      <w:r w:rsidRPr="00C85DC3">
        <w:rPr>
          <w:szCs w:val="24"/>
        </w:rPr>
        <w:t>F</w:t>
      </w:r>
      <w:r w:rsidR="00B5643D" w:rsidRPr="00C85DC3">
        <w:rPr>
          <w:szCs w:val="24"/>
        </w:rPr>
        <w:t>urthermore</w:t>
      </w:r>
      <w:r w:rsidRPr="00C85DC3">
        <w:rPr>
          <w:szCs w:val="24"/>
        </w:rPr>
        <w:t>, modeling of P diffusion and adsorption onto soil particles reproduce</w:t>
      </w:r>
      <w:r w:rsidR="00D03E27" w:rsidRPr="00C85DC3">
        <w:rPr>
          <w:szCs w:val="24"/>
        </w:rPr>
        <w:t>d</w:t>
      </w:r>
      <w:r w:rsidRPr="00C85DC3">
        <w:rPr>
          <w:szCs w:val="24"/>
        </w:rPr>
        <w:t xml:space="preserve"> the experimental data and </w:t>
      </w:r>
      <w:r w:rsidRPr="00C85DC3">
        <w:rPr>
          <w:szCs w:val="24"/>
        </w:rPr>
        <w:lastRenderedPageBreak/>
        <w:t>allow</w:t>
      </w:r>
      <w:r w:rsidR="00D03E27" w:rsidRPr="00C85DC3">
        <w:rPr>
          <w:szCs w:val="24"/>
        </w:rPr>
        <w:t>ed</w:t>
      </w:r>
      <w:r w:rsidRPr="00C85DC3">
        <w:rPr>
          <w:szCs w:val="24"/>
        </w:rPr>
        <w:t xml:space="preserve"> to determine P diffusion coefficients</w:t>
      </w:r>
      <w:r w:rsidR="00D03E27" w:rsidRPr="00C85DC3">
        <w:rPr>
          <w:szCs w:val="24"/>
        </w:rPr>
        <w:t xml:space="preserve"> in the soil</w:t>
      </w:r>
      <w:r w:rsidRPr="00C85DC3">
        <w:rPr>
          <w:szCs w:val="24"/>
        </w:rPr>
        <w:t>.</w:t>
      </w:r>
      <w:r w:rsidR="003D4659" w:rsidRPr="00C85DC3">
        <w:rPr>
          <w:szCs w:val="24"/>
        </w:rPr>
        <w:t xml:space="preserve"> </w:t>
      </w:r>
      <w:r w:rsidR="00B5643D" w:rsidRPr="00C85DC3">
        <w:rPr>
          <w:szCs w:val="24"/>
        </w:rPr>
        <w:t>Future studies could enhance these models to consider different convective fluxes associated with changes in soil moisture, water uptake by suction cups, and the influence of gravitation on P transport in the soil domain.</w:t>
      </w:r>
    </w:p>
    <w:bookmarkEnd w:id="28"/>
    <w:p w14:paraId="48AC1D00" w14:textId="77777777" w:rsidR="00FB5D20" w:rsidRPr="00C85DC3" w:rsidRDefault="00FB5D20" w:rsidP="00371E22">
      <w:pPr>
        <w:pStyle w:val="AckTitle"/>
        <w:spacing w:line="480" w:lineRule="auto"/>
        <w:jc w:val="left"/>
        <w:rPr>
          <w:szCs w:val="24"/>
        </w:rPr>
      </w:pPr>
      <w:r w:rsidRPr="00C85DC3">
        <w:rPr>
          <w:szCs w:val="24"/>
        </w:rPr>
        <w:br w:type="page"/>
      </w:r>
    </w:p>
    <w:p w14:paraId="26B0934A" w14:textId="4DF199F5" w:rsidR="009C53F2" w:rsidRPr="00C85DC3" w:rsidRDefault="009C53F2" w:rsidP="00FE38E4">
      <w:pPr>
        <w:pStyle w:val="AckTitle"/>
        <w:spacing w:line="480" w:lineRule="auto"/>
        <w:rPr>
          <w:szCs w:val="24"/>
        </w:rPr>
      </w:pPr>
      <w:r w:rsidRPr="00C85DC3">
        <w:rPr>
          <w:szCs w:val="24"/>
        </w:rPr>
        <w:lastRenderedPageBreak/>
        <w:t>A</w:t>
      </w:r>
      <w:r w:rsidR="00870683" w:rsidRPr="00C85DC3">
        <w:rPr>
          <w:szCs w:val="24"/>
        </w:rPr>
        <w:t>cknowledg</w:t>
      </w:r>
      <w:r w:rsidRPr="00C85DC3">
        <w:rPr>
          <w:szCs w:val="24"/>
        </w:rPr>
        <w:t>ments</w:t>
      </w:r>
    </w:p>
    <w:p w14:paraId="5F0F479C" w14:textId="49192579" w:rsidR="009C53F2" w:rsidRPr="00C85DC3" w:rsidRDefault="00C85DC3" w:rsidP="00FE38E4">
      <w:pPr>
        <w:pStyle w:val="Ack"/>
        <w:spacing w:line="480" w:lineRule="auto"/>
        <w:rPr>
          <w:sz w:val="24"/>
          <w:szCs w:val="24"/>
        </w:rPr>
      </w:pPr>
      <w:r w:rsidRPr="00C85DC3">
        <w:rPr>
          <w:sz w:val="24"/>
          <w:szCs w:val="24"/>
        </w:rPr>
        <w:t>C.P., K.W., A.G., C.S. and D.M.F. are funded by ERC Consolidator grant 646809 (Data Intensive Modelling of the Rhizosphere Processes). S.R. and T.R. are funded by BBSRC SARISA BB/L025620/1, BBSRC SARIC BB/P004180/1 and NERC NE/L00237/1, T.G.D. and T.R. are funded by EPSRC EP/M020355/1. The authors would also like to thank Dr. Matt Cooper for the valuable support in ICP-MS analyses and the µ-VIS X-Ray Imaging Centre at the University of Southampton for provision of tomographic imaging facilities, supported by EPSRC grant EP-H01506X.</w:t>
      </w:r>
    </w:p>
    <w:p w14:paraId="683B21AF" w14:textId="77777777" w:rsidR="005832C4" w:rsidRPr="00C85DC3" w:rsidRDefault="004157FF" w:rsidP="00FE38E4">
      <w:pPr>
        <w:pStyle w:val="H1"/>
        <w:spacing w:line="480" w:lineRule="auto"/>
        <w:rPr>
          <w:sz w:val="24"/>
          <w:szCs w:val="24"/>
        </w:rPr>
      </w:pPr>
      <w:r w:rsidRPr="00C85DC3">
        <w:rPr>
          <w:sz w:val="24"/>
          <w:szCs w:val="24"/>
        </w:rPr>
        <w:t>Supplemental Material</w:t>
      </w:r>
    </w:p>
    <w:p w14:paraId="7A132E12" w14:textId="1846D3C6" w:rsidR="00B46EB0" w:rsidRDefault="00B46EB0" w:rsidP="00FE38E4">
      <w:pPr>
        <w:pStyle w:val="ParaText"/>
        <w:spacing w:line="480" w:lineRule="auto"/>
        <w:rPr>
          <w:szCs w:val="24"/>
        </w:rPr>
      </w:pPr>
      <w:r w:rsidRPr="00C85DC3">
        <w:rPr>
          <w:szCs w:val="24"/>
        </w:rPr>
        <w:t>Supplementary Material includes more detailed schematics of the setup, preliminary experiments on the effect of the watering direction and gravity on P movement, passive sampling techniques calibration, more detailed digestion protocol and modeling equations.</w:t>
      </w:r>
    </w:p>
    <w:p w14:paraId="2D96EC04" w14:textId="18464ECD" w:rsidR="004C77E2" w:rsidRDefault="004C77E2" w:rsidP="004C77E2">
      <w:pPr>
        <w:pStyle w:val="H1"/>
        <w:spacing w:line="480" w:lineRule="auto"/>
        <w:rPr>
          <w:sz w:val="24"/>
          <w:szCs w:val="24"/>
        </w:rPr>
      </w:pPr>
      <w:r>
        <w:rPr>
          <w:sz w:val="24"/>
          <w:szCs w:val="24"/>
        </w:rPr>
        <w:t>data availability</w:t>
      </w:r>
    </w:p>
    <w:p w14:paraId="70371816" w14:textId="0266BF6E" w:rsidR="004C77E2" w:rsidRDefault="004C77E2" w:rsidP="004C77E2">
      <w:pPr>
        <w:pStyle w:val="ParaText"/>
        <w:spacing w:line="480" w:lineRule="auto"/>
        <w:rPr>
          <w:szCs w:val="24"/>
        </w:rPr>
      </w:pPr>
      <w:r>
        <w:rPr>
          <w:szCs w:val="24"/>
        </w:rPr>
        <w:t xml:space="preserve">Data from this study are available at </w:t>
      </w:r>
      <w:r w:rsidRPr="004C77E2">
        <w:rPr>
          <w:szCs w:val="24"/>
        </w:rPr>
        <w:t>https://doi.org/10.5258/SOTON/D1377</w:t>
      </w:r>
      <w:r>
        <w:rPr>
          <w:szCs w:val="24"/>
        </w:rPr>
        <w:t>.</w:t>
      </w:r>
      <w:bookmarkStart w:id="29" w:name="_GoBack"/>
      <w:bookmarkEnd w:id="29"/>
    </w:p>
    <w:p w14:paraId="3ED1AB2B" w14:textId="66F676CE" w:rsidR="004C77E2" w:rsidRDefault="004C77E2" w:rsidP="004C77E2">
      <w:pPr>
        <w:pStyle w:val="H1"/>
        <w:spacing w:line="480" w:lineRule="auto"/>
        <w:rPr>
          <w:sz w:val="24"/>
          <w:szCs w:val="24"/>
        </w:rPr>
      </w:pPr>
      <w:r>
        <w:rPr>
          <w:sz w:val="24"/>
          <w:szCs w:val="24"/>
        </w:rPr>
        <w:t>authors contributions</w:t>
      </w:r>
    </w:p>
    <w:p w14:paraId="5525786C" w14:textId="278E642B" w:rsidR="004C77E2" w:rsidRPr="00C85DC3" w:rsidRDefault="004C77E2" w:rsidP="004C77E2">
      <w:pPr>
        <w:pStyle w:val="ParaText"/>
        <w:spacing w:line="480" w:lineRule="auto"/>
        <w:rPr>
          <w:szCs w:val="24"/>
        </w:rPr>
      </w:pPr>
      <w:r w:rsidRPr="004C77E2">
        <w:rPr>
          <w:szCs w:val="24"/>
        </w:rPr>
        <w:t xml:space="preserve">CP conducted the experiments, carried out the analytical lab work, </w:t>
      </w:r>
      <w:proofErr w:type="spellStart"/>
      <w:r w:rsidRPr="004C77E2">
        <w:rPr>
          <w:szCs w:val="24"/>
        </w:rPr>
        <w:t>analysed</w:t>
      </w:r>
      <w:proofErr w:type="spellEnd"/>
      <w:r w:rsidRPr="004C77E2">
        <w:rPr>
          <w:szCs w:val="24"/>
        </w:rPr>
        <w:t xml:space="preserve"> data, participated in designed the study and drafted the manuscript. KAW participated in designed the study, conducted the computed tomography scans and </w:t>
      </w:r>
      <w:proofErr w:type="spellStart"/>
      <w:r w:rsidRPr="004C77E2">
        <w:rPr>
          <w:szCs w:val="24"/>
        </w:rPr>
        <w:t>analysed</w:t>
      </w:r>
      <w:proofErr w:type="spellEnd"/>
      <w:r w:rsidRPr="004C77E2">
        <w:rPr>
          <w:szCs w:val="24"/>
        </w:rPr>
        <w:t xml:space="preserve"> the data, participated in lab work and critically revised the manuscript. AG conducted the modelling work and helped drafting the manuscript. DMF, SAR and TGSD participated in modelling work and critically revised the </w:t>
      </w:r>
      <w:r w:rsidRPr="004C77E2">
        <w:rPr>
          <w:szCs w:val="24"/>
        </w:rPr>
        <w:lastRenderedPageBreak/>
        <w:t>manuscript. CPS participated in designing the study and helped with lab work. TR conceived the study, coordinated the study and critically revised the manuscript.</w:t>
      </w:r>
    </w:p>
    <w:p w14:paraId="6DD7D663" w14:textId="77777777" w:rsidR="00AE1D24" w:rsidRPr="00C85DC3" w:rsidRDefault="00AE1D24" w:rsidP="00FE38E4">
      <w:pPr>
        <w:pStyle w:val="BibTitle"/>
        <w:spacing w:line="480" w:lineRule="auto"/>
        <w:rPr>
          <w:szCs w:val="24"/>
        </w:rPr>
      </w:pPr>
      <w:r w:rsidRPr="00C85DC3">
        <w:rPr>
          <w:szCs w:val="24"/>
        </w:rPr>
        <w:t>References</w:t>
      </w:r>
    </w:p>
    <w:p w14:paraId="5EAEA8CA" w14:textId="77777777" w:rsidR="00820A36" w:rsidRPr="00C85DC3" w:rsidRDefault="00F4462A" w:rsidP="00820A36">
      <w:pPr>
        <w:pStyle w:val="EndNoteBibliography"/>
        <w:spacing w:after="0"/>
      </w:pPr>
      <w:r w:rsidRPr="00C85DC3">
        <w:rPr>
          <w:sz w:val="24"/>
          <w:szCs w:val="24"/>
        </w:rPr>
        <w:fldChar w:fldCharType="begin"/>
      </w:r>
      <w:r w:rsidRPr="00C85DC3">
        <w:rPr>
          <w:sz w:val="24"/>
          <w:szCs w:val="24"/>
        </w:rPr>
        <w:instrText xml:space="preserve"> ADDIN EN.REFLIST </w:instrText>
      </w:r>
      <w:r w:rsidRPr="00C85DC3">
        <w:rPr>
          <w:sz w:val="24"/>
          <w:szCs w:val="24"/>
        </w:rPr>
        <w:fldChar w:fldCharType="separate"/>
      </w:r>
      <w:r w:rsidR="00820A36" w:rsidRPr="00C85DC3">
        <w:t xml:space="preserve">Ashley, K., D. Cordell and D. Mavinic (2011). "A brief history of phosphorus: from the philosopher's stone to nutrient recovery and reuse." </w:t>
      </w:r>
      <w:r w:rsidR="00820A36" w:rsidRPr="00C85DC3">
        <w:rPr>
          <w:u w:val="single"/>
        </w:rPr>
        <w:t>Chemosphere</w:t>
      </w:r>
      <w:r w:rsidR="00820A36" w:rsidRPr="00C85DC3">
        <w:t xml:space="preserve"> </w:t>
      </w:r>
      <w:r w:rsidR="00820A36" w:rsidRPr="00C85DC3">
        <w:rPr>
          <w:b/>
        </w:rPr>
        <w:t>84</w:t>
      </w:r>
      <w:r w:rsidR="00820A36" w:rsidRPr="00C85DC3">
        <w:t>(6): 737-746.</w:t>
      </w:r>
    </w:p>
    <w:p w14:paraId="36F36DAC" w14:textId="77777777" w:rsidR="00820A36" w:rsidRPr="00C85DC3" w:rsidRDefault="00820A36" w:rsidP="00820A36">
      <w:pPr>
        <w:pStyle w:val="EndNoteBibliography"/>
        <w:spacing w:after="0"/>
      </w:pPr>
      <w:r w:rsidRPr="00C85DC3">
        <w:t xml:space="preserve">Barber, S. A. (1995). </w:t>
      </w:r>
      <w:r w:rsidRPr="00C85DC3">
        <w:rPr>
          <w:u w:val="single"/>
        </w:rPr>
        <w:t>Soil nutrient bioavailability: a mechanistic approach</w:t>
      </w:r>
      <w:r w:rsidRPr="00C85DC3">
        <w:t>, John Wiley &amp; Sons.</w:t>
      </w:r>
    </w:p>
    <w:p w14:paraId="5FC9415F" w14:textId="77777777" w:rsidR="00820A36" w:rsidRPr="00C85DC3" w:rsidRDefault="00820A36" w:rsidP="00820A36">
      <w:pPr>
        <w:pStyle w:val="EndNoteBibliography"/>
        <w:spacing w:after="0"/>
      </w:pPr>
      <w:r w:rsidRPr="00C85DC3">
        <w:t xml:space="preserve">Barraclough, P. and P. Tinker (1981). "The determination of ionic diffusion coefficients in field soils. I. Diffusion coefficients in sieved soils in relation to water content and bulk density." </w:t>
      </w:r>
      <w:r w:rsidRPr="00C85DC3">
        <w:rPr>
          <w:u w:val="single"/>
        </w:rPr>
        <w:t>Journal of Soil Science</w:t>
      </w:r>
      <w:r w:rsidRPr="00C85DC3">
        <w:t xml:space="preserve"> </w:t>
      </w:r>
      <w:r w:rsidRPr="00C85DC3">
        <w:rPr>
          <w:b/>
        </w:rPr>
        <w:t>32</w:t>
      </w:r>
      <w:r w:rsidRPr="00C85DC3">
        <w:t>(2): 225-236.</w:t>
      </w:r>
    </w:p>
    <w:p w14:paraId="05F1B810" w14:textId="77777777" w:rsidR="00820A36" w:rsidRPr="00C85DC3" w:rsidRDefault="00820A36" w:rsidP="00820A36">
      <w:pPr>
        <w:pStyle w:val="EndNoteBibliography"/>
        <w:spacing w:after="0"/>
      </w:pPr>
      <w:r w:rsidRPr="00C85DC3">
        <w:t xml:space="preserve">Benbi, D. and R. Gilkes (1987). "The movement into soil of P from superphosphate grains and its availability to plants." </w:t>
      </w:r>
      <w:r w:rsidRPr="00C85DC3">
        <w:rPr>
          <w:u w:val="single"/>
        </w:rPr>
        <w:t>Fertilizer Research</w:t>
      </w:r>
      <w:r w:rsidRPr="00C85DC3">
        <w:t xml:space="preserve"> </w:t>
      </w:r>
      <w:r w:rsidRPr="00C85DC3">
        <w:rPr>
          <w:b/>
        </w:rPr>
        <w:t>12</w:t>
      </w:r>
      <w:r w:rsidRPr="00C85DC3">
        <w:t>: 21-36.</w:t>
      </w:r>
    </w:p>
    <w:p w14:paraId="54FF4283" w14:textId="77777777" w:rsidR="00820A36" w:rsidRPr="00C85DC3" w:rsidRDefault="00820A36" w:rsidP="00820A36">
      <w:pPr>
        <w:pStyle w:val="EndNoteBibliography"/>
        <w:spacing w:after="0"/>
      </w:pPr>
      <w:r w:rsidRPr="00C85DC3">
        <w:t xml:space="preserve">Blackshaw, R. E. and L. J. Molnar (2017). "Phosphorus Fertilizer Application Method Affects Weed Growth and Competition with Wheat." </w:t>
      </w:r>
      <w:r w:rsidRPr="00C85DC3">
        <w:rPr>
          <w:u w:val="single"/>
        </w:rPr>
        <w:t>Weed Science</w:t>
      </w:r>
      <w:r w:rsidRPr="00C85DC3">
        <w:t xml:space="preserve"> </w:t>
      </w:r>
      <w:r w:rsidRPr="00C85DC3">
        <w:rPr>
          <w:b/>
        </w:rPr>
        <w:t>57</w:t>
      </w:r>
      <w:r w:rsidRPr="00C85DC3">
        <w:t>(3): 311-318.</w:t>
      </w:r>
    </w:p>
    <w:p w14:paraId="38D1D1CB" w14:textId="77777777" w:rsidR="00820A36" w:rsidRPr="00C85DC3" w:rsidRDefault="00820A36" w:rsidP="00820A36">
      <w:pPr>
        <w:pStyle w:val="EndNoteBibliography"/>
        <w:spacing w:after="0"/>
      </w:pPr>
      <w:r w:rsidRPr="00C85DC3">
        <w:t xml:space="preserve">Blicher-Mathiesen, G., H. E. Andersen and S. E. Larsen (2014). "Nitrogen field balances and suction cup-measured N leaching in Danish catchments." </w:t>
      </w:r>
      <w:r w:rsidRPr="00C85DC3">
        <w:rPr>
          <w:u w:val="single"/>
        </w:rPr>
        <w:t>Agriculture, Ecosystems &amp; Environment</w:t>
      </w:r>
      <w:r w:rsidRPr="00C85DC3">
        <w:t xml:space="preserve"> </w:t>
      </w:r>
      <w:r w:rsidRPr="00C85DC3">
        <w:rPr>
          <w:b/>
        </w:rPr>
        <w:t>196</w:t>
      </w:r>
      <w:r w:rsidRPr="00C85DC3">
        <w:t>: 69-75.</w:t>
      </w:r>
    </w:p>
    <w:p w14:paraId="13260ACB" w14:textId="77777777" w:rsidR="00820A36" w:rsidRPr="00C85DC3" w:rsidRDefault="00820A36" w:rsidP="00820A36">
      <w:pPr>
        <w:pStyle w:val="EndNoteBibliography"/>
        <w:spacing w:after="0"/>
      </w:pPr>
      <w:r w:rsidRPr="00C85DC3">
        <w:t xml:space="preserve">Bourne, J. A. (2003). "Intracerebral microdialysis: 30 years as a tool for the neuroscientist." </w:t>
      </w:r>
      <w:r w:rsidRPr="00C85DC3">
        <w:rPr>
          <w:u w:val="single"/>
        </w:rPr>
        <w:t>Clinical and experimental pharmacology and physiology</w:t>
      </w:r>
      <w:r w:rsidRPr="00C85DC3">
        <w:t xml:space="preserve"> </w:t>
      </w:r>
      <w:r w:rsidRPr="00C85DC3">
        <w:rPr>
          <w:b/>
        </w:rPr>
        <w:t>30</w:t>
      </w:r>
      <w:r w:rsidRPr="00C85DC3">
        <w:t>(1‐2): 16-24.</w:t>
      </w:r>
    </w:p>
    <w:p w14:paraId="17916349" w14:textId="77777777" w:rsidR="00820A36" w:rsidRPr="00C85DC3" w:rsidRDefault="00820A36" w:rsidP="00820A36">
      <w:pPr>
        <w:pStyle w:val="EndNoteBibliography"/>
        <w:spacing w:after="0"/>
      </w:pPr>
      <w:r w:rsidRPr="00C85DC3">
        <w:t xml:space="preserve">Brackin, R., B. S. Atkinson, C. J. Sturrock and A. Rasmussen (2017). "Roots‐eye view: Using microdialysis and microCT to non‐destructively map root nutrient depletion and accumulation zones." </w:t>
      </w:r>
      <w:r w:rsidRPr="00C85DC3">
        <w:rPr>
          <w:u w:val="single"/>
        </w:rPr>
        <w:t>Plant, cell &amp; environment</w:t>
      </w:r>
      <w:r w:rsidRPr="00C85DC3">
        <w:t xml:space="preserve"> </w:t>
      </w:r>
      <w:r w:rsidRPr="00C85DC3">
        <w:rPr>
          <w:b/>
        </w:rPr>
        <w:t>40</w:t>
      </w:r>
      <w:r w:rsidRPr="00C85DC3">
        <w:t>(12): 3135-3142.</w:t>
      </w:r>
    </w:p>
    <w:p w14:paraId="7C1AD136" w14:textId="77777777" w:rsidR="00820A36" w:rsidRPr="00C85DC3" w:rsidRDefault="00820A36" w:rsidP="00820A36">
      <w:pPr>
        <w:pStyle w:val="EndNoteBibliography"/>
        <w:spacing w:after="0"/>
      </w:pPr>
      <w:r w:rsidRPr="00C85DC3">
        <w:t xml:space="preserve">Buckley, S., R. Brackin, S. Jämtgård, T. Näsholm and S. Schmidt (2020). "Microdialysis in soil environments: Current practice and future perspectives." </w:t>
      </w:r>
      <w:r w:rsidRPr="00C85DC3">
        <w:rPr>
          <w:u w:val="single"/>
        </w:rPr>
        <w:t>Soil Biology and Biochemistry</w:t>
      </w:r>
      <w:r w:rsidRPr="00C85DC3">
        <w:t xml:space="preserve"> </w:t>
      </w:r>
      <w:r w:rsidRPr="00C85DC3">
        <w:rPr>
          <w:b/>
        </w:rPr>
        <w:t>143</w:t>
      </w:r>
      <w:r w:rsidRPr="00C85DC3">
        <w:t>: 107743.</w:t>
      </w:r>
    </w:p>
    <w:p w14:paraId="24D4CE55" w14:textId="77777777" w:rsidR="00820A36" w:rsidRPr="00C85DC3" w:rsidRDefault="00820A36" w:rsidP="00820A36">
      <w:pPr>
        <w:pStyle w:val="EndNoteBibliography"/>
        <w:spacing w:after="0"/>
      </w:pPr>
      <w:r w:rsidRPr="00C85DC3">
        <w:t xml:space="preserve">Buckley, S., R. Brackin, T. Näsholm, S. Schmidt and S. Jämtgård (2017). "Improving in situ recovery of soil nitrogen using the microdialysis technique." </w:t>
      </w:r>
      <w:r w:rsidRPr="00C85DC3">
        <w:rPr>
          <w:u w:val="single"/>
        </w:rPr>
        <w:t>Soil Biology and Biochemistry</w:t>
      </w:r>
      <w:r w:rsidRPr="00C85DC3">
        <w:t xml:space="preserve"> </w:t>
      </w:r>
      <w:r w:rsidRPr="00C85DC3">
        <w:rPr>
          <w:b/>
        </w:rPr>
        <w:t>114</w:t>
      </w:r>
      <w:r w:rsidRPr="00C85DC3">
        <w:t>: 93-103.</w:t>
      </w:r>
    </w:p>
    <w:p w14:paraId="7670FCB5" w14:textId="77777777" w:rsidR="00820A36" w:rsidRPr="00C85DC3" w:rsidRDefault="00820A36" w:rsidP="00820A36">
      <w:pPr>
        <w:pStyle w:val="EndNoteBibliography"/>
        <w:spacing w:after="0"/>
      </w:pPr>
      <w:r w:rsidRPr="00C85DC3">
        <w:t xml:space="preserve">Cordell, D., J.-O. Drangert and S. White (2009). "The story of phosphorus: Global food security and food for thought." </w:t>
      </w:r>
      <w:r w:rsidRPr="00C85DC3">
        <w:rPr>
          <w:u w:val="single"/>
        </w:rPr>
        <w:t>Global Environmental Change</w:t>
      </w:r>
      <w:r w:rsidRPr="00C85DC3">
        <w:t xml:space="preserve"> </w:t>
      </w:r>
      <w:r w:rsidRPr="00C85DC3">
        <w:rPr>
          <w:b/>
        </w:rPr>
        <w:t>19</w:t>
      </w:r>
      <w:r w:rsidRPr="00C85DC3">
        <w:t>(2): 292-305.</w:t>
      </w:r>
    </w:p>
    <w:p w14:paraId="3E329259" w14:textId="77777777" w:rsidR="00820A36" w:rsidRPr="00C85DC3" w:rsidRDefault="00820A36" w:rsidP="00820A36">
      <w:pPr>
        <w:pStyle w:val="EndNoteBibliography"/>
        <w:spacing w:after="0"/>
      </w:pPr>
      <w:r w:rsidRPr="00C85DC3">
        <w:t xml:space="preserve">de Jonge, L. W., C. Kjaergaard and P. Moldrup (2004). "Colloids and colloid-facilitated transport of contaminants in soils: an introduction." </w:t>
      </w:r>
      <w:r w:rsidRPr="00C85DC3">
        <w:rPr>
          <w:u w:val="single"/>
        </w:rPr>
        <w:t>Vadose Zone Journal</w:t>
      </w:r>
      <w:r w:rsidRPr="00C85DC3">
        <w:t xml:space="preserve"> </w:t>
      </w:r>
      <w:r w:rsidRPr="00C85DC3">
        <w:rPr>
          <w:b/>
        </w:rPr>
        <w:t>3</w:t>
      </w:r>
      <w:r w:rsidRPr="00C85DC3">
        <w:t>: 321-325.</w:t>
      </w:r>
    </w:p>
    <w:p w14:paraId="3D7976A2" w14:textId="77777777" w:rsidR="00820A36" w:rsidRPr="00C85DC3" w:rsidRDefault="00820A36" w:rsidP="00820A36">
      <w:pPr>
        <w:pStyle w:val="EndNoteBibliography"/>
        <w:spacing w:after="0"/>
      </w:pPr>
      <w:r w:rsidRPr="00C85DC3">
        <w:t xml:space="preserve">Demand, D., H. Schack-Kirchner and F. Lang (2017). "Assessment of diffusive phosphate supply in soils by microdialysis." </w:t>
      </w:r>
      <w:r w:rsidRPr="00C85DC3">
        <w:rPr>
          <w:u w:val="single"/>
        </w:rPr>
        <w:t>Journal of Plant Nutrition and Soil Science</w:t>
      </w:r>
      <w:r w:rsidRPr="00C85DC3">
        <w:t xml:space="preserve"> </w:t>
      </w:r>
      <w:r w:rsidRPr="00C85DC3">
        <w:rPr>
          <w:b/>
        </w:rPr>
        <w:t>180</w:t>
      </w:r>
      <w:r w:rsidRPr="00C85DC3">
        <w:t>(2): 220-230.</w:t>
      </w:r>
    </w:p>
    <w:p w14:paraId="73C02AE7" w14:textId="77777777" w:rsidR="00820A36" w:rsidRPr="00C85DC3" w:rsidRDefault="00820A36" w:rsidP="00820A36">
      <w:pPr>
        <w:pStyle w:val="EndNoteBibliography"/>
        <w:spacing w:after="0"/>
      </w:pPr>
      <w:r w:rsidRPr="00C85DC3">
        <w:t xml:space="preserve">Drew, M. (1975). "Comparison of the effects of a localised supply of phosphate, nitrate, ammonium and potassium on the growth of the seminal root system, and the shoot, in barley." </w:t>
      </w:r>
      <w:r w:rsidRPr="00C85DC3">
        <w:rPr>
          <w:u w:val="single"/>
        </w:rPr>
        <w:t>New Phytologist</w:t>
      </w:r>
      <w:r w:rsidRPr="00C85DC3">
        <w:t xml:space="preserve"> </w:t>
      </w:r>
      <w:r w:rsidRPr="00C85DC3">
        <w:rPr>
          <w:b/>
        </w:rPr>
        <w:t>75</w:t>
      </w:r>
      <w:r w:rsidRPr="00C85DC3">
        <w:t>(3): 479-490.</w:t>
      </w:r>
    </w:p>
    <w:p w14:paraId="17B4A286" w14:textId="77777777" w:rsidR="00820A36" w:rsidRPr="00C85DC3" w:rsidRDefault="00820A36" w:rsidP="00820A36">
      <w:pPr>
        <w:pStyle w:val="EndNoteBibliography"/>
        <w:spacing w:after="0"/>
      </w:pPr>
      <w:r w:rsidRPr="00C85DC3">
        <w:t xml:space="preserve">Gao, W., S. R. G. A. Blaser, S. Schlüter, J. Shen and D. Vetterlein (2019). "Effect of localised phosphorus application on root growth and soil nutrient dynamics in situ – comparison of maize (Zea mays) and faba bean (Vicia faba) at the seedling stage." </w:t>
      </w:r>
      <w:r w:rsidRPr="00C85DC3">
        <w:rPr>
          <w:u w:val="single"/>
        </w:rPr>
        <w:t>Plant and Soil</w:t>
      </w:r>
      <w:r w:rsidRPr="00C85DC3">
        <w:t xml:space="preserve"> </w:t>
      </w:r>
      <w:r w:rsidRPr="00C85DC3">
        <w:rPr>
          <w:b/>
        </w:rPr>
        <w:t>441</w:t>
      </w:r>
      <w:r w:rsidRPr="00C85DC3">
        <w:t>(1-2): 469-483.</w:t>
      </w:r>
    </w:p>
    <w:p w14:paraId="2AD381CC" w14:textId="77777777" w:rsidR="00820A36" w:rsidRPr="00C85DC3" w:rsidRDefault="00820A36" w:rsidP="00820A36">
      <w:pPr>
        <w:pStyle w:val="EndNoteBibliography"/>
        <w:spacing w:after="0"/>
      </w:pPr>
      <w:r w:rsidRPr="00C85DC3">
        <w:t xml:space="preserve">Göttlein, A., U. Hell and R. Blasek (1996). "A system for microscale tensiometry and lysimetry." </w:t>
      </w:r>
      <w:r w:rsidRPr="00C85DC3">
        <w:rPr>
          <w:u w:val="single"/>
        </w:rPr>
        <w:t>Geoderma</w:t>
      </w:r>
      <w:r w:rsidRPr="00C85DC3">
        <w:t xml:space="preserve"> </w:t>
      </w:r>
      <w:r w:rsidRPr="00C85DC3">
        <w:rPr>
          <w:b/>
        </w:rPr>
        <w:t>69</w:t>
      </w:r>
      <w:r w:rsidRPr="00C85DC3">
        <w:t>(1-2): 147-156.</w:t>
      </w:r>
    </w:p>
    <w:p w14:paraId="33A87857" w14:textId="77777777" w:rsidR="00820A36" w:rsidRPr="00C85DC3" w:rsidRDefault="00820A36" w:rsidP="00820A36">
      <w:pPr>
        <w:pStyle w:val="EndNoteBibliography"/>
        <w:spacing w:after="0"/>
      </w:pPr>
      <w:r w:rsidRPr="00C85DC3">
        <w:t xml:space="preserve">Grant, C., D. Flaten, D. Tomasiewicz and S. Sheppard (2001). "The importance of early season phosphorus nutrition." </w:t>
      </w:r>
      <w:r w:rsidRPr="00C85DC3">
        <w:rPr>
          <w:u w:val="single"/>
        </w:rPr>
        <w:t>Canadian Journal of Plant Science</w:t>
      </w:r>
      <w:r w:rsidRPr="00C85DC3">
        <w:t xml:space="preserve"> </w:t>
      </w:r>
      <w:r w:rsidRPr="00C85DC3">
        <w:rPr>
          <w:b/>
        </w:rPr>
        <w:t>81</w:t>
      </w:r>
      <w:r w:rsidRPr="00C85DC3">
        <w:t>(2): 211-224.</w:t>
      </w:r>
    </w:p>
    <w:p w14:paraId="41832831" w14:textId="77777777" w:rsidR="00820A36" w:rsidRPr="00C85DC3" w:rsidRDefault="00820A36" w:rsidP="00820A36">
      <w:pPr>
        <w:pStyle w:val="EndNoteBibliography"/>
        <w:spacing w:after="0"/>
      </w:pPr>
      <w:r w:rsidRPr="00C85DC3">
        <w:t xml:space="preserve">Hammarlund-Udenaes, M. (2017). "Microdialysis as an important technique in systems pharmacology—a historical and methodological review." </w:t>
      </w:r>
      <w:r w:rsidRPr="00C85DC3">
        <w:rPr>
          <w:u w:val="single"/>
        </w:rPr>
        <w:t>The AAPS journal</w:t>
      </w:r>
      <w:r w:rsidRPr="00C85DC3">
        <w:t xml:space="preserve"> </w:t>
      </w:r>
      <w:r w:rsidRPr="00C85DC3">
        <w:rPr>
          <w:b/>
        </w:rPr>
        <w:t>19</w:t>
      </w:r>
      <w:r w:rsidRPr="00C85DC3">
        <w:t>(5): 1294-1303.</w:t>
      </w:r>
    </w:p>
    <w:p w14:paraId="7D5B2D1B" w14:textId="77777777" w:rsidR="00820A36" w:rsidRPr="00C85DC3" w:rsidRDefault="00820A36" w:rsidP="00820A36">
      <w:pPr>
        <w:pStyle w:val="EndNoteBibliography"/>
        <w:spacing w:after="0"/>
      </w:pPr>
      <w:r w:rsidRPr="00C85DC3">
        <w:t xml:space="preserve">Hedley, M. and M. McLaughlin (2005). "Reactions of phosphate fertilizers and by-products in soil." </w:t>
      </w:r>
      <w:r w:rsidRPr="00C85DC3">
        <w:rPr>
          <w:u w:val="single"/>
        </w:rPr>
        <w:t>J.T. Sims and A.N. Sharpley (ed.) Phosphorus: Agriculture and the environment.</w:t>
      </w:r>
      <w:r w:rsidRPr="00C85DC3">
        <w:t xml:space="preserve"> </w:t>
      </w:r>
      <w:r w:rsidRPr="00C85DC3">
        <w:rPr>
          <w:b/>
        </w:rPr>
        <w:t>Agron. Monogr. No. 46. ASA, CSSA, and SSSA, Madison, WI</w:t>
      </w:r>
      <w:r w:rsidRPr="00C85DC3">
        <w:t>: 181-252.</w:t>
      </w:r>
    </w:p>
    <w:p w14:paraId="58E6AA43" w14:textId="77777777" w:rsidR="00820A36" w:rsidRPr="00C85DC3" w:rsidRDefault="00820A36" w:rsidP="00820A36">
      <w:pPr>
        <w:pStyle w:val="EndNoteBibliography"/>
        <w:spacing w:after="0"/>
      </w:pPr>
      <w:r w:rsidRPr="00C85DC3">
        <w:t xml:space="preserve">Hettiarachchi, G. M., E. Lombi, M. J. McLaughlin, D. Chittleborough and P. Self (2006). "Density Changes around Phosphorus Granules and Fluid Bands in a Calcareous Soil." </w:t>
      </w:r>
      <w:r w:rsidRPr="00C85DC3">
        <w:rPr>
          <w:u w:val="single"/>
        </w:rPr>
        <w:t>Soil Science Society of America Journal</w:t>
      </w:r>
      <w:r w:rsidRPr="00C85DC3">
        <w:t xml:space="preserve"> </w:t>
      </w:r>
      <w:r w:rsidRPr="00C85DC3">
        <w:rPr>
          <w:b/>
        </w:rPr>
        <w:t>70</w:t>
      </w:r>
      <w:r w:rsidRPr="00C85DC3">
        <w:t>(3): 960-966.</w:t>
      </w:r>
    </w:p>
    <w:p w14:paraId="14C5247A" w14:textId="77777777" w:rsidR="00820A36" w:rsidRPr="00C85DC3" w:rsidRDefault="00820A36" w:rsidP="00820A36">
      <w:pPr>
        <w:pStyle w:val="EndNoteBibliography"/>
        <w:spacing w:after="0"/>
      </w:pPr>
      <w:r w:rsidRPr="00C85DC3">
        <w:t xml:space="preserve">Inselsbacher, E., J. Öhlund, S. Jämtgård, K. Huss-Danell and T. Näsholm (2011). "The potential of microdialysis to monitor organic and inorganic nitrogen compounds in soil." </w:t>
      </w:r>
      <w:r w:rsidRPr="00C85DC3">
        <w:rPr>
          <w:u w:val="single"/>
        </w:rPr>
        <w:t>Soil Biology and Biochemistry</w:t>
      </w:r>
      <w:r w:rsidRPr="00C85DC3">
        <w:t xml:space="preserve"> </w:t>
      </w:r>
      <w:r w:rsidRPr="00C85DC3">
        <w:rPr>
          <w:b/>
        </w:rPr>
        <w:t>43</w:t>
      </w:r>
      <w:r w:rsidRPr="00C85DC3">
        <w:t>(6): 1321-1332.</w:t>
      </w:r>
    </w:p>
    <w:p w14:paraId="6674E057" w14:textId="77777777" w:rsidR="00820A36" w:rsidRPr="00C85DC3" w:rsidRDefault="00820A36" w:rsidP="00820A36">
      <w:pPr>
        <w:pStyle w:val="EndNoteBibliography"/>
        <w:spacing w:after="0"/>
      </w:pPr>
      <w:r w:rsidRPr="00C85DC3">
        <w:t xml:space="preserve">Jämtgård, S., N. Robinson, T. Moritz, M. L. Colgrave and S. Schmidt (2018). "Optimising methods for the recovery and quantification of di-and tripeptides in soil." </w:t>
      </w:r>
      <w:r w:rsidRPr="00C85DC3">
        <w:rPr>
          <w:u w:val="single"/>
        </w:rPr>
        <w:t>Soil Research</w:t>
      </w:r>
      <w:r w:rsidRPr="00C85DC3">
        <w:t xml:space="preserve"> </w:t>
      </w:r>
      <w:r w:rsidRPr="00C85DC3">
        <w:rPr>
          <w:b/>
        </w:rPr>
        <w:t>56</w:t>
      </w:r>
      <w:r w:rsidRPr="00C85DC3">
        <w:t>(4): 404-412.</w:t>
      </w:r>
    </w:p>
    <w:p w14:paraId="22B9E7D5" w14:textId="77777777" w:rsidR="00820A36" w:rsidRPr="00C85DC3" w:rsidRDefault="00820A36" w:rsidP="00820A36">
      <w:pPr>
        <w:pStyle w:val="EndNoteBibliography"/>
        <w:spacing w:after="0"/>
      </w:pPr>
      <w:r w:rsidRPr="00C85DC3">
        <w:lastRenderedPageBreak/>
        <w:t xml:space="preserve">Lehmann, P., P. Wyss, A. Flisch, E. Lehmann, P. Vontobel, M. Krafczyk, A. Kaestner, F. Beckmann, A. Gygi and H. Flühler (2006). "Tomographical Imaging and Mathematical Description of Porous Media Used for the Prediction of Fluid Distribution." </w:t>
      </w:r>
      <w:r w:rsidRPr="00C85DC3">
        <w:rPr>
          <w:u w:val="single"/>
        </w:rPr>
        <w:t>Vadose Zone Journal</w:t>
      </w:r>
      <w:r w:rsidRPr="00C85DC3">
        <w:t xml:space="preserve"> </w:t>
      </w:r>
      <w:r w:rsidRPr="00C85DC3">
        <w:rPr>
          <w:b/>
        </w:rPr>
        <w:t>5</w:t>
      </w:r>
      <w:r w:rsidRPr="00C85DC3">
        <w:t>(1): 80-97.</w:t>
      </w:r>
    </w:p>
    <w:p w14:paraId="1CEAF9F8" w14:textId="77777777" w:rsidR="00820A36" w:rsidRPr="00C85DC3" w:rsidRDefault="00820A36" w:rsidP="00820A36">
      <w:pPr>
        <w:pStyle w:val="EndNoteBibliography"/>
        <w:spacing w:after="0"/>
      </w:pPr>
      <w:r w:rsidRPr="00C85DC3">
        <w:t xml:space="preserve">McKay Fletcher, D., R. Shaw, A. Sánchez-Rodríguez, K. Daly, A. Van Veelen, D. Jones and T. Roose (2019). "Quantifying citrate-enhanced phosphate root uptake using microdialysis." </w:t>
      </w:r>
      <w:r w:rsidRPr="00C85DC3">
        <w:rPr>
          <w:u w:val="single"/>
        </w:rPr>
        <w:t>Plant and Soil</w:t>
      </w:r>
      <w:r w:rsidRPr="00C85DC3">
        <w:t>: 1-21.</w:t>
      </w:r>
    </w:p>
    <w:p w14:paraId="5B34DC1F" w14:textId="77777777" w:rsidR="00820A36" w:rsidRPr="00C85DC3" w:rsidRDefault="00820A36" w:rsidP="00820A36">
      <w:pPr>
        <w:pStyle w:val="EndNoteBibliography"/>
        <w:spacing w:after="0"/>
      </w:pPr>
      <w:r w:rsidRPr="00C85DC3">
        <w:t xml:space="preserve">McKay Fletcher, D. M., S. D. Keyes, K. R. Daly, A. Van Veelen and T. Roose (2019). "A multi image-based approach for modelling plant-fertiliser interaction." </w:t>
      </w:r>
      <w:r w:rsidRPr="00C85DC3">
        <w:rPr>
          <w:u w:val="single"/>
        </w:rPr>
        <w:t>Rhizosphere</w:t>
      </w:r>
      <w:r w:rsidRPr="00C85DC3">
        <w:t xml:space="preserve"> </w:t>
      </w:r>
      <w:r w:rsidRPr="00C85DC3">
        <w:rPr>
          <w:b/>
        </w:rPr>
        <w:t>10</w:t>
      </w:r>
      <w:r w:rsidRPr="00C85DC3">
        <w:t>: 100152.</w:t>
      </w:r>
    </w:p>
    <w:p w14:paraId="04B54AAA" w14:textId="77777777" w:rsidR="00820A36" w:rsidRPr="00C85DC3" w:rsidRDefault="00820A36" w:rsidP="00820A36">
      <w:pPr>
        <w:pStyle w:val="EndNoteBibliography"/>
        <w:spacing w:after="0"/>
      </w:pPr>
      <w:r w:rsidRPr="00C85DC3">
        <w:t xml:space="preserve">Miró, M. and W. Frenzel (2004). "Implantable flow-through capillary-type microdialyzers for continuous in situ monitoring of environmentally relevant parameters." </w:t>
      </w:r>
      <w:r w:rsidRPr="00C85DC3">
        <w:rPr>
          <w:u w:val="single"/>
        </w:rPr>
        <w:t>Analytical chemistry</w:t>
      </w:r>
      <w:r w:rsidRPr="00C85DC3">
        <w:t xml:space="preserve"> </w:t>
      </w:r>
      <w:r w:rsidRPr="00C85DC3">
        <w:rPr>
          <w:b/>
        </w:rPr>
        <w:t>76</w:t>
      </w:r>
      <w:r w:rsidRPr="00C85DC3">
        <w:t>(19): 5974-5981.</w:t>
      </w:r>
    </w:p>
    <w:p w14:paraId="1A80BFD2" w14:textId="77777777" w:rsidR="00820A36" w:rsidRPr="00C85DC3" w:rsidRDefault="00820A36" w:rsidP="00820A36">
      <w:pPr>
        <w:pStyle w:val="EndNoteBibliography"/>
        <w:spacing w:after="0"/>
      </w:pPr>
      <w:r w:rsidRPr="00C85DC3">
        <w:t xml:space="preserve">Miró, M. and W. Frenzel (2005). "The potential of microdialysis as an automatic sample-processing technique for environmental research." </w:t>
      </w:r>
      <w:r w:rsidRPr="00C85DC3">
        <w:rPr>
          <w:u w:val="single"/>
        </w:rPr>
        <w:t>TrAC Trends in Analytical Chemistry</w:t>
      </w:r>
      <w:r w:rsidRPr="00C85DC3">
        <w:t xml:space="preserve"> </w:t>
      </w:r>
      <w:r w:rsidRPr="00C85DC3">
        <w:rPr>
          <w:b/>
        </w:rPr>
        <w:t>24</w:t>
      </w:r>
      <w:r w:rsidRPr="00C85DC3">
        <w:t>(4): 324-333.</w:t>
      </w:r>
    </w:p>
    <w:p w14:paraId="1E3F27DD" w14:textId="77777777" w:rsidR="00820A36" w:rsidRPr="00C85DC3" w:rsidRDefault="00820A36" w:rsidP="00820A36">
      <w:pPr>
        <w:pStyle w:val="EndNoteBibliography"/>
        <w:spacing w:after="0"/>
      </w:pPr>
      <w:r w:rsidRPr="00C85DC3">
        <w:t xml:space="preserve">Mooney, S. J., T. P. Pridmore, J. Helliwell and M. J. Bennett (2012). "Developing X-ray computed tomography to non-invasively image 3-D root systems architecture in soil." </w:t>
      </w:r>
      <w:r w:rsidRPr="00C85DC3">
        <w:rPr>
          <w:u w:val="single"/>
        </w:rPr>
        <w:t>Plant and soil</w:t>
      </w:r>
      <w:r w:rsidRPr="00C85DC3">
        <w:t xml:space="preserve"> </w:t>
      </w:r>
      <w:r w:rsidRPr="00C85DC3">
        <w:rPr>
          <w:b/>
        </w:rPr>
        <w:t>352</w:t>
      </w:r>
      <w:r w:rsidRPr="00C85DC3">
        <w:t>(1-2): 1-22.</w:t>
      </w:r>
    </w:p>
    <w:p w14:paraId="4481E77E" w14:textId="77777777" w:rsidR="00820A36" w:rsidRPr="00C85DC3" w:rsidRDefault="00820A36" w:rsidP="00820A36">
      <w:pPr>
        <w:pStyle w:val="EndNoteBibliography"/>
        <w:spacing w:after="0"/>
      </w:pPr>
      <w:r w:rsidRPr="00C85DC3">
        <w:t xml:space="preserve">Oburger, E., D. L. Jones and W. W. Wenzel (2011). "Phosphorus saturation and pH differentially regulate the efficiency of organic acid anion-mediated P solubilization mechanisms in soil." </w:t>
      </w:r>
      <w:r w:rsidRPr="00C85DC3">
        <w:rPr>
          <w:u w:val="single"/>
        </w:rPr>
        <w:t>Plant and Soil</w:t>
      </w:r>
      <w:r w:rsidRPr="00C85DC3">
        <w:t xml:space="preserve"> </w:t>
      </w:r>
      <w:r w:rsidRPr="00C85DC3">
        <w:rPr>
          <w:b/>
        </w:rPr>
        <w:t>341</w:t>
      </w:r>
      <w:r w:rsidRPr="00C85DC3">
        <w:t>(1-2): 363-382.</w:t>
      </w:r>
    </w:p>
    <w:p w14:paraId="52472A09" w14:textId="77777777" w:rsidR="00820A36" w:rsidRPr="00C85DC3" w:rsidRDefault="00820A36" w:rsidP="00820A36">
      <w:pPr>
        <w:pStyle w:val="EndNoteBibliography"/>
        <w:spacing w:after="0"/>
      </w:pPr>
      <w:r w:rsidRPr="00C85DC3">
        <w:t xml:space="preserve">Ruiz, S., D. M. Fletcher, A. Boghi, K. Williams, S. Duncan, C. Scotson, C. Petroselli, T. Dias, D. Chadwick and D. Jones (2020). "Image-based quantification of soil microbial dead zones induced by nitrogen fertilization." </w:t>
      </w:r>
      <w:r w:rsidRPr="00C85DC3">
        <w:rPr>
          <w:u w:val="single"/>
        </w:rPr>
        <w:t>Science of The Total Environment</w:t>
      </w:r>
      <w:r w:rsidRPr="00C85DC3">
        <w:t>: 138197.</w:t>
      </w:r>
    </w:p>
    <w:p w14:paraId="06962EDD" w14:textId="77777777" w:rsidR="00820A36" w:rsidRPr="00C85DC3" w:rsidRDefault="00820A36" w:rsidP="00820A36">
      <w:pPr>
        <w:pStyle w:val="EndNoteBibliography"/>
        <w:spacing w:after="0"/>
      </w:pPr>
      <w:r w:rsidRPr="00C85DC3">
        <w:t xml:space="preserve">Schachtman, D. P., R. J. Reid and S. M. Ayling (1998). "Phosphorus uptake by plants: from soil to cell." </w:t>
      </w:r>
      <w:r w:rsidRPr="00C85DC3">
        <w:rPr>
          <w:u w:val="single"/>
        </w:rPr>
        <w:t>Plant physiology</w:t>
      </w:r>
      <w:r w:rsidRPr="00C85DC3">
        <w:t xml:space="preserve"> </w:t>
      </w:r>
      <w:r w:rsidRPr="00C85DC3">
        <w:rPr>
          <w:b/>
        </w:rPr>
        <w:t>116</w:t>
      </w:r>
      <w:r w:rsidRPr="00C85DC3">
        <w:t>(2): 447-453.</w:t>
      </w:r>
    </w:p>
    <w:p w14:paraId="60853349" w14:textId="77777777" w:rsidR="00820A36" w:rsidRPr="00C85DC3" w:rsidRDefault="00820A36" w:rsidP="00820A36">
      <w:pPr>
        <w:pStyle w:val="EndNoteBibliography"/>
        <w:spacing w:after="0"/>
      </w:pPr>
      <w:r w:rsidRPr="00C85DC3">
        <w:t xml:space="preserve">Shen, J., L. Yuan, J. Zhang, H. Li, Z. Bai, X. Chen, W. Zhang and F. Zhang (2011). "Phosphorus dynamics: from soil to plant." </w:t>
      </w:r>
      <w:r w:rsidRPr="00C85DC3">
        <w:rPr>
          <w:u w:val="single"/>
        </w:rPr>
        <w:t>Plant Physiol</w:t>
      </w:r>
      <w:r w:rsidRPr="00C85DC3">
        <w:t xml:space="preserve"> </w:t>
      </w:r>
      <w:r w:rsidRPr="00C85DC3">
        <w:rPr>
          <w:b/>
        </w:rPr>
        <w:t>156</w:t>
      </w:r>
      <w:r w:rsidRPr="00C85DC3">
        <w:t>(3): 997-1005.</w:t>
      </w:r>
    </w:p>
    <w:p w14:paraId="28DCD23D" w14:textId="77777777" w:rsidR="00820A36" w:rsidRPr="00C85DC3" w:rsidRDefault="00820A36" w:rsidP="00820A36">
      <w:pPr>
        <w:pStyle w:val="EndNoteBibliography"/>
        <w:spacing w:after="0"/>
      </w:pPr>
      <w:r w:rsidRPr="00C85DC3">
        <w:t xml:space="preserve">Smil, V. (2000). "Phosphorus in the environment: natural flows and human interferences." </w:t>
      </w:r>
      <w:r w:rsidRPr="00C85DC3">
        <w:rPr>
          <w:u w:val="single"/>
        </w:rPr>
        <w:t>Annual review of energy and the environment</w:t>
      </w:r>
      <w:r w:rsidRPr="00C85DC3">
        <w:t xml:space="preserve"> </w:t>
      </w:r>
      <w:r w:rsidRPr="00C85DC3">
        <w:rPr>
          <w:b/>
        </w:rPr>
        <w:t>25</w:t>
      </w:r>
      <w:r w:rsidRPr="00C85DC3">
        <w:t>(1): 53-88.</w:t>
      </w:r>
    </w:p>
    <w:p w14:paraId="45C652A5" w14:textId="77777777" w:rsidR="00820A36" w:rsidRPr="00C85DC3" w:rsidRDefault="00820A36" w:rsidP="00820A36">
      <w:pPr>
        <w:pStyle w:val="EndNoteBibliography"/>
        <w:spacing w:after="0"/>
      </w:pPr>
      <w:r w:rsidRPr="00C85DC3">
        <w:t xml:space="preserve">Torto, N., T. Buttler, L. Gorton, G. Marko-Varga, H. Stålbrand and F. Tjerneld (1995). "Monitoring of enzymatic hydrolysis of ivory nut mannan using on-line microdialysis sampling and anion-exchange chromatography with integrated pulsed electrochemical detection." </w:t>
      </w:r>
      <w:r w:rsidRPr="00C85DC3">
        <w:rPr>
          <w:u w:val="single"/>
        </w:rPr>
        <w:t>Analytica chimica acta</w:t>
      </w:r>
      <w:r w:rsidRPr="00C85DC3">
        <w:t xml:space="preserve"> </w:t>
      </w:r>
      <w:r w:rsidRPr="00C85DC3">
        <w:rPr>
          <w:b/>
        </w:rPr>
        <w:t>313</w:t>
      </w:r>
      <w:r w:rsidRPr="00C85DC3">
        <w:t>(1-2): 15-24.</w:t>
      </w:r>
    </w:p>
    <w:p w14:paraId="6A2912C1" w14:textId="77777777" w:rsidR="00820A36" w:rsidRPr="00C85DC3" w:rsidRDefault="00820A36" w:rsidP="00820A36">
      <w:pPr>
        <w:pStyle w:val="EndNoteBibliography"/>
        <w:spacing w:after="0"/>
      </w:pPr>
      <w:r w:rsidRPr="00C85DC3">
        <w:t xml:space="preserve">Vetterlein, D. and R. Jahn (2004). "Gradients in soil solution composition between bulk soil and rhizosphere–In situ measurement with changing soil water content." </w:t>
      </w:r>
      <w:r w:rsidRPr="00C85DC3">
        <w:rPr>
          <w:u w:val="single"/>
        </w:rPr>
        <w:t>Plant and Soil</w:t>
      </w:r>
      <w:r w:rsidRPr="00C85DC3">
        <w:t xml:space="preserve"> </w:t>
      </w:r>
      <w:r w:rsidRPr="00C85DC3">
        <w:rPr>
          <w:b/>
        </w:rPr>
        <w:t>258</w:t>
      </w:r>
      <w:r w:rsidRPr="00C85DC3">
        <w:t>(1): 307-327.</w:t>
      </w:r>
    </w:p>
    <w:p w14:paraId="339CE850" w14:textId="77777777" w:rsidR="00820A36" w:rsidRPr="00C85DC3" w:rsidRDefault="00820A36" w:rsidP="00820A36">
      <w:pPr>
        <w:pStyle w:val="EndNoteBibliography"/>
      </w:pPr>
      <w:r w:rsidRPr="00C85DC3">
        <w:t xml:space="preserve">Withers, P., C. Neal, H. Jarvie and D. Doody (2014). "Agriculture and Eutrophication: Where Do We Go from Here?" </w:t>
      </w:r>
      <w:r w:rsidRPr="00C85DC3">
        <w:rPr>
          <w:u w:val="single"/>
        </w:rPr>
        <w:t>Sustainability</w:t>
      </w:r>
      <w:r w:rsidRPr="00C85DC3">
        <w:t xml:space="preserve"> </w:t>
      </w:r>
      <w:r w:rsidRPr="00C85DC3">
        <w:rPr>
          <w:b/>
        </w:rPr>
        <w:t>6</w:t>
      </w:r>
      <w:r w:rsidRPr="00C85DC3">
        <w:t>(9): 5853-5875.</w:t>
      </w:r>
    </w:p>
    <w:p w14:paraId="559A5331" w14:textId="568FD6FF" w:rsidR="00B83118" w:rsidRPr="00E139C2" w:rsidRDefault="00F4462A" w:rsidP="00FF5EEE">
      <w:pPr>
        <w:pStyle w:val="BibReference"/>
        <w:ind w:left="0" w:firstLine="0"/>
        <w:rPr>
          <w:sz w:val="24"/>
          <w:szCs w:val="24"/>
        </w:rPr>
      </w:pPr>
      <w:r w:rsidRPr="00C85DC3">
        <w:rPr>
          <w:sz w:val="24"/>
          <w:szCs w:val="24"/>
        </w:rPr>
        <w:fldChar w:fldCharType="end"/>
      </w:r>
    </w:p>
    <w:sectPr w:rsidR="00B83118" w:rsidRPr="00E139C2" w:rsidSect="007D4C1F">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89CC5" w14:textId="77777777" w:rsidR="004C77E2" w:rsidRDefault="004C77E2">
      <w:pPr>
        <w:spacing w:after="0" w:line="240" w:lineRule="auto"/>
      </w:pPr>
      <w:r>
        <w:separator/>
      </w:r>
    </w:p>
  </w:endnote>
  <w:endnote w:type="continuationSeparator" w:id="0">
    <w:p w14:paraId="6ABF51B4" w14:textId="77777777" w:rsidR="004C77E2" w:rsidRDefault="004C7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11392" w14:textId="77777777" w:rsidR="004C77E2" w:rsidRPr="00E60724" w:rsidRDefault="004C77E2" w:rsidP="00F4462A">
    <w:pPr>
      <w:jc w:val="center"/>
    </w:pPr>
    <w:r>
      <w:t xml:space="preserve">Page </w:t>
    </w:r>
    <w:r>
      <w:fldChar w:fldCharType="begin"/>
    </w:r>
    <w:r>
      <w:instrText xml:space="preserve"> PAGE  \* MERGEFORMAT </w:instrText>
    </w:r>
    <w:r>
      <w:fldChar w:fldCharType="separate"/>
    </w:r>
    <w:r>
      <w:rPr>
        <w:noProof/>
      </w:rPr>
      <w:t>3</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9F6D5" w14:textId="77777777" w:rsidR="004C77E2" w:rsidRPr="00E60724" w:rsidRDefault="004C77E2" w:rsidP="00F4462A">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BCAF4" w14:textId="77777777" w:rsidR="004C77E2" w:rsidRPr="00E60724" w:rsidRDefault="004C77E2" w:rsidP="00F4462A">
    <w:pPr>
      <w:jc w:val="center"/>
    </w:pPr>
    <w:r>
      <w:t xml:space="preserve">Page </w:t>
    </w:r>
    <w:r>
      <w:fldChar w:fldCharType="begin"/>
    </w:r>
    <w:r>
      <w:instrText xml:space="preserve"> PAGE  \* MERGEFORMAT </w:instrText>
    </w:r>
    <w:r>
      <w:fldChar w:fldCharType="separate"/>
    </w:r>
    <w:r>
      <w:rPr>
        <w:noProof/>
      </w:rPr>
      <w:t>3</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3D4728" w14:textId="77777777" w:rsidR="004C77E2" w:rsidRDefault="004C77E2">
      <w:pPr>
        <w:spacing w:after="0" w:line="240" w:lineRule="auto"/>
      </w:pPr>
      <w:r>
        <w:separator/>
      </w:r>
    </w:p>
  </w:footnote>
  <w:footnote w:type="continuationSeparator" w:id="0">
    <w:p w14:paraId="072632A6" w14:textId="77777777" w:rsidR="004C77E2" w:rsidRDefault="004C77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295AE" w14:textId="77777777" w:rsidR="004C77E2" w:rsidRPr="00E60724" w:rsidRDefault="004C77E2" w:rsidP="00F4462A">
    <w:pPr>
      <w:jc w:val="center"/>
    </w:pPr>
    <w:r w:rsidRPr="00E60724">
      <w:t xml:space="preserve">Publisher: AGRONOMY; Journal: </w:t>
    </w:r>
    <w:proofErr w:type="spellStart"/>
    <w:proofErr w:type="gramStart"/>
    <w:r w:rsidRPr="00E60724">
      <w:t>AGROJNL:Agronomy</w:t>
    </w:r>
    <w:proofErr w:type="spellEnd"/>
    <w:proofErr w:type="gramEnd"/>
    <w:r w:rsidRPr="00E60724">
      <w:t xml:space="preserve"> Journal; Copyright: Will notify...</w:t>
    </w:r>
  </w:p>
  <w:p w14:paraId="75E5286C" w14:textId="77777777" w:rsidR="004C77E2" w:rsidRPr="00E60724" w:rsidRDefault="004C77E2" w:rsidP="00F4462A">
    <w:pPr>
      <w:jc w:val="center"/>
    </w:pPr>
    <w:r w:rsidRPr="00E60724">
      <w:t>Volume: Will notify...; Issue: Will notify...; Manuscript: aj-2017-08-0123-a; DOI</w:t>
    </w:r>
    <w:proofErr w:type="gramStart"/>
    <w:r w:rsidRPr="00E60724">
      <w:t>: ;</w:t>
    </w:r>
    <w:proofErr w:type="gramEnd"/>
    <w:r w:rsidRPr="00E60724">
      <w:t xml:space="preserve"> PII: &lt;</w:t>
    </w:r>
    <w:proofErr w:type="spellStart"/>
    <w:r w:rsidRPr="00E60724">
      <w:t>txtPII</w:t>
    </w:r>
    <w:proofErr w:type="spellEnd"/>
    <w:r w:rsidRPr="00E60724">
      <w:t>&gt;</w:t>
    </w:r>
  </w:p>
  <w:p w14:paraId="734CACF2" w14:textId="77777777" w:rsidR="004C77E2" w:rsidRPr="00E60724" w:rsidRDefault="004C77E2" w:rsidP="00F4462A">
    <w:pPr>
      <w:jc w:val="center"/>
    </w:pPr>
    <w:r w:rsidRPr="00E60724">
      <w:t>TOC Head</w:t>
    </w:r>
    <w:proofErr w:type="gramStart"/>
    <w:r w:rsidRPr="00E60724">
      <w:t>: ;</w:t>
    </w:r>
    <w:proofErr w:type="gramEnd"/>
    <w:r w:rsidRPr="00E60724">
      <w:t xml:space="preserve"> Section Head: ; Article Type: ARTICLE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F3B11" w14:textId="77777777" w:rsidR="004C77E2" w:rsidRPr="00E60724" w:rsidRDefault="004C77E2" w:rsidP="00F4462A">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77A3E" w14:textId="77777777" w:rsidR="004C77E2" w:rsidRPr="00E60724" w:rsidRDefault="004C77E2" w:rsidP="00F4462A">
    <w:pPr>
      <w:jc w:val="center"/>
    </w:pPr>
    <w:r w:rsidRPr="00E60724">
      <w:t xml:space="preserve">Publisher: AGRONOMY; Journal: </w:t>
    </w:r>
    <w:proofErr w:type="spellStart"/>
    <w:proofErr w:type="gramStart"/>
    <w:r w:rsidRPr="00E60724">
      <w:t>AGROJNL:Agronomy</w:t>
    </w:r>
    <w:proofErr w:type="spellEnd"/>
    <w:proofErr w:type="gramEnd"/>
    <w:r w:rsidRPr="00E60724">
      <w:t xml:space="preserve"> Journal; Copyright: Will notify...</w:t>
    </w:r>
  </w:p>
  <w:p w14:paraId="37F99ED3" w14:textId="77777777" w:rsidR="004C77E2" w:rsidRPr="00E60724" w:rsidRDefault="004C77E2" w:rsidP="00F4462A">
    <w:pPr>
      <w:jc w:val="center"/>
    </w:pPr>
    <w:r w:rsidRPr="00E60724">
      <w:t>Volume: Will notify...; Issue: Will notify...; Manuscript: aj-2017-08-0123-a; DOI</w:t>
    </w:r>
    <w:proofErr w:type="gramStart"/>
    <w:r w:rsidRPr="00E60724">
      <w:t>: ;</w:t>
    </w:r>
    <w:proofErr w:type="gramEnd"/>
    <w:r w:rsidRPr="00E60724">
      <w:t xml:space="preserve"> PII: &lt;</w:t>
    </w:r>
    <w:proofErr w:type="spellStart"/>
    <w:r w:rsidRPr="00E60724">
      <w:t>txtPII</w:t>
    </w:r>
    <w:proofErr w:type="spellEnd"/>
    <w:r w:rsidRPr="00E60724">
      <w:t>&gt;</w:t>
    </w:r>
  </w:p>
  <w:p w14:paraId="7E4ED9B1" w14:textId="77777777" w:rsidR="004C77E2" w:rsidRPr="00E60724" w:rsidRDefault="004C77E2" w:rsidP="00F4462A">
    <w:pPr>
      <w:jc w:val="center"/>
    </w:pPr>
    <w:r w:rsidRPr="00E60724">
      <w:t>TOC Head</w:t>
    </w:r>
    <w:proofErr w:type="gramStart"/>
    <w:r w:rsidRPr="00E60724">
      <w:t>: ;</w:t>
    </w:r>
    <w:proofErr w:type="gramEnd"/>
    <w:r w:rsidRPr="00E60724">
      <w:t xml:space="preserve"> Section Head: ; Article Type: 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544C24"/>
    <w:multiLevelType w:val="hybridMultilevel"/>
    <w:tmpl w:val="9B6C1852"/>
    <w:lvl w:ilvl="0" w:tplc="7E50672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52dvfwe4ets06ezr9nxref1rfr2ddwraees&quot;&gt;My EndNote Library&lt;record-ids&gt;&lt;item&gt;228&lt;/item&gt;&lt;/record-ids&gt;&lt;/item&gt;&lt;/Libraries&gt;"/>
  </w:docVars>
  <w:rsids>
    <w:rsidRoot w:val="00AE1D24"/>
    <w:rsid w:val="00005604"/>
    <w:rsid w:val="00030EDB"/>
    <w:rsid w:val="000354E8"/>
    <w:rsid w:val="00037AF6"/>
    <w:rsid w:val="00041ECD"/>
    <w:rsid w:val="0004429B"/>
    <w:rsid w:val="00046530"/>
    <w:rsid w:val="000502F0"/>
    <w:rsid w:val="00052581"/>
    <w:rsid w:val="00071837"/>
    <w:rsid w:val="000776F6"/>
    <w:rsid w:val="000800C6"/>
    <w:rsid w:val="00087005"/>
    <w:rsid w:val="00092105"/>
    <w:rsid w:val="00094928"/>
    <w:rsid w:val="000A0F31"/>
    <w:rsid w:val="000A7D80"/>
    <w:rsid w:val="000B45C1"/>
    <w:rsid w:val="000C074C"/>
    <w:rsid w:val="000C4226"/>
    <w:rsid w:val="000C4786"/>
    <w:rsid w:val="000E1EF8"/>
    <w:rsid w:val="000E3868"/>
    <w:rsid w:val="000F1F83"/>
    <w:rsid w:val="000F33B1"/>
    <w:rsid w:val="001002FF"/>
    <w:rsid w:val="0013252F"/>
    <w:rsid w:val="00133A6E"/>
    <w:rsid w:val="00136152"/>
    <w:rsid w:val="00150738"/>
    <w:rsid w:val="0018033B"/>
    <w:rsid w:val="001816FD"/>
    <w:rsid w:val="001844AA"/>
    <w:rsid w:val="001B293C"/>
    <w:rsid w:val="001D6DA5"/>
    <w:rsid w:val="002047F0"/>
    <w:rsid w:val="002356C4"/>
    <w:rsid w:val="002746A5"/>
    <w:rsid w:val="00290B2A"/>
    <w:rsid w:val="00291558"/>
    <w:rsid w:val="002A1395"/>
    <w:rsid w:val="002B0FC9"/>
    <w:rsid w:val="002E02E4"/>
    <w:rsid w:val="002E1AE2"/>
    <w:rsid w:val="00311690"/>
    <w:rsid w:val="0034015A"/>
    <w:rsid w:val="00351A12"/>
    <w:rsid w:val="003554DF"/>
    <w:rsid w:val="00360D99"/>
    <w:rsid w:val="003635D5"/>
    <w:rsid w:val="00367325"/>
    <w:rsid w:val="00370B67"/>
    <w:rsid w:val="00371E22"/>
    <w:rsid w:val="00376B29"/>
    <w:rsid w:val="00394817"/>
    <w:rsid w:val="0039618E"/>
    <w:rsid w:val="00396D8F"/>
    <w:rsid w:val="003B00D0"/>
    <w:rsid w:val="003C15D9"/>
    <w:rsid w:val="003D4659"/>
    <w:rsid w:val="003D6824"/>
    <w:rsid w:val="00400855"/>
    <w:rsid w:val="0041501B"/>
    <w:rsid w:val="004157FF"/>
    <w:rsid w:val="004438D6"/>
    <w:rsid w:val="004509F1"/>
    <w:rsid w:val="00451A8F"/>
    <w:rsid w:val="0047045B"/>
    <w:rsid w:val="00476053"/>
    <w:rsid w:val="00494844"/>
    <w:rsid w:val="00496BCA"/>
    <w:rsid w:val="00497272"/>
    <w:rsid w:val="004B2291"/>
    <w:rsid w:val="004C2298"/>
    <w:rsid w:val="004C2555"/>
    <w:rsid w:val="004C77E2"/>
    <w:rsid w:val="004E3968"/>
    <w:rsid w:val="004F030F"/>
    <w:rsid w:val="004F47EF"/>
    <w:rsid w:val="005127B5"/>
    <w:rsid w:val="00523F31"/>
    <w:rsid w:val="00524D90"/>
    <w:rsid w:val="005276C8"/>
    <w:rsid w:val="00533091"/>
    <w:rsid w:val="00545826"/>
    <w:rsid w:val="00561BDB"/>
    <w:rsid w:val="00565976"/>
    <w:rsid w:val="0057042B"/>
    <w:rsid w:val="005832C4"/>
    <w:rsid w:val="00593EF4"/>
    <w:rsid w:val="00597109"/>
    <w:rsid w:val="005A729B"/>
    <w:rsid w:val="005A7D3A"/>
    <w:rsid w:val="005F69AE"/>
    <w:rsid w:val="006123AB"/>
    <w:rsid w:val="006176B8"/>
    <w:rsid w:val="00630237"/>
    <w:rsid w:val="00632BCA"/>
    <w:rsid w:val="00653C63"/>
    <w:rsid w:val="006800A4"/>
    <w:rsid w:val="006C2DE7"/>
    <w:rsid w:val="006C4144"/>
    <w:rsid w:val="006F1D8A"/>
    <w:rsid w:val="006F2A32"/>
    <w:rsid w:val="00715ACD"/>
    <w:rsid w:val="00722B37"/>
    <w:rsid w:val="00741BB5"/>
    <w:rsid w:val="007714EA"/>
    <w:rsid w:val="00774F5D"/>
    <w:rsid w:val="007A3CE6"/>
    <w:rsid w:val="007B4C03"/>
    <w:rsid w:val="007C1C31"/>
    <w:rsid w:val="007D3B20"/>
    <w:rsid w:val="007D4C1F"/>
    <w:rsid w:val="007F1996"/>
    <w:rsid w:val="007F6715"/>
    <w:rsid w:val="00810F19"/>
    <w:rsid w:val="00811F7A"/>
    <w:rsid w:val="00813131"/>
    <w:rsid w:val="00820A36"/>
    <w:rsid w:val="008447D7"/>
    <w:rsid w:val="00862D58"/>
    <w:rsid w:val="00870683"/>
    <w:rsid w:val="00877B03"/>
    <w:rsid w:val="008910AC"/>
    <w:rsid w:val="0089775A"/>
    <w:rsid w:val="008C2FFD"/>
    <w:rsid w:val="008D09ED"/>
    <w:rsid w:val="008D1DC2"/>
    <w:rsid w:val="008E0C85"/>
    <w:rsid w:val="008E10E2"/>
    <w:rsid w:val="008E2D37"/>
    <w:rsid w:val="008E3D4B"/>
    <w:rsid w:val="008E42AF"/>
    <w:rsid w:val="009217CB"/>
    <w:rsid w:val="00970F9B"/>
    <w:rsid w:val="00971A39"/>
    <w:rsid w:val="00974F09"/>
    <w:rsid w:val="009A6730"/>
    <w:rsid w:val="009B215C"/>
    <w:rsid w:val="009B7FDC"/>
    <w:rsid w:val="009C304C"/>
    <w:rsid w:val="009C53F2"/>
    <w:rsid w:val="009D17E5"/>
    <w:rsid w:val="009D6192"/>
    <w:rsid w:val="009D64C3"/>
    <w:rsid w:val="009F30FF"/>
    <w:rsid w:val="009F5288"/>
    <w:rsid w:val="00A051A7"/>
    <w:rsid w:val="00A11289"/>
    <w:rsid w:val="00A46CDC"/>
    <w:rsid w:val="00A528E0"/>
    <w:rsid w:val="00A572C5"/>
    <w:rsid w:val="00A725CF"/>
    <w:rsid w:val="00AA4219"/>
    <w:rsid w:val="00AB2E8F"/>
    <w:rsid w:val="00AB684F"/>
    <w:rsid w:val="00AD2A1A"/>
    <w:rsid w:val="00AE1D24"/>
    <w:rsid w:val="00AE21C2"/>
    <w:rsid w:val="00AE605A"/>
    <w:rsid w:val="00AE65B4"/>
    <w:rsid w:val="00AE6A87"/>
    <w:rsid w:val="00AF2B0E"/>
    <w:rsid w:val="00B05FCB"/>
    <w:rsid w:val="00B140D6"/>
    <w:rsid w:val="00B2027B"/>
    <w:rsid w:val="00B20E35"/>
    <w:rsid w:val="00B420EF"/>
    <w:rsid w:val="00B43B05"/>
    <w:rsid w:val="00B43C6D"/>
    <w:rsid w:val="00B46EB0"/>
    <w:rsid w:val="00B5643D"/>
    <w:rsid w:val="00B673F5"/>
    <w:rsid w:val="00B83118"/>
    <w:rsid w:val="00BA62D3"/>
    <w:rsid w:val="00BB0586"/>
    <w:rsid w:val="00BC3C64"/>
    <w:rsid w:val="00BC48CD"/>
    <w:rsid w:val="00BE4B46"/>
    <w:rsid w:val="00C03ED0"/>
    <w:rsid w:val="00C153A0"/>
    <w:rsid w:val="00C22F00"/>
    <w:rsid w:val="00C257CB"/>
    <w:rsid w:val="00C528CC"/>
    <w:rsid w:val="00C76625"/>
    <w:rsid w:val="00C85DC3"/>
    <w:rsid w:val="00C9339F"/>
    <w:rsid w:val="00CB0347"/>
    <w:rsid w:val="00CC48A3"/>
    <w:rsid w:val="00CC6A5C"/>
    <w:rsid w:val="00CF2CED"/>
    <w:rsid w:val="00CF71B6"/>
    <w:rsid w:val="00CF7E0F"/>
    <w:rsid w:val="00D03E27"/>
    <w:rsid w:val="00D35495"/>
    <w:rsid w:val="00D36AC3"/>
    <w:rsid w:val="00D55083"/>
    <w:rsid w:val="00D6161B"/>
    <w:rsid w:val="00D623A8"/>
    <w:rsid w:val="00D63017"/>
    <w:rsid w:val="00D92D1E"/>
    <w:rsid w:val="00D93F38"/>
    <w:rsid w:val="00DA75B2"/>
    <w:rsid w:val="00DB687B"/>
    <w:rsid w:val="00DD23B1"/>
    <w:rsid w:val="00DD28D7"/>
    <w:rsid w:val="00DE6630"/>
    <w:rsid w:val="00DE7EC1"/>
    <w:rsid w:val="00E0105B"/>
    <w:rsid w:val="00E04366"/>
    <w:rsid w:val="00E048A2"/>
    <w:rsid w:val="00E139C2"/>
    <w:rsid w:val="00E147FF"/>
    <w:rsid w:val="00E42200"/>
    <w:rsid w:val="00E51745"/>
    <w:rsid w:val="00E64100"/>
    <w:rsid w:val="00E6641B"/>
    <w:rsid w:val="00E827D2"/>
    <w:rsid w:val="00E8322E"/>
    <w:rsid w:val="00E95C2D"/>
    <w:rsid w:val="00EA076B"/>
    <w:rsid w:val="00EB61BE"/>
    <w:rsid w:val="00EB6D44"/>
    <w:rsid w:val="00ED3AFC"/>
    <w:rsid w:val="00EE549A"/>
    <w:rsid w:val="00EF4CCF"/>
    <w:rsid w:val="00F04030"/>
    <w:rsid w:val="00F05D27"/>
    <w:rsid w:val="00F10DA6"/>
    <w:rsid w:val="00F118DC"/>
    <w:rsid w:val="00F1271A"/>
    <w:rsid w:val="00F17ED5"/>
    <w:rsid w:val="00F24E4D"/>
    <w:rsid w:val="00F258B3"/>
    <w:rsid w:val="00F321AF"/>
    <w:rsid w:val="00F4462A"/>
    <w:rsid w:val="00F45318"/>
    <w:rsid w:val="00F463C3"/>
    <w:rsid w:val="00F46578"/>
    <w:rsid w:val="00F47A55"/>
    <w:rsid w:val="00F54BE2"/>
    <w:rsid w:val="00F72761"/>
    <w:rsid w:val="00F73520"/>
    <w:rsid w:val="00F81859"/>
    <w:rsid w:val="00F86147"/>
    <w:rsid w:val="00F870A1"/>
    <w:rsid w:val="00F90565"/>
    <w:rsid w:val="00FB5D20"/>
    <w:rsid w:val="00FC12BA"/>
    <w:rsid w:val="00FC2489"/>
    <w:rsid w:val="00FC6A36"/>
    <w:rsid w:val="00FD290E"/>
    <w:rsid w:val="00FD659F"/>
    <w:rsid w:val="00FE24A3"/>
    <w:rsid w:val="00FE38E4"/>
    <w:rsid w:val="00FF5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DD4C767"/>
  <w15:docId w15:val="{E8F88D3E-5F1E-4F41-914F-3904D9070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1D24"/>
    <w:rPr>
      <w:color w:val="0000FF" w:themeColor="hyperlink"/>
      <w:u w:val="single"/>
    </w:rPr>
  </w:style>
  <w:style w:type="table" w:styleId="TableGrid">
    <w:name w:val="Table Grid"/>
    <w:basedOn w:val="TableNormal"/>
    <w:uiPriority w:val="59"/>
    <w:rsid w:val="00AE1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rsid w:val="00AE1D24"/>
    <w:pPr>
      <w:spacing w:before="120" w:after="0" w:line="240" w:lineRule="auto"/>
      <w:ind w:firstLine="360"/>
    </w:pPr>
    <w:rPr>
      <w:rFonts w:ascii="Times New Roman" w:eastAsia="Times New Roman" w:hAnsi="Times New Roman" w:cs="Times New Roman"/>
      <w:sz w:val="20"/>
      <w:szCs w:val="20"/>
    </w:rPr>
  </w:style>
  <w:style w:type="paragraph" w:customStyle="1" w:styleId="AbstractTitle">
    <w:name w:val="Abstract_Title"/>
    <w:basedOn w:val="H1"/>
    <w:rsid w:val="00AE1D24"/>
    <w:rPr>
      <w:sz w:val="20"/>
    </w:rPr>
  </w:style>
  <w:style w:type="paragraph" w:customStyle="1" w:styleId="Ack">
    <w:name w:val="Ack"/>
    <w:basedOn w:val="Normal"/>
    <w:rsid w:val="00AE1D24"/>
    <w:pPr>
      <w:spacing w:before="120" w:after="0" w:line="240" w:lineRule="auto"/>
      <w:ind w:firstLine="720"/>
    </w:pPr>
    <w:rPr>
      <w:rFonts w:ascii="Times New Roman" w:eastAsia="Times New Roman" w:hAnsi="Times New Roman" w:cs="Times New Roman"/>
      <w:sz w:val="20"/>
      <w:szCs w:val="20"/>
    </w:rPr>
  </w:style>
  <w:style w:type="paragraph" w:customStyle="1" w:styleId="H2">
    <w:name w:val="H2"/>
    <w:basedOn w:val="Normal"/>
    <w:rsid w:val="00AE1D24"/>
    <w:pPr>
      <w:keepNext/>
      <w:spacing w:before="240" w:after="0" w:line="240" w:lineRule="auto"/>
      <w:jc w:val="center"/>
      <w:outlineLvl w:val="1"/>
    </w:pPr>
    <w:rPr>
      <w:rFonts w:ascii="Times New Roman" w:eastAsia="Times New Roman" w:hAnsi="Times New Roman" w:cs="Times New Roman"/>
      <w:b/>
      <w:kern w:val="28"/>
      <w:sz w:val="24"/>
      <w:szCs w:val="20"/>
    </w:rPr>
  </w:style>
  <w:style w:type="paragraph" w:customStyle="1" w:styleId="AckTitle">
    <w:name w:val="Ack_Title"/>
    <w:basedOn w:val="H2"/>
    <w:rsid w:val="00AE1D24"/>
    <w:rPr>
      <w:caps/>
    </w:rPr>
  </w:style>
  <w:style w:type="paragraph" w:customStyle="1" w:styleId="Authors">
    <w:name w:val="Authors"/>
    <w:rsid w:val="00AE1D24"/>
    <w:pPr>
      <w:spacing w:before="240" w:after="0" w:line="240" w:lineRule="auto"/>
      <w:jc w:val="center"/>
    </w:pPr>
    <w:rPr>
      <w:rFonts w:ascii="Times New Roman" w:eastAsia="Times New Roman" w:hAnsi="Times New Roman" w:cs="Times New Roman"/>
      <w:sz w:val="24"/>
      <w:szCs w:val="20"/>
    </w:rPr>
  </w:style>
  <w:style w:type="paragraph" w:customStyle="1" w:styleId="H1">
    <w:name w:val="H1"/>
    <w:basedOn w:val="Normal"/>
    <w:rsid w:val="00AE1D24"/>
    <w:pPr>
      <w:keepNext/>
      <w:spacing w:before="240" w:after="0" w:line="240" w:lineRule="auto"/>
      <w:jc w:val="center"/>
      <w:outlineLvl w:val="0"/>
    </w:pPr>
    <w:rPr>
      <w:rFonts w:ascii="Times New Roman" w:eastAsia="Times New Roman" w:hAnsi="Times New Roman" w:cs="Times New Roman"/>
      <w:b/>
      <w:caps/>
      <w:kern w:val="28"/>
      <w:sz w:val="28"/>
      <w:szCs w:val="20"/>
    </w:rPr>
  </w:style>
  <w:style w:type="paragraph" w:customStyle="1" w:styleId="ArticleTitle">
    <w:name w:val="Article_Title"/>
    <w:basedOn w:val="Normal"/>
    <w:rsid w:val="00AE1D24"/>
    <w:pPr>
      <w:keepNext/>
      <w:spacing w:before="240" w:after="120" w:line="240" w:lineRule="auto"/>
      <w:jc w:val="center"/>
      <w:outlineLvl w:val="0"/>
    </w:pPr>
    <w:rPr>
      <w:rFonts w:ascii="Times New Roman" w:eastAsia="Times New Roman" w:hAnsi="Times New Roman" w:cs="Times New Roman"/>
      <w:b/>
      <w:kern w:val="28"/>
      <w:sz w:val="28"/>
      <w:szCs w:val="20"/>
    </w:rPr>
  </w:style>
  <w:style w:type="paragraph" w:customStyle="1" w:styleId="Affiliations">
    <w:name w:val="Affiliations"/>
    <w:basedOn w:val="Normal"/>
    <w:rsid w:val="00AE1D24"/>
    <w:pPr>
      <w:spacing w:before="240" w:after="0" w:line="240" w:lineRule="auto"/>
    </w:pPr>
    <w:rPr>
      <w:rFonts w:ascii="Times New Roman" w:eastAsia="Times New Roman" w:hAnsi="Times New Roman" w:cs="Times New Roman"/>
      <w:sz w:val="20"/>
      <w:szCs w:val="20"/>
    </w:rPr>
  </w:style>
  <w:style w:type="paragraph" w:customStyle="1" w:styleId="BibReference">
    <w:name w:val="Bib_Reference"/>
    <w:rsid w:val="00AE1D24"/>
    <w:pPr>
      <w:spacing w:before="120" w:after="0" w:line="240" w:lineRule="auto"/>
      <w:ind w:left="360" w:hanging="360"/>
    </w:pPr>
    <w:rPr>
      <w:rFonts w:ascii="Times New Roman" w:eastAsia="Times New Roman" w:hAnsi="Times New Roman" w:cs="Times New Roman"/>
      <w:sz w:val="20"/>
      <w:szCs w:val="20"/>
    </w:rPr>
  </w:style>
  <w:style w:type="paragraph" w:customStyle="1" w:styleId="BibTitle">
    <w:name w:val="Bib_Title"/>
    <w:basedOn w:val="Normal"/>
    <w:rsid w:val="00AE1D24"/>
    <w:pPr>
      <w:keepNext/>
      <w:spacing w:before="240" w:after="0" w:line="240" w:lineRule="auto"/>
      <w:jc w:val="center"/>
      <w:outlineLvl w:val="0"/>
    </w:pPr>
    <w:rPr>
      <w:rFonts w:ascii="Times New Roman" w:eastAsia="Times New Roman" w:hAnsi="Times New Roman" w:cs="Times New Roman"/>
      <w:b/>
      <w:caps/>
      <w:kern w:val="28"/>
      <w:sz w:val="24"/>
      <w:szCs w:val="20"/>
    </w:rPr>
  </w:style>
  <w:style w:type="paragraph" w:customStyle="1" w:styleId="Equation">
    <w:name w:val="Equation"/>
    <w:rsid w:val="00AE1D24"/>
    <w:pPr>
      <w:spacing w:before="120" w:after="0" w:line="240" w:lineRule="auto"/>
      <w:ind w:left="1440" w:right="1440"/>
    </w:pPr>
    <w:rPr>
      <w:rFonts w:ascii="Times New Roman" w:eastAsia="Times New Roman" w:hAnsi="Times New Roman" w:cs="Times New Roman"/>
      <w:sz w:val="20"/>
      <w:szCs w:val="20"/>
    </w:rPr>
  </w:style>
  <w:style w:type="paragraph" w:customStyle="1" w:styleId="FigureLegend">
    <w:name w:val="Figure_Legend"/>
    <w:basedOn w:val="Normal"/>
    <w:rsid w:val="00AE1D24"/>
    <w:pPr>
      <w:spacing w:before="240" w:after="0" w:line="240" w:lineRule="auto"/>
    </w:pPr>
    <w:rPr>
      <w:rFonts w:ascii="Times New Roman" w:eastAsia="Times New Roman" w:hAnsi="Times New Roman" w:cs="Times New Roman"/>
      <w:sz w:val="24"/>
      <w:szCs w:val="20"/>
    </w:rPr>
  </w:style>
  <w:style w:type="paragraph" w:customStyle="1" w:styleId="H3">
    <w:name w:val="H3"/>
    <w:basedOn w:val="Normal"/>
    <w:rsid w:val="00AE1D24"/>
    <w:pPr>
      <w:keepNext/>
      <w:spacing w:before="240" w:after="0" w:line="240" w:lineRule="auto"/>
      <w:outlineLvl w:val="2"/>
    </w:pPr>
    <w:rPr>
      <w:rFonts w:ascii="Times New Roman" w:eastAsia="Times New Roman" w:hAnsi="Times New Roman" w:cs="Times New Roman"/>
      <w:b/>
      <w:kern w:val="28"/>
      <w:sz w:val="24"/>
      <w:szCs w:val="20"/>
    </w:rPr>
  </w:style>
  <w:style w:type="paragraph" w:customStyle="1" w:styleId="H4">
    <w:name w:val="H4"/>
    <w:basedOn w:val="Normal"/>
    <w:rsid w:val="00AE1D24"/>
    <w:pPr>
      <w:keepNext/>
      <w:spacing w:before="240" w:after="0" w:line="240" w:lineRule="auto"/>
      <w:outlineLvl w:val="3"/>
    </w:pPr>
    <w:rPr>
      <w:rFonts w:ascii="Times New Roman" w:eastAsia="Times New Roman" w:hAnsi="Times New Roman" w:cs="Times New Roman"/>
      <w:b/>
      <w:kern w:val="28"/>
      <w:sz w:val="20"/>
      <w:szCs w:val="20"/>
    </w:rPr>
  </w:style>
  <w:style w:type="paragraph" w:customStyle="1" w:styleId="Keywords">
    <w:name w:val="Keywords"/>
    <w:rsid w:val="00AE1D24"/>
    <w:pPr>
      <w:spacing w:before="120" w:after="120" w:line="240" w:lineRule="auto"/>
    </w:pPr>
    <w:rPr>
      <w:rFonts w:ascii="Times New Roman" w:eastAsia="Times New Roman" w:hAnsi="Times New Roman" w:cs="Times New Roman"/>
      <w:sz w:val="20"/>
      <w:szCs w:val="20"/>
    </w:rPr>
  </w:style>
  <w:style w:type="paragraph" w:customStyle="1" w:styleId="LeftRunhead">
    <w:name w:val="Left_Runhead"/>
    <w:rsid w:val="00AE1D24"/>
    <w:pPr>
      <w:spacing w:before="120" w:after="0" w:line="240" w:lineRule="auto"/>
    </w:pPr>
    <w:rPr>
      <w:rFonts w:ascii="Times New Roman" w:eastAsia="Times New Roman" w:hAnsi="Times New Roman" w:cs="Times New Roman"/>
      <w:sz w:val="24"/>
      <w:szCs w:val="20"/>
    </w:rPr>
  </w:style>
  <w:style w:type="paragraph" w:customStyle="1" w:styleId="ParaText">
    <w:name w:val="Para_Text"/>
    <w:link w:val="ParaTextChar"/>
    <w:rsid w:val="00AE1D24"/>
    <w:pPr>
      <w:spacing w:before="120" w:after="0" w:line="240" w:lineRule="auto"/>
      <w:ind w:firstLine="360"/>
    </w:pPr>
    <w:rPr>
      <w:rFonts w:ascii="Times New Roman" w:eastAsia="Times New Roman" w:hAnsi="Times New Roman" w:cs="Times New Roman"/>
      <w:sz w:val="24"/>
      <w:szCs w:val="20"/>
    </w:rPr>
  </w:style>
  <w:style w:type="paragraph" w:customStyle="1" w:styleId="TableBody">
    <w:name w:val="Table_Body"/>
    <w:basedOn w:val="Normal"/>
    <w:rsid w:val="00AE1D24"/>
    <w:pPr>
      <w:spacing w:after="0" w:line="240" w:lineRule="auto"/>
    </w:pPr>
    <w:rPr>
      <w:rFonts w:ascii="Times New Roman" w:eastAsia="Times New Roman" w:hAnsi="Times New Roman" w:cs="Times New Roman"/>
      <w:sz w:val="20"/>
      <w:szCs w:val="20"/>
    </w:rPr>
  </w:style>
  <w:style w:type="paragraph" w:customStyle="1" w:styleId="Abbreviations">
    <w:name w:val="Abbreviations"/>
    <w:basedOn w:val="Normal"/>
    <w:rsid w:val="00AE1D24"/>
    <w:pPr>
      <w:spacing w:before="120" w:after="0" w:line="240" w:lineRule="auto"/>
    </w:pPr>
    <w:rPr>
      <w:rFonts w:ascii="Times New Roman" w:eastAsia="Times New Roman" w:hAnsi="Times New Roman" w:cs="Times New Roman"/>
      <w:sz w:val="20"/>
      <w:szCs w:val="20"/>
    </w:rPr>
  </w:style>
  <w:style w:type="paragraph" w:customStyle="1" w:styleId="TableFootnote">
    <w:name w:val="Table_Footnote"/>
    <w:basedOn w:val="Normal"/>
    <w:rsid w:val="00AE1D24"/>
    <w:pPr>
      <w:spacing w:before="120" w:after="0" w:line="240" w:lineRule="auto"/>
    </w:pPr>
    <w:rPr>
      <w:rFonts w:ascii="Times New Roman" w:eastAsia="Times New Roman" w:hAnsi="Times New Roman" w:cs="Times New Roman"/>
      <w:b/>
      <w:sz w:val="20"/>
      <w:szCs w:val="20"/>
    </w:rPr>
  </w:style>
  <w:style w:type="paragraph" w:customStyle="1" w:styleId="FlushLeft">
    <w:name w:val="Flush_Left"/>
    <w:rsid w:val="00AE1D24"/>
    <w:pPr>
      <w:spacing w:before="120" w:after="0" w:line="240" w:lineRule="auto"/>
    </w:pPr>
    <w:rPr>
      <w:rFonts w:ascii="Times New Roman" w:eastAsia="Times New Roman" w:hAnsi="Times New Roman" w:cs="Times New Roman"/>
      <w:sz w:val="24"/>
      <w:szCs w:val="20"/>
    </w:rPr>
  </w:style>
  <w:style w:type="paragraph" w:customStyle="1" w:styleId="TableHead">
    <w:name w:val="Table_Head"/>
    <w:basedOn w:val="Normal"/>
    <w:rsid w:val="00AE1D24"/>
    <w:pPr>
      <w:spacing w:after="0" w:line="240" w:lineRule="auto"/>
      <w:jc w:val="center"/>
    </w:pPr>
    <w:rPr>
      <w:rFonts w:ascii="Times New Roman" w:eastAsia="Times New Roman" w:hAnsi="Times New Roman" w:cs="Times New Roman"/>
      <w:b/>
      <w:sz w:val="20"/>
      <w:szCs w:val="20"/>
    </w:rPr>
  </w:style>
  <w:style w:type="paragraph" w:customStyle="1" w:styleId="TableTitle">
    <w:name w:val="Table_Title"/>
    <w:basedOn w:val="Normal"/>
    <w:rsid w:val="00AE1D24"/>
    <w:pPr>
      <w:spacing w:before="240" w:after="0" w:line="240" w:lineRule="auto"/>
    </w:pPr>
    <w:rPr>
      <w:rFonts w:ascii="Times New Roman" w:eastAsia="Times New Roman" w:hAnsi="Times New Roman" w:cs="Times New Roman"/>
      <w:b/>
      <w:sz w:val="20"/>
      <w:szCs w:val="20"/>
    </w:rPr>
  </w:style>
  <w:style w:type="character" w:styleId="LineNumber">
    <w:name w:val="line number"/>
    <w:basedOn w:val="DefaultParagraphFont"/>
    <w:uiPriority w:val="99"/>
    <w:semiHidden/>
    <w:unhideWhenUsed/>
    <w:rsid w:val="007D4C1F"/>
  </w:style>
  <w:style w:type="character" w:styleId="CommentReference">
    <w:name w:val="annotation reference"/>
    <w:basedOn w:val="DefaultParagraphFont"/>
    <w:uiPriority w:val="99"/>
    <w:semiHidden/>
    <w:unhideWhenUsed/>
    <w:rsid w:val="009C53F2"/>
    <w:rPr>
      <w:sz w:val="16"/>
      <w:szCs w:val="16"/>
    </w:rPr>
  </w:style>
  <w:style w:type="paragraph" w:styleId="CommentText">
    <w:name w:val="annotation text"/>
    <w:basedOn w:val="Normal"/>
    <w:link w:val="CommentTextChar"/>
    <w:uiPriority w:val="99"/>
    <w:semiHidden/>
    <w:unhideWhenUsed/>
    <w:rsid w:val="009C53F2"/>
    <w:pPr>
      <w:spacing w:line="240" w:lineRule="auto"/>
    </w:pPr>
    <w:rPr>
      <w:sz w:val="20"/>
      <w:szCs w:val="20"/>
    </w:rPr>
  </w:style>
  <w:style w:type="character" w:customStyle="1" w:styleId="CommentTextChar">
    <w:name w:val="Comment Text Char"/>
    <w:basedOn w:val="DefaultParagraphFont"/>
    <w:link w:val="CommentText"/>
    <w:uiPriority w:val="99"/>
    <w:semiHidden/>
    <w:rsid w:val="009C53F2"/>
    <w:rPr>
      <w:sz w:val="20"/>
      <w:szCs w:val="20"/>
    </w:rPr>
  </w:style>
  <w:style w:type="paragraph" w:styleId="CommentSubject">
    <w:name w:val="annotation subject"/>
    <w:basedOn w:val="CommentText"/>
    <w:next w:val="CommentText"/>
    <w:link w:val="CommentSubjectChar"/>
    <w:uiPriority w:val="99"/>
    <w:semiHidden/>
    <w:unhideWhenUsed/>
    <w:rsid w:val="009C53F2"/>
    <w:rPr>
      <w:b/>
      <w:bCs/>
    </w:rPr>
  </w:style>
  <w:style w:type="character" w:customStyle="1" w:styleId="CommentSubjectChar">
    <w:name w:val="Comment Subject Char"/>
    <w:basedOn w:val="CommentTextChar"/>
    <w:link w:val="CommentSubject"/>
    <w:uiPriority w:val="99"/>
    <w:semiHidden/>
    <w:rsid w:val="009C53F2"/>
    <w:rPr>
      <w:b/>
      <w:bCs/>
      <w:sz w:val="20"/>
      <w:szCs w:val="20"/>
    </w:rPr>
  </w:style>
  <w:style w:type="paragraph" w:styleId="BalloonText">
    <w:name w:val="Balloon Text"/>
    <w:basedOn w:val="Normal"/>
    <w:link w:val="BalloonTextChar"/>
    <w:uiPriority w:val="99"/>
    <w:semiHidden/>
    <w:unhideWhenUsed/>
    <w:rsid w:val="009C53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3F2"/>
    <w:rPr>
      <w:rFonts w:ascii="Tahoma" w:hAnsi="Tahoma" w:cs="Tahoma"/>
      <w:sz w:val="16"/>
      <w:szCs w:val="16"/>
    </w:rPr>
  </w:style>
  <w:style w:type="paragraph" w:customStyle="1" w:styleId="List1">
    <w:name w:val="List_1"/>
    <w:rsid w:val="00B83118"/>
    <w:pPr>
      <w:spacing w:before="120" w:after="0" w:line="240" w:lineRule="auto"/>
      <w:ind w:left="720" w:hanging="360"/>
    </w:pPr>
    <w:rPr>
      <w:rFonts w:ascii="Times New Roman" w:eastAsia="Times New Roman" w:hAnsi="Times New Roman" w:cs="Times New Roman"/>
      <w:sz w:val="20"/>
      <w:szCs w:val="20"/>
    </w:rPr>
  </w:style>
  <w:style w:type="paragraph" w:customStyle="1" w:styleId="ListNUM">
    <w:name w:val="List_NUM"/>
    <w:rsid w:val="00B83118"/>
    <w:pPr>
      <w:spacing w:after="0" w:line="240" w:lineRule="auto"/>
      <w:ind w:left="720" w:hanging="360"/>
    </w:pPr>
    <w:rPr>
      <w:rFonts w:ascii="Times New Roman" w:eastAsia="Times New Roman" w:hAnsi="Times New Roman" w:cs="Times New Roman"/>
      <w:sz w:val="20"/>
      <w:szCs w:val="20"/>
    </w:rPr>
  </w:style>
  <w:style w:type="character" w:customStyle="1" w:styleId="MTEquationSection">
    <w:name w:val="MTEquationSection"/>
    <w:basedOn w:val="DefaultParagraphFont"/>
    <w:rsid w:val="00E6641B"/>
    <w:rPr>
      <w:b/>
      <w:vanish/>
      <w:color w:val="FF0000"/>
    </w:rPr>
  </w:style>
  <w:style w:type="paragraph" w:customStyle="1" w:styleId="MTDisplayEquation">
    <w:name w:val="MTDisplayEquation"/>
    <w:basedOn w:val="ParaText"/>
    <w:next w:val="Normal"/>
    <w:link w:val="MTDisplayEquationChar"/>
    <w:rsid w:val="00E6641B"/>
    <w:pPr>
      <w:tabs>
        <w:tab w:val="center" w:pos="4680"/>
        <w:tab w:val="right" w:pos="9360"/>
      </w:tabs>
    </w:pPr>
  </w:style>
  <w:style w:type="character" w:customStyle="1" w:styleId="ParaTextChar">
    <w:name w:val="Para_Text Char"/>
    <w:basedOn w:val="DefaultParagraphFont"/>
    <w:link w:val="ParaText"/>
    <w:rsid w:val="00E6641B"/>
    <w:rPr>
      <w:rFonts w:ascii="Times New Roman" w:eastAsia="Times New Roman" w:hAnsi="Times New Roman" w:cs="Times New Roman"/>
      <w:sz w:val="24"/>
      <w:szCs w:val="20"/>
    </w:rPr>
  </w:style>
  <w:style w:type="character" w:customStyle="1" w:styleId="MTDisplayEquationChar">
    <w:name w:val="MTDisplayEquation Char"/>
    <w:basedOn w:val="ParaTextChar"/>
    <w:link w:val="MTDisplayEquation"/>
    <w:rsid w:val="00E6641B"/>
    <w:rPr>
      <w:rFonts w:ascii="Times New Roman" w:eastAsia="Times New Roman" w:hAnsi="Times New Roman" w:cs="Times New Roman"/>
      <w:sz w:val="24"/>
      <w:szCs w:val="20"/>
    </w:rPr>
  </w:style>
  <w:style w:type="paragraph" w:styleId="ListParagraph">
    <w:name w:val="List Paragraph"/>
    <w:basedOn w:val="Normal"/>
    <w:uiPriority w:val="34"/>
    <w:qFormat/>
    <w:rsid w:val="00030EDB"/>
    <w:pPr>
      <w:spacing w:after="160" w:line="259" w:lineRule="auto"/>
      <w:ind w:left="720"/>
      <w:contextualSpacing/>
    </w:pPr>
    <w:rPr>
      <w:lang w:val="en-GB"/>
    </w:rPr>
  </w:style>
  <w:style w:type="paragraph" w:styleId="Caption">
    <w:name w:val="caption"/>
    <w:basedOn w:val="Normal"/>
    <w:next w:val="Normal"/>
    <w:unhideWhenUsed/>
    <w:qFormat/>
    <w:rsid w:val="00030EDB"/>
    <w:pPr>
      <w:spacing w:line="240" w:lineRule="auto"/>
    </w:pPr>
    <w:rPr>
      <w:i/>
      <w:iCs/>
      <w:color w:val="1F497D" w:themeColor="text2"/>
      <w:sz w:val="18"/>
      <w:szCs w:val="18"/>
      <w:lang w:val="en-GB"/>
    </w:rPr>
  </w:style>
  <w:style w:type="paragraph" w:customStyle="1" w:styleId="EndNoteBibliographyTitle">
    <w:name w:val="EndNote Bibliography Title"/>
    <w:basedOn w:val="Normal"/>
    <w:link w:val="EndNoteBibliographyTitleChar"/>
    <w:rsid w:val="00F4462A"/>
    <w:pPr>
      <w:spacing w:after="0"/>
      <w:jc w:val="center"/>
    </w:pPr>
    <w:rPr>
      <w:rFonts w:ascii="Times New Roman" w:hAnsi="Times New Roman" w:cs="Times New Roman"/>
      <w:noProof/>
      <w:sz w:val="20"/>
    </w:rPr>
  </w:style>
  <w:style w:type="character" w:customStyle="1" w:styleId="EndNoteBibliographyTitleChar">
    <w:name w:val="EndNote Bibliography Title Char"/>
    <w:basedOn w:val="ParaTextChar"/>
    <w:link w:val="EndNoteBibliographyTitle"/>
    <w:rsid w:val="00F4462A"/>
    <w:rPr>
      <w:rFonts w:ascii="Times New Roman" w:eastAsia="Times New Roman" w:hAnsi="Times New Roman" w:cs="Times New Roman"/>
      <w:noProof/>
      <w:sz w:val="20"/>
      <w:szCs w:val="20"/>
    </w:rPr>
  </w:style>
  <w:style w:type="paragraph" w:customStyle="1" w:styleId="EndNoteBibliography">
    <w:name w:val="EndNote Bibliography"/>
    <w:basedOn w:val="Normal"/>
    <w:link w:val="EndNoteBibliographyChar"/>
    <w:rsid w:val="00F4462A"/>
    <w:pPr>
      <w:spacing w:line="240" w:lineRule="auto"/>
    </w:pPr>
    <w:rPr>
      <w:rFonts w:ascii="Times New Roman" w:hAnsi="Times New Roman" w:cs="Times New Roman"/>
      <w:noProof/>
      <w:sz w:val="20"/>
    </w:rPr>
  </w:style>
  <w:style w:type="character" w:customStyle="1" w:styleId="EndNoteBibliographyChar">
    <w:name w:val="EndNote Bibliography Char"/>
    <w:basedOn w:val="ParaTextChar"/>
    <w:link w:val="EndNoteBibliography"/>
    <w:rsid w:val="00F4462A"/>
    <w:rPr>
      <w:rFonts w:ascii="Times New Roman" w:eastAsia="Times New Roman" w:hAnsi="Times New Roman" w:cs="Times New Roman"/>
      <w:noProof/>
      <w:sz w:val="20"/>
      <w:szCs w:val="20"/>
    </w:rPr>
  </w:style>
  <w:style w:type="character" w:styleId="FollowedHyperlink">
    <w:name w:val="FollowedHyperlink"/>
    <w:basedOn w:val="DefaultParagraphFont"/>
    <w:uiPriority w:val="99"/>
    <w:semiHidden/>
    <w:unhideWhenUsed/>
    <w:rsid w:val="001816FD"/>
    <w:rPr>
      <w:color w:val="800080" w:themeColor="followedHyperlink"/>
      <w:u w:val="single"/>
    </w:rPr>
  </w:style>
  <w:style w:type="character" w:styleId="PlaceholderText">
    <w:name w:val="Placeholder Text"/>
    <w:basedOn w:val="DefaultParagraphFont"/>
    <w:uiPriority w:val="99"/>
    <w:semiHidden/>
    <w:rsid w:val="007A3CE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321810">
      <w:bodyDiv w:val="1"/>
      <w:marLeft w:val="0"/>
      <w:marRight w:val="0"/>
      <w:marTop w:val="0"/>
      <w:marBottom w:val="0"/>
      <w:divBdr>
        <w:top w:val="none" w:sz="0" w:space="0" w:color="auto"/>
        <w:left w:val="none" w:sz="0" w:space="0" w:color="auto"/>
        <w:bottom w:val="none" w:sz="0" w:space="0" w:color="auto"/>
        <w:right w:val="none" w:sz="0" w:space="0" w:color="auto"/>
      </w:divBdr>
    </w:div>
    <w:div w:id="111281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l.sciencesocieties.org/publications/style/"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02FFD-FC92-43E4-AA03-4E980CFE6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28</Pages>
  <Words>13889</Words>
  <Characters>79170</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eXtyles Citation Match Check</dc:creator>
  <cp:lastModifiedBy>Petroselli C.</cp:lastModifiedBy>
  <cp:revision>12</cp:revision>
  <dcterms:created xsi:type="dcterms:W3CDTF">2020-07-30T15:19:00Z</dcterms:created>
  <dcterms:modified xsi:type="dcterms:W3CDTF">2020-09-01T15:49:00Z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nNumsOnRight">
    <vt:bool>true</vt:bool>
  </property>
  <property fmtid="{D5CDD505-2E9C-101B-9397-08002B2CF9AE}" pid="3" name="MTEquationNumber2">
    <vt:lpwstr>(#S1.#E1)</vt:lpwstr>
  </property>
  <property fmtid="{D5CDD505-2E9C-101B-9397-08002B2CF9AE}" pid="4" name="MTEquationSection">
    <vt:lpwstr>1</vt:lpwstr>
  </property>
  <property fmtid="{D5CDD505-2E9C-101B-9397-08002B2CF9AE}" pid="5" name="MTWinEqns">
    <vt:bool>true</vt:bool>
  </property>
</Properties>
</file>