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68AF" w14:textId="77777777" w:rsidR="003844BD" w:rsidRPr="00675060" w:rsidRDefault="003844BD" w:rsidP="00BA34EA">
      <w:pPr>
        <w:spacing w:line="480" w:lineRule="auto"/>
        <w:rPr>
          <w:rFonts w:ascii="Times New Roman" w:hAnsi="Times New Roman" w:cs="Times New Roman"/>
          <w:b/>
          <w:i/>
          <w:color w:val="000000" w:themeColor="text1"/>
        </w:rPr>
      </w:pPr>
      <w:r w:rsidRPr="00675060">
        <w:rPr>
          <w:rFonts w:ascii="Times New Roman" w:hAnsi="Times New Roman" w:cs="Times New Roman"/>
          <w:b/>
          <w:i/>
          <w:color w:val="000000" w:themeColor="text1"/>
        </w:rPr>
        <w:t>Cover Page</w:t>
      </w:r>
    </w:p>
    <w:p w14:paraId="6F27D557" w14:textId="77777777" w:rsidR="00AE3CEA" w:rsidRPr="00675060" w:rsidRDefault="00AE3CEA" w:rsidP="00BA34EA">
      <w:pPr>
        <w:spacing w:line="480" w:lineRule="auto"/>
        <w:rPr>
          <w:rFonts w:ascii="Times New Roman" w:hAnsi="Times New Roman" w:cs="Times New Roman"/>
          <w:b/>
          <w:color w:val="000000" w:themeColor="text1"/>
          <w:sz w:val="28"/>
        </w:rPr>
      </w:pPr>
      <w:r w:rsidRPr="00675060">
        <w:rPr>
          <w:rFonts w:ascii="Times New Roman" w:hAnsi="Times New Roman" w:cs="Times New Roman"/>
          <w:b/>
          <w:color w:val="000000" w:themeColor="text1"/>
          <w:sz w:val="28"/>
        </w:rPr>
        <w:t xml:space="preserve">The end of the road? </w:t>
      </w:r>
      <w:r w:rsidR="00A41627" w:rsidRPr="00675060">
        <w:rPr>
          <w:rFonts w:ascii="Times New Roman" w:hAnsi="Times New Roman" w:cs="Times New Roman"/>
          <w:b/>
          <w:color w:val="000000" w:themeColor="text1"/>
          <w:sz w:val="28"/>
        </w:rPr>
        <w:t xml:space="preserve">A critique of </w:t>
      </w:r>
      <w:r w:rsidR="00517BEC" w:rsidRPr="00675060">
        <w:rPr>
          <w:rFonts w:ascii="Times New Roman" w:hAnsi="Times New Roman" w:cs="Times New Roman"/>
          <w:b/>
          <w:color w:val="000000" w:themeColor="text1"/>
          <w:sz w:val="28"/>
        </w:rPr>
        <w:t>the</w:t>
      </w:r>
      <w:r w:rsidR="00A41627" w:rsidRPr="00675060">
        <w:rPr>
          <w:rFonts w:ascii="Times New Roman" w:hAnsi="Times New Roman" w:cs="Times New Roman"/>
          <w:b/>
          <w:color w:val="000000" w:themeColor="text1"/>
          <w:sz w:val="28"/>
        </w:rPr>
        <w:t xml:space="preserve"> nascent trend </w:t>
      </w:r>
      <w:r w:rsidR="00517BEC" w:rsidRPr="00675060">
        <w:rPr>
          <w:rFonts w:ascii="Times New Roman" w:hAnsi="Times New Roman" w:cs="Times New Roman"/>
          <w:b/>
          <w:color w:val="000000" w:themeColor="text1"/>
          <w:sz w:val="28"/>
        </w:rPr>
        <w:t>of secondary education transition metrification</w:t>
      </w:r>
    </w:p>
    <w:p w14:paraId="66306DA7" w14:textId="77777777" w:rsidR="003844BD" w:rsidRPr="00675060" w:rsidRDefault="003844BD" w:rsidP="003844BD">
      <w:pPr>
        <w:spacing w:line="480" w:lineRule="auto"/>
        <w:rPr>
          <w:rFonts w:ascii="Times New Roman" w:hAnsi="Times New Roman" w:cs="Times New Roman"/>
          <w:b/>
        </w:rPr>
      </w:pPr>
    </w:p>
    <w:p w14:paraId="6AEB9408" w14:textId="77777777" w:rsidR="003844BD" w:rsidRPr="00675060" w:rsidRDefault="003844BD" w:rsidP="003844BD">
      <w:pPr>
        <w:spacing w:line="480" w:lineRule="auto"/>
        <w:rPr>
          <w:rFonts w:ascii="Times New Roman" w:hAnsi="Times New Roman" w:cs="Times New Roman"/>
          <w:b/>
        </w:rPr>
      </w:pPr>
      <w:r w:rsidRPr="00675060">
        <w:rPr>
          <w:rFonts w:ascii="Times New Roman" w:hAnsi="Times New Roman" w:cs="Times New Roman"/>
          <w:b/>
        </w:rPr>
        <w:t>Authors</w:t>
      </w:r>
    </w:p>
    <w:p w14:paraId="6A9AD41D" w14:textId="77777777" w:rsidR="003844BD" w:rsidRPr="00675060" w:rsidRDefault="003844BD" w:rsidP="003844BD">
      <w:pPr>
        <w:pStyle w:val="ListParagraph"/>
        <w:numPr>
          <w:ilvl w:val="0"/>
          <w:numId w:val="10"/>
        </w:numPr>
        <w:spacing w:line="480" w:lineRule="auto"/>
        <w:rPr>
          <w:rFonts w:ascii="Times New Roman" w:hAnsi="Times New Roman" w:cs="Times New Roman"/>
        </w:rPr>
      </w:pPr>
      <w:r w:rsidRPr="00675060">
        <w:rPr>
          <w:rFonts w:ascii="Times New Roman" w:hAnsi="Times New Roman" w:cs="Times New Roman"/>
        </w:rPr>
        <w:t>Christian Percy, Independent Researcher* (</w:t>
      </w:r>
      <w:hyperlink r:id="rId8" w:history="1">
        <w:r w:rsidRPr="00675060">
          <w:rPr>
            <w:rStyle w:val="Hyperlink"/>
            <w:rFonts w:ascii="Times New Roman" w:hAnsi="Times New Roman" w:cs="Times New Roman"/>
          </w:rPr>
          <w:t>chris@cspres.co.uk</w:t>
        </w:r>
      </w:hyperlink>
      <w:r w:rsidRPr="00675060">
        <w:rPr>
          <w:rFonts w:ascii="Times New Roman" w:hAnsi="Times New Roman" w:cs="Times New Roman"/>
        </w:rPr>
        <w:t xml:space="preserve">) </w:t>
      </w:r>
    </w:p>
    <w:p w14:paraId="50C85B3D" w14:textId="77777777" w:rsidR="003844BD" w:rsidRPr="00675060" w:rsidRDefault="003844BD" w:rsidP="003844BD">
      <w:pPr>
        <w:pStyle w:val="ListParagraph"/>
        <w:numPr>
          <w:ilvl w:val="0"/>
          <w:numId w:val="10"/>
        </w:numPr>
        <w:spacing w:line="480" w:lineRule="auto"/>
        <w:rPr>
          <w:rFonts w:ascii="Times New Roman" w:hAnsi="Times New Roman" w:cs="Times New Roman"/>
        </w:rPr>
      </w:pPr>
      <w:r w:rsidRPr="00675060">
        <w:rPr>
          <w:rFonts w:ascii="Times New Roman" w:hAnsi="Times New Roman" w:cs="Times New Roman"/>
        </w:rPr>
        <w:t>Michael Tomlinson, Associate Professor at the University of Southampton (</w:t>
      </w:r>
      <w:hyperlink r:id="rId9" w:history="1">
        <w:r w:rsidRPr="00675060">
          <w:rPr>
            <w:rStyle w:val="Hyperlink"/>
            <w:rFonts w:ascii="Times New Roman" w:hAnsi="Times New Roman" w:cs="Times New Roman"/>
          </w:rPr>
          <w:t>M.B.Tomlinson@soton.ac.uk</w:t>
        </w:r>
      </w:hyperlink>
      <w:r w:rsidRPr="00675060">
        <w:rPr>
          <w:rFonts w:ascii="Times New Roman" w:hAnsi="Times New Roman" w:cs="Times New Roman"/>
        </w:rPr>
        <w:t xml:space="preserve">) </w:t>
      </w:r>
    </w:p>
    <w:p w14:paraId="316112EB" w14:textId="77777777" w:rsidR="003844BD" w:rsidRPr="00675060" w:rsidRDefault="003844BD" w:rsidP="003844BD">
      <w:pPr>
        <w:pStyle w:val="ListParagraph"/>
        <w:numPr>
          <w:ilvl w:val="0"/>
          <w:numId w:val="10"/>
        </w:numPr>
        <w:spacing w:line="480" w:lineRule="auto"/>
        <w:rPr>
          <w:rFonts w:ascii="Times New Roman" w:hAnsi="Times New Roman" w:cs="Times New Roman"/>
        </w:rPr>
      </w:pPr>
      <w:r w:rsidRPr="00675060">
        <w:rPr>
          <w:rFonts w:ascii="Times New Roman" w:hAnsi="Times New Roman" w:cs="Times New Roman"/>
        </w:rPr>
        <w:t>Prue Huddleston, Emeritus Professor and formerly Director of the Centre for Education and Industry at the University of Warwick (</w:t>
      </w:r>
      <w:hyperlink r:id="rId10" w:history="1">
        <w:r w:rsidRPr="00675060">
          <w:rPr>
            <w:rStyle w:val="Hyperlink"/>
            <w:rFonts w:ascii="Times New Roman" w:hAnsi="Times New Roman" w:cs="Times New Roman"/>
          </w:rPr>
          <w:t>P.J.Huddleston@warwick.ac.uk</w:t>
        </w:r>
      </w:hyperlink>
      <w:r w:rsidRPr="00675060">
        <w:rPr>
          <w:rFonts w:ascii="Times New Roman" w:hAnsi="Times New Roman" w:cs="Times New Roman"/>
        </w:rPr>
        <w:t xml:space="preserve">) </w:t>
      </w:r>
    </w:p>
    <w:p w14:paraId="741FA074" w14:textId="77777777" w:rsidR="003844BD" w:rsidRPr="00675060" w:rsidRDefault="003844BD" w:rsidP="003844BD">
      <w:pPr>
        <w:spacing w:line="480" w:lineRule="auto"/>
        <w:rPr>
          <w:rFonts w:ascii="Times New Roman" w:hAnsi="Times New Roman" w:cs="Times New Roman"/>
          <w:i/>
        </w:rPr>
      </w:pPr>
    </w:p>
    <w:p w14:paraId="7C5B6F3C" w14:textId="77777777" w:rsidR="003844BD" w:rsidRPr="00675060" w:rsidRDefault="003844BD" w:rsidP="003844BD">
      <w:pPr>
        <w:spacing w:line="480" w:lineRule="auto"/>
        <w:rPr>
          <w:rFonts w:ascii="Times New Roman" w:hAnsi="Times New Roman" w:cs="Times New Roman"/>
          <w:i/>
        </w:rPr>
      </w:pPr>
      <w:r w:rsidRPr="00675060">
        <w:rPr>
          <w:rFonts w:ascii="Times New Roman" w:hAnsi="Times New Roman" w:cs="Times New Roman"/>
          <w:i/>
        </w:rPr>
        <w:t>*Corresponding address:</w:t>
      </w:r>
    </w:p>
    <w:p w14:paraId="5AC73C9E" w14:textId="77777777" w:rsidR="003844BD" w:rsidRPr="00675060" w:rsidRDefault="003844BD" w:rsidP="003844BD">
      <w:pPr>
        <w:spacing w:line="480" w:lineRule="auto"/>
        <w:rPr>
          <w:rFonts w:ascii="Times New Roman" w:hAnsi="Times New Roman" w:cs="Times New Roman"/>
          <w:i/>
        </w:rPr>
      </w:pPr>
      <w:r w:rsidRPr="00675060">
        <w:rPr>
          <w:rFonts w:ascii="Times New Roman" w:hAnsi="Times New Roman" w:cs="Times New Roman"/>
          <w:i/>
        </w:rPr>
        <w:t>142B Fordwych Rd, London, UK, NW2 3PA</w:t>
      </w:r>
    </w:p>
    <w:p w14:paraId="286D61ED" w14:textId="77777777" w:rsidR="003844BD" w:rsidRPr="00675060" w:rsidRDefault="003844BD" w:rsidP="003844BD">
      <w:pPr>
        <w:spacing w:line="480" w:lineRule="auto"/>
        <w:rPr>
          <w:rFonts w:ascii="Times New Roman" w:hAnsi="Times New Roman" w:cs="Times New Roman"/>
          <w:i/>
        </w:rPr>
      </w:pPr>
      <w:r w:rsidRPr="00675060">
        <w:rPr>
          <w:rFonts w:ascii="Times New Roman" w:hAnsi="Times New Roman" w:cs="Times New Roman"/>
          <w:i/>
        </w:rPr>
        <w:t>+44 7733 063475</w:t>
      </w:r>
    </w:p>
    <w:p w14:paraId="0752837D" w14:textId="77777777" w:rsidR="003844BD" w:rsidRPr="00675060" w:rsidRDefault="003844BD">
      <w:pPr>
        <w:rPr>
          <w:rFonts w:ascii="Times New Roman" w:hAnsi="Times New Roman" w:cs="Times New Roman"/>
          <w:b/>
        </w:rPr>
      </w:pPr>
    </w:p>
    <w:p w14:paraId="038B0358" w14:textId="77777777" w:rsidR="003844BD" w:rsidRPr="00675060" w:rsidRDefault="003844BD">
      <w:pPr>
        <w:rPr>
          <w:rFonts w:ascii="Times New Roman" w:hAnsi="Times New Roman" w:cs="Times New Roman"/>
          <w:b/>
        </w:rPr>
      </w:pPr>
      <w:r w:rsidRPr="00675060">
        <w:rPr>
          <w:rFonts w:ascii="Times New Roman" w:hAnsi="Times New Roman" w:cs="Times New Roman"/>
          <w:b/>
        </w:rPr>
        <w:br w:type="page"/>
      </w:r>
    </w:p>
    <w:p w14:paraId="12740A25" w14:textId="5319A508" w:rsidR="003844BD" w:rsidRPr="00675060" w:rsidRDefault="003844BD" w:rsidP="003844BD">
      <w:pPr>
        <w:spacing w:line="480" w:lineRule="auto"/>
        <w:rPr>
          <w:rFonts w:ascii="Times New Roman" w:hAnsi="Times New Roman" w:cs="Times New Roman"/>
          <w:b/>
          <w:color w:val="000000" w:themeColor="text1"/>
          <w:sz w:val="28"/>
        </w:rPr>
      </w:pPr>
      <w:r w:rsidRPr="00675060">
        <w:rPr>
          <w:rFonts w:ascii="Times New Roman" w:hAnsi="Times New Roman" w:cs="Times New Roman"/>
          <w:b/>
          <w:color w:val="000000" w:themeColor="text1"/>
          <w:sz w:val="28"/>
        </w:rPr>
        <w:lastRenderedPageBreak/>
        <w:t>The end of the road? A critique of the nascent trend of secondary education transition metrification</w:t>
      </w:r>
    </w:p>
    <w:p w14:paraId="431DF914" w14:textId="6486B75D" w:rsidR="003844BD" w:rsidRPr="00675060" w:rsidRDefault="003844BD" w:rsidP="003B427B">
      <w:pPr>
        <w:spacing w:line="480" w:lineRule="auto"/>
        <w:jc w:val="right"/>
        <w:rPr>
          <w:rFonts w:ascii="Times New Roman" w:hAnsi="Times New Roman" w:cs="Times New Roman"/>
          <w:b/>
        </w:rPr>
      </w:pPr>
      <w:r w:rsidRPr="00675060">
        <w:rPr>
          <w:rFonts w:ascii="Times New Roman" w:hAnsi="Times New Roman" w:cs="Times New Roman"/>
          <w:b/>
        </w:rPr>
        <w:t xml:space="preserve">Date submitted: </w:t>
      </w:r>
      <w:r w:rsidR="003D4A01" w:rsidRPr="003D4A01">
        <w:rPr>
          <w:rFonts w:ascii="Times New Roman" w:hAnsi="Times New Roman" w:cs="Times New Roman"/>
          <w:b/>
          <w:highlight w:val="yellow"/>
        </w:rPr>
        <w:t>25</w:t>
      </w:r>
      <w:r w:rsidRPr="00675060">
        <w:rPr>
          <w:rFonts w:ascii="Times New Roman" w:hAnsi="Times New Roman" w:cs="Times New Roman"/>
          <w:b/>
        </w:rPr>
        <w:t xml:space="preserve"> June 2019</w:t>
      </w:r>
    </w:p>
    <w:p w14:paraId="6FE959F1" w14:textId="7D93A25A" w:rsidR="003844BD" w:rsidRPr="00675060" w:rsidRDefault="003844BD" w:rsidP="003844BD">
      <w:pPr>
        <w:spacing w:line="480" w:lineRule="auto"/>
        <w:rPr>
          <w:rFonts w:ascii="Times New Roman" w:hAnsi="Times New Roman" w:cs="Times New Roman"/>
        </w:rPr>
      </w:pPr>
      <w:r w:rsidRPr="00675060">
        <w:rPr>
          <w:rFonts w:ascii="Times New Roman" w:hAnsi="Times New Roman" w:cs="Times New Roman"/>
          <w:b/>
        </w:rPr>
        <w:t>Abstract</w:t>
      </w:r>
    </w:p>
    <w:p w14:paraId="662C5F0C" w14:textId="00DFC6C4" w:rsidR="003844BD" w:rsidRPr="00675060" w:rsidRDefault="003844BD" w:rsidP="003844BD">
      <w:pPr>
        <w:spacing w:line="480" w:lineRule="auto"/>
        <w:ind w:left="426" w:right="662"/>
        <w:rPr>
          <w:rFonts w:ascii="Times New Roman" w:hAnsi="Times New Roman" w:cs="Times New Roman"/>
          <w:i/>
        </w:rPr>
      </w:pPr>
      <w:bookmarkStart w:id="0" w:name="_Hlk10112711"/>
      <w:r w:rsidRPr="00675060">
        <w:rPr>
          <w:rFonts w:ascii="Times New Roman" w:hAnsi="Times New Roman" w:cs="Times New Roman"/>
          <w:i/>
        </w:rPr>
        <w:t xml:space="preserve">This paper identifies a nascent trend developing destinations metrics for graduates of secondary education in several countries, with policy ambitions to support pupil-level decision making and drive provider-level accountability. This trend follows the development of such metrics for tertiary education graduates and a policy direction of data visibility and data engineering to support labour market objectives, via a vector of change that privileges financial </w:t>
      </w:r>
      <w:r w:rsidR="001E2198">
        <w:rPr>
          <w:rFonts w:ascii="Times New Roman" w:hAnsi="Times New Roman" w:cs="Times New Roman"/>
          <w:i/>
        </w:rPr>
        <w:t>factors</w:t>
      </w:r>
      <w:r w:rsidRPr="00675060">
        <w:rPr>
          <w:rFonts w:ascii="Times New Roman" w:hAnsi="Times New Roman" w:cs="Times New Roman"/>
          <w:i/>
        </w:rPr>
        <w:t xml:space="preserve"> </w:t>
      </w:r>
      <w:r w:rsidR="001E2198">
        <w:rPr>
          <w:rFonts w:ascii="Times New Roman" w:hAnsi="Times New Roman" w:cs="Times New Roman"/>
          <w:i/>
        </w:rPr>
        <w:t xml:space="preserve">in </w:t>
      </w:r>
      <w:r w:rsidRPr="00675060">
        <w:rPr>
          <w:rFonts w:ascii="Times New Roman" w:hAnsi="Times New Roman" w:cs="Times New Roman"/>
          <w:i/>
        </w:rPr>
        <w:t>career decision-making. Reforms in England are identified as a</w:t>
      </w:r>
      <w:r w:rsidR="005D69B1" w:rsidRPr="00675060">
        <w:rPr>
          <w:rFonts w:ascii="Times New Roman" w:hAnsi="Times New Roman" w:cs="Times New Roman"/>
          <w:i/>
        </w:rPr>
        <w:t>n</w:t>
      </w:r>
      <w:r w:rsidRPr="00675060">
        <w:rPr>
          <w:rFonts w:ascii="Times New Roman" w:hAnsi="Times New Roman" w:cs="Times New Roman"/>
          <w:i/>
        </w:rPr>
        <w:t xml:space="preserve"> </w:t>
      </w:r>
      <w:r w:rsidR="005D69B1" w:rsidRPr="00675060">
        <w:rPr>
          <w:rFonts w:ascii="Times New Roman" w:hAnsi="Times New Roman" w:cs="Times New Roman"/>
          <w:i/>
        </w:rPr>
        <w:t xml:space="preserve">example </w:t>
      </w:r>
      <w:r w:rsidRPr="00675060">
        <w:rPr>
          <w:rFonts w:ascii="Times New Roman" w:hAnsi="Times New Roman" w:cs="Times New Roman"/>
          <w:i/>
        </w:rPr>
        <w:t xml:space="preserve">of extreme practice, illustrating the practical potential of such data as well as potential pitfalls. Building on the pre-existing critique, the authors highlight </w:t>
      </w:r>
      <w:r w:rsidR="005D69B1" w:rsidRPr="00675060">
        <w:rPr>
          <w:rFonts w:ascii="Times New Roman" w:hAnsi="Times New Roman" w:cs="Times New Roman"/>
          <w:i/>
        </w:rPr>
        <w:t xml:space="preserve">three new biases particularly prevalent in the new metrics: </w:t>
      </w:r>
      <w:r w:rsidRPr="00675060">
        <w:rPr>
          <w:rFonts w:ascii="Times New Roman" w:hAnsi="Times New Roman" w:cs="Times New Roman"/>
          <w:i/>
        </w:rPr>
        <w:t xml:space="preserve">bias </w:t>
      </w:r>
      <w:r w:rsidR="005D69B1" w:rsidRPr="00675060">
        <w:rPr>
          <w:rFonts w:ascii="Times New Roman" w:hAnsi="Times New Roman" w:cs="Times New Roman"/>
          <w:i/>
        </w:rPr>
        <w:t>for continued education, bias for more stable, traditional forms of employment that disadvantages particular sectors, and bias for a provider-centric view of outcomes</w:t>
      </w:r>
      <w:r w:rsidRPr="00675060">
        <w:rPr>
          <w:rFonts w:ascii="Times New Roman" w:hAnsi="Times New Roman" w:cs="Times New Roman"/>
          <w:i/>
        </w:rPr>
        <w:t>.  Mitigations via an enhanced role for adolescent career counse</w:t>
      </w:r>
      <w:r w:rsidR="009A4065" w:rsidRPr="00675060">
        <w:rPr>
          <w:rFonts w:ascii="Times New Roman" w:hAnsi="Times New Roman" w:cs="Times New Roman"/>
          <w:i/>
        </w:rPr>
        <w:t>l</w:t>
      </w:r>
      <w:r w:rsidRPr="00675060">
        <w:rPr>
          <w:rFonts w:ascii="Times New Roman" w:hAnsi="Times New Roman" w:cs="Times New Roman"/>
          <w:i/>
        </w:rPr>
        <w:t>ling are discussed.</w:t>
      </w:r>
    </w:p>
    <w:bookmarkEnd w:id="0"/>
    <w:p w14:paraId="4F4729CC" w14:textId="77777777" w:rsidR="003844BD" w:rsidRPr="00675060" w:rsidRDefault="003844BD" w:rsidP="003844BD">
      <w:pPr>
        <w:spacing w:line="480" w:lineRule="auto"/>
        <w:rPr>
          <w:rFonts w:ascii="Times New Roman" w:hAnsi="Times New Roman" w:cs="Times New Roman"/>
        </w:rPr>
      </w:pPr>
      <w:r w:rsidRPr="00675060">
        <w:rPr>
          <w:rFonts w:ascii="Times New Roman" w:hAnsi="Times New Roman" w:cs="Times New Roman"/>
          <w:b/>
        </w:rPr>
        <w:t>Keywords</w:t>
      </w:r>
      <w:r w:rsidRPr="00675060">
        <w:rPr>
          <w:rFonts w:ascii="Times New Roman" w:hAnsi="Times New Roman" w:cs="Times New Roman"/>
        </w:rPr>
        <w:t>: School-to-work transitions, destinations metrics, school choice, accountability frameworks, career counse</w:t>
      </w:r>
      <w:r w:rsidR="009A4065" w:rsidRPr="00675060">
        <w:rPr>
          <w:rFonts w:ascii="Times New Roman" w:hAnsi="Times New Roman" w:cs="Times New Roman"/>
        </w:rPr>
        <w:t>l</w:t>
      </w:r>
      <w:r w:rsidRPr="00675060">
        <w:rPr>
          <w:rFonts w:ascii="Times New Roman" w:hAnsi="Times New Roman" w:cs="Times New Roman"/>
        </w:rPr>
        <w:t>ling</w:t>
      </w:r>
    </w:p>
    <w:p w14:paraId="781B5A29" w14:textId="77777777" w:rsidR="00A27B53" w:rsidRPr="00675060" w:rsidRDefault="00A27B53" w:rsidP="00BA34EA">
      <w:pPr>
        <w:spacing w:line="480" w:lineRule="auto"/>
        <w:rPr>
          <w:rFonts w:ascii="Times New Roman" w:hAnsi="Times New Roman" w:cs="Times New Roman"/>
        </w:rPr>
      </w:pPr>
    </w:p>
    <w:p w14:paraId="4F669751" w14:textId="1E2E0451" w:rsidR="001E2198" w:rsidRDefault="00AC4BAC" w:rsidP="00BA34EA">
      <w:pPr>
        <w:spacing w:line="480" w:lineRule="auto"/>
        <w:rPr>
          <w:rFonts w:ascii="Times New Roman" w:hAnsi="Times New Roman" w:cs="Times New Roman"/>
        </w:rPr>
      </w:pPr>
      <w:r w:rsidRPr="00675060">
        <w:rPr>
          <w:rFonts w:ascii="Times New Roman" w:hAnsi="Times New Roman" w:cs="Times New Roman"/>
        </w:rPr>
        <w:t xml:space="preserve">The potential for </w:t>
      </w:r>
      <w:r w:rsidR="001E2198">
        <w:rPr>
          <w:rFonts w:ascii="Times New Roman" w:hAnsi="Times New Roman" w:cs="Times New Roman"/>
        </w:rPr>
        <w:t>provider</w:t>
      </w:r>
      <w:r w:rsidR="00E038D1" w:rsidRPr="00675060">
        <w:rPr>
          <w:rFonts w:ascii="Times New Roman" w:hAnsi="Times New Roman" w:cs="Times New Roman"/>
        </w:rPr>
        <w:t xml:space="preserve">-level </w:t>
      </w:r>
      <w:r w:rsidRPr="00675060">
        <w:rPr>
          <w:rFonts w:ascii="Times New Roman" w:hAnsi="Times New Roman" w:cs="Times New Roman"/>
        </w:rPr>
        <w:t xml:space="preserve">metrics in the education system to drive behaviour </w:t>
      </w:r>
      <w:r w:rsidR="00BD343D" w:rsidRPr="00675060">
        <w:rPr>
          <w:rFonts w:ascii="Times New Roman" w:hAnsi="Times New Roman" w:cs="Times New Roman"/>
        </w:rPr>
        <w:t xml:space="preserve">can be seen </w:t>
      </w:r>
      <w:r w:rsidRPr="00675060">
        <w:rPr>
          <w:rFonts w:ascii="Times New Roman" w:hAnsi="Times New Roman" w:cs="Times New Roman"/>
        </w:rPr>
        <w:t xml:space="preserve">at the policy-level, the </w:t>
      </w:r>
      <w:r w:rsidR="00E038D1" w:rsidRPr="00675060">
        <w:rPr>
          <w:rFonts w:ascii="Times New Roman" w:hAnsi="Times New Roman" w:cs="Times New Roman"/>
        </w:rPr>
        <w:t>provider</w:t>
      </w:r>
      <w:r w:rsidRPr="00675060">
        <w:rPr>
          <w:rFonts w:ascii="Times New Roman" w:hAnsi="Times New Roman" w:cs="Times New Roman"/>
        </w:rPr>
        <w:t xml:space="preserve">-level and the </w:t>
      </w:r>
      <w:r w:rsidR="00E038D1" w:rsidRPr="00675060">
        <w:rPr>
          <w:rFonts w:ascii="Times New Roman" w:hAnsi="Times New Roman" w:cs="Times New Roman"/>
        </w:rPr>
        <w:t>pupil</w:t>
      </w:r>
      <w:r w:rsidRPr="00675060">
        <w:rPr>
          <w:rFonts w:ascii="Times New Roman" w:hAnsi="Times New Roman" w:cs="Times New Roman"/>
        </w:rPr>
        <w:t>-level (</w:t>
      </w:r>
      <w:r w:rsidR="002822AB" w:rsidRPr="00675060">
        <w:rPr>
          <w:rFonts w:ascii="Times New Roman" w:hAnsi="Times New Roman" w:cs="Times New Roman"/>
        </w:rPr>
        <w:t xml:space="preserve">see, for instance, Custer, </w:t>
      </w:r>
      <w:r w:rsidR="00FC2AAF">
        <w:rPr>
          <w:rFonts w:ascii="Times New Roman" w:hAnsi="Times New Roman" w:cs="Times New Roman"/>
        </w:rPr>
        <w:t xml:space="preserve">King, Atinc, Read, &amp; Sethi, </w:t>
      </w:r>
      <w:r w:rsidR="002822AB" w:rsidRPr="00675060">
        <w:rPr>
          <w:rFonts w:ascii="Times New Roman" w:hAnsi="Times New Roman" w:cs="Times New Roman"/>
        </w:rPr>
        <w:t xml:space="preserve">2018; Hanushek </w:t>
      </w:r>
      <w:r w:rsidR="001E2198">
        <w:rPr>
          <w:rFonts w:ascii="Times New Roman" w:hAnsi="Times New Roman" w:cs="Times New Roman"/>
        </w:rPr>
        <w:t>&amp;</w:t>
      </w:r>
      <w:r w:rsidR="002822AB" w:rsidRPr="00675060">
        <w:rPr>
          <w:rFonts w:ascii="Times New Roman" w:hAnsi="Times New Roman" w:cs="Times New Roman"/>
        </w:rPr>
        <w:t xml:space="preserve"> Raymond, 2005; </w:t>
      </w:r>
      <w:r w:rsidR="001E2198">
        <w:rPr>
          <w:rFonts w:ascii="Times New Roman" w:hAnsi="Times New Roman" w:cs="Times New Roman"/>
        </w:rPr>
        <w:t>as well as research</w:t>
      </w:r>
      <w:r w:rsidR="00E068E8" w:rsidRPr="00675060">
        <w:rPr>
          <w:rFonts w:ascii="Times New Roman" w:hAnsi="Times New Roman" w:cs="Times New Roman"/>
        </w:rPr>
        <w:t xml:space="preserve"> </w:t>
      </w:r>
      <w:r w:rsidR="002822AB" w:rsidRPr="00675060">
        <w:rPr>
          <w:rFonts w:ascii="Times New Roman" w:hAnsi="Times New Roman" w:cs="Times New Roman"/>
        </w:rPr>
        <w:t xml:space="preserve">acknowledging </w:t>
      </w:r>
      <w:r w:rsidR="00574D98" w:rsidRPr="00675060">
        <w:rPr>
          <w:rFonts w:ascii="Times New Roman" w:hAnsi="Times New Roman" w:cs="Times New Roman"/>
        </w:rPr>
        <w:t>mitigating factors</w:t>
      </w:r>
      <w:r w:rsidR="002822AB" w:rsidRPr="00675060">
        <w:rPr>
          <w:rFonts w:ascii="Times New Roman" w:hAnsi="Times New Roman" w:cs="Times New Roman"/>
        </w:rPr>
        <w:t>, e.g.</w:t>
      </w:r>
      <w:r w:rsidR="00574D98" w:rsidRPr="00675060">
        <w:rPr>
          <w:rFonts w:ascii="Times New Roman" w:hAnsi="Times New Roman" w:cs="Times New Roman"/>
        </w:rPr>
        <w:t xml:space="preserve"> Briggs, 2007;</w:t>
      </w:r>
      <w:r w:rsidR="002822AB" w:rsidRPr="00675060">
        <w:rPr>
          <w:rFonts w:ascii="Times New Roman" w:hAnsi="Times New Roman" w:cs="Times New Roman"/>
        </w:rPr>
        <w:t xml:space="preserve"> Janssens, 2011). </w:t>
      </w:r>
      <w:r w:rsidRPr="00675060">
        <w:rPr>
          <w:rFonts w:ascii="Times New Roman" w:hAnsi="Times New Roman" w:cs="Times New Roman"/>
        </w:rPr>
        <w:t xml:space="preserve"> “Achievement metrics”, such as course completion rates and course grades are particularly common, being generally available in a straightforward way to individual education providers. This paper explores the growing use of another category of</w:t>
      </w:r>
      <w:r w:rsidR="00E038D1" w:rsidRPr="00675060">
        <w:rPr>
          <w:rFonts w:ascii="Times New Roman" w:hAnsi="Times New Roman" w:cs="Times New Roman"/>
        </w:rPr>
        <w:t xml:space="preserve"> provider-level</w:t>
      </w:r>
      <w:r w:rsidRPr="00675060">
        <w:rPr>
          <w:rFonts w:ascii="Times New Roman" w:hAnsi="Times New Roman" w:cs="Times New Roman"/>
        </w:rPr>
        <w:t xml:space="preserve"> </w:t>
      </w:r>
      <w:r w:rsidRPr="00675060">
        <w:rPr>
          <w:rFonts w:ascii="Times New Roman" w:hAnsi="Times New Roman" w:cs="Times New Roman"/>
        </w:rPr>
        <w:lastRenderedPageBreak/>
        <w:t xml:space="preserve">metrics, “destination metrics”, which seek to understand what happens to students after they complete a particular stage of education </w:t>
      </w:r>
      <w:r w:rsidR="00E038D1" w:rsidRPr="00675060">
        <w:rPr>
          <w:rFonts w:ascii="Times New Roman" w:hAnsi="Times New Roman" w:cs="Times New Roman"/>
        </w:rPr>
        <w:t xml:space="preserve">at </w:t>
      </w:r>
      <w:r w:rsidRPr="00675060">
        <w:rPr>
          <w:rFonts w:ascii="Times New Roman" w:hAnsi="Times New Roman" w:cs="Times New Roman"/>
        </w:rPr>
        <w:t xml:space="preserve">a particular </w:t>
      </w:r>
      <w:r w:rsidR="00E038D1" w:rsidRPr="00675060">
        <w:rPr>
          <w:rFonts w:ascii="Times New Roman" w:hAnsi="Times New Roman" w:cs="Times New Roman"/>
        </w:rPr>
        <w:t>provider</w:t>
      </w:r>
      <w:r w:rsidRPr="00675060">
        <w:rPr>
          <w:rFonts w:ascii="Times New Roman" w:hAnsi="Times New Roman" w:cs="Times New Roman"/>
        </w:rPr>
        <w:t xml:space="preserve">. </w:t>
      </w:r>
    </w:p>
    <w:p w14:paraId="4C5EDC0B" w14:textId="7A575620" w:rsidR="00E038D1" w:rsidRPr="00675060" w:rsidRDefault="00AC4BAC" w:rsidP="001E2198">
      <w:pPr>
        <w:spacing w:line="480" w:lineRule="auto"/>
        <w:ind w:firstLine="720"/>
        <w:rPr>
          <w:rFonts w:ascii="Times New Roman" w:hAnsi="Times New Roman" w:cs="Times New Roman"/>
        </w:rPr>
      </w:pPr>
      <w:r w:rsidRPr="00675060">
        <w:rPr>
          <w:rFonts w:ascii="Times New Roman" w:hAnsi="Times New Roman" w:cs="Times New Roman"/>
        </w:rPr>
        <w:t>In recent years</w:t>
      </w:r>
      <w:r w:rsidR="00E038D1" w:rsidRPr="00675060">
        <w:rPr>
          <w:rFonts w:ascii="Times New Roman" w:hAnsi="Times New Roman" w:cs="Times New Roman"/>
        </w:rPr>
        <w:t xml:space="preserve">, destination metrics – particularly those focused on employment outcomes – have become widespread in the </w:t>
      </w:r>
      <w:r w:rsidR="00E068E8" w:rsidRPr="00675060">
        <w:rPr>
          <w:rFonts w:ascii="Times New Roman" w:hAnsi="Times New Roman" w:cs="Times New Roman"/>
        </w:rPr>
        <w:t xml:space="preserve">tertiary </w:t>
      </w:r>
      <w:r w:rsidR="00E038D1" w:rsidRPr="00675060">
        <w:rPr>
          <w:rFonts w:ascii="Times New Roman" w:hAnsi="Times New Roman" w:cs="Times New Roman"/>
        </w:rPr>
        <w:t xml:space="preserve">education systems of developed countries; for instance, graduate employment rates feature in the global ranking of universities by </w:t>
      </w:r>
      <w:r w:rsidR="002822AB" w:rsidRPr="00675060">
        <w:rPr>
          <w:rFonts w:ascii="Times New Roman" w:hAnsi="Times New Roman" w:cs="Times New Roman"/>
        </w:rPr>
        <w:t>QS</w:t>
      </w:r>
      <w:r w:rsidR="00E038D1" w:rsidRPr="00675060">
        <w:rPr>
          <w:rFonts w:ascii="Times New Roman" w:hAnsi="Times New Roman" w:cs="Times New Roman"/>
        </w:rPr>
        <w:t xml:space="preserve"> (</w:t>
      </w:r>
      <w:r w:rsidR="002822AB" w:rsidRPr="00675060">
        <w:rPr>
          <w:rFonts w:ascii="Times New Roman" w:hAnsi="Times New Roman" w:cs="Times New Roman"/>
        </w:rPr>
        <w:t>QS, 2018</w:t>
      </w:r>
      <w:r w:rsidR="00E038D1" w:rsidRPr="00675060">
        <w:rPr>
          <w:rFonts w:ascii="Times New Roman" w:hAnsi="Times New Roman" w:cs="Times New Roman"/>
        </w:rPr>
        <w:t>). Given the influence and limitations of such metrics, it is unsurprising that they have attracted significant critical commentary and anal</w:t>
      </w:r>
      <w:r w:rsidR="002822AB" w:rsidRPr="00675060">
        <w:rPr>
          <w:rFonts w:ascii="Times New Roman" w:hAnsi="Times New Roman" w:cs="Times New Roman"/>
        </w:rPr>
        <w:t>y</w:t>
      </w:r>
      <w:r w:rsidR="00E038D1" w:rsidRPr="00675060">
        <w:rPr>
          <w:rFonts w:ascii="Times New Roman" w:hAnsi="Times New Roman" w:cs="Times New Roman"/>
        </w:rPr>
        <w:t>sis</w:t>
      </w:r>
      <w:r w:rsidR="002822AB" w:rsidRPr="00675060">
        <w:rPr>
          <w:rFonts w:ascii="Times New Roman" w:hAnsi="Times New Roman" w:cs="Times New Roman"/>
        </w:rPr>
        <w:t xml:space="preserve">, operating as they do from a performative notion of governmentality towards youth employment, </w:t>
      </w:r>
      <w:bookmarkStart w:id="1" w:name="_Hlk9955942"/>
      <w:r w:rsidR="00CC0EA2" w:rsidRPr="00675060">
        <w:rPr>
          <w:rFonts w:ascii="Times New Roman" w:hAnsi="Times New Roman" w:cs="Times New Roman"/>
        </w:rPr>
        <w:t>pathologizing</w:t>
      </w:r>
      <w:r w:rsidR="002822AB" w:rsidRPr="00675060">
        <w:rPr>
          <w:rFonts w:ascii="Times New Roman" w:hAnsi="Times New Roman" w:cs="Times New Roman"/>
        </w:rPr>
        <w:t xml:space="preserve"> any experience of unemployment as a problem for which individual pupils and their </w:t>
      </w:r>
      <w:r w:rsidR="001E2198">
        <w:rPr>
          <w:rFonts w:ascii="Times New Roman" w:hAnsi="Times New Roman" w:cs="Times New Roman"/>
        </w:rPr>
        <w:t xml:space="preserve">most recent </w:t>
      </w:r>
      <w:r w:rsidR="002822AB" w:rsidRPr="00675060">
        <w:rPr>
          <w:rFonts w:ascii="Times New Roman" w:hAnsi="Times New Roman" w:cs="Times New Roman"/>
        </w:rPr>
        <w:t>education providers shoulder the majority of the blame (</w:t>
      </w:r>
      <w:r w:rsidR="00574D98" w:rsidRPr="00675060">
        <w:rPr>
          <w:rFonts w:ascii="Times New Roman" w:hAnsi="Times New Roman" w:cs="Times New Roman"/>
        </w:rPr>
        <w:t xml:space="preserve">Avila </w:t>
      </w:r>
      <w:r w:rsidR="001E2198">
        <w:rPr>
          <w:rFonts w:ascii="Times New Roman" w:hAnsi="Times New Roman" w:cs="Times New Roman"/>
        </w:rPr>
        <w:t>&amp;</w:t>
      </w:r>
      <w:r w:rsidR="00574D98" w:rsidRPr="00675060">
        <w:rPr>
          <w:rFonts w:ascii="Times New Roman" w:hAnsi="Times New Roman" w:cs="Times New Roman"/>
        </w:rPr>
        <w:t xml:space="preserve"> Rose, 2019; Simmons </w:t>
      </w:r>
      <w:r w:rsidR="001E2198">
        <w:rPr>
          <w:rFonts w:ascii="Times New Roman" w:hAnsi="Times New Roman" w:cs="Times New Roman"/>
        </w:rPr>
        <w:t>&amp;</w:t>
      </w:r>
      <w:r w:rsidR="00574D98" w:rsidRPr="00675060">
        <w:rPr>
          <w:rFonts w:ascii="Times New Roman" w:hAnsi="Times New Roman" w:cs="Times New Roman"/>
        </w:rPr>
        <w:t xml:space="preserve"> Thompson, 2013; Tomlinson, 2012</w:t>
      </w:r>
      <w:r w:rsidR="002822AB" w:rsidRPr="00675060">
        <w:rPr>
          <w:rFonts w:ascii="Times New Roman" w:hAnsi="Times New Roman" w:cs="Times New Roman"/>
        </w:rPr>
        <w:t>).</w:t>
      </w:r>
      <w:bookmarkEnd w:id="1"/>
    </w:p>
    <w:p w14:paraId="6E2C634A" w14:textId="2528AAAE" w:rsidR="009F1E0F" w:rsidRPr="00675060" w:rsidRDefault="001E2198" w:rsidP="009F1E0F">
      <w:pPr>
        <w:spacing w:line="480" w:lineRule="auto"/>
        <w:ind w:firstLine="720"/>
        <w:rPr>
          <w:rFonts w:ascii="Times New Roman" w:hAnsi="Times New Roman" w:cs="Times New Roman"/>
        </w:rPr>
      </w:pPr>
      <w:r>
        <w:rPr>
          <w:rFonts w:ascii="Times New Roman" w:hAnsi="Times New Roman" w:cs="Times New Roman"/>
        </w:rPr>
        <w:t>Some c</w:t>
      </w:r>
      <w:r w:rsidR="00E038D1" w:rsidRPr="00675060">
        <w:rPr>
          <w:rFonts w:ascii="Times New Roman" w:hAnsi="Times New Roman" w:cs="Times New Roman"/>
        </w:rPr>
        <w:t>ountries</w:t>
      </w:r>
      <w:r w:rsidR="00574D98" w:rsidRPr="00675060">
        <w:rPr>
          <w:rFonts w:ascii="Times New Roman" w:hAnsi="Times New Roman" w:cs="Times New Roman"/>
        </w:rPr>
        <w:t>, as demonstrated by this paper,</w:t>
      </w:r>
      <w:r w:rsidR="00E038D1" w:rsidRPr="00675060">
        <w:rPr>
          <w:rFonts w:ascii="Times New Roman" w:hAnsi="Times New Roman" w:cs="Times New Roman"/>
        </w:rPr>
        <w:t xml:space="preserve"> are increasingly experimenting with extending the coverage of such destination metrics to </w:t>
      </w:r>
      <w:r w:rsidR="00A72DD5" w:rsidRPr="00675060">
        <w:rPr>
          <w:rFonts w:ascii="Times New Roman" w:hAnsi="Times New Roman" w:cs="Times New Roman"/>
        </w:rPr>
        <w:t xml:space="preserve">general </w:t>
      </w:r>
      <w:r w:rsidR="00E038D1" w:rsidRPr="00675060">
        <w:rPr>
          <w:rFonts w:ascii="Times New Roman" w:hAnsi="Times New Roman" w:cs="Times New Roman"/>
        </w:rPr>
        <w:t>seconda</w:t>
      </w:r>
      <w:r w:rsidR="00574D98" w:rsidRPr="00675060">
        <w:rPr>
          <w:rFonts w:ascii="Times New Roman" w:hAnsi="Times New Roman" w:cs="Times New Roman"/>
        </w:rPr>
        <w:t>r</w:t>
      </w:r>
      <w:r w:rsidR="00E038D1" w:rsidRPr="00675060">
        <w:rPr>
          <w:rFonts w:ascii="Times New Roman" w:hAnsi="Times New Roman" w:cs="Times New Roman"/>
        </w:rPr>
        <w:t>y education, creating new transparency on what happens to the graduates of individual upper-secondary education providers after age 18.</w:t>
      </w:r>
      <w:r w:rsidR="00B36007" w:rsidRPr="00675060">
        <w:rPr>
          <w:rFonts w:ascii="Times New Roman" w:hAnsi="Times New Roman" w:cs="Times New Roman"/>
        </w:rPr>
        <w:t xml:space="preserve"> As a newer trend, the phenomenon in secondary education has not been researched to the same level of detail as in tertiary education</w:t>
      </w:r>
      <w:r w:rsidR="00A72DD5" w:rsidRPr="00675060">
        <w:rPr>
          <w:rFonts w:ascii="Times New Roman" w:hAnsi="Times New Roman" w:cs="Times New Roman"/>
        </w:rPr>
        <w:t xml:space="preserve"> – indeed, an earlier study commissioned by the Welsh government bemoaned the limited use that had been made of </w:t>
      </w:r>
      <w:r w:rsidR="00E068E8" w:rsidRPr="00675060">
        <w:rPr>
          <w:rFonts w:ascii="Times New Roman" w:hAnsi="Times New Roman" w:cs="Times New Roman"/>
        </w:rPr>
        <w:t xml:space="preserve">post-secondary </w:t>
      </w:r>
      <w:r w:rsidR="00A72DD5" w:rsidRPr="00675060">
        <w:rPr>
          <w:rFonts w:ascii="Times New Roman" w:hAnsi="Times New Roman" w:cs="Times New Roman"/>
        </w:rPr>
        <w:t>destinations data to date and the little information</w:t>
      </w:r>
      <w:r w:rsidR="009A4065" w:rsidRPr="00675060">
        <w:rPr>
          <w:rFonts w:ascii="Times New Roman" w:hAnsi="Times New Roman" w:cs="Times New Roman"/>
        </w:rPr>
        <w:t xml:space="preserve"> </w:t>
      </w:r>
      <w:r w:rsidR="00E068E8" w:rsidRPr="00675060">
        <w:rPr>
          <w:rFonts w:ascii="Times New Roman" w:hAnsi="Times New Roman" w:cs="Times New Roman"/>
        </w:rPr>
        <w:t xml:space="preserve">available about practice in different countries </w:t>
      </w:r>
      <w:r w:rsidR="00A72DD5" w:rsidRPr="00675060">
        <w:rPr>
          <w:rFonts w:ascii="Times New Roman" w:hAnsi="Times New Roman" w:cs="Times New Roman"/>
        </w:rPr>
        <w:t>(Old Bell3 Ltd, 2012)</w:t>
      </w:r>
      <w:r w:rsidR="00114C8C" w:rsidRPr="00675060">
        <w:rPr>
          <w:rFonts w:ascii="Times New Roman" w:hAnsi="Times New Roman" w:cs="Times New Roman"/>
        </w:rPr>
        <w:t xml:space="preserve">. Nonetheless, such data has significant potential not only to increase our understanding of school-to-work transition but also to shape how such transitions are navigated by individual pupils, particularly for </w:t>
      </w:r>
      <w:r w:rsidR="000014CA">
        <w:rPr>
          <w:rFonts w:ascii="Times New Roman" w:hAnsi="Times New Roman" w:cs="Times New Roman"/>
        </w:rPr>
        <w:t xml:space="preserve">those </w:t>
      </w:r>
      <w:r>
        <w:rPr>
          <w:rFonts w:ascii="Times New Roman" w:hAnsi="Times New Roman" w:cs="Times New Roman"/>
        </w:rPr>
        <w:t>who enter the workplace directly after secondary education</w:t>
      </w:r>
      <w:r w:rsidR="000014CA">
        <w:rPr>
          <w:rFonts w:ascii="Times New Roman" w:hAnsi="Times New Roman" w:cs="Times New Roman"/>
        </w:rPr>
        <w:t xml:space="preserve">. This is often a significant proportion of young people, there being typically </w:t>
      </w:r>
      <w:r w:rsidR="00BB0E60" w:rsidRPr="00675060">
        <w:rPr>
          <w:rFonts w:ascii="Times New Roman" w:hAnsi="Times New Roman" w:cs="Times New Roman"/>
        </w:rPr>
        <w:t>21%-33%</w:t>
      </w:r>
      <w:r w:rsidR="00114C8C" w:rsidRPr="00675060">
        <w:rPr>
          <w:rFonts w:ascii="Times New Roman" w:hAnsi="Times New Roman" w:cs="Times New Roman"/>
        </w:rPr>
        <w:t xml:space="preserve"> </w:t>
      </w:r>
      <w:r>
        <w:rPr>
          <w:rFonts w:ascii="Times New Roman" w:hAnsi="Times New Roman" w:cs="Times New Roman"/>
        </w:rPr>
        <w:t xml:space="preserve">more </w:t>
      </w:r>
      <w:r w:rsidR="00114C8C" w:rsidRPr="00675060">
        <w:rPr>
          <w:rFonts w:ascii="Times New Roman" w:hAnsi="Times New Roman" w:cs="Times New Roman"/>
        </w:rPr>
        <w:t xml:space="preserve">students </w:t>
      </w:r>
      <w:r>
        <w:rPr>
          <w:rFonts w:ascii="Times New Roman" w:hAnsi="Times New Roman" w:cs="Times New Roman"/>
        </w:rPr>
        <w:t xml:space="preserve">in </w:t>
      </w:r>
      <w:r w:rsidR="00114C8C" w:rsidRPr="00675060">
        <w:rPr>
          <w:rFonts w:ascii="Times New Roman" w:hAnsi="Times New Roman" w:cs="Times New Roman"/>
        </w:rPr>
        <w:t xml:space="preserve">OECD countries </w:t>
      </w:r>
      <w:r w:rsidR="00CC0EA2" w:rsidRPr="00675060">
        <w:rPr>
          <w:rFonts w:ascii="Times New Roman" w:hAnsi="Times New Roman" w:cs="Times New Roman"/>
        </w:rPr>
        <w:t>enrolled</w:t>
      </w:r>
      <w:r w:rsidR="00BB0E60" w:rsidRPr="00675060">
        <w:rPr>
          <w:rFonts w:ascii="Times New Roman" w:hAnsi="Times New Roman" w:cs="Times New Roman"/>
        </w:rPr>
        <w:t xml:space="preserve"> in education aged 17 </w:t>
      </w:r>
      <w:r>
        <w:rPr>
          <w:rFonts w:ascii="Times New Roman" w:hAnsi="Times New Roman" w:cs="Times New Roman"/>
        </w:rPr>
        <w:t xml:space="preserve">than </w:t>
      </w:r>
      <w:r w:rsidR="00BB0E60" w:rsidRPr="00675060">
        <w:rPr>
          <w:rFonts w:ascii="Times New Roman" w:hAnsi="Times New Roman" w:cs="Times New Roman"/>
        </w:rPr>
        <w:t>aged 19</w:t>
      </w:r>
      <w:r w:rsidR="000014CA">
        <w:rPr>
          <w:rFonts w:ascii="Times New Roman" w:hAnsi="Times New Roman" w:cs="Times New Roman"/>
        </w:rPr>
        <w:t xml:space="preserve"> as </w:t>
      </w:r>
      <w:r>
        <w:rPr>
          <w:rFonts w:ascii="Times New Roman" w:hAnsi="Times New Roman" w:cs="Times New Roman"/>
        </w:rPr>
        <w:t xml:space="preserve">given by the interquartile </w:t>
      </w:r>
      <w:r w:rsidR="00BB0E60" w:rsidRPr="00675060">
        <w:rPr>
          <w:rFonts w:ascii="Times New Roman" w:hAnsi="Times New Roman" w:cs="Times New Roman"/>
        </w:rPr>
        <w:t>range across 38 countries</w:t>
      </w:r>
      <w:r>
        <w:rPr>
          <w:rFonts w:ascii="Times New Roman" w:hAnsi="Times New Roman" w:cs="Times New Roman"/>
        </w:rPr>
        <w:t xml:space="preserve"> using 201</w:t>
      </w:r>
      <w:r w:rsidR="000014CA">
        <w:rPr>
          <w:rFonts w:ascii="Times New Roman" w:hAnsi="Times New Roman" w:cs="Times New Roman"/>
        </w:rPr>
        <w:t>6</w:t>
      </w:r>
      <w:r>
        <w:rPr>
          <w:rFonts w:ascii="Times New Roman" w:hAnsi="Times New Roman" w:cs="Times New Roman"/>
        </w:rPr>
        <w:t xml:space="preserve"> data</w:t>
      </w:r>
      <w:r w:rsidR="000014CA">
        <w:rPr>
          <w:rFonts w:ascii="Times New Roman" w:hAnsi="Times New Roman" w:cs="Times New Roman"/>
        </w:rPr>
        <w:t xml:space="preserve"> (</w:t>
      </w:r>
      <w:r w:rsidR="00BB0E60" w:rsidRPr="00675060">
        <w:rPr>
          <w:rFonts w:ascii="Times New Roman" w:hAnsi="Times New Roman" w:cs="Times New Roman"/>
        </w:rPr>
        <w:t>OECD, 2019)</w:t>
      </w:r>
      <w:r w:rsidR="00114C8C" w:rsidRPr="00675060">
        <w:rPr>
          <w:rFonts w:ascii="Times New Roman" w:hAnsi="Times New Roman" w:cs="Times New Roman"/>
        </w:rPr>
        <w:t xml:space="preserve">. </w:t>
      </w:r>
    </w:p>
    <w:p w14:paraId="37EA1128" w14:textId="40288BBD" w:rsidR="00AC4BAC" w:rsidRPr="00675060" w:rsidRDefault="00114C8C" w:rsidP="00FA61E7">
      <w:pPr>
        <w:spacing w:line="480" w:lineRule="auto"/>
        <w:ind w:firstLine="720"/>
        <w:rPr>
          <w:rFonts w:ascii="Times New Roman" w:hAnsi="Times New Roman" w:cs="Times New Roman"/>
        </w:rPr>
      </w:pPr>
      <w:r w:rsidRPr="00675060">
        <w:rPr>
          <w:rFonts w:ascii="Times New Roman" w:hAnsi="Times New Roman" w:cs="Times New Roman"/>
        </w:rPr>
        <w:t xml:space="preserve">The contribution of this paper is to </w:t>
      </w:r>
      <w:r w:rsidR="00EA5B88" w:rsidRPr="00EA5B88">
        <w:rPr>
          <w:rFonts w:ascii="Times New Roman" w:hAnsi="Times New Roman" w:cs="Times New Roman"/>
          <w:highlight w:val="cyan"/>
        </w:rPr>
        <w:t>elaborate a critical synthesis</w:t>
      </w:r>
      <w:r w:rsidR="00EA5B88">
        <w:rPr>
          <w:rFonts w:ascii="Times New Roman" w:hAnsi="Times New Roman" w:cs="Times New Roman"/>
        </w:rPr>
        <w:t xml:space="preserve"> on </w:t>
      </w:r>
      <w:r w:rsidRPr="00EA5B88">
        <w:rPr>
          <w:rFonts w:ascii="Times New Roman" w:hAnsi="Times New Roman" w:cs="Times New Roman"/>
          <w:strike/>
        </w:rPr>
        <w:t xml:space="preserve">draw attention to </w:t>
      </w:r>
      <w:r w:rsidRPr="00EA5B88">
        <w:rPr>
          <w:rFonts w:ascii="Times New Roman" w:hAnsi="Times New Roman" w:cs="Times New Roman"/>
        </w:rPr>
        <w:t>this</w:t>
      </w:r>
      <w:r w:rsidRPr="00675060">
        <w:rPr>
          <w:rFonts w:ascii="Times New Roman" w:hAnsi="Times New Roman" w:cs="Times New Roman"/>
        </w:rPr>
        <w:t xml:space="preserve"> trend at an early stage, while several policies remain at the proposal stage in several countries</w:t>
      </w:r>
      <w:r w:rsidR="004045DB" w:rsidRPr="00675060">
        <w:rPr>
          <w:rFonts w:ascii="Times New Roman" w:hAnsi="Times New Roman" w:cs="Times New Roman"/>
        </w:rPr>
        <w:t xml:space="preserve"> and</w:t>
      </w:r>
      <w:r w:rsidR="00875C1E" w:rsidRPr="00675060">
        <w:rPr>
          <w:rFonts w:ascii="Times New Roman" w:hAnsi="Times New Roman" w:cs="Times New Roman"/>
        </w:rPr>
        <w:t xml:space="preserve"> </w:t>
      </w:r>
      <w:r w:rsidR="00E068E8" w:rsidRPr="00675060">
        <w:rPr>
          <w:rFonts w:ascii="Times New Roman" w:hAnsi="Times New Roman" w:cs="Times New Roman"/>
        </w:rPr>
        <w:t xml:space="preserve">the </w:t>
      </w:r>
      <w:r w:rsidR="004045DB" w:rsidRPr="00675060">
        <w:rPr>
          <w:rFonts w:ascii="Times New Roman" w:hAnsi="Times New Roman" w:cs="Times New Roman"/>
        </w:rPr>
        <w:t xml:space="preserve">metrics in question </w:t>
      </w:r>
      <w:r w:rsidRPr="00675060">
        <w:rPr>
          <w:rFonts w:ascii="Times New Roman" w:hAnsi="Times New Roman" w:cs="Times New Roman"/>
        </w:rPr>
        <w:t>remain experimental</w:t>
      </w:r>
      <w:r w:rsidR="00875C1E" w:rsidRPr="00675060">
        <w:rPr>
          <w:rFonts w:ascii="Times New Roman" w:hAnsi="Times New Roman" w:cs="Times New Roman"/>
        </w:rPr>
        <w:t xml:space="preserve"> </w:t>
      </w:r>
      <w:r w:rsidR="004045DB" w:rsidRPr="00675060">
        <w:rPr>
          <w:rFonts w:ascii="Times New Roman" w:hAnsi="Times New Roman" w:cs="Times New Roman"/>
        </w:rPr>
        <w:t>or under development</w:t>
      </w:r>
      <w:r w:rsidRPr="00675060">
        <w:rPr>
          <w:rFonts w:ascii="Times New Roman" w:hAnsi="Times New Roman" w:cs="Times New Roman"/>
        </w:rPr>
        <w:t>. Th</w:t>
      </w:r>
      <w:r w:rsidR="009F1E0F" w:rsidRPr="00675060">
        <w:rPr>
          <w:rFonts w:ascii="Times New Roman" w:hAnsi="Times New Roman" w:cs="Times New Roman"/>
        </w:rPr>
        <w:t xml:space="preserve">e use of such data </w:t>
      </w:r>
      <w:r w:rsidRPr="00675060">
        <w:rPr>
          <w:rFonts w:ascii="Times New Roman" w:hAnsi="Times New Roman" w:cs="Times New Roman"/>
        </w:rPr>
        <w:t>is being explored particularly vigorously in the English education system, which is presented in this paper as a case study for understanding the potential limitations and biases of such data</w:t>
      </w:r>
      <w:r w:rsidR="00493BE7" w:rsidRPr="00675060">
        <w:rPr>
          <w:rFonts w:ascii="Times New Roman" w:hAnsi="Times New Roman" w:cs="Times New Roman"/>
        </w:rPr>
        <w:t xml:space="preserve">. </w:t>
      </w:r>
      <w:r w:rsidR="003F6D4F" w:rsidRPr="00675060">
        <w:rPr>
          <w:rFonts w:ascii="Times New Roman" w:hAnsi="Times New Roman" w:cs="Times New Roman"/>
        </w:rPr>
        <w:t xml:space="preserve">Before presenting </w:t>
      </w:r>
      <w:r w:rsidR="00493BE7" w:rsidRPr="00675060">
        <w:rPr>
          <w:rFonts w:ascii="Times New Roman" w:hAnsi="Times New Roman" w:cs="Times New Roman"/>
        </w:rPr>
        <w:t xml:space="preserve">the </w:t>
      </w:r>
      <w:r w:rsidR="003F6D4F" w:rsidRPr="00675060">
        <w:rPr>
          <w:rFonts w:ascii="Times New Roman" w:hAnsi="Times New Roman" w:cs="Times New Roman"/>
        </w:rPr>
        <w:lastRenderedPageBreak/>
        <w:t xml:space="preserve">examples of emerging practice, we </w:t>
      </w:r>
      <w:r w:rsidR="00493BE7" w:rsidRPr="00675060">
        <w:rPr>
          <w:rFonts w:ascii="Times New Roman" w:hAnsi="Times New Roman" w:cs="Times New Roman"/>
        </w:rPr>
        <w:t xml:space="preserve">summarise </w:t>
      </w:r>
      <w:r w:rsidR="003F6D4F" w:rsidRPr="00675060">
        <w:rPr>
          <w:rFonts w:ascii="Times New Roman" w:hAnsi="Times New Roman" w:cs="Times New Roman"/>
        </w:rPr>
        <w:t xml:space="preserve">the context for these new </w:t>
      </w:r>
      <w:r w:rsidR="00493BE7" w:rsidRPr="00675060">
        <w:rPr>
          <w:rFonts w:ascii="Times New Roman" w:hAnsi="Times New Roman" w:cs="Times New Roman"/>
        </w:rPr>
        <w:t xml:space="preserve">secondary education </w:t>
      </w:r>
      <w:r w:rsidR="003F6D4F" w:rsidRPr="00675060">
        <w:rPr>
          <w:rFonts w:ascii="Times New Roman" w:hAnsi="Times New Roman" w:cs="Times New Roman"/>
        </w:rPr>
        <w:t>destination metrics</w:t>
      </w:r>
      <w:r w:rsidR="00493BE7" w:rsidRPr="00675060">
        <w:rPr>
          <w:rFonts w:ascii="Times New Roman" w:hAnsi="Times New Roman" w:cs="Times New Roman"/>
        </w:rPr>
        <w:t>:</w:t>
      </w:r>
      <w:r w:rsidR="003F6D4F" w:rsidRPr="00675060">
        <w:rPr>
          <w:rFonts w:ascii="Times New Roman" w:hAnsi="Times New Roman" w:cs="Times New Roman"/>
        </w:rPr>
        <w:t xml:space="preserve"> the primary policy motivations </w:t>
      </w:r>
      <w:r w:rsidR="00493BE7" w:rsidRPr="00675060">
        <w:rPr>
          <w:rFonts w:ascii="Times New Roman" w:hAnsi="Times New Roman" w:cs="Times New Roman"/>
        </w:rPr>
        <w:t xml:space="preserve">for them </w:t>
      </w:r>
      <w:r w:rsidR="003F6D4F" w:rsidRPr="00675060">
        <w:rPr>
          <w:rFonts w:ascii="Times New Roman" w:hAnsi="Times New Roman" w:cs="Times New Roman"/>
        </w:rPr>
        <w:t xml:space="preserve">and </w:t>
      </w:r>
      <w:r w:rsidR="00493BE7" w:rsidRPr="00675060">
        <w:rPr>
          <w:rFonts w:ascii="Times New Roman" w:hAnsi="Times New Roman" w:cs="Times New Roman"/>
        </w:rPr>
        <w:t xml:space="preserve">the </w:t>
      </w:r>
      <w:r w:rsidR="003F6D4F" w:rsidRPr="00675060">
        <w:rPr>
          <w:rFonts w:ascii="Times New Roman" w:hAnsi="Times New Roman" w:cs="Times New Roman"/>
        </w:rPr>
        <w:t xml:space="preserve">tertiary </w:t>
      </w:r>
      <w:r w:rsidR="00493BE7" w:rsidRPr="00675060">
        <w:rPr>
          <w:rFonts w:ascii="Times New Roman" w:hAnsi="Times New Roman" w:cs="Times New Roman"/>
        </w:rPr>
        <w:t xml:space="preserve">education </w:t>
      </w:r>
      <w:r w:rsidR="003F6D4F" w:rsidRPr="00675060">
        <w:rPr>
          <w:rFonts w:ascii="Times New Roman" w:hAnsi="Times New Roman" w:cs="Times New Roman"/>
        </w:rPr>
        <w:t>destination metrics</w:t>
      </w:r>
      <w:r w:rsidR="00F07614" w:rsidRPr="00675060">
        <w:rPr>
          <w:rFonts w:ascii="Times New Roman" w:hAnsi="Times New Roman" w:cs="Times New Roman"/>
        </w:rPr>
        <w:t xml:space="preserve"> </w:t>
      </w:r>
      <w:r w:rsidR="00493BE7" w:rsidRPr="00675060">
        <w:rPr>
          <w:rFonts w:ascii="Times New Roman" w:hAnsi="Times New Roman" w:cs="Times New Roman"/>
        </w:rPr>
        <w:t xml:space="preserve">that already exist, as well as the existing critiques </w:t>
      </w:r>
      <w:r w:rsidR="00F07614" w:rsidRPr="00675060">
        <w:rPr>
          <w:rFonts w:ascii="Times New Roman" w:hAnsi="Times New Roman" w:cs="Times New Roman"/>
        </w:rPr>
        <w:t xml:space="preserve">of </w:t>
      </w:r>
      <w:r w:rsidR="00844747" w:rsidRPr="00675060">
        <w:rPr>
          <w:rFonts w:ascii="Times New Roman" w:hAnsi="Times New Roman" w:cs="Times New Roman"/>
        </w:rPr>
        <w:t>this policy context</w:t>
      </w:r>
      <w:r w:rsidR="00F07614" w:rsidRPr="00675060">
        <w:rPr>
          <w:rFonts w:ascii="Times New Roman" w:hAnsi="Times New Roman" w:cs="Times New Roman"/>
        </w:rPr>
        <w:t>.</w:t>
      </w:r>
      <w:r w:rsidR="00493BE7" w:rsidRPr="00675060">
        <w:rPr>
          <w:rFonts w:ascii="Times New Roman" w:hAnsi="Times New Roman" w:cs="Times New Roman"/>
        </w:rPr>
        <w:t xml:space="preserve"> Having summarised </w:t>
      </w:r>
      <w:bookmarkStart w:id="2" w:name="_GoBack"/>
      <w:bookmarkEnd w:id="2"/>
      <w:r w:rsidR="00493BE7" w:rsidRPr="00675060">
        <w:rPr>
          <w:rFonts w:ascii="Times New Roman" w:hAnsi="Times New Roman" w:cs="Times New Roman"/>
        </w:rPr>
        <w:t>the existing critiques</w:t>
      </w:r>
      <w:r w:rsidR="005C4498" w:rsidRPr="00675060">
        <w:rPr>
          <w:rFonts w:ascii="Times New Roman" w:hAnsi="Times New Roman" w:cs="Times New Roman"/>
        </w:rPr>
        <w:t xml:space="preserve"> and described the emerging case studies</w:t>
      </w:r>
      <w:r w:rsidR="00493BE7" w:rsidRPr="00675060">
        <w:rPr>
          <w:rFonts w:ascii="Times New Roman" w:hAnsi="Times New Roman" w:cs="Times New Roman"/>
        </w:rPr>
        <w:t xml:space="preserve">, we draw attention to </w:t>
      </w:r>
      <w:r w:rsidR="005D69B1" w:rsidRPr="00675060">
        <w:rPr>
          <w:rFonts w:ascii="Times New Roman" w:hAnsi="Times New Roman" w:cs="Times New Roman"/>
        </w:rPr>
        <w:t>three</w:t>
      </w:r>
      <w:r w:rsidR="00413C4E" w:rsidRPr="00675060">
        <w:rPr>
          <w:rFonts w:ascii="Times New Roman" w:hAnsi="Times New Roman" w:cs="Times New Roman"/>
        </w:rPr>
        <w:t xml:space="preserve"> </w:t>
      </w:r>
      <w:r w:rsidR="00493BE7" w:rsidRPr="00675060">
        <w:rPr>
          <w:rFonts w:ascii="Times New Roman" w:hAnsi="Times New Roman" w:cs="Times New Roman"/>
        </w:rPr>
        <w:t>additional types of bias that represent a particular risk for the</w:t>
      </w:r>
      <w:r w:rsidR="005C4498" w:rsidRPr="00675060">
        <w:rPr>
          <w:rFonts w:ascii="Times New Roman" w:hAnsi="Times New Roman" w:cs="Times New Roman"/>
        </w:rPr>
        <w:t>se</w:t>
      </w:r>
      <w:r w:rsidR="00493BE7" w:rsidRPr="00675060">
        <w:rPr>
          <w:rFonts w:ascii="Times New Roman" w:hAnsi="Times New Roman" w:cs="Times New Roman"/>
        </w:rPr>
        <w:t xml:space="preserve"> new metrics and their application: </w:t>
      </w:r>
      <w:r w:rsidR="00FA61E7" w:rsidRPr="00675060">
        <w:rPr>
          <w:rFonts w:ascii="Times New Roman" w:hAnsi="Times New Roman" w:cs="Times New Roman"/>
        </w:rPr>
        <w:t xml:space="preserve">(i) </w:t>
      </w:r>
      <w:r w:rsidR="005D69B1" w:rsidRPr="00675060">
        <w:rPr>
          <w:rFonts w:ascii="Times New Roman" w:hAnsi="Times New Roman" w:cs="Times New Roman"/>
        </w:rPr>
        <w:t>a bias for continued education against early entrance into the labour market</w:t>
      </w:r>
      <w:r w:rsidR="000014CA">
        <w:rPr>
          <w:rFonts w:ascii="Times New Roman" w:hAnsi="Times New Roman" w:cs="Times New Roman"/>
        </w:rPr>
        <w:t>;</w:t>
      </w:r>
      <w:r w:rsidR="005D69B1" w:rsidRPr="00675060">
        <w:rPr>
          <w:rFonts w:ascii="Times New Roman" w:hAnsi="Times New Roman" w:cs="Times New Roman"/>
        </w:rPr>
        <w:t xml:space="preserve"> </w:t>
      </w:r>
      <w:r w:rsidR="00FA61E7" w:rsidRPr="00675060">
        <w:rPr>
          <w:rFonts w:ascii="Times New Roman" w:hAnsi="Times New Roman" w:cs="Times New Roman"/>
        </w:rPr>
        <w:t xml:space="preserve">(ii) </w:t>
      </w:r>
      <w:r w:rsidR="005D69B1" w:rsidRPr="00675060">
        <w:rPr>
          <w:rFonts w:ascii="Times New Roman" w:hAnsi="Times New Roman" w:cs="Times New Roman"/>
        </w:rPr>
        <w:t>a bias for more stable, traditional forms of employment that disadvantages particular sectors and styles of working, such as more entrepreneurial careers</w:t>
      </w:r>
      <w:r w:rsidR="000014CA">
        <w:rPr>
          <w:rFonts w:ascii="Times New Roman" w:hAnsi="Times New Roman" w:cs="Times New Roman"/>
        </w:rPr>
        <w:t>;</w:t>
      </w:r>
      <w:r w:rsidR="005D69B1" w:rsidRPr="00675060">
        <w:rPr>
          <w:rFonts w:ascii="Times New Roman" w:hAnsi="Times New Roman" w:cs="Times New Roman"/>
        </w:rPr>
        <w:t xml:space="preserve"> and </w:t>
      </w:r>
      <w:r w:rsidR="00FA61E7" w:rsidRPr="00675060">
        <w:rPr>
          <w:rFonts w:ascii="Times New Roman" w:hAnsi="Times New Roman" w:cs="Times New Roman"/>
        </w:rPr>
        <w:t xml:space="preserve">(iii) a </w:t>
      </w:r>
      <w:r w:rsidR="005D69B1" w:rsidRPr="00675060">
        <w:rPr>
          <w:rFonts w:ascii="Times New Roman" w:hAnsi="Times New Roman" w:cs="Times New Roman"/>
        </w:rPr>
        <w:t xml:space="preserve">bias for a provider-centric view of outcomes, that sees the choice of </w:t>
      </w:r>
      <w:r w:rsidR="000014CA">
        <w:rPr>
          <w:rFonts w:ascii="Times New Roman" w:hAnsi="Times New Roman" w:cs="Times New Roman"/>
        </w:rPr>
        <w:t xml:space="preserve">education provider </w:t>
      </w:r>
      <w:r w:rsidR="005D69B1" w:rsidRPr="00675060">
        <w:rPr>
          <w:rFonts w:ascii="Times New Roman" w:hAnsi="Times New Roman" w:cs="Times New Roman"/>
        </w:rPr>
        <w:t xml:space="preserve">as a </w:t>
      </w:r>
      <w:r w:rsidR="00FA61E7" w:rsidRPr="00675060">
        <w:rPr>
          <w:rFonts w:ascii="Times New Roman" w:hAnsi="Times New Roman" w:cs="Times New Roman"/>
        </w:rPr>
        <w:t>dominant factor in determining personal outcomes.</w:t>
      </w:r>
      <w:r w:rsidR="005D69B1" w:rsidRPr="00675060">
        <w:rPr>
          <w:rFonts w:ascii="Times New Roman" w:hAnsi="Times New Roman" w:cs="Times New Roman"/>
        </w:rPr>
        <w:t xml:space="preserve"> </w:t>
      </w:r>
      <w:r w:rsidR="005C4498" w:rsidRPr="00EA5B88">
        <w:rPr>
          <w:rFonts w:ascii="Times New Roman" w:hAnsi="Times New Roman" w:cs="Times New Roman"/>
          <w:strike/>
        </w:rPr>
        <w:t>We hope</w:t>
      </w:r>
      <w:r w:rsidR="00EA5B88">
        <w:rPr>
          <w:rFonts w:ascii="Times New Roman" w:hAnsi="Times New Roman" w:cs="Times New Roman"/>
        </w:rPr>
        <w:t xml:space="preserve"> </w:t>
      </w:r>
      <w:r w:rsidR="00EA5B88" w:rsidRPr="00EA5B88">
        <w:rPr>
          <w:rFonts w:ascii="Times New Roman" w:hAnsi="Times New Roman" w:cs="Times New Roman"/>
          <w:highlight w:val="cyan"/>
        </w:rPr>
        <w:t>Our aim is to develo</w:t>
      </w:r>
      <w:r w:rsidR="00EA5B88">
        <w:rPr>
          <w:rFonts w:ascii="Times New Roman" w:hAnsi="Times New Roman" w:cs="Times New Roman"/>
        </w:rPr>
        <w:t>p</w:t>
      </w:r>
      <w:r w:rsidR="005C4498" w:rsidRPr="00675060">
        <w:rPr>
          <w:rFonts w:ascii="Times New Roman" w:hAnsi="Times New Roman" w:cs="Times New Roman"/>
        </w:rPr>
        <w:t xml:space="preserve"> t</w:t>
      </w:r>
      <w:r w:rsidR="005C4498" w:rsidRPr="00EA5B88">
        <w:rPr>
          <w:rFonts w:ascii="Times New Roman" w:hAnsi="Times New Roman" w:cs="Times New Roman"/>
          <w:strike/>
        </w:rPr>
        <w:t>hat</w:t>
      </w:r>
      <w:r w:rsidR="005C4498" w:rsidRPr="00675060">
        <w:rPr>
          <w:rFonts w:ascii="Times New Roman" w:hAnsi="Times New Roman" w:cs="Times New Roman"/>
        </w:rPr>
        <w:t xml:space="preserve"> a better understanding of these metrics</w:t>
      </w:r>
      <w:r w:rsidR="000014CA">
        <w:rPr>
          <w:rFonts w:ascii="Times New Roman" w:hAnsi="Times New Roman" w:cs="Times New Roman"/>
        </w:rPr>
        <w:t xml:space="preserve"> </w:t>
      </w:r>
      <w:r w:rsidR="005C4498" w:rsidRPr="00675060">
        <w:rPr>
          <w:rFonts w:ascii="Times New Roman" w:hAnsi="Times New Roman" w:cs="Times New Roman"/>
        </w:rPr>
        <w:t>and their limitations, not only helps adolescent career counselling make more appropriate, contextualised use of them in supporting school-to-work transition, but also helps governments and campaigners identify avenues for improving the data available</w:t>
      </w:r>
      <w:r w:rsidR="00FA61E7" w:rsidRPr="00675060">
        <w:rPr>
          <w:rFonts w:ascii="Times New Roman" w:hAnsi="Times New Roman" w:cs="Times New Roman"/>
        </w:rPr>
        <w:t>, with examples provided in this article.</w:t>
      </w:r>
    </w:p>
    <w:p w14:paraId="29A10E5D" w14:textId="77777777" w:rsidR="003F6D4F" w:rsidRPr="00675060" w:rsidRDefault="003F6D4F" w:rsidP="003F6D4F">
      <w:pPr>
        <w:spacing w:line="480" w:lineRule="auto"/>
        <w:rPr>
          <w:rFonts w:ascii="Times New Roman" w:hAnsi="Times New Roman" w:cs="Times New Roman"/>
        </w:rPr>
      </w:pPr>
    </w:p>
    <w:p w14:paraId="22B0CFAB" w14:textId="77777777" w:rsidR="003F6D4F" w:rsidRPr="00675060" w:rsidRDefault="003F6D4F" w:rsidP="003F6D4F">
      <w:pPr>
        <w:spacing w:line="480" w:lineRule="auto"/>
        <w:rPr>
          <w:rFonts w:ascii="Times New Roman" w:hAnsi="Times New Roman" w:cs="Times New Roman"/>
          <w:b/>
          <w:sz w:val="28"/>
        </w:rPr>
      </w:pPr>
      <w:r w:rsidRPr="00675060">
        <w:rPr>
          <w:rFonts w:ascii="Times New Roman" w:hAnsi="Times New Roman" w:cs="Times New Roman"/>
          <w:b/>
          <w:sz w:val="28"/>
        </w:rPr>
        <w:t>Context</w:t>
      </w:r>
      <w:r w:rsidR="00F07614" w:rsidRPr="00675060">
        <w:rPr>
          <w:rFonts w:ascii="Times New Roman" w:hAnsi="Times New Roman" w:cs="Times New Roman"/>
          <w:b/>
          <w:sz w:val="28"/>
        </w:rPr>
        <w:t xml:space="preserve"> for reform</w:t>
      </w:r>
    </w:p>
    <w:p w14:paraId="741B8A57" w14:textId="77777777" w:rsidR="00AC4BAC" w:rsidRPr="00675060" w:rsidRDefault="003F6D4F" w:rsidP="00BA34EA">
      <w:pPr>
        <w:spacing w:line="480" w:lineRule="auto"/>
        <w:rPr>
          <w:rFonts w:ascii="Times New Roman" w:hAnsi="Times New Roman" w:cs="Times New Roman"/>
          <w:i/>
          <w:sz w:val="24"/>
        </w:rPr>
      </w:pPr>
      <w:r w:rsidRPr="00675060">
        <w:rPr>
          <w:rFonts w:ascii="Times New Roman" w:hAnsi="Times New Roman" w:cs="Times New Roman"/>
          <w:i/>
          <w:sz w:val="24"/>
        </w:rPr>
        <w:t>Policy concern about school-to-work transitions</w:t>
      </w:r>
    </w:p>
    <w:p w14:paraId="5F9726C9" w14:textId="16F52CCF" w:rsidR="00AC4BAC" w:rsidRPr="00675060" w:rsidRDefault="00043DE2" w:rsidP="00BA34EA">
      <w:pPr>
        <w:spacing w:line="480" w:lineRule="auto"/>
        <w:rPr>
          <w:rFonts w:ascii="Times New Roman" w:hAnsi="Times New Roman" w:cs="Times New Roman"/>
        </w:rPr>
      </w:pPr>
      <w:r w:rsidRPr="00675060">
        <w:rPr>
          <w:rFonts w:ascii="Times New Roman" w:hAnsi="Times New Roman" w:cs="Times New Roman"/>
        </w:rPr>
        <w:t>Researchers have identified long term structural changes in the operation of the labour market which result in increased complexity, competition and change</w:t>
      </w:r>
      <w:r w:rsidR="00844747" w:rsidRPr="00675060">
        <w:rPr>
          <w:rFonts w:ascii="Times New Roman" w:hAnsi="Times New Roman" w:cs="Times New Roman"/>
        </w:rPr>
        <w:t>,</w:t>
      </w:r>
      <w:r w:rsidRPr="00675060">
        <w:rPr>
          <w:rFonts w:ascii="Times New Roman" w:hAnsi="Times New Roman" w:cs="Times New Roman"/>
        </w:rPr>
        <w:t xml:space="preserve"> and </w:t>
      </w:r>
      <w:r w:rsidR="00844747" w:rsidRPr="00675060">
        <w:rPr>
          <w:rFonts w:ascii="Times New Roman" w:hAnsi="Times New Roman" w:cs="Times New Roman"/>
        </w:rPr>
        <w:t xml:space="preserve">which </w:t>
      </w:r>
      <w:r w:rsidRPr="00675060">
        <w:rPr>
          <w:rFonts w:ascii="Times New Roman" w:hAnsi="Times New Roman" w:cs="Times New Roman"/>
        </w:rPr>
        <w:t xml:space="preserve">work against the interests of young people: technological change, globalisation, deregulation, inequality (Mann </w:t>
      </w:r>
      <w:r w:rsidR="000014CA">
        <w:rPr>
          <w:rFonts w:ascii="Times New Roman" w:hAnsi="Times New Roman" w:cs="Times New Roman"/>
        </w:rPr>
        <w:t>&amp;</w:t>
      </w:r>
      <w:r w:rsidRPr="00675060">
        <w:rPr>
          <w:rFonts w:ascii="Times New Roman" w:hAnsi="Times New Roman" w:cs="Times New Roman"/>
        </w:rPr>
        <w:t xml:space="preserve"> Huddleston, 2017). </w:t>
      </w:r>
      <w:r w:rsidR="00005767" w:rsidRPr="00675060">
        <w:rPr>
          <w:rFonts w:ascii="Times New Roman" w:hAnsi="Times New Roman" w:cs="Times New Roman"/>
        </w:rPr>
        <w:t>Similar</w:t>
      </w:r>
      <w:r w:rsidRPr="00675060">
        <w:rPr>
          <w:rFonts w:ascii="Times New Roman" w:hAnsi="Times New Roman" w:cs="Times New Roman"/>
        </w:rPr>
        <w:t xml:space="preserve"> issues</w:t>
      </w:r>
      <w:r w:rsidR="00844747" w:rsidRPr="00675060">
        <w:rPr>
          <w:rFonts w:ascii="Times New Roman" w:hAnsi="Times New Roman" w:cs="Times New Roman"/>
        </w:rPr>
        <w:t xml:space="preserve"> and </w:t>
      </w:r>
      <w:r w:rsidR="00005767" w:rsidRPr="00675060">
        <w:rPr>
          <w:rFonts w:ascii="Times New Roman" w:hAnsi="Times New Roman" w:cs="Times New Roman"/>
        </w:rPr>
        <w:t xml:space="preserve">the need for policy change </w:t>
      </w:r>
      <w:r w:rsidR="00844747" w:rsidRPr="00675060">
        <w:rPr>
          <w:rFonts w:ascii="Times New Roman" w:hAnsi="Times New Roman" w:cs="Times New Roman"/>
        </w:rPr>
        <w:t xml:space="preserve">and increased efforts by schools </w:t>
      </w:r>
      <w:r w:rsidR="00FA61E7" w:rsidRPr="00675060">
        <w:rPr>
          <w:rFonts w:ascii="Times New Roman" w:hAnsi="Times New Roman" w:cs="Times New Roman"/>
        </w:rPr>
        <w:t xml:space="preserve">and colleges </w:t>
      </w:r>
      <w:r w:rsidR="00844747" w:rsidRPr="00675060">
        <w:rPr>
          <w:rFonts w:ascii="Times New Roman" w:hAnsi="Times New Roman" w:cs="Times New Roman"/>
        </w:rPr>
        <w:t xml:space="preserve">to support transitions </w:t>
      </w:r>
      <w:r w:rsidRPr="00675060">
        <w:rPr>
          <w:rFonts w:ascii="Times New Roman" w:hAnsi="Times New Roman" w:cs="Times New Roman"/>
        </w:rPr>
        <w:t xml:space="preserve">have been identified by </w:t>
      </w:r>
      <w:r w:rsidR="000014CA">
        <w:rPr>
          <w:rFonts w:ascii="Times New Roman" w:hAnsi="Times New Roman" w:cs="Times New Roman"/>
        </w:rPr>
        <w:t xml:space="preserve">a range of </w:t>
      </w:r>
      <w:r w:rsidRPr="00675060">
        <w:rPr>
          <w:rFonts w:ascii="Times New Roman" w:hAnsi="Times New Roman" w:cs="Times New Roman"/>
        </w:rPr>
        <w:t>policy makers and policy advisory units (</w:t>
      </w:r>
      <w:r w:rsidR="00182467" w:rsidRPr="00675060">
        <w:rPr>
          <w:rFonts w:ascii="Times New Roman" w:hAnsi="Times New Roman" w:cs="Times New Roman"/>
        </w:rPr>
        <w:t xml:space="preserve">e.g. </w:t>
      </w:r>
      <w:r w:rsidRPr="00675060">
        <w:rPr>
          <w:rFonts w:ascii="Times New Roman" w:hAnsi="Times New Roman" w:cs="Times New Roman"/>
        </w:rPr>
        <w:t>DfE, 2017;</w:t>
      </w:r>
      <w:r w:rsidR="00182467" w:rsidRPr="00675060">
        <w:rPr>
          <w:rFonts w:ascii="Times New Roman" w:hAnsi="Times New Roman" w:cs="Times New Roman"/>
        </w:rPr>
        <w:t xml:space="preserve"> OECD, 2018; ILO, 2018</w:t>
      </w:r>
      <w:r w:rsidRPr="00675060">
        <w:rPr>
          <w:rFonts w:ascii="Times New Roman" w:hAnsi="Times New Roman" w:cs="Times New Roman"/>
        </w:rPr>
        <w:t>)</w:t>
      </w:r>
      <w:r w:rsidR="00844747" w:rsidRPr="00675060">
        <w:rPr>
          <w:rFonts w:ascii="Times New Roman" w:hAnsi="Times New Roman" w:cs="Times New Roman"/>
        </w:rPr>
        <w:t>.</w:t>
      </w:r>
      <w:r w:rsidRPr="00675060">
        <w:rPr>
          <w:rFonts w:ascii="Times New Roman" w:hAnsi="Times New Roman" w:cs="Times New Roman"/>
        </w:rPr>
        <w:t xml:space="preserve"> While the exact emphases vary from state to state and over time, policymakers are t</w:t>
      </w:r>
      <w:r w:rsidR="00490A14" w:rsidRPr="00675060">
        <w:rPr>
          <w:rFonts w:ascii="Times New Roman" w:hAnsi="Times New Roman" w:cs="Times New Roman"/>
        </w:rPr>
        <w:t xml:space="preserve">ypically trying to solve for various </w:t>
      </w:r>
      <w:r w:rsidRPr="00675060">
        <w:rPr>
          <w:rFonts w:ascii="Times New Roman" w:hAnsi="Times New Roman" w:cs="Times New Roman"/>
        </w:rPr>
        <w:t>complex and inter-</w:t>
      </w:r>
      <w:r w:rsidR="00490A14" w:rsidRPr="00675060">
        <w:rPr>
          <w:rFonts w:ascii="Times New Roman" w:hAnsi="Times New Roman" w:cs="Times New Roman"/>
        </w:rPr>
        <w:t xml:space="preserve">connected </w:t>
      </w:r>
      <w:r w:rsidR="000014CA">
        <w:rPr>
          <w:rFonts w:ascii="Times New Roman" w:hAnsi="Times New Roman" w:cs="Times New Roman"/>
        </w:rPr>
        <w:t xml:space="preserve">economic </w:t>
      </w:r>
      <w:r w:rsidR="00490A14" w:rsidRPr="00675060">
        <w:rPr>
          <w:rFonts w:ascii="Times New Roman" w:hAnsi="Times New Roman" w:cs="Times New Roman"/>
        </w:rPr>
        <w:t>policy issues</w:t>
      </w:r>
      <w:r w:rsidRPr="00675060">
        <w:rPr>
          <w:rFonts w:ascii="Times New Roman" w:hAnsi="Times New Roman" w:cs="Times New Roman"/>
        </w:rPr>
        <w:t xml:space="preserve">, </w:t>
      </w:r>
      <w:r w:rsidR="000014CA">
        <w:rPr>
          <w:rFonts w:ascii="Times New Roman" w:hAnsi="Times New Roman" w:cs="Times New Roman"/>
        </w:rPr>
        <w:t xml:space="preserve">such as </w:t>
      </w:r>
      <w:r w:rsidR="00490A14" w:rsidRPr="00675060">
        <w:rPr>
          <w:rFonts w:ascii="Times New Roman" w:hAnsi="Times New Roman" w:cs="Times New Roman"/>
        </w:rPr>
        <w:t>youth unemployment, low productivity</w:t>
      </w:r>
      <w:r w:rsidR="000014CA">
        <w:rPr>
          <w:rFonts w:ascii="Times New Roman" w:hAnsi="Times New Roman" w:cs="Times New Roman"/>
        </w:rPr>
        <w:t>,</w:t>
      </w:r>
      <w:r w:rsidR="00490A14" w:rsidRPr="00675060">
        <w:rPr>
          <w:rFonts w:ascii="Times New Roman" w:hAnsi="Times New Roman" w:cs="Times New Roman"/>
        </w:rPr>
        <w:t xml:space="preserve"> and skills shortages </w:t>
      </w:r>
      <w:r w:rsidRPr="00675060">
        <w:rPr>
          <w:rFonts w:ascii="Times New Roman" w:hAnsi="Times New Roman" w:cs="Times New Roman"/>
        </w:rPr>
        <w:t>in strategic sectors.</w:t>
      </w:r>
    </w:p>
    <w:p w14:paraId="44B7DE89" w14:textId="4AFC4C9D" w:rsidR="003F6D4F" w:rsidRPr="00675060" w:rsidRDefault="00043DE2" w:rsidP="003F6D4F">
      <w:pPr>
        <w:spacing w:line="480" w:lineRule="auto"/>
        <w:rPr>
          <w:rFonts w:ascii="Times New Roman" w:hAnsi="Times New Roman" w:cs="Times New Roman"/>
          <w:color w:val="FF0000"/>
        </w:rPr>
      </w:pPr>
      <w:r w:rsidRPr="00675060">
        <w:rPr>
          <w:rFonts w:ascii="Times New Roman" w:hAnsi="Times New Roman" w:cs="Times New Roman"/>
          <w:color w:val="FF0000"/>
        </w:rPr>
        <w:tab/>
      </w:r>
      <w:r w:rsidRPr="00675060">
        <w:rPr>
          <w:rFonts w:ascii="Times New Roman" w:hAnsi="Times New Roman" w:cs="Times New Roman"/>
        </w:rPr>
        <w:t>A longer historical perspective reveals that such concerns are neither unique to, nor even necessarily uniquely challenging in the modern era,</w:t>
      </w:r>
      <w:r w:rsidR="009A4065" w:rsidRPr="00675060">
        <w:rPr>
          <w:rFonts w:ascii="Times New Roman" w:hAnsi="Times New Roman" w:cs="Times New Roman"/>
        </w:rPr>
        <w:t xml:space="preserve"> </w:t>
      </w:r>
      <w:r w:rsidRPr="00675060">
        <w:rPr>
          <w:rFonts w:ascii="Times New Roman" w:hAnsi="Times New Roman" w:cs="Times New Roman"/>
        </w:rPr>
        <w:t xml:space="preserve">although this need </w:t>
      </w:r>
      <w:r w:rsidR="00005767" w:rsidRPr="00675060">
        <w:rPr>
          <w:rFonts w:ascii="Times New Roman" w:hAnsi="Times New Roman" w:cs="Times New Roman"/>
        </w:rPr>
        <w:t>neither</w:t>
      </w:r>
      <w:r w:rsidRPr="00675060">
        <w:rPr>
          <w:rFonts w:ascii="Times New Roman" w:hAnsi="Times New Roman" w:cs="Times New Roman"/>
        </w:rPr>
        <w:t xml:space="preserve"> meaningfully reduce </w:t>
      </w:r>
      <w:r w:rsidRPr="00675060">
        <w:rPr>
          <w:rFonts w:ascii="Times New Roman" w:hAnsi="Times New Roman" w:cs="Times New Roman"/>
        </w:rPr>
        <w:lastRenderedPageBreak/>
        <w:t xml:space="preserve">the risks they pose today </w:t>
      </w:r>
      <w:r w:rsidR="00005767" w:rsidRPr="00675060">
        <w:rPr>
          <w:rFonts w:ascii="Times New Roman" w:hAnsi="Times New Roman" w:cs="Times New Roman"/>
        </w:rPr>
        <w:t>n</w:t>
      </w:r>
      <w:r w:rsidRPr="00675060">
        <w:rPr>
          <w:rFonts w:ascii="Times New Roman" w:hAnsi="Times New Roman" w:cs="Times New Roman"/>
        </w:rPr>
        <w:t xml:space="preserve">or </w:t>
      </w:r>
      <w:r w:rsidR="00005767" w:rsidRPr="00675060">
        <w:rPr>
          <w:rFonts w:ascii="Times New Roman" w:hAnsi="Times New Roman" w:cs="Times New Roman"/>
        </w:rPr>
        <w:t xml:space="preserve">mitigate </w:t>
      </w:r>
      <w:r w:rsidRPr="00675060">
        <w:rPr>
          <w:rFonts w:ascii="Times New Roman" w:hAnsi="Times New Roman" w:cs="Times New Roman"/>
        </w:rPr>
        <w:t>the need for action. For instance, concerns in the late 20</w:t>
      </w:r>
      <w:r w:rsidRPr="00675060">
        <w:rPr>
          <w:rFonts w:ascii="Times New Roman" w:hAnsi="Times New Roman" w:cs="Times New Roman"/>
          <w:vertAlign w:val="superscript"/>
        </w:rPr>
        <w:t>th</w:t>
      </w:r>
      <w:r w:rsidRPr="00675060">
        <w:rPr>
          <w:rFonts w:ascii="Times New Roman" w:hAnsi="Times New Roman" w:cs="Times New Roman"/>
        </w:rPr>
        <w:t xml:space="preserve"> century and the turn of the </w:t>
      </w:r>
      <w:r w:rsidR="00CC0EA2" w:rsidRPr="00675060">
        <w:rPr>
          <w:rFonts w:ascii="Times New Roman" w:hAnsi="Times New Roman" w:cs="Times New Roman"/>
        </w:rPr>
        <w:t>millennium</w:t>
      </w:r>
      <w:r w:rsidRPr="00675060">
        <w:rPr>
          <w:rFonts w:ascii="Times New Roman" w:hAnsi="Times New Roman" w:cs="Times New Roman"/>
        </w:rPr>
        <w:t xml:space="preserve"> regularly highlighted the </w:t>
      </w:r>
      <w:r w:rsidR="00F06D65" w:rsidRPr="00675060">
        <w:rPr>
          <w:rFonts w:ascii="Times New Roman" w:hAnsi="Times New Roman" w:cs="Times New Roman"/>
        </w:rPr>
        <w:t xml:space="preserve">rapid pace of change in the workplace and the difficulties this caused for school-to-work transition, whether it </w:t>
      </w:r>
      <w:r w:rsidR="00127610" w:rsidRPr="00675060">
        <w:rPr>
          <w:rFonts w:ascii="Times New Roman" w:hAnsi="Times New Roman" w:cs="Times New Roman"/>
        </w:rPr>
        <w:t>wa</w:t>
      </w:r>
      <w:r w:rsidR="00F06D65" w:rsidRPr="00675060">
        <w:rPr>
          <w:rFonts w:ascii="Times New Roman" w:hAnsi="Times New Roman" w:cs="Times New Roman"/>
        </w:rPr>
        <w:t>s the “kaleidoscopic” context of today’s workplace</w:t>
      </w:r>
      <w:r w:rsidR="00005767" w:rsidRPr="00675060">
        <w:rPr>
          <w:rFonts w:ascii="Times New Roman" w:hAnsi="Times New Roman" w:cs="Times New Roman"/>
        </w:rPr>
        <w:t xml:space="preserve"> in which “ambiguity is the only certainty” as</w:t>
      </w:r>
      <w:r w:rsidR="00F06D65" w:rsidRPr="00675060">
        <w:rPr>
          <w:rFonts w:ascii="Times New Roman" w:hAnsi="Times New Roman" w:cs="Times New Roman"/>
        </w:rPr>
        <w:t xml:space="preserve"> described by Kerka (1995), </w:t>
      </w:r>
      <w:r w:rsidR="00005767" w:rsidRPr="00675060">
        <w:rPr>
          <w:rFonts w:ascii="Times New Roman" w:hAnsi="Times New Roman" w:cs="Times New Roman"/>
        </w:rPr>
        <w:t xml:space="preserve">the </w:t>
      </w:r>
      <w:r w:rsidR="00F06D65" w:rsidRPr="00675060">
        <w:rPr>
          <w:rFonts w:ascii="Times New Roman" w:hAnsi="Times New Roman" w:cs="Times New Roman"/>
        </w:rPr>
        <w:t xml:space="preserve">“new rules of work” (Hall </w:t>
      </w:r>
      <w:r w:rsidR="000014CA">
        <w:rPr>
          <w:rFonts w:ascii="Times New Roman" w:hAnsi="Times New Roman" w:cs="Times New Roman"/>
        </w:rPr>
        <w:t>&amp;</w:t>
      </w:r>
      <w:r w:rsidR="00F06D65" w:rsidRPr="00675060">
        <w:rPr>
          <w:rFonts w:ascii="Times New Roman" w:hAnsi="Times New Roman" w:cs="Times New Roman"/>
        </w:rPr>
        <w:t xml:space="preserve"> Mirvis, 1995) or the “new era” </w:t>
      </w:r>
      <w:r w:rsidR="003B427B" w:rsidRPr="00675060">
        <w:rPr>
          <w:rFonts w:ascii="Times New Roman" w:hAnsi="Times New Roman" w:cs="Times New Roman"/>
        </w:rPr>
        <w:t xml:space="preserve">since the </w:t>
      </w:r>
      <w:r w:rsidR="00F06D65" w:rsidRPr="00675060">
        <w:rPr>
          <w:rFonts w:ascii="Times New Roman" w:hAnsi="Times New Roman" w:cs="Times New Roman"/>
        </w:rPr>
        <w:t xml:space="preserve">rapid change </w:t>
      </w:r>
      <w:r w:rsidR="003B427B" w:rsidRPr="00675060">
        <w:rPr>
          <w:rFonts w:ascii="Times New Roman" w:hAnsi="Times New Roman" w:cs="Times New Roman"/>
        </w:rPr>
        <w:t xml:space="preserve">of </w:t>
      </w:r>
      <w:r w:rsidR="00F06D65" w:rsidRPr="00675060">
        <w:rPr>
          <w:rFonts w:ascii="Times New Roman" w:hAnsi="Times New Roman" w:cs="Times New Roman"/>
        </w:rPr>
        <w:t xml:space="preserve">the 1980s </w:t>
      </w:r>
      <w:r w:rsidR="003B427B" w:rsidRPr="00675060">
        <w:rPr>
          <w:rFonts w:ascii="Times New Roman" w:hAnsi="Times New Roman" w:cs="Times New Roman"/>
        </w:rPr>
        <w:t xml:space="preserve">of </w:t>
      </w:r>
      <w:r w:rsidR="00F06D65" w:rsidRPr="00675060">
        <w:rPr>
          <w:rFonts w:ascii="Times New Roman" w:hAnsi="Times New Roman" w:cs="Times New Roman"/>
        </w:rPr>
        <w:t>Gothard</w:t>
      </w:r>
      <w:r w:rsidR="00FC2AAF">
        <w:rPr>
          <w:rFonts w:ascii="Times New Roman" w:hAnsi="Times New Roman" w:cs="Times New Roman"/>
        </w:rPr>
        <w:t xml:space="preserve">, Mignot, Offer, &amp; Ruff </w:t>
      </w:r>
      <w:r w:rsidR="00F06D65" w:rsidRPr="00675060">
        <w:rPr>
          <w:rFonts w:ascii="Times New Roman" w:hAnsi="Times New Roman" w:cs="Times New Roman"/>
        </w:rPr>
        <w:t xml:space="preserve">(2001). Indeed, concerns about pressures on the education system and the </w:t>
      </w:r>
      <w:r w:rsidR="00E065B9" w:rsidRPr="00675060">
        <w:rPr>
          <w:rFonts w:ascii="Times New Roman" w:hAnsi="Times New Roman" w:cs="Times New Roman"/>
        </w:rPr>
        <w:t xml:space="preserve">need to meet changing </w:t>
      </w:r>
      <w:r w:rsidR="00F06D65" w:rsidRPr="00675060">
        <w:rPr>
          <w:rFonts w:ascii="Times New Roman" w:hAnsi="Times New Roman" w:cs="Times New Roman"/>
        </w:rPr>
        <w:t xml:space="preserve">labour market </w:t>
      </w:r>
      <w:r w:rsidR="00E065B9" w:rsidRPr="00675060">
        <w:rPr>
          <w:rFonts w:ascii="Times New Roman" w:hAnsi="Times New Roman" w:cs="Times New Roman"/>
        </w:rPr>
        <w:t xml:space="preserve">requirements </w:t>
      </w:r>
      <w:r w:rsidR="00F06D65" w:rsidRPr="00675060">
        <w:rPr>
          <w:rFonts w:ascii="Times New Roman" w:hAnsi="Times New Roman" w:cs="Times New Roman"/>
        </w:rPr>
        <w:t xml:space="preserve">can be found </w:t>
      </w:r>
      <w:r w:rsidR="003B427B" w:rsidRPr="00675060">
        <w:rPr>
          <w:rFonts w:ascii="Times New Roman" w:hAnsi="Times New Roman" w:cs="Times New Roman"/>
        </w:rPr>
        <w:t>in many</w:t>
      </w:r>
      <w:r w:rsidR="00E065B9" w:rsidRPr="00675060">
        <w:rPr>
          <w:rFonts w:ascii="Times New Roman" w:hAnsi="Times New Roman" w:cs="Times New Roman"/>
        </w:rPr>
        <w:t xml:space="preserve"> </w:t>
      </w:r>
      <w:r w:rsidR="00F06D65" w:rsidRPr="00675060">
        <w:rPr>
          <w:rFonts w:ascii="Times New Roman" w:hAnsi="Times New Roman" w:cs="Times New Roman"/>
        </w:rPr>
        <w:t xml:space="preserve">major </w:t>
      </w:r>
      <w:r w:rsidR="00E065B9" w:rsidRPr="00675060">
        <w:rPr>
          <w:rFonts w:ascii="Times New Roman" w:hAnsi="Times New Roman" w:cs="Times New Roman"/>
        </w:rPr>
        <w:t xml:space="preserve">phases of </w:t>
      </w:r>
      <w:r w:rsidR="00F06D65" w:rsidRPr="00675060">
        <w:rPr>
          <w:rFonts w:ascii="Times New Roman" w:hAnsi="Times New Roman" w:cs="Times New Roman"/>
        </w:rPr>
        <w:t>technological and societal development (</w:t>
      </w:r>
      <w:r w:rsidR="00E065B9" w:rsidRPr="00675060">
        <w:rPr>
          <w:rFonts w:ascii="Times New Roman" w:hAnsi="Times New Roman" w:cs="Times New Roman"/>
        </w:rPr>
        <w:t>e.g. in the 19</w:t>
      </w:r>
      <w:r w:rsidR="00E065B9" w:rsidRPr="00675060">
        <w:rPr>
          <w:rFonts w:ascii="Times New Roman" w:hAnsi="Times New Roman" w:cs="Times New Roman"/>
          <w:vertAlign w:val="superscript"/>
        </w:rPr>
        <w:t>th</w:t>
      </w:r>
      <w:r w:rsidR="00E065B9" w:rsidRPr="00675060">
        <w:rPr>
          <w:rFonts w:ascii="Times New Roman" w:hAnsi="Times New Roman" w:cs="Times New Roman"/>
        </w:rPr>
        <w:t xml:space="preserve"> century Europe and N. America: Carl, 2009; 20</w:t>
      </w:r>
      <w:r w:rsidR="00E065B9" w:rsidRPr="00675060">
        <w:rPr>
          <w:rFonts w:ascii="Times New Roman" w:hAnsi="Times New Roman" w:cs="Times New Roman"/>
          <w:vertAlign w:val="superscript"/>
        </w:rPr>
        <w:t>th</w:t>
      </w:r>
      <w:r w:rsidR="00E065B9" w:rsidRPr="00675060">
        <w:rPr>
          <w:rFonts w:ascii="Times New Roman" w:hAnsi="Times New Roman" w:cs="Times New Roman"/>
        </w:rPr>
        <w:t xml:space="preserve"> century America: Tyack &amp; Cuban, 1995</w:t>
      </w:r>
      <w:r w:rsidR="00025FDA" w:rsidRPr="00675060">
        <w:rPr>
          <w:rFonts w:ascii="Times New Roman" w:hAnsi="Times New Roman" w:cs="Times New Roman"/>
        </w:rPr>
        <w:t>; 20</w:t>
      </w:r>
      <w:r w:rsidR="00025FDA" w:rsidRPr="00675060">
        <w:rPr>
          <w:rFonts w:ascii="Times New Roman" w:hAnsi="Times New Roman" w:cs="Times New Roman"/>
          <w:vertAlign w:val="superscript"/>
        </w:rPr>
        <w:t>th</w:t>
      </w:r>
      <w:r w:rsidR="00025FDA" w:rsidRPr="00675060">
        <w:rPr>
          <w:rFonts w:ascii="Times New Roman" w:hAnsi="Times New Roman" w:cs="Times New Roman"/>
        </w:rPr>
        <w:t xml:space="preserve"> century China: Murphy, 2004</w:t>
      </w:r>
      <w:r w:rsidR="00F06D65" w:rsidRPr="00675060">
        <w:rPr>
          <w:rFonts w:ascii="Times New Roman" w:hAnsi="Times New Roman" w:cs="Times New Roman"/>
        </w:rPr>
        <w:t>).</w:t>
      </w:r>
    </w:p>
    <w:p w14:paraId="5CE10EBA" w14:textId="77777777" w:rsidR="003F6D4F" w:rsidRPr="00675060" w:rsidRDefault="003F6D4F" w:rsidP="003F6D4F">
      <w:pPr>
        <w:spacing w:line="480" w:lineRule="auto"/>
        <w:rPr>
          <w:rFonts w:ascii="Times New Roman" w:hAnsi="Times New Roman" w:cs="Times New Roman"/>
          <w:color w:val="FF0000"/>
        </w:rPr>
      </w:pPr>
    </w:p>
    <w:p w14:paraId="40FED10F" w14:textId="77777777" w:rsidR="003F6D4F" w:rsidRPr="00675060" w:rsidRDefault="003F6D4F" w:rsidP="003F6D4F">
      <w:pPr>
        <w:spacing w:line="480" w:lineRule="auto"/>
        <w:rPr>
          <w:rFonts w:ascii="Times New Roman" w:hAnsi="Times New Roman" w:cs="Times New Roman"/>
          <w:i/>
          <w:sz w:val="24"/>
        </w:rPr>
      </w:pPr>
      <w:r w:rsidRPr="00675060">
        <w:rPr>
          <w:rFonts w:ascii="Times New Roman" w:hAnsi="Times New Roman" w:cs="Times New Roman"/>
          <w:i/>
          <w:sz w:val="24"/>
        </w:rPr>
        <w:t xml:space="preserve">Data collection and transparency as </w:t>
      </w:r>
      <w:r w:rsidR="00F07614" w:rsidRPr="00675060">
        <w:rPr>
          <w:rFonts w:ascii="Times New Roman" w:hAnsi="Times New Roman" w:cs="Times New Roman"/>
          <w:i/>
          <w:sz w:val="24"/>
        </w:rPr>
        <w:t xml:space="preserve">part of the </w:t>
      </w:r>
      <w:r w:rsidRPr="00675060">
        <w:rPr>
          <w:rFonts w:ascii="Times New Roman" w:hAnsi="Times New Roman" w:cs="Times New Roman"/>
          <w:i/>
          <w:sz w:val="24"/>
        </w:rPr>
        <w:t>policy response</w:t>
      </w:r>
    </w:p>
    <w:p w14:paraId="0AA6FDFA" w14:textId="54ED5A9A" w:rsidR="003F6D4F" w:rsidRPr="00675060" w:rsidRDefault="00490A14" w:rsidP="00C722D7">
      <w:pPr>
        <w:spacing w:line="480" w:lineRule="auto"/>
        <w:rPr>
          <w:rFonts w:ascii="Times New Roman" w:hAnsi="Times New Roman" w:cs="Times New Roman"/>
        </w:rPr>
      </w:pPr>
      <w:r w:rsidRPr="00675060">
        <w:rPr>
          <w:rFonts w:ascii="Times New Roman" w:hAnsi="Times New Roman" w:cs="Times New Roman"/>
        </w:rPr>
        <w:t xml:space="preserve">New </w:t>
      </w:r>
      <w:r w:rsidR="003F6D4F" w:rsidRPr="00675060">
        <w:rPr>
          <w:rFonts w:ascii="Times New Roman" w:hAnsi="Times New Roman" w:cs="Times New Roman"/>
        </w:rPr>
        <w:t xml:space="preserve">Public </w:t>
      </w:r>
      <w:r w:rsidR="001E2198" w:rsidRPr="00675060">
        <w:rPr>
          <w:rFonts w:ascii="Times New Roman" w:hAnsi="Times New Roman" w:cs="Times New Roman"/>
        </w:rPr>
        <w:t>Management (</w:t>
      </w:r>
      <w:r w:rsidR="00C722D7" w:rsidRPr="00675060">
        <w:rPr>
          <w:rFonts w:ascii="Times New Roman" w:hAnsi="Times New Roman" w:cs="Times New Roman"/>
        </w:rPr>
        <w:t xml:space="preserve">Vigoda, 2003) reconfigures public service as a </w:t>
      </w:r>
      <w:r w:rsidR="00272276" w:rsidRPr="00675060">
        <w:rPr>
          <w:rFonts w:ascii="Times New Roman" w:hAnsi="Times New Roman" w:cs="Times New Roman"/>
        </w:rPr>
        <w:t xml:space="preserve">fundamentally </w:t>
      </w:r>
      <w:r w:rsidR="00C722D7" w:rsidRPr="00675060">
        <w:rPr>
          <w:rFonts w:ascii="Times New Roman" w:hAnsi="Times New Roman" w:cs="Times New Roman"/>
        </w:rPr>
        <w:t xml:space="preserve">measurable exercise, based on key performance indicators </w:t>
      </w:r>
      <w:r w:rsidRPr="00675060">
        <w:rPr>
          <w:rFonts w:ascii="Times New Roman" w:hAnsi="Times New Roman" w:cs="Times New Roman"/>
        </w:rPr>
        <w:t xml:space="preserve">and </w:t>
      </w:r>
      <w:r w:rsidR="00C722D7" w:rsidRPr="00675060">
        <w:rPr>
          <w:rFonts w:ascii="Times New Roman" w:hAnsi="Times New Roman" w:cs="Times New Roman"/>
        </w:rPr>
        <w:t xml:space="preserve">regular </w:t>
      </w:r>
      <w:r w:rsidRPr="00675060">
        <w:rPr>
          <w:rFonts w:ascii="Times New Roman" w:hAnsi="Times New Roman" w:cs="Times New Roman"/>
        </w:rPr>
        <w:t>tracking</w:t>
      </w:r>
      <w:r w:rsidR="00005767" w:rsidRPr="00675060">
        <w:rPr>
          <w:rFonts w:ascii="Times New Roman" w:hAnsi="Times New Roman" w:cs="Times New Roman"/>
        </w:rPr>
        <w:t xml:space="preserve">, </w:t>
      </w:r>
      <w:r w:rsidR="00272276" w:rsidRPr="00675060">
        <w:rPr>
          <w:rFonts w:ascii="Times New Roman" w:hAnsi="Times New Roman" w:cs="Times New Roman"/>
        </w:rPr>
        <w:t xml:space="preserve">and </w:t>
      </w:r>
      <w:r w:rsidR="00005767" w:rsidRPr="00675060">
        <w:rPr>
          <w:rFonts w:ascii="Times New Roman" w:hAnsi="Times New Roman" w:cs="Times New Roman"/>
        </w:rPr>
        <w:t>prioritis</w:t>
      </w:r>
      <w:r w:rsidR="00272276" w:rsidRPr="00675060">
        <w:rPr>
          <w:rFonts w:ascii="Times New Roman" w:hAnsi="Times New Roman" w:cs="Times New Roman"/>
        </w:rPr>
        <w:t>es</w:t>
      </w:r>
      <w:r w:rsidR="00005767" w:rsidRPr="00675060">
        <w:rPr>
          <w:rFonts w:ascii="Times New Roman" w:hAnsi="Times New Roman" w:cs="Times New Roman"/>
        </w:rPr>
        <w:t xml:space="preserve"> institution</w:t>
      </w:r>
      <w:r w:rsidR="00C722D7" w:rsidRPr="00675060">
        <w:rPr>
          <w:rFonts w:ascii="Times New Roman" w:hAnsi="Times New Roman" w:cs="Times New Roman"/>
        </w:rPr>
        <w:t>-</w:t>
      </w:r>
      <w:r w:rsidR="00005767" w:rsidRPr="00675060">
        <w:rPr>
          <w:rFonts w:ascii="Times New Roman" w:hAnsi="Times New Roman" w:cs="Times New Roman"/>
        </w:rPr>
        <w:t xml:space="preserve"> and individual</w:t>
      </w:r>
      <w:r w:rsidR="00C722D7" w:rsidRPr="00675060">
        <w:rPr>
          <w:rFonts w:ascii="Times New Roman" w:hAnsi="Times New Roman" w:cs="Times New Roman"/>
        </w:rPr>
        <w:t>-</w:t>
      </w:r>
      <w:r w:rsidR="00005767" w:rsidRPr="00675060">
        <w:rPr>
          <w:rFonts w:ascii="Times New Roman" w:hAnsi="Times New Roman" w:cs="Times New Roman"/>
        </w:rPr>
        <w:t>level accountability to drive system change</w:t>
      </w:r>
      <w:r w:rsidR="00C722D7" w:rsidRPr="00675060">
        <w:rPr>
          <w:rFonts w:ascii="Times New Roman" w:hAnsi="Times New Roman" w:cs="Times New Roman"/>
        </w:rPr>
        <w:t xml:space="preserve"> above </w:t>
      </w:r>
      <w:r w:rsidR="00005767" w:rsidRPr="00675060">
        <w:rPr>
          <w:rFonts w:ascii="Times New Roman" w:hAnsi="Times New Roman" w:cs="Times New Roman"/>
        </w:rPr>
        <w:t xml:space="preserve">the connections between institutions or their embedded social context. </w:t>
      </w:r>
      <w:r w:rsidR="00C722D7" w:rsidRPr="00675060">
        <w:rPr>
          <w:rFonts w:ascii="Times New Roman" w:hAnsi="Times New Roman" w:cs="Times New Roman"/>
        </w:rPr>
        <w:t>Policy approaches to labour market and education system management have widely adopted this data-based methodology, drawing on both static data (which provides a snapshot of current circumstances) and dynamic data (which provides insight on change over time)</w:t>
      </w:r>
      <w:r w:rsidR="00272276" w:rsidRPr="00675060">
        <w:rPr>
          <w:rFonts w:ascii="Times New Roman" w:hAnsi="Times New Roman" w:cs="Times New Roman"/>
        </w:rPr>
        <w:t xml:space="preserve">. </w:t>
      </w:r>
    </w:p>
    <w:p w14:paraId="436A04E9" w14:textId="5D047A8E" w:rsidR="00C722D7" w:rsidRPr="00675060" w:rsidRDefault="00C722D7" w:rsidP="00C722D7">
      <w:pPr>
        <w:spacing w:line="480" w:lineRule="auto"/>
        <w:rPr>
          <w:rFonts w:ascii="Times New Roman" w:hAnsi="Times New Roman" w:cs="Times New Roman"/>
        </w:rPr>
      </w:pPr>
      <w:r w:rsidRPr="00675060">
        <w:rPr>
          <w:rFonts w:ascii="Times New Roman" w:hAnsi="Times New Roman" w:cs="Times New Roman"/>
        </w:rPr>
        <w:tab/>
        <w:t xml:space="preserve">Traditional labour market information (LMI) is an example of static data, providing detail on experiences and outcomes in different geographic and sectoral areas of the labour market at a point in time. </w:t>
      </w:r>
      <w:r w:rsidR="00CC0EA2" w:rsidRPr="00675060">
        <w:rPr>
          <w:rFonts w:ascii="Times New Roman" w:hAnsi="Times New Roman" w:cs="Times New Roman"/>
        </w:rPr>
        <w:t>Investing</w:t>
      </w:r>
      <w:r w:rsidRPr="00675060">
        <w:rPr>
          <w:rFonts w:ascii="Times New Roman" w:hAnsi="Times New Roman" w:cs="Times New Roman"/>
        </w:rPr>
        <w:t xml:space="preserve"> in systems to collect and exploit LMI ha</w:t>
      </w:r>
      <w:r w:rsidR="000014CA">
        <w:rPr>
          <w:rFonts w:ascii="Times New Roman" w:hAnsi="Times New Roman" w:cs="Times New Roman"/>
        </w:rPr>
        <w:t>s</w:t>
      </w:r>
      <w:r w:rsidRPr="00675060">
        <w:rPr>
          <w:rFonts w:ascii="Times New Roman" w:hAnsi="Times New Roman" w:cs="Times New Roman"/>
        </w:rPr>
        <w:t xml:space="preserve"> become an important part of the policy landscape for improving labour market outcomes</w:t>
      </w:r>
      <w:r w:rsidR="00272276" w:rsidRPr="00675060">
        <w:rPr>
          <w:rFonts w:ascii="Times New Roman" w:hAnsi="Times New Roman" w:cs="Times New Roman"/>
        </w:rPr>
        <w:t>, aspiring to use data-based insights to direct the skills system and individual labour market participants to where they are most needed</w:t>
      </w:r>
      <w:r w:rsidRPr="00675060">
        <w:rPr>
          <w:rFonts w:ascii="Times New Roman" w:hAnsi="Times New Roman" w:cs="Times New Roman"/>
        </w:rPr>
        <w:t xml:space="preserve"> (</w:t>
      </w:r>
      <w:r w:rsidR="00272276" w:rsidRPr="00675060">
        <w:rPr>
          <w:rFonts w:ascii="Times New Roman" w:hAnsi="Times New Roman" w:cs="Times New Roman"/>
        </w:rPr>
        <w:t xml:space="preserve">e.g. </w:t>
      </w:r>
      <w:r w:rsidRPr="00675060">
        <w:rPr>
          <w:rFonts w:ascii="Times New Roman" w:hAnsi="Times New Roman" w:cs="Times New Roman"/>
        </w:rPr>
        <w:t>Woods &amp; O’Leary, 2006</w:t>
      </w:r>
      <w:r w:rsidR="00272276" w:rsidRPr="00675060">
        <w:rPr>
          <w:rFonts w:ascii="Times New Roman" w:hAnsi="Times New Roman" w:cs="Times New Roman"/>
        </w:rPr>
        <w:t>; Řihova, 2016</w:t>
      </w:r>
      <w:r w:rsidR="00526F50" w:rsidRPr="00675060">
        <w:rPr>
          <w:rFonts w:ascii="Times New Roman" w:hAnsi="Times New Roman" w:cs="Times New Roman"/>
        </w:rPr>
        <w:t>; Bimrose et al, 2018</w:t>
      </w:r>
      <w:r w:rsidR="00844747" w:rsidRPr="00675060">
        <w:rPr>
          <w:rFonts w:ascii="Times New Roman" w:hAnsi="Times New Roman" w:cs="Times New Roman"/>
        </w:rPr>
        <w:t>; Mehotra, 2014</w:t>
      </w:r>
      <w:r w:rsidRPr="00675060">
        <w:rPr>
          <w:rFonts w:ascii="Times New Roman" w:hAnsi="Times New Roman" w:cs="Times New Roman"/>
        </w:rPr>
        <w:t>).</w:t>
      </w:r>
    </w:p>
    <w:p w14:paraId="554B351C" w14:textId="5F823C60" w:rsidR="00490A14" w:rsidRPr="00675060" w:rsidRDefault="00272276" w:rsidP="003F6D4F">
      <w:pPr>
        <w:spacing w:line="480" w:lineRule="auto"/>
        <w:rPr>
          <w:rFonts w:ascii="Times New Roman" w:hAnsi="Times New Roman" w:cs="Times New Roman"/>
          <w:color w:val="FF0000"/>
        </w:rPr>
      </w:pPr>
      <w:r w:rsidRPr="00675060">
        <w:rPr>
          <w:rFonts w:ascii="Times New Roman" w:hAnsi="Times New Roman" w:cs="Times New Roman"/>
        </w:rPr>
        <w:tab/>
        <w:t>Education transition metrics or pathway analyses are example</w:t>
      </w:r>
      <w:r w:rsidR="000014CA">
        <w:rPr>
          <w:rFonts w:ascii="Times New Roman" w:hAnsi="Times New Roman" w:cs="Times New Roman"/>
        </w:rPr>
        <w:t>s</w:t>
      </w:r>
      <w:r w:rsidRPr="00675060">
        <w:rPr>
          <w:rFonts w:ascii="Times New Roman" w:hAnsi="Times New Roman" w:cs="Times New Roman"/>
        </w:rPr>
        <w:t xml:space="preserve"> of dynamic data, in which particular education choices or outcomes </w:t>
      </w:r>
      <w:r w:rsidR="00127610" w:rsidRPr="00675060">
        <w:rPr>
          <w:rFonts w:ascii="Times New Roman" w:hAnsi="Times New Roman" w:cs="Times New Roman"/>
        </w:rPr>
        <w:t>are</w:t>
      </w:r>
      <w:r w:rsidRPr="00675060">
        <w:rPr>
          <w:rFonts w:ascii="Times New Roman" w:hAnsi="Times New Roman" w:cs="Times New Roman"/>
        </w:rPr>
        <w:t xml:space="preserve"> related to average labour market outcomes. Such data </w:t>
      </w:r>
      <w:r w:rsidRPr="00675060">
        <w:rPr>
          <w:rFonts w:ascii="Times New Roman" w:hAnsi="Times New Roman" w:cs="Times New Roman"/>
        </w:rPr>
        <w:lastRenderedPageBreak/>
        <w:t>ha</w:t>
      </w:r>
      <w:r w:rsidR="00127610" w:rsidRPr="00675060">
        <w:rPr>
          <w:rFonts w:ascii="Times New Roman" w:hAnsi="Times New Roman" w:cs="Times New Roman"/>
        </w:rPr>
        <w:t>ve</w:t>
      </w:r>
      <w:r w:rsidRPr="00675060">
        <w:rPr>
          <w:rFonts w:ascii="Times New Roman" w:hAnsi="Times New Roman" w:cs="Times New Roman"/>
        </w:rPr>
        <w:t xml:space="preserve"> long been analysed at the supra-</w:t>
      </w:r>
      <w:r w:rsidR="00A77037" w:rsidRPr="00675060">
        <w:rPr>
          <w:rFonts w:ascii="Times New Roman" w:hAnsi="Times New Roman" w:cs="Times New Roman"/>
        </w:rPr>
        <w:t>provider</w:t>
      </w:r>
      <w:r w:rsidRPr="00675060">
        <w:rPr>
          <w:rFonts w:ascii="Times New Roman" w:hAnsi="Times New Roman" w:cs="Times New Roman"/>
        </w:rPr>
        <w:t xml:space="preserve"> level, drawing on ad hoc or periodic surveys, aggregated to regional or national level to draw generic insights that might later be applied to policies that </w:t>
      </w:r>
      <w:r w:rsidR="00127610" w:rsidRPr="00675060">
        <w:rPr>
          <w:rFonts w:ascii="Times New Roman" w:hAnsi="Times New Roman" w:cs="Times New Roman"/>
        </w:rPr>
        <w:t>affect</w:t>
      </w:r>
      <w:r w:rsidR="00A77037" w:rsidRPr="00675060">
        <w:rPr>
          <w:rFonts w:ascii="Times New Roman" w:hAnsi="Times New Roman" w:cs="Times New Roman"/>
        </w:rPr>
        <w:t xml:space="preserve"> individual providers</w:t>
      </w:r>
      <w:r w:rsidR="000014CA">
        <w:rPr>
          <w:rFonts w:ascii="Times New Roman" w:hAnsi="Times New Roman" w:cs="Times New Roman"/>
        </w:rPr>
        <w:t xml:space="preserve"> or inform individual career decision making</w:t>
      </w:r>
      <w:r w:rsidR="00A77037" w:rsidRPr="00675060">
        <w:rPr>
          <w:rFonts w:ascii="Times New Roman" w:hAnsi="Times New Roman" w:cs="Times New Roman"/>
        </w:rPr>
        <w:t xml:space="preserve">. The </w:t>
      </w:r>
      <w:r w:rsidR="00490A14" w:rsidRPr="00675060">
        <w:rPr>
          <w:rFonts w:ascii="Times New Roman" w:hAnsi="Times New Roman" w:cs="Times New Roman"/>
        </w:rPr>
        <w:t xml:space="preserve">ability to operationalise </w:t>
      </w:r>
      <w:r w:rsidR="00A77037" w:rsidRPr="00675060">
        <w:rPr>
          <w:rFonts w:ascii="Times New Roman" w:hAnsi="Times New Roman" w:cs="Times New Roman"/>
        </w:rPr>
        <w:t>such</w:t>
      </w:r>
      <w:r w:rsidR="00490A14" w:rsidRPr="00675060">
        <w:rPr>
          <w:rFonts w:ascii="Times New Roman" w:hAnsi="Times New Roman" w:cs="Times New Roman"/>
        </w:rPr>
        <w:t xml:space="preserve"> data at </w:t>
      </w:r>
      <w:r w:rsidR="00A77037" w:rsidRPr="00675060">
        <w:rPr>
          <w:rFonts w:ascii="Times New Roman" w:hAnsi="Times New Roman" w:cs="Times New Roman"/>
        </w:rPr>
        <w:t>provider</w:t>
      </w:r>
      <w:r w:rsidR="00490A14" w:rsidRPr="00675060">
        <w:rPr>
          <w:rFonts w:ascii="Times New Roman" w:hAnsi="Times New Roman" w:cs="Times New Roman"/>
        </w:rPr>
        <w:t>-level is a natural extension of this</w:t>
      </w:r>
      <w:r w:rsidR="00A77037" w:rsidRPr="00675060">
        <w:rPr>
          <w:rFonts w:ascii="Times New Roman" w:hAnsi="Times New Roman" w:cs="Times New Roman"/>
        </w:rPr>
        <w:t xml:space="preserve"> approach to system management</w:t>
      </w:r>
      <w:r w:rsidR="00490A14" w:rsidRPr="00675060">
        <w:rPr>
          <w:rFonts w:ascii="Times New Roman" w:hAnsi="Times New Roman" w:cs="Times New Roman"/>
        </w:rPr>
        <w:t>, once the infrastructure and resources are in place to enable systematic and periodic data collection</w:t>
      </w:r>
      <w:r w:rsidR="00127610" w:rsidRPr="00675060">
        <w:rPr>
          <w:rFonts w:ascii="Times New Roman" w:hAnsi="Times New Roman" w:cs="Times New Roman"/>
        </w:rPr>
        <w:t>,</w:t>
      </w:r>
      <w:r w:rsidR="00A77037" w:rsidRPr="00675060">
        <w:rPr>
          <w:rFonts w:ascii="Times New Roman" w:hAnsi="Times New Roman" w:cs="Times New Roman"/>
        </w:rPr>
        <w:t xml:space="preserve"> and especially </w:t>
      </w:r>
      <w:r w:rsidR="00127610" w:rsidRPr="00675060">
        <w:rPr>
          <w:rFonts w:ascii="Times New Roman" w:hAnsi="Times New Roman" w:cs="Times New Roman"/>
        </w:rPr>
        <w:t xml:space="preserve">in countries </w:t>
      </w:r>
      <w:r w:rsidR="00A77037" w:rsidRPr="00675060">
        <w:rPr>
          <w:rFonts w:ascii="Times New Roman" w:hAnsi="Times New Roman" w:cs="Times New Roman"/>
        </w:rPr>
        <w:t>where there is a tradition of making provider-level data publicly available (e.g. in systems with education “league tables”).</w:t>
      </w:r>
      <w:r w:rsidR="00C943E6" w:rsidRPr="00675060">
        <w:rPr>
          <w:rFonts w:ascii="Times New Roman" w:hAnsi="Times New Roman" w:cs="Times New Roman"/>
        </w:rPr>
        <w:t xml:space="preserve"> </w:t>
      </w:r>
    </w:p>
    <w:p w14:paraId="4141648A" w14:textId="77777777" w:rsidR="00C943E6" w:rsidRPr="00675060" w:rsidRDefault="00C943E6" w:rsidP="00BA34EA">
      <w:pPr>
        <w:spacing w:line="480" w:lineRule="auto"/>
        <w:rPr>
          <w:rFonts w:ascii="Times New Roman" w:hAnsi="Times New Roman" w:cs="Times New Roman"/>
        </w:rPr>
      </w:pPr>
    </w:p>
    <w:p w14:paraId="04BAD528" w14:textId="77777777" w:rsidR="00490A14" w:rsidRPr="00675060" w:rsidRDefault="00490A14" w:rsidP="00490A14">
      <w:pPr>
        <w:spacing w:line="480" w:lineRule="auto"/>
        <w:rPr>
          <w:rFonts w:ascii="Times New Roman" w:hAnsi="Times New Roman" w:cs="Times New Roman"/>
          <w:i/>
          <w:sz w:val="24"/>
        </w:rPr>
      </w:pPr>
      <w:r w:rsidRPr="00675060">
        <w:rPr>
          <w:rFonts w:ascii="Times New Roman" w:hAnsi="Times New Roman" w:cs="Times New Roman"/>
          <w:i/>
          <w:sz w:val="24"/>
        </w:rPr>
        <w:t xml:space="preserve">Tertiary education destination metrics </w:t>
      </w:r>
    </w:p>
    <w:p w14:paraId="0E901CE7" w14:textId="78DB0B6C" w:rsidR="002A729D" w:rsidRPr="00675060" w:rsidRDefault="002A729D" w:rsidP="002A729D">
      <w:pPr>
        <w:spacing w:line="480" w:lineRule="auto"/>
        <w:rPr>
          <w:rFonts w:ascii="Times New Roman" w:hAnsi="Times New Roman" w:cs="Times New Roman"/>
        </w:rPr>
      </w:pPr>
      <w:r w:rsidRPr="00675060">
        <w:rPr>
          <w:rFonts w:ascii="Times New Roman" w:hAnsi="Times New Roman" w:cs="Times New Roman"/>
        </w:rPr>
        <w:t xml:space="preserve">International university rankings provide an example of how </w:t>
      </w:r>
      <w:r w:rsidR="000014CA">
        <w:rPr>
          <w:rFonts w:ascii="Times New Roman" w:hAnsi="Times New Roman" w:cs="Times New Roman"/>
        </w:rPr>
        <w:t xml:space="preserve">provider-level </w:t>
      </w:r>
      <w:r w:rsidRPr="00675060">
        <w:rPr>
          <w:rFonts w:ascii="Times New Roman" w:hAnsi="Times New Roman" w:cs="Times New Roman"/>
        </w:rPr>
        <w:t xml:space="preserve">destinations metrics are used and </w:t>
      </w:r>
      <w:r w:rsidR="00A41F38" w:rsidRPr="00675060">
        <w:rPr>
          <w:rFonts w:ascii="Times New Roman" w:hAnsi="Times New Roman" w:cs="Times New Roman"/>
        </w:rPr>
        <w:t>the growing interest in such data</w:t>
      </w:r>
      <w:r w:rsidRPr="00675060">
        <w:rPr>
          <w:rFonts w:ascii="Times New Roman" w:hAnsi="Times New Roman" w:cs="Times New Roman"/>
        </w:rPr>
        <w:t>. The QS Graduate Employability Rankings</w:t>
      </w:r>
      <w:r w:rsidR="00A41F38" w:rsidRPr="00675060">
        <w:rPr>
          <w:rFonts w:ascii="Times New Roman" w:hAnsi="Times New Roman" w:cs="Times New Roman"/>
        </w:rPr>
        <w:t xml:space="preserve"> began as a pilot in 2015/16 and </w:t>
      </w:r>
      <w:r w:rsidR="00127610" w:rsidRPr="00675060">
        <w:rPr>
          <w:rFonts w:ascii="Times New Roman" w:hAnsi="Times New Roman" w:cs="Times New Roman"/>
        </w:rPr>
        <w:t>rank</w:t>
      </w:r>
      <w:r w:rsidR="000014CA">
        <w:rPr>
          <w:rFonts w:ascii="Times New Roman" w:hAnsi="Times New Roman" w:cs="Times New Roman"/>
        </w:rPr>
        <w:t>ed</w:t>
      </w:r>
      <w:r w:rsidRPr="00675060">
        <w:rPr>
          <w:rFonts w:ascii="Times New Roman" w:hAnsi="Times New Roman" w:cs="Times New Roman"/>
        </w:rPr>
        <w:t xml:space="preserve"> around 500 universities </w:t>
      </w:r>
      <w:r w:rsidR="00127610" w:rsidRPr="00675060">
        <w:rPr>
          <w:rFonts w:ascii="Times New Roman" w:hAnsi="Times New Roman" w:cs="Times New Roman"/>
        </w:rPr>
        <w:t xml:space="preserve">in 2018/19 </w:t>
      </w:r>
      <w:r w:rsidRPr="00675060">
        <w:rPr>
          <w:rFonts w:ascii="Times New Roman" w:hAnsi="Times New Roman" w:cs="Times New Roman"/>
        </w:rPr>
        <w:t>based on five factors</w:t>
      </w:r>
      <w:r w:rsidR="000014CA" w:rsidRPr="00675060">
        <w:rPr>
          <w:rFonts w:ascii="Times New Roman" w:hAnsi="Times New Roman" w:cs="Times New Roman"/>
        </w:rPr>
        <w:t xml:space="preserve"> (QS, 2018)</w:t>
      </w:r>
      <w:r w:rsidRPr="00675060">
        <w:rPr>
          <w:rFonts w:ascii="Times New Roman" w:hAnsi="Times New Roman" w:cs="Times New Roman"/>
        </w:rPr>
        <w:t>: “employer reputation” survey</w:t>
      </w:r>
      <w:r w:rsidR="000014CA">
        <w:rPr>
          <w:rFonts w:ascii="Times New Roman" w:hAnsi="Times New Roman" w:cs="Times New Roman"/>
        </w:rPr>
        <w:t>ing</w:t>
      </w:r>
      <w:r w:rsidRPr="00675060">
        <w:rPr>
          <w:rFonts w:ascii="Times New Roman" w:hAnsi="Times New Roman" w:cs="Times New Roman"/>
        </w:rPr>
        <w:t xml:space="preserve"> about 40,000 employers about the employability of graduates from different providers (30%)</w:t>
      </w:r>
      <w:r w:rsidR="000014CA">
        <w:rPr>
          <w:rFonts w:ascii="Times New Roman" w:hAnsi="Times New Roman" w:cs="Times New Roman"/>
        </w:rPr>
        <w:t>;</w:t>
      </w:r>
      <w:r w:rsidRPr="00675060">
        <w:rPr>
          <w:rFonts w:ascii="Times New Roman" w:hAnsi="Times New Roman" w:cs="Times New Roman"/>
        </w:rPr>
        <w:t xml:space="preserve"> “alumni outcomes” identifying the </w:t>
      </w:r>
      <w:r w:rsidR="00F07D14" w:rsidRPr="00675060">
        <w:rPr>
          <w:rFonts w:ascii="Times New Roman" w:hAnsi="Times New Roman" w:cs="Times New Roman"/>
        </w:rPr>
        <w:t>former university</w:t>
      </w:r>
      <w:r w:rsidRPr="00675060">
        <w:rPr>
          <w:rFonts w:ascii="Times New Roman" w:hAnsi="Times New Roman" w:cs="Times New Roman"/>
        </w:rPr>
        <w:t xml:space="preserve"> of some 30,0000 individuals listed in various </w:t>
      </w:r>
      <w:r w:rsidR="00127610" w:rsidRPr="00675060">
        <w:rPr>
          <w:rFonts w:ascii="Times New Roman" w:hAnsi="Times New Roman" w:cs="Times New Roman"/>
        </w:rPr>
        <w:t xml:space="preserve">third-party </w:t>
      </w:r>
      <w:r w:rsidRPr="00675060">
        <w:rPr>
          <w:rFonts w:ascii="Times New Roman" w:hAnsi="Times New Roman" w:cs="Times New Roman"/>
        </w:rPr>
        <w:t>success rankings (25%)</w:t>
      </w:r>
      <w:r w:rsidR="000014CA">
        <w:rPr>
          <w:rFonts w:ascii="Times New Roman" w:hAnsi="Times New Roman" w:cs="Times New Roman"/>
        </w:rPr>
        <w:t>;</w:t>
      </w:r>
      <w:r w:rsidRPr="00675060">
        <w:rPr>
          <w:rFonts w:ascii="Times New Roman" w:hAnsi="Times New Roman" w:cs="Times New Roman"/>
        </w:rPr>
        <w:t xml:space="preserve"> </w:t>
      </w:r>
      <w:r w:rsidR="000014CA">
        <w:rPr>
          <w:rFonts w:ascii="Times New Roman" w:hAnsi="Times New Roman" w:cs="Times New Roman"/>
        </w:rPr>
        <w:t>“</w:t>
      </w:r>
      <w:r w:rsidRPr="00675060">
        <w:rPr>
          <w:rFonts w:ascii="Times New Roman" w:hAnsi="Times New Roman" w:cs="Times New Roman"/>
        </w:rPr>
        <w:t>employer partnerships</w:t>
      </w:r>
      <w:r w:rsidR="000014CA">
        <w:rPr>
          <w:rFonts w:ascii="Times New Roman" w:hAnsi="Times New Roman" w:cs="Times New Roman"/>
        </w:rPr>
        <w:t>”</w:t>
      </w:r>
      <w:r w:rsidRPr="00675060">
        <w:rPr>
          <w:rFonts w:ascii="Times New Roman" w:hAnsi="Times New Roman" w:cs="Times New Roman"/>
        </w:rPr>
        <w:t xml:space="preserve"> based on jointly published research and work-placement partnerships (25%)</w:t>
      </w:r>
      <w:r w:rsidR="000014CA">
        <w:rPr>
          <w:rFonts w:ascii="Times New Roman" w:hAnsi="Times New Roman" w:cs="Times New Roman"/>
        </w:rPr>
        <w:t>;</w:t>
      </w:r>
      <w:r w:rsidRPr="00675060">
        <w:rPr>
          <w:rFonts w:ascii="Times New Roman" w:hAnsi="Times New Roman" w:cs="Times New Roman"/>
        </w:rPr>
        <w:t xml:space="preserve"> </w:t>
      </w:r>
      <w:r w:rsidR="000014CA">
        <w:rPr>
          <w:rFonts w:ascii="Times New Roman" w:hAnsi="Times New Roman" w:cs="Times New Roman"/>
        </w:rPr>
        <w:t>“</w:t>
      </w:r>
      <w:r w:rsidRPr="00675060">
        <w:rPr>
          <w:rFonts w:ascii="Times New Roman" w:hAnsi="Times New Roman" w:cs="Times New Roman"/>
        </w:rPr>
        <w:t>employer/student connections</w:t>
      </w:r>
      <w:r w:rsidR="000014CA">
        <w:rPr>
          <w:rFonts w:ascii="Times New Roman" w:hAnsi="Times New Roman" w:cs="Times New Roman"/>
        </w:rPr>
        <w:t>”</w:t>
      </w:r>
      <w:r w:rsidRPr="00675060">
        <w:rPr>
          <w:rFonts w:ascii="Times New Roman" w:hAnsi="Times New Roman" w:cs="Times New Roman"/>
        </w:rPr>
        <w:t xml:space="preserve"> based on the number of individual employers actively present on university’s campus over the previous 12 months (10%)</w:t>
      </w:r>
      <w:r w:rsidR="000014CA">
        <w:rPr>
          <w:rFonts w:ascii="Times New Roman" w:hAnsi="Times New Roman" w:cs="Times New Roman"/>
        </w:rPr>
        <w:t>;</w:t>
      </w:r>
      <w:r w:rsidRPr="00675060">
        <w:rPr>
          <w:rFonts w:ascii="Times New Roman" w:hAnsi="Times New Roman" w:cs="Times New Roman"/>
        </w:rPr>
        <w:t xml:space="preserve"> and </w:t>
      </w:r>
      <w:r w:rsidR="000014CA">
        <w:rPr>
          <w:rFonts w:ascii="Times New Roman" w:hAnsi="Times New Roman" w:cs="Times New Roman"/>
        </w:rPr>
        <w:t>“</w:t>
      </w:r>
      <w:r w:rsidRPr="00675060">
        <w:rPr>
          <w:rFonts w:ascii="Times New Roman" w:hAnsi="Times New Roman" w:cs="Times New Roman"/>
        </w:rPr>
        <w:t>graduate employment rate</w:t>
      </w:r>
      <w:r w:rsidR="000014CA">
        <w:rPr>
          <w:rFonts w:ascii="Times New Roman" w:hAnsi="Times New Roman" w:cs="Times New Roman"/>
        </w:rPr>
        <w:t>”</w:t>
      </w:r>
      <w:r w:rsidRPr="00675060">
        <w:rPr>
          <w:rFonts w:ascii="Times New Roman" w:hAnsi="Times New Roman" w:cs="Times New Roman"/>
        </w:rPr>
        <w:t xml:space="preserve"> within 12 months of graduation, normalised against each country’s average (10%). Most of these metrics are time intensive to research, relying on bespoke surveys or provider-by-provider research.</w:t>
      </w:r>
      <w:r w:rsidR="00A41F38" w:rsidRPr="00675060">
        <w:rPr>
          <w:rFonts w:ascii="Times New Roman" w:hAnsi="Times New Roman" w:cs="Times New Roman"/>
        </w:rPr>
        <w:t xml:space="preserve"> Times Higher Education has also started exploring global employability rankings, partnering with </w:t>
      </w:r>
      <w:r w:rsidR="004045DB" w:rsidRPr="00675060">
        <w:rPr>
          <w:rFonts w:ascii="Times New Roman" w:hAnsi="Times New Roman" w:cs="Times New Roman"/>
        </w:rPr>
        <w:t xml:space="preserve">an </w:t>
      </w:r>
      <w:r w:rsidR="00A41F38" w:rsidRPr="00675060">
        <w:rPr>
          <w:rFonts w:ascii="Times New Roman" w:hAnsi="Times New Roman" w:cs="Times New Roman"/>
        </w:rPr>
        <w:t>HR consultancy</w:t>
      </w:r>
      <w:r w:rsidR="004045DB" w:rsidRPr="00675060">
        <w:rPr>
          <w:rFonts w:ascii="Times New Roman" w:hAnsi="Times New Roman" w:cs="Times New Roman"/>
        </w:rPr>
        <w:t xml:space="preserve"> </w:t>
      </w:r>
      <w:r w:rsidR="00A41F38" w:rsidRPr="00675060">
        <w:rPr>
          <w:rFonts w:ascii="Times New Roman" w:hAnsi="Times New Roman" w:cs="Times New Roman"/>
        </w:rPr>
        <w:t xml:space="preserve">to survey recruiters </w:t>
      </w:r>
      <w:r w:rsidR="000014CA">
        <w:rPr>
          <w:rFonts w:ascii="Times New Roman" w:hAnsi="Times New Roman" w:cs="Times New Roman"/>
        </w:rPr>
        <w:t xml:space="preserve">and </w:t>
      </w:r>
      <w:r w:rsidR="00127610" w:rsidRPr="00675060">
        <w:rPr>
          <w:rFonts w:ascii="Times New Roman" w:hAnsi="Times New Roman" w:cs="Times New Roman"/>
        </w:rPr>
        <w:t xml:space="preserve">ranking </w:t>
      </w:r>
      <w:r w:rsidR="00A41F38" w:rsidRPr="00675060">
        <w:rPr>
          <w:rFonts w:ascii="Times New Roman" w:hAnsi="Times New Roman" w:cs="Times New Roman"/>
        </w:rPr>
        <w:t>about 250 universities from 41 different countries</w:t>
      </w:r>
      <w:r w:rsidR="001A4328" w:rsidRPr="00675060">
        <w:rPr>
          <w:rFonts w:ascii="Times New Roman" w:hAnsi="Times New Roman" w:cs="Times New Roman"/>
        </w:rPr>
        <w:t xml:space="preserve"> (“Best Universities,” 2018)</w:t>
      </w:r>
      <w:r w:rsidR="00A41F38" w:rsidRPr="00675060">
        <w:rPr>
          <w:rFonts w:ascii="Times New Roman" w:hAnsi="Times New Roman" w:cs="Times New Roman"/>
        </w:rPr>
        <w:t>.</w:t>
      </w:r>
    </w:p>
    <w:p w14:paraId="49B17454" w14:textId="1031B854" w:rsidR="00BD3AC5" w:rsidRPr="00675060" w:rsidRDefault="002A729D" w:rsidP="002A729D">
      <w:pPr>
        <w:spacing w:line="480" w:lineRule="auto"/>
        <w:rPr>
          <w:rFonts w:ascii="Times New Roman" w:hAnsi="Times New Roman" w:cs="Times New Roman"/>
        </w:rPr>
      </w:pPr>
      <w:r w:rsidRPr="00675060">
        <w:rPr>
          <w:rFonts w:ascii="Times New Roman" w:hAnsi="Times New Roman" w:cs="Times New Roman"/>
        </w:rPr>
        <w:tab/>
        <w:t xml:space="preserve">Within individual countries, richer </w:t>
      </w:r>
      <w:r w:rsidR="00127610" w:rsidRPr="00675060">
        <w:rPr>
          <w:rFonts w:ascii="Times New Roman" w:hAnsi="Times New Roman" w:cs="Times New Roman"/>
        </w:rPr>
        <w:t xml:space="preserve">provider-level </w:t>
      </w:r>
      <w:r w:rsidRPr="00675060">
        <w:rPr>
          <w:rFonts w:ascii="Times New Roman" w:hAnsi="Times New Roman" w:cs="Times New Roman"/>
        </w:rPr>
        <w:t xml:space="preserve">destinations metrics are typically available. </w:t>
      </w:r>
      <w:r w:rsidR="00C11A4D" w:rsidRPr="00675060">
        <w:rPr>
          <w:rFonts w:ascii="Times New Roman" w:hAnsi="Times New Roman" w:cs="Times New Roman"/>
        </w:rPr>
        <w:t xml:space="preserve">Zippia, in the United States, has ranked universities based on their job placement ratings </w:t>
      </w:r>
      <w:r w:rsidR="00127610" w:rsidRPr="00675060">
        <w:rPr>
          <w:rFonts w:ascii="Times New Roman" w:hAnsi="Times New Roman" w:cs="Times New Roman"/>
        </w:rPr>
        <w:t xml:space="preserve">and salaries </w:t>
      </w:r>
      <w:r w:rsidR="00C11A4D" w:rsidRPr="00675060">
        <w:rPr>
          <w:rFonts w:ascii="Times New Roman" w:hAnsi="Times New Roman" w:cs="Times New Roman"/>
        </w:rPr>
        <w:t xml:space="preserve">for students 10 years after graduation, drawing on the Integrated Postsecondary Education Data System (IPEDS), a collection of surveys from the National Center for Education Statistics that any </w:t>
      </w:r>
      <w:r w:rsidR="00C11A4D" w:rsidRPr="00675060">
        <w:rPr>
          <w:rFonts w:ascii="Times New Roman" w:hAnsi="Times New Roman" w:cs="Times New Roman"/>
        </w:rPr>
        <w:lastRenderedPageBreak/>
        <w:t xml:space="preserve">college or university </w:t>
      </w:r>
      <w:r w:rsidR="00CF554D" w:rsidRPr="00675060">
        <w:rPr>
          <w:rFonts w:ascii="Times New Roman" w:hAnsi="Times New Roman" w:cs="Times New Roman"/>
        </w:rPr>
        <w:t>with</w:t>
      </w:r>
      <w:r w:rsidR="00C11A4D" w:rsidRPr="00675060">
        <w:rPr>
          <w:rFonts w:ascii="Times New Roman" w:hAnsi="Times New Roman" w:cs="Times New Roman"/>
        </w:rPr>
        <w:t xml:space="preserve"> federal funding has to complete</w:t>
      </w:r>
      <w:r w:rsidR="005C7883" w:rsidRPr="00675060">
        <w:rPr>
          <w:rFonts w:ascii="Times New Roman" w:hAnsi="Times New Roman" w:cs="Times New Roman"/>
        </w:rPr>
        <w:t xml:space="preserve"> (Brown, 2018)</w:t>
      </w:r>
      <w:r w:rsidR="00C11A4D" w:rsidRPr="00675060">
        <w:rPr>
          <w:rFonts w:ascii="Times New Roman" w:hAnsi="Times New Roman" w:cs="Times New Roman"/>
        </w:rPr>
        <w:t>.</w:t>
      </w:r>
      <w:r w:rsidR="00CF554D" w:rsidRPr="00675060">
        <w:rPr>
          <w:rFonts w:ascii="Times New Roman" w:hAnsi="Times New Roman" w:cs="Times New Roman"/>
        </w:rPr>
        <w:t xml:space="preserve"> In Australia, the </w:t>
      </w:r>
      <w:r w:rsidRPr="00675060">
        <w:rPr>
          <w:rFonts w:ascii="Times New Roman" w:hAnsi="Times New Roman" w:cs="Times New Roman"/>
        </w:rPr>
        <w:t xml:space="preserve">Graduate Outcomes Survey provides insight on employment rate and salary by individual provider </w:t>
      </w:r>
      <w:r w:rsidR="000627CE" w:rsidRPr="00675060">
        <w:rPr>
          <w:rFonts w:ascii="Times New Roman" w:hAnsi="Times New Roman" w:cs="Times New Roman"/>
        </w:rPr>
        <w:t>or</w:t>
      </w:r>
      <w:r w:rsidRPr="00675060">
        <w:rPr>
          <w:rFonts w:ascii="Times New Roman" w:hAnsi="Times New Roman" w:cs="Times New Roman"/>
        </w:rPr>
        <w:t xml:space="preserve"> by course</w:t>
      </w:r>
      <w:r w:rsidR="005C7883" w:rsidRPr="00675060">
        <w:rPr>
          <w:rFonts w:ascii="Times New Roman" w:hAnsi="Times New Roman" w:cs="Times New Roman"/>
        </w:rPr>
        <w:t xml:space="preserve"> (Singhal, 2019)</w:t>
      </w:r>
      <w:r w:rsidRPr="00675060">
        <w:rPr>
          <w:rFonts w:ascii="Times New Roman" w:hAnsi="Times New Roman" w:cs="Times New Roman"/>
        </w:rPr>
        <w:t>.</w:t>
      </w:r>
      <w:r w:rsidR="00CF554D" w:rsidRPr="00675060">
        <w:rPr>
          <w:rFonts w:ascii="Times New Roman" w:hAnsi="Times New Roman" w:cs="Times New Roman"/>
        </w:rPr>
        <w:t xml:space="preserve"> </w:t>
      </w:r>
      <w:r w:rsidR="00A41F38" w:rsidRPr="00675060">
        <w:rPr>
          <w:rFonts w:ascii="Times New Roman" w:hAnsi="Times New Roman" w:cs="Times New Roman"/>
        </w:rPr>
        <w:t>Similar data on UK universities ha</w:t>
      </w:r>
      <w:r w:rsidR="009553D5" w:rsidRPr="00675060">
        <w:rPr>
          <w:rFonts w:ascii="Times New Roman" w:hAnsi="Times New Roman" w:cs="Times New Roman"/>
        </w:rPr>
        <w:t>ve</w:t>
      </w:r>
      <w:r w:rsidR="00A41F38" w:rsidRPr="00675060">
        <w:rPr>
          <w:rFonts w:ascii="Times New Roman" w:hAnsi="Times New Roman" w:cs="Times New Roman"/>
        </w:rPr>
        <w:t xml:space="preserve"> historically been gathered by HESA and purchased by newspapers to create league tables via the Destinations of Leavers from Higher Education</w:t>
      </w:r>
      <w:r w:rsidR="003B427B" w:rsidRPr="00675060">
        <w:rPr>
          <w:rFonts w:ascii="Times New Roman" w:hAnsi="Times New Roman" w:cs="Times New Roman"/>
        </w:rPr>
        <w:t xml:space="preserve"> (DLHE)</w:t>
      </w:r>
      <w:r w:rsidR="00A41F38" w:rsidRPr="00675060">
        <w:rPr>
          <w:rFonts w:ascii="Times New Roman" w:hAnsi="Times New Roman" w:cs="Times New Roman"/>
        </w:rPr>
        <w:t xml:space="preserve"> surveys, replaced in 2018 by the Graduate Outcomes Survey. </w:t>
      </w:r>
    </w:p>
    <w:p w14:paraId="37C88D03" w14:textId="434DD39D" w:rsidR="00A41F38" w:rsidRPr="00675060" w:rsidRDefault="00A41F38" w:rsidP="00BD3AC5">
      <w:pPr>
        <w:spacing w:line="480" w:lineRule="auto"/>
        <w:ind w:firstLine="720"/>
        <w:rPr>
          <w:rFonts w:ascii="Times New Roman" w:hAnsi="Times New Roman" w:cs="Times New Roman"/>
        </w:rPr>
      </w:pPr>
      <w:r w:rsidRPr="00675060">
        <w:rPr>
          <w:rFonts w:ascii="Times New Roman" w:hAnsi="Times New Roman" w:cs="Times New Roman"/>
        </w:rPr>
        <w:t>A direction of travel towards greater information availability can also be identified within countries. For instance, the Longitudinal Educational Outcomes</w:t>
      </w:r>
      <w:r w:rsidR="003B1FB4" w:rsidRPr="00675060">
        <w:rPr>
          <w:rFonts w:ascii="Times New Roman" w:hAnsi="Times New Roman" w:cs="Times New Roman"/>
        </w:rPr>
        <w:t xml:space="preserve"> (LEO)</w:t>
      </w:r>
      <w:r w:rsidRPr="00675060">
        <w:rPr>
          <w:rFonts w:ascii="Times New Roman" w:hAnsi="Times New Roman" w:cs="Times New Roman"/>
        </w:rPr>
        <w:t xml:space="preserve"> study was formally launched in 2015 in England to link together administrative datasets from different government departments, incorporating state welfare claims, education activity, and income/taxation data. </w:t>
      </w:r>
      <w:r w:rsidR="002E0EED" w:rsidRPr="00675060">
        <w:rPr>
          <w:rFonts w:ascii="Times New Roman" w:hAnsi="Times New Roman" w:cs="Times New Roman"/>
        </w:rPr>
        <w:t>The dataset has been used to analyse the wage benefits of higher education controlling for earlier educational outcomes (</w:t>
      </w:r>
      <w:r w:rsidR="000627CE" w:rsidRPr="00675060">
        <w:rPr>
          <w:rFonts w:ascii="Times New Roman" w:hAnsi="Times New Roman" w:cs="Times New Roman"/>
        </w:rPr>
        <w:t>DfE, 2019</w:t>
      </w:r>
      <w:r w:rsidR="002E0EED" w:rsidRPr="00675060">
        <w:rPr>
          <w:rFonts w:ascii="Times New Roman" w:hAnsi="Times New Roman" w:cs="Times New Roman"/>
        </w:rPr>
        <w:t xml:space="preserve">). </w:t>
      </w:r>
      <w:r w:rsidR="000A1E09" w:rsidRPr="00675060">
        <w:rPr>
          <w:rFonts w:ascii="Times New Roman" w:hAnsi="Times New Roman" w:cs="Times New Roman"/>
        </w:rPr>
        <w:t xml:space="preserve">Canada is also exploring the creation of </w:t>
      </w:r>
      <w:r w:rsidR="00CF554D" w:rsidRPr="00675060">
        <w:rPr>
          <w:rFonts w:ascii="Times New Roman" w:hAnsi="Times New Roman" w:cs="Times New Roman"/>
        </w:rPr>
        <w:t xml:space="preserve">similar </w:t>
      </w:r>
      <w:r w:rsidR="000A1E09" w:rsidRPr="00675060">
        <w:rPr>
          <w:rFonts w:ascii="Times New Roman" w:hAnsi="Times New Roman" w:cs="Times New Roman"/>
        </w:rPr>
        <w:t>linked, longitudinal administrative datasets, under the banner of the Education Longitudinal Linkage Platform (Finni</w:t>
      </w:r>
      <w:r w:rsidR="00FC2AAF">
        <w:rPr>
          <w:rFonts w:ascii="Times New Roman" w:hAnsi="Times New Roman" w:cs="Times New Roman"/>
        </w:rPr>
        <w:t>e, Mueller, &amp; Sweetman</w:t>
      </w:r>
      <w:r w:rsidR="000A1E09" w:rsidRPr="00675060">
        <w:rPr>
          <w:rFonts w:ascii="Times New Roman" w:hAnsi="Times New Roman" w:cs="Times New Roman"/>
        </w:rPr>
        <w:t xml:space="preserve">, 2018). </w:t>
      </w:r>
      <w:r w:rsidRPr="00675060">
        <w:rPr>
          <w:rFonts w:ascii="Times New Roman" w:hAnsi="Times New Roman" w:cs="Times New Roman"/>
        </w:rPr>
        <w:t xml:space="preserve">Since 2017, all tertiary providers in New Zealand have </w:t>
      </w:r>
      <w:r w:rsidR="00CF554D" w:rsidRPr="00675060">
        <w:rPr>
          <w:rFonts w:ascii="Times New Roman" w:hAnsi="Times New Roman" w:cs="Times New Roman"/>
        </w:rPr>
        <w:t xml:space="preserve">had </w:t>
      </w:r>
      <w:r w:rsidRPr="00675060">
        <w:rPr>
          <w:rFonts w:ascii="Times New Roman" w:hAnsi="Times New Roman" w:cs="Times New Roman"/>
        </w:rPr>
        <w:t>to publish information about the employment status and earnings of their graduates</w:t>
      </w:r>
      <w:r w:rsidR="00CF554D" w:rsidRPr="00675060">
        <w:rPr>
          <w:rFonts w:ascii="Times New Roman" w:hAnsi="Times New Roman" w:cs="Times New Roman"/>
        </w:rPr>
        <w:t>, as part of a broader move</w:t>
      </w:r>
      <w:r w:rsidR="003B1FB4" w:rsidRPr="00675060">
        <w:rPr>
          <w:rFonts w:ascii="Times New Roman" w:hAnsi="Times New Roman" w:cs="Times New Roman"/>
        </w:rPr>
        <w:t xml:space="preserve"> under the umbrella of “integrated data infrastructure”</w:t>
      </w:r>
      <w:r w:rsidR="00675060" w:rsidRPr="00675060">
        <w:rPr>
          <w:rFonts w:ascii="Times New Roman" w:hAnsi="Times New Roman" w:cs="Times New Roman"/>
        </w:rPr>
        <w:t xml:space="preserve"> (“Integrated Data Infrastructure,” 2018)</w:t>
      </w:r>
      <w:r w:rsidR="003B1FB4" w:rsidRPr="00675060">
        <w:rPr>
          <w:rFonts w:ascii="Times New Roman" w:hAnsi="Times New Roman" w:cs="Times New Roman"/>
        </w:rPr>
        <w:t xml:space="preserve"> to create richer, longer-term datasets (Earle, 2018; Smyth, 2018)</w:t>
      </w:r>
      <w:r w:rsidRPr="00675060">
        <w:rPr>
          <w:rFonts w:ascii="Times New Roman" w:hAnsi="Times New Roman" w:cs="Times New Roman"/>
        </w:rPr>
        <w:t>.</w:t>
      </w:r>
      <w:r w:rsidR="002E0EED" w:rsidRPr="00675060">
        <w:rPr>
          <w:rFonts w:ascii="Times New Roman" w:hAnsi="Times New Roman" w:cs="Times New Roman"/>
        </w:rPr>
        <w:t xml:space="preserve"> </w:t>
      </w:r>
      <w:r w:rsidR="000014CA">
        <w:rPr>
          <w:rFonts w:ascii="Times New Roman" w:hAnsi="Times New Roman" w:cs="Times New Roman"/>
        </w:rPr>
        <w:t xml:space="preserve">In </w:t>
      </w:r>
      <w:r w:rsidR="002E0EED" w:rsidRPr="00675060">
        <w:rPr>
          <w:rFonts w:ascii="Times New Roman" w:hAnsi="Times New Roman" w:cs="Times New Roman"/>
        </w:rPr>
        <w:t xml:space="preserve">2011 the US </w:t>
      </w:r>
      <w:r w:rsidR="000014CA">
        <w:rPr>
          <w:rFonts w:ascii="Times New Roman" w:hAnsi="Times New Roman" w:cs="Times New Roman"/>
        </w:rPr>
        <w:t xml:space="preserve">began </w:t>
      </w:r>
      <w:r w:rsidR="00BD3AC5" w:rsidRPr="00675060">
        <w:rPr>
          <w:rFonts w:ascii="Times New Roman" w:hAnsi="Times New Roman" w:cs="Times New Roman"/>
        </w:rPr>
        <w:t>us</w:t>
      </w:r>
      <w:r w:rsidR="000014CA">
        <w:rPr>
          <w:rFonts w:ascii="Times New Roman" w:hAnsi="Times New Roman" w:cs="Times New Roman"/>
        </w:rPr>
        <w:t>ing</w:t>
      </w:r>
      <w:r w:rsidR="00BD3AC5" w:rsidRPr="00675060">
        <w:rPr>
          <w:rFonts w:ascii="Times New Roman" w:hAnsi="Times New Roman" w:cs="Times New Roman"/>
        </w:rPr>
        <w:t xml:space="preserve"> “gainful employment metrics” to present and analyse institution-level data on factors like debt levels, expected earnings after graduation, completion rates, program cost, accreditation, and consistency with licensure requirements</w:t>
      </w:r>
      <w:r w:rsidR="00675060" w:rsidRPr="00675060">
        <w:rPr>
          <w:rFonts w:ascii="Times New Roman" w:hAnsi="Times New Roman" w:cs="Times New Roman"/>
        </w:rPr>
        <w:t xml:space="preserve"> (U.S. Department for Education, 2018</w:t>
      </w:r>
      <w:r w:rsidR="00BD3AC5" w:rsidRPr="00675060">
        <w:rPr>
          <w:rFonts w:ascii="Times New Roman" w:hAnsi="Times New Roman" w:cs="Times New Roman"/>
        </w:rPr>
        <w:t xml:space="preserve">). </w:t>
      </w:r>
    </w:p>
    <w:p w14:paraId="23D68568" w14:textId="28EA83C5" w:rsidR="002A729D" w:rsidRPr="00675060" w:rsidRDefault="002A729D" w:rsidP="00A41F38">
      <w:pPr>
        <w:spacing w:line="480" w:lineRule="auto"/>
        <w:ind w:firstLine="720"/>
        <w:rPr>
          <w:rFonts w:ascii="Times New Roman" w:hAnsi="Times New Roman" w:cs="Times New Roman"/>
        </w:rPr>
      </w:pPr>
      <w:r w:rsidRPr="00675060">
        <w:rPr>
          <w:rFonts w:ascii="Times New Roman" w:hAnsi="Times New Roman" w:cs="Times New Roman"/>
        </w:rPr>
        <w:t xml:space="preserve">Some countries, such as Germany, have provider-level data but prefer not to make it </w:t>
      </w:r>
      <w:r w:rsidR="00E945BB" w:rsidRPr="00675060">
        <w:rPr>
          <w:rFonts w:ascii="Times New Roman" w:hAnsi="Times New Roman" w:cs="Times New Roman"/>
        </w:rPr>
        <w:t xml:space="preserve">publicly </w:t>
      </w:r>
      <w:r w:rsidRPr="00675060">
        <w:rPr>
          <w:rFonts w:ascii="Times New Roman" w:hAnsi="Times New Roman" w:cs="Times New Roman"/>
        </w:rPr>
        <w:t xml:space="preserve">available (Schomburg, 2016). However, other countries that have traditionally been reluctant to support public-facing league tables, such as France, have begun to use post-graduation earnings data for higher education </w:t>
      </w:r>
      <w:r w:rsidR="00A41F38" w:rsidRPr="00675060">
        <w:rPr>
          <w:rFonts w:ascii="Times New Roman" w:hAnsi="Times New Roman" w:cs="Times New Roman"/>
        </w:rPr>
        <w:t>rankings</w:t>
      </w:r>
      <w:r w:rsidR="00124B4D">
        <w:rPr>
          <w:rFonts w:ascii="Times New Roman" w:hAnsi="Times New Roman" w:cs="Times New Roman"/>
        </w:rPr>
        <w:t>.</w:t>
      </w:r>
      <w:r w:rsidR="00A41F38" w:rsidRPr="00675060">
        <w:rPr>
          <w:rFonts w:ascii="Times New Roman" w:hAnsi="Times New Roman" w:cs="Times New Roman"/>
        </w:rPr>
        <w:t xml:space="preserve"> </w:t>
      </w:r>
      <w:r w:rsidR="00124B4D">
        <w:rPr>
          <w:rFonts w:ascii="Times New Roman" w:hAnsi="Times New Roman" w:cs="Times New Roman"/>
        </w:rPr>
        <w:t>I</w:t>
      </w:r>
      <w:r w:rsidR="00A41F38" w:rsidRPr="00675060">
        <w:rPr>
          <w:rFonts w:ascii="Times New Roman" w:hAnsi="Times New Roman" w:cs="Times New Roman"/>
        </w:rPr>
        <w:t xml:space="preserve">nformation requests </w:t>
      </w:r>
      <w:r w:rsidR="00CC0EA2" w:rsidRPr="00675060">
        <w:rPr>
          <w:rFonts w:ascii="Times New Roman" w:hAnsi="Times New Roman" w:cs="Times New Roman"/>
        </w:rPr>
        <w:t>permissible</w:t>
      </w:r>
      <w:r w:rsidR="00A41F38" w:rsidRPr="00675060">
        <w:rPr>
          <w:rFonts w:ascii="Times New Roman" w:hAnsi="Times New Roman" w:cs="Times New Roman"/>
        </w:rPr>
        <w:t xml:space="preserve"> under the 2007 Universities’ Freedoms and Responsibilities Law made it possible to rank French universities by </w:t>
      </w:r>
      <w:r w:rsidR="00E945BB" w:rsidRPr="00675060">
        <w:rPr>
          <w:rFonts w:ascii="Times New Roman" w:hAnsi="Times New Roman" w:cs="Times New Roman"/>
        </w:rPr>
        <w:t xml:space="preserve">postgraduate </w:t>
      </w:r>
      <w:r w:rsidR="00A41F38" w:rsidRPr="00675060">
        <w:rPr>
          <w:rFonts w:ascii="Times New Roman" w:hAnsi="Times New Roman" w:cs="Times New Roman"/>
        </w:rPr>
        <w:t>students</w:t>
      </w:r>
      <w:r w:rsidR="00E945BB" w:rsidRPr="00675060">
        <w:rPr>
          <w:rFonts w:ascii="Times New Roman" w:hAnsi="Times New Roman" w:cs="Times New Roman"/>
        </w:rPr>
        <w:t>’</w:t>
      </w:r>
      <w:r w:rsidR="00A41F38" w:rsidRPr="00675060">
        <w:rPr>
          <w:rFonts w:ascii="Times New Roman" w:hAnsi="Times New Roman" w:cs="Times New Roman"/>
        </w:rPr>
        <w:t xml:space="preserve"> employment rates </w:t>
      </w:r>
      <w:r w:rsidR="00E945BB" w:rsidRPr="00675060">
        <w:rPr>
          <w:rFonts w:ascii="Times New Roman" w:hAnsi="Times New Roman" w:cs="Times New Roman"/>
        </w:rPr>
        <w:t xml:space="preserve">for the first time </w:t>
      </w:r>
      <w:r w:rsidR="00A41F38" w:rsidRPr="00675060">
        <w:rPr>
          <w:rFonts w:ascii="Times New Roman" w:hAnsi="Times New Roman" w:cs="Times New Roman"/>
        </w:rPr>
        <w:t>in 2010</w:t>
      </w:r>
      <w:r w:rsidR="005C7883" w:rsidRPr="00675060">
        <w:rPr>
          <w:rFonts w:ascii="Times New Roman" w:hAnsi="Times New Roman" w:cs="Times New Roman"/>
        </w:rPr>
        <w:t xml:space="preserve"> (Marshall, 2010)</w:t>
      </w:r>
      <w:r w:rsidR="00A41F38" w:rsidRPr="00675060">
        <w:rPr>
          <w:rFonts w:ascii="Times New Roman" w:hAnsi="Times New Roman" w:cs="Times New Roman"/>
        </w:rPr>
        <w:t>.</w:t>
      </w:r>
    </w:p>
    <w:p w14:paraId="77C8AE09" w14:textId="77777777" w:rsidR="00490A14" w:rsidRPr="00675060" w:rsidRDefault="00490A14" w:rsidP="00BA34EA">
      <w:pPr>
        <w:spacing w:line="480" w:lineRule="auto"/>
        <w:rPr>
          <w:rFonts w:ascii="Times New Roman" w:hAnsi="Times New Roman" w:cs="Times New Roman"/>
        </w:rPr>
      </w:pPr>
    </w:p>
    <w:p w14:paraId="68C98581" w14:textId="77777777" w:rsidR="00F07614" w:rsidRPr="00675060" w:rsidRDefault="00F07614" w:rsidP="00F07614">
      <w:pPr>
        <w:spacing w:line="480" w:lineRule="auto"/>
        <w:rPr>
          <w:rFonts w:ascii="Times New Roman" w:hAnsi="Times New Roman" w:cs="Times New Roman"/>
          <w:b/>
          <w:sz w:val="28"/>
        </w:rPr>
      </w:pPr>
      <w:r w:rsidRPr="00675060">
        <w:rPr>
          <w:rFonts w:ascii="Times New Roman" w:hAnsi="Times New Roman" w:cs="Times New Roman"/>
          <w:b/>
          <w:sz w:val="28"/>
        </w:rPr>
        <w:lastRenderedPageBreak/>
        <w:t>Existing critique</w:t>
      </w:r>
      <w:r w:rsidR="00E945BB" w:rsidRPr="00675060">
        <w:rPr>
          <w:rFonts w:ascii="Times New Roman" w:hAnsi="Times New Roman" w:cs="Times New Roman"/>
          <w:b/>
          <w:sz w:val="28"/>
        </w:rPr>
        <w:t xml:space="preserve"> summary</w:t>
      </w:r>
    </w:p>
    <w:p w14:paraId="161397FB" w14:textId="77777777" w:rsidR="00F07614" w:rsidRPr="00675060" w:rsidRDefault="00F07614" w:rsidP="00F07614">
      <w:pPr>
        <w:spacing w:line="480" w:lineRule="auto"/>
        <w:rPr>
          <w:rFonts w:ascii="Times New Roman" w:hAnsi="Times New Roman" w:cs="Times New Roman"/>
          <w:i/>
          <w:sz w:val="24"/>
        </w:rPr>
      </w:pPr>
      <w:r w:rsidRPr="00675060">
        <w:rPr>
          <w:rFonts w:ascii="Times New Roman" w:hAnsi="Times New Roman" w:cs="Times New Roman"/>
          <w:i/>
          <w:sz w:val="24"/>
        </w:rPr>
        <w:t>Concerns over New Public Management and neoliberalism</w:t>
      </w:r>
    </w:p>
    <w:p w14:paraId="08BA442A" w14:textId="407627DB" w:rsidR="00F07614" w:rsidRPr="00675060" w:rsidRDefault="00F07614" w:rsidP="008F28CA">
      <w:pPr>
        <w:spacing w:line="480" w:lineRule="auto"/>
        <w:rPr>
          <w:rFonts w:ascii="Times New Roman" w:hAnsi="Times New Roman" w:cs="Times New Roman"/>
        </w:rPr>
      </w:pPr>
      <w:r w:rsidRPr="00675060">
        <w:rPr>
          <w:rFonts w:ascii="Times New Roman" w:hAnsi="Times New Roman" w:cs="Times New Roman"/>
        </w:rPr>
        <w:t xml:space="preserve">Even assuming good and appropriate data are available, there are general concerns over </w:t>
      </w:r>
      <w:r w:rsidR="008F28CA" w:rsidRPr="00675060">
        <w:rPr>
          <w:rFonts w:ascii="Times New Roman" w:hAnsi="Times New Roman" w:cs="Times New Roman"/>
        </w:rPr>
        <w:t xml:space="preserve">the metrics-driven approach of New Public Management and the common </w:t>
      </w:r>
      <w:r w:rsidR="00CC0EA2" w:rsidRPr="00675060">
        <w:rPr>
          <w:rFonts w:ascii="Times New Roman" w:hAnsi="Times New Roman" w:cs="Times New Roman"/>
        </w:rPr>
        <w:t>concomitant</w:t>
      </w:r>
      <w:r w:rsidR="008F28CA" w:rsidRPr="00675060">
        <w:rPr>
          <w:rFonts w:ascii="Times New Roman" w:hAnsi="Times New Roman" w:cs="Times New Roman"/>
        </w:rPr>
        <w:t xml:space="preserve"> neoliberal assumptions about individual accountability</w:t>
      </w:r>
      <w:r w:rsidR="00D83765" w:rsidRPr="00675060">
        <w:rPr>
          <w:rFonts w:ascii="Times New Roman" w:hAnsi="Times New Roman" w:cs="Times New Roman"/>
        </w:rPr>
        <w:t xml:space="preserve">, while acknowledging that </w:t>
      </w:r>
      <w:r w:rsidR="00E945BB" w:rsidRPr="00675060">
        <w:rPr>
          <w:rFonts w:ascii="Times New Roman" w:hAnsi="Times New Roman" w:cs="Times New Roman"/>
        </w:rPr>
        <w:t xml:space="preserve">definitions and </w:t>
      </w:r>
      <w:r w:rsidR="00D83765" w:rsidRPr="00675060">
        <w:rPr>
          <w:rFonts w:ascii="Times New Roman" w:hAnsi="Times New Roman" w:cs="Times New Roman"/>
        </w:rPr>
        <w:t>implementation</w:t>
      </w:r>
      <w:r w:rsidR="00E945BB" w:rsidRPr="00675060">
        <w:rPr>
          <w:rFonts w:ascii="Times New Roman" w:hAnsi="Times New Roman" w:cs="Times New Roman"/>
        </w:rPr>
        <w:t>s of this broad philosophy</w:t>
      </w:r>
      <w:r w:rsidR="00D83765" w:rsidRPr="00675060">
        <w:rPr>
          <w:rFonts w:ascii="Times New Roman" w:hAnsi="Times New Roman" w:cs="Times New Roman"/>
        </w:rPr>
        <w:t xml:space="preserve"> varies widely</w:t>
      </w:r>
      <w:r w:rsidR="00BF489D" w:rsidRPr="00675060">
        <w:rPr>
          <w:rFonts w:ascii="Times New Roman" w:hAnsi="Times New Roman" w:cs="Times New Roman"/>
        </w:rPr>
        <w:t xml:space="preserve"> (Dent, Chandler &amp; Barry, 2004)</w:t>
      </w:r>
      <w:r w:rsidR="008F28CA" w:rsidRPr="00675060">
        <w:rPr>
          <w:rFonts w:ascii="Times New Roman" w:hAnsi="Times New Roman" w:cs="Times New Roman"/>
        </w:rPr>
        <w:t>.</w:t>
      </w:r>
      <w:r w:rsidR="00413C4E" w:rsidRPr="00675060">
        <w:rPr>
          <w:rFonts w:ascii="Times New Roman" w:hAnsi="Times New Roman" w:cs="Times New Roman"/>
        </w:rPr>
        <w:t xml:space="preserve"> </w:t>
      </w:r>
      <w:r w:rsidR="00E945BB" w:rsidRPr="00675060">
        <w:rPr>
          <w:rFonts w:ascii="Times New Roman" w:hAnsi="Times New Roman" w:cs="Times New Roman"/>
        </w:rPr>
        <w:t>C</w:t>
      </w:r>
      <w:r w:rsidR="00326181" w:rsidRPr="00675060">
        <w:rPr>
          <w:rFonts w:ascii="Times New Roman" w:hAnsi="Times New Roman" w:cs="Times New Roman"/>
        </w:rPr>
        <w:t>oncerns include de</w:t>
      </w:r>
      <w:r w:rsidR="009553D5" w:rsidRPr="00675060">
        <w:rPr>
          <w:rFonts w:ascii="Times New Roman" w:hAnsi="Times New Roman" w:cs="Times New Roman"/>
        </w:rPr>
        <w:t>-</w:t>
      </w:r>
      <w:r w:rsidR="00326181" w:rsidRPr="00675060">
        <w:rPr>
          <w:rFonts w:ascii="Times New Roman" w:hAnsi="Times New Roman" w:cs="Times New Roman"/>
        </w:rPr>
        <w:t>professionalisation of staff, de</w:t>
      </w:r>
      <w:r w:rsidR="009553D5" w:rsidRPr="00675060">
        <w:rPr>
          <w:rFonts w:ascii="Times New Roman" w:hAnsi="Times New Roman" w:cs="Times New Roman"/>
        </w:rPr>
        <w:t>-</w:t>
      </w:r>
      <w:r w:rsidR="00326181" w:rsidRPr="00675060">
        <w:rPr>
          <w:rFonts w:ascii="Times New Roman" w:hAnsi="Times New Roman" w:cs="Times New Roman"/>
        </w:rPr>
        <w:t xml:space="preserve">personalisation of beneficiaries, reduced workforce morale, and ultimately the limited ability of quasi-marketisation, accountability metrics and audits to deliver sustained improvements. The elevation of financial metrics above other metrics </w:t>
      </w:r>
      <w:r w:rsidR="00732123" w:rsidRPr="00675060">
        <w:rPr>
          <w:rFonts w:ascii="Times New Roman" w:hAnsi="Times New Roman" w:cs="Times New Roman"/>
        </w:rPr>
        <w:t xml:space="preserve">also raises </w:t>
      </w:r>
      <w:r w:rsidR="00326181" w:rsidRPr="00675060">
        <w:rPr>
          <w:rFonts w:ascii="Times New Roman" w:hAnsi="Times New Roman" w:cs="Times New Roman"/>
        </w:rPr>
        <w:t xml:space="preserve">concern </w:t>
      </w:r>
      <w:r w:rsidR="00732123" w:rsidRPr="00675060">
        <w:rPr>
          <w:rFonts w:ascii="Times New Roman" w:hAnsi="Times New Roman" w:cs="Times New Roman"/>
        </w:rPr>
        <w:t xml:space="preserve">about the </w:t>
      </w:r>
      <w:r w:rsidR="00E945BB" w:rsidRPr="00675060">
        <w:rPr>
          <w:rFonts w:ascii="Times New Roman" w:hAnsi="Times New Roman" w:cs="Times New Roman"/>
        </w:rPr>
        <w:t>relative de-</w:t>
      </w:r>
      <w:r w:rsidR="00732123" w:rsidRPr="00675060">
        <w:rPr>
          <w:rFonts w:ascii="Times New Roman" w:hAnsi="Times New Roman" w:cs="Times New Roman"/>
        </w:rPr>
        <w:t xml:space="preserve">prioritisation of </w:t>
      </w:r>
      <w:r w:rsidR="00326181" w:rsidRPr="00675060">
        <w:rPr>
          <w:rFonts w:ascii="Times New Roman" w:hAnsi="Times New Roman" w:cs="Times New Roman"/>
        </w:rPr>
        <w:t>wellbeing and sustainability</w:t>
      </w:r>
      <w:r w:rsidR="007F2F68" w:rsidRPr="00675060">
        <w:rPr>
          <w:rFonts w:ascii="Times New Roman" w:hAnsi="Times New Roman" w:cs="Times New Roman"/>
        </w:rPr>
        <w:t xml:space="preserve">, as well as social and cultural value more </w:t>
      </w:r>
      <w:r w:rsidR="001E2198" w:rsidRPr="00675060">
        <w:rPr>
          <w:rFonts w:ascii="Times New Roman" w:hAnsi="Times New Roman" w:cs="Times New Roman"/>
        </w:rPr>
        <w:t>generally (</w:t>
      </w:r>
      <w:r w:rsidR="00457E75" w:rsidRPr="00675060">
        <w:rPr>
          <w:rFonts w:ascii="Times New Roman" w:hAnsi="Times New Roman" w:cs="Times New Roman"/>
        </w:rPr>
        <w:t>Glennister, 1991</w:t>
      </w:r>
      <w:r w:rsidR="004B516A" w:rsidRPr="00675060">
        <w:rPr>
          <w:rFonts w:ascii="Times New Roman" w:hAnsi="Times New Roman" w:cs="Times New Roman"/>
        </w:rPr>
        <w:t>;</w:t>
      </w:r>
      <w:r w:rsidR="00CF554D" w:rsidRPr="00675060">
        <w:rPr>
          <w:rFonts w:ascii="Times New Roman" w:hAnsi="Times New Roman" w:cs="Times New Roman"/>
        </w:rPr>
        <w:t xml:space="preserve"> </w:t>
      </w:r>
      <w:r w:rsidR="00326181" w:rsidRPr="00675060">
        <w:rPr>
          <w:rFonts w:ascii="Times New Roman" w:hAnsi="Times New Roman" w:cs="Times New Roman"/>
        </w:rPr>
        <w:t xml:space="preserve">Dynan </w:t>
      </w:r>
      <w:r w:rsidR="00124B4D">
        <w:rPr>
          <w:rFonts w:ascii="Times New Roman" w:hAnsi="Times New Roman" w:cs="Times New Roman"/>
        </w:rPr>
        <w:t>&amp;</w:t>
      </w:r>
      <w:r w:rsidR="00326181" w:rsidRPr="00675060">
        <w:rPr>
          <w:rFonts w:ascii="Times New Roman" w:hAnsi="Times New Roman" w:cs="Times New Roman"/>
        </w:rPr>
        <w:t xml:space="preserve"> Sheiner, 2018). </w:t>
      </w:r>
    </w:p>
    <w:p w14:paraId="6CD5B9C6" w14:textId="0F08E09C" w:rsidR="00D83765" w:rsidRPr="00675060" w:rsidRDefault="008F28CA" w:rsidP="00F07614">
      <w:pPr>
        <w:spacing w:line="480" w:lineRule="auto"/>
        <w:rPr>
          <w:rFonts w:ascii="Times New Roman" w:hAnsi="Times New Roman" w:cs="Times New Roman"/>
        </w:rPr>
      </w:pPr>
      <w:r w:rsidRPr="00675060">
        <w:rPr>
          <w:rFonts w:ascii="Times New Roman" w:hAnsi="Times New Roman" w:cs="Times New Roman"/>
        </w:rPr>
        <w:tab/>
        <w:t xml:space="preserve">Within the context of education destination metrics, there are worrying assumptions concerning </w:t>
      </w:r>
      <w:r w:rsidR="00F07614" w:rsidRPr="00675060">
        <w:rPr>
          <w:rFonts w:ascii="Times New Roman" w:hAnsi="Times New Roman" w:cs="Times New Roman"/>
        </w:rPr>
        <w:t xml:space="preserve">the nature of the problem “to be fixed”, about whose “fault it is”, and how to “change people” given perspectives on how they (should) make decisions </w:t>
      </w:r>
      <w:r w:rsidRPr="00675060">
        <w:rPr>
          <w:rFonts w:ascii="Times New Roman" w:hAnsi="Times New Roman" w:cs="Times New Roman"/>
        </w:rPr>
        <w:t>and</w:t>
      </w:r>
      <w:r w:rsidR="00F07614" w:rsidRPr="00675060">
        <w:rPr>
          <w:rFonts w:ascii="Times New Roman" w:hAnsi="Times New Roman" w:cs="Times New Roman"/>
        </w:rPr>
        <w:t xml:space="preserve"> engage with information</w:t>
      </w:r>
      <w:r w:rsidR="00D83765" w:rsidRPr="00675060">
        <w:rPr>
          <w:rFonts w:ascii="Times New Roman" w:hAnsi="Times New Roman" w:cs="Times New Roman"/>
        </w:rPr>
        <w:t xml:space="preserve">, such as described </w:t>
      </w:r>
      <w:r w:rsidR="00CF554D" w:rsidRPr="00675060">
        <w:rPr>
          <w:rFonts w:ascii="Times New Roman" w:hAnsi="Times New Roman" w:cs="Times New Roman"/>
        </w:rPr>
        <w:t xml:space="preserve">in </w:t>
      </w:r>
      <w:r w:rsidR="00D83765" w:rsidRPr="00675060">
        <w:rPr>
          <w:rFonts w:ascii="Times New Roman" w:hAnsi="Times New Roman" w:cs="Times New Roman"/>
        </w:rPr>
        <w:t>the context of careers education (Hughes, Meijers, &amp; Kuijpers, 2015)</w:t>
      </w:r>
      <w:r w:rsidRPr="00675060">
        <w:rPr>
          <w:rFonts w:ascii="Times New Roman" w:hAnsi="Times New Roman" w:cs="Times New Roman"/>
        </w:rPr>
        <w:t>.</w:t>
      </w:r>
      <w:r w:rsidR="00D83765" w:rsidRPr="00675060">
        <w:rPr>
          <w:rFonts w:ascii="Times New Roman" w:hAnsi="Times New Roman" w:cs="Times New Roman"/>
        </w:rPr>
        <w:t xml:space="preserve"> For instance, youth unemployment is </w:t>
      </w:r>
      <w:r w:rsidR="00CC0EA2" w:rsidRPr="00675060">
        <w:rPr>
          <w:rFonts w:ascii="Times New Roman" w:hAnsi="Times New Roman" w:cs="Times New Roman"/>
        </w:rPr>
        <w:t>pathologized</w:t>
      </w:r>
      <w:r w:rsidR="00D83765" w:rsidRPr="00675060">
        <w:rPr>
          <w:rFonts w:ascii="Times New Roman" w:hAnsi="Times New Roman" w:cs="Times New Roman"/>
        </w:rPr>
        <w:t xml:space="preserve"> in all circumstances – no-one should ever be unemployed</w:t>
      </w:r>
      <w:r w:rsidR="00CF554D" w:rsidRPr="00675060">
        <w:rPr>
          <w:rFonts w:ascii="Times New Roman" w:hAnsi="Times New Roman" w:cs="Times New Roman"/>
        </w:rPr>
        <w:t xml:space="preserve"> – and r</w:t>
      </w:r>
      <w:r w:rsidR="00D83765" w:rsidRPr="00675060">
        <w:rPr>
          <w:rFonts w:ascii="Times New Roman" w:hAnsi="Times New Roman" w:cs="Times New Roman"/>
        </w:rPr>
        <w:t xml:space="preserve">esolutions lie in the young people themselves and their </w:t>
      </w:r>
      <w:r w:rsidR="00CF554D" w:rsidRPr="00675060">
        <w:rPr>
          <w:rFonts w:ascii="Times New Roman" w:hAnsi="Times New Roman" w:cs="Times New Roman"/>
        </w:rPr>
        <w:t xml:space="preserve">most recent </w:t>
      </w:r>
      <w:r w:rsidR="00D83765" w:rsidRPr="00675060">
        <w:rPr>
          <w:rFonts w:ascii="Times New Roman" w:hAnsi="Times New Roman" w:cs="Times New Roman"/>
        </w:rPr>
        <w:t xml:space="preserve">education provider (Avila </w:t>
      </w:r>
      <w:r w:rsidR="00CF554D" w:rsidRPr="00675060">
        <w:rPr>
          <w:rFonts w:ascii="Times New Roman" w:hAnsi="Times New Roman" w:cs="Times New Roman"/>
        </w:rPr>
        <w:t>&amp;</w:t>
      </w:r>
      <w:r w:rsidR="00D83765" w:rsidRPr="00675060">
        <w:rPr>
          <w:rFonts w:ascii="Times New Roman" w:hAnsi="Times New Roman" w:cs="Times New Roman"/>
        </w:rPr>
        <w:t xml:space="preserve"> Rose, 2019; Simmons </w:t>
      </w:r>
      <w:r w:rsidR="00CF554D" w:rsidRPr="00675060">
        <w:rPr>
          <w:rFonts w:ascii="Times New Roman" w:hAnsi="Times New Roman" w:cs="Times New Roman"/>
        </w:rPr>
        <w:t xml:space="preserve">&amp; </w:t>
      </w:r>
      <w:r w:rsidR="00D83765" w:rsidRPr="00675060">
        <w:rPr>
          <w:rFonts w:ascii="Times New Roman" w:hAnsi="Times New Roman" w:cs="Times New Roman"/>
        </w:rPr>
        <w:t>Thompson, 2013; Tomlinson, 2012</w:t>
      </w:r>
      <w:r w:rsidR="004B516A" w:rsidRPr="00675060">
        <w:rPr>
          <w:rFonts w:ascii="Times New Roman" w:hAnsi="Times New Roman" w:cs="Times New Roman"/>
        </w:rPr>
        <w:t>;</w:t>
      </w:r>
      <w:r w:rsidR="000B314E" w:rsidRPr="00675060">
        <w:rPr>
          <w:rFonts w:ascii="Times New Roman" w:hAnsi="Times New Roman" w:cs="Times New Roman"/>
        </w:rPr>
        <w:t xml:space="preserve"> Maguire </w:t>
      </w:r>
      <w:r w:rsidR="00CF554D" w:rsidRPr="00675060">
        <w:rPr>
          <w:rFonts w:ascii="Times New Roman" w:hAnsi="Times New Roman" w:cs="Times New Roman"/>
        </w:rPr>
        <w:t xml:space="preserve">&amp; </w:t>
      </w:r>
      <w:r w:rsidR="000B314E" w:rsidRPr="00675060">
        <w:rPr>
          <w:rFonts w:ascii="Times New Roman" w:hAnsi="Times New Roman" w:cs="Times New Roman"/>
        </w:rPr>
        <w:t>Huddleston, 2009</w:t>
      </w:r>
      <w:r w:rsidR="00D83765" w:rsidRPr="00675060">
        <w:rPr>
          <w:rFonts w:ascii="Times New Roman" w:hAnsi="Times New Roman" w:cs="Times New Roman"/>
        </w:rPr>
        <w:t>).</w:t>
      </w:r>
    </w:p>
    <w:p w14:paraId="5E44DBD0" w14:textId="6B143C63" w:rsidR="000627CE" w:rsidRPr="00675060" w:rsidRDefault="00124B4D" w:rsidP="000627CE">
      <w:pPr>
        <w:spacing w:line="480" w:lineRule="auto"/>
        <w:ind w:firstLine="720"/>
        <w:rPr>
          <w:rFonts w:ascii="Times New Roman" w:hAnsi="Times New Roman" w:cs="Times New Roman"/>
        </w:rPr>
      </w:pPr>
      <w:r>
        <w:rPr>
          <w:rFonts w:ascii="Times New Roman" w:hAnsi="Times New Roman" w:cs="Times New Roman"/>
        </w:rPr>
        <w:t>This approach to policy often envisages directing e</w:t>
      </w:r>
      <w:r w:rsidR="00D83765" w:rsidRPr="00675060">
        <w:rPr>
          <w:rFonts w:ascii="Times New Roman" w:hAnsi="Times New Roman" w:cs="Times New Roman"/>
        </w:rPr>
        <w:t xml:space="preserve">mployment to the </w:t>
      </w:r>
      <w:r>
        <w:rPr>
          <w:rFonts w:ascii="Times New Roman" w:hAnsi="Times New Roman" w:cs="Times New Roman"/>
        </w:rPr>
        <w:t>“</w:t>
      </w:r>
      <w:r w:rsidR="00D83765" w:rsidRPr="00675060">
        <w:rPr>
          <w:rFonts w:ascii="Times New Roman" w:hAnsi="Times New Roman" w:cs="Times New Roman"/>
        </w:rPr>
        <w:t>right</w:t>
      </w:r>
      <w:r>
        <w:rPr>
          <w:rFonts w:ascii="Times New Roman" w:hAnsi="Times New Roman" w:cs="Times New Roman"/>
        </w:rPr>
        <w:t>”</w:t>
      </w:r>
      <w:r w:rsidR="00D83765" w:rsidRPr="00675060">
        <w:rPr>
          <w:rFonts w:ascii="Times New Roman" w:hAnsi="Times New Roman" w:cs="Times New Roman"/>
        </w:rPr>
        <w:t xml:space="preserve"> strategic sectors for a country (BEIS, 2017), but with only very simplistic understanding of how individuals make labour market decisions. One underlying assumption is that by providing high-quality education pathways, promoting information about sector skills shortages and</w:t>
      </w:r>
      <w:r w:rsidR="00326181" w:rsidRPr="00675060">
        <w:rPr>
          <w:rFonts w:ascii="Times New Roman" w:hAnsi="Times New Roman" w:cs="Times New Roman"/>
        </w:rPr>
        <w:t xml:space="preserve"> sharing</w:t>
      </w:r>
      <w:r w:rsidR="00D83765" w:rsidRPr="00675060">
        <w:rPr>
          <w:rFonts w:ascii="Times New Roman" w:hAnsi="Times New Roman" w:cs="Times New Roman"/>
        </w:rPr>
        <w:t xml:space="preserve"> insights about wage returns, that </w:t>
      </w:r>
      <w:r w:rsidR="00326181" w:rsidRPr="00675060">
        <w:rPr>
          <w:rFonts w:ascii="Times New Roman" w:hAnsi="Times New Roman" w:cs="Times New Roman"/>
        </w:rPr>
        <w:t xml:space="preserve">adults will retrain and young people will choose routes that support employment in those sectors. </w:t>
      </w:r>
      <w:r>
        <w:rPr>
          <w:rFonts w:ascii="Times New Roman" w:hAnsi="Times New Roman" w:cs="Times New Roman"/>
        </w:rPr>
        <w:t>However, d</w:t>
      </w:r>
      <w:r w:rsidR="00326181" w:rsidRPr="00675060">
        <w:rPr>
          <w:rFonts w:ascii="Times New Roman" w:hAnsi="Times New Roman" w:cs="Times New Roman"/>
        </w:rPr>
        <w:t xml:space="preserve">ecades of efforts in the STEM </w:t>
      </w:r>
      <w:r w:rsidR="00732123" w:rsidRPr="00675060">
        <w:rPr>
          <w:rFonts w:ascii="Times New Roman" w:hAnsi="Times New Roman" w:cs="Times New Roman"/>
        </w:rPr>
        <w:t xml:space="preserve">sector (science, technology, engineering and maths) </w:t>
      </w:r>
      <w:r w:rsidR="00326181" w:rsidRPr="00675060">
        <w:rPr>
          <w:rFonts w:ascii="Times New Roman" w:hAnsi="Times New Roman" w:cs="Times New Roman"/>
        </w:rPr>
        <w:t xml:space="preserve">have paid little dividend in the UK, in part due to a lack of coherence of approach and an insufficiently robust theory of change (NAO, 2018). </w:t>
      </w:r>
      <w:r w:rsidR="00732123" w:rsidRPr="00675060">
        <w:rPr>
          <w:rFonts w:ascii="Times New Roman" w:hAnsi="Times New Roman" w:cs="Times New Roman"/>
        </w:rPr>
        <w:t>By contrast</w:t>
      </w:r>
      <w:r w:rsidR="00D83765" w:rsidRPr="00675060">
        <w:rPr>
          <w:rFonts w:ascii="Times New Roman" w:hAnsi="Times New Roman" w:cs="Times New Roman"/>
        </w:rPr>
        <w:t xml:space="preserve">, behavioural economic and sociologically derived </w:t>
      </w:r>
      <w:r w:rsidR="00D83765" w:rsidRPr="00675060">
        <w:rPr>
          <w:rFonts w:ascii="Times New Roman" w:hAnsi="Times New Roman" w:cs="Times New Roman"/>
        </w:rPr>
        <w:lastRenderedPageBreak/>
        <w:t xml:space="preserve">discussions of career choice suggest that there is far more to </w:t>
      </w:r>
      <w:r w:rsidR="00732123" w:rsidRPr="00675060">
        <w:rPr>
          <w:rFonts w:ascii="Times New Roman" w:hAnsi="Times New Roman" w:cs="Times New Roman"/>
        </w:rPr>
        <w:t xml:space="preserve">such choices and </w:t>
      </w:r>
      <w:r w:rsidR="00E945BB" w:rsidRPr="00675060">
        <w:rPr>
          <w:rFonts w:ascii="Times New Roman" w:hAnsi="Times New Roman" w:cs="Times New Roman"/>
        </w:rPr>
        <w:t xml:space="preserve">to </w:t>
      </w:r>
      <w:r w:rsidR="00732123" w:rsidRPr="00675060">
        <w:rPr>
          <w:rFonts w:ascii="Times New Roman" w:hAnsi="Times New Roman" w:cs="Times New Roman"/>
        </w:rPr>
        <w:t xml:space="preserve">subsequent </w:t>
      </w:r>
      <w:r w:rsidR="00D83765" w:rsidRPr="00675060">
        <w:rPr>
          <w:rFonts w:ascii="Times New Roman" w:hAnsi="Times New Roman" w:cs="Times New Roman"/>
        </w:rPr>
        <w:t>job satisfaction, well-being and social value than employment status or salary level (Blustein, 2019</w:t>
      </w:r>
      <w:r w:rsidR="00732123" w:rsidRPr="00675060">
        <w:rPr>
          <w:rFonts w:ascii="Times New Roman" w:hAnsi="Times New Roman" w:cs="Times New Roman"/>
        </w:rPr>
        <w:t xml:space="preserve">; </w:t>
      </w:r>
      <w:r w:rsidR="00A24B48" w:rsidRPr="00675060">
        <w:rPr>
          <w:rFonts w:ascii="Times New Roman" w:hAnsi="Times New Roman" w:cs="Times New Roman"/>
        </w:rPr>
        <w:t>Behavioural Insights Team, 2016</w:t>
      </w:r>
      <w:r w:rsidR="00D83765" w:rsidRPr="00675060">
        <w:rPr>
          <w:rFonts w:ascii="Times New Roman" w:hAnsi="Times New Roman" w:cs="Times New Roman"/>
        </w:rPr>
        <w:t>).</w:t>
      </w:r>
      <w:r w:rsidR="00127610" w:rsidRPr="00675060">
        <w:rPr>
          <w:rFonts w:ascii="Times New Roman" w:hAnsi="Times New Roman" w:cs="Times New Roman"/>
        </w:rPr>
        <w:t xml:space="preserve">There appears to be more to the focus on employment and salary than </w:t>
      </w:r>
      <w:r w:rsidR="00E945BB" w:rsidRPr="00675060">
        <w:rPr>
          <w:rFonts w:ascii="Times New Roman" w:hAnsi="Times New Roman" w:cs="Times New Roman"/>
        </w:rPr>
        <w:t xml:space="preserve">simple </w:t>
      </w:r>
      <w:r w:rsidR="00127610" w:rsidRPr="00675060">
        <w:rPr>
          <w:rFonts w:ascii="Times New Roman" w:hAnsi="Times New Roman" w:cs="Times New Roman"/>
        </w:rPr>
        <w:t>data availability</w:t>
      </w:r>
      <w:r w:rsidR="00E945BB" w:rsidRPr="00675060">
        <w:rPr>
          <w:rFonts w:ascii="Times New Roman" w:hAnsi="Times New Roman" w:cs="Times New Roman"/>
        </w:rPr>
        <w:t xml:space="preserve">, although </w:t>
      </w:r>
      <w:r w:rsidR="00CF554D" w:rsidRPr="00675060">
        <w:rPr>
          <w:rFonts w:ascii="Times New Roman" w:hAnsi="Times New Roman" w:cs="Times New Roman"/>
        </w:rPr>
        <w:t>ease of collection is a factor</w:t>
      </w:r>
      <w:r w:rsidR="000627CE" w:rsidRPr="00675060">
        <w:rPr>
          <w:rFonts w:ascii="Times New Roman" w:hAnsi="Times New Roman" w:cs="Times New Roman"/>
        </w:rPr>
        <w:t xml:space="preserve">. In the UK, </w:t>
      </w:r>
      <w:r w:rsidR="00E945BB" w:rsidRPr="00675060">
        <w:rPr>
          <w:rFonts w:ascii="Times New Roman" w:hAnsi="Times New Roman" w:cs="Times New Roman"/>
        </w:rPr>
        <w:t xml:space="preserve">for instance, </w:t>
      </w:r>
      <w:r w:rsidR="000627CE" w:rsidRPr="00675060">
        <w:rPr>
          <w:rFonts w:ascii="Times New Roman" w:hAnsi="Times New Roman" w:cs="Times New Roman"/>
        </w:rPr>
        <w:t xml:space="preserve">the aforementioned </w:t>
      </w:r>
      <w:r>
        <w:rPr>
          <w:rFonts w:ascii="Times New Roman" w:hAnsi="Times New Roman" w:cs="Times New Roman"/>
        </w:rPr>
        <w:t>DLHE</w:t>
      </w:r>
      <w:r w:rsidR="000627CE" w:rsidRPr="00675060">
        <w:rPr>
          <w:rFonts w:ascii="Times New Roman" w:hAnsi="Times New Roman" w:cs="Times New Roman"/>
        </w:rPr>
        <w:t xml:space="preserve"> survey </w:t>
      </w:r>
      <w:r>
        <w:rPr>
          <w:rFonts w:ascii="Times New Roman" w:hAnsi="Times New Roman" w:cs="Times New Roman"/>
        </w:rPr>
        <w:t xml:space="preserve">on university graduates </w:t>
      </w:r>
      <w:r w:rsidR="000627CE" w:rsidRPr="00675060">
        <w:rPr>
          <w:rFonts w:ascii="Times New Roman" w:hAnsi="Times New Roman" w:cs="Times New Roman"/>
        </w:rPr>
        <w:t>contains</w:t>
      </w:r>
      <w:r w:rsidR="00E945BB" w:rsidRPr="00675060">
        <w:rPr>
          <w:rFonts w:ascii="Times New Roman" w:hAnsi="Times New Roman" w:cs="Times New Roman"/>
        </w:rPr>
        <w:t xml:space="preserve"> insights </w:t>
      </w:r>
      <w:r w:rsidR="000627CE" w:rsidRPr="00675060">
        <w:rPr>
          <w:rFonts w:ascii="Times New Roman" w:hAnsi="Times New Roman" w:cs="Times New Roman"/>
        </w:rPr>
        <w:t>on career and life satisfaction, retrospective perspectives on the value of their education, and insights on consistency of role over time; however, the only data used at scale in ranking and evaluating providers ha</w:t>
      </w:r>
      <w:r w:rsidR="00621A39" w:rsidRPr="00675060">
        <w:rPr>
          <w:rFonts w:ascii="Times New Roman" w:hAnsi="Times New Roman" w:cs="Times New Roman"/>
        </w:rPr>
        <w:t>ve</w:t>
      </w:r>
      <w:r w:rsidR="000627CE" w:rsidRPr="00675060">
        <w:rPr>
          <w:rFonts w:ascii="Times New Roman" w:hAnsi="Times New Roman" w:cs="Times New Roman"/>
        </w:rPr>
        <w:t xml:space="preserve"> been data on employment status and salary outcomes.</w:t>
      </w:r>
    </w:p>
    <w:p w14:paraId="12B19035" w14:textId="77777777" w:rsidR="00F07614" w:rsidRPr="00675060" w:rsidRDefault="00F07614" w:rsidP="00F07614">
      <w:pPr>
        <w:spacing w:line="480" w:lineRule="auto"/>
        <w:rPr>
          <w:rFonts w:ascii="Times New Roman" w:hAnsi="Times New Roman" w:cs="Times New Roman"/>
          <w:i/>
          <w:sz w:val="24"/>
        </w:rPr>
      </w:pPr>
    </w:p>
    <w:p w14:paraId="40F60C55" w14:textId="77777777" w:rsidR="00F07614" w:rsidRPr="00675060" w:rsidRDefault="00F07614" w:rsidP="00F07614">
      <w:pPr>
        <w:spacing w:line="480" w:lineRule="auto"/>
        <w:rPr>
          <w:rFonts w:ascii="Times New Roman" w:hAnsi="Times New Roman" w:cs="Times New Roman"/>
          <w:i/>
          <w:sz w:val="24"/>
        </w:rPr>
      </w:pPr>
      <w:r w:rsidRPr="00675060">
        <w:rPr>
          <w:rFonts w:ascii="Times New Roman" w:hAnsi="Times New Roman" w:cs="Times New Roman"/>
          <w:i/>
          <w:sz w:val="24"/>
        </w:rPr>
        <w:t xml:space="preserve">Concerns over tertiary education </w:t>
      </w:r>
      <w:r w:rsidR="00F5500C" w:rsidRPr="00675060">
        <w:rPr>
          <w:rFonts w:ascii="Times New Roman" w:hAnsi="Times New Roman" w:cs="Times New Roman"/>
          <w:i/>
          <w:sz w:val="24"/>
        </w:rPr>
        <w:t xml:space="preserve">destination </w:t>
      </w:r>
      <w:r w:rsidRPr="00675060">
        <w:rPr>
          <w:rFonts w:ascii="Times New Roman" w:hAnsi="Times New Roman" w:cs="Times New Roman"/>
          <w:i/>
          <w:sz w:val="24"/>
        </w:rPr>
        <w:t>metrics</w:t>
      </w:r>
    </w:p>
    <w:p w14:paraId="3A43F2DE" w14:textId="77777777" w:rsidR="0087406A" w:rsidRPr="00675060" w:rsidRDefault="00F5500C" w:rsidP="006251CE">
      <w:pPr>
        <w:spacing w:line="480" w:lineRule="auto"/>
        <w:rPr>
          <w:rFonts w:ascii="Times New Roman" w:hAnsi="Times New Roman" w:cs="Times New Roman"/>
        </w:rPr>
      </w:pPr>
      <w:r w:rsidRPr="00675060">
        <w:rPr>
          <w:rFonts w:ascii="Times New Roman" w:hAnsi="Times New Roman" w:cs="Times New Roman"/>
        </w:rPr>
        <w:t xml:space="preserve">Putting to one side conceptual concerns over </w:t>
      </w:r>
      <w:r w:rsidR="006251CE" w:rsidRPr="00675060">
        <w:rPr>
          <w:rFonts w:ascii="Times New Roman" w:hAnsi="Times New Roman" w:cs="Times New Roman"/>
        </w:rPr>
        <w:t>a metrics-driven approach</w:t>
      </w:r>
      <w:r w:rsidRPr="00675060">
        <w:rPr>
          <w:rFonts w:ascii="Times New Roman" w:hAnsi="Times New Roman" w:cs="Times New Roman"/>
        </w:rPr>
        <w:t xml:space="preserve">, there are concerns over the appropriateness of how destination metrics have been applied and interpreted in </w:t>
      </w:r>
      <w:r w:rsidR="006251CE" w:rsidRPr="00675060">
        <w:rPr>
          <w:rFonts w:ascii="Times New Roman" w:hAnsi="Times New Roman" w:cs="Times New Roman"/>
        </w:rPr>
        <w:t>tertiary education</w:t>
      </w:r>
      <w:r w:rsidR="0087406A" w:rsidRPr="00675060">
        <w:rPr>
          <w:rFonts w:ascii="Times New Roman" w:hAnsi="Times New Roman" w:cs="Times New Roman"/>
        </w:rPr>
        <w:t>, recognising the ambiguity in attempting to define and contribute to a broader concept like employability</w:t>
      </w:r>
      <w:r w:rsidR="000A47B8" w:rsidRPr="00675060">
        <w:rPr>
          <w:rFonts w:ascii="Times New Roman" w:hAnsi="Times New Roman" w:cs="Times New Roman"/>
        </w:rPr>
        <w:t xml:space="preserve"> and employability skills</w:t>
      </w:r>
      <w:r w:rsidR="0087406A" w:rsidRPr="00675060">
        <w:rPr>
          <w:rFonts w:ascii="Times New Roman" w:hAnsi="Times New Roman" w:cs="Times New Roman"/>
        </w:rPr>
        <w:t xml:space="preserve"> (</w:t>
      </w:r>
      <w:r w:rsidR="000A47B8" w:rsidRPr="00675060">
        <w:rPr>
          <w:rFonts w:ascii="Times New Roman" w:hAnsi="Times New Roman" w:cs="Times New Roman"/>
        </w:rPr>
        <w:t xml:space="preserve">Cranmer, 2006; </w:t>
      </w:r>
      <w:r w:rsidR="0087406A" w:rsidRPr="00675060">
        <w:rPr>
          <w:rFonts w:ascii="Times New Roman" w:hAnsi="Times New Roman" w:cs="Times New Roman"/>
        </w:rPr>
        <w:t>Cole &amp; Hallett, 2019</w:t>
      </w:r>
      <w:r w:rsidR="00621A39" w:rsidRPr="00675060">
        <w:rPr>
          <w:rFonts w:ascii="Times New Roman" w:hAnsi="Times New Roman" w:cs="Times New Roman"/>
        </w:rPr>
        <w:t>; Priest, 2019</w:t>
      </w:r>
      <w:r w:rsidR="0087406A" w:rsidRPr="00675060">
        <w:rPr>
          <w:rFonts w:ascii="Times New Roman" w:hAnsi="Times New Roman" w:cs="Times New Roman"/>
        </w:rPr>
        <w:t>).</w:t>
      </w:r>
    </w:p>
    <w:p w14:paraId="5BC90E41" w14:textId="716E3F06" w:rsidR="000A47B8" w:rsidRPr="00675060" w:rsidRDefault="00CF123B" w:rsidP="006251CE">
      <w:pPr>
        <w:spacing w:line="480" w:lineRule="auto"/>
        <w:rPr>
          <w:rFonts w:ascii="Times New Roman" w:hAnsi="Times New Roman" w:cs="Times New Roman"/>
        </w:rPr>
      </w:pPr>
      <w:r w:rsidRPr="00675060">
        <w:rPr>
          <w:rFonts w:ascii="Times New Roman" w:hAnsi="Times New Roman" w:cs="Times New Roman"/>
        </w:rPr>
        <w:tab/>
        <w:t>Universities UK (2019) collated a list of limitations of the major employment and salary dataset that has recently become available in the UK, the LEO study</w:t>
      </w:r>
      <w:r w:rsidR="00124B4D">
        <w:rPr>
          <w:rFonts w:ascii="Times New Roman" w:hAnsi="Times New Roman" w:cs="Times New Roman"/>
        </w:rPr>
        <w:t xml:space="preserve"> mentioned above</w:t>
      </w:r>
      <w:r w:rsidR="007F2F68" w:rsidRPr="00675060">
        <w:rPr>
          <w:rFonts w:ascii="Times New Roman" w:hAnsi="Times New Roman" w:cs="Times New Roman"/>
        </w:rPr>
        <w:t>, many of which apply to general efforts to analyse tertiary education destination metrics</w:t>
      </w:r>
      <w:r w:rsidRPr="00675060">
        <w:rPr>
          <w:rFonts w:ascii="Times New Roman" w:hAnsi="Times New Roman" w:cs="Times New Roman"/>
        </w:rPr>
        <w:t xml:space="preserve">. </w:t>
      </w:r>
      <w:r w:rsidR="007F2F68" w:rsidRPr="00675060">
        <w:rPr>
          <w:rFonts w:ascii="Times New Roman" w:hAnsi="Times New Roman" w:cs="Times New Roman"/>
        </w:rPr>
        <w:t>The</w:t>
      </w:r>
      <w:r w:rsidR="0087406A" w:rsidRPr="00675060">
        <w:rPr>
          <w:rFonts w:ascii="Times New Roman" w:hAnsi="Times New Roman" w:cs="Times New Roman"/>
        </w:rPr>
        <w:t>ir concerns are primarily the use of such data to inform policy on how universities are funded and on implicit university rankings, with</w:t>
      </w:r>
      <w:r w:rsidR="007F2F68" w:rsidRPr="00675060">
        <w:rPr>
          <w:rFonts w:ascii="Times New Roman" w:hAnsi="Times New Roman" w:cs="Times New Roman"/>
        </w:rPr>
        <w:t xml:space="preserve"> issues includ</w:t>
      </w:r>
      <w:r w:rsidR="0087406A" w:rsidRPr="00675060">
        <w:rPr>
          <w:rFonts w:ascii="Times New Roman" w:hAnsi="Times New Roman" w:cs="Times New Roman"/>
        </w:rPr>
        <w:t>ing</w:t>
      </w:r>
      <w:r w:rsidR="009A4065" w:rsidRPr="00675060">
        <w:rPr>
          <w:rFonts w:ascii="Times New Roman" w:hAnsi="Times New Roman" w:cs="Times New Roman"/>
        </w:rPr>
        <w:t xml:space="preserve"> </w:t>
      </w:r>
      <w:r w:rsidR="0087406A" w:rsidRPr="00675060">
        <w:rPr>
          <w:rFonts w:ascii="Times New Roman" w:hAnsi="Times New Roman" w:cs="Times New Roman"/>
        </w:rPr>
        <w:t xml:space="preserve">the lack of </w:t>
      </w:r>
      <w:r w:rsidR="007F2F68" w:rsidRPr="00675060">
        <w:rPr>
          <w:rFonts w:ascii="Times New Roman" w:hAnsi="Times New Roman" w:cs="Times New Roman"/>
        </w:rPr>
        <w:t>ability to identify per-hour earnings or the distinction between part-time and full-time employment</w:t>
      </w:r>
      <w:r w:rsidR="0087406A" w:rsidRPr="00675060">
        <w:rPr>
          <w:rFonts w:ascii="Times New Roman" w:hAnsi="Times New Roman" w:cs="Times New Roman"/>
        </w:rPr>
        <w:t>; the</w:t>
      </w:r>
      <w:r w:rsidR="009A4065" w:rsidRPr="00675060">
        <w:rPr>
          <w:rFonts w:ascii="Times New Roman" w:hAnsi="Times New Roman" w:cs="Times New Roman"/>
        </w:rPr>
        <w:t xml:space="preserve"> </w:t>
      </w:r>
      <w:r w:rsidR="0087406A" w:rsidRPr="00675060">
        <w:rPr>
          <w:rFonts w:ascii="Times New Roman" w:hAnsi="Times New Roman" w:cs="Times New Roman"/>
        </w:rPr>
        <w:t>lack of</w:t>
      </w:r>
      <w:r w:rsidR="007F2F68" w:rsidRPr="00675060">
        <w:rPr>
          <w:rFonts w:ascii="Times New Roman" w:hAnsi="Times New Roman" w:cs="Times New Roman"/>
        </w:rPr>
        <w:t xml:space="preserve"> ability to adjust earnings for the cost of living in a different regions</w:t>
      </w:r>
      <w:r w:rsidR="0087406A" w:rsidRPr="00675060">
        <w:rPr>
          <w:rFonts w:ascii="Times New Roman" w:hAnsi="Times New Roman" w:cs="Times New Roman"/>
        </w:rPr>
        <w:t>;</w:t>
      </w:r>
      <w:r w:rsidR="009A4065" w:rsidRPr="00675060">
        <w:rPr>
          <w:rFonts w:ascii="Times New Roman" w:hAnsi="Times New Roman" w:cs="Times New Roman"/>
        </w:rPr>
        <w:t xml:space="preserve"> </w:t>
      </w:r>
      <w:r w:rsidR="0087406A" w:rsidRPr="00675060">
        <w:rPr>
          <w:rFonts w:ascii="Times New Roman" w:hAnsi="Times New Roman" w:cs="Times New Roman"/>
        </w:rPr>
        <w:t xml:space="preserve">the </w:t>
      </w:r>
      <w:r w:rsidR="007F2F68" w:rsidRPr="00675060">
        <w:rPr>
          <w:rFonts w:ascii="Times New Roman" w:hAnsi="Times New Roman" w:cs="Times New Roman"/>
        </w:rPr>
        <w:t>multi-year lags in data becoming available</w:t>
      </w:r>
      <w:r w:rsidR="0087406A" w:rsidRPr="00675060">
        <w:rPr>
          <w:rFonts w:ascii="Times New Roman" w:hAnsi="Times New Roman" w:cs="Times New Roman"/>
        </w:rPr>
        <w:t>;</w:t>
      </w:r>
      <w:r w:rsidR="009A4065" w:rsidRPr="00675060">
        <w:rPr>
          <w:rFonts w:ascii="Times New Roman" w:hAnsi="Times New Roman" w:cs="Times New Roman"/>
        </w:rPr>
        <w:t xml:space="preserve"> </w:t>
      </w:r>
      <w:r w:rsidR="0087406A" w:rsidRPr="00675060">
        <w:rPr>
          <w:rFonts w:ascii="Times New Roman" w:hAnsi="Times New Roman" w:cs="Times New Roman"/>
        </w:rPr>
        <w:t xml:space="preserve">the fact that employment/wage outcomes are highly driven by a variable, external labour market; </w:t>
      </w:r>
      <w:r w:rsidR="007F2F68" w:rsidRPr="00675060">
        <w:rPr>
          <w:rFonts w:ascii="Times New Roman" w:hAnsi="Times New Roman" w:cs="Times New Roman"/>
        </w:rPr>
        <w:t xml:space="preserve">and certain </w:t>
      </w:r>
      <w:r w:rsidR="0087406A" w:rsidRPr="00675060">
        <w:rPr>
          <w:rFonts w:ascii="Times New Roman" w:hAnsi="Times New Roman" w:cs="Times New Roman"/>
        </w:rPr>
        <w:t xml:space="preserve">sample </w:t>
      </w:r>
      <w:r w:rsidR="007F2F68" w:rsidRPr="00675060">
        <w:rPr>
          <w:rFonts w:ascii="Times New Roman" w:hAnsi="Times New Roman" w:cs="Times New Roman"/>
        </w:rPr>
        <w:t>exclusions, such as those who leave the labour force or emigrate.</w:t>
      </w:r>
      <w:r w:rsidR="00413C4E" w:rsidRPr="00675060">
        <w:rPr>
          <w:rFonts w:ascii="Times New Roman" w:hAnsi="Times New Roman" w:cs="Times New Roman"/>
        </w:rPr>
        <w:t xml:space="preserve"> More generally, the use of historical datasets to understand present and future trends is often not as strongly caveated as it needs to be and </w:t>
      </w:r>
      <w:r w:rsidR="00CF554D" w:rsidRPr="00675060">
        <w:rPr>
          <w:rFonts w:ascii="Times New Roman" w:hAnsi="Times New Roman" w:cs="Times New Roman"/>
        </w:rPr>
        <w:t xml:space="preserve">may be </w:t>
      </w:r>
      <w:r w:rsidR="00413C4E" w:rsidRPr="00675060">
        <w:rPr>
          <w:rFonts w:ascii="Times New Roman" w:hAnsi="Times New Roman" w:cs="Times New Roman"/>
        </w:rPr>
        <w:t>weighted too highly in decision-making, being speciously clearer and more conclusive than other assessments of trends or possible future scenarios.</w:t>
      </w:r>
    </w:p>
    <w:p w14:paraId="4B34CB20" w14:textId="7469883A" w:rsidR="007F2F68" w:rsidRPr="00675060" w:rsidRDefault="007F2F68" w:rsidP="000A47B8">
      <w:pPr>
        <w:spacing w:line="480" w:lineRule="auto"/>
        <w:ind w:firstLine="720"/>
        <w:rPr>
          <w:rFonts w:ascii="Times New Roman" w:hAnsi="Times New Roman" w:cs="Times New Roman"/>
        </w:rPr>
      </w:pPr>
      <w:r w:rsidRPr="00675060">
        <w:rPr>
          <w:rFonts w:ascii="Times New Roman" w:hAnsi="Times New Roman" w:cs="Times New Roman"/>
        </w:rPr>
        <w:lastRenderedPageBreak/>
        <w:t>Where earnings and employment data are aggregated at a university level, there are also concerns that such statistics primarily reflect the social capital and prior attainment of their entry cohorts</w:t>
      </w:r>
      <w:r w:rsidR="000A47B8" w:rsidRPr="00675060">
        <w:rPr>
          <w:rFonts w:ascii="Times New Roman" w:hAnsi="Times New Roman" w:cs="Times New Roman"/>
        </w:rPr>
        <w:t>, in what locations graduates tend to work,</w:t>
      </w:r>
      <w:r w:rsidRPr="00675060">
        <w:rPr>
          <w:rFonts w:ascii="Times New Roman" w:hAnsi="Times New Roman" w:cs="Times New Roman"/>
        </w:rPr>
        <w:t xml:space="preserve"> or the balance of subjects studied at that university</w:t>
      </w:r>
      <w:r w:rsidR="00124B4D">
        <w:rPr>
          <w:rFonts w:ascii="Times New Roman" w:hAnsi="Times New Roman" w:cs="Times New Roman"/>
        </w:rPr>
        <w:t>,</w:t>
      </w:r>
      <w:r w:rsidRPr="00675060">
        <w:rPr>
          <w:rFonts w:ascii="Times New Roman" w:hAnsi="Times New Roman" w:cs="Times New Roman"/>
        </w:rPr>
        <w:t xml:space="preserve"> rather than </w:t>
      </w:r>
      <w:r w:rsidR="00124B4D">
        <w:rPr>
          <w:rFonts w:ascii="Times New Roman" w:hAnsi="Times New Roman" w:cs="Times New Roman"/>
        </w:rPr>
        <w:t xml:space="preserve">the quality of teaching, resources or facilities at the university </w:t>
      </w:r>
      <w:r w:rsidR="001C2776" w:rsidRPr="00675060">
        <w:rPr>
          <w:rFonts w:ascii="Times New Roman" w:hAnsi="Times New Roman" w:cs="Times New Roman"/>
        </w:rPr>
        <w:t>(Blackmor</w:t>
      </w:r>
      <w:r w:rsidR="00FC2AAF">
        <w:rPr>
          <w:rFonts w:ascii="Times New Roman" w:hAnsi="Times New Roman" w:cs="Times New Roman"/>
        </w:rPr>
        <w:t>e, Blackwell, &amp; Edmondson</w:t>
      </w:r>
      <w:r w:rsidR="001C2776" w:rsidRPr="00675060">
        <w:rPr>
          <w:rFonts w:ascii="Times New Roman" w:hAnsi="Times New Roman" w:cs="Times New Roman"/>
        </w:rPr>
        <w:t>, 2</w:t>
      </w:r>
      <w:r w:rsidR="005D422F" w:rsidRPr="00675060">
        <w:rPr>
          <w:rFonts w:ascii="Times New Roman" w:hAnsi="Times New Roman" w:cs="Times New Roman"/>
        </w:rPr>
        <w:t>0</w:t>
      </w:r>
      <w:r w:rsidR="001C2776" w:rsidRPr="00675060">
        <w:rPr>
          <w:rFonts w:ascii="Times New Roman" w:hAnsi="Times New Roman" w:cs="Times New Roman"/>
        </w:rPr>
        <w:t>06; Knight, 2001; Morley, 2001).</w:t>
      </w:r>
      <w:r w:rsidR="00124B4D">
        <w:rPr>
          <w:rFonts w:ascii="Times New Roman" w:hAnsi="Times New Roman" w:cs="Times New Roman"/>
        </w:rPr>
        <w:t xml:space="preserve"> </w:t>
      </w:r>
      <w:r w:rsidR="001C2776" w:rsidRPr="00675060">
        <w:rPr>
          <w:rFonts w:ascii="Times New Roman" w:hAnsi="Times New Roman" w:cs="Times New Roman"/>
        </w:rPr>
        <w:t>F</w:t>
      </w:r>
      <w:r w:rsidRPr="00675060">
        <w:rPr>
          <w:rFonts w:ascii="Times New Roman" w:hAnsi="Times New Roman" w:cs="Times New Roman"/>
        </w:rPr>
        <w:t xml:space="preserve">or instance, universities that produce more law and finance graduates might be expected to have higher average earnings than universities that specialise in initial teacher training, but this </w:t>
      </w:r>
      <w:r w:rsidR="00124B4D">
        <w:rPr>
          <w:rFonts w:ascii="Times New Roman" w:hAnsi="Times New Roman" w:cs="Times New Roman"/>
        </w:rPr>
        <w:t xml:space="preserve">is a poor </w:t>
      </w:r>
      <w:r w:rsidRPr="00675060">
        <w:rPr>
          <w:rFonts w:ascii="Times New Roman" w:hAnsi="Times New Roman" w:cs="Times New Roman"/>
        </w:rPr>
        <w:t>reason to praise the former or to urge teachers to retrain as lawyers.</w:t>
      </w:r>
    </w:p>
    <w:p w14:paraId="08B72DA9" w14:textId="35BDD269" w:rsidR="005D422F" w:rsidRPr="00675060" w:rsidRDefault="00CF123B" w:rsidP="00CF554D">
      <w:pPr>
        <w:spacing w:line="480" w:lineRule="auto"/>
        <w:ind w:firstLine="720"/>
        <w:rPr>
          <w:rFonts w:ascii="Times New Roman" w:hAnsi="Times New Roman" w:cs="Times New Roman"/>
        </w:rPr>
      </w:pPr>
      <w:r w:rsidRPr="00675060">
        <w:rPr>
          <w:rFonts w:ascii="Times New Roman" w:hAnsi="Times New Roman" w:cs="Times New Roman"/>
        </w:rPr>
        <w:t xml:space="preserve">LEO is nonetheless an improvement in some respects on </w:t>
      </w:r>
      <w:r w:rsidR="007F2F68" w:rsidRPr="00675060">
        <w:rPr>
          <w:rFonts w:ascii="Times New Roman" w:hAnsi="Times New Roman" w:cs="Times New Roman"/>
        </w:rPr>
        <w:t xml:space="preserve">most </w:t>
      </w:r>
      <w:r w:rsidRPr="00675060">
        <w:rPr>
          <w:rFonts w:ascii="Times New Roman" w:hAnsi="Times New Roman" w:cs="Times New Roman"/>
        </w:rPr>
        <w:t xml:space="preserve">other </w:t>
      </w:r>
      <w:r w:rsidR="007F2F68" w:rsidRPr="00675060">
        <w:rPr>
          <w:rFonts w:ascii="Times New Roman" w:hAnsi="Times New Roman" w:cs="Times New Roman"/>
        </w:rPr>
        <w:t>datasets in this domain</w:t>
      </w:r>
      <w:r w:rsidRPr="00675060">
        <w:rPr>
          <w:rFonts w:ascii="Times New Roman" w:hAnsi="Times New Roman" w:cs="Times New Roman"/>
        </w:rPr>
        <w:t>, which tend to focus on short-term outcomes, such as employment or earnings outcomes six months or 12 months after graduation</w:t>
      </w:r>
      <w:r w:rsidR="000A47B8" w:rsidRPr="00675060">
        <w:rPr>
          <w:rFonts w:ascii="Times New Roman" w:hAnsi="Times New Roman" w:cs="Times New Roman"/>
        </w:rPr>
        <w:t xml:space="preserve"> (</w:t>
      </w:r>
      <w:r w:rsidR="001C2776" w:rsidRPr="00675060">
        <w:rPr>
          <w:rFonts w:ascii="Times New Roman" w:hAnsi="Times New Roman" w:cs="Times New Roman"/>
        </w:rPr>
        <w:t xml:space="preserve">Harvey, </w:t>
      </w:r>
      <w:r w:rsidR="00FC2AAF">
        <w:rPr>
          <w:rFonts w:ascii="Times New Roman" w:hAnsi="Times New Roman" w:cs="Times New Roman"/>
        </w:rPr>
        <w:t xml:space="preserve">Locke, &amp; Morey, </w:t>
      </w:r>
      <w:r w:rsidR="001C2776" w:rsidRPr="00675060">
        <w:rPr>
          <w:rFonts w:ascii="Times New Roman" w:hAnsi="Times New Roman" w:cs="Times New Roman"/>
        </w:rPr>
        <w:t>2002</w:t>
      </w:r>
      <w:r w:rsidR="000A47B8" w:rsidRPr="00675060">
        <w:rPr>
          <w:rFonts w:ascii="Times New Roman" w:hAnsi="Times New Roman" w:cs="Times New Roman"/>
        </w:rPr>
        <w:t>)</w:t>
      </w:r>
      <w:r w:rsidR="00124B4D">
        <w:rPr>
          <w:rFonts w:ascii="Times New Roman" w:hAnsi="Times New Roman" w:cs="Times New Roman"/>
        </w:rPr>
        <w:t xml:space="preserve">, although even such </w:t>
      </w:r>
      <w:r w:rsidR="007F2F68" w:rsidRPr="00675060">
        <w:rPr>
          <w:rFonts w:ascii="Times New Roman" w:hAnsi="Times New Roman" w:cs="Times New Roman"/>
        </w:rPr>
        <w:t xml:space="preserve">medium term measures of employment outcomes may prove inadequate. </w:t>
      </w:r>
      <w:r w:rsidRPr="00675060">
        <w:rPr>
          <w:rFonts w:ascii="Times New Roman" w:hAnsi="Times New Roman" w:cs="Times New Roman"/>
        </w:rPr>
        <w:t xml:space="preserve">David Willetts, a UK minister formerly involved with LEO, has </w:t>
      </w:r>
      <w:r w:rsidR="00CF554D" w:rsidRPr="00675060">
        <w:rPr>
          <w:rFonts w:ascii="Times New Roman" w:hAnsi="Times New Roman" w:cs="Times New Roman"/>
        </w:rPr>
        <w:t xml:space="preserve">argued </w:t>
      </w:r>
      <w:r w:rsidRPr="00675060">
        <w:rPr>
          <w:rFonts w:ascii="Times New Roman" w:hAnsi="Times New Roman" w:cs="Times New Roman"/>
        </w:rPr>
        <w:t xml:space="preserve">that even extending earnings analyses through 5-7 years can be inadequate to capture the longer-term pay-off from certain arts courses and subsequent careers (Willetts, 2019). </w:t>
      </w:r>
      <w:r w:rsidR="00483123" w:rsidRPr="00675060">
        <w:rPr>
          <w:rFonts w:ascii="Times New Roman" w:hAnsi="Times New Roman" w:cs="Times New Roman"/>
        </w:rPr>
        <w:t xml:space="preserve"> Recognising some of th</w:t>
      </w:r>
      <w:r w:rsidR="00BF1498" w:rsidRPr="00675060">
        <w:rPr>
          <w:rFonts w:ascii="Times New Roman" w:hAnsi="Times New Roman" w:cs="Times New Roman"/>
        </w:rPr>
        <w:t>ese</w:t>
      </w:r>
      <w:r w:rsidR="00483123" w:rsidRPr="00675060">
        <w:rPr>
          <w:rFonts w:ascii="Times New Roman" w:hAnsi="Times New Roman" w:cs="Times New Roman"/>
        </w:rPr>
        <w:t xml:space="preserve"> issues </w:t>
      </w:r>
      <w:r w:rsidR="00BF1498" w:rsidRPr="00675060">
        <w:rPr>
          <w:rFonts w:ascii="Times New Roman" w:hAnsi="Times New Roman" w:cs="Times New Roman"/>
        </w:rPr>
        <w:t xml:space="preserve">in </w:t>
      </w:r>
      <w:r w:rsidR="00483123" w:rsidRPr="00675060">
        <w:rPr>
          <w:rFonts w:ascii="Times New Roman" w:hAnsi="Times New Roman" w:cs="Times New Roman"/>
        </w:rPr>
        <w:t xml:space="preserve">implementation, while also the potential benefits of </w:t>
      </w:r>
      <w:r w:rsidR="00BF1498" w:rsidRPr="00675060">
        <w:rPr>
          <w:rFonts w:ascii="Times New Roman" w:hAnsi="Times New Roman" w:cs="Times New Roman"/>
        </w:rPr>
        <w:t xml:space="preserve">such </w:t>
      </w:r>
      <w:r w:rsidR="00483123" w:rsidRPr="00675060">
        <w:rPr>
          <w:rFonts w:ascii="Times New Roman" w:hAnsi="Times New Roman" w:cs="Times New Roman"/>
        </w:rPr>
        <w:t>metrics, researchers in the US have recommended that a mix of labour market metrics should be adopted</w:t>
      </w:r>
      <w:r w:rsidR="00BF1498" w:rsidRPr="00675060">
        <w:rPr>
          <w:rFonts w:ascii="Times New Roman" w:hAnsi="Times New Roman" w:cs="Times New Roman"/>
        </w:rPr>
        <w:t xml:space="preserve"> to assess higher education</w:t>
      </w:r>
      <w:r w:rsidR="00483123" w:rsidRPr="00675060">
        <w:rPr>
          <w:rFonts w:ascii="Times New Roman" w:hAnsi="Times New Roman" w:cs="Times New Roman"/>
        </w:rPr>
        <w:t xml:space="preserve">, so as to balance out the inevitable bias caused by focusing on just one or two </w:t>
      </w:r>
      <w:r w:rsidR="00BF1498" w:rsidRPr="00675060">
        <w:rPr>
          <w:rFonts w:ascii="Times New Roman" w:hAnsi="Times New Roman" w:cs="Times New Roman"/>
        </w:rPr>
        <w:t xml:space="preserve">metrics </w:t>
      </w:r>
      <w:r w:rsidR="00483123" w:rsidRPr="00675060">
        <w:rPr>
          <w:rFonts w:ascii="Times New Roman" w:hAnsi="Times New Roman" w:cs="Times New Roman"/>
        </w:rPr>
        <w:t>(Minaya &amp; Scott-Clayton, 2018). Labour market metrics are found to provide distinctive, and hence potentially valuable information in addition to students’ academic outcomes, but with significant sensitivity to the type of metric chosen and the length of follow-up</w:t>
      </w:r>
      <w:r w:rsidR="00CF554D" w:rsidRPr="00675060">
        <w:rPr>
          <w:rFonts w:ascii="Times New Roman" w:hAnsi="Times New Roman" w:cs="Times New Roman"/>
        </w:rPr>
        <w:t>.</w:t>
      </w:r>
    </w:p>
    <w:p w14:paraId="765F4F29" w14:textId="77777777" w:rsidR="00C11A4D" w:rsidRPr="00675060" w:rsidRDefault="00C11A4D" w:rsidP="00BA34EA">
      <w:pPr>
        <w:spacing w:line="480" w:lineRule="auto"/>
        <w:rPr>
          <w:rFonts w:ascii="Times New Roman" w:hAnsi="Times New Roman" w:cs="Times New Roman"/>
        </w:rPr>
      </w:pPr>
    </w:p>
    <w:p w14:paraId="416CBC86" w14:textId="77777777" w:rsidR="00F07614" w:rsidRPr="00675060" w:rsidRDefault="00F07614" w:rsidP="00F07614">
      <w:pPr>
        <w:spacing w:line="480" w:lineRule="auto"/>
        <w:rPr>
          <w:rFonts w:ascii="Times New Roman" w:hAnsi="Times New Roman" w:cs="Times New Roman"/>
          <w:b/>
          <w:sz w:val="28"/>
        </w:rPr>
      </w:pPr>
      <w:r w:rsidRPr="00675060">
        <w:rPr>
          <w:rFonts w:ascii="Times New Roman" w:hAnsi="Times New Roman" w:cs="Times New Roman"/>
          <w:b/>
          <w:sz w:val="28"/>
        </w:rPr>
        <w:t>Emerging practi</w:t>
      </w:r>
      <w:r w:rsidR="00F5500C" w:rsidRPr="00675060">
        <w:rPr>
          <w:rFonts w:ascii="Times New Roman" w:hAnsi="Times New Roman" w:cs="Times New Roman"/>
          <w:b/>
          <w:sz w:val="28"/>
        </w:rPr>
        <w:t>c</w:t>
      </w:r>
      <w:r w:rsidRPr="00675060">
        <w:rPr>
          <w:rFonts w:ascii="Times New Roman" w:hAnsi="Times New Roman" w:cs="Times New Roman"/>
          <w:b/>
          <w:sz w:val="28"/>
        </w:rPr>
        <w:t xml:space="preserve">e </w:t>
      </w:r>
    </w:p>
    <w:p w14:paraId="0389386D" w14:textId="77777777" w:rsidR="00F07614" w:rsidRPr="00675060" w:rsidRDefault="001C066E" w:rsidP="00F07614">
      <w:pPr>
        <w:spacing w:line="480" w:lineRule="auto"/>
        <w:rPr>
          <w:rFonts w:ascii="Times New Roman" w:hAnsi="Times New Roman" w:cs="Times New Roman"/>
          <w:i/>
          <w:sz w:val="24"/>
        </w:rPr>
      </w:pPr>
      <w:r w:rsidRPr="00675060">
        <w:rPr>
          <w:rFonts w:ascii="Times New Roman" w:hAnsi="Times New Roman" w:cs="Times New Roman"/>
          <w:i/>
          <w:sz w:val="24"/>
        </w:rPr>
        <w:t>Increasing availability of secondary education destination metrics</w:t>
      </w:r>
    </w:p>
    <w:p w14:paraId="4246559C" w14:textId="6E4CDE9A" w:rsidR="00B20E49" w:rsidRPr="00675060" w:rsidRDefault="00B20E49" w:rsidP="00F07614">
      <w:pPr>
        <w:spacing w:line="480" w:lineRule="auto"/>
        <w:rPr>
          <w:rFonts w:ascii="Times New Roman" w:hAnsi="Times New Roman" w:cs="Times New Roman"/>
        </w:rPr>
      </w:pPr>
      <w:r w:rsidRPr="00675060">
        <w:rPr>
          <w:rFonts w:ascii="Times New Roman" w:hAnsi="Times New Roman" w:cs="Times New Roman"/>
        </w:rPr>
        <w:t xml:space="preserve">There are ambitions and efforts among sector leaders in several developed countries to enable an assessment at the individual education provider level of average destinations and outcomes for those </w:t>
      </w:r>
      <w:r w:rsidRPr="00675060">
        <w:rPr>
          <w:rFonts w:ascii="Times New Roman" w:hAnsi="Times New Roman" w:cs="Times New Roman"/>
        </w:rPr>
        <w:lastRenderedPageBreak/>
        <w:t xml:space="preserve">completing upper secondary education. </w:t>
      </w:r>
      <w:r w:rsidR="00AA6C20" w:rsidRPr="00675060">
        <w:rPr>
          <w:rFonts w:ascii="Times New Roman" w:hAnsi="Times New Roman" w:cs="Times New Roman"/>
        </w:rPr>
        <w:t xml:space="preserve">Such activities build from a very low base of data availability, but point towards an emerging </w:t>
      </w:r>
      <w:r w:rsidR="00C731A3" w:rsidRPr="00675060">
        <w:rPr>
          <w:rFonts w:ascii="Times New Roman" w:hAnsi="Times New Roman" w:cs="Times New Roman"/>
        </w:rPr>
        <w:t xml:space="preserve">probable </w:t>
      </w:r>
      <w:r w:rsidR="00AA6C20" w:rsidRPr="00675060">
        <w:rPr>
          <w:rFonts w:ascii="Times New Roman" w:hAnsi="Times New Roman" w:cs="Times New Roman"/>
        </w:rPr>
        <w:t xml:space="preserve">direction of travel. </w:t>
      </w:r>
      <w:r w:rsidRPr="00675060">
        <w:rPr>
          <w:rFonts w:ascii="Times New Roman" w:hAnsi="Times New Roman" w:cs="Times New Roman"/>
        </w:rPr>
        <w:t xml:space="preserve">In addition to the case study in England that follows, examples </w:t>
      </w:r>
      <w:r w:rsidR="00201AFE" w:rsidRPr="00675060">
        <w:rPr>
          <w:rFonts w:ascii="Times New Roman" w:hAnsi="Times New Roman" w:cs="Times New Roman"/>
        </w:rPr>
        <w:t xml:space="preserve">are identified in </w:t>
      </w:r>
      <w:r w:rsidRPr="00675060">
        <w:rPr>
          <w:rFonts w:ascii="Times New Roman" w:hAnsi="Times New Roman" w:cs="Times New Roman"/>
        </w:rPr>
        <w:t xml:space="preserve">New Zealand, Australia, and </w:t>
      </w:r>
      <w:r w:rsidR="00C731A3" w:rsidRPr="00675060">
        <w:rPr>
          <w:rFonts w:ascii="Times New Roman" w:hAnsi="Times New Roman" w:cs="Times New Roman"/>
        </w:rPr>
        <w:t>across</w:t>
      </w:r>
      <w:r w:rsidR="00201AFE" w:rsidRPr="00675060">
        <w:rPr>
          <w:rFonts w:ascii="Times New Roman" w:hAnsi="Times New Roman" w:cs="Times New Roman"/>
        </w:rPr>
        <w:t xml:space="preserve"> the </w:t>
      </w:r>
      <w:r w:rsidR="00C731A3" w:rsidRPr="00675060">
        <w:rPr>
          <w:rFonts w:ascii="Times New Roman" w:hAnsi="Times New Roman" w:cs="Times New Roman"/>
        </w:rPr>
        <w:t>European Union</w:t>
      </w:r>
      <w:r w:rsidR="00201AFE" w:rsidRPr="00675060">
        <w:rPr>
          <w:rFonts w:ascii="Times New Roman" w:hAnsi="Times New Roman" w:cs="Times New Roman"/>
        </w:rPr>
        <w:t>.</w:t>
      </w:r>
    </w:p>
    <w:p w14:paraId="1F4F1B5D" w14:textId="2F7A6E88" w:rsidR="00201AFE" w:rsidRPr="00675060" w:rsidRDefault="00C731A3" w:rsidP="00683FD8">
      <w:pPr>
        <w:spacing w:line="480" w:lineRule="auto"/>
        <w:ind w:firstLine="720"/>
        <w:rPr>
          <w:rFonts w:ascii="Times New Roman" w:hAnsi="Times New Roman" w:cs="Times New Roman"/>
        </w:rPr>
      </w:pPr>
      <w:r w:rsidRPr="00675060">
        <w:rPr>
          <w:rFonts w:ascii="Times New Roman" w:hAnsi="Times New Roman" w:cs="Times New Roman"/>
        </w:rPr>
        <w:t xml:space="preserve">Since 2014, </w:t>
      </w:r>
      <w:r w:rsidR="00201AFE" w:rsidRPr="00675060">
        <w:rPr>
          <w:rFonts w:ascii="Times New Roman" w:hAnsi="Times New Roman" w:cs="Times New Roman"/>
        </w:rPr>
        <w:t xml:space="preserve">every </w:t>
      </w:r>
      <w:r w:rsidRPr="00675060">
        <w:rPr>
          <w:rFonts w:ascii="Times New Roman" w:hAnsi="Times New Roman" w:cs="Times New Roman"/>
        </w:rPr>
        <w:t xml:space="preserve">New Zealand </w:t>
      </w:r>
      <w:r w:rsidR="00201AFE" w:rsidRPr="00675060">
        <w:rPr>
          <w:rFonts w:ascii="Times New Roman" w:hAnsi="Times New Roman" w:cs="Times New Roman"/>
        </w:rPr>
        <w:t>school with upper secondary education graduates has been given information on the tertiary education enrolment of their school leavers for one, two and three years after they finish school, split by level of tertiary education study</w:t>
      </w:r>
      <w:r w:rsidR="00DA7338" w:rsidRPr="00675060">
        <w:rPr>
          <w:rFonts w:ascii="Times New Roman" w:hAnsi="Times New Roman" w:cs="Times New Roman"/>
        </w:rPr>
        <w:t xml:space="preserve"> and type of institution</w:t>
      </w:r>
      <w:r w:rsidR="00201AFE" w:rsidRPr="00675060">
        <w:rPr>
          <w:rFonts w:ascii="Times New Roman" w:hAnsi="Times New Roman" w:cs="Times New Roman"/>
        </w:rPr>
        <w:t xml:space="preserve">, by gender, and by ethnic group. This information </w:t>
      </w:r>
      <w:r w:rsidR="00DA7338" w:rsidRPr="00675060">
        <w:rPr>
          <w:rFonts w:ascii="Times New Roman" w:hAnsi="Times New Roman" w:cs="Times New Roman"/>
        </w:rPr>
        <w:t xml:space="preserve">was made </w:t>
      </w:r>
      <w:r w:rsidR="00201AFE" w:rsidRPr="00675060">
        <w:rPr>
          <w:rFonts w:ascii="Times New Roman" w:hAnsi="Times New Roman" w:cs="Times New Roman"/>
        </w:rPr>
        <w:t xml:space="preserve">publicly available by school </w:t>
      </w:r>
      <w:r w:rsidR="00DA7338" w:rsidRPr="00675060">
        <w:rPr>
          <w:rFonts w:ascii="Times New Roman" w:hAnsi="Times New Roman" w:cs="Times New Roman"/>
        </w:rPr>
        <w:t xml:space="preserve">in 2016 </w:t>
      </w:r>
      <w:r w:rsidR="00CF554D" w:rsidRPr="00675060">
        <w:rPr>
          <w:rFonts w:ascii="Times New Roman" w:hAnsi="Times New Roman" w:cs="Times New Roman"/>
        </w:rPr>
        <w:t>(</w:t>
      </w:r>
      <w:hyperlink r:id="rId11" w:history="1">
        <w:r w:rsidR="00201AFE" w:rsidRPr="00675060">
          <w:rPr>
            <w:rStyle w:val="Hyperlink"/>
            <w:rFonts w:ascii="Times New Roman" w:hAnsi="Times New Roman" w:cs="Times New Roman"/>
          </w:rPr>
          <w:t>www.educationcounts.govt.nz/find-school</w:t>
        </w:r>
      </w:hyperlink>
      <w:r w:rsidR="00CF554D" w:rsidRPr="00675060">
        <w:rPr>
          <w:rStyle w:val="Hyperlink"/>
          <w:rFonts w:ascii="Times New Roman" w:hAnsi="Times New Roman" w:cs="Times New Roman"/>
        </w:rPr>
        <w:t>)</w:t>
      </w:r>
      <w:r w:rsidR="00201AFE" w:rsidRPr="00675060">
        <w:rPr>
          <w:rFonts w:ascii="Times New Roman" w:hAnsi="Times New Roman" w:cs="Times New Roman"/>
        </w:rPr>
        <w:t xml:space="preserve">, </w:t>
      </w:r>
      <w:r w:rsidR="00CF554D" w:rsidRPr="00675060">
        <w:rPr>
          <w:rFonts w:ascii="Times New Roman" w:hAnsi="Times New Roman" w:cs="Times New Roman"/>
        </w:rPr>
        <w:t xml:space="preserve">with </w:t>
      </w:r>
      <w:r w:rsidR="00201AFE" w:rsidRPr="00675060">
        <w:rPr>
          <w:rFonts w:ascii="Times New Roman" w:hAnsi="Times New Roman" w:cs="Times New Roman"/>
        </w:rPr>
        <w:t xml:space="preserve">data on enrolment, suspensions/expulsions, retention and qualification outcomes. </w:t>
      </w:r>
      <w:r w:rsidR="00DA7338" w:rsidRPr="00675060">
        <w:rPr>
          <w:rFonts w:ascii="Times New Roman" w:hAnsi="Times New Roman" w:cs="Times New Roman"/>
        </w:rPr>
        <w:t>Those who go directly into the workplace or into unemployment are all found in a residual category for those not progressing to tertiary</w:t>
      </w:r>
      <w:r w:rsidRPr="00675060">
        <w:rPr>
          <w:rFonts w:ascii="Times New Roman" w:hAnsi="Times New Roman" w:cs="Times New Roman"/>
        </w:rPr>
        <w:t xml:space="preserve"> education</w:t>
      </w:r>
      <w:r w:rsidR="00DA7338" w:rsidRPr="00675060">
        <w:rPr>
          <w:rFonts w:ascii="Times New Roman" w:hAnsi="Times New Roman" w:cs="Times New Roman"/>
        </w:rPr>
        <w:t xml:space="preserve">. </w:t>
      </w:r>
      <w:r w:rsidR="00440340" w:rsidRPr="00675060">
        <w:rPr>
          <w:rFonts w:ascii="Times New Roman" w:hAnsi="Times New Roman" w:cs="Times New Roman"/>
        </w:rPr>
        <w:t xml:space="preserve">Government proposals from 2016 reveal that the main motivations for this are “to support schools to engage with their communities, employers and tertiary education providers to improve student outcomes”, as part of efforts to “help students make well-informed, timely decisions about their career pathways, and incentivise education providers (both schools and tertiary providers) to build stronger connections with employers” (Office of Tertiary Education, Skills and Employment; Office of Education, 2016). </w:t>
      </w:r>
    </w:p>
    <w:p w14:paraId="38D98285" w14:textId="363F9425" w:rsidR="00440340" w:rsidRPr="00675060" w:rsidRDefault="00440340" w:rsidP="00683FD8">
      <w:pPr>
        <w:spacing w:line="480" w:lineRule="auto"/>
        <w:ind w:firstLine="720"/>
        <w:rPr>
          <w:rFonts w:ascii="Times New Roman" w:hAnsi="Times New Roman" w:cs="Times New Roman"/>
        </w:rPr>
      </w:pPr>
      <w:r w:rsidRPr="00675060">
        <w:rPr>
          <w:rFonts w:ascii="Times New Roman" w:hAnsi="Times New Roman" w:cs="Times New Roman"/>
        </w:rPr>
        <w:t xml:space="preserve">The State of Victoria, Australia has had secondary school leaver destination surveys in place since 2003, </w:t>
      </w:r>
      <w:r w:rsidR="00C731A3" w:rsidRPr="00675060">
        <w:rPr>
          <w:rFonts w:ascii="Times New Roman" w:hAnsi="Times New Roman" w:cs="Times New Roman"/>
        </w:rPr>
        <w:t>to identify activities at</w:t>
      </w:r>
      <w:r w:rsidRPr="00675060">
        <w:rPr>
          <w:rFonts w:ascii="Times New Roman" w:hAnsi="Times New Roman" w:cs="Times New Roman"/>
        </w:rPr>
        <w:t xml:space="preserve"> six months </w:t>
      </w:r>
      <w:r w:rsidR="00CC0EA2" w:rsidRPr="00675060">
        <w:rPr>
          <w:rFonts w:ascii="Times New Roman" w:hAnsi="Times New Roman" w:cs="Times New Roman"/>
        </w:rPr>
        <w:t>post-graduation</w:t>
      </w:r>
      <w:r w:rsidR="00AA03D0" w:rsidRPr="00675060">
        <w:rPr>
          <w:rFonts w:ascii="Times New Roman" w:hAnsi="Times New Roman" w:cs="Times New Roman"/>
        </w:rPr>
        <w:t xml:space="preserve"> (the “On Track” survey)</w:t>
      </w:r>
      <w:r w:rsidRPr="00675060">
        <w:rPr>
          <w:rFonts w:ascii="Times New Roman" w:hAnsi="Times New Roman" w:cs="Times New Roman"/>
        </w:rPr>
        <w:t xml:space="preserve">. The State’s Economic, Education, Jobs and Skills Committee argued in 2018 for an increase in ambition, proposing that higher quality data </w:t>
      </w:r>
      <w:r w:rsidR="00C731A3" w:rsidRPr="00675060">
        <w:rPr>
          <w:rFonts w:ascii="Times New Roman" w:hAnsi="Times New Roman" w:cs="Times New Roman"/>
        </w:rPr>
        <w:t>be</w:t>
      </w:r>
      <w:r w:rsidRPr="00675060">
        <w:rPr>
          <w:rFonts w:ascii="Times New Roman" w:hAnsi="Times New Roman" w:cs="Times New Roman"/>
        </w:rPr>
        <w:t xml:space="preserve"> gathered via linking state datasets rather than using opt-in surveys</w:t>
      </w:r>
      <w:r w:rsidR="00124B4D">
        <w:rPr>
          <w:rFonts w:ascii="Times New Roman" w:hAnsi="Times New Roman" w:cs="Times New Roman"/>
        </w:rPr>
        <w:t>,</w:t>
      </w:r>
      <w:r w:rsidRPr="00675060">
        <w:rPr>
          <w:rFonts w:ascii="Times New Roman" w:hAnsi="Times New Roman" w:cs="Times New Roman"/>
        </w:rPr>
        <w:t xml:space="preserve"> and </w:t>
      </w:r>
      <w:r w:rsidR="00124B4D">
        <w:rPr>
          <w:rFonts w:ascii="Times New Roman" w:hAnsi="Times New Roman" w:cs="Times New Roman"/>
        </w:rPr>
        <w:t xml:space="preserve">that </w:t>
      </w:r>
      <w:r w:rsidRPr="00675060">
        <w:rPr>
          <w:rFonts w:ascii="Times New Roman" w:hAnsi="Times New Roman" w:cs="Times New Roman"/>
        </w:rPr>
        <w:t xml:space="preserve">the time horizon </w:t>
      </w:r>
      <w:r w:rsidR="00C731A3" w:rsidRPr="00675060">
        <w:rPr>
          <w:rFonts w:ascii="Times New Roman" w:hAnsi="Times New Roman" w:cs="Times New Roman"/>
        </w:rPr>
        <w:t xml:space="preserve">be extended </w:t>
      </w:r>
      <w:r w:rsidRPr="00675060">
        <w:rPr>
          <w:rFonts w:ascii="Times New Roman" w:hAnsi="Times New Roman" w:cs="Times New Roman"/>
        </w:rPr>
        <w:t xml:space="preserve">to include one and five years </w:t>
      </w:r>
      <w:r w:rsidR="00CC0EA2" w:rsidRPr="00675060">
        <w:rPr>
          <w:rFonts w:ascii="Times New Roman" w:hAnsi="Times New Roman" w:cs="Times New Roman"/>
        </w:rPr>
        <w:t>post-graduation</w:t>
      </w:r>
      <w:r w:rsidRPr="00675060">
        <w:rPr>
          <w:rFonts w:ascii="Times New Roman" w:hAnsi="Times New Roman" w:cs="Times New Roman"/>
        </w:rPr>
        <w:t xml:space="preserve"> (EEJS, 2018). </w:t>
      </w:r>
      <w:r w:rsidR="00124B4D">
        <w:rPr>
          <w:rFonts w:ascii="Times New Roman" w:hAnsi="Times New Roman" w:cs="Times New Roman"/>
        </w:rPr>
        <w:t>D</w:t>
      </w:r>
      <w:r w:rsidR="0020072C" w:rsidRPr="00675060">
        <w:rPr>
          <w:rFonts w:ascii="Times New Roman" w:hAnsi="Times New Roman" w:cs="Times New Roman"/>
        </w:rPr>
        <w:t xml:space="preserve">ata on individual schools can be downloaded, </w:t>
      </w:r>
      <w:r w:rsidR="00124B4D">
        <w:rPr>
          <w:rFonts w:ascii="Times New Roman" w:hAnsi="Times New Roman" w:cs="Times New Roman"/>
        </w:rPr>
        <w:t xml:space="preserve">with </w:t>
      </w:r>
      <w:r w:rsidR="0020072C" w:rsidRPr="00675060">
        <w:rPr>
          <w:rFonts w:ascii="Times New Roman" w:hAnsi="Times New Roman" w:cs="Times New Roman"/>
        </w:rPr>
        <w:t xml:space="preserve">statistics for the response rate and the percentages who are employed, looking for work, enrolled in bachelors courses (or </w:t>
      </w:r>
      <w:r w:rsidR="00AA6C20" w:rsidRPr="00675060">
        <w:rPr>
          <w:rFonts w:ascii="Times New Roman" w:hAnsi="Times New Roman" w:cs="Times New Roman"/>
        </w:rPr>
        <w:t xml:space="preserve">have </w:t>
      </w:r>
      <w:r w:rsidR="0020072C" w:rsidRPr="00675060">
        <w:rPr>
          <w:rFonts w:ascii="Times New Roman" w:hAnsi="Times New Roman" w:cs="Times New Roman"/>
        </w:rPr>
        <w:t xml:space="preserve">deferred places), enrolled in technical or vocational courses, and studying as apprentices or trainees. </w:t>
      </w:r>
    </w:p>
    <w:p w14:paraId="0B7109F4" w14:textId="4ED830CF" w:rsidR="00E76772" w:rsidRPr="00675060" w:rsidRDefault="00E76772" w:rsidP="00683FD8">
      <w:pPr>
        <w:spacing w:line="480" w:lineRule="auto"/>
        <w:ind w:firstLine="720"/>
        <w:rPr>
          <w:rFonts w:ascii="Times New Roman" w:hAnsi="Times New Roman" w:cs="Times New Roman"/>
        </w:rPr>
      </w:pPr>
      <w:r w:rsidRPr="00675060">
        <w:rPr>
          <w:rFonts w:ascii="Times New Roman" w:hAnsi="Times New Roman" w:cs="Times New Roman"/>
        </w:rPr>
        <w:t xml:space="preserve">Most European countries do not currently provide destinations metrics for general secondary education, although </w:t>
      </w:r>
      <w:r w:rsidR="00C731A3" w:rsidRPr="00675060">
        <w:rPr>
          <w:rFonts w:ascii="Times New Roman" w:hAnsi="Times New Roman" w:cs="Times New Roman"/>
        </w:rPr>
        <w:t xml:space="preserve">Williamson </w:t>
      </w:r>
      <w:r w:rsidR="00124B4D">
        <w:rPr>
          <w:rFonts w:ascii="Times New Roman" w:hAnsi="Times New Roman" w:cs="Times New Roman"/>
        </w:rPr>
        <w:t>and</w:t>
      </w:r>
      <w:r w:rsidR="00C731A3" w:rsidRPr="00675060">
        <w:rPr>
          <w:rFonts w:ascii="Times New Roman" w:hAnsi="Times New Roman" w:cs="Times New Roman"/>
        </w:rPr>
        <w:t xml:space="preserve"> Rodeiro (2017) have noted that the Bologna and Copenhagen processes in the EU and the reforms which have followed have increased motivation to monitor student destinations in Europe. Exceptions include </w:t>
      </w:r>
      <w:r w:rsidRPr="00675060">
        <w:rPr>
          <w:rFonts w:ascii="Times New Roman" w:hAnsi="Times New Roman" w:cs="Times New Roman"/>
        </w:rPr>
        <w:t xml:space="preserve">Estonia, widely regarded </w:t>
      </w:r>
      <w:r w:rsidR="006566F9" w:rsidRPr="00675060">
        <w:rPr>
          <w:rFonts w:ascii="Times New Roman" w:hAnsi="Times New Roman" w:cs="Times New Roman"/>
        </w:rPr>
        <w:t xml:space="preserve">for </w:t>
      </w:r>
      <w:r w:rsidR="00C731A3" w:rsidRPr="00675060">
        <w:rPr>
          <w:rFonts w:ascii="Times New Roman" w:hAnsi="Times New Roman" w:cs="Times New Roman"/>
        </w:rPr>
        <w:t xml:space="preserve">the extent of </w:t>
      </w:r>
      <w:r w:rsidR="006566F9" w:rsidRPr="00675060">
        <w:rPr>
          <w:rFonts w:ascii="Times New Roman" w:hAnsi="Times New Roman" w:cs="Times New Roman"/>
        </w:rPr>
        <w:t xml:space="preserve">its </w:t>
      </w:r>
      <w:r w:rsidR="006566F9" w:rsidRPr="00675060">
        <w:rPr>
          <w:rFonts w:ascii="Times New Roman" w:hAnsi="Times New Roman" w:cs="Times New Roman"/>
        </w:rPr>
        <w:lastRenderedPageBreak/>
        <w:t>online public services (Cedefop, 2017)</w:t>
      </w:r>
      <w:r w:rsidRPr="00675060">
        <w:rPr>
          <w:rFonts w:ascii="Times New Roman" w:hAnsi="Times New Roman" w:cs="Times New Roman"/>
        </w:rPr>
        <w:t xml:space="preserve">, </w:t>
      </w:r>
      <w:r w:rsidR="00C731A3" w:rsidRPr="00675060">
        <w:rPr>
          <w:rFonts w:ascii="Times New Roman" w:hAnsi="Times New Roman" w:cs="Times New Roman"/>
        </w:rPr>
        <w:t xml:space="preserve">which </w:t>
      </w:r>
      <w:r w:rsidRPr="00675060">
        <w:rPr>
          <w:rFonts w:ascii="Times New Roman" w:hAnsi="Times New Roman" w:cs="Times New Roman"/>
        </w:rPr>
        <w:t>requires</w:t>
      </w:r>
      <w:r w:rsidR="00C8359C" w:rsidRPr="00675060">
        <w:rPr>
          <w:rFonts w:ascii="Times New Roman" w:hAnsi="Times New Roman" w:cs="Times New Roman"/>
        </w:rPr>
        <w:t xml:space="preserve"> </w:t>
      </w:r>
      <w:r w:rsidRPr="00675060">
        <w:rPr>
          <w:rFonts w:ascii="Times New Roman" w:hAnsi="Times New Roman" w:cs="Times New Roman"/>
        </w:rPr>
        <w:t xml:space="preserve">TVET providers to gather data on employment status outcomes six months </w:t>
      </w:r>
      <w:r w:rsidR="00CC0EA2" w:rsidRPr="00675060">
        <w:rPr>
          <w:rFonts w:ascii="Times New Roman" w:hAnsi="Times New Roman" w:cs="Times New Roman"/>
        </w:rPr>
        <w:t>post-graduation</w:t>
      </w:r>
      <w:r w:rsidRPr="00675060">
        <w:rPr>
          <w:rFonts w:ascii="Times New Roman" w:hAnsi="Times New Roman" w:cs="Times New Roman"/>
        </w:rPr>
        <w:t xml:space="preserve"> and </w:t>
      </w:r>
      <w:r w:rsidR="00C731A3" w:rsidRPr="00675060">
        <w:rPr>
          <w:rFonts w:ascii="Times New Roman" w:hAnsi="Times New Roman" w:cs="Times New Roman"/>
        </w:rPr>
        <w:t xml:space="preserve">which </w:t>
      </w:r>
      <w:r w:rsidRPr="00675060">
        <w:rPr>
          <w:rFonts w:ascii="Times New Roman" w:hAnsi="Times New Roman" w:cs="Times New Roman"/>
        </w:rPr>
        <w:t xml:space="preserve">publishes the percentage of pupils </w:t>
      </w:r>
      <w:r w:rsidR="00C731A3" w:rsidRPr="00675060">
        <w:rPr>
          <w:rFonts w:ascii="Times New Roman" w:hAnsi="Times New Roman" w:cs="Times New Roman"/>
        </w:rPr>
        <w:t xml:space="preserve">in general secondary schools who </w:t>
      </w:r>
      <w:r w:rsidRPr="00675060">
        <w:rPr>
          <w:rFonts w:ascii="Times New Roman" w:hAnsi="Times New Roman" w:cs="Times New Roman"/>
        </w:rPr>
        <w:t>continu</w:t>
      </w:r>
      <w:r w:rsidR="00C731A3" w:rsidRPr="00675060">
        <w:rPr>
          <w:rFonts w:ascii="Times New Roman" w:hAnsi="Times New Roman" w:cs="Times New Roman"/>
        </w:rPr>
        <w:t>e</w:t>
      </w:r>
      <w:r w:rsidR="00C8359C" w:rsidRPr="00675060">
        <w:rPr>
          <w:rFonts w:ascii="Times New Roman" w:hAnsi="Times New Roman" w:cs="Times New Roman"/>
        </w:rPr>
        <w:t xml:space="preserve"> </w:t>
      </w:r>
      <w:r w:rsidR="00C731A3" w:rsidRPr="00675060">
        <w:rPr>
          <w:rFonts w:ascii="Times New Roman" w:hAnsi="Times New Roman" w:cs="Times New Roman"/>
        </w:rPr>
        <w:t xml:space="preserve">their </w:t>
      </w:r>
      <w:r w:rsidRPr="00675060">
        <w:rPr>
          <w:rFonts w:ascii="Times New Roman" w:hAnsi="Times New Roman" w:cs="Times New Roman"/>
        </w:rPr>
        <w:t xml:space="preserve">studies </w:t>
      </w:r>
      <w:r w:rsidR="00C731A3" w:rsidRPr="00675060">
        <w:rPr>
          <w:rFonts w:ascii="Times New Roman" w:hAnsi="Times New Roman" w:cs="Times New Roman"/>
        </w:rPr>
        <w:t xml:space="preserve">at </w:t>
      </w:r>
      <w:r w:rsidRPr="00675060">
        <w:rPr>
          <w:rFonts w:ascii="Times New Roman" w:hAnsi="Times New Roman" w:cs="Times New Roman"/>
        </w:rPr>
        <w:t xml:space="preserve">university on a state-funded place (available online by school from </w:t>
      </w:r>
      <w:hyperlink r:id="rId12" w:history="1">
        <w:r w:rsidRPr="00675060">
          <w:rPr>
            <w:rStyle w:val="Hyperlink"/>
            <w:rFonts w:ascii="Times New Roman" w:hAnsi="Times New Roman" w:cs="Times New Roman"/>
          </w:rPr>
          <w:t>www.ehis.ee</w:t>
        </w:r>
      </w:hyperlink>
      <w:r w:rsidRPr="00675060">
        <w:rPr>
          <w:rFonts w:ascii="Times New Roman" w:hAnsi="Times New Roman" w:cs="Times New Roman"/>
        </w:rPr>
        <w:t xml:space="preserve">) (Irs </w:t>
      </w:r>
      <w:r w:rsidR="009D0A1A" w:rsidRPr="00675060">
        <w:rPr>
          <w:rFonts w:ascii="Times New Roman" w:hAnsi="Times New Roman" w:cs="Times New Roman"/>
        </w:rPr>
        <w:t>&amp;</w:t>
      </w:r>
      <w:r w:rsidRPr="00675060">
        <w:rPr>
          <w:rFonts w:ascii="Times New Roman" w:hAnsi="Times New Roman" w:cs="Times New Roman"/>
        </w:rPr>
        <w:t xml:space="preserve"> Turk, 2012). </w:t>
      </w:r>
    </w:p>
    <w:p w14:paraId="0A977CC2" w14:textId="77777777" w:rsidR="00E76772" w:rsidRPr="00675060" w:rsidRDefault="006E50AF" w:rsidP="00683FD8">
      <w:pPr>
        <w:spacing w:line="480" w:lineRule="auto"/>
        <w:ind w:firstLine="720"/>
        <w:rPr>
          <w:rFonts w:ascii="Times New Roman" w:hAnsi="Times New Roman" w:cs="Times New Roman"/>
        </w:rPr>
      </w:pPr>
      <w:r w:rsidRPr="00675060">
        <w:rPr>
          <w:rFonts w:ascii="Times New Roman" w:hAnsi="Times New Roman" w:cs="Times New Roman"/>
        </w:rPr>
        <w:t xml:space="preserve">The EU </w:t>
      </w:r>
      <w:r w:rsidR="0007635F" w:rsidRPr="00675060">
        <w:rPr>
          <w:rFonts w:ascii="Times New Roman" w:hAnsi="Times New Roman" w:cs="Times New Roman"/>
        </w:rPr>
        <w:t xml:space="preserve">has identified a strategic need to improve the usage of “tracer studies”, that is surveys after pupils have left particular stages of education, as part of improving efforts to plan skills and match labour market supply and demand. The 2016 guide to tracer studies commissioned by the </w:t>
      </w:r>
      <w:r w:rsidR="00F47F1C" w:rsidRPr="00675060">
        <w:rPr>
          <w:rFonts w:ascii="Times New Roman" w:hAnsi="Times New Roman" w:cs="Times New Roman"/>
        </w:rPr>
        <w:t>European Training Foundation</w:t>
      </w:r>
      <w:r w:rsidR="0007635F" w:rsidRPr="00675060">
        <w:rPr>
          <w:rFonts w:ascii="Times New Roman" w:hAnsi="Times New Roman" w:cs="Times New Roman"/>
        </w:rPr>
        <w:t xml:space="preserve"> acknowledges that tracer studies are widespread in higher education </w:t>
      </w:r>
      <w:r w:rsidR="000F5BDF" w:rsidRPr="00675060">
        <w:rPr>
          <w:rFonts w:ascii="Times New Roman" w:hAnsi="Times New Roman" w:cs="Times New Roman"/>
        </w:rPr>
        <w:t xml:space="preserve">but less common </w:t>
      </w:r>
      <w:r w:rsidR="0007635F" w:rsidRPr="00675060">
        <w:rPr>
          <w:rFonts w:ascii="Times New Roman" w:hAnsi="Times New Roman" w:cs="Times New Roman"/>
        </w:rPr>
        <w:t>in</w:t>
      </w:r>
      <w:r w:rsidR="000F5BDF" w:rsidRPr="00675060">
        <w:rPr>
          <w:rFonts w:ascii="Times New Roman" w:hAnsi="Times New Roman" w:cs="Times New Roman"/>
        </w:rPr>
        <w:t xml:space="preserve"> TVET</w:t>
      </w:r>
      <w:r w:rsidR="003A7E76" w:rsidRPr="00675060">
        <w:rPr>
          <w:rFonts w:ascii="Times New Roman" w:hAnsi="Times New Roman" w:cs="Times New Roman"/>
        </w:rPr>
        <w:t xml:space="preserve">, which is the priority of the guide </w:t>
      </w:r>
      <w:r w:rsidR="00F47F1C" w:rsidRPr="00675060">
        <w:rPr>
          <w:rFonts w:ascii="Times New Roman" w:hAnsi="Times New Roman" w:cs="Times New Roman"/>
        </w:rPr>
        <w:t>(Schomburg, 2016)</w:t>
      </w:r>
      <w:r w:rsidR="0007635F" w:rsidRPr="00675060">
        <w:rPr>
          <w:rFonts w:ascii="Times New Roman" w:hAnsi="Times New Roman" w:cs="Times New Roman"/>
        </w:rPr>
        <w:t>. The guide notes that there is new demand for “tracer studies”, due to priorities around reaccreditation, quality management, legal changes and demand from donor agencies</w:t>
      </w:r>
      <w:r w:rsidR="00F47F1C" w:rsidRPr="00675060">
        <w:rPr>
          <w:rFonts w:ascii="Times New Roman" w:hAnsi="Times New Roman" w:cs="Times New Roman"/>
        </w:rPr>
        <w:t xml:space="preserve">. </w:t>
      </w:r>
      <w:r w:rsidR="00D53283" w:rsidRPr="00675060">
        <w:rPr>
          <w:rFonts w:ascii="Times New Roman" w:hAnsi="Times New Roman" w:cs="Times New Roman"/>
        </w:rPr>
        <w:t xml:space="preserve">However, many of the tracer studies that take place currently do not allow – for reasons of sample size or policy – public analysis of institution-level data, such as in Germany for higher education or the Netherlands for secondary education (Schomburg, 2016). </w:t>
      </w:r>
    </w:p>
    <w:p w14:paraId="7099CAE8" w14:textId="576827C5" w:rsidR="00440340" w:rsidRPr="00675060" w:rsidRDefault="00F47F1C" w:rsidP="00683FD8">
      <w:pPr>
        <w:spacing w:line="480" w:lineRule="auto"/>
        <w:ind w:firstLine="720"/>
        <w:rPr>
          <w:rFonts w:ascii="Times New Roman" w:hAnsi="Times New Roman" w:cs="Times New Roman"/>
        </w:rPr>
      </w:pPr>
      <w:r w:rsidRPr="00675060">
        <w:rPr>
          <w:rFonts w:ascii="Times New Roman" w:hAnsi="Times New Roman" w:cs="Times New Roman"/>
        </w:rPr>
        <w:t xml:space="preserve">One example of a </w:t>
      </w:r>
      <w:r w:rsidR="00AA03D0" w:rsidRPr="00675060">
        <w:rPr>
          <w:rFonts w:ascii="Times New Roman" w:hAnsi="Times New Roman" w:cs="Times New Roman"/>
        </w:rPr>
        <w:t xml:space="preserve">centrally funded </w:t>
      </w:r>
      <w:r w:rsidR="00873D39" w:rsidRPr="00675060">
        <w:rPr>
          <w:rFonts w:ascii="Times New Roman" w:hAnsi="Times New Roman" w:cs="Times New Roman"/>
        </w:rPr>
        <w:t>pilot project</w:t>
      </w:r>
      <w:r w:rsidR="00C8359C" w:rsidRPr="00675060">
        <w:rPr>
          <w:rFonts w:ascii="Times New Roman" w:hAnsi="Times New Roman" w:cs="Times New Roman"/>
        </w:rPr>
        <w:t xml:space="preserve"> </w:t>
      </w:r>
      <w:r w:rsidRPr="00675060">
        <w:rPr>
          <w:rFonts w:ascii="Times New Roman" w:hAnsi="Times New Roman" w:cs="Times New Roman"/>
        </w:rPr>
        <w:t xml:space="preserve">in the EU </w:t>
      </w:r>
      <w:r w:rsidR="00AA03D0" w:rsidRPr="00675060">
        <w:rPr>
          <w:rFonts w:ascii="Times New Roman" w:hAnsi="Times New Roman" w:cs="Times New Roman"/>
        </w:rPr>
        <w:t xml:space="preserve">to </w:t>
      </w:r>
      <w:r w:rsidR="00873D39" w:rsidRPr="00675060">
        <w:rPr>
          <w:rFonts w:ascii="Times New Roman" w:hAnsi="Times New Roman" w:cs="Times New Roman"/>
        </w:rPr>
        <w:t xml:space="preserve">improve </w:t>
      </w:r>
      <w:r w:rsidRPr="00675060">
        <w:rPr>
          <w:rFonts w:ascii="Times New Roman" w:hAnsi="Times New Roman" w:cs="Times New Roman"/>
        </w:rPr>
        <w:t xml:space="preserve">TVET </w:t>
      </w:r>
      <w:r w:rsidR="00AA03D0" w:rsidRPr="00675060">
        <w:rPr>
          <w:rFonts w:ascii="Times New Roman" w:hAnsi="Times New Roman" w:cs="Times New Roman"/>
        </w:rPr>
        <w:t xml:space="preserve">destinations data </w:t>
      </w:r>
      <w:r w:rsidRPr="00675060">
        <w:rPr>
          <w:rFonts w:ascii="Times New Roman" w:hAnsi="Times New Roman" w:cs="Times New Roman"/>
        </w:rPr>
        <w:t>is t</w:t>
      </w:r>
      <w:r w:rsidR="00873D39" w:rsidRPr="00675060">
        <w:rPr>
          <w:rFonts w:ascii="Times New Roman" w:hAnsi="Times New Roman" w:cs="Times New Roman"/>
        </w:rPr>
        <w:t>he Traktion project</w:t>
      </w:r>
      <w:r w:rsidR="00C731A3" w:rsidRPr="00675060">
        <w:rPr>
          <w:rFonts w:ascii="Times New Roman" w:hAnsi="Times New Roman" w:cs="Times New Roman"/>
        </w:rPr>
        <w:t xml:space="preserve"> (2017-2020)</w:t>
      </w:r>
      <w:r w:rsidR="00873D39" w:rsidRPr="00675060">
        <w:rPr>
          <w:rFonts w:ascii="Times New Roman" w:hAnsi="Times New Roman" w:cs="Times New Roman"/>
        </w:rPr>
        <w:t>, co-funded by the Erasmus+ Programme</w:t>
      </w:r>
      <w:r w:rsidRPr="00675060">
        <w:rPr>
          <w:rFonts w:ascii="Times New Roman" w:hAnsi="Times New Roman" w:cs="Times New Roman"/>
        </w:rPr>
        <w:t>. Traktion</w:t>
      </w:r>
      <w:r w:rsidR="00873D39" w:rsidRPr="00675060">
        <w:rPr>
          <w:rFonts w:ascii="Times New Roman" w:hAnsi="Times New Roman" w:cs="Times New Roman"/>
        </w:rPr>
        <w:t xml:space="preserve"> brings three secondary education TVET providers in Estonia, the Netherlands and Italy together with sector experts to develop new processes and guides for tracking leavers and building alumni networks (</w:t>
      </w:r>
      <w:hyperlink r:id="rId13" w:history="1">
        <w:r w:rsidR="00873D39" w:rsidRPr="00675060">
          <w:rPr>
            <w:rFonts w:ascii="Times New Roman" w:hAnsi="Times New Roman" w:cs="Times New Roman"/>
          </w:rPr>
          <w:t>tracktionerasmus.eu/project-information</w:t>
        </w:r>
      </w:hyperlink>
      <w:r w:rsidR="00873D39" w:rsidRPr="00675060">
        <w:rPr>
          <w:rFonts w:ascii="Times New Roman" w:hAnsi="Times New Roman" w:cs="Times New Roman"/>
        </w:rPr>
        <w:t xml:space="preserve">). The project is a response to recommendations and indicators identified by EU Quality Assurance in VET (EQAVET; </w:t>
      </w:r>
      <w:hyperlink r:id="rId14" w:history="1">
        <w:r w:rsidR="00873D39" w:rsidRPr="00675060">
          <w:rPr>
            <w:rFonts w:ascii="Times New Roman" w:hAnsi="Times New Roman" w:cs="Times New Roman"/>
          </w:rPr>
          <w:t>www.eqavet.eu</w:t>
        </w:r>
      </w:hyperlink>
      <w:r w:rsidR="00873D39" w:rsidRPr="00675060">
        <w:rPr>
          <w:rFonts w:ascii="Times New Roman" w:hAnsi="Times New Roman" w:cs="Times New Roman"/>
        </w:rPr>
        <w:t xml:space="preserve">) and intends to help TVET schools better understand school-to-work transitions and the impact of their learning on graduates’ careers, They identify that existing national graduation surveys in the EU often cannot be linked back to the institution and, when they do, tend not to trigger action to better support student preparation and decision-making.  </w:t>
      </w:r>
      <w:r w:rsidR="006E50AF" w:rsidRPr="00675060">
        <w:rPr>
          <w:rFonts w:ascii="Times New Roman" w:hAnsi="Times New Roman" w:cs="Times New Roman"/>
        </w:rPr>
        <w:t xml:space="preserve">Ambitions for better destinations tracking can also be found reviews commissioned by the Welsh Assembly Government (Edwards, </w:t>
      </w:r>
      <w:r w:rsidR="00FC2AAF">
        <w:rPr>
          <w:rFonts w:ascii="Times New Roman" w:hAnsi="Times New Roman" w:cs="Times New Roman"/>
        </w:rPr>
        <w:t xml:space="preserve">Saunders, &amp; Hughes, </w:t>
      </w:r>
      <w:r w:rsidR="006E50AF" w:rsidRPr="00675060">
        <w:rPr>
          <w:rFonts w:ascii="Times New Roman" w:hAnsi="Times New Roman" w:cs="Times New Roman"/>
        </w:rPr>
        <w:t>2010)</w:t>
      </w:r>
      <w:r w:rsidR="009F1E0F" w:rsidRPr="00675060">
        <w:rPr>
          <w:rFonts w:ascii="Times New Roman" w:hAnsi="Times New Roman" w:cs="Times New Roman"/>
        </w:rPr>
        <w:t xml:space="preserve">. </w:t>
      </w:r>
    </w:p>
    <w:p w14:paraId="570A1B78" w14:textId="77777777" w:rsidR="00F07614" w:rsidRPr="00124B4D" w:rsidRDefault="00F07614" w:rsidP="00BA34EA">
      <w:pPr>
        <w:spacing w:line="480" w:lineRule="auto"/>
        <w:rPr>
          <w:rFonts w:ascii="Times New Roman" w:hAnsi="Times New Roman" w:cs="Times New Roman"/>
        </w:rPr>
      </w:pPr>
    </w:p>
    <w:p w14:paraId="39CCA7BB" w14:textId="77777777" w:rsidR="00AB130D" w:rsidRPr="00124B4D" w:rsidRDefault="001C066E" w:rsidP="00BA34EA">
      <w:pPr>
        <w:spacing w:line="480" w:lineRule="auto"/>
        <w:rPr>
          <w:rFonts w:ascii="Times New Roman" w:hAnsi="Times New Roman" w:cs="Times New Roman"/>
          <w:i/>
        </w:rPr>
      </w:pPr>
      <w:r w:rsidRPr="00124B4D">
        <w:rPr>
          <w:rFonts w:ascii="Times New Roman" w:hAnsi="Times New Roman" w:cs="Times New Roman"/>
          <w:i/>
        </w:rPr>
        <w:lastRenderedPageBreak/>
        <w:t xml:space="preserve">Case study on </w:t>
      </w:r>
      <w:r w:rsidR="00407841" w:rsidRPr="00124B4D">
        <w:rPr>
          <w:rFonts w:ascii="Times New Roman" w:hAnsi="Times New Roman" w:cs="Times New Roman"/>
          <w:i/>
        </w:rPr>
        <w:t xml:space="preserve">recent </w:t>
      </w:r>
      <w:r w:rsidRPr="00124B4D">
        <w:rPr>
          <w:rFonts w:ascii="Times New Roman" w:hAnsi="Times New Roman" w:cs="Times New Roman"/>
          <w:i/>
        </w:rPr>
        <w:t>reforms in England</w:t>
      </w:r>
    </w:p>
    <w:p w14:paraId="1AD2CE38" w14:textId="5535D63D" w:rsidR="003A7E76" w:rsidRPr="00124B4D" w:rsidRDefault="00407841" w:rsidP="00FB2408">
      <w:pPr>
        <w:spacing w:line="480" w:lineRule="auto"/>
        <w:rPr>
          <w:rFonts w:ascii="Times New Roman" w:hAnsi="Times New Roman" w:cs="Times New Roman"/>
        </w:rPr>
      </w:pPr>
      <w:r w:rsidRPr="00124B4D">
        <w:rPr>
          <w:rFonts w:ascii="Times New Roman" w:hAnsi="Times New Roman" w:cs="Times New Roman"/>
        </w:rPr>
        <w:t xml:space="preserve">The Department for Education in England published </w:t>
      </w:r>
      <w:r w:rsidR="00FB2408">
        <w:rPr>
          <w:rFonts w:ascii="Times New Roman" w:hAnsi="Times New Roman" w:cs="Times New Roman"/>
        </w:rPr>
        <w:t xml:space="preserve">provider-level </w:t>
      </w:r>
      <w:r w:rsidRPr="00124B4D">
        <w:rPr>
          <w:rFonts w:ascii="Times New Roman" w:hAnsi="Times New Roman" w:cs="Times New Roman"/>
        </w:rPr>
        <w:t>Key Stage 4</w:t>
      </w:r>
      <w:r w:rsidR="00C731A3" w:rsidRPr="00124B4D">
        <w:rPr>
          <w:rFonts w:ascii="Times New Roman" w:hAnsi="Times New Roman" w:cs="Times New Roman"/>
        </w:rPr>
        <w:t xml:space="preserve"> (age 14-16)</w:t>
      </w:r>
      <w:r w:rsidRPr="00124B4D">
        <w:rPr>
          <w:rFonts w:ascii="Times New Roman" w:hAnsi="Times New Roman" w:cs="Times New Roman"/>
        </w:rPr>
        <w:t xml:space="preserve"> and Key Stage 5 </w:t>
      </w:r>
      <w:r w:rsidR="00C731A3" w:rsidRPr="00124B4D">
        <w:rPr>
          <w:rFonts w:ascii="Times New Roman" w:hAnsi="Times New Roman" w:cs="Times New Roman"/>
        </w:rPr>
        <w:t xml:space="preserve">(age 16-18) </w:t>
      </w:r>
      <w:r w:rsidRPr="00124B4D">
        <w:rPr>
          <w:rFonts w:ascii="Times New Roman" w:hAnsi="Times New Roman" w:cs="Times New Roman"/>
        </w:rPr>
        <w:t>“destination measures”</w:t>
      </w:r>
      <w:r w:rsidR="00180F73" w:rsidRPr="00124B4D">
        <w:rPr>
          <w:rFonts w:ascii="Times New Roman" w:hAnsi="Times New Roman" w:cs="Times New Roman"/>
        </w:rPr>
        <w:t xml:space="preserve"> as experimental statistics</w:t>
      </w:r>
      <w:r w:rsidRPr="00124B4D">
        <w:rPr>
          <w:rFonts w:ascii="Times New Roman" w:hAnsi="Times New Roman" w:cs="Times New Roman"/>
        </w:rPr>
        <w:t xml:space="preserve"> for the first time in 2012, </w:t>
      </w:r>
      <w:r w:rsidR="00683FD8" w:rsidRPr="00124B4D">
        <w:rPr>
          <w:rFonts w:ascii="Times New Roman" w:hAnsi="Times New Roman" w:cs="Times New Roman"/>
        </w:rPr>
        <w:t xml:space="preserve">linking together various administrative datasets to </w:t>
      </w:r>
      <w:r w:rsidRPr="00124B4D">
        <w:rPr>
          <w:rFonts w:ascii="Times New Roman" w:hAnsi="Times New Roman" w:cs="Times New Roman"/>
        </w:rPr>
        <w:t>describ</w:t>
      </w:r>
      <w:r w:rsidR="00683FD8" w:rsidRPr="00124B4D">
        <w:rPr>
          <w:rFonts w:ascii="Times New Roman" w:hAnsi="Times New Roman" w:cs="Times New Roman"/>
        </w:rPr>
        <w:t>e</w:t>
      </w:r>
      <w:r w:rsidRPr="00124B4D">
        <w:rPr>
          <w:rFonts w:ascii="Times New Roman" w:hAnsi="Times New Roman" w:cs="Times New Roman"/>
        </w:rPr>
        <w:t xml:space="preserve"> what happened to students after </w:t>
      </w:r>
      <w:r w:rsidR="00C731A3" w:rsidRPr="00124B4D">
        <w:rPr>
          <w:rFonts w:ascii="Times New Roman" w:hAnsi="Times New Roman" w:cs="Times New Roman"/>
        </w:rPr>
        <w:t xml:space="preserve">each stage of education </w:t>
      </w:r>
      <w:r w:rsidRPr="00124B4D">
        <w:rPr>
          <w:rFonts w:ascii="Times New Roman" w:hAnsi="Times New Roman" w:cs="Times New Roman"/>
        </w:rPr>
        <w:t xml:space="preserve">(DfE, 2015). </w:t>
      </w:r>
      <w:r w:rsidR="00180F73" w:rsidRPr="00124B4D">
        <w:rPr>
          <w:rFonts w:ascii="Times New Roman" w:hAnsi="Times New Roman" w:cs="Times New Roman"/>
        </w:rPr>
        <w:t xml:space="preserve">The first set of statistics stated the percentage of students within each </w:t>
      </w:r>
      <w:r w:rsidR="00FB2408">
        <w:rPr>
          <w:rFonts w:ascii="Times New Roman" w:hAnsi="Times New Roman" w:cs="Times New Roman"/>
        </w:rPr>
        <w:t>education provider</w:t>
      </w:r>
      <w:r w:rsidR="00180F73" w:rsidRPr="00124B4D">
        <w:rPr>
          <w:rFonts w:ascii="Times New Roman" w:hAnsi="Times New Roman" w:cs="Times New Roman"/>
        </w:rPr>
        <w:t xml:space="preserve"> who stayed in education and the percentage participating in training via an apprenticeship or work-based learning, including only participation that had been sustained for at least two </w:t>
      </w:r>
      <w:r w:rsidR="005872C8" w:rsidRPr="00124B4D">
        <w:rPr>
          <w:rFonts w:ascii="Times New Roman" w:hAnsi="Times New Roman" w:cs="Times New Roman"/>
        </w:rPr>
        <w:t xml:space="preserve">academic </w:t>
      </w:r>
      <w:r w:rsidR="00180F73" w:rsidRPr="00124B4D">
        <w:rPr>
          <w:rFonts w:ascii="Times New Roman" w:hAnsi="Times New Roman" w:cs="Times New Roman"/>
        </w:rPr>
        <w:t>terms</w:t>
      </w:r>
      <w:r w:rsidR="005872C8" w:rsidRPr="00124B4D">
        <w:rPr>
          <w:rFonts w:ascii="Times New Roman" w:hAnsi="Times New Roman" w:cs="Times New Roman"/>
        </w:rPr>
        <w:t>/semesters</w:t>
      </w:r>
      <w:r w:rsidR="00180F73" w:rsidRPr="00124B4D">
        <w:rPr>
          <w:rFonts w:ascii="Times New Roman" w:hAnsi="Times New Roman" w:cs="Times New Roman"/>
        </w:rPr>
        <w:t>. The data related to students who were in the last year of the completed education phase in 2008/09 and referred to their destinations during the 2009/10 academic year. Concerns over small sample sizes in some cohorts were handled through such measures as rounding to the nearest 5 or 10 and suppressing metrics based on 5 or fewer students.</w:t>
      </w:r>
      <w:r w:rsidR="00FB2408">
        <w:rPr>
          <w:rFonts w:ascii="Times New Roman" w:hAnsi="Times New Roman" w:cs="Times New Roman"/>
        </w:rPr>
        <w:t xml:space="preserve"> </w:t>
      </w:r>
      <w:r w:rsidR="00180F73" w:rsidRPr="00124B4D">
        <w:rPr>
          <w:rFonts w:ascii="Times New Roman" w:hAnsi="Times New Roman" w:cs="Times New Roman"/>
        </w:rPr>
        <w:t xml:space="preserve">In subsequent years, additional experimental statistics were added, culminating in 2018 in the publication of a good practice guide for schools (DfE, 2018). At this stage, provider-level data </w:t>
      </w:r>
      <w:r w:rsidR="00C731A3" w:rsidRPr="00124B4D">
        <w:rPr>
          <w:rFonts w:ascii="Times New Roman" w:hAnsi="Times New Roman" w:cs="Times New Roman"/>
        </w:rPr>
        <w:t>could</w:t>
      </w:r>
      <w:r w:rsidR="00180F73" w:rsidRPr="00124B4D">
        <w:rPr>
          <w:rFonts w:ascii="Times New Roman" w:hAnsi="Times New Roman" w:cs="Times New Roman"/>
        </w:rPr>
        <w:t xml:space="preserve"> be accessed, via www.compare-school-performance.service.gov.uk, for the vast majority of secondary education providers in England, including descriptive data on the cohort, such as gender, special education needs, and levels of disadvantage, alongside more traditional measures of academic achievement and exam grade value-added. </w:t>
      </w:r>
    </w:p>
    <w:p w14:paraId="243DF2C4" w14:textId="0D68D747" w:rsidR="00180F73" w:rsidRPr="00124B4D" w:rsidRDefault="003A7E76" w:rsidP="00683FD8">
      <w:pPr>
        <w:spacing w:line="480" w:lineRule="auto"/>
        <w:ind w:firstLine="720"/>
        <w:rPr>
          <w:rFonts w:ascii="Times New Roman" w:hAnsi="Times New Roman" w:cs="Times New Roman"/>
        </w:rPr>
      </w:pPr>
      <w:r w:rsidRPr="00124B4D">
        <w:rPr>
          <w:rFonts w:ascii="Times New Roman" w:hAnsi="Times New Roman" w:cs="Times New Roman"/>
        </w:rPr>
        <w:t xml:space="preserve">Post-16 destinations are broken down by sustained participation in </w:t>
      </w:r>
      <w:r w:rsidR="00F3193F" w:rsidRPr="00124B4D">
        <w:rPr>
          <w:rFonts w:ascii="Times New Roman" w:hAnsi="Times New Roman" w:cs="Times New Roman"/>
        </w:rPr>
        <w:t xml:space="preserve">(a) </w:t>
      </w:r>
      <w:r w:rsidRPr="00124B4D">
        <w:rPr>
          <w:rFonts w:ascii="Times New Roman" w:hAnsi="Times New Roman" w:cs="Times New Roman"/>
        </w:rPr>
        <w:t xml:space="preserve">apprenticeships, </w:t>
      </w:r>
      <w:r w:rsidR="00F3193F" w:rsidRPr="00124B4D">
        <w:rPr>
          <w:rFonts w:ascii="Times New Roman" w:hAnsi="Times New Roman" w:cs="Times New Roman"/>
        </w:rPr>
        <w:t xml:space="preserve">(b) </w:t>
      </w:r>
      <w:r w:rsidRPr="00124B4D">
        <w:rPr>
          <w:rFonts w:ascii="Times New Roman" w:hAnsi="Times New Roman" w:cs="Times New Roman"/>
        </w:rPr>
        <w:t xml:space="preserve">further education destinations, </w:t>
      </w:r>
      <w:r w:rsidR="00F3193F" w:rsidRPr="00124B4D">
        <w:rPr>
          <w:rFonts w:ascii="Times New Roman" w:hAnsi="Times New Roman" w:cs="Times New Roman"/>
        </w:rPr>
        <w:t xml:space="preserve">(c) </w:t>
      </w:r>
      <w:r w:rsidRPr="00124B4D">
        <w:rPr>
          <w:rFonts w:ascii="Times New Roman" w:hAnsi="Times New Roman" w:cs="Times New Roman"/>
        </w:rPr>
        <w:t xml:space="preserve">state-funded school sixth forms, </w:t>
      </w:r>
      <w:r w:rsidR="00F3193F" w:rsidRPr="00124B4D">
        <w:rPr>
          <w:rFonts w:ascii="Times New Roman" w:hAnsi="Times New Roman" w:cs="Times New Roman"/>
        </w:rPr>
        <w:t xml:space="preserve">(d) </w:t>
      </w:r>
      <w:r w:rsidRPr="00124B4D">
        <w:rPr>
          <w:rFonts w:ascii="Times New Roman" w:hAnsi="Times New Roman" w:cs="Times New Roman"/>
        </w:rPr>
        <w:t xml:space="preserve">sixth form colleges, </w:t>
      </w:r>
      <w:r w:rsidR="00F3193F" w:rsidRPr="00124B4D">
        <w:rPr>
          <w:rFonts w:ascii="Times New Roman" w:hAnsi="Times New Roman" w:cs="Times New Roman"/>
        </w:rPr>
        <w:t xml:space="preserve">(e) </w:t>
      </w:r>
      <w:r w:rsidRPr="00124B4D">
        <w:rPr>
          <w:rFonts w:ascii="Times New Roman" w:hAnsi="Times New Roman" w:cs="Times New Roman"/>
        </w:rPr>
        <w:t>other education destination</w:t>
      </w:r>
      <w:r w:rsidR="00F3193F" w:rsidRPr="00124B4D">
        <w:rPr>
          <w:rFonts w:ascii="Times New Roman" w:hAnsi="Times New Roman" w:cs="Times New Roman"/>
        </w:rPr>
        <w:t>s</w:t>
      </w:r>
      <w:r w:rsidRPr="00124B4D">
        <w:rPr>
          <w:rFonts w:ascii="Times New Roman" w:hAnsi="Times New Roman" w:cs="Times New Roman"/>
        </w:rPr>
        <w:t xml:space="preserve">, </w:t>
      </w:r>
      <w:r w:rsidR="00F3193F" w:rsidRPr="00124B4D">
        <w:rPr>
          <w:rFonts w:ascii="Times New Roman" w:hAnsi="Times New Roman" w:cs="Times New Roman"/>
        </w:rPr>
        <w:t xml:space="preserve">(f) </w:t>
      </w:r>
      <w:r w:rsidRPr="00124B4D">
        <w:rPr>
          <w:rFonts w:ascii="Times New Roman" w:hAnsi="Times New Roman" w:cs="Times New Roman"/>
        </w:rPr>
        <w:t xml:space="preserve">employment, </w:t>
      </w:r>
      <w:r w:rsidR="00F3193F" w:rsidRPr="00124B4D">
        <w:rPr>
          <w:rFonts w:ascii="Times New Roman" w:hAnsi="Times New Roman" w:cs="Times New Roman"/>
        </w:rPr>
        <w:t xml:space="preserve">(g) </w:t>
      </w:r>
      <w:r w:rsidRPr="00124B4D">
        <w:rPr>
          <w:rFonts w:ascii="Times New Roman" w:hAnsi="Times New Roman" w:cs="Times New Roman"/>
        </w:rPr>
        <w:t>unknown destination</w:t>
      </w:r>
      <w:r w:rsidR="00F3193F" w:rsidRPr="00124B4D">
        <w:rPr>
          <w:rFonts w:ascii="Times New Roman" w:hAnsi="Times New Roman" w:cs="Times New Roman"/>
        </w:rPr>
        <w:t>,</w:t>
      </w:r>
      <w:r w:rsidRPr="00124B4D">
        <w:rPr>
          <w:rFonts w:ascii="Times New Roman" w:hAnsi="Times New Roman" w:cs="Times New Roman"/>
        </w:rPr>
        <w:t xml:space="preserve"> and </w:t>
      </w:r>
      <w:r w:rsidR="00F3193F" w:rsidRPr="00124B4D">
        <w:rPr>
          <w:rFonts w:ascii="Times New Roman" w:hAnsi="Times New Roman" w:cs="Times New Roman"/>
        </w:rPr>
        <w:t xml:space="preserve">(h) </w:t>
      </w:r>
      <w:r w:rsidRPr="00124B4D">
        <w:rPr>
          <w:rFonts w:ascii="Times New Roman" w:hAnsi="Times New Roman" w:cs="Times New Roman"/>
        </w:rPr>
        <w:t xml:space="preserve">NEET (not in education, employment or training). Post-18 destinations are broken down by sustained participation in </w:t>
      </w:r>
      <w:r w:rsidR="00F3193F" w:rsidRPr="00124B4D">
        <w:rPr>
          <w:rFonts w:ascii="Times New Roman" w:hAnsi="Times New Roman" w:cs="Times New Roman"/>
        </w:rPr>
        <w:t xml:space="preserve">(a) </w:t>
      </w:r>
      <w:r w:rsidRPr="00124B4D">
        <w:rPr>
          <w:rFonts w:ascii="Times New Roman" w:hAnsi="Times New Roman" w:cs="Times New Roman"/>
        </w:rPr>
        <w:t xml:space="preserve">apprenticeships, </w:t>
      </w:r>
      <w:r w:rsidR="00F3193F" w:rsidRPr="00124B4D">
        <w:rPr>
          <w:rFonts w:ascii="Times New Roman" w:hAnsi="Times New Roman" w:cs="Times New Roman"/>
        </w:rPr>
        <w:t xml:space="preserve">(b) </w:t>
      </w:r>
      <w:r w:rsidRPr="00124B4D">
        <w:rPr>
          <w:rFonts w:ascii="Times New Roman" w:hAnsi="Times New Roman" w:cs="Times New Roman"/>
        </w:rPr>
        <w:t xml:space="preserve">continued education at Level 3 and below (i.e. equivalent to AS-level or A-level qualifications, </w:t>
      </w:r>
      <w:r w:rsidR="00F3193F" w:rsidRPr="00124B4D">
        <w:rPr>
          <w:rFonts w:ascii="Times New Roman" w:hAnsi="Times New Roman" w:cs="Times New Roman"/>
        </w:rPr>
        <w:t xml:space="preserve">commonly </w:t>
      </w:r>
      <w:r w:rsidRPr="00124B4D">
        <w:rPr>
          <w:rFonts w:ascii="Times New Roman" w:hAnsi="Times New Roman" w:cs="Times New Roman"/>
        </w:rPr>
        <w:t xml:space="preserve">taken </w:t>
      </w:r>
      <w:r w:rsidR="00F3193F" w:rsidRPr="00124B4D">
        <w:rPr>
          <w:rFonts w:ascii="Times New Roman" w:hAnsi="Times New Roman" w:cs="Times New Roman"/>
        </w:rPr>
        <w:t xml:space="preserve">aged </w:t>
      </w:r>
      <w:r w:rsidRPr="00124B4D">
        <w:rPr>
          <w:rFonts w:ascii="Times New Roman" w:hAnsi="Times New Roman" w:cs="Times New Roman"/>
        </w:rPr>
        <w:t>16-18)</w:t>
      </w:r>
      <w:r w:rsidR="00F3193F" w:rsidRPr="00124B4D">
        <w:rPr>
          <w:rFonts w:ascii="Times New Roman" w:hAnsi="Times New Roman" w:cs="Times New Roman"/>
        </w:rPr>
        <w:t xml:space="preserve">, (c) continued education at Level 4 and above, (d) studying at a “top third university” (i.e. universities whose entrants are in the top third nationally </w:t>
      </w:r>
      <w:r w:rsidR="00CF554D" w:rsidRPr="00124B4D">
        <w:rPr>
          <w:rFonts w:ascii="Times New Roman" w:hAnsi="Times New Roman" w:cs="Times New Roman"/>
        </w:rPr>
        <w:t>by prior attainment</w:t>
      </w:r>
      <w:r w:rsidR="00F3193F" w:rsidRPr="00124B4D">
        <w:rPr>
          <w:rFonts w:ascii="Times New Roman" w:hAnsi="Times New Roman" w:cs="Times New Roman"/>
        </w:rPr>
        <w:t xml:space="preserve">), (e) studying at the Universities of Oxford or Cambridge, (f) studying at a Russell Group university (a UK grouping of research-intensive universities), (g) other education destinations, (h) employment, (i) unknown destinations, and (j) NEET at some point from October to March and/or </w:t>
      </w:r>
      <w:r w:rsidR="00F3193F" w:rsidRPr="00124B4D">
        <w:rPr>
          <w:rFonts w:ascii="Times New Roman" w:hAnsi="Times New Roman" w:cs="Times New Roman"/>
        </w:rPr>
        <w:lastRenderedPageBreak/>
        <w:t>claimed out-of-work benefits at some point during the destination year</w:t>
      </w:r>
      <w:r w:rsidRPr="00124B4D">
        <w:rPr>
          <w:rFonts w:ascii="Times New Roman" w:hAnsi="Times New Roman" w:cs="Times New Roman"/>
        </w:rPr>
        <w:t xml:space="preserve">. All of these metrics are available separately for “disadvantaged pupils”, defined as those who were eligible for free school meals at any point in the previous six years (effectively a proxy for their parents being on state welfare) or having been looked after continuously by </w:t>
      </w:r>
      <w:r w:rsidR="00C731A3" w:rsidRPr="00124B4D">
        <w:rPr>
          <w:rFonts w:ascii="Times New Roman" w:hAnsi="Times New Roman" w:cs="Times New Roman"/>
        </w:rPr>
        <w:t xml:space="preserve">local government </w:t>
      </w:r>
      <w:r w:rsidRPr="00124B4D">
        <w:rPr>
          <w:rFonts w:ascii="Times New Roman" w:hAnsi="Times New Roman" w:cs="Times New Roman"/>
        </w:rPr>
        <w:t>(as opposed to their parents or guardians) for at least six months.</w:t>
      </w:r>
    </w:p>
    <w:p w14:paraId="77971A6C" w14:textId="0A176E9A" w:rsidR="00082389" w:rsidRPr="00124B4D" w:rsidRDefault="00F3193F" w:rsidP="00683FD8">
      <w:pPr>
        <w:spacing w:line="480" w:lineRule="auto"/>
        <w:ind w:firstLine="720"/>
        <w:rPr>
          <w:rFonts w:ascii="Times New Roman" w:hAnsi="Times New Roman" w:cs="Times New Roman"/>
        </w:rPr>
      </w:pPr>
      <w:r w:rsidRPr="00124B4D">
        <w:rPr>
          <w:rFonts w:ascii="Times New Roman" w:hAnsi="Times New Roman" w:cs="Times New Roman"/>
        </w:rPr>
        <w:t xml:space="preserve">The provider-level data made publicly available in England goes beyond the </w:t>
      </w:r>
      <w:r w:rsidR="00C731A3" w:rsidRPr="00124B4D">
        <w:rPr>
          <w:rFonts w:ascii="Times New Roman" w:hAnsi="Times New Roman" w:cs="Times New Roman"/>
        </w:rPr>
        <w:t xml:space="preserve">previous </w:t>
      </w:r>
      <w:r w:rsidRPr="00124B4D">
        <w:rPr>
          <w:rFonts w:ascii="Times New Roman" w:hAnsi="Times New Roman" w:cs="Times New Roman"/>
        </w:rPr>
        <w:t>examples in several areas. Other examples provided, at best, data on progression post-18 only, following the completion of upper secondary education; England also provides data on transitions after the national exams aged 16</w:t>
      </w:r>
      <w:r w:rsidR="00C731A3" w:rsidRPr="00124B4D">
        <w:rPr>
          <w:rFonts w:ascii="Times New Roman" w:hAnsi="Times New Roman" w:cs="Times New Roman"/>
        </w:rPr>
        <w:t>.</w:t>
      </w:r>
      <w:r w:rsidR="00FB2408">
        <w:rPr>
          <w:rFonts w:ascii="Times New Roman" w:hAnsi="Times New Roman" w:cs="Times New Roman"/>
        </w:rPr>
        <w:t xml:space="preserve"> </w:t>
      </w:r>
      <w:r w:rsidR="00FF7A0C" w:rsidRPr="00124B4D">
        <w:rPr>
          <w:rFonts w:ascii="Times New Roman" w:hAnsi="Times New Roman" w:cs="Times New Roman"/>
        </w:rPr>
        <w:t xml:space="preserve">While this is a common transition point in </w:t>
      </w:r>
      <w:r w:rsidR="004045DB" w:rsidRPr="00124B4D">
        <w:rPr>
          <w:rFonts w:ascii="Times New Roman" w:hAnsi="Times New Roman" w:cs="Times New Roman"/>
        </w:rPr>
        <w:t>some</w:t>
      </w:r>
      <w:r w:rsidR="00FF7A0C" w:rsidRPr="00124B4D">
        <w:rPr>
          <w:rFonts w:ascii="Times New Roman" w:hAnsi="Times New Roman" w:cs="Times New Roman"/>
        </w:rPr>
        <w:t xml:space="preserve"> </w:t>
      </w:r>
      <w:r w:rsidR="004045DB" w:rsidRPr="00124B4D">
        <w:rPr>
          <w:rFonts w:ascii="Times New Roman" w:hAnsi="Times New Roman" w:cs="Times New Roman"/>
        </w:rPr>
        <w:t xml:space="preserve">education </w:t>
      </w:r>
      <w:r w:rsidR="00FF7A0C" w:rsidRPr="00124B4D">
        <w:rPr>
          <w:rFonts w:ascii="Times New Roman" w:hAnsi="Times New Roman" w:cs="Times New Roman"/>
        </w:rPr>
        <w:t xml:space="preserve">systems, it is important to highlight that not every country has </w:t>
      </w:r>
      <w:r w:rsidRPr="00124B4D">
        <w:rPr>
          <w:rFonts w:ascii="Times New Roman" w:hAnsi="Times New Roman" w:cs="Times New Roman"/>
        </w:rPr>
        <w:t xml:space="preserve">such a transition point </w:t>
      </w:r>
      <w:r w:rsidR="00BF6C5A" w:rsidRPr="00124B4D">
        <w:rPr>
          <w:rFonts w:ascii="Times New Roman" w:hAnsi="Times New Roman" w:cs="Times New Roman"/>
        </w:rPr>
        <w:t>and countries with more structurally tracked education systems, like German, Austria or the Netherlands,</w:t>
      </w:r>
      <w:r w:rsidR="00FF7A0C" w:rsidRPr="00124B4D">
        <w:rPr>
          <w:rFonts w:ascii="Times New Roman" w:hAnsi="Times New Roman" w:cs="Times New Roman"/>
        </w:rPr>
        <w:t xml:space="preserve"> might naturally examine different transitions and destination metrics</w:t>
      </w:r>
      <w:r w:rsidRPr="00124B4D">
        <w:rPr>
          <w:rFonts w:ascii="Times New Roman" w:hAnsi="Times New Roman" w:cs="Times New Roman"/>
        </w:rPr>
        <w:t xml:space="preserve">. </w:t>
      </w:r>
      <w:r w:rsidR="00082389" w:rsidRPr="00124B4D">
        <w:rPr>
          <w:rFonts w:ascii="Times New Roman" w:hAnsi="Times New Roman" w:cs="Times New Roman"/>
        </w:rPr>
        <w:t xml:space="preserve">The varied range of destination types in the English data is also a distinction, albeit one that partly reflects the heterogeneity of education providers at 16-18 and post-18. For instance, other examples identified did not create such detailed hierarchies of higher education providers among the post-18 destinations. More striking </w:t>
      </w:r>
      <w:r w:rsidR="00FF7A0C" w:rsidRPr="00124B4D">
        <w:rPr>
          <w:rFonts w:ascii="Times New Roman" w:hAnsi="Times New Roman" w:cs="Times New Roman"/>
        </w:rPr>
        <w:t xml:space="preserve">– and more comparable between countries with different education systems - </w:t>
      </w:r>
      <w:r w:rsidR="00082389" w:rsidRPr="00124B4D">
        <w:rPr>
          <w:rFonts w:ascii="Times New Roman" w:hAnsi="Times New Roman" w:cs="Times New Roman"/>
        </w:rPr>
        <w:t xml:space="preserve">is the breakdown by pupil disadvantage. While destination analyses </w:t>
      </w:r>
      <w:r w:rsidR="00C731A3" w:rsidRPr="00124B4D">
        <w:rPr>
          <w:rFonts w:ascii="Times New Roman" w:hAnsi="Times New Roman" w:cs="Times New Roman"/>
        </w:rPr>
        <w:t xml:space="preserve">by student characteristic </w:t>
      </w:r>
      <w:r w:rsidR="00082389" w:rsidRPr="00124B4D">
        <w:rPr>
          <w:rFonts w:ascii="Times New Roman" w:hAnsi="Times New Roman" w:cs="Times New Roman"/>
        </w:rPr>
        <w:t xml:space="preserve">are relatively commonplace in developed countries at the national or regional level, the authors are not aware of other countries providing such data at the provider-level. New Zealand also stands out in providing destinations data broken down by gender and ethnicity, which is not available in the English data. </w:t>
      </w:r>
    </w:p>
    <w:p w14:paraId="7ADD9D8A" w14:textId="0A2D9631" w:rsidR="00082389" w:rsidRPr="00124B4D" w:rsidRDefault="00683FD8" w:rsidP="00683FD8">
      <w:pPr>
        <w:spacing w:line="480" w:lineRule="auto"/>
        <w:ind w:firstLine="720"/>
        <w:rPr>
          <w:rFonts w:ascii="Times New Roman" w:hAnsi="Times New Roman" w:cs="Times New Roman"/>
        </w:rPr>
      </w:pPr>
      <w:r w:rsidRPr="00124B4D">
        <w:rPr>
          <w:rFonts w:ascii="Times New Roman" w:hAnsi="Times New Roman" w:cs="Times New Roman"/>
        </w:rPr>
        <w:t xml:space="preserve">The stated policy goal of the Department for Education is consistent with the narrative in other </w:t>
      </w:r>
      <w:r w:rsidR="00C731A3" w:rsidRPr="00124B4D">
        <w:rPr>
          <w:rFonts w:ascii="Times New Roman" w:hAnsi="Times New Roman" w:cs="Times New Roman"/>
        </w:rPr>
        <w:t>countries</w:t>
      </w:r>
      <w:r w:rsidRPr="00124B4D">
        <w:rPr>
          <w:rFonts w:ascii="Times New Roman" w:hAnsi="Times New Roman" w:cs="Times New Roman"/>
        </w:rPr>
        <w:t>. The data are published in order to “provide clear and comparable information on the success of schools and colleges in helping their pupils/students take qualifications that offer them the best opportunity to progress” and</w:t>
      </w:r>
      <w:r w:rsidR="00C731A3" w:rsidRPr="00124B4D">
        <w:rPr>
          <w:rFonts w:ascii="Times New Roman" w:hAnsi="Times New Roman" w:cs="Times New Roman"/>
        </w:rPr>
        <w:t xml:space="preserve"> to</w:t>
      </w:r>
      <w:r w:rsidRPr="00124B4D">
        <w:rPr>
          <w:rFonts w:ascii="Times New Roman" w:hAnsi="Times New Roman" w:cs="Times New Roman"/>
        </w:rPr>
        <w:t xml:space="preserve"> “encourage institutions to make sure their students receive the support needed to prepare for and take up education, training or employment which offers good long term prospects” (DfE, 2015). The good practice guide (DfE, 2018) places these state-published destinations measures in context as accountability and transparency activities, as contrasted with </w:t>
      </w:r>
      <w:r w:rsidRPr="00124B4D">
        <w:rPr>
          <w:rFonts w:ascii="Times New Roman" w:hAnsi="Times New Roman" w:cs="Times New Roman"/>
        </w:rPr>
        <w:lastRenderedPageBreak/>
        <w:t xml:space="preserve">destinations data that schools </w:t>
      </w:r>
      <w:r w:rsidR="00C731A3" w:rsidRPr="00124B4D">
        <w:rPr>
          <w:rFonts w:ascii="Times New Roman" w:hAnsi="Times New Roman" w:cs="Times New Roman"/>
        </w:rPr>
        <w:t xml:space="preserve">are </w:t>
      </w:r>
      <w:r w:rsidRPr="00124B4D">
        <w:rPr>
          <w:rFonts w:ascii="Times New Roman" w:hAnsi="Times New Roman" w:cs="Times New Roman"/>
        </w:rPr>
        <w:t xml:space="preserve">also </w:t>
      </w:r>
      <w:r w:rsidR="00C731A3" w:rsidRPr="00124B4D">
        <w:rPr>
          <w:rFonts w:ascii="Times New Roman" w:hAnsi="Times New Roman" w:cs="Times New Roman"/>
        </w:rPr>
        <w:t xml:space="preserve">urged to </w:t>
      </w:r>
      <w:r w:rsidRPr="00124B4D">
        <w:rPr>
          <w:rFonts w:ascii="Times New Roman" w:hAnsi="Times New Roman" w:cs="Times New Roman"/>
        </w:rPr>
        <w:t>collect internally and share with local partners Destinations data</w:t>
      </w:r>
      <w:r w:rsidR="00FB2408">
        <w:rPr>
          <w:rFonts w:ascii="Times New Roman" w:hAnsi="Times New Roman" w:cs="Times New Roman"/>
        </w:rPr>
        <w:t>, as defined in this document,</w:t>
      </w:r>
      <w:r w:rsidRPr="00124B4D">
        <w:rPr>
          <w:rFonts w:ascii="Times New Roman" w:hAnsi="Times New Roman" w:cs="Times New Roman"/>
        </w:rPr>
        <w:t xml:space="preserve"> include pupils’ intended destinations before they have completed an education phase, in time for schools to have conversations with pupils and help them make informed choices that lead to </w:t>
      </w:r>
      <w:r w:rsidR="00FB2408">
        <w:rPr>
          <w:rFonts w:ascii="Times New Roman" w:hAnsi="Times New Roman" w:cs="Times New Roman"/>
        </w:rPr>
        <w:t xml:space="preserve">better </w:t>
      </w:r>
      <w:r w:rsidRPr="00124B4D">
        <w:rPr>
          <w:rFonts w:ascii="Times New Roman" w:hAnsi="Times New Roman" w:cs="Times New Roman"/>
        </w:rPr>
        <w:t xml:space="preserve">outcomes. Such conversations are intended to draw on the lagged destinations measures data, so that there are objective, albeit historical data on which to discuss alternative routes and </w:t>
      </w:r>
      <w:r w:rsidR="00C731A3" w:rsidRPr="00124B4D">
        <w:rPr>
          <w:rFonts w:ascii="Times New Roman" w:hAnsi="Times New Roman" w:cs="Times New Roman"/>
        </w:rPr>
        <w:t xml:space="preserve">the </w:t>
      </w:r>
      <w:r w:rsidRPr="00124B4D">
        <w:rPr>
          <w:rFonts w:ascii="Times New Roman" w:hAnsi="Times New Roman" w:cs="Times New Roman"/>
        </w:rPr>
        <w:t xml:space="preserve">specific providers that pupils might choose between. </w:t>
      </w:r>
    </w:p>
    <w:p w14:paraId="22F19E29" w14:textId="40F341B2" w:rsidR="00414F5A" w:rsidRPr="00124B4D" w:rsidRDefault="00BB09BC" w:rsidP="00BA34EA">
      <w:pPr>
        <w:spacing w:line="480" w:lineRule="auto"/>
        <w:rPr>
          <w:rFonts w:ascii="Times New Roman" w:hAnsi="Times New Roman" w:cs="Times New Roman"/>
        </w:rPr>
      </w:pPr>
      <w:r w:rsidRPr="00124B4D">
        <w:rPr>
          <w:rFonts w:ascii="Times New Roman" w:hAnsi="Times New Roman" w:cs="Times New Roman"/>
        </w:rPr>
        <w:tab/>
        <w:t xml:space="preserve">The publication of provider-level destinations metrics has, as intended, spurred education sector stakeholders to take note and take action. For instance, </w:t>
      </w:r>
      <w:r w:rsidR="00414F5A" w:rsidRPr="00124B4D">
        <w:rPr>
          <w:rFonts w:ascii="Times New Roman" w:hAnsi="Times New Roman" w:cs="Times New Roman"/>
        </w:rPr>
        <w:t>T</w:t>
      </w:r>
      <w:r w:rsidRPr="00124B4D">
        <w:rPr>
          <w:rFonts w:ascii="Times New Roman" w:hAnsi="Times New Roman" w:cs="Times New Roman"/>
        </w:rPr>
        <w:t xml:space="preserve">he Careers </w:t>
      </w:r>
      <w:r w:rsidR="00414F5A" w:rsidRPr="00124B4D">
        <w:rPr>
          <w:rFonts w:ascii="Times New Roman" w:hAnsi="Times New Roman" w:cs="Times New Roman"/>
        </w:rPr>
        <w:t>&amp;</w:t>
      </w:r>
      <w:r w:rsidRPr="00124B4D">
        <w:rPr>
          <w:rFonts w:ascii="Times New Roman" w:hAnsi="Times New Roman" w:cs="Times New Roman"/>
        </w:rPr>
        <w:t xml:space="preserve"> Enterprise Company, a Government-funded entity responsible for improving careers activities and employer engagement in English schools, has drawn on </w:t>
      </w:r>
      <w:r w:rsidR="00414F5A" w:rsidRPr="00124B4D">
        <w:rPr>
          <w:rFonts w:ascii="Times New Roman" w:hAnsi="Times New Roman" w:cs="Times New Roman"/>
        </w:rPr>
        <w:t xml:space="preserve">local area </w:t>
      </w:r>
      <w:r w:rsidRPr="00124B4D">
        <w:rPr>
          <w:rFonts w:ascii="Times New Roman" w:hAnsi="Times New Roman" w:cs="Times New Roman"/>
        </w:rPr>
        <w:t xml:space="preserve">destinations metrics as part of calculating </w:t>
      </w:r>
      <w:r w:rsidR="00414F5A" w:rsidRPr="00124B4D">
        <w:rPr>
          <w:rFonts w:ascii="Times New Roman" w:hAnsi="Times New Roman" w:cs="Times New Roman"/>
        </w:rPr>
        <w:t xml:space="preserve">“cold spots”, which in turn have been used to prioritise the distribution of funds to local areas and projects (The Careers &amp; Enterprise Company, 2016). Recently, The Careers &amp; Enterprise Company </w:t>
      </w:r>
      <w:r w:rsidR="00CF554D" w:rsidRPr="00124B4D">
        <w:rPr>
          <w:rFonts w:ascii="Times New Roman" w:hAnsi="Times New Roman" w:cs="Times New Roman"/>
        </w:rPr>
        <w:t xml:space="preserve">(2018) </w:t>
      </w:r>
      <w:r w:rsidR="00414F5A" w:rsidRPr="00124B4D">
        <w:rPr>
          <w:rFonts w:ascii="Times New Roman" w:hAnsi="Times New Roman" w:cs="Times New Roman"/>
        </w:rPr>
        <w:t xml:space="preserve">has launched a consultation on updating this methodology and exploring destinations in greater detail, stating a desire to make better use of the richer school-level data that is now available. </w:t>
      </w:r>
    </w:p>
    <w:p w14:paraId="74B9E201" w14:textId="56AFB40F" w:rsidR="00AE3CEA" w:rsidRPr="00FB2408" w:rsidRDefault="00FB2408" w:rsidP="00FB2408">
      <w:pPr>
        <w:spacing w:line="480" w:lineRule="auto"/>
        <w:ind w:firstLine="720"/>
        <w:rPr>
          <w:rFonts w:ascii="Times New Roman" w:hAnsi="Times New Roman" w:cs="Times New Roman"/>
        </w:rPr>
      </w:pPr>
      <w:r>
        <w:rPr>
          <w:rFonts w:ascii="Times New Roman" w:hAnsi="Times New Roman" w:cs="Times New Roman"/>
        </w:rPr>
        <w:t>Some s</w:t>
      </w:r>
      <w:r w:rsidR="00414F5A" w:rsidRPr="00124B4D">
        <w:rPr>
          <w:rFonts w:ascii="Times New Roman" w:hAnsi="Times New Roman" w:cs="Times New Roman"/>
        </w:rPr>
        <w:t>chools</w:t>
      </w:r>
      <w:r>
        <w:rPr>
          <w:rFonts w:ascii="Times New Roman" w:hAnsi="Times New Roman" w:cs="Times New Roman"/>
        </w:rPr>
        <w:t xml:space="preserve"> in England</w:t>
      </w:r>
      <w:r w:rsidR="00414F5A" w:rsidRPr="00124B4D">
        <w:rPr>
          <w:rFonts w:ascii="Times New Roman" w:hAnsi="Times New Roman" w:cs="Times New Roman"/>
        </w:rPr>
        <w:t>, in particular large chains of schools, have also sought to make better use of th</w:t>
      </w:r>
      <w:r w:rsidR="000B736D" w:rsidRPr="00124B4D">
        <w:rPr>
          <w:rFonts w:ascii="Times New Roman" w:hAnsi="Times New Roman" w:cs="Times New Roman"/>
        </w:rPr>
        <w:t>e</w:t>
      </w:r>
      <w:r w:rsidR="00414F5A" w:rsidRPr="00124B4D">
        <w:rPr>
          <w:rFonts w:ascii="Times New Roman" w:hAnsi="Times New Roman" w:cs="Times New Roman"/>
        </w:rPr>
        <w:t>s</w:t>
      </w:r>
      <w:r w:rsidR="000B736D" w:rsidRPr="00124B4D">
        <w:rPr>
          <w:rFonts w:ascii="Times New Roman" w:hAnsi="Times New Roman" w:cs="Times New Roman"/>
        </w:rPr>
        <w:t>e</w:t>
      </w:r>
      <w:r w:rsidR="00414F5A" w:rsidRPr="00124B4D">
        <w:rPr>
          <w:rFonts w:ascii="Times New Roman" w:hAnsi="Times New Roman" w:cs="Times New Roman"/>
        </w:rPr>
        <w:t xml:space="preserve"> data, both for understanding their own performance and for supporting their pupils make destinations decisions. For instance, the Ark Academy Network is used as a case study by the Department for Education (DfE, 2018). Intended destinations are captured in standardised format, generating reports and dashboards automatically</w:t>
      </w:r>
      <w:r>
        <w:rPr>
          <w:rFonts w:ascii="Times New Roman" w:hAnsi="Times New Roman" w:cs="Times New Roman"/>
        </w:rPr>
        <w:t xml:space="preserve"> for individual schools and classes to access</w:t>
      </w:r>
      <w:r w:rsidR="00414F5A" w:rsidRPr="00124B4D">
        <w:rPr>
          <w:rFonts w:ascii="Times New Roman" w:hAnsi="Times New Roman" w:cs="Times New Roman"/>
        </w:rPr>
        <w:t xml:space="preserve">. For all students, regardless of whether they are choosing to go down the academic or technical pathway, data </w:t>
      </w:r>
      <w:r w:rsidR="000B736D" w:rsidRPr="00124B4D">
        <w:rPr>
          <w:rFonts w:ascii="Times New Roman" w:hAnsi="Times New Roman" w:cs="Times New Roman"/>
        </w:rPr>
        <w:t>are</w:t>
      </w:r>
      <w:r w:rsidR="00414F5A" w:rsidRPr="00124B4D">
        <w:rPr>
          <w:rFonts w:ascii="Times New Roman" w:hAnsi="Times New Roman" w:cs="Times New Roman"/>
        </w:rPr>
        <w:t xml:space="preserve"> shared on the quality of the education or training provider and the appropriateness of the pathway based on academic performance</w:t>
      </w:r>
      <w:r w:rsidR="008C5258" w:rsidRPr="00124B4D">
        <w:rPr>
          <w:rFonts w:ascii="Times New Roman" w:hAnsi="Times New Roman" w:cs="Times New Roman"/>
        </w:rPr>
        <w:t xml:space="preserve"> of the pupil in question</w:t>
      </w:r>
      <w:r>
        <w:rPr>
          <w:rFonts w:ascii="Times New Roman" w:hAnsi="Times New Roman" w:cs="Times New Roman"/>
        </w:rPr>
        <w:t xml:space="preserve"> and their general chances of passing the course</w:t>
      </w:r>
      <w:r w:rsidR="00414F5A" w:rsidRPr="00124B4D">
        <w:rPr>
          <w:rFonts w:ascii="Times New Roman" w:hAnsi="Times New Roman" w:cs="Times New Roman"/>
        </w:rPr>
        <w:t>.</w:t>
      </w:r>
      <w:r w:rsidR="008C5258" w:rsidRPr="00124B4D">
        <w:rPr>
          <w:rFonts w:ascii="Times New Roman" w:hAnsi="Times New Roman" w:cs="Times New Roman"/>
        </w:rPr>
        <w:t xml:space="preserve"> Insights on destination metrics are combined with other data points to help careers advisers and students understand the quality of alternative local destinations and pathways; </w:t>
      </w:r>
      <w:r>
        <w:rPr>
          <w:rFonts w:ascii="Times New Roman" w:hAnsi="Times New Roman" w:cs="Times New Roman"/>
        </w:rPr>
        <w:t xml:space="preserve">they </w:t>
      </w:r>
      <w:r w:rsidR="008C5258" w:rsidRPr="00124B4D">
        <w:rPr>
          <w:rFonts w:ascii="Times New Roman" w:hAnsi="Times New Roman" w:cs="Times New Roman"/>
        </w:rPr>
        <w:t>are also used by the leadership team in understanding whether there are particular groups of students, pathway routes or individuals that might need additional support to achieve good destination outcomes.</w:t>
      </w:r>
    </w:p>
    <w:p w14:paraId="4EF5B36F" w14:textId="77777777" w:rsidR="00124B4D" w:rsidRDefault="00124B4D" w:rsidP="009D4B6B">
      <w:pPr>
        <w:spacing w:line="480" w:lineRule="auto"/>
        <w:rPr>
          <w:rFonts w:ascii="Times New Roman" w:hAnsi="Times New Roman" w:cs="Times New Roman"/>
          <w:b/>
          <w:sz w:val="28"/>
        </w:rPr>
      </w:pPr>
    </w:p>
    <w:p w14:paraId="1A20260B" w14:textId="56D54645" w:rsidR="009D4B6B" w:rsidRPr="00675060" w:rsidRDefault="009D4B6B" w:rsidP="009D4B6B">
      <w:pPr>
        <w:spacing w:line="480" w:lineRule="auto"/>
        <w:rPr>
          <w:rFonts w:ascii="Times New Roman" w:hAnsi="Times New Roman" w:cs="Times New Roman"/>
          <w:b/>
          <w:sz w:val="28"/>
        </w:rPr>
      </w:pPr>
      <w:r w:rsidRPr="00675060">
        <w:rPr>
          <w:rFonts w:ascii="Times New Roman" w:hAnsi="Times New Roman" w:cs="Times New Roman"/>
          <w:b/>
          <w:sz w:val="28"/>
        </w:rPr>
        <w:lastRenderedPageBreak/>
        <w:t>Discussion</w:t>
      </w:r>
    </w:p>
    <w:p w14:paraId="5E603A34" w14:textId="3A24F364" w:rsidR="00BB09BC" w:rsidRPr="00675060" w:rsidRDefault="007B4105" w:rsidP="00F12423">
      <w:pPr>
        <w:spacing w:line="480" w:lineRule="auto"/>
        <w:rPr>
          <w:rFonts w:ascii="Times New Roman" w:hAnsi="Times New Roman" w:cs="Times New Roman"/>
        </w:rPr>
      </w:pPr>
      <w:r w:rsidRPr="00675060">
        <w:rPr>
          <w:rFonts w:ascii="Times New Roman" w:hAnsi="Times New Roman" w:cs="Times New Roman"/>
        </w:rPr>
        <w:t>The same general critiques of management by metrics and tertiary education destination metrics apply, in general terms, to the new secondary education destination metrics</w:t>
      </w:r>
      <w:r w:rsidR="006C581B" w:rsidRPr="00675060">
        <w:rPr>
          <w:rFonts w:ascii="Times New Roman" w:hAnsi="Times New Roman" w:cs="Times New Roman"/>
        </w:rPr>
        <w:t>, including concerns over the short-term focus, the reductive emphasis on</w:t>
      </w:r>
      <w:r w:rsidR="00F12423" w:rsidRPr="00675060">
        <w:rPr>
          <w:rFonts w:ascii="Times New Roman" w:hAnsi="Times New Roman" w:cs="Times New Roman"/>
        </w:rPr>
        <w:t xml:space="preserve"> employment status, </w:t>
      </w:r>
      <w:r w:rsidR="00413C4E" w:rsidRPr="00675060">
        <w:rPr>
          <w:rFonts w:ascii="Times New Roman" w:hAnsi="Times New Roman" w:cs="Times New Roman"/>
        </w:rPr>
        <w:t xml:space="preserve">reliance on historic trends and </w:t>
      </w:r>
      <w:r w:rsidR="00F12423" w:rsidRPr="00675060">
        <w:rPr>
          <w:rFonts w:ascii="Times New Roman" w:hAnsi="Times New Roman" w:cs="Times New Roman"/>
        </w:rPr>
        <w:t>lags in data availability, the limited ability to adjust for prior individual circumstances or labour market context and so on</w:t>
      </w:r>
      <w:r w:rsidR="006C581B" w:rsidRPr="00675060">
        <w:rPr>
          <w:rFonts w:ascii="Times New Roman" w:hAnsi="Times New Roman" w:cs="Times New Roman"/>
        </w:rPr>
        <w:t>. As schools are typically smaller providers than universities, metrics are also likely to be more volatile from year to year</w:t>
      </w:r>
      <w:r w:rsidR="007961A8" w:rsidRPr="00675060">
        <w:rPr>
          <w:rFonts w:ascii="Times New Roman" w:hAnsi="Times New Roman" w:cs="Times New Roman"/>
        </w:rPr>
        <w:t>, making them harder to interpret</w:t>
      </w:r>
      <w:r w:rsidR="00FB2408">
        <w:rPr>
          <w:rFonts w:ascii="Times New Roman" w:hAnsi="Times New Roman" w:cs="Times New Roman"/>
        </w:rPr>
        <w:t>, although this can be mitigated by averaging metrics over multiple years.</w:t>
      </w:r>
    </w:p>
    <w:p w14:paraId="2CA5BE4D" w14:textId="7DA173C7" w:rsidR="000A42ED" w:rsidRPr="00675060" w:rsidRDefault="000A42ED" w:rsidP="000A42ED">
      <w:pPr>
        <w:spacing w:line="480" w:lineRule="auto"/>
        <w:ind w:firstLine="720"/>
        <w:rPr>
          <w:rFonts w:ascii="Times New Roman" w:hAnsi="Times New Roman" w:cs="Times New Roman"/>
          <w:color w:val="000000" w:themeColor="text1"/>
        </w:rPr>
      </w:pPr>
      <w:r w:rsidRPr="00675060">
        <w:rPr>
          <w:rFonts w:ascii="Times New Roman" w:hAnsi="Times New Roman" w:cs="Times New Roman"/>
          <w:color w:val="000000" w:themeColor="text1"/>
        </w:rPr>
        <w:t xml:space="preserve">It is important to highlight that policymakers and statisticians are often aware of many of these limitations and explicitly identify them. In other words, while the statistics are reductive and risk over-weighting certain partial and simplistic factors in decision-making, this is not a result of ignorance or malignance on the part of policymakers, who appear more generally driven by a commitment towards transparency and informed decisions at all levels of the system. For instance, the Department for Education in England discusses the definition of an “appropriate destination” as follows: “An appropriate destination will be different for every student and is determined by a range of factors, for example: attainment (or predicted attainment) and aptitudes; subject choices; hobbies and interests; career aspirations; skills and talents; and the labour market. This complexity means there will be several appropriate options for each student. […] It is therefore important that the student has considered the range of options available to them, and has a clear rationale for the choices that takes into account these factors. An inappropriate destination could be one that matches poorly with a student’s interests, attainment and aptitudes. Good career guidance can therefore support young people in making informed decisions and choosing an appropriate destination.” (DfE, 2018: 9-10). </w:t>
      </w:r>
    </w:p>
    <w:p w14:paraId="6D82488B" w14:textId="0AB0649D" w:rsidR="00F12423" w:rsidRPr="00675060" w:rsidRDefault="00F12423" w:rsidP="00F12423">
      <w:pPr>
        <w:spacing w:line="480" w:lineRule="auto"/>
        <w:ind w:firstLine="720"/>
        <w:rPr>
          <w:rFonts w:ascii="Times New Roman" w:hAnsi="Times New Roman" w:cs="Times New Roman"/>
        </w:rPr>
      </w:pPr>
      <w:r w:rsidRPr="00675060">
        <w:rPr>
          <w:rFonts w:ascii="Times New Roman" w:hAnsi="Times New Roman" w:cs="Times New Roman"/>
        </w:rPr>
        <w:t xml:space="preserve">There are </w:t>
      </w:r>
      <w:r w:rsidR="00B60660" w:rsidRPr="00675060">
        <w:rPr>
          <w:rFonts w:ascii="Times New Roman" w:hAnsi="Times New Roman" w:cs="Times New Roman"/>
        </w:rPr>
        <w:t>three</w:t>
      </w:r>
      <w:r w:rsidRPr="00675060">
        <w:rPr>
          <w:rFonts w:ascii="Times New Roman" w:hAnsi="Times New Roman" w:cs="Times New Roman"/>
        </w:rPr>
        <w:t xml:space="preserve"> additional </w:t>
      </w:r>
      <w:r w:rsidR="00B60660" w:rsidRPr="00675060">
        <w:rPr>
          <w:rFonts w:ascii="Times New Roman" w:hAnsi="Times New Roman" w:cs="Times New Roman"/>
        </w:rPr>
        <w:t xml:space="preserve">biases or limitations </w:t>
      </w:r>
      <w:r w:rsidRPr="00675060">
        <w:rPr>
          <w:rFonts w:ascii="Times New Roman" w:hAnsi="Times New Roman" w:cs="Times New Roman"/>
        </w:rPr>
        <w:t xml:space="preserve">to highlight </w:t>
      </w:r>
      <w:r w:rsidR="00FB2408">
        <w:rPr>
          <w:rFonts w:ascii="Times New Roman" w:hAnsi="Times New Roman" w:cs="Times New Roman"/>
        </w:rPr>
        <w:t xml:space="preserve">in this article that are </w:t>
      </w:r>
      <w:r w:rsidRPr="00675060">
        <w:rPr>
          <w:rFonts w:ascii="Times New Roman" w:hAnsi="Times New Roman" w:cs="Times New Roman"/>
        </w:rPr>
        <w:t xml:space="preserve">not as commonly discussed and </w:t>
      </w:r>
      <w:r w:rsidR="00FB2408">
        <w:rPr>
          <w:rFonts w:ascii="Times New Roman" w:hAnsi="Times New Roman" w:cs="Times New Roman"/>
        </w:rPr>
        <w:t xml:space="preserve">might </w:t>
      </w:r>
      <w:r w:rsidRPr="00675060">
        <w:rPr>
          <w:rFonts w:ascii="Times New Roman" w:hAnsi="Times New Roman" w:cs="Times New Roman"/>
        </w:rPr>
        <w:t>risk being absorbed implicitly by consumers of these statistics</w:t>
      </w:r>
      <w:r w:rsidR="00B60660" w:rsidRPr="00675060">
        <w:rPr>
          <w:rFonts w:ascii="Times New Roman" w:hAnsi="Times New Roman" w:cs="Times New Roman"/>
        </w:rPr>
        <w:t>.</w:t>
      </w:r>
      <w:r w:rsidRPr="00675060">
        <w:rPr>
          <w:rFonts w:ascii="Times New Roman" w:hAnsi="Times New Roman" w:cs="Times New Roman"/>
        </w:rPr>
        <w:t xml:space="preserve"> </w:t>
      </w:r>
      <w:r w:rsidR="00B60660" w:rsidRPr="00675060">
        <w:rPr>
          <w:rFonts w:ascii="Times New Roman" w:hAnsi="Times New Roman" w:cs="Times New Roman"/>
        </w:rPr>
        <w:t>F</w:t>
      </w:r>
      <w:r w:rsidR="00D455FB" w:rsidRPr="00675060">
        <w:rPr>
          <w:rFonts w:ascii="Times New Roman" w:hAnsi="Times New Roman" w:cs="Times New Roman"/>
        </w:rPr>
        <w:t xml:space="preserve">irstly, </w:t>
      </w:r>
      <w:r w:rsidRPr="00675060">
        <w:rPr>
          <w:rFonts w:ascii="Times New Roman" w:hAnsi="Times New Roman" w:cs="Times New Roman"/>
        </w:rPr>
        <w:t>a bias towards continuing education as opposed to joining the labour market</w:t>
      </w:r>
      <w:r w:rsidR="00B60660" w:rsidRPr="00675060">
        <w:rPr>
          <w:rFonts w:ascii="Times New Roman" w:hAnsi="Times New Roman" w:cs="Times New Roman"/>
        </w:rPr>
        <w:t>.</w:t>
      </w:r>
      <w:r w:rsidRPr="00675060">
        <w:rPr>
          <w:rFonts w:ascii="Times New Roman" w:hAnsi="Times New Roman" w:cs="Times New Roman"/>
        </w:rPr>
        <w:t xml:space="preserve"> </w:t>
      </w:r>
      <w:r w:rsidR="00B60660" w:rsidRPr="00675060">
        <w:rPr>
          <w:rFonts w:ascii="Times New Roman" w:hAnsi="Times New Roman" w:cs="Times New Roman"/>
        </w:rPr>
        <w:t>S</w:t>
      </w:r>
      <w:r w:rsidR="00D455FB" w:rsidRPr="00675060">
        <w:rPr>
          <w:rFonts w:ascii="Times New Roman" w:hAnsi="Times New Roman" w:cs="Times New Roman"/>
        </w:rPr>
        <w:t xml:space="preserve">econdly, </w:t>
      </w:r>
      <w:r w:rsidR="005D69B1" w:rsidRPr="00675060">
        <w:rPr>
          <w:rFonts w:ascii="Times New Roman" w:hAnsi="Times New Roman" w:cs="Times New Roman"/>
        </w:rPr>
        <w:t xml:space="preserve">a bias towards stable or standard career paths </w:t>
      </w:r>
      <w:r w:rsidRPr="00675060">
        <w:rPr>
          <w:rFonts w:ascii="Times New Roman" w:hAnsi="Times New Roman" w:cs="Times New Roman"/>
        </w:rPr>
        <w:t xml:space="preserve">against individuals taking exploratory, </w:t>
      </w:r>
      <w:r w:rsidR="00F95BA6" w:rsidRPr="00675060">
        <w:rPr>
          <w:rFonts w:ascii="Times New Roman" w:hAnsi="Times New Roman" w:cs="Times New Roman"/>
        </w:rPr>
        <w:t>pr</w:t>
      </w:r>
      <w:r w:rsidRPr="00675060">
        <w:rPr>
          <w:rFonts w:ascii="Times New Roman" w:hAnsi="Times New Roman" w:cs="Times New Roman"/>
        </w:rPr>
        <w:t xml:space="preserve">otean approaches to their </w:t>
      </w:r>
      <w:r w:rsidRPr="00675060">
        <w:rPr>
          <w:rFonts w:ascii="Times New Roman" w:hAnsi="Times New Roman" w:cs="Times New Roman"/>
        </w:rPr>
        <w:lastRenderedPageBreak/>
        <w:t>careers, investigating careers where project-working and portfolio-working is more common, or aspiring to entrepreneurial routes</w:t>
      </w:r>
      <w:r w:rsidR="00B80BA5" w:rsidRPr="00675060">
        <w:rPr>
          <w:rFonts w:ascii="Times New Roman" w:hAnsi="Times New Roman" w:cs="Times New Roman"/>
        </w:rPr>
        <w:t xml:space="preserve"> (Huddleston </w:t>
      </w:r>
      <w:r w:rsidR="00FB2408">
        <w:rPr>
          <w:rFonts w:ascii="Times New Roman" w:hAnsi="Times New Roman" w:cs="Times New Roman"/>
        </w:rPr>
        <w:t>&amp;</w:t>
      </w:r>
      <w:r w:rsidR="00B80BA5" w:rsidRPr="00675060">
        <w:rPr>
          <w:rFonts w:ascii="Times New Roman" w:hAnsi="Times New Roman" w:cs="Times New Roman"/>
        </w:rPr>
        <w:t xml:space="preserve"> Ashton, 2019)</w:t>
      </w:r>
      <w:r w:rsidRPr="00675060">
        <w:rPr>
          <w:rFonts w:ascii="Times New Roman" w:hAnsi="Times New Roman" w:cs="Times New Roman"/>
        </w:rPr>
        <w:t xml:space="preserve">. </w:t>
      </w:r>
      <w:r w:rsidR="00B60660" w:rsidRPr="00675060">
        <w:rPr>
          <w:rFonts w:ascii="Times New Roman" w:hAnsi="Times New Roman" w:cs="Times New Roman"/>
        </w:rPr>
        <w:t xml:space="preserve">Thirdly, a bias towards what </w:t>
      </w:r>
      <w:r w:rsidR="005D69B1" w:rsidRPr="00675060">
        <w:rPr>
          <w:rFonts w:ascii="Times New Roman" w:hAnsi="Times New Roman" w:cs="Times New Roman"/>
        </w:rPr>
        <w:t>could be called</w:t>
      </w:r>
      <w:r w:rsidR="00B60660" w:rsidRPr="00675060">
        <w:rPr>
          <w:rFonts w:ascii="Times New Roman" w:hAnsi="Times New Roman" w:cs="Times New Roman"/>
        </w:rPr>
        <w:t xml:space="preserve"> “providerism”, the over-weighting of an implicit assumption that choosing the education provider will deliver its historical average results in individual cases. We suggest that </w:t>
      </w:r>
      <w:r w:rsidRPr="00675060">
        <w:rPr>
          <w:rFonts w:ascii="Times New Roman" w:hAnsi="Times New Roman" w:cs="Times New Roman"/>
        </w:rPr>
        <w:t xml:space="preserve">enhanced careers </w:t>
      </w:r>
      <w:r w:rsidR="006A1169" w:rsidRPr="00675060">
        <w:rPr>
          <w:rFonts w:ascii="Times New Roman" w:hAnsi="Times New Roman" w:cs="Times New Roman"/>
        </w:rPr>
        <w:t>counselling</w:t>
      </w:r>
      <w:r w:rsidR="00B60660" w:rsidRPr="00675060">
        <w:rPr>
          <w:rFonts w:ascii="Times New Roman" w:hAnsi="Times New Roman" w:cs="Times New Roman"/>
        </w:rPr>
        <w:t>, supported in the future by better data,</w:t>
      </w:r>
      <w:r w:rsidRPr="00675060">
        <w:rPr>
          <w:rFonts w:ascii="Times New Roman" w:hAnsi="Times New Roman" w:cs="Times New Roman"/>
        </w:rPr>
        <w:t xml:space="preserve"> can </w:t>
      </w:r>
      <w:r w:rsidR="00B60660" w:rsidRPr="00675060">
        <w:rPr>
          <w:rFonts w:ascii="Times New Roman" w:hAnsi="Times New Roman" w:cs="Times New Roman"/>
        </w:rPr>
        <w:t xml:space="preserve">mitigate such biases </w:t>
      </w:r>
      <w:r w:rsidR="00E031BE" w:rsidRPr="00675060">
        <w:rPr>
          <w:rFonts w:ascii="Times New Roman" w:hAnsi="Times New Roman" w:cs="Times New Roman"/>
        </w:rPr>
        <w:t>into a force for good.</w:t>
      </w:r>
      <w:r w:rsidR="006A1169" w:rsidRPr="00675060">
        <w:rPr>
          <w:rFonts w:ascii="Times New Roman" w:hAnsi="Times New Roman" w:cs="Times New Roman"/>
        </w:rPr>
        <w:t xml:space="preserve"> </w:t>
      </w:r>
    </w:p>
    <w:p w14:paraId="3A25DBA8" w14:textId="77777777" w:rsidR="00683FD8" w:rsidRPr="00675060" w:rsidRDefault="00683FD8" w:rsidP="009D4B6B">
      <w:pPr>
        <w:spacing w:line="480" w:lineRule="auto"/>
        <w:rPr>
          <w:rFonts w:ascii="Times New Roman" w:hAnsi="Times New Roman" w:cs="Times New Roman"/>
          <w:color w:val="FF0000"/>
        </w:rPr>
      </w:pPr>
    </w:p>
    <w:p w14:paraId="596889E1" w14:textId="77777777" w:rsidR="009D4B6B" w:rsidRPr="00675060" w:rsidRDefault="007B4105" w:rsidP="009D4B6B">
      <w:pPr>
        <w:spacing w:line="480" w:lineRule="auto"/>
        <w:rPr>
          <w:rFonts w:ascii="Times New Roman" w:hAnsi="Times New Roman" w:cs="Times New Roman"/>
          <w:i/>
          <w:sz w:val="24"/>
        </w:rPr>
      </w:pPr>
      <w:r w:rsidRPr="00675060">
        <w:rPr>
          <w:rFonts w:ascii="Times New Roman" w:hAnsi="Times New Roman" w:cs="Times New Roman"/>
          <w:i/>
          <w:sz w:val="24"/>
        </w:rPr>
        <w:t>Bias towards continuing education</w:t>
      </w:r>
    </w:p>
    <w:p w14:paraId="1A7E7261" w14:textId="10DEF872" w:rsidR="00187F74" w:rsidRPr="00675060" w:rsidRDefault="003D12EA" w:rsidP="00683FD8">
      <w:pPr>
        <w:spacing w:line="480" w:lineRule="auto"/>
        <w:rPr>
          <w:rFonts w:ascii="Times New Roman" w:hAnsi="Times New Roman" w:cs="Times New Roman"/>
        </w:rPr>
      </w:pPr>
      <w:r w:rsidRPr="00675060">
        <w:rPr>
          <w:rFonts w:ascii="Times New Roman" w:hAnsi="Times New Roman" w:cs="Times New Roman"/>
        </w:rPr>
        <w:t xml:space="preserve">Destination metrics more commonly cover progression from secondary to tertiary education than employment outcomes (e.g. </w:t>
      </w:r>
      <w:r w:rsidR="00187F74" w:rsidRPr="00675060">
        <w:rPr>
          <w:rFonts w:ascii="Times New Roman" w:hAnsi="Times New Roman" w:cs="Times New Roman"/>
        </w:rPr>
        <w:t>New Zealand</w:t>
      </w:r>
      <w:r w:rsidRPr="00675060">
        <w:rPr>
          <w:rFonts w:ascii="Times New Roman" w:hAnsi="Times New Roman" w:cs="Times New Roman"/>
        </w:rPr>
        <w:t xml:space="preserve">, </w:t>
      </w:r>
      <w:r w:rsidR="00187F74" w:rsidRPr="00675060">
        <w:rPr>
          <w:rFonts w:ascii="Times New Roman" w:hAnsi="Times New Roman" w:cs="Times New Roman"/>
        </w:rPr>
        <w:t>Estonia</w:t>
      </w:r>
      <w:r w:rsidRPr="00675060">
        <w:rPr>
          <w:rFonts w:ascii="Times New Roman" w:hAnsi="Times New Roman" w:cs="Times New Roman"/>
        </w:rPr>
        <w:t xml:space="preserve">) or have far more detail on transitions within education </w:t>
      </w:r>
      <w:r w:rsidR="00187F74" w:rsidRPr="00675060">
        <w:rPr>
          <w:rFonts w:ascii="Times New Roman" w:hAnsi="Times New Roman" w:cs="Times New Roman"/>
        </w:rPr>
        <w:t xml:space="preserve">than work </w:t>
      </w:r>
      <w:r w:rsidRPr="00675060">
        <w:rPr>
          <w:rFonts w:ascii="Times New Roman" w:hAnsi="Times New Roman" w:cs="Times New Roman"/>
        </w:rPr>
        <w:t xml:space="preserve">(e.g. </w:t>
      </w:r>
      <w:r w:rsidR="00187F74" w:rsidRPr="00675060">
        <w:rPr>
          <w:rFonts w:ascii="Times New Roman" w:hAnsi="Times New Roman" w:cs="Times New Roman"/>
        </w:rPr>
        <w:t>England</w:t>
      </w:r>
      <w:r w:rsidRPr="00675060">
        <w:rPr>
          <w:rFonts w:ascii="Times New Roman" w:hAnsi="Times New Roman" w:cs="Times New Roman"/>
        </w:rPr>
        <w:t xml:space="preserve">). </w:t>
      </w:r>
      <w:r w:rsidR="00187F74" w:rsidRPr="00675060">
        <w:rPr>
          <w:rFonts w:ascii="Times New Roman" w:hAnsi="Times New Roman" w:cs="Times New Roman"/>
        </w:rPr>
        <w:t>This likely</w:t>
      </w:r>
      <w:r w:rsidR="00C8359C" w:rsidRPr="00675060">
        <w:rPr>
          <w:rFonts w:ascii="Times New Roman" w:hAnsi="Times New Roman" w:cs="Times New Roman"/>
        </w:rPr>
        <w:t xml:space="preserve"> </w:t>
      </w:r>
      <w:r w:rsidR="00187F74" w:rsidRPr="00675060">
        <w:rPr>
          <w:rFonts w:ascii="Times New Roman" w:hAnsi="Times New Roman" w:cs="Times New Roman"/>
        </w:rPr>
        <w:t xml:space="preserve">reflects greater data availability throughout the structured, state-subsidised education system, rather than any malicious intent, but may nonetheless reinforce assumptions that continued education is a default and attractive route. </w:t>
      </w:r>
      <w:r w:rsidR="00CA3C4D" w:rsidRPr="00675060">
        <w:rPr>
          <w:rFonts w:ascii="Times New Roman" w:hAnsi="Times New Roman" w:cs="Times New Roman"/>
        </w:rPr>
        <w:t xml:space="preserve">In England, such a focus reinforces </w:t>
      </w:r>
      <w:r w:rsidR="00187F74" w:rsidRPr="00675060">
        <w:rPr>
          <w:rFonts w:ascii="Times New Roman" w:hAnsi="Times New Roman" w:cs="Times New Roman"/>
        </w:rPr>
        <w:t xml:space="preserve">concerns that schools </w:t>
      </w:r>
      <w:r w:rsidR="00CA3C4D" w:rsidRPr="00675060">
        <w:rPr>
          <w:rFonts w:ascii="Times New Roman" w:hAnsi="Times New Roman" w:cs="Times New Roman"/>
        </w:rPr>
        <w:t xml:space="preserve">that offer both pre-16 and </w:t>
      </w:r>
      <w:r w:rsidR="00187F74" w:rsidRPr="00675060">
        <w:rPr>
          <w:rFonts w:ascii="Times New Roman" w:hAnsi="Times New Roman" w:cs="Times New Roman"/>
        </w:rPr>
        <w:t xml:space="preserve">post-16 education tend to prioritise their own </w:t>
      </w:r>
      <w:r w:rsidR="00CA3C4D" w:rsidRPr="00675060">
        <w:rPr>
          <w:rFonts w:ascii="Times New Roman" w:hAnsi="Times New Roman" w:cs="Times New Roman"/>
        </w:rPr>
        <w:t xml:space="preserve">post-16 </w:t>
      </w:r>
      <w:r w:rsidR="00187F74" w:rsidRPr="00675060">
        <w:rPr>
          <w:rFonts w:ascii="Times New Roman" w:hAnsi="Times New Roman" w:cs="Times New Roman"/>
        </w:rPr>
        <w:t>provision over other routes that may better suit the pupil (</w:t>
      </w:r>
      <w:r w:rsidR="00CA3C4D" w:rsidRPr="00675060">
        <w:rPr>
          <w:rFonts w:ascii="Times New Roman" w:hAnsi="Times New Roman" w:cs="Times New Roman"/>
        </w:rPr>
        <w:t>The Careers &amp; Enterprise Company, 2017</w:t>
      </w:r>
      <w:r w:rsidR="00187F74" w:rsidRPr="00675060">
        <w:rPr>
          <w:rFonts w:ascii="Times New Roman" w:hAnsi="Times New Roman" w:cs="Times New Roman"/>
        </w:rPr>
        <w:t xml:space="preserve">) and concerns that stereotypes among teachers about apprenticeships or vocational education bias against those routes (Kashefpakdel &amp; Rehill, 2018). </w:t>
      </w:r>
      <w:r w:rsidR="00683FD8" w:rsidRPr="00675060">
        <w:rPr>
          <w:rFonts w:ascii="Times New Roman" w:hAnsi="Times New Roman" w:cs="Times New Roman"/>
        </w:rPr>
        <w:t xml:space="preserve">The risk is that we look where the light is brightest, where the statistics are at their sharpest, rather than where the uncertainty is greatest or </w:t>
      </w:r>
      <w:r w:rsidR="00187F74" w:rsidRPr="00675060">
        <w:rPr>
          <w:rFonts w:ascii="Times New Roman" w:hAnsi="Times New Roman" w:cs="Times New Roman"/>
        </w:rPr>
        <w:t xml:space="preserve">the </w:t>
      </w:r>
      <w:r w:rsidR="00683FD8" w:rsidRPr="00675060">
        <w:rPr>
          <w:rFonts w:ascii="Times New Roman" w:hAnsi="Times New Roman" w:cs="Times New Roman"/>
        </w:rPr>
        <w:t xml:space="preserve">potential to shape pathway decisions and outcomes </w:t>
      </w:r>
      <w:r w:rsidR="00A921C3">
        <w:rPr>
          <w:rFonts w:ascii="Times New Roman" w:hAnsi="Times New Roman" w:cs="Times New Roman"/>
        </w:rPr>
        <w:t xml:space="preserve">at its </w:t>
      </w:r>
      <w:r w:rsidR="00683FD8" w:rsidRPr="00675060">
        <w:rPr>
          <w:rFonts w:ascii="Times New Roman" w:hAnsi="Times New Roman" w:cs="Times New Roman"/>
        </w:rPr>
        <w:t xml:space="preserve">most </w:t>
      </w:r>
      <w:r w:rsidR="00187F74" w:rsidRPr="00675060">
        <w:rPr>
          <w:rFonts w:ascii="Times New Roman" w:hAnsi="Times New Roman" w:cs="Times New Roman"/>
        </w:rPr>
        <w:t>powerful</w:t>
      </w:r>
      <w:r w:rsidR="00683FD8" w:rsidRPr="00675060">
        <w:rPr>
          <w:rFonts w:ascii="Times New Roman" w:hAnsi="Times New Roman" w:cs="Times New Roman"/>
        </w:rPr>
        <w:t xml:space="preserve">. </w:t>
      </w:r>
    </w:p>
    <w:p w14:paraId="7FF6AD74" w14:textId="31F1A719" w:rsidR="00187F74" w:rsidRPr="00675060" w:rsidRDefault="00187F74" w:rsidP="00683FD8">
      <w:pPr>
        <w:spacing w:line="480" w:lineRule="auto"/>
        <w:rPr>
          <w:rFonts w:ascii="Times New Roman" w:hAnsi="Times New Roman" w:cs="Times New Roman"/>
        </w:rPr>
      </w:pPr>
      <w:r w:rsidRPr="00675060">
        <w:rPr>
          <w:rFonts w:ascii="Times New Roman" w:hAnsi="Times New Roman" w:cs="Times New Roman"/>
        </w:rPr>
        <w:tab/>
        <w:t xml:space="preserve">A more subtle bias in favour of continued education can be found in the focus on </w:t>
      </w:r>
      <w:r w:rsidR="00F95BA6" w:rsidRPr="00675060">
        <w:rPr>
          <w:rFonts w:ascii="Times New Roman" w:hAnsi="Times New Roman" w:cs="Times New Roman"/>
        </w:rPr>
        <w:t>youth NEET</w:t>
      </w:r>
      <w:r w:rsidRPr="00675060">
        <w:rPr>
          <w:rFonts w:ascii="Times New Roman" w:hAnsi="Times New Roman" w:cs="Times New Roman"/>
        </w:rPr>
        <w:t xml:space="preserve"> rates. The labour market is highly likely to be a higher risk option that continued education</w:t>
      </w:r>
      <w:r w:rsidR="00F95BA6" w:rsidRPr="00675060">
        <w:rPr>
          <w:rFonts w:ascii="Times New Roman" w:hAnsi="Times New Roman" w:cs="Times New Roman"/>
        </w:rPr>
        <w:t>, despite the drop-out rates in the education systems. Especially where individuals enter the labour market hoping to find work, rather than having already identified it, it is likely that students are more likely to spend at least some time NEET. In the Engl</w:t>
      </w:r>
      <w:r w:rsidR="00B80BA5" w:rsidRPr="00675060">
        <w:rPr>
          <w:rFonts w:ascii="Times New Roman" w:hAnsi="Times New Roman" w:cs="Times New Roman"/>
        </w:rPr>
        <w:t>ish</w:t>
      </w:r>
      <w:r w:rsidR="00F95BA6" w:rsidRPr="00675060">
        <w:rPr>
          <w:rFonts w:ascii="Times New Roman" w:hAnsi="Times New Roman" w:cs="Times New Roman"/>
        </w:rPr>
        <w:t xml:space="preserve"> system, any period of time NEET in the two terms following graduation is sufficient to count as a failure with respect to this key accountability statistic. With such a blunt measure, schools could be understood for sticking with the safe and the familiar and </w:t>
      </w:r>
      <w:r w:rsidR="00F95BA6" w:rsidRPr="00675060">
        <w:rPr>
          <w:rFonts w:ascii="Times New Roman" w:hAnsi="Times New Roman" w:cs="Times New Roman"/>
        </w:rPr>
        <w:lastRenderedPageBreak/>
        <w:t>encouraging students to pursue continued education wherever possible.</w:t>
      </w:r>
      <w:r w:rsidR="00A34A1E" w:rsidRPr="00675060">
        <w:rPr>
          <w:rFonts w:ascii="Times New Roman" w:hAnsi="Times New Roman" w:cs="Times New Roman"/>
        </w:rPr>
        <w:t xml:space="preserve"> In many respects, rather than </w:t>
      </w:r>
      <w:r w:rsidR="00A921C3">
        <w:rPr>
          <w:rFonts w:ascii="Times New Roman" w:hAnsi="Times New Roman" w:cs="Times New Roman"/>
        </w:rPr>
        <w:t>metrics that focus</w:t>
      </w:r>
      <w:r w:rsidR="00A34A1E" w:rsidRPr="00675060">
        <w:rPr>
          <w:rFonts w:ascii="Times New Roman" w:hAnsi="Times New Roman" w:cs="Times New Roman"/>
        </w:rPr>
        <w:t xml:space="preserve"> on drop-outs (and hence criticis</w:t>
      </w:r>
      <w:r w:rsidR="00A921C3">
        <w:rPr>
          <w:rFonts w:ascii="Times New Roman" w:hAnsi="Times New Roman" w:cs="Times New Roman"/>
        </w:rPr>
        <w:t>e</w:t>
      </w:r>
      <w:r w:rsidR="00A34A1E" w:rsidRPr="00675060">
        <w:rPr>
          <w:rFonts w:ascii="Times New Roman" w:hAnsi="Times New Roman" w:cs="Times New Roman"/>
        </w:rPr>
        <w:t xml:space="preserve"> risk-taking), we need a society and system that supports informed and supported risk taking, one that makes it easier to engage in different pathways if </w:t>
      </w:r>
      <w:r w:rsidR="00A921C3">
        <w:rPr>
          <w:rFonts w:ascii="Times New Roman" w:hAnsi="Times New Roman" w:cs="Times New Roman"/>
        </w:rPr>
        <w:t>the</w:t>
      </w:r>
      <w:r w:rsidR="00A34A1E" w:rsidRPr="00675060">
        <w:rPr>
          <w:rFonts w:ascii="Times New Roman" w:hAnsi="Times New Roman" w:cs="Times New Roman"/>
        </w:rPr>
        <w:t xml:space="preserve"> first route does not work out.</w:t>
      </w:r>
    </w:p>
    <w:p w14:paraId="7D659F9B" w14:textId="6667C513" w:rsidR="00FA61E7" w:rsidRPr="00675060" w:rsidRDefault="00FA61E7" w:rsidP="00683FD8">
      <w:pPr>
        <w:spacing w:line="480" w:lineRule="auto"/>
        <w:rPr>
          <w:rFonts w:ascii="Times New Roman" w:hAnsi="Times New Roman" w:cs="Times New Roman"/>
        </w:rPr>
      </w:pPr>
      <w:r w:rsidRPr="00675060">
        <w:rPr>
          <w:rFonts w:ascii="Times New Roman" w:hAnsi="Times New Roman" w:cs="Times New Roman"/>
        </w:rPr>
        <w:tab/>
        <w:t xml:space="preserve">In some </w:t>
      </w:r>
      <w:r w:rsidR="003B427B" w:rsidRPr="00675060">
        <w:rPr>
          <w:rFonts w:ascii="Times New Roman" w:hAnsi="Times New Roman" w:cs="Times New Roman"/>
        </w:rPr>
        <w:t xml:space="preserve">extreme </w:t>
      </w:r>
      <w:r w:rsidRPr="00675060">
        <w:rPr>
          <w:rFonts w:ascii="Times New Roman" w:hAnsi="Times New Roman" w:cs="Times New Roman"/>
        </w:rPr>
        <w:t xml:space="preserve">cases, </w:t>
      </w:r>
      <w:r w:rsidR="003B427B" w:rsidRPr="00675060">
        <w:rPr>
          <w:rFonts w:ascii="Times New Roman" w:hAnsi="Times New Roman" w:cs="Times New Roman"/>
        </w:rPr>
        <w:t xml:space="preserve">there may be a tension between data on “course completions” and data on “employment outcomes”. In sectors of scarcity, for instance, the authors are personally familiar with </w:t>
      </w:r>
      <w:r w:rsidR="00A921C3">
        <w:rPr>
          <w:rFonts w:ascii="Times New Roman" w:hAnsi="Times New Roman" w:cs="Times New Roman"/>
        </w:rPr>
        <w:t xml:space="preserve">situations where young people are </w:t>
      </w:r>
      <w:r w:rsidR="003B427B" w:rsidRPr="00675060">
        <w:rPr>
          <w:rFonts w:ascii="Times New Roman" w:hAnsi="Times New Roman" w:cs="Times New Roman"/>
        </w:rPr>
        <w:t>tempted into employment by attractive terms and conditions prior to completing the</w:t>
      </w:r>
      <w:r w:rsidR="00A921C3">
        <w:rPr>
          <w:rFonts w:ascii="Times New Roman" w:hAnsi="Times New Roman" w:cs="Times New Roman"/>
        </w:rPr>
        <w:t>ir</w:t>
      </w:r>
      <w:r w:rsidR="003B427B" w:rsidRPr="00675060">
        <w:rPr>
          <w:rFonts w:ascii="Times New Roman" w:hAnsi="Times New Roman" w:cs="Times New Roman"/>
        </w:rPr>
        <w:t xml:space="preserve"> courses, </w:t>
      </w:r>
      <w:r w:rsidR="00A921C3">
        <w:rPr>
          <w:rFonts w:ascii="Times New Roman" w:hAnsi="Times New Roman" w:cs="Times New Roman"/>
        </w:rPr>
        <w:t xml:space="preserve">in sectors such as </w:t>
      </w:r>
      <w:r w:rsidR="003B427B" w:rsidRPr="00675060">
        <w:rPr>
          <w:rFonts w:ascii="Times New Roman" w:hAnsi="Times New Roman" w:cs="Times New Roman"/>
        </w:rPr>
        <w:t xml:space="preserve">plumbing, plastering, and data science. This may not be an optimal outcome in some circumstances, but would be ideally captured </w:t>
      </w:r>
      <w:r w:rsidR="00CF7ABB" w:rsidRPr="00675060">
        <w:rPr>
          <w:rFonts w:ascii="Times New Roman" w:hAnsi="Times New Roman" w:cs="Times New Roman"/>
        </w:rPr>
        <w:t xml:space="preserve">as statistically </w:t>
      </w:r>
      <w:r w:rsidR="003B427B" w:rsidRPr="00675060">
        <w:rPr>
          <w:rFonts w:ascii="Times New Roman" w:hAnsi="Times New Roman" w:cs="Times New Roman"/>
        </w:rPr>
        <w:t xml:space="preserve">distinct from other </w:t>
      </w:r>
      <w:r w:rsidR="00CF7ABB" w:rsidRPr="00675060">
        <w:rPr>
          <w:rFonts w:ascii="Times New Roman" w:hAnsi="Times New Roman" w:cs="Times New Roman"/>
        </w:rPr>
        <w:t xml:space="preserve">drop-out </w:t>
      </w:r>
      <w:r w:rsidR="003B427B" w:rsidRPr="00675060">
        <w:rPr>
          <w:rFonts w:ascii="Times New Roman" w:hAnsi="Times New Roman" w:cs="Times New Roman"/>
        </w:rPr>
        <w:t xml:space="preserve">reasons that may reflect more adverse </w:t>
      </w:r>
      <w:r w:rsidR="00CF7ABB" w:rsidRPr="00675060">
        <w:rPr>
          <w:rFonts w:ascii="Times New Roman" w:hAnsi="Times New Roman" w:cs="Times New Roman"/>
        </w:rPr>
        <w:t xml:space="preserve">employment </w:t>
      </w:r>
      <w:r w:rsidR="003B427B" w:rsidRPr="00675060">
        <w:rPr>
          <w:rFonts w:ascii="Times New Roman" w:hAnsi="Times New Roman" w:cs="Times New Roman"/>
        </w:rPr>
        <w:t>outcomes</w:t>
      </w:r>
      <w:r w:rsidR="00A921C3">
        <w:rPr>
          <w:rFonts w:ascii="Times New Roman" w:hAnsi="Times New Roman" w:cs="Times New Roman"/>
        </w:rPr>
        <w:t xml:space="preserve"> and less agency on the part of the student</w:t>
      </w:r>
      <w:r w:rsidR="003B427B" w:rsidRPr="00675060">
        <w:rPr>
          <w:rFonts w:ascii="Times New Roman" w:hAnsi="Times New Roman" w:cs="Times New Roman"/>
        </w:rPr>
        <w:t>.</w:t>
      </w:r>
    </w:p>
    <w:p w14:paraId="35694084" w14:textId="04A712BD" w:rsidR="00FF7A0C" w:rsidRPr="00675060" w:rsidRDefault="00FA61E7" w:rsidP="00683FD8">
      <w:pPr>
        <w:spacing w:line="480" w:lineRule="auto"/>
        <w:rPr>
          <w:rFonts w:ascii="Times New Roman" w:hAnsi="Times New Roman" w:cs="Times New Roman"/>
          <w:color w:val="FF0000"/>
          <w:sz w:val="24"/>
        </w:rPr>
      </w:pPr>
      <w:r w:rsidRPr="00675060">
        <w:rPr>
          <w:rFonts w:ascii="Times New Roman" w:hAnsi="Times New Roman" w:cs="Times New Roman"/>
          <w:color w:val="FF0000"/>
          <w:sz w:val="24"/>
        </w:rPr>
        <w:tab/>
      </w:r>
    </w:p>
    <w:p w14:paraId="21DCC7B8" w14:textId="77777777" w:rsidR="007B4105" w:rsidRPr="00675060" w:rsidRDefault="007B4105" w:rsidP="007B4105">
      <w:pPr>
        <w:spacing w:line="480" w:lineRule="auto"/>
        <w:rPr>
          <w:rFonts w:ascii="Times New Roman" w:hAnsi="Times New Roman" w:cs="Times New Roman"/>
          <w:i/>
          <w:sz w:val="24"/>
        </w:rPr>
      </w:pPr>
      <w:r w:rsidRPr="00675060">
        <w:rPr>
          <w:rFonts w:ascii="Times New Roman" w:hAnsi="Times New Roman" w:cs="Times New Roman"/>
          <w:i/>
          <w:sz w:val="24"/>
        </w:rPr>
        <w:t xml:space="preserve">Bias against </w:t>
      </w:r>
      <w:r w:rsidR="00F95BA6" w:rsidRPr="00675060">
        <w:rPr>
          <w:rFonts w:ascii="Times New Roman" w:hAnsi="Times New Roman" w:cs="Times New Roman"/>
          <w:i/>
          <w:sz w:val="24"/>
        </w:rPr>
        <w:t>project-based or p</w:t>
      </w:r>
      <w:r w:rsidRPr="00675060">
        <w:rPr>
          <w:rFonts w:ascii="Times New Roman" w:hAnsi="Times New Roman" w:cs="Times New Roman"/>
          <w:i/>
          <w:sz w:val="24"/>
        </w:rPr>
        <w:t>rotean careers</w:t>
      </w:r>
    </w:p>
    <w:p w14:paraId="2DE6A76D" w14:textId="4D8DA1C4" w:rsidR="007B4105" w:rsidRPr="00675060" w:rsidRDefault="00F95BA6" w:rsidP="007B4105">
      <w:pPr>
        <w:spacing w:line="480" w:lineRule="auto"/>
        <w:rPr>
          <w:rFonts w:ascii="Times New Roman" w:hAnsi="Times New Roman" w:cs="Times New Roman"/>
        </w:rPr>
      </w:pPr>
      <w:r w:rsidRPr="00675060">
        <w:rPr>
          <w:rFonts w:ascii="Times New Roman" w:hAnsi="Times New Roman" w:cs="Times New Roman"/>
        </w:rPr>
        <w:t>The second, closely related bias is against a particular type of participation in the labour market – those areas categorised by uncertainty, project-based working and periods of unemployment between roles. This covers freelance routes, self-employment, entrepreneurship, and the gig economy, and is particularly prevalent in some sectors, notably the creative industries</w:t>
      </w:r>
      <w:r w:rsidR="00B80BA5" w:rsidRPr="00675060">
        <w:rPr>
          <w:rFonts w:ascii="Times New Roman" w:hAnsi="Times New Roman" w:cs="Times New Roman"/>
        </w:rPr>
        <w:t xml:space="preserve"> (Huddleston </w:t>
      </w:r>
      <w:r w:rsidR="00A921C3">
        <w:rPr>
          <w:rFonts w:ascii="Times New Roman" w:hAnsi="Times New Roman" w:cs="Times New Roman"/>
        </w:rPr>
        <w:t>&amp;</w:t>
      </w:r>
      <w:r w:rsidR="00B80BA5" w:rsidRPr="00675060">
        <w:rPr>
          <w:rFonts w:ascii="Times New Roman" w:hAnsi="Times New Roman" w:cs="Times New Roman"/>
        </w:rPr>
        <w:t xml:space="preserve"> Ashton, 2019; Ashton </w:t>
      </w:r>
      <w:r w:rsidR="00A921C3">
        <w:rPr>
          <w:rFonts w:ascii="Times New Roman" w:hAnsi="Times New Roman" w:cs="Times New Roman"/>
        </w:rPr>
        <w:t>&amp;</w:t>
      </w:r>
      <w:r w:rsidR="00B80BA5" w:rsidRPr="00675060">
        <w:rPr>
          <w:rFonts w:ascii="Times New Roman" w:hAnsi="Times New Roman" w:cs="Times New Roman"/>
        </w:rPr>
        <w:t xml:space="preserve"> Ashton, 2015; Baumberg </w:t>
      </w:r>
      <w:r w:rsidR="00A921C3">
        <w:rPr>
          <w:rFonts w:ascii="Times New Roman" w:hAnsi="Times New Roman" w:cs="Times New Roman"/>
        </w:rPr>
        <w:t>&amp;</w:t>
      </w:r>
      <w:r w:rsidR="00B80BA5" w:rsidRPr="00675060">
        <w:rPr>
          <w:rFonts w:ascii="Times New Roman" w:hAnsi="Times New Roman" w:cs="Times New Roman"/>
        </w:rPr>
        <w:t xml:space="preserve"> Meager, 2015),</w:t>
      </w:r>
      <w:r w:rsidRPr="00675060">
        <w:rPr>
          <w:rFonts w:ascii="Times New Roman" w:hAnsi="Times New Roman" w:cs="Times New Roman"/>
        </w:rPr>
        <w:t xml:space="preserve"> Metrics that inveigh against any period of unemployment or economic inactivity (like NEET-status) as a failure naturally impugn such roles and areas of work. There is a risk that the broader </w:t>
      </w:r>
      <w:r w:rsidR="00C81D07" w:rsidRPr="00675060">
        <w:rPr>
          <w:rFonts w:ascii="Times New Roman" w:hAnsi="Times New Roman" w:cs="Times New Roman"/>
        </w:rPr>
        <w:t>career management philosophy</w:t>
      </w:r>
      <w:r w:rsidRPr="00675060">
        <w:rPr>
          <w:rFonts w:ascii="Times New Roman" w:hAnsi="Times New Roman" w:cs="Times New Roman"/>
        </w:rPr>
        <w:t xml:space="preserve"> of “protean careers”</w:t>
      </w:r>
      <w:r w:rsidR="00C81D07" w:rsidRPr="00675060">
        <w:rPr>
          <w:rFonts w:ascii="Times New Roman" w:hAnsi="Times New Roman" w:cs="Times New Roman"/>
        </w:rPr>
        <w:t xml:space="preserve"> is similarly underweighted, seeing modern careers</w:t>
      </w:r>
      <w:r w:rsidR="00C8359C" w:rsidRPr="00675060">
        <w:rPr>
          <w:rFonts w:ascii="Times New Roman" w:hAnsi="Times New Roman" w:cs="Times New Roman"/>
        </w:rPr>
        <w:t xml:space="preserve"> </w:t>
      </w:r>
      <w:r w:rsidR="00C81D07" w:rsidRPr="00675060">
        <w:rPr>
          <w:rFonts w:ascii="Times New Roman" w:hAnsi="Times New Roman" w:cs="Times New Roman"/>
        </w:rPr>
        <w:t xml:space="preserve">as more commonly </w:t>
      </w:r>
      <w:r w:rsidRPr="00675060">
        <w:rPr>
          <w:rFonts w:ascii="Times New Roman" w:hAnsi="Times New Roman" w:cs="Times New Roman"/>
        </w:rPr>
        <w:t>driven by the individual rather than their employer</w:t>
      </w:r>
      <w:r w:rsidR="00C81D07" w:rsidRPr="00675060">
        <w:rPr>
          <w:rFonts w:ascii="Times New Roman" w:hAnsi="Times New Roman" w:cs="Times New Roman"/>
        </w:rPr>
        <w:t>, repeatedly reinvented</w:t>
      </w:r>
      <w:r w:rsidRPr="00675060">
        <w:rPr>
          <w:rFonts w:ascii="Times New Roman" w:hAnsi="Times New Roman" w:cs="Times New Roman"/>
        </w:rPr>
        <w:t xml:space="preserve"> and hence more naturally </w:t>
      </w:r>
      <w:r w:rsidR="00C81D07" w:rsidRPr="00675060">
        <w:rPr>
          <w:rFonts w:ascii="Times New Roman" w:hAnsi="Times New Roman" w:cs="Times New Roman"/>
        </w:rPr>
        <w:t>encompassing changes and breaks in employment</w:t>
      </w:r>
      <w:r w:rsidRPr="00675060">
        <w:rPr>
          <w:rFonts w:ascii="Times New Roman" w:hAnsi="Times New Roman" w:cs="Times New Roman"/>
        </w:rPr>
        <w:t xml:space="preserve"> (Hall, 1996; Baruch 2014). </w:t>
      </w:r>
    </w:p>
    <w:p w14:paraId="04B1C250" w14:textId="7725A866" w:rsidR="000B723D" w:rsidRPr="00675060" w:rsidRDefault="00C81D07" w:rsidP="007B4105">
      <w:pPr>
        <w:spacing w:line="480" w:lineRule="auto"/>
        <w:rPr>
          <w:rFonts w:ascii="Times New Roman" w:hAnsi="Times New Roman" w:cs="Times New Roman"/>
        </w:rPr>
      </w:pPr>
      <w:r w:rsidRPr="00675060">
        <w:rPr>
          <w:rFonts w:ascii="Times New Roman" w:hAnsi="Times New Roman" w:cs="Times New Roman"/>
        </w:rPr>
        <w:tab/>
        <w:t xml:space="preserve">These are exactly some of the changes in the labour market – growth of the gig economy and reduced consistency of relationship between employer and employee – that are driving policymakers to develop these transition metrics; it is </w:t>
      </w:r>
      <w:r w:rsidR="00F96A33">
        <w:rPr>
          <w:rFonts w:ascii="Times New Roman" w:hAnsi="Times New Roman" w:cs="Times New Roman"/>
        </w:rPr>
        <w:t xml:space="preserve">sad if </w:t>
      </w:r>
      <w:r w:rsidRPr="00675060">
        <w:rPr>
          <w:rFonts w:ascii="Times New Roman" w:hAnsi="Times New Roman" w:cs="Times New Roman"/>
        </w:rPr>
        <w:t xml:space="preserve">ironic that their metrics fail to capture the trends that </w:t>
      </w:r>
      <w:r w:rsidR="00F96A33">
        <w:rPr>
          <w:rFonts w:ascii="Times New Roman" w:hAnsi="Times New Roman" w:cs="Times New Roman"/>
        </w:rPr>
        <w:lastRenderedPageBreak/>
        <w:t xml:space="preserve">motivate </w:t>
      </w:r>
      <w:r w:rsidRPr="00675060">
        <w:rPr>
          <w:rFonts w:ascii="Times New Roman" w:hAnsi="Times New Roman" w:cs="Times New Roman"/>
        </w:rPr>
        <w:t xml:space="preserve">them. </w:t>
      </w:r>
      <w:r w:rsidR="000B723D" w:rsidRPr="00675060">
        <w:rPr>
          <w:rFonts w:ascii="Times New Roman" w:hAnsi="Times New Roman" w:cs="Times New Roman"/>
        </w:rPr>
        <w:t xml:space="preserve">For instance, within the UK ‘self-employment accounts for nearly half of all jobs created since the economic </w:t>
      </w:r>
      <w:r w:rsidR="00CC0EA2" w:rsidRPr="00675060">
        <w:rPr>
          <w:rFonts w:ascii="Times New Roman" w:hAnsi="Times New Roman" w:cs="Times New Roman"/>
        </w:rPr>
        <w:t>downturn of</w:t>
      </w:r>
      <w:r w:rsidR="000B723D" w:rsidRPr="00675060">
        <w:rPr>
          <w:rFonts w:ascii="Times New Roman" w:hAnsi="Times New Roman" w:cs="Times New Roman"/>
        </w:rPr>
        <w:t xml:space="preserve"> 2008....it may not be long before freelancers, sole-traders and micro-entrepreneurs outnumber the public sector workforce’ (RSA, 2017).</w:t>
      </w:r>
    </w:p>
    <w:p w14:paraId="32783601" w14:textId="77777777" w:rsidR="007B4105" w:rsidRPr="00675060" w:rsidRDefault="00C81D07" w:rsidP="000B723D">
      <w:pPr>
        <w:spacing w:line="480" w:lineRule="auto"/>
        <w:ind w:firstLine="720"/>
        <w:rPr>
          <w:rFonts w:ascii="Times New Roman" w:hAnsi="Times New Roman" w:cs="Times New Roman"/>
        </w:rPr>
      </w:pPr>
      <w:r w:rsidRPr="00675060">
        <w:rPr>
          <w:rFonts w:ascii="Times New Roman" w:hAnsi="Times New Roman" w:cs="Times New Roman"/>
        </w:rPr>
        <w:t xml:space="preserve">This discussion is not meant to uncritically support the kinds of job choices or career pathways that have greater uncertainty. By contrast, it is important that students have access to information about the reality of such careers and that career </w:t>
      </w:r>
      <w:r w:rsidR="00274EAF" w:rsidRPr="00675060">
        <w:rPr>
          <w:rFonts w:ascii="Times New Roman" w:hAnsi="Times New Roman" w:cs="Times New Roman"/>
        </w:rPr>
        <w:t>counsellors</w:t>
      </w:r>
      <w:r w:rsidRPr="00675060">
        <w:rPr>
          <w:rFonts w:ascii="Times New Roman" w:hAnsi="Times New Roman" w:cs="Times New Roman"/>
        </w:rPr>
        <w:t xml:space="preserve"> are available to help them through it. Such disadvantages, where properly understood, may well lead to fewer students exploring such pathways. However, what we are critical of is the disguising of such disadvantages in aggregate metrics, displayed on normative univariate scales that purport to be fair and objective measures of success.</w:t>
      </w:r>
      <w:r w:rsidR="00CA3C4D" w:rsidRPr="00675060">
        <w:rPr>
          <w:rFonts w:ascii="Times New Roman" w:hAnsi="Times New Roman" w:cs="Times New Roman"/>
        </w:rPr>
        <w:t xml:space="preserve"> As with the bias to continuing education, these relatively subtle emphases in metrics reinforce concerns over the suitability of provision in schools more generally to prepare young people for the possibility of freelance careers and self-employment (Huddleston &amp; Ashton, 201</w:t>
      </w:r>
      <w:r w:rsidR="00A51E1E" w:rsidRPr="00675060">
        <w:rPr>
          <w:rFonts w:ascii="Times New Roman" w:hAnsi="Times New Roman" w:cs="Times New Roman"/>
        </w:rPr>
        <w:t>9</w:t>
      </w:r>
      <w:r w:rsidR="00CA3C4D" w:rsidRPr="00675060">
        <w:rPr>
          <w:rFonts w:ascii="Times New Roman" w:hAnsi="Times New Roman" w:cs="Times New Roman"/>
        </w:rPr>
        <w:t xml:space="preserve">). </w:t>
      </w:r>
    </w:p>
    <w:p w14:paraId="48BC8E05" w14:textId="77777777" w:rsidR="00FF7A0C" w:rsidRPr="00675060" w:rsidRDefault="00FF7A0C" w:rsidP="007B4105">
      <w:pPr>
        <w:spacing w:line="480" w:lineRule="auto"/>
        <w:rPr>
          <w:rFonts w:ascii="Times New Roman" w:hAnsi="Times New Roman" w:cs="Times New Roman"/>
          <w:color w:val="FF0000"/>
        </w:rPr>
      </w:pPr>
    </w:p>
    <w:p w14:paraId="04A11E80" w14:textId="27BFCC44" w:rsidR="004565E2" w:rsidRPr="00675060" w:rsidRDefault="003D2C90" w:rsidP="00BA34EA">
      <w:pPr>
        <w:spacing w:line="480" w:lineRule="auto"/>
        <w:rPr>
          <w:rFonts w:ascii="Times New Roman" w:hAnsi="Times New Roman" w:cs="Times New Roman"/>
          <w:i/>
          <w:sz w:val="24"/>
        </w:rPr>
      </w:pPr>
      <w:r w:rsidRPr="00675060">
        <w:rPr>
          <w:rFonts w:ascii="Times New Roman" w:hAnsi="Times New Roman" w:cs="Times New Roman"/>
          <w:i/>
          <w:sz w:val="24"/>
        </w:rPr>
        <w:t xml:space="preserve">Bias of “providerism” overplaying the power of choice </w:t>
      </w:r>
    </w:p>
    <w:p w14:paraId="3F816274" w14:textId="50F937A9" w:rsidR="00940CE4" w:rsidRPr="00675060" w:rsidRDefault="00E12EF3" w:rsidP="00BA34EA">
      <w:pPr>
        <w:spacing w:line="480" w:lineRule="auto"/>
        <w:rPr>
          <w:rFonts w:ascii="Times New Roman" w:hAnsi="Times New Roman" w:cs="Times New Roman"/>
        </w:rPr>
      </w:pPr>
      <w:r w:rsidRPr="00675060">
        <w:rPr>
          <w:rFonts w:ascii="Times New Roman" w:hAnsi="Times New Roman" w:cs="Times New Roman"/>
        </w:rPr>
        <w:t>One key policy motivation for developing destination metrics is that it can help young people make better choices about their education pathways, specifically the provider at which they might want to study a particular course. For instance, in the Engl</w:t>
      </w:r>
      <w:r w:rsidR="00001E0A" w:rsidRPr="00675060">
        <w:rPr>
          <w:rFonts w:ascii="Times New Roman" w:hAnsi="Times New Roman" w:cs="Times New Roman"/>
        </w:rPr>
        <w:t>ish</w:t>
      </w:r>
      <w:r w:rsidRPr="00675060">
        <w:rPr>
          <w:rFonts w:ascii="Times New Roman" w:hAnsi="Times New Roman" w:cs="Times New Roman"/>
        </w:rPr>
        <w:t xml:space="preserve"> context, if students need to re</w:t>
      </w:r>
      <w:r w:rsidR="00001E0A" w:rsidRPr="00675060">
        <w:rPr>
          <w:rFonts w:ascii="Times New Roman" w:hAnsi="Times New Roman" w:cs="Times New Roman"/>
        </w:rPr>
        <w:t>-</w:t>
      </w:r>
      <w:r w:rsidR="00F700DE">
        <w:rPr>
          <w:rFonts w:ascii="Times New Roman" w:hAnsi="Times New Roman" w:cs="Times New Roman"/>
        </w:rPr>
        <w:t>take</w:t>
      </w:r>
      <w:r w:rsidRPr="00675060">
        <w:rPr>
          <w:rFonts w:ascii="Times New Roman" w:hAnsi="Times New Roman" w:cs="Times New Roman"/>
        </w:rPr>
        <w:t xml:space="preserve"> certain qualifications in English and Maths post-16, they might prefer to go to a post-16 provider that achieves good student progress (relative to starting point) and good pass rates in such re</w:t>
      </w:r>
      <w:r w:rsidR="00001E0A" w:rsidRPr="00675060">
        <w:rPr>
          <w:rFonts w:ascii="Times New Roman" w:hAnsi="Times New Roman" w:cs="Times New Roman"/>
        </w:rPr>
        <w:t>-</w:t>
      </w:r>
      <w:r w:rsidR="00F700DE">
        <w:rPr>
          <w:rFonts w:ascii="Times New Roman" w:hAnsi="Times New Roman" w:cs="Times New Roman"/>
        </w:rPr>
        <w:t>takes</w:t>
      </w:r>
      <w:r w:rsidRPr="00675060">
        <w:rPr>
          <w:rFonts w:ascii="Times New Roman" w:hAnsi="Times New Roman" w:cs="Times New Roman"/>
        </w:rPr>
        <w:t xml:space="preserve">. Alternatively, students with higher education aspirations might want to go to a 16-18 provider with a high historical progression rate to Level 3+ or a high success rate in accessing the most prestigious universities. </w:t>
      </w:r>
      <w:r w:rsidR="00940CE4" w:rsidRPr="00675060">
        <w:rPr>
          <w:rFonts w:ascii="Times New Roman" w:hAnsi="Times New Roman" w:cs="Times New Roman"/>
        </w:rPr>
        <w:t>The risk is that such metrics can lead to an over-confidence that choosing the provider will deliver the outcome implied by the metric.</w:t>
      </w:r>
    </w:p>
    <w:p w14:paraId="29ED46D2" w14:textId="75F27859" w:rsidR="00BF6C5A" w:rsidRPr="00675060" w:rsidRDefault="00E12EF3" w:rsidP="00BA34EA">
      <w:pPr>
        <w:spacing w:line="480" w:lineRule="auto"/>
        <w:rPr>
          <w:rFonts w:ascii="Times New Roman" w:hAnsi="Times New Roman" w:cs="Times New Roman"/>
        </w:rPr>
      </w:pPr>
      <w:r w:rsidRPr="00675060">
        <w:rPr>
          <w:rFonts w:ascii="Times New Roman" w:hAnsi="Times New Roman" w:cs="Times New Roman"/>
        </w:rPr>
        <w:tab/>
        <w:t xml:space="preserve">Previous </w:t>
      </w:r>
      <w:r w:rsidR="00551FF2" w:rsidRPr="00675060">
        <w:rPr>
          <w:rFonts w:ascii="Times New Roman" w:hAnsi="Times New Roman" w:cs="Times New Roman"/>
        </w:rPr>
        <w:t>analyses</w:t>
      </w:r>
      <w:r w:rsidRPr="00675060">
        <w:rPr>
          <w:rFonts w:ascii="Times New Roman" w:hAnsi="Times New Roman" w:cs="Times New Roman"/>
        </w:rPr>
        <w:t xml:space="preserve"> have highlighted </w:t>
      </w:r>
      <w:r w:rsidR="00F700DE">
        <w:rPr>
          <w:rFonts w:ascii="Times New Roman" w:hAnsi="Times New Roman" w:cs="Times New Roman"/>
        </w:rPr>
        <w:t>findings</w:t>
      </w:r>
      <w:r w:rsidRPr="00675060">
        <w:rPr>
          <w:rFonts w:ascii="Times New Roman" w:hAnsi="Times New Roman" w:cs="Times New Roman"/>
        </w:rPr>
        <w:t xml:space="preserve"> that student outcomes are driven significantly by that student’s circumstances and prior attainment, as well as broader labour market conditions, rather than the value-added of a particular institution. Indeed, analysis of the Longitudinal Study of Young </w:t>
      </w:r>
      <w:r w:rsidRPr="00675060">
        <w:rPr>
          <w:rFonts w:ascii="Times New Roman" w:hAnsi="Times New Roman" w:cs="Times New Roman"/>
        </w:rPr>
        <w:lastRenderedPageBreak/>
        <w:t>People in England (LYSPE2)</w:t>
      </w:r>
      <w:r w:rsidR="00FC2AAF">
        <w:rPr>
          <w:rFonts w:ascii="Times New Roman" w:hAnsi="Times New Roman" w:cs="Times New Roman"/>
        </w:rPr>
        <w:t xml:space="preserve"> </w:t>
      </w:r>
      <w:r w:rsidRPr="00675060">
        <w:rPr>
          <w:rFonts w:ascii="Times New Roman" w:hAnsi="Times New Roman" w:cs="Times New Roman"/>
        </w:rPr>
        <w:t>suggested that 84% of variation in exam results at age 16 was driven by pupil-level differences, with only 16% driven by school-level differences</w:t>
      </w:r>
      <w:r w:rsidR="00FC2AAF">
        <w:rPr>
          <w:rFonts w:ascii="Times New Roman" w:hAnsi="Times New Roman" w:cs="Times New Roman"/>
        </w:rPr>
        <w:t xml:space="preserve"> (Lessof, Ross, Brind, Harding, Bell, &amp; George, 2018)</w:t>
      </w:r>
      <w:r w:rsidR="002D324E" w:rsidRPr="00675060">
        <w:rPr>
          <w:rFonts w:ascii="Times New Roman" w:hAnsi="Times New Roman" w:cs="Times New Roman"/>
        </w:rPr>
        <w:t>; other analysis has found that students’ prior attainment over multiple examination phases is sufficient to explain the vast majority of the variation in future attainment (</w:t>
      </w:r>
      <w:r w:rsidR="00A34A1E" w:rsidRPr="00675060">
        <w:rPr>
          <w:rFonts w:ascii="Times New Roman" w:hAnsi="Times New Roman" w:cs="Times New Roman"/>
        </w:rPr>
        <w:t>Gorard &amp; Siddiqui, 2019</w:t>
      </w:r>
      <w:r w:rsidR="002D324E" w:rsidRPr="00675060">
        <w:rPr>
          <w:rFonts w:ascii="Times New Roman" w:hAnsi="Times New Roman" w:cs="Times New Roman"/>
        </w:rPr>
        <w:t>). S</w:t>
      </w:r>
      <w:r w:rsidRPr="00675060">
        <w:rPr>
          <w:rFonts w:ascii="Times New Roman" w:hAnsi="Times New Roman" w:cs="Times New Roman"/>
        </w:rPr>
        <w:t xml:space="preserve">imilarly LEO analysis has suggested that, outside of a handful of </w:t>
      </w:r>
      <w:r w:rsidR="00F700DE">
        <w:rPr>
          <w:rFonts w:ascii="Times New Roman" w:hAnsi="Times New Roman" w:cs="Times New Roman"/>
        </w:rPr>
        <w:t>providers</w:t>
      </w:r>
      <w:r w:rsidRPr="00675060">
        <w:rPr>
          <w:rFonts w:ascii="Times New Roman" w:hAnsi="Times New Roman" w:cs="Times New Roman"/>
        </w:rPr>
        <w:t xml:space="preserve">, the choice of university makes little difference to wage outcomes, once </w:t>
      </w:r>
      <w:r w:rsidR="002D324E" w:rsidRPr="00675060">
        <w:rPr>
          <w:rFonts w:ascii="Times New Roman" w:hAnsi="Times New Roman" w:cs="Times New Roman"/>
        </w:rPr>
        <w:t xml:space="preserve">student context, prior attainment and </w:t>
      </w:r>
      <w:r w:rsidR="00CC0EA2" w:rsidRPr="00675060">
        <w:rPr>
          <w:rFonts w:ascii="Times New Roman" w:hAnsi="Times New Roman" w:cs="Times New Roman"/>
        </w:rPr>
        <w:t>choice</w:t>
      </w:r>
      <w:r w:rsidR="002D324E" w:rsidRPr="00675060">
        <w:rPr>
          <w:rFonts w:ascii="Times New Roman" w:hAnsi="Times New Roman" w:cs="Times New Roman"/>
        </w:rPr>
        <w:t xml:space="preserve"> of subject are controlled for (</w:t>
      </w:r>
      <w:r w:rsidR="00B72A26" w:rsidRPr="00675060">
        <w:rPr>
          <w:rFonts w:ascii="Times New Roman" w:hAnsi="Times New Roman" w:cs="Times New Roman"/>
        </w:rPr>
        <w:t>Willetts, 2019</w:t>
      </w:r>
      <w:r w:rsidR="002D324E" w:rsidRPr="00675060">
        <w:rPr>
          <w:rFonts w:ascii="Times New Roman" w:hAnsi="Times New Roman" w:cs="Times New Roman"/>
        </w:rPr>
        <w:t xml:space="preserve">). </w:t>
      </w:r>
      <w:r w:rsidR="00551FF2" w:rsidRPr="00675060">
        <w:rPr>
          <w:rFonts w:ascii="Times New Roman" w:hAnsi="Times New Roman" w:cs="Times New Roman"/>
        </w:rPr>
        <w:t>In other words, while the average destination outcomes may vary materially from provider to provider, this may reflect more the nature of their cohort than the activities in that institution.</w:t>
      </w:r>
    </w:p>
    <w:p w14:paraId="2560B14F" w14:textId="77777777" w:rsidR="00F700DE" w:rsidRDefault="00551FF2" w:rsidP="00551FF2">
      <w:pPr>
        <w:spacing w:line="480" w:lineRule="auto"/>
        <w:rPr>
          <w:rFonts w:ascii="Times New Roman" w:hAnsi="Times New Roman" w:cs="Times New Roman"/>
        </w:rPr>
      </w:pPr>
      <w:r w:rsidRPr="00675060">
        <w:rPr>
          <w:rFonts w:ascii="Times New Roman" w:hAnsi="Times New Roman" w:cs="Times New Roman"/>
        </w:rPr>
        <w:tab/>
        <w:t>Returning to the example of a provider with an historically high pass-rate in English re</w:t>
      </w:r>
      <w:r w:rsidR="00F700DE">
        <w:rPr>
          <w:rFonts w:ascii="Times New Roman" w:hAnsi="Times New Roman" w:cs="Times New Roman"/>
        </w:rPr>
        <w:t>-takes</w:t>
      </w:r>
      <w:r w:rsidRPr="00675060">
        <w:rPr>
          <w:rFonts w:ascii="Times New Roman" w:hAnsi="Times New Roman" w:cs="Times New Roman"/>
        </w:rPr>
        <w:t xml:space="preserve">, this may reflect more the type of students they accept or the types of other courses and activities done by </w:t>
      </w:r>
      <w:r w:rsidR="00F700DE">
        <w:rPr>
          <w:rFonts w:ascii="Times New Roman" w:hAnsi="Times New Roman" w:cs="Times New Roman"/>
        </w:rPr>
        <w:t>such</w:t>
      </w:r>
      <w:r w:rsidRPr="00675060">
        <w:rPr>
          <w:rFonts w:ascii="Times New Roman" w:hAnsi="Times New Roman" w:cs="Times New Roman"/>
        </w:rPr>
        <w:t xml:space="preserve"> students, rather than the quality of the English teaching department, as implied in attempts to use the metric to help a student needing to </w:t>
      </w:r>
      <w:r w:rsidR="00F700DE">
        <w:rPr>
          <w:rFonts w:ascii="Times New Roman" w:hAnsi="Times New Roman" w:cs="Times New Roman"/>
        </w:rPr>
        <w:t>re-take</w:t>
      </w:r>
      <w:r w:rsidRPr="00675060">
        <w:rPr>
          <w:rFonts w:ascii="Times New Roman" w:hAnsi="Times New Roman" w:cs="Times New Roman"/>
        </w:rPr>
        <w:t xml:space="preserve"> English decide where to go. If the student in question is very different from the type of students that make up the majority of that school’s historical cohorts or is doing a different combination of activities, the metric may have little bearing on his or her chance of success. </w:t>
      </w:r>
    </w:p>
    <w:p w14:paraId="0EC2AB74" w14:textId="75D08605" w:rsidR="00E12EF3" w:rsidRPr="00675060" w:rsidRDefault="00551FF2" w:rsidP="00F700DE">
      <w:pPr>
        <w:spacing w:line="480" w:lineRule="auto"/>
        <w:ind w:firstLine="720"/>
        <w:rPr>
          <w:rFonts w:ascii="Times New Roman" w:hAnsi="Times New Roman" w:cs="Times New Roman"/>
        </w:rPr>
      </w:pPr>
      <w:r w:rsidRPr="00675060">
        <w:rPr>
          <w:rFonts w:ascii="Times New Roman" w:hAnsi="Times New Roman" w:cs="Times New Roman"/>
        </w:rPr>
        <w:t xml:space="preserve">This </w:t>
      </w:r>
      <w:r w:rsidR="00F700DE">
        <w:rPr>
          <w:rFonts w:ascii="Times New Roman" w:hAnsi="Times New Roman" w:cs="Times New Roman"/>
        </w:rPr>
        <w:t xml:space="preserve">bias </w:t>
      </w:r>
      <w:r w:rsidRPr="00675060">
        <w:rPr>
          <w:rFonts w:ascii="Times New Roman" w:hAnsi="Times New Roman" w:cs="Times New Roman"/>
        </w:rPr>
        <w:t xml:space="preserve">does not mean </w:t>
      </w:r>
      <w:r w:rsidR="00F700DE">
        <w:rPr>
          <w:rFonts w:ascii="Times New Roman" w:hAnsi="Times New Roman" w:cs="Times New Roman"/>
        </w:rPr>
        <w:t xml:space="preserve">such </w:t>
      </w:r>
      <w:r w:rsidRPr="00675060">
        <w:rPr>
          <w:rFonts w:ascii="Times New Roman" w:hAnsi="Times New Roman" w:cs="Times New Roman"/>
        </w:rPr>
        <w:t>metric</w:t>
      </w:r>
      <w:r w:rsidR="00F700DE">
        <w:rPr>
          <w:rFonts w:ascii="Times New Roman" w:hAnsi="Times New Roman" w:cs="Times New Roman"/>
        </w:rPr>
        <w:t>s</w:t>
      </w:r>
      <w:r w:rsidRPr="00675060">
        <w:rPr>
          <w:rFonts w:ascii="Times New Roman" w:hAnsi="Times New Roman" w:cs="Times New Roman"/>
        </w:rPr>
        <w:t xml:space="preserve"> </w:t>
      </w:r>
      <w:r w:rsidR="00F700DE">
        <w:rPr>
          <w:rFonts w:ascii="Times New Roman" w:hAnsi="Times New Roman" w:cs="Times New Roman"/>
        </w:rPr>
        <w:t xml:space="preserve">are </w:t>
      </w:r>
      <w:r w:rsidRPr="00675060">
        <w:rPr>
          <w:rFonts w:ascii="Times New Roman" w:hAnsi="Times New Roman" w:cs="Times New Roman"/>
        </w:rPr>
        <w:t>meaningless</w:t>
      </w:r>
      <w:r w:rsidR="00F700DE">
        <w:rPr>
          <w:rFonts w:ascii="Times New Roman" w:hAnsi="Times New Roman" w:cs="Times New Roman"/>
        </w:rPr>
        <w:t xml:space="preserve"> for the stated purpose</w:t>
      </w:r>
      <w:r w:rsidRPr="00675060">
        <w:rPr>
          <w:rFonts w:ascii="Times New Roman" w:hAnsi="Times New Roman" w:cs="Times New Roman"/>
        </w:rPr>
        <w:t>: s</w:t>
      </w:r>
      <w:r w:rsidR="002D324E" w:rsidRPr="00675060">
        <w:rPr>
          <w:rFonts w:ascii="Times New Roman" w:hAnsi="Times New Roman" w:cs="Times New Roman"/>
        </w:rPr>
        <w:t>omeone joining a</w:t>
      </w:r>
      <w:r w:rsidR="00F700DE">
        <w:rPr>
          <w:rFonts w:ascii="Times New Roman" w:hAnsi="Times New Roman" w:cs="Times New Roman"/>
        </w:rPr>
        <w:t xml:space="preserve"> provider </w:t>
      </w:r>
      <w:r w:rsidR="002D324E" w:rsidRPr="00675060">
        <w:rPr>
          <w:rFonts w:ascii="Times New Roman" w:hAnsi="Times New Roman" w:cs="Times New Roman"/>
        </w:rPr>
        <w:t>who would, a prior</w:t>
      </w:r>
      <w:r w:rsidR="00001E0A" w:rsidRPr="00675060">
        <w:rPr>
          <w:rFonts w:ascii="Times New Roman" w:hAnsi="Times New Roman" w:cs="Times New Roman"/>
        </w:rPr>
        <w:t>i</w:t>
      </w:r>
      <w:r w:rsidR="002D324E" w:rsidRPr="00675060">
        <w:rPr>
          <w:rFonts w:ascii="Times New Roman" w:hAnsi="Times New Roman" w:cs="Times New Roman"/>
        </w:rPr>
        <w:t xml:space="preserve">, face worse outcomes than that </w:t>
      </w:r>
      <w:r w:rsidR="00F700DE">
        <w:rPr>
          <w:rFonts w:ascii="Times New Roman" w:hAnsi="Times New Roman" w:cs="Times New Roman"/>
        </w:rPr>
        <w:t>provider</w:t>
      </w:r>
      <w:r w:rsidR="002D324E" w:rsidRPr="00675060">
        <w:rPr>
          <w:rFonts w:ascii="Times New Roman" w:hAnsi="Times New Roman" w:cs="Times New Roman"/>
        </w:rPr>
        <w:t xml:space="preserve"> achieve</w:t>
      </w:r>
      <w:r w:rsidR="00F700DE">
        <w:rPr>
          <w:rFonts w:ascii="Times New Roman" w:hAnsi="Times New Roman" w:cs="Times New Roman"/>
        </w:rPr>
        <w:t>d</w:t>
      </w:r>
      <w:r w:rsidR="002D324E" w:rsidRPr="00675060">
        <w:rPr>
          <w:rFonts w:ascii="Times New Roman" w:hAnsi="Times New Roman" w:cs="Times New Roman"/>
        </w:rPr>
        <w:t xml:space="preserve"> on average </w:t>
      </w:r>
      <w:r w:rsidR="00F700DE">
        <w:rPr>
          <w:rFonts w:ascii="Times New Roman" w:hAnsi="Times New Roman" w:cs="Times New Roman"/>
        </w:rPr>
        <w:t xml:space="preserve">historically </w:t>
      </w:r>
      <w:r w:rsidR="002D324E" w:rsidRPr="00675060">
        <w:rPr>
          <w:rFonts w:ascii="Times New Roman" w:hAnsi="Times New Roman" w:cs="Times New Roman"/>
        </w:rPr>
        <w:t>may</w:t>
      </w:r>
      <w:r w:rsidR="00BF6C5A" w:rsidRPr="00675060">
        <w:rPr>
          <w:rFonts w:ascii="Times New Roman" w:hAnsi="Times New Roman" w:cs="Times New Roman"/>
        </w:rPr>
        <w:t xml:space="preserve"> </w:t>
      </w:r>
      <w:r w:rsidRPr="00675060">
        <w:rPr>
          <w:rFonts w:ascii="Times New Roman" w:hAnsi="Times New Roman" w:cs="Times New Roman"/>
        </w:rPr>
        <w:t xml:space="preserve">still </w:t>
      </w:r>
      <w:r w:rsidR="00BF6C5A" w:rsidRPr="00675060">
        <w:rPr>
          <w:rFonts w:ascii="Times New Roman" w:hAnsi="Times New Roman" w:cs="Times New Roman"/>
        </w:rPr>
        <w:t xml:space="preserve">see some uplift (e.g. from peer effects, teacher ambition, quality of the institution), but far less than they might be given to hope for from the usage of such data. It is </w:t>
      </w:r>
      <w:r w:rsidRPr="00675060">
        <w:rPr>
          <w:rFonts w:ascii="Times New Roman" w:hAnsi="Times New Roman" w:cs="Times New Roman"/>
        </w:rPr>
        <w:t xml:space="preserve">also </w:t>
      </w:r>
      <w:r w:rsidR="00BF6C5A" w:rsidRPr="00675060">
        <w:rPr>
          <w:rFonts w:ascii="Times New Roman" w:hAnsi="Times New Roman" w:cs="Times New Roman"/>
        </w:rPr>
        <w:t>important to highlight that even if provider contributions are modest in absolute terms, they may still represent significant changes at the margins or contribute to tipping points for certain individuals (e.g. achieving a near-pass rather than a near-fail). In other words, provider-level destinations data may still be useful to individuals, but it needs to be contextualised and caveated as a cohort-average statistic and should only be a contribution to individual decision-making along with other factors</w:t>
      </w:r>
      <w:r w:rsidRPr="00675060">
        <w:rPr>
          <w:rFonts w:ascii="Times New Roman" w:hAnsi="Times New Roman" w:cs="Times New Roman"/>
        </w:rPr>
        <w:t xml:space="preserve"> – our concern here is with a bias in the application of the data</w:t>
      </w:r>
      <w:r w:rsidR="00F700DE">
        <w:rPr>
          <w:rFonts w:ascii="Times New Roman" w:hAnsi="Times New Roman" w:cs="Times New Roman"/>
        </w:rPr>
        <w:t xml:space="preserve"> and in over-weighting it</w:t>
      </w:r>
      <w:r w:rsidRPr="00675060">
        <w:rPr>
          <w:rFonts w:ascii="Times New Roman" w:hAnsi="Times New Roman" w:cs="Times New Roman"/>
        </w:rPr>
        <w:t>, rather than to reject its utility entirely.</w:t>
      </w:r>
    </w:p>
    <w:p w14:paraId="5D38275A" w14:textId="42B93731" w:rsidR="00517BEC" w:rsidRPr="00675060" w:rsidRDefault="00551FF2" w:rsidP="00FF7A0C">
      <w:pPr>
        <w:spacing w:line="480" w:lineRule="auto"/>
        <w:ind w:firstLine="720"/>
        <w:rPr>
          <w:rFonts w:ascii="Times New Roman" w:hAnsi="Times New Roman" w:cs="Times New Roman"/>
        </w:rPr>
      </w:pPr>
      <w:r w:rsidRPr="00675060">
        <w:rPr>
          <w:rFonts w:ascii="Times New Roman" w:hAnsi="Times New Roman" w:cs="Times New Roman"/>
        </w:rPr>
        <w:lastRenderedPageBreak/>
        <w:t xml:space="preserve">A further </w:t>
      </w:r>
      <w:r w:rsidR="00BF6C5A" w:rsidRPr="00675060">
        <w:rPr>
          <w:rFonts w:ascii="Times New Roman" w:hAnsi="Times New Roman" w:cs="Times New Roman"/>
        </w:rPr>
        <w:t xml:space="preserve">assumption </w:t>
      </w:r>
      <w:r w:rsidRPr="00675060">
        <w:rPr>
          <w:rFonts w:ascii="Times New Roman" w:hAnsi="Times New Roman" w:cs="Times New Roman"/>
        </w:rPr>
        <w:t xml:space="preserve">in the provision of such metrics to support choice </w:t>
      </w:r>
      <w:r w:rsidR="00BF6C5A" w:rsidRPr="00675060">
        <w:rPr>
          <w:rFonts w:ascii="Times New Roman" w:hAnsi="Times New Roman" w:cs="Times New Roman"/>
        </w:rPr>
        <w:t>is that students are able to look across a set of upper secondary education providers and choose which one to go to. In practice, this choice can be constrained – state-funded providers may require students to go to the nearest one with a vacancy, some schools may have entrance criteria</w:t>
      </w:r>
      <w:r w:rsidR="00F700DE">
        <w:rPr>
          <w:rFonts w:ascii="Times New Roman" w:hAnsi="Times New Roman" w:cs="Times New Roman"/>
        </w:rPr>
        <w:t>,</w:t>
      </w:r>
      <w:r w:rsidR="00BF6C5A" w:rsidRPr="00675060">
        <w:rPr>
          <w:rFonts w:ascii="Times New Roman" w:hAnsi="Times New Roman" w:cs="Times New Roman"/>
        </w:rPr>
        <w:t xml:space="preserve"> or it may be logistically impractical for students to go to the ideal school</w:t>
      </w:r>
      <w:r w:rsidR="00F700DE">
        <w:rPr>
          <w:rFonts w:ascii="Times New Roman" w:hAnsi="Times New Roman" w:cs="Times New Roman"/>
        </w:rPr>
        <w:t xml:space="preserve"> (</w:t>
      </w:r>
      <w:r w:rsidRPr="00675060">
        <w:rPr>
          <w:rFonts w:ascii="Times New Roman" w:hAnsi="Times New Roman" w:cs="Times New Roman"/>
        </w:rPr>
        <w:t xml:space="preserve">although we note that well-resourced families can often subvert such constraints given enough time, such as by buying </w:t>
      </w:r>
      <w:r w:rsidR="00FF7A0C" w:rsidRPr="00675060">
        <w:rPr>
          <w:rFonts w:ascii="Times New Roman" w:hAnsi="Times New Roman" w:cs="Times New Roman"/>
        </w:rPr>
        <w:t xml:space="preserve">or renting accommodation near the schools they wish to </w:t>
      </w:r>
      <w:r w:rsidRPr="00675060">
        <w:rPr>
          <w:rFonts w:ascii="Times New Roman" w:hAnsi="Times New Roman" w:cs="Times New Roman"/>
        </w:rPr>
        <w:t>access</w:t>
      </w:r>
      <w:r w:rsidR="00F700DE">
        <w:rPr>
          <w:rFonts w:ascii="Times New Roman" w:hAnsi="Times New Roman" w:cs="Times New Roman"/>
        </w:rPr>
        <w:t>)</w:t>
      </w:r>
      <w:r w:rsidR="00FF7A0C" w:rsidRPr="00675060">
        <w:rPr>
          <w:rFonts w:ascii="Times New Roman" w:hAnsi="Times New Roman" w:cs="Times New Roman"/>
        </w:rPr>
        <w:t xml:space="preserve">. </w:t>
      </w:r>
    </w:p>
    <w:p w14:paraId="15CDB06A" w14:textId="77777777" w:rsidR="00915608" w:rsidRPr="00675060" w:rsidRDefault="00915608" w:rsidP="00FF7A0C">
      <w:pPr>
        <w:spacing w:line="480" w:lineRule="auto"/>
        <w:ind w:firstLine="720"/>
        <w:rPr>
          <w:rFonts w:ascii="Times New Roman" w:hAnsi="Times New Roman" w:cs="Times New Roman"/>
        </w:rPr>
      </w:pPr>
    </w:p>
    <w:p w14:paraId="0EF590DA" w14:textId="77777777" w:rsidR="00EB3F48" w:rsidRPr="00675060" w:rsidRDefault="004565E2" w:rsidP="004565E2">
      <w:pPr>
        <w:spacing w:line="480" w:lineRule="auto"/>
        <w:rPr>
          <w:rFonts w:ascii="Times New Roman" w:hAnsi="Times New Roman" w:cs="Times New Roman"/>
          <w:i/>
          <w:sz w:val="24"/>
        </w:rPr>
      </w:pPr>
      <w:r w:rsidRPr="00675060">
        <w:rPr>
          <w:rFonts w:ascii="Times New Roman" w:hAnsi="Times New Roman" w:cs="Times New Roman"/>
          <w:i/>
          <w:sz w:val="24"/>
        </w:rPr>
        <w:t>What can be done: Enhance the data and mediate its usage</w:t>
      </w:r>
    </w:p>
    <w:p w14:paraId="5F0D428F" w14:textId="5A3DB470" w:rsidR="00551FF2" w:rsidRPr="00675060" w:rsidRDefault="00551FF2" w:rsidP="00551FF2">
      <w:pPr>
        <w:spacing w:line="480" w:lineRule="auto"/>
        <w:rPr>
          <w:rFonts w:ascii="Times New Roman" w:hAnsi="Times New Roman" w:cs="Times New Roman"/>
        </w:rPr>
      </w:pPr>
      <w:r w:rsidRPr="00675060">
        <w:rPr>
          <w:rFonts w:ascii="Times New Roman" w:hAnsi="Times New Roman" w:cs="Times New Roman"/>
        </w:rPr>
        <w:t xml:space="preserve">One possible response to these limitations and concerns might be to argue for the restriction of such data. However, the absence of data does not lead to an absence of judgement; instead, it is judgement based on anecdote, word of mouth and stereotype. Data may well lead to imperfect judgements, but this is better mitigated than dismissed. </w:t>
      </w:r>
      <w:r w:rsidR="00F700DE">
        <w:rPr>
          <w:rFonts w:ascii="Times New Roman" w:hAnsi="Times New Roman" w:cs="Times New Roman"/>
        </w:rPr>
        <w:t>Furthermore, e</w:t>
      </w:r>
      <w:r w:rsidR="00B60660" w:rsidRPr="00675060">
        <w:rPr>
          <w:rFonts w:ascii="Times New Roman" w:hAnsi="Times New Roman" w:cs="Times New Roman"/>
        </w:rPr>
        <w:t xml:space="preserve">ducation providers may feel they have too little influence over destination metrics to be held accountable for them, but the mature answer to this would be to recognise and contextualise </w:t>
      </w:r>
      <w:r w:rsidR="00F700DE">
        <w:rPr>
          <w:rFonts w:ascii="Times New Roman" w:hAnsi="Times New Roman" w:cs="Times New Roman"/>
        </w:rPr>
        <w:t xml:space="preserve">such </w:t>
      </w:r>
      <w:r w:rsidR="00B60660" w:rsidRPr="00675060">
        <w:rPr>
          <w:rFonts w:ascii="Times New Roman" w:hAnsi="Times New Roman" w:cs="Times New Roman"/>
        </w:rPr>
        <w:t xml:space="preserve">factors, rather than to hide from the data </w:t>
      </w:r>
      <w:r w:rsidR="00F700DE">
        <w:rPr>
          <w:rFonts w:ascii="Times New Roman" w:hAnsi="Times New Roman" w:cs="Times New Roman"/>
        </w:rPr>
        <w:t>(</w:t>
      </w:r>
      <w:r w:rsidR="00B60660" w:rsidRPr="00675060">
        <w:rPr>
          <w:rFonts w:ascii="Times New Roman" w:hAnsi="Times New Roman" w:cs="Times New Roman"/>
        </w:rPr>
        <w:t>indeed, any societal outcome of note is too complex for any one institution to be considered solely responsible for it</w:t>
      </w:r>
      <w:r w:rsidR="00F700DE">
        <w:rPr>
          <w:rFonts w:ascii="Times New Roman" w:hAnsi="Times New Roman" w:cs="Times New Roman"/>
        </w:rPr>
        <w:t>)</w:t>
      </w:r>
      <w:r w:rsidR="00B60660" w:rsidRPr="00675060">
        <w:rPr>
          <w:rFonts w:ascii="Times New Roman" w:hAnsi="Times New Roman" w:cs="Times New Roman"/>
        </w:rPr>
        <w:t>. More normatively,</w:t>
      </w:r>
      <w:r w:rsidRPr="00675060">
        <w:rPr>
          <w:rFonts w:ascii="Times New Roman" w:hAnsi="Times New Roman" w:cs="Times New Roman"/>
        </w:rPr>
        <w:t xml:space="preserve"> attempts to restrict access to data based on its complexity feel paternalistic and inappropriate. Instead, we see potential for using the data better, gathering more of it and proactively mitigating its limitations</w:t>
      </w:r>
      <w:r w:rsidR="00F700DE">
        <w:rPr>
          <w:rFonts w:ascii="Times New Roman" w:hAnsi="Times New Roman" w:cs="Times New Roman"/>
        </w:rPr>
        <w:t>, in particularly via high-quality, empowered career counselling.</w:t>
      </w:r>
    </w:p>
    <w:p w14:paraId="7DC2B377" w14:textId="1524BE7F" w:rsidR="00D515E2" w:rsidRPr="00675060" w:rsidRDefault="004045DB" w:rsidP="00551FF2">
      <w:pPr>
        <w:spacing w:line="480" w:lineRule="auto"/>
        <w:ind w:firstLine="720"/>
        <w:rPr>
          <w:rFonts w:ascii="Times New Roman" w:hAnsi="Times New Roman" w:cs="Times New Roman"/>
        </w:rPr>
      </w:pPr>
      <w:r w:rsidRPr="00675060">
        <w:rPr>
          <w:rFonts w:ascii="Times New Roman" w:hAnsi="Times New Roman" w:cs="Times New Roman"/>
        </w:rPr>
        <w:t>In one sense,</w:t>
      </w:r>
      <w:r w:rsidR="004565E2" w:rsidRPr="00675060">
        <w:rPr>
          <w:rFonts w:ascii="Times New Roman" w:hAnsi="Times New Roman" w:cs="Times New Roman"/>
        </w:rPr>
        <w:t xml:space="preserve"> dest</w:t>
      </w:r>
      <w:r w:rsidR="009110B0" w:rsidRPr="00675060">
        <w:rPr>
          <w:rFonts w:ascii="Times New Roman" w:hAnsi="Times New Roman" w:cs="Times New Roman"/>
        </w:rPr>
        <w:t>ination metrics</w:t>
      </w:r>
      <w:r w:rsidR="004565E2" w:rsidRPr="00675060">
        <w:rPr>
          <w:rFonts w:ascii="Times New Roman" w:hAnsi="Times New Roman" w:cs="Times New Roman"/>
        </w:rPr>
        <w:t xml:space="preserve"> </w:t>
      </w:r>
      <w:r w:rsidRPr="00675060">
        <w:rPr>
          <w:rFonts w:ascii="Times New Roman" w:hAnsi="Times New Roman" w:cs="Times New Roman"/>
        </w:rPr>
        <w:t xml:space="preserve">are a </w:t>
      </w:r>
      <w:r w:rsidR="004565E2" w:rsidRPr="00675060">
        <w:rPr>
          <w:rFonts w:ascii="Times New Roman" w:hAnsi="Times New Roman" w:cs="Times New Roman"/>
        </w:rPr>
        <w:t xml:space="preserve">laudable </w:t>
      </w:r>
      <w:r w:rsidRPr="00675060">
        <w:rPr>
          <w:rFonts w:ascii="Times New Roman" w:hAnsi="Times New Roman" w:cs="Times New Roman"/>
        </w:rPr>
        <w:t xml:space="preserve">endeavour </w:t>
      </w:r>
      <w:r w:rsidR="004565E2" w:rsidRPr="00675060">
        <w:rPr>
          <w:rFonts w:ascii="Times New Roman" w:hAnsi="Times New Roman" w:cs="Times New Roman"/>
        </w:rPr>
        <w:t xml:space="preserve">in that </w:t>
      </w:r>
      <w:r w:rsidRPr="00675060">
        <w:rPr>
          <w:rFonts w:ascii="Times New Roman" w:hAnsi="Times New Roman" w:cs="Times New Roman"/>
        </w:rPr>
        <w:t xml:space="preserve">they diversify </w:t>
      </w:r>
      <w:r w:rsidR="004565E2" w:rsidRPr="00675060">
        <w:rPr>
          <w:rFonts w:ascii="Times New Roman" w:hAnsi="Times New Roman" w:cs="Times New Roman"/>
        </w:rPr>
        <w:t xml:space="preserve">away </w:t>
      </w:r>
      <w:r w:rsidR="009110B0" w:rsidRPr="00675060">
        <w:rPr>
          <w:rFonts w:ascii="Times New Roman" w:hAnsi="Times New Roman" w:cs="Times New Roman"/>
        </w:rPr>
        <w:t xml:space="preserve">from a focus </w:t>
      </w:r>
      <w:r w:rsidR="004565E2" w:rsidRPr="00675060">
        <w:rPr>
          <w:rFonts w:ascii="Times New Roman" w:hAnsi="Times New Roman" w:cs="Times New Roman"/>
        </w:rPr>
        <w:t xml:space="preserve">just </w:t>
      </w:r>
      <w:r w:rsidR="009110B0" w:rsidRPr="00675060">
        <w:rPr>
          <w:rFonts w:ascii="Times New Roman" w:hAnsi="Times New Roman" w:cs="Times New Roman"/>
        </w:rPr>
        <w:t xml:space="preserve">on academic </w:t>
      </w:r>
      <w:r w:rsidR="004565E2" w:rsidRPr="00675060">
        <w:rPr>
          <w:rFonts w:ascii="Times New Roman" w:hAnsi="Times New Roman" w:cs="Times New Roman"/>
        </w:rPr>
        <w:t>attainment</w:t>
      </w:r>
      <w:r w:rsidRPr="00675060">
        <w:rPr>
          <w:rFonts w:ascii="Times New Roman" w:hAnsi="Times New Roman" w:cs="Times New Roman"/>
        </w:rPr>
        <w:t xml:space="preserve">. Such a broader focus will be welcome to </w:t>
      </w:r>
      <w:r w:rsidR="00A572BF" w:rsidRPr="00675060">
        <w:rPr>
          <w:rFonts w:ascii="Times New Roman" w:hAnsi="Times New Roman" w:cs="Times New Roman"/>
        </w:rPr>
        <w:t xml:space="preserve">those </w:t>
      </w:r>
      <w:r w:rsidR="009110B0" w:rsidRPr="00675060">
        <w:rPr>
          <w:rFonts w:ascii="Times New Roman" w:hAnsi="Times New Roman" w:cs="Times New Roman"/>
        </w:rPr>
        <w:t xml:space="preserve">funders and students of </w:t>
      </w:r>
      <w:r w:rsidR="00A572BF" w:rsidRPr="00675060">
        <w:rPr>
          <w:rFonts w:ascii="Times New Roman" w:hAnsi="Times New Roman" w:cs="Times New Roman"/>
        </w:rPr>
        <w:t xml:space="preserve">the </w:t>
      </w:r>
      <w:r w:rsidR="009110B0" w:rsidRPr="00675060">
        <w:rPr>
          <w:rFonts w:ascii="Times New Roman" w:hAnsi="Times New Roman" w:cs="Times New Roman"/>
        </w:rPr>
        <w:t xml:space="preserve">education </w:t>
      </w:r>
      <w:r w:rsidR="00A572BF" w:rsidRPr="00675060">
        <w:rPr>
          <w:rFonts w:ascii="Times New Roman" w:hAnsi="Times New Roman" w:cs="Times New Roman"/>
        </w:rPr>
        <w:t xml:space="preserve">system </w:t>
      </w:r>
      <w:r w:rsidRPr="00675060">
        <w:rPr>
          <w:rFonts w:ascii="Times New Roman" w:hAnsi="Times New Roman" w:cs="Times New Roman"/>
        </w:rPr>
        <w:t xml:space="preserve">who </w:t>
      </w:r>
      <w:r w:rsidR="009110B0" w:rsidRPr="00675060">
        <w:rPr>
          <w:rFonts w:ascii="Times New Roman" w:hAnsi="Times New Roman" w:cs="Times New Roman"/>
        </w:rPr>
        <w:t>are interested in what happens next as well as in their qualifications</w:t>
      </w:r>
      <w:r w:rsidR="00A572BF" w:rsidRPr="00675060">
        <w:rPr>
          <w:rFonts w:ascii="Times New Roman" w:hAnsi="Times New Roman" w:cs="Times New Roman"/>
        </w:rPr>
        <w:t xml:space="preserve">. It may also </w:t>
      </w:r>
      <w:r w:rsidRPr="00675060">
        <w:rPr>
          <w:rFonts w:ascii="Times New Roman" w:hAnsi="Times New Roman" w:cs="Times New Roman"/>
        </w:rPr>
        <w:t xml:space="preserve">help respond to a growing critique, albeit a controversial and contested one, </w:t>
      </w:r>
      <w:r w:rsidR="004565E2" w:rsidRPr="00675060">
        <w:rPr>
          <w:rFonts w:ascii="Times New Roman" w:hAnsi="Times New Roman" w:cs="Times New Roman"/>
        </w:rPr>
        <w:t xml:space="preserve">of </w:t>
      </w:r>
      <w:r w:rsidR="009110B0" w:rsidRPr="00675060">
        <w:rPr>
          <w:rFonts w:ascii="Times New Roman" w:hAnsi="Times New Roman" w:cs="Times New Roman"/>
        </w:rPr>
        <w:t xml:space="preserve">qualifications beyond basic education and technical skills, with the extreme case against higher education put forward by Caplan (2018). </w:t>
      </w:r>
    </w:p>
    <w:p w14:paraId="316BC5E1" w14:textId="50BE3E04" w:rsidR="000C1404" w:rsidRPr="00675060" w:rsidRDefault="00D515E2" w:rsidP="00F411FF">
      <w:pPr>
        <w:spacing w:line="480" w:lineRule="auto"/>
        <w:rPr>
          <w:rFonts w:ascii="Times New Roman" w:hAnsi="Times New Roman" w:cs="Times New Roman"/>
        </w:rPr>
      </w:pPr>
      <w:r w:rsidRPr="00675060">
        <w:rPr>
          <w:rFonts w:ascii="Times New Roman" w:hAnsi="Times New Roman" w:cs="Times New Roman"/>
        </w:rPr>
        <w:lastRenderedPageBreak/>
        <w:tab/>
        <w:t>Using LMI and pathway</w:t>
      </w:r>
      <w:r w:rsidR="00F700DE">
        <w:rPr>
          <w:rFonts w:ascii="Times New Roman" w:hAnsi="Times New Roman" w:cs="Times New Roman"/>
        </w:rPr>
        <w:t>s</w:t>
      </w:r>
      <w:r w:rsidRPr="00675060">
        <w:rPr>
          <w:rFonts w:ascii="Times New Roman" w:hAnsi="Times New Roman" w:cs="Times New Roman"/>
        </w:rPr>
        <w:t xml:space="preserve"> data, which could extend to provider-level destination metrics, has been identified as good practice in career guidance (Hooley</w:t>
      </w:r>
      <w:r w:rsidR="00B424C7">
        <w:rPr>
          <w:rFonts w:ascii="Times New Roman" w:hAnsi="Times New Roman" w:cs="Times New Roman"/>
        </w:rPr>
        <w:t>, Hutchinson, &amp; Watts</w:t>
      </w:r>
      <w:r w:rsidRPr="00675060">
        <w:rPr>
          <w:rFonts w:ascii="Times New Roman" w:hAnsi="Times New Roman" w:cs="Times New Roman"/>
        </w:rPr>
        <w:t>, 2010; Cedefop, 2016), with benefits identified particularly for disadvantaged young people and for non-traditional career paths. For instance, the Asian Development Bank describes a case study in China</w:t>
      </w:r>
      <w:r w:rsidR="00F411FF" w:rsidRPr="00675060">
        <w:rPr>
          <w:rFonts w:ascii="Times New Roman" w:hAnsi="Times New Roman" w:cs="Times New Roman"/>
        </w:rPr>
        <w:t xml:space="preserve"> in which information booklets on college costs and</w:t>
      </w:r>
      <w:r w:rsidR="002A2E13" w:rsidRPr="00675060">
        <w:rPr>
          <w:rFonts w:ascii="Times New Roman" w:hAnsi="Times New Roman" w:cs="Times New Roman"/>
        </w:rPr>
        <w:t xml:space="preserve"> </w:t>
      </w:r>
      <w:r w:rsidR="00F411FF" w:rsidRPr="00675060">
        <w:rPr>
          <w:rFonts w:ascii="Times New Roman" w:hAnsi="Times New Roman" w:cs="Times New Roman"/>
        </w:rPr>
        <w:t>financial opportunities had significant effects on the</w:t>
      </w:r>
      <w:r w:rsidR="002A2E13" w:rsidRPr="00675060">
        <w:rPr>
          <w:rFonts w:ascii="Times New Roman" w:hAnsi="Times New Roman" w:cs="Times New Roman"/>
        </w:rPr>
        <w:t xml:space="preserve"> </w:t>
      </w:r>
      <w:r w:rsidR="00F411FF" w:rsidRPr="00675060">
        <w:rPr>
          <w:rFonts w:ascii="Times New Roman" w:hAnsi="Times New Roman" w:cs="Times New Roman"/>
        </w:rPr>
        <w:t>likelihood that poor students applied for and received</w:t>
      </w:r>
      <w:r w:rsidR="002A2E13" w:rsidRPr="00675060">
        <w:rPr>
          <w:rFonts w:ascii="Times New Roman" w:hAnsi="Times New Roman" w:cs="Times New Roman"/>
        </w:rPr>
        <w:t xml:space="preserve"> </w:t>
      </w:r>
      <w:r w:rsidR="00F411FF" w:rsidRPr="00675060">
        <w:rPr>
          <w:rFonts w:ascii="Times New Roman" w:hAnsi="Times New Roman" w:cs="Times New Roman"/>
        </w:rPr>
        <w:t>financial aid, ultimately improving matriculation</w:t>
      </w:r>
      <w:r w:rsidR="002A2E13" w:rsidRPr="00675060">
        <w:rPr>
          <w:rFonts w:ascii="Times New Roman" w:hAnsi="Times New Roman" w:cs="Times New Roman"/>
        </w:rPr>
        <w:t xml:space="preserve"> </w:t>
      </w:r>
      <w:r w:rsidR="00F411FF" w:rsidRPr="00675060">
        <w:rPr>
          <w:rFonts w:ascii="Times New Roman" w:hAnsi="Times New Roman" w:cs="Times New Roman"/>
        </w:rPr>
        <w:t xml:space="preserve">into college (ADB, 2015). Other case studies highlighted the importance of information </w:t>
      </w:r>
      <w:r w:rsidR="004E161E" w:rsidRPr="00675060">
        <w:rPr>
          <w:rFonts w:ascii="Times New Roman" w:hAnsi="Times New Roman" w:cs="Times New Roman"/>
        </w:rPr>
        <w:t xml:space="preserve">on how </w:t>
      </w:r>
      <w:r w:rsidR="005C4498" w:rsidRPr="00675060">
        <w:rPr>
          <w:rFonts w:ascii="Times New Roman" w:hAnsi="Times New Roman" w:cs="Times New Roman"/>
        </w:rPr>
        <w:t>the costs and benefits of education play out in specific instances</w:t>
      </w:r>
      <w:r w:rsidR="00F700DE">
        <w:rPr>
          <w:rFonts w:ascii="Times New Roman" w:hAnsi="Times New Roman" w:cs="Times New Roman"/>
        </w:rPr>
        <w:t xml:space="preserve">, </w:t>
      </w:r>
      <w:r w:rsidR="004E161E" w:rsidRPr="00675060">
        <w:rPr>
          <w:rFonts w:ascii="Times New Roman" w:hAnsi="Times New Roman" w:cs="Times New Roman"/>
        </w:rPr>
        <w:t>reflectin</w:t>
      </w:r>
      <w:r w:rsidR="00F700DE">
        <w:rPr>
          <w:rFonts w:ascii="Times New Roman" w:hAnsi="Times New Roman" w:cs="Times New Roman"/>
        </w:rPr>
        <w:t>g for instance</w:t>
      </w:r>
      <w:r w:rsidR="004E161E" w:rsidRPr="00675060">
        <w:rPr>
          <w:rFonts w:ascii="Times New Roman" w:hAnsi="Times New Roman" w:cs="Times New Roman"/>
        </w:rPr>
        <w:t xml:space="preserve"> the distance moved from social origin to destination in more historically realistic ways. </w:t>
      </w:r>
      <w:r w:rsidR="00F411FF" w:rsidRPr="00675060">
        <w:rPr>
          <w:rFonts w:ascii="Times New Roman" w:hAnsi="Times New Roman" w:cs="Times New Roman"/>
        </w:rPr>
        <w:t xml:space="preserve">For instance in China, when data that over-estimated the returns of secondary education relative to wage labour were corrected, fewer children from poor migrant worker families chose to pursue secondary education (Loyalka et al, 2013). In England, research for the Equality and Human Rights Commission has identified that young people have limited information on the pay advantages of non-traditional routes and that the career guidance needs of </w:t>
      </w:r>
      <w:r w:rsidR="00CC0EA2" w:rsidRPr="00675060">
        <w:rPr>
          <w:rFonts w:ascii="Times New Roman" w:hAnsi="Times New Roman" w:cs="Times New Roman"/>
        </w:rPr>
        <w:t>disadvantaged</w:t>
      </w:r>
      <w:r w:rsidR="00F411FF" w:rsidRPr="00675060">
        <w:rPr>
          <w:rFonts w:ascii="Times New Roman" w:hAnsi="Times New Roman" w:cs="Times New Roman"/>
        </w:rPr>
        <w:t xml:space="preserve"> young people and equality groups are not well understood (Hutchinson,</w:t>
      </w:r>
      <w:r w:rsidR="00B424C7">
        <w:rPr>
          <w:rFonts w:ascii="Times New Roman" w:hAnsi="Times New Roman" w:cs="Times New Roman"/>
        </w:rPr>
        <w:t xml:space="preserve"> Rolfe, Moore, Bysshe, &amp; Bentley,</w:t>
      </w:r>
      <w:r w:rsidR="00F411FF" w:rsidRPr="00675060">
        <w:rPr>
          <w:rFonts w:ascii="Times New Roman" w:hAnsi="Times New Roman" w:cs="Times New Roman"/>
        </w:rPr>
        <w:t xml:space="preserve"> 2011). </w:t>
      </w:r>
    </w:p>
    <w:p w14:paraId="0E932714" w14:textId="21BCACF8" w:rsidR="00F411FF" w:rsidRPr="00675060" w:rsidRDefault="00F411FF" w:rsidP="000C1404">
      <w:pPr>
        <w:spacing w:line="480" w:lineRule="auto"/>
        <w:ind w:firstLine="720"/>
        <w:rPr>
          <w:rFonts w:ascii="Times New Roman" w:hAnsi="Times New Roman" w:cs="Times New Roman"/>
        </w:rPr>
      </w:pPr>
      <w:r w:rsidRPr="00675060">
        <w:rPr>
          <w:rFonts w:ascii="Times New Roman" w:hAnsi="Times New Roman" w:cs="Times New Roman"/>
        </w:rPr>
        <w:t>However, using data as part of career guidance for young people is difficult. Focus group research by the Behavioural Insights Team found that data are dispersed, difficult to evaluate and difficult to contextualise; while young people believe they have access to the information they want, they often demonstrate a lack of knowledge and research about their options or preferred career</w:t>
      </w:r>
      <w:r w:rsidR="000C1404" w:rsidRPr="00675060">
        <w:rPr>
          <w:rFonts w:ascii="Times New Roman" w:hAnsi="Times New Roman" w:cs="Times New Roman"/>
        </w:rPr>
        <w:t xml:space="preserve">, operating according to a “running hypothesis” rather than informed choice </w:t>
      </w:r>
      <w:r w:rsidRPr="00675060">
        <w:rPr>
          <w:rFonts w:ascii="Times New Roman" w:hAnsi="Times New Roman" w:cs="Times New Roman"/>
        </w:rPr>
        <w:t xml:space="preserve">(BIT, 2016). </w:t>
      </w:r>
      <w:r w:rsidR="000A42ED" w:rsidRPr="00675060">
        <w:rPr>
          <w:rFonts w:ascii="Times New Roman" w:hAnsi="Times New Roman" w:cs="Times New Roman"/>
        </w:rPr>
        <w:t>A report for the Engl</w:t>
      </w:r>
      <w:r w:rsidR="002A2845" w:rsidRPr="00675060">
        <w:rPr>
          <w:rFonts w:ascii="Times New Roman" w:hAnsi="Times New Roman" w:cs="Times New Roman"/>
        </w:rPr>
        <w:t>ish</w:t>
      </w:r>
      <w:r w:rsidR="000A42ED" w:rsidRPr="00675060">
        <w:rPr>
          <w:rFonts w:ascii="Times New Roman" w:hAnsi="Times New Roman" w:cs="Times New Roman"/>
        </w:rPr>
        <w:t xml:space="preserve"> Department for Education highlighted much potential to use data better, with secondary school careers education tending to draw on data in an ad hoc and unstructured fashion, </w:t>
      </w:r>
      <w:r w:rsidR="00F700DE">
        <w:rPr>
          <w:rFonts w:ascii="Times New Roman" w:hAnsi="Times New Roman" w:cs="Times New Roman"/>
        </w:rPr>
        <w:t>using data that</w:t>
      </w:r>
      <w:r w:rsidR="000A42ED" w:rsidRPr="00675060">
        <w:rPr>
          <w:rFonts w:ascii="Times New Roman" w:hAnsi="Times New Roman" w:cs="Times New Roman"/>
        </w:rPr>
        <w:t xml:space="preserve"> generally lack</w:t>
      </w:r>
      <w:r w:rsidR="00F700DE">
        <w:rPr>
          <w:rFonts w:ascii="Times New Roman" w:hAnsi="Times New Roman" w:cs="Times New Roman"/>
        </w:rPr>
        <w:t>ed</w:t>
      </w:r>
      <w:r w:rsidR="000A42ED" w:rsidRPr="00675060">
        <w:rPr>
          <w:rFonts w:ascii="Times New Roman" w:hAnsi="Times New Roman" w:cs="Times New Roman"/>
        </w:rPr>
        <w:t xml:space="preserve"> significance in learners’ decision making, being too hard to access, contextualise and personalise (CooperGibson</w:t>
      </w:r>
      <w:r w:rsidR="00A34A1E" w:rsidRPr="00675060">
        <w:rPr>
          <w:rFonts w:ascii="Times New Roman" w:hAnsi="Times New Roman" w:cs="Times New Roman"/>
        </w:rPr>
        <w:t xml:space="preserve"> Research</w:t>
      </w:r>
      <w:r w:rsidR="000A42ED" w:rsidRPr="00675060">
        <w:rPr>
          <w:rFonts w:ascii="Times New Roman" w:hAnsi="Times New Roman" w:cs="Times New Roman"/>
        </w:rPr>
        <w:t>, 2017). Testimony evidence from young people in a range of countries supports the potential for improvement in career guidance provision</w:t>
      </w:r>
      <w:r w:rsidR="00BB295F" w:rsidRPr="00675060">
        <w:rPr>
          <w:rFonts w:ascii="Times New Roman" w:hAnsi="Times New Roman" w:cs="Times New Roman"/>
        </w:rPr>
        <w:t>. For instance, analysis in Australia suggested that around a third of school leavers who did not go onto further study described their careers education and guidance as not useful (Polesel,</w:t>
      </w:r>
      <w:r w:rsidR="00B424C7">
        <w:rPr>
          <w:rFonts w:ascii="Times New Roman" w:hAnsi="Times New Roman" w:cs="Times New Roman"/>
        </w:rPr>
        <w:t xml:space="preserve"> Helme, Davies, Teese, Nicholas, </w:t>
      </w:r>
      <w:r w:rsidR="00B424C7">
        <w:rPr>
          <w:rFonts w:ascii="Times New Roman" w:hAnsi="Times New Roman" w:cs="Times New Roman"/>
        </w:rPr>
        <w:lastRenderedPageBreak/>
        <w:t>&amp; Vickers,</w:t>
      </w:r>
      <w:r w:rsidR="00BB295F" w:rsidRPr="00675060">
        <w:rPr>
          <w:rFonts w:ascii="Times New Roman" w:hAnsi="Times New Roman" w:cs="Times New Roman"/>
        </w:rPr>
        <w:t xml:space="preserve"> 2004); in England</w:t>
      </w:r>
      <w:r w:rsidR="00040024" w:rsidRPr="00675060">
        <w:rPr>
          <w:rFonts w:ascii="Times New Roman" w:hAnsi="Times New Roman" w:cs="Times New Roman"/>
        </w:rPr>
        <w:t>, young people have similarly mixed perspectives with over 50% disagreeing that their careers advice has been helpful despite 60%-70% saying that school is the most important place for such advice (YouGov, 2010) and stakeholders have also tended to be critical (Long &amp; Hubble, 2019).</w:t>
      </w:r>
      <w:r w:rsidR="00F700DE">
        <w:rPr>
          <w:rFonts w:ascii="Times New Roman" w:hAnsi="Times New Roman" w:cs="Times New Roman"/>
        </w:rPr>
        <w:t xml:space="preserve"> </w:t>
      </w:r>
      <w:r w:rsidR="004E181C" w:rsidRPr="00675060">
        <w:rPr>
          <w:rFonts w:ascii="Times New Roman" w:hAnsi="Times New Roman" w:cs="Times New Roman"/>
        </w:rPr>
        <w:t>Ultimately, for career counse</w:t>
      </w:r>
      <w:r w:rsidR="00C8359C" w:rsidRPr="00675060">
        <w:rPr>
          <w:rFonts w:ascii="Times New Roman" w:hAnsi="Times New Roman" w:cs="Times New Roman"/>
        </w:rPr>
        <w:t>l</w:t>
      </w:r>
      <w:r w:rsidR="004E181C" w:rsidRPr="00675060">
        <w:rPr>
          <w:rFonts w:ascii="Times New Roman" w:hAnsi="Times New Roman" w:cs="Times New Roman"/>
        </w:rPr>
        <w:t xml:space="preserve">ling to fulfil its potential, it needs to be given the time, the resource and the tools necessary to do so – with career guidance and employer engagement accounting for at best 1-2% of time in English secondary education, we have some way to travel (The Careers &amp; Enterprise Company, 2018b). </w:t>
      </w:r>
      <w:r w:rsidR="00040024" w:rsidRPr="00675060">
        <w:rPr>
          <w:rFonts w:ascii="Times New Roman" w:hAnsi="Times New Roman" w:cs="Times New Roman"/>
        </w:rPr>
        <w:t>Nonetheless, destination metrics have the potential to be part of a package of activities that empower career counse</w:t>
      </w:r>
      <w:r w:rsidR="00C8359C" w:rsidRPr="00675060">
        <w:rPr>
          <w:rFonts w:ascii="Times New Roman" w:hAnsi="Times New Roman" w:cs="Times New Roman"/>
        </w:rPr>
        <w:t>l</w:t>
      </w:r>
      <w:r w:rsidR="00040024" w:rsidRPr="00675060">
        <w:rPr>
          <w:rFonts w:ascii="Times New Roman" w:hAnsi="Times New Roman" w:cs="Times New Roman"/>
        </w:rPr>
        <w:t>lors to deliver higher quality support</w:t>
      </w:r>
      <w:r w:rsidR="00927AB2" w:rsidRPr="00675060">
        <w:rPr>
          <w:rFonts w:ascii="Times New Roman" w:hAnsi="Times New Roman" w:cs="Times New Roman"/>
        </w:rPr>
        <w:t xml:space="preserve"> – both by providing data to support decision-making and by requiring expert support to find, personalise and contextualise the data</w:t>
      </w:r>
      <w:r w:rsidR="00F700DE">
        <w:rPr>
          <w:rFonts w:ascii="Times New Roman" w:hAnsi="Times New Roman" w:cs="Times New Roman"/>
        </w:rPr>
        <w:t>, cognisant of limitations such as those highlighted in this article.</w:t>
      </w:r>
      <w:r w:rsidR="00927AB2" w:rsidRPr="00675060">
        <w:rPr>
          <w:rFonts w:ascii="Times New Roman" w:hAnsi="Times New Roman" w:cs="Times New Roman"/>
        </w:rPr>
        <w:t xml:space="preserve"> </w:t>
      </w:r>
    </w:p>
    <w:p w14:paraId="3E4ED1AE" w14:textId="45A202A3" w:rsidR="004E181C" w:rsidRPr="00675060" w:rsidRDefault="000A42ED" w:rsidP="004E181C">
      <w:pPr>
        <w:spacing w:line="480" w:lineRule="auto"/>
        <w:ind w:firstLine="720"/>
        <w:rPr>
          <w:rFonts w:ascii="Times New Roman" w:hAnsi="Times New Roman" w:cs="Times New Roman"/>
        </w:rPr>
      </w:pPr>
      <w:r w:rsidRPr="00675060">
        <w:rPr>
          <w:rFonts w:ascii="Times New Roman" w:hAnsi="Times New Roman" w:cs="Times New Roman"/>
        </w:rPr>
        <w:t xml:space="preserve">This review of secondary education destination metrics suggests </w:t>
      </w:r>
      <w:r w:rsidR="002A2845" w:rsidRPr="00675060">
        <w:rPr>
          <w:rFonts w:ascii="Times New Roman" w:hAnsi="Times New Roman" w:cs="Times New Roman"/>
        </w:rPr>
        <w:t>some</w:t>
      </w:r>
      <w:r w:rsidRPr="00675060">
        <w:rPr>
          <w:rFonts w:ascii="Times New Roman" w:hAnsi="Times New Roman" w:cs="Times New Roman"/>
        </w:rPr>
        <w:t xml:space="preserve"> areas where data could potentially be improved and career</w:t>
      </w:r>
      <w:r w:rsidR="001E2198">
        <w:rPr>
          <w:rFonts w:ascii="Times New Roman" w:hAnsi="Times New Roman" w:cs="Times New Roman"/>
        </w:rPr>
        <w:t xml:space="preserve"> </w:t>
      </w:r>
      <w:r w:rsidRPr="00675060">
        <w:rPr>
          <w:rFonts w:ascii="Times New Roman" w:hAnsi="Times New Roman" w:cs="Times New Roman"/>
        </w:rPr>
        <w:t>counse</w:t>
      </w:r>
      <w:r w:rsidR="00C8359C" w:rsidRPr="00675060">
        <w:rPr>
          <w:rFonts w:ascii="Times New Roman" w:hAnsi="Times New Roman" w:cs="Times New Roman"/>
        </w:rPr>
        <w:t>l</w:t>
      </w:r>
      <w:r w:rsidRPr="00675060">
        <w:rPr>
          <w:rFonts w:ascii="Times New Roman" w:hAnsi="Times New Roman" w:cs="Times New Roman"/>
        </w:rPr>
        <w:t xml:space="preserve">lors </w:t>
      </w:r>
      <w:r w:rsidR="009F2261">
        <w:rPr>
          <w:rFonts w:ascii="Times New Roman" w:hAnsi="Times New Roman" w:cs="Times New Roman"/>
        </w:rPr>
        <w:t xml:space="preserve">be </w:t>
      </w:r>
      <w:r w:rsidRPr="00675060">
        <w:rPr>
          <w:rFonts w:ascii="Times New Roman" w:hAnsi="Times New Roman" w:cs="Times New Roman"/>
        </w:rPr>
        <w:t>empowered to mediate it in their interactions with young people. Data could be richer, covering insights on length of time NEET and reasons for NEET</w:t>
      </w:r>
      <w:r w:rsidR="002A2845" w:rsidRPr="00675060">
        <w:rPr>
          <w:rFonts w:ascii="Times New Roman" w:hAnsi="Times New Roman" w:cs="Times New Roman"/>
        </w:rPr>
        <w:t>,</w:t>
      </w:r>
      <w:r w:rsidRPr="00675060">
        <w:rPr>
          <w:rFonts w:ascii="Times New Roman" w:hAnsi="Times New Roman" w:cs="Times New Roman"/>
        </w:rPr>
        <w:t xml:space="preserve"> rather than a binary NEET/sustained-EET status. Data could be better contextualised, adjusting salaries for part-time roles, for choices of sector and cost of living. </w:t>
      </w:r>
      <w:r w:rsidR="00ED405B" w:rsidRPr="00675060">
        <w:rPr>
          <w:rFonts w:ascii="Times New Roman" w:hAnsi="Times New Roman" w:cs="Times New Roman"/>
        </w:rPr>
        <w:t>Data could show longer pathways</w:t>
      </w:r>
      <w:r w:rsidR="0083027B" w:rsidRPr="00675060">
        <w:rPr>
          <w:rFonts w:ascii="Times New Roman" w:hAnsi="Times New Roman" w:cs="Times New Roman"/>
        </w:rPr>
        <w:t xml:space="preserve"> into the future and describe how probabilities change contingent on future decisions and interim outcomes, including future entry points into education and lifelong learning. </w:t>
      </w:r>
      <w:r w:rsidR="005C4498" w:rsidRPr="00675060">
        <w:rPr>
          <w:rFonts w:ascii="Times New Roman" w:hAnsi="Times New Roman" w:cs="Times New Roman"/>
        </w:rPr>
        <w:t xml:space="preserve">Insights from adults further into their career about their perception of job value and quality, and how their careers have been supported would also provide useful balance and context to data points based on average salaries. </w:t>
      </w:r>
      <w:r w:rsidRPr="00675060">
        <w:rPr>
          <w:rFonts w:ascii="Times New Roman" w:hAnsi="Times New Roman" w:cs="Times New Roman"/>
        </w:rPr>
        <w:t xml:space="preserve">From a provider accountability perspective, data can be normalised, </w:t>
      </w:r>
      <w:r w:rsidR="000B723D" w:rsidRPr="00675060">
        <w:rPr>
          <w:rFonts w:ascii="Times New Roman" w:hAnsi="Times New Roman" w:cs="Times New Roman"/>
        </w:rPr>
        <w:t>with youth NEET considered relative to adult employment levels</w:t>
      </w:r>
      <w:r w:rsidR="00ED405B" w:rsidRPr="00675060">
        <w:rPr>
          <w:rFonts w:ascii="Times New Roman" w:hAnsi="Times New Roman" w:cs="Times New Roman"/>
        </w:rPr>
        <w:t xml:space="preserve"> and</w:t>
      </w:r>
      <w:r w:rsidR="000B723D" w:rsidRPr="00675060">
        <w:rPr>
          <w:rFonts w:ascii="Times New Roman" w:hAnsi="Times New Roman" w:cs="Times New Roman"/>
        </w:rPr>
        <w:t xml:space="preserve"> with education progression data considered relative to prior attainment. Data needs to be delivered to individuals in simpler, more personalised ways – only showing students the courses they </w:t>
      </w:r>
      <w:r w:rsidR="009F2261">
        <w:rPr>
          <w:rFonts w:ascii="Times New Roman" w:hAnsi="Times New Roman" w:cs="Times New Roman"/>
        </w:rPr>
        <w:t xml:space="preserve">might be </w:t>
      </w:r>
      <w:r w:rsidR="000B723D" w:rsidRPr="00675060">
        <w:rPr>
          <w:rFonts w:ascii="Times New Roman" w:hAnsi="Times New Roman" w:cs="Times New Roman"/>
        </w:rPr>
        <w:t xml:space="preserve">interested in at institutions they could </w:t>
      </w:r>
      <w:r w:rsidR="009F2261">
        <w:rPr>
          <w:rFonts w:ascii="Times New Roman" w:hAnsi="Times New Roman" w:cs="Times New Roman"/>
        </w:rPr>
        <w:t xml:space="preserve">realistically </w:t>
      </w:r>
      <w:r w:rsidR="000B723D" w:rsidRPr="00675060">
        <w:rPr>
          <w:rFonts w:ascii="Times New Roman" w:hAnsi="Times New Roman" w:cs="Times New Roman"/>
        </w:rPr>
        <w:t>choose to go to</w:t>
      </w:r>
      <w:r w:rsidR="00ED405B" w:rsidRPr="00675060">
        <w:rPr>
          <w:rFonts w:ascii="Times New Roman" w:hAnsi="Times New Roman" w:cs="Times New Roman"/>
        </w:rPr>
        <w:t xml:space="preserve">, with metrics personalised as far as possible </w:t>
      </w:r>
      <w:r w:rsidR="009F2261">
        <w:rPr>
          <w:rFonts w:ascii="Times New Roman" w:hAnsi="Times New Roman" w:cs="Times New Roman"/>
        </w:rPr>
        <w:t xml:space="preserve">using historica data on </w:t>
      </w:r>
      <w:r w:rsidR="00ED405B" w:rsidRPr="00675060">
        <w:rPr>
          <w:rFonts w:ascii="Times New Roman" w:hAnsi="Times New Roman" w:cs="Times New Roman"/>
        </w:rPr>
        <w:t>student</w:t>
      </w:r>
      <w:r w:rsidR="009F2261">
        <w:rPr>
          <w:rFonts w:ascii="Times New Roman" w:hAnsi="Times New Roman" w:cs="Times New Roman"/>
        </w:rPr>
        <w:t xml:space="preserve"> cohorts with </w:t>
      </w:r>
      <w:r w:rsidR="00ED405B" w:rsidRPr="00675060">
        <w:rPr>
          <w:rFonts w:ascii="Times New Roman" w:hAnsi="Times New Roman" w:cs="Times New Roman"/>
        </w:rPr>
        <w:t xml:space="preserve">similar </w:t>
      </w:r>
      <w:r w:rsidR="009F2261">
        <w:rPr>
          <w:rFonts w:ascii="Times New Roman" w:hAnsi="Times New Roman" w:cs="Times New Roman"/>
        </w:rPr>
        <w:t xml:space="preserve">features </w:t>
      </w:r>
      <w:r w:rsidR="00ED405B" w:rsidRPr="00675060">
        <w:rPr>
          <w:rFonts w:ascii="Times New Roman" w:hAnsi="Times New Roman" w:cs="Times New Roman"/>
        </w:rPr>
        <w:t xml:space="preserve">to </w:t>
      </w:r>
      <w:r w:rsidR="009F2261">
        <w:rPr>
          <w:rFonts w:ascii="Times New Roman" w:hAnsi="Times New Roman" w:cs="Times New Roman"/>
        </w:rPr>
        <w:t>the individual in question</w:t>
      </w:r>
      <w:r w:rsidR="000B723D" w:rsidRPr="00675060">
        <w:rPr>
          <w:rFonts w:ascii="Times New Roman" w:hAnsi="Times New Roman" w:cs="Times New Roman"/>
        </w:rPr>
        <w:t xml:space="preserve">. Metrics-based data can also be enriched with transparency initiatives – similar to how existing employees </w:t>
      </w:r>
      <w:r w:rsidR="00CC0EA2" w:rsidRPr="00675060">
        <w:rPr>
          <w:rFonts w:ascii="Times New Roman" w:hAnsi="Times New Roman" w:cs="Times New Roman"/>
        </w:rPr>
        <w:t>anonymously</w:t>
      </w:r>
      <w:r w:rsidR="000B723D" w:rsidRPr="00675060">
        <w:rPr>
          <w:rFonts w:ascii="Times New Roman" w:hAnsi="Times New Roman" w:cs="Times New Roman"/>
        </w:rPr>
        <w:t xml:space="preserve"> describe their work and review their employers on glassdoor.co.uk – and greater use of school time to help young people </w:t>
      </w:r>
      <w:r w:rsidR="000B723D" w:rsidRPr="00675060">
        <w:rPr>
          <w:rFonts w:ascii="Times New Roman" w:hAnsi="Times New Roman" w:cs="Times New Roman"/>
        </w:rPr>
        <w:lastRenderedPageBreak/>
        <w:t xml:space="preserve">access and engage with different people from the world of work, to form their own views and hypotheses on possible futures. </w:t>
      </w:r>
      <w:r w:rsidR="005C4498" w:rsidRPr="00675060">
        <w:rPr>
          <w:rFonts w:ascii="Times New Roman" w:hAnsi="Times New Roman" w:cs="Times New Roman"/>
        </w:rPr>
        <w:t xml:space="preserve">The specious confidence that </w:t>
      </w:r>
      <w:r w:rsidR="003D4A01" w:rsidRPr="00675060">
        <w:rPr>
          <w:rFonts w:ascii="Times New Roman" w:hAnsi="Times New Roman" w:cs="Times New Roman"/>
        </w:rPr>
        <w:t>misused</w:t>
      </w:r>
      <w:r w:rsidR="005C4498" w:rsidRPr="00675060">
        <w:rPr>
          <w:rFonts w:ascii="Times New Roman" w:hAnsi="Times New Roman" w:cs="Times New Roman"/>
        </w:rPr>
        <w:t xml:space="preserve"> data can provide, being amenable to </w:t>
      </w:r>
      <w:r w:rsidR="003D4A01">
        <w:rPr>
          <w:rFonts w:ascii="Times New Roman" w:hAnsi="Times New Roman" w:cs="Times New Roman"/>
        </w:rPr>
        <w:t>summarising</w:t>
      </w:r>
      <w:r w:rsidR="005C4498" w:rsidRPr="00675060">
        <w:rPr>
          <w:rFonts w:ascii="Times New Roman" w:hAnsi="Times New Roman" w:cs="Times New Roman"/>
        </w:rPr>
        <w:t xml:space="preserve"> and ranking to identify the “best route” for young people and all the false hope that entails, also needs to be guarded against – circumstances can change and being ready to change with them when required is part of surviving in the labour market.</w:t>
      </w:r>
    </w:p>
    <w:p w14:paraId="70CEC884" w14:textId="7084AFDD" w:rsidR="00A572BF" w:rsidRPr="00675060" w:rsidRDefault="00A572BF" w:rsidP="00A572BF">
      <w:pPr>
        <w:spacing w:line="480" w:lineRule="auto"/>
        <w:ind w:firstLine="720"/>
        <w:rPr>
          <w:rFonts w:ascii="Times New Roman" w:hAnsi="Times New Roman" w:cs="Times New Roman"/>
          <w:color w:val="FF0000"/>
        </w:rPr>
      </w:pPr>
      <w:r w:rsidRPr="00675060">
        <w:rPr>
          <w:rFonts w:ascii="Times New Roman" w:hAnsi="Times New Roman" w:cs="Times New Roman"/>
        </w:rPr>
        <w:t xml:space="preserve">The resource challenge in improving data and how it is accessed might be met in part by some of the same new technologies that worry policy makers about the future of the labour market. For instance, some insights from existing surveys – with their lagged and partial datasets – might be replaced by website scraping to understand labour market trends in real time (e.g. </w:t>
      </w:r>
      <w:hyperlink r:id="rId15" w:history="1">
        <w:r w:rsidRPr="00675060">
          <w:rPr>
            <w:rStyle w:val="Hyperlink"/>
            <w:rFonts w:ascii="Times New Roman" w:hAnsi="Times New Roman" w:cs="Times New Roman"/>
          </w:rPr>
          <w:t>www.burning-glass.com</w:t>
        </w:r>
      </w:hyperlink>
      <w:r w:rsidRPr="00675060">
        <w:rPr>
          <w:rFonts w:ascii="Times New Roman" w:hAnsi="Times New Roman" w:cs="Times New Roman"/>
        </w:rPr>
        <w:t>) or by crowd-sourced insights on jobs, education providers or career pathways. Administrative dataset linkages, such as LEO described above, may replace many of the hard metrics around employment outcomes that have previously been a priority for resource-intensive surveys, which might enable money to be reinvested into deeper, qualitative work to contextualise the metrics</w:t>
      </w:r>
      <w:r w:rsidR="009F2261">
        <w:rPr>
          <w:rFonts w:ascii="Times New Roman" w:hAnsi="Times New Roman" w:cs="Times New Roman"/>
        </w:rPr>
        <w:t>. A</w:t>
      </w:r>
      <w:r w:rsidRPr="00675060">
        <w:rPr>
          <w:rFonts w:ascii="Times New Roman" w:hAnsi="Times New Roman" w:cs="Times New Roman"/>
        </w:rPr>
        <w:t xml:space="preserve">rtificial-intelligence powered tools </w:t>
      </w:r>
      <w:r w:rsidR="009F2261">
        <w:rPr>
          <w:rFonts w:ascii="Times New Roman" w:hAnsi="Times New Roman" w:cs="Times New Roman"/>
        </w:rPr>
        <w:t xml:space="preserve">may </w:t>
      </w:r>
      <w:r w:rsidRPr="00675060">
        <w:rPr>
          <w:rFonts w:ascii="Times New Roman" w:hAnsi="Times New Roman" w:cs="Times New Roman"/>
        </w:rPr>
        <w:t>help young people navigate complex choices</w:t>
      </w:r>
      <w:r w:rsidR="009F2261">
        <w:rPr>
          <w:rFonts w:ascii="Times New Roman" w:hAnsi="Times New Roman" w:cs="Times New Roman"/>
        </w:rPr>
        <w:t>, as a time-saving complement for some aspects of career counselling delivered by a professional.</w:t>
      </w:r>
      <w:r w:rsidRPr="00675060">
        <w:rPr>
          <w:rFonts w:ascii="Times New Roman" w:hAnsi="Times New Roman" w:cs="Times New Roman"/>
        </w:rPr>
        <w:t xml:space="preserve"> </w:t>
      </w:r>
    </w:p>
    <w:p w14:paraId="47EF54A8" w14:textId="42D267EB" w:rsidR="00E031BE" w:rsidRPr="00675060" w:rsidRDefault="000B723D" w:rsidP="004E181C">
      <w:pPr>
        <w:spacing w:line="480" w:lineRule="auto"/>
        <w:ind w:firstLine="720"/>
        <w:rPr>
          <w:rFonts w:ascii="Times New Roman" w:hAnsi="Times New Roman" w:cs="Times New Roman"/>
          <w:color w:val="FF0000"/>
        </w:rPr>
      </w:pPr>
      <w:r w:rsidRPr="00675060">
        <w:rPr>
          <w:rFonts w:ascii="Times New Roman" w:hAnsi="Times New Roman" w:cs="Times New Roman"/>
        </w:rPr>
        <w:t>Not all of th</w:t>
      </w:r>
      <w:r w:rsidR="009F2261">
        <w:rPr>
          <w:rFonts w:ascii="Times New Roman" w:hAnsi="Times New Roman" w:cs="Times New Roman"/>
        </w:rPr>
        <w:t>ese suggestions on data provision and access</w:t>
      </w:r>
      <w:r w:rsidRPr="00675060">
        <w:rPr>
          <w:rFonts w:ascii="Times New Roman" w:hAnsi="Times New Roman" w:cs="Times New Roman"/>
        </w:rPr>
        <w:t xml:space="preserve"> is possible in the short-term, but it sets a direction of travel and highlights the gaps in </w:t>
      </w:r>
      <w:r w:rsidR="00A572BF" w:rsidRPr="00675060">
        <w:rPr>
          <w:rFonts w:ascii="Times New Roman" w:hAnsi="Times New Roman" w:cs="Times New Roman"/>
        </w:rPr>
        <w:t xml:space="preserve">current </w:t>
      </w:r>
      <w:r w:rsidRPr="00675060">
        <w:rPr>
          <w:rFonts w:ascii="Times New Roman" w:hAnsi="Times New Roman" w:cs="Times New Roman"/>
        </w:rPr>
        <w:t xml:space="preserve">data-based understanding </w:t>
      </w:r>
      <w:r w:rsidR="00A572BF" w:rsidRPr="00675060">
        <w:rPr>
          <w:rFonts w:ascii="Times New Roman" w:hAnsi="Times New Roman" w:cs="Times New Roman"/>
        </w:rPr>
        <w:t xml:space="preserve">that </w:t>
      </w:r>
      <w:r w:rsidRPr="00675060">
        <w:rPr>
          <w:rFonts w:ascii="Times New Roman" w:hAnsi="Times New Roman" w:cs="Times New Roman"/>
        </w:rPr>
        <w:t xml:space="preserve">career </w:t>
      </w:r>
      <w:r w:rsidR="00074AFE" w:rsidRPr="00675060">
        <w:rPr>
          <w:rFonts w:ascii="Times New Roman" w:hAnsi="Times New Roman" w:cs="Times New Roman"/>
        </w:rPr>
        <w:t>counsellors</w:t>
      </w:r>
      <w:r w:rsidRPr="00675060">
        <w:rPr>
          <w:rFonts w:ascii="Times New Roman" w:hAnsi="Times New Roman" w:cs="Times New Roman"/>
        </w:rPr>
        <w:t xml:space="preserve"> </w:t>
      </w:r>
      <w:r w:rsidR="00A572BF" w:rsidRPr="00675060">
        <w:rPr>
          <w:rFonts w:ascii="Times New Roman" w:hAnsi="Times New Roman" w:cs="Times New Roman"/>
        </w:rPr>
        <w:t xml:space="preserve">might bear in mind in their conversations with </w:t>
      </w:r>
      <w:r w:rsidRPr="00675060">
        <w:rPr>
          <w:rFonts w:ascii="Times New Roman" w:hAnsi="Times New Roman" w:cs="Times New Roman"/>
        </w:rPr>
        <w:t>young people</w:t>
      </w:r>
      <w:r w:rsidR="00A572BF" w:rsidRPr="00675060">
        <w:rPr>
          <w:rFonts w:ascii="Times New Roman" w:hAnsi="Times New Roman" w:cs="Times New Roman"/>
        </w:rPr>
        <w:t xml:space="preserve">. Skills of communication and empathy are needed to do this while still </w:t>
      </w:r>
      <w:r w:rsidR="0083027B" w:rsidRPr="00675060">
        <w:rPr>
          <w:rFonts w:ascii="Times New Roman" w:hAnsi="Times New Roman" w:cs="Times New Roman"/>
        </w:rPr>
        <w:t>drawing on these new powerful sources of at-scale information to support decision-making, where previously stereotype, personal experience and intuition might have dominated</w:t>
      </w:r>
      <w:r w:rsidRPr="00675060">
        <w:rPr>
          <w:rFonts w:ascii="Times New Roman" w:hAnsi="Times New Roman" w:cs="Times New Roman"/>
        </w:rPr>
        <w:t>.</w:t>
      </w:r>
      <w:r w:rsidR="00A572BF" w:rsidRPr="00675060">
        <w:rPr>
          <w:rFonts w:ascii="Times New Roman" w:hAnsi="Times New Roman" w:cs="Times New Roman"/>
        </w:rPr>
        <w:t xml:space="preserve"> </w:t>
      </w:r>
    </w:p>
    <w:p w14:paraId="438F8FAA" w14:textId="77777777" w:rsidR="004565E2" w:rsidRPr="00675060" w:rsidRDefault="004565E2" w:rsidP="00BA34EA">
      <w:pPr>
        <w:spacing w:line="480" w:lineRule="auto"/>
        <w:rPr>
          <w:rFonts w:ascii="Times New Roman" w:hAnsi="Times New Roman" w:cs="Times New Roman"/>
        </w:rPr>
      </w:pPr>
    </w:p>
    <w:p w14:paraId="75875667" w14:textId="77777777" w:rsidR="007B4105" w:rsidRPr="00675060" w:rsidRDefault="007B4105" w:rsidP="007B4105">
      <w:pPr>
        <w:spacing w:line="480" w:lineRule="auto"/>
        <w:rPr>
          <w:rFonts w:ascii="Times New Roman" w:hAnsi="Times New Roman" w:cs="Times New Roman"/>
          <w:b/>
          <w:sz w:val="28"/>
        </w:rPr>
      </w:pPr>
      <w:r w:rsidRPr="00675060">
        <w:rPr>
          <w:rFonts w:ascii="Times New Roman" w:hAnsi="Times New Roman" w:cs="Times New Roman"/>
          <w:b/>
          <w:sz w:val="28"/>
        </w:rPr>
        <w:t>Conclusion</w:t>
      </w:r>
    </w:p>
    <w:p w14:paraId="03E28703" w14:textId="00475898" w:rsidR="00413C4E" w:rsidRPr="00675060" w:rsidRDefault="00ED405B" w:rsidP="0083027B">
      <w:pPr>
        <w:spacing w:line="480" w:lineRule="auto"/>
        <w:rPr>
          <w:rFonts w:ascii="Times New Roman" w:hAnsi="Times New Roman" w:cs="Times New Roman"/>
        </w:rPr>
      </w:pPr>
      <w:r w:rsidRPr="00675060">
        <w:rPr>
          <w:rFonts w:ascii="Times New Roman" w:hAnsi="Times New Roman" w:cs="Times New Roman"/>
        </w:rPr>
        <w:t xml:space="preserve">This paper has identified a small but growing number of countries that are developing metrics to describe the destination outcomes of </w:t>
      </w:r>
      <w:r w:rsidR="0083027B" w:rsidRPr="00675060">
        <w:rPr>
          <w:rFonts w:ascii="Times New Roman" w:hAnsi="Times New Roman" w:cs="Times New Roman"/>
        </w:rPr>
        <w:t xml:space="preserve">graduates from </w:t>
      </w:r>
      <w:r w:rsidRPr="00675060">
        <w:rPr>
          <w:rFonts w:ascii="Times New Roman" w:hAnsi="Times New Roman" w:cs="Times New Roman"/>
        </w:rPr>
        <w:t>secondary education</w:t>
      </w:r>
      <w:r w:rsidR="0083027B" w:rsidRPr="00675060">
        <w:rPr>
          <w:rFonts w:ascii="Times New Roman" w:hAnsi="Times New Roman" w:cs="Times New Roman"/>
        </w:rPr>
        <w:t xml:space="preserve"> at a provider level, with examples identified in New Zealand, Australia, England and Estonia, as well as a direction of travel </w:t>
      </w:r>
      <w:r w:rsidR="0083027B" w:rsidRPr="00675060">
        <w:rPr>
          <w:rFonts w:ascii="Times New Roman" w:hAnsi="Times New Roman" w:cs="Times New Roman"/>
        </w:rPr>
        <w:lastRenderedPageBreak/>
        <w:t xml:space="preserve">towards greater data availability across the EU and in Canada. Such metrics help to balance out a focus on the qualification-based outcome measures of education destinations but remain simplistic in scope, suffering from biases that tend to privilege </w:t>
      </w:r>
      <w:r w:rsidR="00FA61E7" w:rsidRPr="00675060">
        <w:rPr>
          <w:rFonts w:ascii="Times New Roman" w:hAnsi="Times New Roman" w:cs="Times New Roman"/>
        </w:rPr>
        <w:t xml:space="preserve">continued education, prioritise </w:t>
      </w:r>
      <w:r w:rsidR="0083027B" w:rsidRPr="00675060">
        <w:rPr>
          <w:rFonts w:ascii="Times New Roman" w:hAnsi="Times New Roman" w:cs="Times New Roman"/>
        </w:rPr>
        <w:t>traditional and more stable career paths</w:t>
      </w:r>
      <w:r w:rsidR="00FA61E7" w:rsidRPr="00675060">
        <w:rPr>
          <w:rFonts w:ascii="Times New Roman" w:hAnsi="Times New Roman" w:cs="Times New Roman"/>
        </w:rPr>
        <w:t>,</w:t>
      </w:r>
      <w:r w:rsidR="0083027B" w:rsidRPr="00675060">
        <w:rPr>
          <w:rFonts w:ascii="Times New Roman" w:hAnsi="Times New Roman" w:cs="Times New Roman"/>
        </w:rPr>
        <w:t xml:space="preserve"> and </w:t>
      </w:r>
      <w:r w:rsidR="00FA61E7" w:rsidRPr="00675060">
        <w:rPr>
          <w:rFonts w:ascii="Times New Roman" w:hAnsi="Times New Roman" w:cs="Times New Roman"/>
        </w:rPr>
        <w:t>emphasise a provider-centric view of individual decision-making</w:t>
      </w:r>
      <w:r w:rsidR="00413C4E" w:rsidRPr="00675060">
        <w:rPr>
          <w:rFonts w:ascii="Times New Roman" w:hAnsi="Times New Roman" w:cs="Times New Roman"/>
        </w:rPr>
        <w:t>. As such the complexities of transitions, including self-employment, gig-work and career shifts, and the changing patterns of demand in the economy risk being under-examined and under-discussed</w:t>
      </w:r>
      <w:r w:rsidR="0083027B" w:rsidRPr="00675060">
        <w:rPr>
          <w:rFonts w:ascii="Times New Roman" w:hAnsi="Times New Roman" w:cs="Times New Roman"/>
        </w:rPr>
        <w:t xml:space="preserve">. </w:t>
      </w:r>
    </w:p>
    <w:p w14:paraId="640AB1F7" w14:textId="74F490FA" w:rsidR="00ED405B" w:rsidRPr="00675060" w:rsidRDefault="0083027B" w:rsidP="00413C4E">
      <w:pPr>
        <w:spacing w:line="480" w:lineRule="auto"/>
        <w:ind w:firstLine="720"/>
        <w:rPr>
          <w:rFonts w:ascii="Times New Roman" w:hAnsi="Times New Roman" w:cs="Times New Roman"/>
          <w:color w:val="FF0000"/>
        </w:rPr>
      </w:pPr>
      <w:r w:rsidRPr="00675060">
        <w:rPr>
          <w:rFonts w:ascii="Times New Roman" w:hAnsi="Times New Roman" w:cs="Times New Roman"/>
        </w:rPr>
        <w:t xml:space="preserve">We </w:t>
      </w:r>
      <w:r w:rsidR="00EA5B88">
        <w:rPr>
          <w:rFonts w:ascii="Times New Roman" w:hAnsi="Times New Roman" w:cs="Times New Roman"/>
        </w:rPr>
        <w:t xml:space="preserve">have </w:t>
      </w:r>
      <w:r w:rsidR="00EA5B88">
        <w:rPr>
          <w:rFonts w:ascii="Times New Roman" w:hAnsi="Times New Roman" w:cs="Times New Roman"/>
          <w:highlight w:val="cyan"/>
        </w:rPr>
        <w:t>critically explored</w:t>
      </w:r>
      <w:r w:rsidR="00EA5B88">
        <w:rPr>
          <w:rFonts w:ascii="Times New Roman" w:hAnsi="Times New Roman" w:cs="Times New Roman"/>
        </w:rPr>
        <w:t xml:space="preserve"> </w:t>
      </w:r>
      <w:r w:rsidRPr="00EA5B88">
        <w:rPr>
          <w:rFonts w:ascii="Times New Roman" w:hAnsi="Times New Roman" w:cs="Times New Roman"/>
          <w:strike/>
        </w:rPr>
        <w:t>describe</w:t>
      </w:r>
      <w:r w:rsidRPr="00675060">
        <w:rPr>
          <w:rFonts w:ascii="Times New Roman" w:hAnsi="Times New Roman" w:cs="Times New Roman"/>
        </w:rPr>
        <w:t xml:space="preserve"> </w:t>
      </w:r>
      <w:r w:rsidR="00EA5B88">
        <w:rPr>
          <w:rFonts w:ascii="Times New Roman" w:hAnsi="Times New Roman" w:cs="Times New Roman"/>
        </w:rPr>
        <w:t xml:space="preserve">the </w:t>
      </w:r>
      <w:r w:rsidRPr="00675060">
        <w:rPr>
          <w:rFonts w:ascii="Times New Roman" w:hAnsi="Times New Roman" w:cs="Times New Roman"/>
        </w:rPr>
        <w:t xml:space="preserve">ways that such metrics might be improved in the future and highlight the importance of the career </w:t>
      </w:r>
      <w:r w:rsidR="003D4A01" w:rsidRPr="00675060">
        <w:rPr>
          <w:rFonts w:ascii="Times New Roman" w:hAnsi="Times New Roman" w:cs="Times New Roman"/>
        </w:rPr>
        <w:t>counsellor</w:t>
      </w:r>
      <w:r w:rsidRPr="00675060">
        <w:rPr>
          <w:rFonts w:ascii="Times New Roman" w:hAnsi="Times New Roman" w:cs="Times New Roman"/>
        </w:rPr>
        <w:t xml:space="preserve"> in supporting students to engage with and incorporate such metrics into their decision making.  Education providers’ vision of student destinations tend not to look too far beyond their graduation and such metrics describe an “end of the road” that does not match up with student life journeys</w:t>
      </w:r>
      <w:r w:rsidR="00D455FB" w:rsidRPr="00675060">
        <w:rPr>
          <w:rFonts w:ascii="Times New Roman" w:hAnsi="Times New Roman" w:cs="Times New Roman"/>
        </w:rPr>
        <w:t xml:space="preserve">, whether as intended at the time or </w:t>
      </w:r>
      <w:r w:rsidR="00413C4E" w:rsidRPr="00675060">
        <w:rPr>
          <w:rFonts w:ascii="Times New Roman" w:hAnsi="Times New Roman" w:cs="Times New Roman"/>
        </w:rPr>
        <w:t xml:space="preserve">in hindsight given </w:t>
      </w:r>
      <w:r w:rsidR="00D455FB" w:rsidRPr="00675060">
        <w:rPr>
          <w:rFonts w:ascii="Times New Roman" w:hAnsi="Times New Roman" w:cs="Times New Roman"/>
        </w:rPr>
        <w:t xml:space="preserve">the </w:t>
      </w:r>
      <w:r w:rsidR="003D4A01" w:rsidRPr="00675060">
        <w:rPr>
          <w:rFonts w:ascii="Times New Roman" w:hAnsi="Times New Roman" w:cs="Times New Roman"/>
        </w:rPr>
        <w:t>serendipitous</w:t>
      </w:r>
      <w:r w:rsidR="00D455FB" w:rsidRPr="00675060">
        <w:rPr>
          <w:rFonts w:ascii="Times New Roman" w:hAnsi="Times New Roman" w:cs="Times New Roman"/>
        </w:rPr>
        <w:t xml:space="preserve"> and circuitous routes that careers often take</w:t>
      </w:r>
      <w:r w:rsidRPr="00675060">
        <w:rPr>
          <w:rFonts w:ascii="Times New Roman" w:hAnsi="Times New Roman" w:cs="Times New Roman"/>
        </w:rPr>
        <w:t xml:space="preserve">. The value of a career </w:t>
      </w:r>
      <w:r w:rsidR="00D00205" w:rsidRPr="00675060">
        <w:rPr>
          <w:rFonts w:ascii="Times New Roman" w:hAnsi="Times New Roman" w:cs="Times New Roman"/>
        </w:rPr>
        <w:t>counsellor should be</w:t>
      </w:r>
      <w:r w:rsidRPr="00675060">
        <w:rPr>
          <w:rFonts w:ascii="Times New Roman" w:hAnsi="Times New Roman" w:cs="Times New Roman"/>
        </w:rPr>
        <w:t xml:space="preserve"> someone who can stand near the signposts </w:t>
      </w:r>
      <w:r w:rsidR="001B33B8">
        <w:rPr>
          <w:rFonts w:ascii="Times New Roman" w:hAnsi="Times New Roman" w:cs="Times New Roman"/>
        </w:rPr>
        <w:t xml:space="preserve">at end of </w:t>
      </w:r>
      <w:r w:rsidRPr="00675060">
        <w:rPr>
          <w:rFonts w:ascii="Times New Roman" w:hAnsi="Times New Roman" w:cs="Times New Roman"/>
        </w:rPr>
        <w:t xml:space="preserve">the “institutional road” and help </w:t>
      </w:r>
      <w:r w:rsidR="00413C4E" w:rsidRPr="00675060">
        <w:rPr>
          <w:rFonts w:ascii="Times New Roman" w:hAnsi="Times New Roman" w:cs="Times New Roman"/>
        </w:rPr>
        <w:t xml:space="preserve">young people </w:t>
      </w:r>
      <w:r w:rsidRPr="00675060">
        <w:rPr>
          <w:rFonts w:ascii="Times New Roman" w:hAnsi="Times New Roman" w:cs="Times New Roman"/>
        </w:rPr>
        <w:t xml:space="preserve">choose </w:t>
      </w:r>
      <w:r w:rsidR="00413C4E" w:rsidRPr="00675060">
        <w:rPr>
          <w:rFonts w:ascii="Times New Roman" w:hAnsi="Times New Roman" w:cs="Times New Roman"/>
        </w:rPr>
        <w:t xml:space="preserve">a sensible </w:t>
      </w:r>
      <w:r w:rsidRPr="00675060">
        <w:rPr>
          <w:rFonts w:ascii="Times New Roman" w:hAnsi="Times New Roman" w:cs="Times New Roman"/>
        </w:rPr>
        <w:t xml:space="preserve">path outwards, </w:t>
      </w:r>
      <w:r w:rsidR="00413C4E" w:rsidRPr="00675060">
        <w:rPr>
          <w:rFonts w:ascii="Times New Roman" w:hAnsi="Times New Roman" w:cs="Times New Roman"/>
        </w:rPr>
        <w:t xml:space="preserve">mindful </w:t>
      </w:r>
      <w:r w:rsidRPr="00675060">
        <w:rPr>
          <w:rFonts w:ascii="Times New Roman" w:hAnsi="Times New Roman" w:cs="Times New Roman"/>
        </w:rPr>
        <w:t>of all the road left to travel beyond</w:t>
      </w:r>
      <w:r w:rsidR="00413C4E" w:rsidRPr="00675060">
        <w:rPr>
          <w:rFonts w:ascii="Times New Roman" w:hAnsi="Times New Roman" w:cs="Times New Roman"/>
        </w:rPr>
        <w:t xml:space="preserve"> the institution’s horizon</w:t>
      </w:r>
      <w:r w:rsidRPr="00675060">
        <w:rPr>
          <w:rFonts w:ascii="Times New Roman" w:hAnsi="Times New Roman" w:cs="Times New Roman"/>
        </w:rPr>
        <w:t xml:space="preserve"> </w:t>
      </w:r>
      <w:r w:rsidR="00413C4E" w:rsidRPr="00675060">
        <w:rPr>
          <w:rFonts w:ascii="Times New Roman" w:hAnsi="Times New Roman" w:cs="Times New Roman"/>
        </w:rPr>
        <w:t xml:space="preserve">and helping students prepare for all the junctions and </w:t>
      </w:r>
      <w:r w:rsidR="003D4A01" w:rsidRPr="00675060">
        <w:rPr>
          <w:rFonts w:ascii="Times New Roman" w:hAnsi="Times New Roman" w:cs="Times New Roman"/>
        </w:rPr>
        <w:t>dead ends</w:t>
      </w:r>
      <w:r w:rsidR="00413C4E" w:rsidRPr="00675060">
        <w:rPr>
          <w:rFonts w:ascii="Times New Roman" w:hAnsi="Times New Roman" w:cs="Times New Roman"/>
        </w:rPr>
        <w:t>, complexity, uncertainty and fragility that may constitute their future careers.</w:t>
      </w:r>
    </w:p>
    <w:p w14:paraId="095A3703" w14:textId="77777777" w:rsidR="007B4105" w:rsidRPr="00675060" w:rsidRDefault="007B4105" w:rsidP="00BA34EA">
      <w:pPr>
        <w:spacing w:line="480" w:lineRule="auto"/>
        <w:rPr>
          <w:rFonts w:ascii="Times New Roman" w:hAnsi="Times New Roman" w:cs="Times New Roman"/>
        </w:rPr>
      </w:pPr>
    </w:p>
    <w:p w14:paraId="64FD1F3E" w14:textId="77777777" w:rsidR="00C67FF5" w:rsidRPr="00675060" w:rsidRDefault="00C67FF5" w:rsidP="00C67FF5">
      <w:pPr>
        <w:spacing w:line="480" w:lineRule="auto"/>
        <w:rPr>
          <w:rFonts w:ascii="Times New Roman" w:hAnsi="Times New Roman" w:cs="Times New Roman"/>
          <w:b/>
        </w:rPr>
      </w:pPr>
      <w:r w:rsidRPr="00675060">
        <w:rPr>
          <w:rFonts w:ascii="Times New Roman" w:hAnsi="Times New Roman" w:cs="Times New Roman"/>
          <w:b/>
        </w:rPr>
        <w:t>Declaration of Conflicting Interests</w:t>
      </w:r>
    </w:p>
    <w:p w14:paraId="0804221D" w14:textId="4528FF19" w:rsidR="00C67FF5" w:rsidRPr="00675060" w:rsidRDefault="00C67FF5" w:rsidP="00C67FF5">
      <w:pPr>
        <w:spacing w:line="480" w:lineRule="auto"/>
        <w:rPr>
          <w:rFonts w:ascii="Times New Roman" w:hAnsi="Times New Roman" w:cs="Times New Roman"/>
        </w:rPr>
      </w:pPr>
      <w:r w:rsidRPr="00675060">
        <w:rPr>
          <w:rFonts w:ascii="Times New Roman" w:hAnsi="Times New Roman" w:cs="Times New Roman"/>
        </w:rPr>
        <w:t>The authors are advisers to a number of organisations, policymakers and stakeholders in this domain, including previous paid work with three organisations referenced in this paper, the Department for Education in England, the Ark Academy Network and The Careers &amp; Enterprise Company.</w:t>
      </w:r>
    </w:p>
    <w:p w14:paraId="50CF4643" w14:textId="77777777" w:rsidR="00CF7ABB" w:rsidRPr="00675060" w:rsidRDefault="00CF7ABB" w:rsidP="00C67FF5">
      <w:pPr>
        <w:spacing w:line="480" w:lineRule="auto"/>
        <w:rPr>
          <w:rFonts w:ascii="Times New Roman" w:hAnsi="Times New Roman" w:cs="Times New Roman"/>
        </w:rPr>
      </w:pPr>
    </w:p>
    <w:p w14:paraId="219D7526" w14:textId="77777777" w:rsidR="00C67FF5" w:rsidRPr="00675060" w:rsidRDefault="00C67FF5" w:rsidP="00C67FF5">
      <w:pPr>
        <w:spacing w:line="480" w:lineRule="auto"/>
        <w:rPr>
          <w:rFonts w:ascii="Times New Roman" w:hAnsi="Times New Roman" w:cs="Times New Roman"/>
        </w:rPr>
      </w:pPr>
      <w:r w:rsidRPr="00675060">
        <w:rPr>
          <w:rFonts w:ascii="Times New Roman" w:hAnsi="Times New Roman" w:cs="Times New Roman"/>
          <w:b/>
        </w:rPr>
        <w:t>Funding</w:t>
      </w:r>
    </w:p>
    <w:p w14:paraId="30A3F8A4" w14:textId="77777777" w:rsidR="00C67FF5" w:rsidRPr="00675060" w:rsidRDefault="00C67FF5" w:rsidP="00C67FF5">
      <w:pPr>
        <w:spacing w:line="480" w:lineRule="auto"/>
        <w:rPr>
          <w:rFonts w:ascii="Times New Roman" w:hAnsi="Times New Roman" w:cs="Times New Roman"/>
        </w:rPr>
      </w:pPr>
      <w:r w:rsidRPr="00675060">
        <w:rPr>
          <w:rFonts w:ascii="Times New Roman" w:hAnsi="Times New Roman" w:cs="Times New Roman"/>
        </w:rPr>
        <w:t xml:space="preserve">The authors received no funding for the research, authorship and/or publication of this article. </w:t>
      </w:r>
    </w:p>
    <w:p w14:paraId="1D866A25" w14:textId="77777777" w:rsidR="00B71820" w:rsidRPr="00675060" w:rsidRDefault="00B71820" w:rsidP="00BA34EA">
      <w:pPr>
        <w:spacing w:line="480" w:lineRule="auto"/>
        <w:rPr>
          <w:rFonts w:ascii="Times New Roman" w:hAnsi="Times New Roman" w:cs="Times New Roman"/>
        </w:rPr>
      </w:pPr>
    </w:p>
    <w:p w14:paraId="48A2DA9E" w14:textId="77777777" w:rsidR="00B71820" w:rsidRPr="00675060" w:rsidRDefault="00440340" w:rsidP="00BA34EA">
      <w:pPr>
        <w:spacing w:line="480" w:lineRule="auto"/>
        <w:rPr>
          <w:rFonts w:ascii="Times New Roman" w:hAnsi="Times New Roman" w:cs="Times New Roman"/>
          <w:b/>
        </w:rPr>
      </w:pPr>
      <w:r w:rsidRPr="00675060">
        <w:rPr>
          <w:rFonts w:ascii="Times New Roman" w:hAnsi="Times New Roman" w:cs="Times New Roman"/>
          <w:b/>
        </w:rPr>
        <w:lastRenderedPageBreak/>
        <w:t>References</w:t>
      </w:r>
    </w:p>
    <w:p w14:paraId="2AA9BCB0" w14:textId="77777777" w:rsidR="00BB295F" w:rsidRPr="00675060" w:rsidRDefault="00BB295F" w:rsidP="0054485C">
      <w:pPr>
        <w:spacing w:line="240" w:lineRule="auto"/>
        <w:rPr>
          <w:rStyle w:val="authors"/>
          <w:rFonts w:ascii="Times New Roman" w:hAnsi="Times New Roman" w:cs="Times New Roman"/>
          <w:color w:val="333333"/>
          <w:shd w:val="clear" w:color="auto" w:fill="FFFFFF"/>
        </w:rPr>
      </w:pPr>
      <w:r w:rsidRPr="00675060">
        <w:rPr>
          <w:rStyle w:val="authors"/>
          <w:rFonts w:ascii="Times New Roman" w:hAnsi="Times New Roman" w:cs="Times New Roman"/>
          <w:color w:val="333333"/>
          <w:shd w:val="clear" w:color="auto" w:fill="FFFFFF"/>
        </w:rPr>
        <w:t xml:space="preserve">ADB. (2015). </w:t>
      </w:r>
      <w:r w:rsidRPr="00675060">
        <w:rPr>
          <w:rStyle w:val="authors"/>
          <w:rFonts w:ascii="Times New Roman" w:hAnsi="Times New Roman" w:cs="Times New Roman"/>
          <w:i/>
          <w:color w:val="333333"/>
          <w:shd w:val="clear" w:color="auto" w:fill="FFFFFF"/>
        </w:rPr>
        <w:t>A Smarter Future: Skills, Education, and Growth in Asia— Key indicators for Asia and the Pacific 2015 special chapter.</w:t>
      </w:r>
      <w:r w:rsidRPr="00675060">
        <w:rPr>
          <w:rStyle w:val="authors"/>
          <w:rFonts w:ascii="Times New Roman" w:hAnsi="Times New Roman" w:cs="Times New Roman"/>
          <w:color w:val="333333"/>
          <w:shd w:val="clear" w:color="auto" w:fill="FFFFFF"/>
        </w:rPr>
        <w:t xml:space="preserve"> Mandaluyong City, Philippines: Asian Development Bank.</w:t>
      </w:r>
    </w:p>
    <w:p w14:paraId="4CB864E2" w14:textId="0AF1F998" w:rsidR="008931CA" w:rsidRPr="00675060" w:rsidRDefault="008931CA" w:rsidP="0054485C">
      <w:pPr>
        <w:spacing w:line="240" w:lineRule="auto"/>
        <w:rPr>
          <w:rStyle w:val="authors"/>
          <w:rFonts w:ascii="Times New Roman" w:hAnsi="Times New Roman" w:cs="Times New Roman"/>
          <w:color w:val="333333"/>
          <w:shd w:val="clear" w:color="auto" w:fill="FFFFFF"/>
        </w:rPr>
      </w:pPr>
      <w:r w:rsidRPr="00675060">
        <w:rPr>
          <w:rStyle w:val="authors"/>
          <w:rFonts w:ascii="Times New Roman" w:hAnsi="Times New Roman" w:cs="Times New Roman"/>
          <w:color w:val="333333"/>
          <w:shd w:val="clear" w:color="auto" w:fill="FFFFFF"/>
        </w:rPr>
        <w:t>Ashton, H.</w:t>
      </w:r>
      <w:r w:rsidR="001B33B8">
        <w:rPr>
          <w:rStyle w:val="authors"/>
          <w:rFonts w:ascii="Times New Roman" w:hAnsi="Times New Roman" w:cs="Times New Roman"/>
          <w:color w:val="333333"/>
          <w:shd w:val="clear" w:color="auto" w:fill="FFFFFF"/>
        </w:rPr>
        <w:t xml:space="preserve">, &amp; </w:t>
      </w:r>
      <w:r w:rsidRPr="00675060">
        <w:rPr>
          <w:rStyle w:val="authors"/>
          <w:rFonts w:ascii="Times New Roman" w:hAnsi="Times New Roman" w:cs="Times New Roman"/>
          <w:color w:val="333333"/>
          <w:shd w:val="clear" w:color="auto" w:fill="FFFFFF"/>
        </w:rPr>
        <w:t xml:space="preserve">Ashton, D. (2015) ‘Bring on the dancers’: Reconceptualising the transition from school to work. </w:t>
      </w:r>
      <w:r w:rsidRPr="00675060">
        <w:rPr>
          <w:rStyle w:val="authors"/>
          <w:rFonts w:ascii="Times New Roman" w:hAnsi="Times New Roman" w:cs="Times New Roman"/>
          <w:i/>
          <w:color w:val="333333"/>
          <w:shd w:val="clear" w:color="auto" w:fill="FFFFFF"/>
        </w:rPr>
        <w:t xml:space="preserve">Journal of Education </w:t>
      </w:r>
      <w:r w:rsidR="003D4A01" w:rsidRPr="00675060">
        <w:rPr>
          <w:rStyle w:val="authors"/>
          <w:rFonts w:ascii="Times New Roman" w:hAnsi="Times New Roman" w:cs="Times New Roman"/>
          <w:i/>
          <w:color w:val="333333"/>
          <w:shd w:val="clear" w:color="auto" w:fill="FFFFFF"/>
        </w:rPr>
        <w:t>and Work</w:t>
      </w:r>
      <w:r w:rsidR="001A4328" w:rsidRPr="00675060">
        <w:rPr>
          <w:rStyle w:val="authors"/>
          <w:rFonts w:ascii="Times New Roman" w:hAnsi="Times New Roman" w:cs="Times New Roman"/>
          <w:i/>
          <w:color w:val="333333"/>
          <w:shd w:val="clear" w:color="auto" w:fill="FFFFFF"/>
        </w:rPr>
        <w:t xml:space="preserve"> </w:t>
      </w:r>
      <w:r w:rsidR="00AD6D1E" w:rsidRPr="00675060">
        <w:rPr>
          <w:rStyle w:val="authors"/>
          <w:rFonts w:ascii="Times New Roman" w:hAnsi="Times New Roman" w:cs="Times New Roman"/>
          <w:color w:val="333333"/>
          <w:shd w:val="clear" w:color="auto" w:fill="FFFFFF"/>
        </w:rPr>
        <w:t>29(7):747-766.</w:t>
      </w:r>
    </w:p>
    <w:p w14:paraId="59030DBD" w14:textId="77777777" w:rsidR="0054485C" w:rsidRPr="00675060" w:rsidRDefault="0054485C" w:rsidP="0054485C">
      <w:pPr>
        <w:spacing w:line="240" w:lineRule="auto"/>
        <w:rPr>
          <w:rStyle w:val="Hyperlink"/>
          <w:rFonts w:ascii="Times New Roman" w:hAnsi="Times New Roman" w:cs="Times New Roman"/>
          <w:color w:val="333333"/>
          <w:u w:val="none"/>
        </w:rPr>
      </w:pPr>
      <w:r w:rsidRPr="00675060">
        <w:rPr>
          <w:rStyle w:val="authors"/>
          <w:rFonts w:ascii="Times New Roman" w:hAnsi="Times New Roman" w:cs="Times New Roman"/>
          <w:color w:val="333333"/>
          <w:shd w:val="clear" w:color="auto" w:fill="FFFFFF"/>
        </w:rPr>
        <w:t>Avila, T., &amp; Rose, J.</w:t>
      </w:r>
      <w:r w:rsidRPr="00675060">
        <w:rPr>
          <w:rFonts w:ascii="Times New Roman" w:hAnsi="Times New Roman" w:cs="Times New Roman"/>
          <w:color w:val="333333"/>
          <w:shd w:val="clear" w:color="auto" w:fill="FFFFFF"/>
        </w:rPr>
        <w:t> </w:t>
      </w:r>
      <w:r w:rsidRPr="00675060">
        <w:rPr>
          <w:rStyle w:val="Date1"/>
          <w:rFonts w:ascii="Times New Roman" w:hAnsi="Times New Roman" w:cs="Times New Roman"/>
          <w:color w:val="333333"/>
          <w:shd w:val="clear" w:color="auto" w:fill="FFFFFF"/>
        </w:rPr>
        <w:t>(2019).</w:t>
      </w:r>
      <w:r w:rsidRPr="00675060">
        <w:rPr>
          <w:rFonts w:ascii="Times New Roman" w:hAnsi="Times New Roman" w:cs="Times New Roman"/>
          <w:color w:val="333333"/>
          <w:shd w:val="clear" w:color="auto" w:fill="FFFFFF"/>
        </w:rPr>
        <w:t> </w:t>
      </w:r>
      <w:r w:rsidRPr="00675060">
        <w:rPr>
          <w:rStyle w:val="arttitle"/>
          <w:rFonts w:ascii="Times New Roman" w:hAnsi="Times New Roman" w:cs="Times New Roman"/>
          <w:color w:val="333333"/>
          <w:shd w:val="clear" w:color="auto" w:fill="FFFFFF"/>
        </w:rPr>
        <w:t>When nurturing is conditional: how NEET practitioners position the support they give to young people who are not in education, employment or training.</w:t>
      </w:r>
      <w:r w:rsidRPr="00675060">
        <w:rPr>
          <w:rFonts w:ascii="Times New Roman" w:hAnsi="Times New Roman" w:cs="Times New Roman"/>
          <w:color w:val="333333"/>
          <w:shd w:val="clear" w:color="auto" w:fill="FFFFFF"/>
        </w:rPr>
        <w:t> </w:t>
      </w:r>
      <w:r w:rsidRPr="00675060">
        <w:rPr>
          <w:rStyle w:val="serialtitle"/>
          <w:rFonts w:ascii="Times New Roman" w:hAnsi="Times New Roman" w:cs="Times New Roman"/>
          <w:color w:val="333333"/>
          <w:shd w:val="clear" w:color="auto" w:fill="FFFFFF"/>
        </w:rPr>
        <w:t>Research in Post-Compulsory Education,</w:t>
      </w:r>
      <w:r w:rsidRPr="00675060">
        <w:rPr>
          <w:rFonts w:ascii="Times New Roman" w:hAnsi="Times New Roman" w:cs="Times New Roman"/>
          <w:color w:val="333333"/>
          <w:shd w:val="clear" w:color="auto" w:fill="FFFFFF"/>
        </w:rPr>
        <w:t> </w:t>
      </w:r>
      <w:r w:rsidRPr="00675060">
        <w:rPr>
          <w:rStyle w:val="volumeissue"/>
          <w:rFonts w:ascii="Times New Roman" w:hAnsi="Times New Roman" w:cs="Times New Roman"/>
          <w:color w:val="333333"/>
          <w:shd w:val="clear" w:color="auto" w:fill="FFFFFF"/>
        </w:rPr>
        <w:t>24:1,</w:t>
      </w:r>
      <w:r w:rsidRPr="00675060">
        <w:rPr>
          <w:rFonts w:ascii="Times New Roman" w:hAnsi="Times New Roman" w:cs="Times New Roman"/>
          <w:color w:val="333333"/>
          <w:shd w:val="clear" w:color="auto" w:fill="FFFFFF"/>
        </w:rPr>
        <w:t> </w:t>
      </w:r>
      <w:r w:rsidRPr="00675060">
        <w:rPr>
          <w:rStyle w:val="pagerange"/>
          <w:rFonts w:ascii="Times New Roman" w:hAnsi="Times New Roman" w:cs="Times New Roman"/>
          <w:color w:val="333333"/>
          <w:shd w:val="clear" w:color="auto" w:fill="FFFFFF"/>
        </w:rPr>
        <w:t xml:space="preserve">60 82, </w:t>
      </w:r>
      <w:r w:rsidRPr="00675060">
        <w:rPr>
          <w:rStyle w:val="doilink"/>
          <w:rFonts w:ascii="Times New Roman" w:hAnsi="Times New Roman" w:cs="Times New Roman"/>
          <w:color w:val="333333"/>
          <w:shd w:val="clear" w:color="auto" w:fill="FFFFFF"/>
        </w:rPr>
        <w:t>DOI: </w:t>
      </w:r>
      <w:hyperlink r:id="rId16" w:history="1">
        <w:r w:rsidRPr="00675060">
          <w:rPr>
            <w:rStyle w:val="Hyperlink"/>
            <w:rFonts w:ascii="Times New Roman" w:hAnsi="Times New Roman" w:cs="Times New Roman"/>
            <w:color w:val="333333"/>
            <w:u w:val="none"/>
          </w:rPr>
          <w:t>10.1080/13596748.2019.1584439</w:t>
        </w:r>
      </w:hyperlink>
      <w:r w:rsidR="00D83765" w:rsidRPr="00675060">
        <w:rPr>
          <w:rStyle w:val="Hyperlink"/>
          <w:rFonts w:ascii="Times New Roman" w:hAnsi="Times New Roman" w:cs="Times New Roman"/>
          <w:color w:val="333333"/>
          <w:u w:val="none"/>
        </w:rPr>
        <w:t>.</w:t>
      </w:r>
    </w:p>
    <w:p w14:paraId="6532EB1E" w14:textId="6E378812" w:rsidR="00C33531" w:rsidRPr="00675060" w:rsidRDefault="00C33531"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Baumberg, B.</w:t>
      </w:r>
      <w:r w:rsidR="001B33B8">
        <w:rPr>
          <w:rStyle w:val="Hyperlink"/>
          <w:rFonts w:ascii="Times New Roman" w:hAnsi="Times New Roman" w:cs="Times New Roman"/>
          <w:color w:val="333333"/>
          <w:u w:val="none"/>
        </w:rPr>
        <w:t>,</w:t>
      </w:r>
      <w:r w:rsidRPr="00675060">
        <w:rPr>
          <w:rStyle w:val="Hyperlink"/>
          <w:rFonts w:ascii="Times New Roman" w:hAnsi="Times New Roman" w:cs="Times New Roman"/>
          <w:color w:val="333333"/>
          <w:u w:val="none"/>
        </w:rPr>
        <w:t xml:space="preserve"> </w:t>
      </w:r>
      <w:r w:rsidR="001B33B8">
        <w:rPr>
          <w:rStyle w:val="Hyperlink"/>
          <w:rFonts w:ascii="Times New Roman" w:hAnsi="Times New Roman" w:cs="Times New Roman"/>
          <w:color w:val="333333"/>
          <w:u w:val="none"/>
        </w:rPr>
        <w:t>&amp;</w:t>
      </w:r>
      <w:r w:rsidRPr="00675060">
        <w:rPr>
          <w:rStyle w:val="Hyperlink"/>
          <w:rFonts w:ascii="Times New Roman" w:hAnsi="Times New Roman" w:cs="Times New Roman"/>
          <w:color w:val="333333"/>
          <w:u w:val="none"/>
        </w:rPr>
        <w:t xml:space="preserve"> Meager, N. (2015). Job quality and the self-employed, in Felstead, A., Gallie, D., and Green, F. (eds) </w:t>
      </w:r>
      <w:r w:rsidRPr="00675060">
        <w:rPr>
          <w:rStyle w:val="Hyperlink"/>
          <w:rFonts w:ascii="Times New Roman" w:hAnsi="Times New Roman" w:cs="Times New Roman"/>
          <w:i/>
          <w:color w:val="333333"/>
          <w:u w:val="none"/>
        </w:rPr>
        <w:t xml:space="preserve">Unequal Britain at work. </w:t>
      </w:r>
      <w:r w:rsidRPr="00675060">
        <w:rPr>
          <w:rStyle w:val="Hyperlink"/>
          <w:rFonts w:ascii="Times New Roman" w:hAnsi="Times New Roman" w:cs="Times New Roman"/>
          <w:color w:val="333333"/>
          <w:u w:val="none"/>
        </w:rPr>
        <w:t xml:space="preserve">Oxford: </w:t>
      </w:r>
      <w:r w:rsidR="001E2198" w:rsidRPr="00675060">
        <w:rPr>
          <w:rStyle w:val="Hyperlink"/>
          <w:rFonts w:ascii="Times New Roman" w:hAnsi="Times New Roman" w:cs="Times New Roman"/>
          <w:color w:val="333333"/>
          <w:u w:val="none"/>
        </w:rPr>
        <w:t>Oxford University</w:t>
      </w:r>
      <w:r w:rsidRPr="00675060">
        <w:rPr>
          <w:rStyle w:val="Hyperlink"/>
          <w:rFonts w:ascii="Times New Roman" w:hAnsi="Times New Roman" w:cs="Times New Roman"/>
          <w:color w:val="333333"/>
          <w:u w:val="none"/>
        </w:rPr>
        <w:t xml:space="preserve"> Press.</w:t>
      </w:r>
    </w:p>
    <w:p w14:paraId="6D72C778" w14:textId="60B9865F" w:rsidR="00F95BA6" w:rsidRPr="00675060" w:rsidRDefault="00F95BA6"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Baruch, Y. (2014). The development and validation of a measure for protean career </w:t>
      </w:r>
      <w:r w:rsidR="003D4A01" w:rsidRPr="00675060">
        <w:rPr>
          <w:rStyle w:val="Hyperlink"/>
          <w:rFonts w:ascii="Times New Roman" w:hAnsi="Times New Roman" w:cs="Times New Roman"/>
          <w:color w:val="333333"/>
          <w:u w:val="none"/>
        </w:rPr>
        <w:t>orientation.</w:t>
      </w:r>
      <w:r w:rsidR="003D4A01" w:rsidRPr="00675060">
        <w:rPr>
          <w:rStyle w:val="Hyperlink"/>
          <w:rFonts w:ascii="Times New Roman" w:hAnsi="Times New Roman" w:cs="Times New Roman"/>
          <w:i/>
          <w:color w:val="333333"/>
          <w:u w:val="none"/>
        </w:rPr>
        <w:t xml:space="preserve"> The</w:t>
      </w:r>
      <w:r w:rsidRPr="00675060">
        <w:rPr>
          <w:rStyle w:val="Hyperlink"/>
          <w:rFonts w:ascii="Times New Roman" w:hAnsi="Times New Roman" w:cs="Times New Roman"/>
          <w:i/>
          <w:color w:val="333333"/>
          <w:u w:val="none"/>
        </w:rPr>
        <w:t xml:space="preserve"> International Journal of Human Resource Management, Vol. 25 No. 19</w:t>
      </w:r>
      <w:r w:rsidRPr="00675060">
        <w:rPr>
          <w:rStyle w:val="Hyperlink"/>
          <w:rFonts w:ascii="Times New Roman" w:hAnsi="Times New Roman" w:cs="Times New Roman"/>
          <w:color w:val="333333"/>
          <w:u w:val="none"/>
        </w:rPr>
        <w:t>, pp. 2702-2723</w:t>
      </w:r>
    </w:p>
    <w:p w14:paraId="675B442C" w14:textId="273752FD" w:rsidR="00A24B48" w:rsidRPr="00675060" w:rsidRDefault="00A24B48" w:rsidP="0054485C">
      <w:pPr>
        <w:spacing w:line="240" w:lineRule="auto"/>
        <w:rPr>
          <w:rStyle w:val="Hyperlink"/>
          <w:rFonts w:ascii="Times New Roman" w:hAnsi="Times New Roman" w:cs="Times New Roman"/>
          <w:color w:val="333333"/>
        </w:rPr>
      </w:pPr>
      <w:r w:rsidRPr="00675060">
        <w:rPr>
          <w:rStyle w:val="Hyperlink"/>
          <w:rFonts w:ascii="Times New Roman" w:hAnsi="Times New Roman" w:cs="Times New Roman"/>
          <w:color w:val="333333"/>
          <w:u w:val="none"/>
        </w:rPr>
        <w:t xml:space="preserve">Behavioural Insights Team. (2016). </w:t>
      </w:r>
      <w:r w:rsidRPr="00675060">
        <w:rPr>
          <w:rStyle w:val="Hyperlink"/>
          <w:rFonts w:ascii="Times New Roman" w:hAnsi="Times New Roman" w:cs="Times New Roman"/>
          <w:i/>
          <w:color w:val="333333"/>
          <w:u w:val="none"/>
        </w:rPr>
        <w:t>Moments of Choice</w:t>
      </w:r>
      <w:r w:rsidRPr="00675060">
        <w:rPr>
          <w:rStyle w:val="Hyperlink"/>
          <w:rFonts w:ascii="Times New Roman" w:hAnsi="Times New Roman" w:cs="Times New Roman"/>
          <w:color w:val="333333"/>
          <w:u w:val="none"/>
        </w:rPr>
        <w:t>. London: Behavioural Insights Team</w:t>
      </w:r>
      <w:r w:rsidR="001A4328" w:rsidRPr="00675060">
        <w:rPr>
          <w:rStyle w:val="Hyperlink"/>
          <w:rFonts w:ascii="Times New Roman" w:hAnsi="Times New Roman" w:cs="Times New Roman"/>
          <w:color w:val="333333"/>
          <w:u w:val="none"/>
        </w:rPr>
        <w:t>.</w:t>
      </w:r>
      <w:r w:rsidRPr="00675060">
        <w:rPr>
          <w:rStyle w:val="Hyperlink"/>
          <w:rFonts w:ascii="Times New Roman" w:hAnsi="Times New Roman" w:cs="Times New Roman"/>
          <w:color w:val="333333"/>
          <w:u w:val="none"/>
        </w:rPr>
        <w:t xml:space="preserve"> </w:t>
      </w:r>
    </w:p>
    <w:p w14:paraId="3353364F" w14:textId="77777777" w:rsidR="00D83765" w:rsidRPr="00675060" w:rsidRDefault="00D83765" w:rsidP="00D83765">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BEIS. (2017). </w:t>
      </w:r>
      <w:r w:rsidRPr="00675060">
        <w:rPr>
          <w:rStyle w:val="Hyperlink"/>
          <w:rFonts w:ascii="Times New Roman" w:hAnsi="Times New Roman" w:cs="Times New Roman"/>
          <w:i/>
          <w:color w:val="333333"/>
          <w:u w:val="none"/>
        </w:rPr>
        <w:t>Industrial Strategy: Building a Britain fit for the future</w:t>
      </w:r>
      <w:r w:rsidRPr="00675060">
        <w:rPr>
          <w:rStyle w:val="Hyperlink"/>
          <w:rFonts w:ascii="Times New Roman" w:hAnsi="Times New Roman" w:cs="Times New Roman"/>
          <w:color w:val="333333"/>
          <w:u w:val="none"/>
        </w:rPr>
        <w:t>. London: Department for Business, Energy and Industrial Strategy</w:t>
      </w:r>
      <w:r w:rsidR="00A24B48" w:rsidRPr="00675060">
        <w:rPr>
          <w:rStyle w:val="Hyperlink"/>
          <w:rFonts w:ascii="Times New Roman" w:hAnsi="Times New Roman" w:cs="Times New Roman"/>
          <w:color w:val="333333"/>
          <w:u w:val="none"/>
        </w:rPr>
        <w:t>.</w:t>
      </w:r>
    </w:p>
    <w:p w14:paraId="49F7E9FA" w14:textId="7370D360" w:rsidR="005C7883" w:rsidRPr="00675060" w:rsidRDefault="005C7883" w:rsidP="00D83765">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Best universities for graduate jobs: Global University Employability Ranking 2018. (2018, November 14). </w:t>
      </w:r>
      <w:r w:rsidRPr="00675060">
        <w:rPr>
          <w:rStyle w:val="Hyperlink"/>
          <w:rFonts w:ascii="Times New Roman" w:hAnsi="Times New Roman" w:cs="Times New Roman"/>
          <w:i/>
          <w:iCs/>
          <w:color w:val="333333"/>
          <w:u w:val="none"/>
        </w:rPr>
        <w:t>Times Higher Education</w:t>
      </w:r>
      <w:r w:rsidRPr="00675060">
        <w:rPr>
          <w:rStyle w:val="Hyperlink"/>
          <w:rFonts w:ascii="Times New Roman" w:hAnsi="Times New Roman" w:cs="Times New Roman"/>
          <w:color w:val="333333"/>
          <w:u w:val="none"/>
        </w:rPr>
        <w:t xml:space="preserve">. Retrieved from </w:t>
      </w:r>
      <w:hyperlink r:id="rId17" w:history="1">
        <w:r w:rsidRPr="00675060">
          <w:rPr>
            <w:rStyle w:val="Hyperlink"/>
            <w:rFonts w:ascii="Times New Roman" w:hAnsi="Times New Roman" w:cs="Times New Roman"/>
          </w:rPr>
          <w:t>https://www.timeshighereducation.com/student/best-universities/best-universities-graduate-jobs-global-university-employability-ranking</w:t>
        </w:r>
      </w:hyperlink>
      <w:r w:rsidRPr="00675060">
        <w:rPr>
          <w:rStyle w:val="Hyperlink"/>
          <w:rFonts w:ascii="Times New Roman" w:hAnsi="Times New Roman" w:cs="Times New Roman"/>
          <w:color w:val="333333"/>
          <w:u w:val="none"/>
        </w:rPr>
        <w:t xml:space="preserve"> </w:t>
      </w:r>
    </w:p>
    <w:p w14:paraId="1A5744E0" w14:textId="0DE94B3C" w:rsidR="00526F50" w:rsidRPr="00675060" w:rsidRDefault="00526F50" w:rsidP="00D83765">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Bimrose, J., Barnes, S-A., Owen, D., Hughes, D., Wilson, R., Attwell, G., &amp; Rustemeier, P. (2018). </w:t>
      </w:r>
      <w:r w:rsidRPr="00675060">
        <w:rPr>
          <w:rStyle w:val="Hyperlink"/>
          <w:rFonts w:ascii="Times New Roman" w:hAnsi="Times New Roman" w:cs="Times New Roman"/>
          <w:i/>
          <w:color w:val="333333"/>
          <w:u w:val="none"/>
        </w:rPr>
        <w:t>Labour market information (LMI) for all: Stakeholder Engagement and Usage, Data and Technical Developments. Research report</w:t>
      </w:r>
      <w:r w:rsidRPr="00675060">
        <w:rPr>
          <w:rStyle w:val="Hyperlink"/>
          <w:rFonts w:ascii="Times New Roman" w:hAnsi="Times New Roman" w:cs="Times New Roman"/>
          <w:color w:val="333333"/>
          <w:u w:val="none"/>
        </w:rPr>
        <w:t>. London: Department for Education</w:t>
      </w:r>
      <w:r w:rsidR="00A24B48" w:rsidRPr="00675060">
        <w:rPr>
          <w:rStyle w:val="Hyperlink"/>
          <w:rFonts w:ascii="Times New Roman" w:hAnsi="Times New Roman" w:cs="Times New Roman"/>
          <w:color w:val="333333"/>
          <w:u w:val="none"/>
        </w:rPr>
        <w:t>.</w:t>
      </w:r>
    </w:p>
    <w:p w14:paraId="20FA067D" w14:textId="77777777" w:rsidR="001C2776" w:rsidRPr="00675060" w:rsidRDefault="001C2776" w:rsidP="001C2776">
      <w:pPr>
        <w:autoSpaceDE w:val="0"/>
        <w:autoSpaceDN w:val="0"/>
        <w:adjustRightInd w:val="0"/>
        <w:spacing w:after="120" w:line="240" w:lineRule="auto"/>
        <w:rPr>
          <w:rStyle w:val="Hyperlink"/>
          <w:rFonts w:ascii="Times New Roman" w:hAnsi="Times New Roman" w:cs="Times New Roman"/>
          <w:color w:val="auto"/>
          <w:u w:val="none"/>
        </w:rPr>
      </w:pPr>
      <w:r w:rsidRPr="00675060">
        <w:rPr>
          <w:rFonts w:ascii="Times New Roman" w:hAnsi="Times New Roman" w:cs="Times New Roman"/>
        </w:rPr>
        <w:t xml:space="preserve">Blackmore, P., Blackwell, R., &amp; Edmondson, M. (2016). </w:t>
      </w:r>
      <w:r w:rsidRPr="00675060">
        <w:rPr>
          <w:rFonts w:ascii="Times New Roman" w:hAnsi="Times New Roman" w:cs="Times New Roman"/>
          <w:i/>
        </w:rPr>
        <w:t>Tackling Wicked Issues: Prestige and Employment Outcomes in the Teaching Excellence Framework – HEPI Occasional Paper 14.</w:t>
      </w:r>
      <w:r w:rsidRPr="00675060">
        <w:rPr>
          <w:rFonts w:ascii="Times New Roman" w:hAnsi="Times New Roman" w:cs="Times New Roman"/>
        </w:rPr>
        <w:t xml:space="preserve"> London: HEPI</w:t>
      </w:r>
      <w:r w:rsidR="00A24B48" w:rsidRPr="00675060">
        <w:rPr>
          <w:rFonts w:ascii="Times New Roman" w:hAnsi="Times New Roman" w:cs="Times New Roman"/>
        </w:rPr>
        <w:t>.</w:t>
      </w:r>
    </w:p>
    <w:p w14:paraId="32D7BD55" w14:textId="77777777" w:rsidR="00326181" w:rsidRPr="00675060" w:rsidRDefault="00326181" w:rsidP="00326181">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Blustein, D. (2019, forthcoming). </w:t>
      </w:r>
      <w:r w:rsidRPr="00675060">
        <w:rPr>
          <w:rStyle w:val="Hyperlink"/>
          <w:rFonts w:ascii="Times New Roman" w:hAnsi="Times New Roman" w:cs="Times New Roman"/>
          <w:i/>
          <w:color w:val="333333"/>
          <w:u w:val="none"/>
        </w:rPr>
        <w:t>The Importance of Work in an Age of Uncertainty: The Eroding Work Experience in America.</w:t>
      </w:r>
      <w:r w:rsidRPr="00675060">
        <w:rPr>
          <w:rStyle w:val="Hyperlink"/>
          <w:rFonts w:ascii="Times New Roman" w:hAnsi="Times New Roman" w:cs="Times New Roman"/>
          <w:color w:val="333333"/>
          <w:u w:val="none"/>
        </w:rPr>
        <w:t xml:space="preserve"> Oxford: Oxford University Press</w:t>
      </w:r>
      <w:r w:rsidR="00A24B48" w:rsidRPr="00675060">
        <w:rPr>
          <w:rStyle w:val="Hyperlink"/>
          <w:rFonts w:ascii="Times New Roman" w:hAnsi="Times New Roman" w:cs="Times New Roman"/>
          <w:color w:val="333333"/>
          <w:u w:val="none"/>
        </w:rPr>
        <w:t>.</w:t>
      </w:r>
    </w:p>
    <w:p w14:paraId="19872A24" w14:textId="5AB2CF64" w:rsidR="0054485C" w:rsidRPr="00675060" w:rsidRDefault="0054485C" w:rsidP="0054485C">
      <w:pPr>
        <w:spacing w:line="240" w:lineRule="auto"/>
        <w:rPr>
          <w:rStyle w:val="Hyperlink"/>
          <w:rFonts w:ascii="Times New Roman" w:hAnsi="Times New Roman" w:cs="Times New Roman"/>
          <w:color w:val="333333"/>
          <w:u w:val="none"/>
        </w:rPr>
      </w:pPr>
      <w:r w:rsidRPr="00675060">
        <w:rPr>
          <w:rStyle w:val="authors"/>
          <w:rFonts w:ascii="Times New Roman" w:hAnsi="Times New Roman" w:cs="Times New Roman"/>
          <w:color w:val="333333"/>
          <w:shd w:val="clear" w:color="auto" w:fill="FFFFFF"/>
        </w:rPr>
        <w:t>Briggs, S.</w:t>
      </w:r>
      <w:r w:rsidRPr="00675060">
        <w:rPr>
          <w:rFonts w:ascii="Times New Roman" w:hAnsi="Times New Roman" w:cs="Times New Roman"/>
          <w:color w:val="333333"/>
          <w:shd w:val="clear" w:color="auto" w:fill="FFFFFF"/>
        </w:rPr>
        <w:t> </w:t>
      </w:r>
      <w:r w:rsidRPr="00675060">
        <w:rPr>
          <w:rStyle w:val="Date1"/>
          <w:rFonts w:ascii="Times New Roman" w:hAnsi="Times New Roman" w:cs="Times New Roman"/>
          <w:color w:val="333333"/>
          <w:shd w:val="clear" w:color="auto" w:fill="FFFFFF"/>
        </w:rPr>
        <w:t>(2006).</w:t>
      </w:r>
      <w:r w:rsidRPr="00675060">
        <w:rPr>
          <w:rFonts w:ascii="Times New Roman" w:hAnsi="Times New Roman" w:cs="Times New Roman"/>
          <w:color w:val="333333"/>
          <w:shd w:val="clear" w:color="auto" w:fill="FFFFFF"/>
        </w:rPr>
        <w:t> </w:t>
      </w:r>
      <w:r w:rsidRPr="00675060">
        <w:rPr>
          <w:rStyle w:val="arttitle"/>
          <w:rFonts w:ascii="Times New Roman" w:hAnsi="Times New Roman" w:cs="Times New Roman"/>
          <w:color w:val="333333"/>
          <w:shd w:val="clear" w:color="auto" w:fill="FFFFFF"/>
        </w:rPr>
        <w:t>An exploratory study of the factors influencing undergraduate student choice: the case of higher education in Scotland.</w:t>
      </w:r>
      <w:r w:rsidRPr="00675060">
        <w:rPr>
          <w:rFonts w:ascii="Times New Roman" w:hAnsi="Times New Roman" w:cs="Times New Roman"/>
          <w:color w:val="333333"/>
          <w:shd w:val="clear" w:color="auto" w:fill="FFFFFF"/>
        </w:rPr>
        <w:t> </w:t>
      </w:r>
      <w:r w:rsidRPr="00675060">
        <w:rPr>
          <w:rStyle w:val="serialtitle"/>
          <w:rFonts w:ascii="Times New Roman" w:hAnsi="Times New Roman" w:cs="Times New Roman"/>
          <w:i/>
          <w:color w:val="333333"/>
          <w:shd w:val="clear" w:color="auto" w:fill="FFFFFF"/>
        </w:rPr>
        <w:t>Studies in Higher Education,</w:t>
      </w:r>
      <w:r w:rsidRPr="00675060">
        <w:rPr>
          <w:rFonts w:ascii="Times New Roman" w:hAnsi="Times New Roman" w:cs="Times New Roman"/>
          <w:i/>
          <w:color w:val="333333"/>
          <w:shd w:val="clear" w:color="auto" w:fill="FFFFFF"/>
        </w:rPr>
        <w:t> </w:t>
      </w:r>
      <w:r w:rsidRPr="00675060">
        <w:rPr>
          <w:rStyle w:val="volumeissue"/>
          <w:rFonts w:ascii="Times New Roman" w:hAnsi="Times New Roman" w:cs="Times New Roman"/>
          <w:i/>
          <w:color w:val="333333"/>
          <w:shd w:val="clear" w:color="auto" w:fill="FFFFFF"/>
        </w:rPr>
        <w:t>31:6,</w:t>
      </w:r>
      <w:r w:rsidRPr="00675060">
        <w:rPr>
          <w:rFonts w:ascii="Times New Roman" w:hAnsi="Times New Roman" w:cs="Times New Roman"/>
          <w:i/>
          <w:color w:val="333333"/>
          <w:shd w:val="clear" w:color="auto" w:fill="FFFFFF"/>
        </w:rPr>
        <w:t> </w:t>
      </w:r>
      <w:r w:rsidRPr="00675060">
        <w:rPr>
          <w:rStyle w:val="pagerange"/>
          <w:rFonts w:ascii="Times New Roman" w:hAnsi="Times New Roman" w:cs="Times New Roman"/>
          <w:i/>
          <w:color w:val="333333"/>
          <w:shd w:val="clear" w:color="auto" w:fill="FFFFFF"/>
        </w:rPr>
        <w:t>705-722</w:t>
      </w:r>
      <w:r w:rsidRPr="00675060">
        <w:rPr>
          <w:rStyle w:val="pagerange"/>
          <w:rFonts w:ascii="Times New Roman" w:hAnsi="Times New Roman" w:cs="Times New Roman"/>
          <w:color w:val="333333"/>
          <w:shd w:val="clear" w:color="auto" w:fill="FFFFFF"/>
        </w:rPr>
        <w:t>.</w:t>
      </w:r>
      <w:r w:rsidRPr="00675060">
        <w:rPr>
          <w:rFonts w:ascii="Times New Roman" w:hAnsi="Times New Roman" w:cs="Times New Roman"/>
          <w:color w:val="333333"/>
          <w:shd w:val="clear" w:color="auto" w:fill="FFFFFF"/>
        </w:rPr>
        <w:t> </w:t>
      </w:r>
      <w:r w:rsidRPr="00675060">
        <w:rPr>
          <w:rStyle w:val="doilink"/>
          <w:rFonts w:ascii="Times New Roman" w:hAnsi="Times New Roman" w:cs="Times New Roman"/>
          <w:color w:val="333333"/>
          <w:shd w:val="clear" w:color="auto" w:fill="FFFFFF"/>
        </w:rPr>
        <w:t>DOI: </w:t>
      </w:r>
      <w:hyperlink r:id="rId18" w:history="1">
        <w:r w:rsidRPr="00675060">
          <w:rPr>
            <w:rStyle w:val="Hyperlink"/>
            <w:rFonts w:ascii="Times New Roman" w:hAnsi="Times New Roman" w:cs="Times New Roman"/>
            <w:color w:val="333333"/>
            <w:u w:val="none"/>
          </w:rPr>
          <w:t>10.1080/03075070601004333</w:t>
        </w:r>
      </w:hyperlink>
      <w:r w:rsidRPr="00675060">
        <w:rPr>
          <w:rStyle w:val="Hyperlink"/>
          <w:rFonts w:ascii="Times New Roman" w:hAnsi="Times New Roman" w:cs="Times New Roman"/>
          <w:color w:val="333333"/>
          <w:u w:val="none"/>
        </w:rPr>
        <w:t>.</w:t>
      </w:r>
    </w:p>
    <w:p w14:paraId="18CB1071" w14:textId="273CEAA8" w:rsidR="005C7883" w:rsidRPr="00675060" w:rsidRDefault="005C7883"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Brown, M. (2018). The best college in each state for getting a job 2018. San Mateo, CA: Zippia. Retrieved June 18, 2019 from </w:t>
      </w:r>
      <w:hyperlink r:id="rId19" w:history="1">
        <w:r w:rsidRPr="00675060">
          <w:rPr>
            <w:rStyle w:val="Hyperlink"/>
            <w:rFonts w:ascii="Times New Roman" w:hAnsi="Times New Roman" w:cs="Times New Roman"/>
          </w:rPr>
          <w:t>https://www.zippia.com/advice/best-college-state-getting-job-2018</w:t>
        </w:r>
      </w:hyperlink>
    </w:p>
    <w:p w14:paraId="71686CC2" w14:textId="77777777" w:rsidR="009110B0" w:rsidRPr="00675060" w:rsidRDefault="009110B0"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Caplan, B. (2018). </w:t>
      </w:r>
      <w:r w:rsidRPr="00675060">
        <w:rPr>
          <w:rStyle w:val="Hyperlink"/>
          <w:rFonts w:ascii="Times New Roman" w:hAnsi="Times New Roman" w:cs="Times New Roman"/>
          <w:i/>
          <w:color w:val="333333"/>
          <w:u w:val="none"/>
        </w:rPr>
        <w:t>The Case Against Education: Why the Education System Is a Waste of Time and Money.</w:t>
      </w:r>
      <w:r w:rsidRPr="00675060">
        <w:rPr>
          <w:rStyle w:val="Hyperlink"/>
          <w:rFonts w:ascii="Times New Roman" w:hAnsi="Times New Roman" w:cs="Times New Roman"/>
          <w:color w:val="333333"/>
          <w:u w:val="none"/>
        </w:rPr>
        <w:t xml:space="preserve"> Princeton: Princeton University Press.</w:t>
      </w:r>
    </w:p>
    <w:p w14:paraId="4E214BD5" w14:textId="6F01A625" w:rsidR="00E065B9" w:rsidRPr="00675060" w:rsidRDefault="00E065B9" w:rsidP="0054485C">
      <w:pPr>
        <w:spacing w:line="240" w:lineRule="auto"/>
        <w:rPr>
          <w:rFonts w:ascii="Times New Roman" w:hAnsi="Times New Roman" w:cs="Times New Roman"/>
          <w:color w:val="333333"/>
        </w:rPr>
      </w:pPr>
      <w:r w:rsidRPr="00675060">
        <w:rPr>
          <w:rFonts w:ascii="Times New Roman" w:hAnsi="Times New Roman" w:cs="Times New Roman"/>
          <w:color w:val="333333"/>
        </w:rPr>
        <w:t>Carl</w:t>
      </w:r>
      <w:r w:rsidR="001B33B8">
        <w:rPr>
          <w:rFonts w:ascii="Times New Roman" w:hAnsi="Times New Roman" w:cs="Times New Roman"/>
          <w:color w:val="333333"/>
        </w:rPr>
        <w:t>,</w:t>
      </w:r>
      <w:r w:rsidRPr="00675060">
        <w:rPr>
          <w:rFonts w:ascii="Times New Roman" w:hAnsi="Times New Roman" w:cs="Times New Roman"/>
          <w:color w:val="333333"/>
        </w:rPr>
        <w:t xml:space="preserve"> J. (2009). Industrialization and Public Education: Social Cohesion and Social Stratification. In: Cowen</w:t>
      </w:r>
      <w:r w:rsidR="001B33B8">
        <w:rPr>
          <w:rFonts w:ascii="Times New Roman" w:hAnsi="Times New Roman" w:cs="Times New Roman"/>
          <w:color w:val="333333"/>
        </w:rPr>
        <w:t>,</w:t>
      </w:r>
      <w:r w:rsidRPr="00675060">
        <w:rPr>
          <w:rFonts w:ascii="Times New Roman" w:hAnsi="Times New Roman" w:cs="Times New Roman"/>
          <w:color w:val="333333"/>
        </w:rPr>
        <w:t xml:space="preserve"> R., Kazamias</w:t>
      </w:r>
      <w:r w:rsidR="001B33B8">
        <w:rPr>
          <w:rFonts w:ascii="Times New Roman" w:hAnsi="Times New Roman" w:cs="Times New Roman"/>
          <w:color w:val="333333"/>
        </w:rPr>
        <w:t>,</w:t>
      </w:r>
      <w:r w:rsidRPr="00675060">
        <w:rPr>
          <w:rFonts w:ascii="Times New Roman" w:hAnsi="Times New Roman" w:cs="Times New Roman"/>
          <w:color w:val="333333"/>
        </w:rPr>
        <w:t xml:space="preserve"> A.M. (eds) </w:t>
      </w:r>
      <w:r w:rsidRPr="00675060">
        <w:rPr>
          <w:rFonts w:ascii="Times New Roman" w:hAnsi="Times New Roman" w:cs="Times New Roman"/>
          <w:i/>
          <w:color w:val="333333"/>
        </w:rPr>
        <w:t>International Handbook of Comparative Education</w:t>
      </w:r>
      <w:r w:rsidRPr="00675060">
        <w:rPr>
          <w:rFonts w:ascii="Times New Roman" w:hAnsi="Times New Roman" w:cs="Times New Roman"/>
          <w:color w:val="333333"/>
        </w:rPr>
        <w:t>. Springer International Handbooks of Education, vol 22. Springer, Dordrecht.</w:t>
      </w:r>
    </w:p>
    <w:p w14:paraId="6E66FFDF" w14:textId="4E0703C1" w:rsidR="00BB295F" w:rsidRPr="00675060" w:rsidRDefault="00BB295F" w:rsidP="00BB295F">
      <w:pPr>
        <w:spacing w:line="240" w:lineRule="auto"/>
        <w:rPr>
          <w:rFonts w:ascii="Times New Roman" w:hAnsi="Times New Roman" w:cs="Times New Roman"/>
        </w:rPr>
      </w:pPr>
      <w:r w:rsidRPr="00675060">
        <w:rPr>
          <w:rFonts w:ascii="Times New Roman" w:hAnsi="Times New Roman" w:cs="Times New Roman"/>
        </w:rPr>
        <w:t>Cedefop</w:t>
      </w:r>
      <w:r w:rsidR="001B33B8">
        <w:rPr>
          <w:rFonts w:ascii="Times New Roman" w:hAnsi="Times New Roman" w:cs="Times New Roman"/>
        </w:rPr>
        <w:t>.</w:t>
      </w:r>
      <w:r w:rsidRPr="00675060">
        <w:rPr>
          <w:rFonts w:ascii="Times New Roman" w:hAnsi="Times New Roman" w:cs="Times New Roman"/>
        </w:rPr>
        <w:t xml:space="preserve"> (2016). </w:t>
      </w:r>
      <w:r w:rsidRPr="00675060">
        <w:rPr>
          <w:rFonts w:ascii="Times New Roman" w:hAnsi="Times New Roman" w:cs="Times New Roman"/>
          <w:i/>
        </w:rPr>
        <w:t>Labour market information and guidance.</w:t>
      </w:r>
      <w:r w:rsidRPr="00675060">
        <w:rPr>
          <w:rFonts w:ascii="Times New Roman" w:hAnsi="Times New Roman" w:cs="Times New Roman"/>
        </w:rPr>
        <w:t xml:space="preserve"> Luxembourg:</w:t>
      </w:r>
      <w:r w:rsidR="001A4328" w:rsidRPr="00675060">
        <w:rPr>
          <w:rFonts w:ascii="Times New Roman" w:hAnsi="Times New Roman" w:cs="Times New Roman"/>
        </w:rPr>
        <w:t xml:space="preserve"> </w:t>
      </w:r>
      <w:r w:rsidRPr="00675060">
        <w:rPr>
          <w:rFonts w:ascii="Times New Roman" w:hAnsi="Times New Roman" w:cs="Times New Roman"/>
        </w:rPr>
        <w:t xml:space="preserve">Publications Office. </w:t>
      </w:r>
      <w:hyperlink r:id="rId20" w:history="1">
        <w:r w:rsidR="001B33B8" w:rsidRPr="0045649B">
          <w:rPr>
            <w:rStyle w:val="Hyperlink"/>
            <w:rFonts w:ascii="Times New Roman" w:hAnsi="Times New Roman" w:cs="Times New Roman"/>
          </w:rPr>
          <w:t>http://dx.doi.org/10.2801/72440</w:t>
        </w:r>
      </w:hyperlink>
      <w:r w:rsidR="001B33B8">
        <w:rPr>
          <w:rFonts w:ascii="Times New Roman" w:hAnsi="Times New Roman" w:cs="Times New Roman"/>
        </w:rPr>
        <w:t xml:space="preserve"> </w:t>
      </w:r>
    </w:p>
    <w:p w14:paraId="0072F185" w14:textId="6A662BCF" w:rsidR="0054485C" w:rsidRPr="00675060" w:rsidRDefault="0054485C" w:rsidP="0087406A">
      <w:pPr>
        <w:spacing w:line="240" w:lineRule="auto"/>
        <w:rPr>
          <w:rFonts w:ascii="Times New Roman" w:hAnsi="Times New Roman" w:cs="Times New Roman"/>
        </w:rPr>
      </w:pPr>
      <w:r w:rsidRPr="00675060">
        <w:rPr>
          <w:rFonts w:ascii="Times New Roman" w:hAnsi="Times New Roman" w:cs="Times New Roman"/>
        </w:rPr>
        <w:t>Cedefop</w:t>
      </w:r>
      <w:r w:rsidR="001B33B8">
        <w:rPr>
          <w:rFonts w:ascii="Times New Roman" w:hAnsi="Times New Roman" w:cs="Times New Roman"/>
        </w:rPr>
        <w:t>.</w:t>
      </w:r>
      <w:r w:rsidRPr="00675060">
        <w:rPr>
          <w:rFonts w:ascii="Times New Roman" w:hAnsi="Times New Roman" w:cs="Times New Roman"/>
        </w:rPr>
        <w:t xml:space="preserve"> (2017). </w:t>
      </w:r>
      <w:r w:rsidRPr="00675060">
        <w:rPr>
          <w:rFonts w:ascii="Times New Roman" w:hAnsi="Times New Roman" w:cs="Times New Roman"/>
          <w:i/>
        </w:rPr>
        <w:t>Vocational education and training in Estonia: short description.</w:t>
      </w:r>
      <w:r w:rsidRPr="00675060">
        <w:rPr>
          <w:rFonts w:ascii="Times New Roman" w:hAnsi="Times New Roman" w:cs="Times New Roman"/>
        </w:rPr>
        <w:t xml:space="preserve"> Luxembourg: Publications Office. </w:t>
      </w:r>
      <w:hyperlink r:id="rId21" w:history="1">
        <w:r w:rsidRPr="00675060">
          <w:rPr>
            <w:rStyle w:val="Hyperlink"/>
            <w:rFonts w:ascii="Times New Roman" w:hAnsi="Times New Roman" w:cs="Times New Roman"/>
            <w:u w:val="none"/>
          </w:rPr>
          <w:t>http://dx.doi.org/10.2801/15844</w:t>
        </w:r>
      </w:hyperlink>
      <w:r w:rsidRPr="00675060">
        <w:rPr>
          <w:rFonts w:ascii="Times New Roman" w:hAnsi="Times New Roman" w:cs="Times New Roman"/>
        </w:rPr>
        <w:t>.</w:t>
      </w:r>
    </w:p>
    <w:p w14:paraId="54A8372F" w14:textId="77777777" w:rsidR="0087406A" w:rsidRPr="00675060" w:rsidRDefault="0087406A" w:rsidP="0087406A">
      <w:pPr>
        <w:spacing w:line="240" w:lineRule="auto"/>
        <w:rPr>
          <w:rFonts w:ascii="Times New Roman" w:hAnsi="Times New Roman" w:cs="Times New Roman"/>
        </w:rPr>
      </w:pPr>
      <w:r w:rsidRPr="00675060">
        <w:rPr>
          <w:rFonts w:ascii="Times New Roman" w:hAnsi="Times New Roman" w:cs="Times New Roman"/>
        </w:rPr>
        <w:t xml:space="preserve">Cole, D., &amp; Hallett, R. (2019). The Language of Employability. In J. Higgs, G. Crisp, &amp; W. Letts (Eds) </w:t>
      </w:r>
      <w:r w:rsidRPr="00675060">
        <w:rPr>
          <w:rFonts w:ascii="Times New Roman" w:hAnsi="Times New Roman" w:cs="Times New Roman"/>
          <w:i/>
        </w:rPr>
        <w:t xml:space="preserve">Education for Employability (Volume 1). </w:t>
      </w:r>
      <w:r w:rsidRPr="00675060">
        <w:rPr>
          <w:rFonts w:ascii="Times New Roman" w:hAnsi="Times New Roman" w:cs="Times New Roman"/>
        </w:rPr>
        <w:t xml:space="preserve">Leiden: Brill | Sense. </w:t>
      </w:r>
    </w:p>
    <w:p w14:paraId="5459E4EF" w14:textId="77777777" w:rsidR="00BB295F" w:rsidRPr="00675060" w:rsidRDefault="00BB295F" w:rsidP="0087406A">
      <w:pPr>
        <w:spacing w:line="240" w:lineRule="auto"/>
        <w:rPr>
          <w:rFonts w:ascii="Times New Roman" w:hAnsi="Times New Roman" w:cs="Times New Roman"/>
        </w:rPr>
      </w:pPr>
      <w:r w:rsidRPr="00675060">
        <w:rPr>
          <w:rFonts w:ascii="Times New Roman" w:hAnsi="Times New Roman" w:cs="Times New Roman"/>
        </w:rPr>
        <w:lastRenderedPageBreak/>
        <w:t xml:space="preserve">CooperGibson Research. (2017). </w:t>
      </w:r>
      <w:r w:rsidRPr="00675060">
        <w:rPr>
          <w:rFonts w:ascii="Times New Roman" w:hAnsi="Times New Roman" w:cs="Times New Roman"/>
          <w:i/>
        </w:rPr>
        <w:t>Informed Choice: how data and tools are used to make career decisions.</w:t>
      </w:r>
      <w:r w:rsidRPr="00675060">
        <w:rPr>
          <w:rFonts w:ascii="Times New Roman" w:hAnsi="Times New Roman" w:cs="Times New Roman"/>
        </w:rPr>
        <w:t xml:space="preserve"> London: DfE.</w:t>
      </w:r>
    </w:p>
    <w:p w14:paraId="17B0887B" w14:textId="77777777" w:rsidR="001C2776" w:rsidRPr="00675060" w:rsidRDefault="001C2776" w:rsidP="001C2776">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Cranmer, S. (2006). Enhancing graduate employability: best intentions and mixed outcomes, Studies in Higher Education, 31:2, 169-184, DOI:10.1080/03075070600572041</w:t>
      </w:r>
    </w:p>
    <w:p w14:paraId="6A70A07C" w14:textId="77777777" w:rsidR="0054485C" w:rsidRPr="00675060" w:rsidRDefault="0054485C" w:rsidP="0054485C">
      <w:pPr>
        <w:pStyle w:val="CommentText"/>
        <w:rPr>
          <w:rFonts w:ascii="Times New Roman" w:hAnsi="Times New Roman" w:cs="Times New Roman"/>
          <w:sz w:val="22"/>
          <w:szCs w:val="22"/>
        </w:rPr>
      </w:pPr>
      <w:r w:rsidRPr="00675060">
        <w:rPr>
          <w:rFonts w:ascii="Times New Roman" w:hAnsi="Times New Roman" w:cs="Times New Roman"/>
          <w:sz w:val="22"/>
          <w:szCs w:val="22"/>
        </w:rPr>
        <w:t xml:space="preserve">Custer, S., King, W., Atinc, T., Read, L., &amp; Sethi, T. (2018). </w:t>
      </w:r>
      <w:r w:rsidRPr="00675060">
        <w:rPr>
          <w:rFonts w:ascii="Times New Roman" w:hAnsi="Times New Roman" w:cs="Times New Roman"/>
          <w:i/>
          <w:sz w:val="22"/>
          <w:szCs w:val="22"/>
        </w:rPr>
        <w:t>Toward Data-Driven Education Systems: Insights into using information to measure results and manage change.</w:t>
      </w:r>
      <w:r w:rsidRPr="00675060">
        <w:rPr>
          <w:rFonts w:ascii="Times New Roman" w:hAnsi="Times New Roman" w:cs="Times New Roman"/>
          <w:sz w:val="22"/>
          <w:szCs w:val="22"/>
        </w:rPr>
        <w:t xml:space="preserve"> Washington, DC: Brookings Institution. </w:t>
      </w:r>
    </w:p>
    <w:p w14:paraId="7DC9B206" w14:textId="77777777" w:rsidR="00BF489D" w:rsidRPr="00675060" w:rsidRDefault="00BF489D" w:rsidP="0054485C">
      <w:pPr>
        <w:pStyle w:val="CommentText"/>
        <w:rPr>
          <w:rFonts w:ascii="Times New Roman" w:hAnsi="Times New Roman" w:cs="Times New Roman"/>
          <w:sz w:val="22"/>
          <w:szCs w:val="22"/>
        </w:rPr>
      </w:pPr>
      <w:r w:rsidRPr="00675060">
        <w:rPr>
          <w:rFonts w:ascii="Times New Roman" w:hAnsi="Times New Roman" w:cs="Times New Roman"/>
          <w:sz w:val="22"/>
          <w:szCs w:val="22"/>
        </w:rPr>
        <w:t xml:space="preserve">Dent, M., Chandler, J., </w:t>
      </w:r>
      <w:r w:rsidR="00BB295F" w:rsidRPr="00675060">
        <w:rPr>
          <w:rFonts w:ascii="Times New Roman" w:hAnsi="Times New Roman" w:cs="Times New Roman"/>
          <w:sz w:val="22"/>
          <w:szCs w:val="22"/>
        </w:rPr>
        <w:t>&amp;</w:t>
      </w:r>
      <w:r w:rsidRPr="00675060">
        <w:rPr>
          <w:rFonts w:ascii="Times New Roman" w:hAnsi="Times New Roman" w:cs="Times New Roman"/>
          <w:sz w:val="22"/>
          <w:szCs w:val="22"/>
        </w:rPr>
        <w:t xml:space="preserve"> Barry, J. (2004). </w:t>
      </w:r>
      <w:r w:rsidRPr="00675060">
        <w:rPr>
          <w:rFonts w:ascii="Times New Roman" w:hAnsi="Times New Roman" w:cs="Times New Roman"/>
          <w:i/>
          <w:sz w:val="22"/>
          <w:szCs w:val="22"/>
        </w:rPr>
        <w:t>Questioning the New Public Management</w:t>
      </w:r>
      <w:r w:rsidRPr="00675060">
        <w:rPr>
          <w:rFonts w:ascii="Times New Roman" w:hAnsi="Times New Roman" w:cs="Times New Roman"/>
          <w:sz w:val="22"/>
          <w:szCs w:val="22"/>
        </w:rPr>
        <w:t>. London: Routledge.</w:t>
      </w:r>
    </w:p>
    <w:p w14:paraId="3DBF8F7C" w14:textId="77777777" w:rsidR="0054485C" w:rsidRPr="00675060" w:rsidRDefault="0054485C" w:rsidP="0054485C">
      <w:pPr>
        <w:spacing w:line="240" w:lineRule="auto"/>
        <w:rPr>
          <w:rStyle w:val="Hyperlink"/>
          <w:rFonts w:ascii="Times New Roman" w:hAnsi="Times New Roman" w:cs="Times New Roman"/>
          <w:color w:val="auto"/>
          <w:u w:val="none"/>
        </w:rPr>
      </w:pPr>
      <w:r w:rsidRPr="00675060">
        <w:rPr>
          <w:rFonts w:ascii="Times New Roman" w:hAnsi="Times New Roman" w:cs="Times New Roman"/>
        </w:rPr>
        <w:t xml:space="preserve">DfE. (2015). </w:t>
      </w:r>
      <w:r w:rsidRPr="00675060">
        <w:rPr>
          <w:rFonts w:ascii="Times New Roman" w:hAnsi="Times New Roman" w:cs="Times New Roman"/>
          <w:i/>
        </w:rPr>
        <w:t>Technical Note: Destination Measures</w:t>
      </w:r>
      <w:r w:rsidRPr="00675060">
        <w:rPr>
          <w:rFonts w:ascii="Times New Roman" w:hAnsi="Times New Roman" w:cs="Times New Roman"/>
        </w:rPr>
        <w:t>. London: Department for Education.</w:t>
      </w:r>
    </w:p>
    <w:p w14:paraId="78F052E6" w14:textId="77777777" w:rsidR="0054485C" w:rsidRPr="00675060" w:rsidRDefault="0054485C"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DfE. (2017). </w:t>
      </w:r>
      <w:r w:rsidRPr="00675060">
        <w:rPr>
          <w:rStyle w:val="Hyperlink"/>
          <w:rFonts w:ascii="Times New Roman" w:hAnsi="Times New Roman" w:cs="Times New Roman"/>
          <w:i/>
          <w:color w:val="333333"/>
          <w:u w:val="none"/>
        </w:rPr>
        <w:t>Careers strategy: making the most of everyone’s skills and talents.</w:t>
      </w:r>
      <w:r w:rsidRPr="00675060">
        <w:rPr>
          <w:rStyle w:val="Hyperlink"/>
          <w:rFonts w:ascii="Times New Roman" w:hAnsi="Times New Roman" w:cs="Times New Roman"/>
          <w:color w:val="333333"/>
          <w:u w:val="none"/>
        </w:rPr>
        <w:t xml:space="preserve"> London: Department for Education</w:t>
      </w:r>
      <w:r w:rsidRPr="00675060">
        <w:rPr>
          <w:rStyle w:val="Hyperlink"/>
          <w:rFonts w:ascii="Times New Roman" w:hAnsi="Times New Roman" w:cs="Times New Roman"/>
          <w:color w:val="333333"/>
        </w:rPr>
        <w:t>.</w:t>
      </w:r>
    </w:p>
    <w:p w14:paraId="36A92D01" w14:textId="77777777" w:rsidR="0054485C" w:rsidRPr="00675060" w:rsidRDefault="0054485C" w:rsidP="0054485C">
      <w:pPr>
        <w:spacing w:line="240" w:lineRule="auto"/>
        <w:rPr>
          <w:rFonts w:ascii="Times New Roman" w:hAnsi="Times New Roman" w:cs="Times New Roman"/>
        </w:rPr>
      </w:pPr>
      <w:r w:rsidRPr="00675060">
        <w:rPr>
          <w:rFonts w:ascii="Times New Roman" w:hAnsi="Times New Roman" w:cs="Times New Roman"/>
        </w:rPr>
        <w:t xml:space="preserve">DfE. (2018). </w:t>
      </w:r>
      <w:r w:rsidRPr="00675060">
        <w:rPr>
          <w:rFonts w:ascii="Times New Roman" w:hAnsi="Times New Roman" w:cs="Times New Roman"/>
          <w:i/>
        </w:rPr>
        <w:t>Destinations data: Good practice guide for schools</w:t>
      </w:r>
      <w:r w:rsidRPr="00675060">
        <w:rPr>
          <w:rFonts w:ascii="Times New Roman" w:hAnsi="Times New Roman" w:cs="Times New Roman"/>
        </w:rPr>
        <w:t>. London: Department for Education.</w:t>
      </w:r>
    </w:p>
    <w:p w14:paraId="13304520" w14:textId="77777777" w:rsidR="00E945BB" w:rsidRPr="00675060" w:rsidRDefault="00E945BB" w:rsidP="0054485C">
      <w:pPr>
        <w:spacing w:line="240" w:lineRule="auto"/>
        <w:rPr>
          <w:rFonts w:ascii="Times New Roman" w:hAnsi="Times New Roman" w:cs="Times New Roman"/>
        </w:rPr>
      </w:pPr>
      <w:r w:rsidRPr="00675060">
        <w:rPr>
          <w:rFonts w:ascii="Times New Roman" w:hAnsi="Times New Roman" w:cs="Times New Roman"/>
        </w:rPr>
        <w:t xml:space="preserve">DfE. (2019). </w:t>
      </w:r>
      <w:r w:rsidRPr="00675060">
        <w:rPr>
          <w:rFonts w:ascii="Times New Roman" w:hAnsi="Times New Roman" w:cs="Times New Roman"/>
          <w:i/>
        </w:rPr>
        <w:t>Graduate outcomes (LEO): Employment and earnings outcomes of higher education graduates by subject studied and graduate characteristics in 2016/17.</w:t>
      </w:r>
      <w:r w:rsidRPr="00675060">
        <w:rPr>
          <w:rFonts w:ascii="Times New Roman" w:hAnsi="Times New Roman" w:cs="Times New Roman"/>
        </w:rPr>
        <w:t xml:space="preserve"> London: Department for Education.</w:t>
      </w:r>
    </w:p>
    <w:p w14:paraId="3DD89439" w14:textId="77777777" w:rsidR="00326181" w:rsidRPr="00675060" w:rsidRDefault="00326181" w:rsidP="0054485C">
      <w:pPr>
        <w:spacing w:line="240" w:lineRule="auto"/>
        <w:rPr>
          <w:rFonts w:ascii="Times New Roman" w:hAnsi="Times New Roman" w:cs="Times New Roman"/>
        </w:rPr>
      </w:pPr>
      <w:r w:rsidRPr="00675060">
        <w:rPr>
          <w:rFonts w:ascii="Times New Roman" w:hAnsi="Times New Roman" w:cs="Times New Roman"/>
        </w:rPr>
        <w:t>Dynan, K.</w:t>
      </w:r>
      <w:r w:rsidR="00BB295F" w:rsidRPr="00675060">
        <w:rPr>
          <w:rFonts w:ascii="Times New Roman" w:hAnsi="Times New Roman" w:cs="Times New Roman"/>
        </w:rPr>
        <w:t>, &amp;</w:t>
      </w:r>
      <w:r w:rsidRPr="00675060">
        <w:rPr>
          <w:rFonts w:ascii="Times New Roman" w:hAnsi="Times New Roman" w:cs="Times New Roman"/>
        </w:rPr>
        <w:t xml:space="preserve">Sheiner, L. (2018). </w:t>
      </w:r>
      <w:r w:rsidRPr="00675060">
        <w:rPr>
          <w:rFonts w:ascii="Times New Roman" w:hAnsi="Times New Roman" w:cs="Times New Roman"/>
          <w:i/>
        </w:rPr>
        <w:t>GDP as a Measure of Economic Well-being</w:t>
      </w:r>
      <w:r w:rsidRPr="00675060">
        <w:rPr>
          <w:rFonts w:ascii="Times New Roman" w:hAnsi="Times New Roman" w:cs="Times New Roman"/>
        </w:rPr>
        <w:t>. Washington: The Brookings Institute.</w:t>
      </w:r>
    </w:p>
    <w:p w14:paraId="38BB2001" w14:textId="07C98081" w:rsidR="000A1E09" w:rsidRPr="00675060" w:rsidRDefault="000A1E09" w:rsidP="0054485C">
      <w:pPr>
        <w:spacing w:line="240" w:lineRule="auto"/>
        <w:rPr>
          <w:rFonts w:ascii="Times New Roman" w:hAnsi="Times New Roman" w:cs="Times New Roman"/>
        </w:rPr>
      </w:pPr>
      <w:r w:rsidRPr="00675060">
        <w:rPr>
          <w:rFonts w:ascii="Times New Roman" w:hAnsi="Times New Roman" w:cs="Times New Roman"/>
        </w:rPr>
        <w:t xml:space="preserve">Earle, D. (2018). </w:t>
      </w:r>
      <w:r w:rsidRPr="00675060">
        <w:rPr>
          <w:rFonts w:ascii="Times New Roman" w:hAnsi="Times New Roman" w:cs="Times New Roman"/>
          <w:i/>
        </w:rPr>
        <w:t>Going on to, and achieving in, higher-level tertiary education.</w:t>
      </w:r>
      <w:r w:rsidRPr="00675060">
        <w:rPr>
          <w:rFonts w:ascii="Times New Roman" w:hAnsi="Times New Roman" w:cs="Times New Roman"/>
        </w:rPr>
        <w:t xml:space="preserve"> Wellington: Ministry of Education. </w:t>
      </w:r>
      <w:r w:rsidR="001A4328" w:rsidRPr="00675060">
        <w:rPr>
          <w:rFonts w:ascii="Times New Roman" w:hAnsi="Times New Roman" w:cs="Times New Roman"/>
        </w:rPr>
        <w:t>Retrieved May 29, 2019 from</w:t>
      </w:r>
      <w:r w:rsidRPr="00675060">
        <w:rPr>
          <w:rFonts w:ascii="Times New Roman" w:hAnsi="Times New Roman" w:cs="Times New Roman"/>
        </w:rPr>
        <w:t xml:space="preserve"> </w:t>
      </w:r>
      <w:hyperlink r:id="rId22" w:history="1">
        <w:r w:rsidRPr="00675060">
          <w:rPr>
            <w:rStyle w:val="Hyperlink"/>
            <w:rFonts w:ascii="Times New Roman" w:hAnsi="Times New Roman" w:cs="Times New Roman"/>
          </w:rPr>
          <w:t>https://www.educationcounts.govt.nz/publications/80898/going-on-to,-and-achieving-in,-higher-level-tertiary-education</w:t>
        </w:r>
      </w:hyperlink>
    </w:p>
    <w:p w14:paraId="7DC7A345" w14:textId="630716E4" w:rsidR="0054485C" w:rsidRPr="00675060" w:rsidRDefault="0054485C" w:rsidP="0054485C">
      <w:pPr>
        <w:spacing w:line="240" w:lineRule="auto"/>
        <w:rPr>
          <w:rFonts w:ascii="Times New Roman" w:hAnsi="Times New Roman" w:cs="Times New Roman"/>
        </w:rPr>
      </w:pPr>
      <w:r w:rsidRPr="00675060">
        <w:rPr>
          <w:rFonts w:ascii="Times New Roman" w:hAnsi="Times New Roman" w:cs="Times New Roman"/>
        </w:rPr>
        <w:t xml:space="preserve">EEJS. (2018). </w:t>
      </w:r>
      <w:r w:rsidRPr="00675060">
        <w:rPr>
          <w:rFonts w:ascii="Times New Roman" w:hAnsi="Times New Roman" w:cs="Times New Roman"/>
          <w:i/>
        </w:rPr>
        <w:t>Inquiry into career advice activities in Victorian schools (Economic, Education, Jobs and Skills Committee)</w:t>
      </w:r>
      <w:r w:rsidRPr="00675060">
        <w:rPr>
          <w:rFonts w:ascii="Times New Roman" w:hAnsi="Times New Roman" w:cs="Times New Roman"/>
        </w:rPr>
        <w:t xml:space="preserve">. </w:t>
      </w:r>
      <w:r w:rsidR="001A4328" w:rsidRPr="00675060">
        <w:rPr>
          <w:rFonts w:ascii="Times New Roman" w:hAnsi="Times New Roman" w:cs="Times New Roman"/>
        </w:rPr>
        <w:t xml:space="preserve">Retrieved May 30, 2019 from </w:t>
      </w:r>
      <w:hyperlink r:id="rId23" w:history="1">
        <w:r w:rsidR="001A4328" w:rsidRPr="00675060">
          <w:rPr>
            <w:rStyle w:val="Hyperlink"/>
            <w:rFonts w:ascii="Times New Roman" w:hAnsi="Times New Roman" w:cs="Times New Roman"/>
          </w:rPr>
          <w:t>https://www.parliament.vic.gov.au/925-eejsc/inquiry-into-career-advice-activities-in-victorian-schools</w:t>
        </w:r>
      </w:hyperlink>
      <w:r w:rsidR="001A4328" w:rsidRPr="00675060">
        <w:rPr>
          <w:rStyle w:val="Hyperlink"/>
          <w:rFonts w:ascii="Times New Roman" w:hAnsi="Times New Roman" w:cs="Times New Roman"/>
          <w:color w:val="auto"/>
        </w:rPr>
        <w:t xml:space="preserve"> </w:t>
      </w:r>
    </w:p>
    <w:p w14:paraId="6ECF9742" w14:textId="77777777" w:rsidR="009F1E0F" w:rsidRPr="00675060" w:rsidRDefault="009F1E0F" w:rsidP="0054485C">
      <w:pPr>
        <w:spacing w:line="240" w:lineRule="auto"/>
        <w:rPr>
          <w:rFonts w:ascii="Times New Roman" w:hAnsi="Times New Roman" w:cs="Times New Roman"/>
        </w:rPr>
      </w:pPr>
      <w:r w:rsidRPr="00675060">
        <w:rPr>
          <w:rFonts w:ascii="Times New Roman" w:hAnsi="Times New Roman" w:cs="Times New Roman"/>
        </w:rPr>
        <w:t xml:space="preserve">Edwards, H., Saunders, P., &amp; Hughes, D. (2010). </w:t>
      </w:r>
      <w:r w:rsidRPr="00675060">
        <w:rPr>
          <w:rFonts w:ascii="Times New Roman" w:hAnsi="Times New Roman" w:cs="Times New Roman"/>
          <w:i/>
        </w:rPr>
        <w:t xml:space="preserve">Future ambitions: Developing careers services in Wales. </w:t>
      </w:r>
      <w:r w:rsidRPr="00675060">
        <w:rPr>
          <w:rFonts w:ascii="Times New Roman" w:hAnsi="Times New Roman" w:cs="Times New Roman"/>
        </w:rPr>
        <w:t>Caerphilly: Welsh Assembly Government</w:t>
      </w:r>
      <w:r w:rsidR="000A1E09" w:rsidRPr="00675060">
        <w:rPr>
          <w:rFonts w:ascii="Times New Roman" w:hAnsi="Times New Roman" w:cs="Times New Roman"/>
        </w:rPr>
        <w:t>.</w:t>
      </w:r>
    </w:p>
    <w:p w14:paraId="2CEAAF4C" w14:textId="37181B18" w:rsidR="000A1E09" w:rsidRPr="00675060" w:rsidRDefault="000A1E09" w:rsidP="0054485C">
      <w:pPr>
        <w:spacing w:line="240" w:lineRule="auto"/>
        <w:rPr>
          <w:rStyle w:val="Hyperlink"/>
          <w:rFonts w:ascii="Times New Roman" w:hAnsi="Times New Roman" w:cs="Times New Roman"/>
          <w:color w:val="auto"/>
          <w:u w:val="none"/>
        </w:rPr>
      </w:pPr>
      <w:r w:rsidRPr="00675060">
        <w:rPr>
          <w:rStyle w:val="Hyperlink"/>
          <w:rFonts w:ascii="Times New Roman" w:hAnsi="Times New Roman" w:cs="Times New Roman"/>
          <w:color w:val="auto"/>
          <w:u w:val="none"/>
        </w:rPr>
        <w:t>Finnie, R., Mueller, R., &amp; Sweetman, A. (2018</w:t>
      </w:r>
      <w:r w:rsidR="001A4328" w:rsidRPr="00675060">
        <w:rPr>
          <w:rStyle w:val="Hyperlink"/>
          <w:rFonts w:ascii="Times New Roman" w:hAnsi="Times New Roman" w:cs="Times New Roman"/>
          <w:color w:val="auto"/>
          <w:u w:val="none"/>
        </w:rPr>
        <w:t>, March 2019</w:t>
      </w:r>
      <w:r w:rsidRPr="00675060">
        <w:rPr>
          <w:rStyle w:val="Hyperlink"/>
          <w:rFonts w:ascii="Times New Roman" w:hAnsi="Times New Roman" w:cs="Times New Roman"/>
          <w:color w:val="auto"/>
          <w:u w:val="none"/>
        </w:rPr>
        <w:t xml:space="preserve">). Richer data give the lie to poor completion rates in Canada. </w:t>
      </w:r>
      <w:r w:rsidRPr="00675060">
        <w:rPr>
          <w:rStyle w:val="Hyperlink"/>
          <w:rFonts w:ascii="Times New Roman" w:hAnsi="Times New Roman" w:cs="Times New Roman"/>
          <w:i/>
          <w:color w:val="auto"/>
          <w:u w:val="none"/>
        </w:rPr>
        <w:t>Times Higher Education</w:t>
      </w:r>
      <w:r w:rsidRPr="00675060">
        <w:rPr>
          <w:rStyle w:val="Hyperlink"/>
          <w:rFonts w:ascii="Times New Roman" w:hAnsi="Times New Roman" w:cs="Times New Roman"/>
          <w:color w:val="auto"/>
          <w:u w:val="none"/>
        </w:rPr>
        <w:t xml:space="preserve">. </w:t>
      </w:r>
      <w:r w:rsidR="001A4328" w:rsidRPr="00675060">
        <w:rPr>
          <w:rStyle w:val="Hyperlink"/>
          <w:rFonts w:ascii="Times New Roman" w:hAnsi="Times New Roman" w:cs="Times New Roman"/>
          <w:color w:val="auto"/>
          <w:u w:val="none"/>
        </w:rPr>
        <w:t xml:space="preserve">Retrieved from </w:t>
      </w:r>
      <w:hyperlink r:id="rId24" w:history="1">
        <w:r w:rsidRPr="00675060">
          <w:rPr>
            <w:rStyle w:val="Hyperlink"/>
            <w:rFonts w:ascii="Times New Roman" w:hAnsi="Times New Roman" w:cs="Times New Roman"/>
          </w:rPr>
          <w:t>https://www.timeshighereducation.com/opinion/richer-data-give-lie-poor-completion-rates-canada</w:t>
        </w:r>
      </w:hyperlink>
      <w:r w:rsidRPr="00675060">
        <w:rPr>
          <w:rStyle w:val="Hyperlink"/>
          <w:rFonts w:ascii="Times New Roman" w:hAnsi="Times New Roman" w:cs="Times New Roman"/>
          <w:color w:val="auto"/>
          <w:u w:val="none"/>
        </w:rPr>
        <w:t xml:space="preserve"> </w:t>
      </w:r>
    </w:p>
    <w:p w14:paraId="4253B4E0" w14:textId="09C55D9F" w:rsidR="002537BB" w:rsidRPr="001B33B8" w:rsidRDefault="002537BB" w:rsidP="0054485C">
      <w:pPr>
        <w:spacing w:line="240" w:lineRule="auto"/>
        <w:rPr>
          <w:rStyle w:val="Hyperlink"/>
          <w:rFonts w:ascii="Times New Roman" w:hAnsi="Times New Roman" w:cs="Times New Roman"/>
          <w:color w:val="auto"/>
          <w:u w:val="none"/>
        </w:rPr>
      </w:pPr>
      <w:r w:rsidRPr="001B33B8">
        <w:rPr>
          <w:rStyle w:val="Hyperlink"/>
          <w:rFonts w:ascii="Times New Roman" w:hAnsi="Times New Roman" w:cs="Times New Roman"/>
          <w:color w:val="auto"/>
          <w:u w:val="none"/>
        </w:rPr>
        <w:t>Glennister, H. (1991)</w:t>
      </w:r>
      <w:r w:rsidR="001A4328" w:rsidRPr="001B33B8">
        <w:rPr>
          <w:rStyle w:val="Hyperlink"/>
          <w:rFonts w:ascii="Times New Roman" w:hAnsi="Times New Roman" w:cs="Times New Roman"/>
          <w:color w:val="auto"/>
          <w:u w:val="none"/>
        </w:rPr>
        <w:t>.</w:t>
      </w:r>
      <w:r w:rsidRPr="001B33B8">
        <w:rPr>
          <w:rStyle w:val="Hyperlink"/>
          <w:rFonts w:ascii="Times New Roman" w:hAnsi="Times New Roman" w:cs="Times New Roman"/>
          <w:color w:val="auto"/>
          <w:u w:val="none"/>
        </w:rPr>
        <w:t xml:space="preserve"> </w:t>
      </w:r>
      <w:r w:rsidR="007D0741" w:rsidRPr="001B33B8">
        <w:rPr>
          <w:rStyle w:val="Hyperlink"/>
          <w:rFonts w:ascii="Times New Roman" w:hAnsi="Times New Roman" w:cs="Times New Roman"/>
          <w:color w:val="auto"/>
          <w:u w:val="none"/>
        </w:rPr>
        <w:t>Quasi</w:t>
      </w:r>
      <w:r w:rsidR="00F554FE" w:rsidRPr="001B33B8">
        <w:rPr>
          <w:rStyle w:val="Hyperlink"/>
          <w:rFonts w:ascii="Times New Roman" w:hAnsi="Times New Roman" w:cs="Times New Roman"/>
          <w:color w:val="auto"/>
          <w:u w:val="none"/>
        </w:rPr>
        <w:t>-M</w:t>
      </w:r>
      <w:r w:rsidR="007D0741" w:rsidRPr="001B33B8">
        <w:rPr>
          <w:rStyle w:val="Hyperlink"/>
          <w:rFonts w:ascii="Times New Roman" w:hAnsi="Times New Roman" w:cs="Times New Roman"/>
          <w:color w:val="auto"/>
          <w:u w:val="none"/>
        </w:rPr>
        <w:t>arkets for education?</w:t>
      </w:r>
      <w:r w:rsidR="001A4328" w:rsidRPr="001B33B8">
        <w:rPr>
          <w:rStyle w:val="Hyperlink"/>
          <w:rFonts w:ascii="Times New Roman" w:hAnsi="Times New Roman" w:cs="Times New Roman"/>
          <w:color w:val="auto"/>
          <w:u w:val="none"/>
        </w:rPr>
        <w:t xml:space="preserve"> </w:t>
      </w:r>
      <w:r w:rsidR="003F42C4" w:rsidRPr="001B33B8">
        <w:rPr>
          <w:rStyle w:val="Hyperlink"/>
          <w:rFonts w:ascii="Times New Roman" w:hAnsi="Times New Roman" w:cs="Times New Roman"/>
          <w:i/>
          <w:color w:val="auto"/>
          <w:u w:val="none"/>
        </w:rPr>
        <w:t>The Economic Journal</w:t>
      </w:r>
      <w:r w:rsidR="004A3055" w:rsidRPr="001B33B8">
        <w:rPr>
          <w:rStyle w:val="Hyperlink"/>
          <w:rFonts w:ascii="Times New Roman" w:hAnsi="Times New Roman" w:cs="Times New Roman"/>
          <w:i/>
          <w:color w:val="auto"/>
          <w:u w:val="none"/>
        </w:rPr>
        <w:t>,</w:t>
      </w:r>
      <w:r w:rsidR="00916566" w:rsidRPr="001B33B8">
        <w:rPr>
          <w:rStyle w:val="Hyperlink"/>
          <w:rFonts w:ascii="Times New Roman" w:hAnsi="Times New Roman" w:cs="Times New Roman"/>
          <w:color w:val="auto"/>
          <w:u w:val="none"/>
        </w:rPr>
        <w:t>101 (408)</w:t>
      </w:r>
      <w:r w:rsidR="001A4328" w:rsidRPr="001B33B8">
        <w:rPr>
          <w:rStyle w:val="Hyperlink"/>
          <w:rFonts w:ascii="Times New Roman" w:hAnsi="Times New Roman" w:cs="Times New Roman"/>
          <w:color w:val="auto"/>
          <w:u w:val="none"/>
        </w:rPr>
        <w:t xml:space="preserve">. </w:t>
      </w:r>
      <w:r w:rsidR="004A3055" w:rsidRPr="001B33B8">
        <w:rPr>
          <w:rStyle w:val="Hyperlink"/>
          <w:rFonts w:ascii="Times New Roman" w:hAnsi="Times New Roman" w:cs="Times New Roman"/>
          <w:color w:val="auto"/>
          <w:u w:val="none"/>
        </w:rPr>
        <w:t>1268-1276</w:t>
      </w:r>
      <w:r w:rsidR="00BC2251" w:rsidRPr="001B33B8">
        <w:rPr>
          <w:rStyle w:val="Hyperlink"/>
          <w:rFonts w:ascii="Times New Roman" w:hAnsi="Times New Roman" w:cs="Times New Roman"/>
          <w:color w:val="auto"/>
          <w:u w:val="none"/>
        </w:rPr>
        <w:t>.</w:t>
      </w:r>
      <w:r w:rsidR="00A53140" w:rsidRPr="001B33B8">
        <w:rPr>
          <w:rStyle w:val="Hyperlink"/>
          <w:rFonts w:ascii="Times New Roman" w:hAnsi="Times New Roman" w:cs="Times New Roman"/>
          <w:color w:val="auto"/>
          <w:u w:val="none"/>
        </w:rPr>
        <w:t>DOI: 10.2307/2234442</w:t>
      </w:r>
      <w:r w:rsidR="001A4328" w:rsidRPr="001B33B8">
        <w:rPr>
          <w:rStyle w:val="Hyperlink"/>
          <w:rFonts w:ascii="Times New Roman" w:hAnsi="Times New Roman" w:cs="Times New Roman"/>
          <w:color w:val="auto"/>
          <w:u w:val="none"/>
        </w:rPr>
        <w:t xml:space="preserve">. </w:t>
      </w:r>
    </w:p>
    <w:p w14:paraId="204ECD0B" w14:textId="1AB7CE3D" w:rsidR="00BB295F" w:rsidRPr="001B33B8" w:rsidRDefault="00BB295F" w:rsidP="0054485C">
      <w:pPr>
        <w:spacing w:line="240" w:lineRule="auto"/>
        <w:rPr>
          <w:rStyle w:val="Hyperlink"/>
          <w:rFonts w:ascii="Times New Roman" w:hAnsi="Times New Roman" w:cs="Times New Roman"/>
          <w:color w:val="auto"/>
          <w:u w:val="none"/>
        </w:rPr>
      </w:pPr>
      <w:r w:rsidRPr="001B33B8">
        <w:rPr>
          <w:rStyle w:val="Hyperlink"/>
          <w:rFonts w:ascii="Times New Roman" w:hAnsi="Times New Roman" w:cs="Times New Roman"/>
          <w:color w:val="auto"/>
          <w:u w:val="none"/>
        </w:rPr>
        <w:t xml:space="preserve">Gorard, </w:t>
      </w:r>
      <w:r w:rsidR="001E2198" w:rsidRPr="001B33B8">
        <w:rPr>
          <w:rStyle w:val="Hyperlink"/>
          <w:rFonts w:ascii="Times New Roman" w:hAnsi="Times New Roman" w:cs="Times New Roman"/>
          <w:color w:val="auto"/>
          <w:u w:val="none"/>
        </w:rPr>
        <w:t>S., &amp;</w:t>
      </w:r>
      <w:r w:rsidRPr="001B33B8">
        <w:rPr>
          <w:rStyle w:val="Hyperlink"/>
          <w:rFonts w:ascii="Times New Roman" w:hAnsi="Times New Roman" w:cs="Times New Roman"/>
          <w:color w:val="auto"/>
          <w:u w:val="none"/>
        </w:rPr>
        <w:t xml:space="preserve"> Siddiqui, N. (2019). How Trajectories of Disadvantage Help Explain School Attainment. </w:t>
      </w:r>
      <w:r w:rsidRPr="001B33B8">
        <w:rPr>
          <w:rStyle w:val="Hyperlink"/>
          <w:rFonts w:ascii="Times New Roman" w:hAnsi="Times New Roman" w:cs="Times New Roman"/>
          <w:i/>
          <w:color w:val="auto"/>
          <w:u w:val="none"/>
        </w:rPr>
        <w:t>SAGE Open.</w:t>
      </w:r>
      <w:r w:rsidRPr="001B33B8">
        <w:rPr>
          <w:rStyle w:val="Hyperlink"/>
          <w:rFonts w:ascii="Times New Roman" w:hAnsi="Times New Roman" w:cs="Times New Roman"/>
          <w:color w:val="auto"/>
          <w:u w:val="none"/>
        </w:rPr>
        <w:t xml:space="preserve"> https://journals.sagepub.com/doi/10.1177/2158244018825171</w:t>
      </w:r>
    </w:p>
    <w:p w14:paraId="0A1CE668" w14:textId="77777777" w:rsidR="0054485C" w:rsidRPr="001B33B8" w:rsidRDefault="0054485C" w:rsidP="0054485C">
      <w:pPr>
        <w:spacing w:line="240" w:lineRule="auto"/>
        <w:rPr>
          <w:rFonts w:ascii="Times New Roman" w:hAnsi="Times New Roman" w:cs="Times New Roman"/>
        </w:rPr>
      </w:pPr>
      <w:r w:rsidRPr="001B33B8">
        <w:rPr>
          <w:rStyle w:val="Hyperlink"/>
          <w:rFonts w:ascii="Times New Roman" w:hAnsi="Times New Roman" w:cs="Times New Roman"/>
          <w:color w:val="auto"/>
          <w:u w:val="none"/>
        </w:rPr>
        <w:t xml:space="preserve">Gothard, B., Mignot, P., Offer, M., &amp; Ruff, M. (2001). </w:t>
      </w:r>
      <w:r w:rsidRPr="001B33B8">
        <w:rPr>
          <w:rStyle w:val="Hyperlink"/>
          <w:rFonts w:ascii="Times New Roman" w:hAnsi="Times New Roman" w:cs="Times New Roman"/>
          <w:i/>
          <w:color w:val="auto"/>
          <w:u w:val="none"/>
        </w:rPr>
        <w:t>Career Guidance in Context</w:t>
      </w:r>
      <w:r w:rsidRPr="001B33B8">
        <w:rPr>
          <w:rStyle w:val="Hyperlink"/>
          <w:rFonts w:ascii="Times New Roman" w:hAnsi="Times New Roman" w:cs="Times New Roman"/>
          <w:color w:val="auto"/>
          <w:u w:val="none"/>
        </w:rPr>
        <w:t>. London: Sage</w:t>
      </w:r>
      <w:r w:rsidRPr="001B33B8">
        <w:rPr>
          <w:rStyle w:val="Hyperlink"/>
          <w:rFonts w:ascii="Times New Roman" w:hAnsi="Times New Roman" w:cs="Times New Roman"/>
          <w:color w:val="auto"/>
        </w:rPr>
        <w:t>.</w:t>
      </w:r>
    </w:p>
    <w:p w14:paraId="11BFDB3B" w14:textId="0A1F5D43" w:rsidR="0054485C" w:rsidRPr="001B33B8" w:rsidRDefault="0054485C" w:rsidP="0054485C">
      <w:pPr>
        <w:spacing w:line="240" w:lineRule="auto"/>
        <w:rPr>
          <w:rFonts w:ascii="Times New Roman" w:hAnsi="Times New Roman" w:cs="Times New Roman"/>
          <w:shd w:val="clear" w:color="auto" w:fill="FFFFFF"/>
        </w:rPr>
      </w:pPr>
      <w:r w:rsidRPr="001B33B8">
        <w:rPr>
          <w:rFonts w:ascii="Times New Roman" w:hAnsi="Times New Roman" w:cs="Times New Roman"/>
          <w:shd w:val="clear" w:color="auto" w:fill="FFFFFF"/>
        </w:rPr>
        <w:t xml:space="preserve">Hall, D. T., &amp; Mirvis, P. H. (1995). The New Career </w:t>
      </w:r>
      <w:r w:rsidR="003D4A01" w:rsidRPr="001B33B8">
        <w:rPr>
          <w:rFonts w:ascii="Times New Roman" w:hAnsi="Times New Roman" w:cs="Times New Roman"/>
          <w:shd w:val="clear" w:color="auto" w:fill="FFFFFF"/>
        </w:rPr>
        <w:t>Contract.</w:t>
      </w:r>
      <w:r w:rsidR="003D4A01" w:rsidRPr="001B33B8">
        <w:rPr>
          <w:rFonts w:ascii="Times New Roman" w:hAnsi="Times New Roman" w:cs="Times New Roman"/>
          <w:i/>
          <w:shd w:val="clear" w:color="auto" w:fill="FFFFFF"/>
        </w:rPr>
        <w:t xml:space="preserve"> Journal</w:t>
      </w:r>
      <w:r w:rsidRPr="001B33B8">
        <w:rPr>
          <w:rFonts w:ascii="Times New Roman" w:hAnsi="Times New Roman" w:cs="Times New Roman"/>
          <w:i/>
          <w:shd w:val="clear" w:color="auto" w:fill="FFFFFF"/>
        </w:rPr>
        <w:t xml:space="preserve"> of Vocational Behaviour 47</w:t>
      </w:r>
      <w:r w:rsidRPr="001B33B8">
        <w:rPr>
          <w:rFonts w:ascii="Times New Roman" w:hAnsi="Times New Roman" w:cs="Times New Roman"/>
          <w:shd w:val="clear" w:color="auto" w:fill="FFFFFF"/>
        </w:rPr>
        <w:t>, no. 3: 269-289.</w:t>
      </w:r>
    </w:p>
    <w:p w14:paraId="084A29CC" w14:textId="77777777" w:rsidR="00F95BA6" w:rsidRPr="001B33B8" w:rsidRDefault="00F95BA6" w:rsidP="0054485C">
      <w:pPr>
        <w:spacing w:line="240" w:lineRule="auto"/>
        <w:rPr>
          <w:rFonts w:ascii="Times New Roman" w:hAnsi="Times New Roman" w:cs="Times New Roman"/>
          <w:shd w:val="clear" w:color="auto" w:fill="FFFFFF"/>
        </w:rPr>
      </w:pPr>
      <w:r w:rsidRPr="001B33B8">
        <w:rPr>
          <w:rFonts w:ascii="Times New Roman" w:hAnsi="Times New Roman" w:cs="Times New Roman"/>
          <w:shd w:val="clear" w:color="auto" w:fill="FFFFFF"/>
        </w:rPr>
        <w:t xml:space="preserve">Hall, D. T. (1996). Protean careers in the 21st century. </w:t>
      </w:r>
      <w:r w:rsidRPr="001B33B8">
        <w:rPr>
          <w:rFonts w:ascii="Times New Roman" w:hAnsi="Times New Roman" w:cs="Times New Roman"/>
          <w:i/>
          <w:shd w:val="clear" w:color="auto" w:fill="FFFFFF"/>
        </w:rPr>
        <w:t>Academy of Management Executives</w:t>
      </w:r>
      <w:r w:rsidRPr="001B33B8">
        <w:rPr>
          <w:rFonts w:ascii="Times New Roman" w:hAnsi="Times New Roman" w:cs="Times New Roman"/>
          <w:shd w:val="clear" w:color="auto" w:fill="FFFFFF"/>
        </w:rPr>
        <w:t>, 10 (4), 8–16.</w:t>
      </w:r>
    </w:p>
    <w:p w14:paraId="203235E7" w14:textId="77777777" w:rsidR="0054485C" w:rsidRPr="001B33B8" w:rsidRDefault="0054485C" w:rsidP="0054485C">
      <w:pPr>
        <w:pStyle w:val="CommentText"/>
        <w:rPr>
          <w:rFonts w:ascii="Times New Roman" w:hAnsi="Times New Roman" w:cs="Times New Roman"/>
          <w:sz w:val="22"/>
          <w:szCs w:val="22"/>
        </w:rPr>
      </w:pPr>
      <w:r w:rsidRPr="001B33B8">
        <w:rPr>
          <w:rFonts w:ascii="Times New Roman" w:hAnsi="Times New Roman" w:cs="Times New Roman"/>
          <w:sz w:val="22"/>
          <w:szCs w:val="22"/>
        </w:rPr>
        <w:t xml:space="preserve">Hanushek, E., &amp; Raymond, M. E. (2005). Does school accountability lead to improved student performance?  </w:t>
      </w:r>
      <w:r w:rsidRPr="001B33B8">
        <w:rPr>
          <w:rFonts w:ascii="Times New Roman" w:hAnsi="Times New Roman" w:cs="Times New Roman"/>
          <w:i/>
          <w:sz w:val="22"/>
          <w:szCs w:val="22"/>
        </w:rPr>
        <w:t>Journal of Policy Analysis and Management, 24 (2), 297-327</w:t>
      </w:r>
      <w:r w:rsidRPr="001B33B8">
        <w:rPr>
          <w:rFonts w:ascii="Times New Roman" w:hAnsi="Times New Roman" w:cs="Times New Roman"/>
          <w:sz w:val="22"/>
          <w:szCs w:val="22"/>
        </w:rPr>
        <w:t>. DOI: 10.1002/pam.20091.</w:t>
      </w:r>
    </w:p>
    <w:p w14:paraId="414A9AA3" w14:textId="7E27ECAF" w:rsidR="001C2776" w:rsidRPr="001B33B8" w:rsidRDefault="001C2776" w:rsidP="001C2776">
      <w:pPr>
        <w:autoSpaceDE w:val="0"/>
        <w:autoSpaceDN w:val="0"/>
        <w:adjustRightInd w:val="0"/>
        <w:spacing w:after="120" w:line="240" w:lineRule="auto"/>
        <w:rPr>
          <w:rFonts w:ascii="Times New Roman" w:hAnsi="Times New Roman" w:cs="Times New Roman"/>
          <w:i/>
        </w:rPr>
      </w:pPr>
      <w:r w:rsidRPr="001B33B8">
        <w:rPr>
          <w:rFonts w:ascii="Times New Roman" w:hAnsi="Times New Roman" w:cs="Times New Roman"/>
        </w:rPr>
        <w:lastRenderedPageBreak/>
        <w:t>Harvey, L., Locke, W.</w:t>
      </w:r>
      <w:r w:rsidR="001B33B8">
        <w:rPr>
          <w:rFonts w:ascii="Times New Roman" w:hAnsi="Times New Roman" w:cs="Times New Roman"/>
        </w:rPr>
        <w:t>,</w:t>
      </w:r>
      <w:r w:rsidRPr="001B33B8">
        <w:rPr>
          <w:rFonts w:ascii="Times New Roman" w:hAnsi="Times New Roman" w:cs="Times New Roman"/>
        </w:rPr>
        <w:t xml:space="preserve"> &amp; Morey, A. (2002</w:t>
      </w:r>
      <w:r w:rsidR="001E2198" w:rsidRPr="001B33B8">
        <w:rPr>
          <w:rFonts w:ascii="Times New Roman" w:hAnsi="Times New Roman" w:cs="Times New Roman"/>
        </w:rPr>
        <w:t>).</w:t>
      </w:r>
      <w:r w:rsidR="001E2198" w:rsidRPr="001B33B8">
        <w:rPr>
          <w:rFonts w:ascii="Times New Roman" w:hAnsi="Times New Roman" w:cs="Times New Roman"/>
          <w:i/>
        </w:rPr>
        <w:t xml:space="preserve"> Enhancing</w:t>
      </w:r>
      <w:r w:rsidRPr="001B33B8">
        <w:rPr>
          <w:rFonts w:ascii="Times New Roman" w:hAnsi="Times New Roman" w:cs="Times New Roman"/>
          <w:i/>
        </w:rPr>
        <w:t xml:space="preserve"> employability, recognising diversity: </w:t>
      </w:r>
      <w:r w:rsidR="003D4A01" w:rsidRPr="001B33B8">
        <w:rPr>
          <w:rFonts w:ascii="Times New Roman" w:hAnsi="Times New Roman" w:cs="Times New Roman"/>
          <w:i/>
        </w:rPr>
        <w:t>making links</w:t>
      </w:r>
      <w:r w:rsidRPr="001B33B8">
        <w:rPr>
          <w:rFonts w:ascii="Times New Roman" w:hAnsi="Times New Roman" w:cs="Times New Roman"/>
          <w:i/>
        </w:rPr>
        <w:t xml:space="preserve"> between higher education and the world of work.</w:t>
      </w:r>
      <w:r w:rsidRPr="001B33B8">
        <w:rPr>
          <w:rFonts w:ascii="Times New Roman" w:hAnsi="Times New Roman" w:cs="Times New Roman"/>
        </w:rPr>
        <w:t xml:space="preserve"> London and Manchester, Universities UK.</w:t>
      </w:r>
    </w:p>
    <w:p w14:paraId="661B3023" w14:textId="77777777" w:rsidR="00BB295F" w:rsidRPr="001B33B8" w:rsidRDefault="00BB295F" w:rsidP="00BB295F">
      <w:pPr>
        <w:pStyle w:val="CommentText"/>
        <w:rPr>
          <w:rFonts w:ascii="Times New Roman" w:hAnsi="Times New Roman" w:cs="Times New Roman"/>
          <w:sz w:val="22"/>
          <w:szCs w:val="22"/>
        </w:rPr>
      </w:pPr>
      <w:r w:rsidRPr="001B33B8">
        <w:rPr>
          <w:rFonts w:ascii="Times New Roman" w:hAnsi="Times New Roman" w:cs="Times New Roman"/>
          <w:sz w:val="22"/>
          <w:szCs w:val="22"/>
        </w:rPr>
        <w:t xml:space="preserve">Hooley, T., Hutchinson, J., &amp; Watts, A. (2010). </w:t>
      </w:r>
      <w:r w:rsidRPr="001B33B8">
        <w:rPr>
          <w:rFonts w:ascii="Times New Roman" w:hAnsi="Times New Roman" w:cs="Times New Roman"/>
          <w:i/>
          <w:sz w:val="22"/>
          <w:szCs w:val="22"/>
        </w:rPr>
        <w:t>Enhancing choice? The role of technology in the career support market A report prepared for the UK Commission for Employment and Skills.</w:t>
      </w:r>
      <w:r w:rsidRPr="001B33B8">
        <w:rPr>
          <w:rFonts w:ascii="Times New Roman" w:hAnsi="Times New Roman" w:cs="Times New Roman"/>
          <w:sz w:val="22"/>
          <w:szCs w:val="22"/>
        </w:rPr>
        <w:t xml:space="preserve"> Derby: ICEGS</w:t>
      </w:r>
    </w:p>
    <w:p w14:paraId="3C128F26" w14:textId="77777777" w:rsidR="00CA3C4D" w:rsidRPr="00675060" w:rsidRDefault="00CA3C4D" w:rsidP="00CA3C4D">
      <w:pPr>
        <w:pStyle w:val="CommentText"/>
        <w:rPr>
          <w:rFonts w:ascii="Times New Roman" w:hAnsi="Times New Roman" w:cs="Times New Roman"/>
          <w:sz w:val="22"/>
          <w:szCs w:val="22"/>
        </w:rPr>
      </w:pPr>
      <w:r w:rsidRPr="00675060">
        <w:rPr>
          <w:rFonts w:ascii="Times New Roman" w:hAnsi="Times New Roman" w:cs="Times New Roman"/>
          <w:sz w:val="22"/>
          <w:szCs w:val="22"/>
        </w:rPr>
        <w:t>Huddleston, P., &amp; Ashton, H. (201</w:t>
      </w:r>
      <w:r w:rsidR="00605051" w:rsidRPr="00675060">
        <w:rPr>
          <w:rFonts w:ascii="Times New Roman" w:hAnsi="Times New Roman" w:cs="Times New Roman"/>
          <w:sz w:val="22"/>
          <w:szCs w:val="22"/>
        </w:rPr>
        <w:t>9</w:t>
      </w:r>
      <w:r w:rsidRPr="00675060">
        <w:rPr>
          <w:rFonts w:ascii="Times New Roman" w:hAnsi="Times New Roman" w:cs="Times New Roman"/>
          <w:sz w:val="22"/>
          <w:szCs w:val="22"/>
        </w:rPr>
        <w:t xml:space="preserve">). Tell it like it is: Education and employer engagement, freelance and self-employment. In A. Mann, P. Huddleston, &amp; E. Kashefpakdel (Eds). </w:t>
      </w:r>
      <w:r w:rsidRPr="00675060">
        <w:rPr>
          <w:rFonts w:ascii="Times New Roman" w:hAnsi="Times New Roman" w:cs="Times New Roman"/>
          <w:i/>
          <w:sz w:val="22"/>
          <w:szCs w:val="22"/>
        </w:rPr>
        <w:t>Essays on Employer Engagement in Education</w:t>
      </w:r>
      <w:r w:rsidRPr="00675060">
        <w:rPr>
          <w:rFonts w:ascii="Times New Roman" w:hAnsi="Times New Roman" w:cs="Times New Roman"/>
          <w:sz w:val="22"/>
          <w:szCs w:val="22"/>
        </w:rPr>
        <w:t>. London: Routledge. doi:10.4324/9781315144115.</w:t>
      </w:r>
    </w:p>
    <w:p w14:paraId="2F0A75E1" w14:textId="589F43E7" w:rsidR="00D83765" w:rsidRPr="00675060" w:rsidRDefault="00D83765" w:rsidP="00D83765">
      <w:pPr>
        <w:pStyle w:val="CommentText"/>
        <w:rPr>
          <w:rFonts w:ascii="Times New Roman" w:hAnsi="Times New Roman" w:cs="Times New Roman"/>
          <w:sz w:val="22"/>
          <w:szCs w:val="22"/>
        </w:rPr>
      </w:pPr>
      <w:r w:rsidRPr="00675060">
        <w:rPr>
          <w:rFonts w:ascii="Times New Roman" w:hAnsi="Times New Roman" w:cs="Times New Roman"/>
          <w:sz w:val="22"/>
          <w:szCs w:val="22"/>
        </w:rPr>
        <w:t xml:space="preserve">Hughes, D., Meijers, F., &amp; Kuijpers, M. (2015). Testing times: Careers market </w:t>
      </w:r>
      <w:r w:rsidR="003D4A01" w:rsidRPr="00675060">
        <w:rPr>
          <w:rFonts w:ascii="Times New Roman" w:hAnsi="Times New Roman" w:cs="Times New Roman"/>
          <w:sz w:val="22"/>
          <w:szCs w:val="22"/>
        </w:rPr>
        <w:t>policies and</w:t>
      </w:r>
      <w:r w:rsidRPr="00675060">
        <w:rPr>
          <w:rFonts w:ascii="Times New Roman" w:hAnsi="Times New Roman" w:cs="Times New Roman"/>
          <w:sz w:val="22"/>
          <w:szCs w:val="22"/>
        </w:rPr>
        <w:t xml:space="preserve"> practices in England and the Netherlands. </w:t>
      </w:r>
      <w:r w:rsidRPr="00675060">
        <w:rPr>
          <w:rFonts w:ascii="Times New Roman" w:hAnsi="Times New Roman" w:cs="Times New Roman"/>
          <w:i/>
          <w:sz w:val="22"/>
          <w:szCs w:val="22"/>
        </w:rPr>
        <w:t xml:space="preserve">British Journal of Guidance &amp; </w:t>
      </w:r>
      <w:r w:rsidR="001E2198" w:rsidRPr="00675060">
        <w:rPr>
          <w:rFonts w:ascii="Times New Roman" w:hAnsi="Times New Roman" w:cs="Times New Roman"/>
          <w:i/>
          <w:sz w:val="22"/>
          <w:szCs w:val="22"/>
        </w:rPr>
        <w:t>Counselling</w:t>
      </w:r>
      <w:r w:rsidR="001E2198" w:rsidRPr="00675060">
        <w:rPr>
          <w:rFonts w:ascii="Times New Roman" w:hAnsi="Times New Roman" w:cs="Times New Roman"/>
          <w:sz w:val="22"/>
          <w:szCs w:val="22"/>
        </w:rPr>
        <w:t>,</w:t>
      </w:r>
      <w:r w:rsidRPr="00675060">
        <w:rPr>
          <w:rFonts w:ascii="Times New Roman" w:hAnsi="Times New Roman" w:cs="Times New Roman"/>
          <w:sz w:val="22"/>
          <w:szCs w:val="22"/>
        </w:rPr>
        <w:t xml:space="preserve"> 43 (2), 183–201. doi:10.1080/03069885.2014.940280.</w:t>
      </w:r>
    </w:p>
    <w:p w14:paraId="3F5900BF" w14:textId="2E27538E" w:rsidR="00BB295F" w:rsidRPr="00675060" w:rsidRDefault="00BB295F" w:rsidP="00D83765">
      <w:pPr>
        <w:pStyle w:val="CommentText"/>
        <w:rPr>
          <w:rFonts w:ascii="Times New Roman" w:hAnsi="Times New Roman" w:cs="Times New Roman"/>
          <w:sz w:val="22"/>
          <w:szCs w:val="22"/>
        </w:rPr>
      </w:pPr>
      <w:r w:rsidRPr="00675060">
        <w:rPr>
          <w:rFonts w:ascii="Times New Roman" w:hAnsi="Times New Roman" w:cs="Times New Roman"/>
          <w:sz w:val="22"/>
          <w:szCs w:val="22"/>
        </w:rPr>
        <w:t>Hutchinson, J., Rolfe, H.</w:t>
      </w:r>
      <w:r w:rsidR="001E2198" w:rsidRPr="00675060">
        <w:rPr>
          <w:rFonts w:ascii="Times New Roman" w:hAnsi="Times New Roman" w:cs="Times New Roman"/>
          <w:sz w:val="22"/>
          <w:szCs w:val="22"/>
        </w:rPr>
        <w:t>, Moore</w:t>
      </w:r>
      <w:r w:rsidRPr="00675060">
        <w:rPr>
          <w:rFonts w:ascii="Times New Roman" w:hAnsi="Times New Roman" w:cs="Times New Roman"/>
          <w:sz w:val="22"/>
          <w:szCs w:val="22"/>
        </w:rPr>
        <w:t xml:space="preserve">, N., Bysshe, S., &amp; Bentley, K. (2011). </w:t>
      </w:r>
      <w:r w:rsidRPr="00675060">
        <w:rPr>
          <w:rFonts w:ascii="Times New Roman" w:hAnsi="Times New Roman" w:cs="Times New Roman"/>
          <w:i/>
          <w:sz w:val="22"/>
          <w:szCs w:val="22"/>
        </w:rPr>
        <w:t>All things being equal? Equality and diversity in careers education, information, advice and guidance.</w:t>
      </w:r>
      <w:r w:rsidRPr="00675060">
        <w:rPr>
          <w:rFonts w:ascii="Times New Roman" w:hAnsi="Times New Roman" w:cs="Times New Roman"/>
          <w:sz w:val="22"/>
          <w:szCs w:val="22"/>
        </w:rPr>
        <w:t xml:space="preserve"> Manchester: Equality and Human Rights Commission</w:t>
      </w:r>
    </w:p>
    <w:p w14:paraId="547E6837" w14:textId="059A9B33" w:rsidR="00182467" w:rsidRPr="00675060" w:rsidRDefault="00182467" w:rsidP="0054485C">
      <w:pPr>
        <w:pStyle w:val="CommentText"/>
        <w:rPr>
          <w:rFonts w:ascii="Times New Roman" w:hAnsi="Times New Roman" w:cs="Times New Roman"/>
          <w:sz w:val="22"/>
          <w:szCs w:val="22"/>
        </w:rPr>
      </w:pPr>
      <w:r w:rsidRPr="00675060">
        <w:rPr>
          <w:rFonts w:ascii="Times New Roman" w:hAnsi="Times New Roman" w:cs="Times New Roman"/>
          <w:sz w:val="22"/>
          <w:szCs w:val="22"/>
        </w:rPr>
        <w:t xml:space="preserve">ILO. (2018). </w:t>
      </w:r>
      <w:r w:rsidRPr="00675060">
        <w:rPr>
          <w:rFonts w:ascii="Times New Roman" w:hAnsi="Times New Roman" w:cs="Times New Roman"/>
          <w:i/>
          <w:sz w:val="22"/>
          <w:szCs w:val="22"/>
        </w:rPr>
        <w:t>Global commission on the future of work: Skills policies and systems for a future workforce (issue brief, cluster 4).</w:t>
      </w:r>
      <w:r w:rsidRPr="00675060">
        <w:rPr>
          <w:rFonts w:ascii="Times New Roman" w:hAnsi="Times New Roman" w:cs="Times New Roman"/>
          <w:sz w:val="22"/>
          <w:szCs w:val="22"/>
        </w:rPr>
        <w:t xml:space="preserve"> Geneva: International Labour Organization</w:t>
      </w:r>
      <w:r w:rsidR="001A4328" w:rsidRPr="00675060">
        <w:rPr>
          <w:rFonts w:ascii="Times New Roman" w:hAnsi="Times New Roman" w:cs="Times New Roman"/>
          <w:sz w:val="22"/>
          <w:szCs w:val="22"/>
        </w:rPr>
        <w:t>.</w:t>
      </w:r>
    </w:p>
    <w:p w14:paraId="1740B072" w14:textId="05DFD035" w:rsidR="00675060" w:rsidRPr="00675060" w:rsidRDefault="00675060" w:rsidP="0054485C">
      <w:pPr>
        <w:pStyle w:val="CommentText"/>
        <w:rPr>
          <w:rFonts w:ascii="Times New Roman" w:hAnsi="Times New Roman" w:cs="Times New Roman"/>
          <w:sz w:val="22"/>
          <w:szCs w:val="22"/>
        </w:rPr>
      </w:pPr>
      <w:r w:rsidRPr="00675060">
        <w:rPr>
          <w:rFonts w:ascii="Times New Roman" w:hAnsi="Times New Roman" w:cs="Times New Roman"/>
          <w:sz w:val="22"/>
          <w:szCs w:val="22"/>
        </w:rPr>
        <w:t xml:space="preserve">Integrated Data Infrastructure. (2018, July 18). Retrieved from </w:t>
      </w:r>
      <w:hyperlink r:id="rId25" w:history="1">
        <w:r w:rsidRPr="00675060">
          <w:rPr>
            <w:rStyle w:val="Hyperlink"/>
            <w:rFonts w:ascii="Times New Roman" w:hAnsi="Times New Roman" w:cs="Times New Roman"/>
            <w:sz w:val="22"/>
            <w:szCs w:val="22"/>
          </w:rPr>
          <w:t>https://www.stats.govt.nz/integrated-data/integrated-data-infrastructure/</w:t>
        </w:r>
      </w:hyperlink>
      <w:r w:rsidRPr="00675060">
        <w:rPr>
          <w:rFonts w:ascii="Times New Roman" w:hAnsi="Times New Roman" w:cs="Times New Roman"/>
          <w:sz w:val="22"/>
          <w:szCs w:val="22"/>
        </w:rPr>
        <w:t xml:space="preserve"> </w:t>
      </w:r>
    </w:p>
    <w:p w14:paraId="1070F51A" w14:textId="5CAFF327" w:rsidR="0054485C" w:rsidRPr="00675060" w:rsidRDefault="0054485C" w:rsidP="0054485C">
      <w:pPr>
        <w:spacing w:line="240" w:lineRule="auto"/>
        <w:rPr>
          <w:rFonts w:ascii="Times New Roman" w:hAnsi="Times New Roman" w:cs="Times New Roman"/>
        </w:rPr>
      </w:pPr>
      <w:r w:rsidRPr="00675060">
        <w:rPr>
          <w:rFonts w:ascii="Times New Roman" w:hAnsi="Times New Roman" w:cs="Times New Roman"/>
        </w:rPr>
        <w:t>Irs, R., &amp;</w:t>
      </w:r>
      <w:r w:rsidR="001B33B8">
        <w:rPr>
          <w:rFonts w:ascii="Times New Roman" w:hAnsi="Times New Roman" w:cs="Times New Roman"/>
        </w:rPr>
        <w:t xml:space="preserve"> </w:t>
      </w:r>
      <w:r w:rsidRPr="00675060">
        <w:rPr>
          <w:rFonts w:ascii="Times New Roman" w:hAnsi="Times New Roman" w:cs="Times New Roman"/>
        </w:rPr>
        <w:t xml:space="preserve">Turk, K. (2012) Implementation of the Performance-Related Pay in the </w:t>
      </w:r>
      <w:r w:rsidR="003D4A01" w:rsidRPr="00675060">
        <w:rPr>
          <w:rFonts w:ascii="Times New Roman" w:hAnsi="Times New Roman" w:cs="Times New Roman"/>
        </w:rPr>
        <w:t>General Educational</w:t>
      </w:r>
      <w:r w:rsidRPr="00675060">
        <w:rPr>
          <w:rFonts w:ascii="Times New Roman" w:hAnsi="Times New Roman" w:cs="Times New Roman"/>
        </w:rPr>
        <w:t xml:space="preserve"> Schools of Estonia: Perspectives and Possibilities. </w:t>
      </w:r>
      <w:r w:rsidRPr="00675060">
        <w:rPr>
          <w:rFonts w:ascii="Times New Roman" w:hAnsi="Times New Roman" w:cs="Times New Roman"/>
          <w:i/>
        </w:rPr>
        <w:t>Employee Relations</w:t>
      </w:r>
      <w:r w:rsidRPr="00675060">
        <w:rPr>
          <w:rFonts w:ascii="Times New Roman" w:hAnsi="Times New Roman" w:cs="Times New Roman"/>
        </w:rPr>
        <w:t>, vol. 34, no 4, pp. 360–393.</w:t>
      </w:r>
      <w:r w:rsidR="001A4328" w:rsidRPr="00675060">
        <w:rPr>
          <w:rFonts w:ascii="Times New Roman" w:hAnsi="Times New Roman" w:cs="Times New Roman"/>
        </w:rPr>
        <w:t xml:space="preserve"> </w:t>
      </w:r>
      <w:r w:rsidRPr="00675060">
        <w:rPr>
          <w:rFonts w:ascii="Times New Roman" w:hAnsi="Times New Roman" w:cs="Times New Roman"/>
        </w:rPr>
        <w:t>DOI: 10.1108/01425451211236823.</w:t>
      </w:r>
    </w:p>
    <w:p w14:paraId="5877A83B" w14:textId="77777777" w:rsidR="0054485C" w:rsidRPr="00675060" w:rsidRDefault="0054485C" w:rsidP="0054485C">
      <w:pPr>
        <w:spacing w:line="240" w:lineRule="auto"/>
        <w:rPr>
          <w:rFonts w:ascii="Times New Roman" w:hAnsi="Times New Roman" w:cs="Times New Roman"/>
        </w:rPr>
      </w:pPr>
      <w:r w:rsidRPr="00675060">
        <w:rPr>
          <w:rFonts w:ascii="Times New Roman" w:hAnsi="Times New Roman" w:cs="Times New Roman"/>
        </w:rPr>
        <w:t xml:space="preserve">Janssens, F. (2011). An Evaluation of the Impact of the Publication of School Performance Indicators in the Netherlands. </w:t>
      </w:r>
      <w:r w:rsidRPr="00675060">
        <w:rPr>
          <w:rFonts w:ascii="Times New Roman" w:hAnsi="Times New Roman" w:cs="Times New Roman"/>
          <w:i/>
          <w:iCs/>
        </w:rPr>
        <w:t>International Journal of Educational Policies, 5</w:t>
      </w:r>
      <w:r w:rsidRPr="00675060">
        <w:rPr>
          <w:rFonts w:ascii="Times New Roman" w:hAnsi="Times New Roman" w:cs="Times New Roman"/>
        </w:rPr>
        <w:t>(2), 55-73.</w:t>
      </w:r>
    </w:p>
    <w:p w14:paraId="017DCBB6" w14:textId="723AE122" w:rsidR="00187F74" w:rsidRPr="00675060" w:rsidRDefault="00187F74" w:rsidP="0054485C">
      <w:pPr>
        <w:spacing w:line="240" w:lineRule="auto"/>
        <w:rPr>
          <w:rFonts w:ascii="Times New Roman" w:hAnsi="Times New Roman" w:cs="Times New Roman"/>
        </w:rPr>
      </w:pPr>
      <w:r w:rsidRPr="00675060">
        <w:rPr>
          <w:rFonts w:ascii="Times New Roman" w:hAnsi="Times New Roman" w:cs="Times New Roman"/>
        </w:rPr>
        <w:t xml:space="preserve">Kashefpakdel, E., &amp; Rehill, J. (2018). </w:t>
      </w:r>
      <w:r w:rsidRPr="00675060">
        <w:rPr>
          <w:rFonts w:ascii="Times New Roman" w:hAnsi="Times New Roman" w:cs="Times New Roman"/>
          <w:i/>
        </w:rPr>
        <w:t>Teenage apprenticeships: Converting awareness to recruitment.</w:t>
      </w:r>
      <w:r w:rsidRPr="00675060">
        <w:rPr>
          <w:rFonts w:ascii="Times New Roman" w:hAnsi="Times New Roman" w:cs="Times New Roman"/>
        </w:rPr>
        <w:t xml:space="preserve"> London: Education and Employers</w:t>
      </w:r>
      <w:r w:rsidR="001A4328" w:rsidRPr="00675060">
        <w:rPr>
          <w:rFonts w:ascii="Times New Roman" w:hAnsi="Times New Roman" w:cs="Times New Roman"/>
        </w:rPr>
        <w:t>.</w:t>
      </w:r>
    </w:p>
    <w:p w14:paraId="51FCA449" w14:textId="77777777" w:rsidR="001C2776" w:rsidRPr="00675060" w:rsidRDefault="0054485C" w:rsidP="001C2776">
      <w:pPr>
        <w:spacing w:line="240" w:lineRule="auto"/>
        <w:rPr>
          <w:rFonts w:ascii="Times New Roman" w:hAnsi="Times New Roman" w:cs="Times New Roman"/>
          <w:bCs/>
          <w:color w:val="000000"/>
        </w:rPr>
      </w:pPr>
      <w:r w:rsidRPr="00675060">
        <w:rPr>
          <w:rFonts w:ascii="Times New Roman" w:hAnsi="Times New Roman" w:cs="Times New Roman"/>
          <w:bCs/>
          <w:color w:val="000000"/>
        </w:rPr>
        <w:t xml:space="preserve">Kerka, S. (1995). Adult Career Counseling in a New Age. </w:t>
      </w:r>
      <w:r w:rsidRPr="00675060">
        <w:rPr>
          <w:rFonts w:ascii="Times New Roman" w:hAnsi="Times New Roman" w:cs="Times New Roman"/>
          <w:bCs/>
          <w:i/>
          <w:color w:val="000000"/>
        </w:rPr>
        <w:t>ERIC Clearinghouse on Adult Career and Vocational Education Digest No. 167</w:t>
      </w:r>
      <w:r w:rsidRPr="00675060">
        <w:rPr>
          <w:rFonts w:ascii="Times New Roman" w:hAnsi="Times New Roman" w:cs="Times New Roman"/>
          <w:bCs/>
          <w:color w:val="000000"/>
        </w:rPr>
        <w:t>.</w:t>
      </w:r>
    </w:p>
    <w:p w14:paraId="643773F0" w14:textId="67DA5AC3" w:rsidR="001C2776" w:rsidRPr="00675060" w:rsidRDefault="001C2776" w:rsidP="001C2776">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Knight, P. (2001). Employability and </w:t>
      </w:r>
      <w:r w:rsidR="003D4A01" w:rsidRPr="00675060">
        <w:rPr>
          <w:rFonts w:ascii="Times New Roman" w:hAnsi="Times New Roman" w:cs="Times New Roman"/>
        </w:rPr>
        <w:t>quality.</w:t>
      </w:r>
      <w:r w:rsidR="003D4A01" w:rsidRPr="00675060">
        <w:rPr>
          <w:rFonts w:ascii="Times New Roman" w:hAnsi="Times New Roman" w:cs="Times New Roman"/>
          <w:i/>
        </w:rPr>
        <w:t xml:space="preserve"> Quality</w:t>
      </w:r>
      <w:r w:rsidRPr="00675060">
        <w:rPr>
          <w:rFonts w:ascii="Times New Roman" w:hAnsi="Times New Roman" w:cs="Times New Roman"/>
          <w:i/>
        </w:rPr>
        <w:t xml:space="preserve"> in Higher Education, 7(2), 93–95</w:t>
      </w:r>
      <w:r w:rsidRPr="00675060">
        <w:rPr>
          <w:rFonts w:ascii="Times New Roman" w:hAnsi="Times New Roman" w:cs="Times New Roman"/>
        </w:rPr>
        <w:t>.</w:t>
      </w:r>
    </w:p>
    <w:p w14:paraId="3E67A750" w14:textId="30EC3F08" w:rsidR="00BB295F" w:rsidRPr="00675060" w:rsidRDefault="00BB295F" w:rsidP="001C2776">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Lessof, C., Ross, A., Brind, R., Harding, C., Bell, E., George, K. (2018). </w:t>
      </w:r>
      <w:r w:rsidRPr="00675060">
        <w:rPr>
          <w:rFonts w:ascii="Times New Roman" w:hAnsi="Times New Roman" w:cs="Times New Roman"/>
          <w:i/>
        </w:rPr>
        <w:t>Understanding KS4 attainment and progress: evidence from LSYPE2.</w:t>
      </w:r>
      <w:r w:rsidRPr="00675060">
        <w:rPr>
          <w:rFonts w:ascii="Times New Roman" w:hAnsi="Times New Roman" w:cs="Times New Roman"/>
        </w:rPr>
        <w:t xml:space="preserve"> Research report. London: Department for Education</w:t>
      </w:r>
      <w:r w:rsidR="001A4328" w:rsidRPr="00675060">
        <w:rPr>
          <w:rFonts w:ascii="Times New Roman" w:hAnsi="Times New Roman" w:cs="Times New Roman"/>
        </w:rPr>
        <w:t>.</w:t>
      </w:r>
    </w:p>
    <w:p w14:paraId="298A7BD6" w14:textId="77777777" w:rsidR="00927AB2" w:rsidRPr="00675060" w:rsidRDefault="00927AB2" w:rsidP="00927AB2">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Long, R., &amp; Hubble, S. (2019). </w:t>
      </w:r>
      <w:r w:rsidRPr="00675060">
        <w:rPr>
          <w:rFonts w:ascii="Times New Roman" w:hAnsi="Times New Roman" w:cs="Times New Roman"/>
          <w:i/>
        </w:rPr>
        <w:t xml:space="preserve">BRIEFING PAPER 07236: Careers guidance in schools, colleges and universities. </w:t>
      </w:r>
      <w:r w:rsidRPr="00675060">
        <w:rPr>
          <w:rFonts w:ascii="Times New Roman" w:hAnsi="Times New Roman" w:cs="Times New Roman"/>
        </w:rPr>
        <w:t>London: House of Commons Library.</w:t>
      </w:r>
    </w:p>
    <w:p w14:paraId="40BD7711" w14:textId="77777777" w:rsidR="00BB295F" w:rsidRPr="00675060" w:rsidRDefault="00BB295F" w:rsidP="001C2776">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Loyalka, P., Liu, C., Song, Y., Yi, H., Huang, X., Wei, J., Zhang, L., Shi, Y., Chu, J., &amp; Scott, R. (2013). Can information and counseling help students from poor rural areas go to high school? Evidence from China. </w:t>
      </w:r>
      <w:r w:rsidRPr="00675060">
        <w:rPr>
          <w:rFonts w:ascii="Times New Roman" w:hAnsi="Times New Roman" w:cs="Times New Roman"/>
          <w:i/>
        </w:rPr>
        <w:t>Journal of Comparative Economics, Elsevier, vol. 41(4)</w:t>
      </w:r>
      <w:r w:rsidRPr="00675060">
        <w:rPr>
          <w:rFonts w:ascii="Times New Roman" w:hAnsi="Times New Roman" w:cs="Times New Roman"/>
        </w:rPr>
        <w:t>, pages 1012-1025.</w:t>
      </w:r>
    </w:p>
    <w:p w14:paraId="3F8D951A" w14:textId="7A1450CE" w:rsidR="008E3FFA" w:rsidRPr="00675060" w:rsidRDefault="008E3FFA" w:rsidP="001C2776">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Maguire, S.</w:t>
      </w:r>
      <w:r w:rsidR="003D4A01">
        <w:rPr>
          <w:rFonts w:ascii="Times New Roman" w:hAnsi="Times New Roman" w:cs="Times New Roman"/>
        </w:rPr>
        <w:t>,</w:t>
      </w:r>
      <w:r w:rsidRPr="00675060">
        <w:rPr>
          <w:rFonts w:ascii="Times New Roman" w:hAnsi="Times New Roman" w:cs="Times New Roman"/>
        </w:rPr>
        <w:t xml:space="preserve"> </w:t>
      </w:r>
      <w:r w:rsidR="003D4A01">
        <w:rPr>
          <w:rFonts w:ascii="Times New Roman" w:hAnsi="Times New Roman" w:cs="Times New Roman"/>
        </w:rPr>
        <w:t xml:space="preserve">&amp; </w:t>
      </w:r>
      <w:r w:rsidRPr="00675060">
        <w:rPr>
          <w:rFonts w:ascii="Times New Roman" w:hAnsi="Times New Roman" w:cs="Times New Roman"/>
        </w:rPr>
        <w:t xml:space="preserve">Huddleston, P. (2009) Where do young people work?  </w:t>
      </w:r>
      <w:r w:rsidRPr="00675060">
        <w:rPr>
          <w:rFonts w:ascii="Times New Roman" w:hAnsi="Times New Roman" w:cs="Times New Roman"/>
          <w:i/>
        </w:rPr>
        <w:t>Research in Post-Compulsory Education</w:t>
      </w:r>
      <w:r w:rsidR="00925F96" w:rsidRPr="00675060">
        <w:rPr>
          <w:rFonts w:ascii="Times New Roman" w:hAnsi="Times New Roman" w:cs="Times New Roman"/>
          <w:i/>
        </w:rPr>
        <w:t xml:space="preserve">, </w:t>
      </w:r>
      <w:r w:rsidR="00925F96" w:rsidRPr="00675060">
        <w:rPr>
          <w:rFonts w:ascii="Times New Roman" w:hAnsi="Times New Roman" w:cs="Times New Roman"/>
        </w:rPr>
        <w:t>14(4) 387-397</w:t>
      </w:r>
      <w:r w:rsidR="00701916" w:rsidRPr="00675060">
        <w:rPr>
          <w:rFonts w:ascii="Times New Roman" w:hAnsi="Times New Roman" w:cs="Times New Roman"/>
        </w:rPr>
        <w:t>.</w:t>
      </w:r>
    </w:p>
    <w:p w14:paraId="359DDCB0" w14:textId="64FD6152" w:rsidR="0054485C" w:rsidRPr="00675060" w:rsidRDefault="0054485C" w:rsidP="0054485C">
      <w:pPr>
        <w:spacing w:line="240" w:lineRule="auto"/>
        <w:rPr>
          <w:rStyle w:val="Hyperlink"/>
          <w:rFonts w:ascii="Times New Roman" w:hAnsi="Times New Roman" w:cs="Times New Roman"/>
          <w:color w:val="333333"/>
          <w:u w:val="none"/>
        </w:rPr>
      </w:pPr>
      <w:r w:rsidRPr="00675060">
        <w:rPr>
          <w:rStyle w:val="authors"/>
          <w:rFonts w:ascii="Times New Roman" w:hAnsi="Times New Roman" w:cs="Times New Roman"/>
          <w:color w:val="333333"/>
          <w:shd w:val="clear" w:color="auto" w:fill="FFFFFF"/>
        </w:rPr>
        <w:t>Mann, A., &amp; Huddleston, P.</w:t>
      </w:r>
      <w:r w:rsidRPr="00675060">
        <w:rPr>
          <w:rFonts w:ascii="Times New Roman" w:hAnsi="Times New Roman" w:cs="Times New Roman"/>
          <w:color w:val="333333"/>
          <w:shd w:val="clear" w:color="auto" w:fill="FFFFFF"/>
        </w:rPr>
        <w:t> </w:t>
      </w:r>
      <w:r w:rsidRPr="00675060">
        <w:rPr>
          <w:rStyle w:val="Date1"/>
          <w:rFonts w:ascii="Times New Roman" w:hAnsi="Times New Roman" w:cs="Times New Roman"/>
          <w:color w:val="333333"/>
          <w:shd w:val="clear" w:color="auto" w:fill="FFFFFF"/>
        </w:rPr>
        <w:t>(2017).</w:t>
      </w:r>
      <w:r w:rsidRPr="00675060">
        <w:rPr>
          <w:rFonts w:ascii="Times New Roman" w:hAnsi="Times New Roman" w:cs="Times New Roman"/>
          <w:color w:val="333333"/>
          <w:shd w:val="clear" w:color="auto" w:fill="FFFFFF"/>
        </w:rPr>
        <w:t> </w:t>
      </w:r>
      <w:r w:rsidRPr="00675060">
        <w:rPr>
          <w:rStyle w:val="arttitle"/>
          <w:rFonts w:ascii="Times New Roman" w:hAnsi="Times New Roman" w:cs="Times New Roman"/>
          <w:color w:val="333333"/>
          <w:shd w:val="clear" w:color="auto" w:fill="FFFFFF"/>
        </w:rPr>
        <w:t>Schools and the twenty-first century labour market: perspectives on structural change.</w:t>
      </w:r>
      <w:r w:rsidRPr="00675060">
        <w:rPr>
          <w:rFonts w:ascii="Times New Roman" w:hAnsi="Times New Roman" w:cs="Times New Roman"/>
          <w:color w:val="333333"/>
          <w:shd w:val="clear" w:color="auto" w:fill="FFFFFF"/>
        </w:rPr>
        <w:t> </w:t>
      </w:r>
      <w:r w:rsidRPr="00675060">
        <w:rPr>
          <w:rStyle w:val="serialtitle"/>
          <w:rFonts w:ascii="Times New Roman" w:hAnsi="Times New Roman" w:cs="Times New Roman"/>
          <w:i/>
          <w:color w:val="333333"/>
          <w:shd w:val="clear" w:color="auto" w:fill="FFFFFF"/>
        </w:rPr>
        <w:t>British Journal of Guidance &amp; Counselling,</w:t>
      </w:r>
      <w:r w:rsidRPr="00675060">
        <w:rPr>
          <w:rFonts w:ascii="Times New Roman" w:hAnsi="Times New Roman" w:cs="Times New Roman"/>
          <w:i/>
          <w:color w:val="333333"/>
          <w:shd w:val="clear" w:color="auto" w:fill="FFFFFF"/>
        </w:rPr>
        <w:t> </w:t>
      </w:r>
      <w:r w:rsidRPr="00675060">
        <w:rPr>
          <w:rStyle w:val="volumeissue"/>
          <w:rFonts w:ascii="Times New Roman" w:hAnsi="Times New Roman" w:cs="Times New Roman"/>
          <w:i/>
          <w:color w:val="333333"/>
          <w:shd w:val="clear" w:color="auto" w:fill="FFFFFF"/>
        </w:rPr>
        <w:t>45:2</w:t>
      </w:r>
      <w:r w:rsidRPr="00675060">
        <w:rPr>
          <w:rStyle w:val="volumeissue"/>
          <w:rFonts w:ascii="Times New Roman" w:hAnsi="Times New Roman" w:cs="Times New Roman"/>
          <w:color w:val="333333"/>
          <w:shd w:val="clear" w:color="auto" w:fill="FFFFFF"/>
        </w:rPr>
        <w:t>,</w:t>
      </w:r>
      <w:r w:rsidRPr="00675060">
        <w:rPr>
          <w:rFonts w:ascii="Times New Roman" w:hAnsi="Times New Roman" w:cs="Times New Roman"/>
          <w:color w:val="333333"/>
          <w:shd w:val="clear" w:color="auto" w:fill="FFFFFF"/>
        </w:rPr>
        <w:t> </w:t>
      </w:r>
      <w:r w:rsidRPr="00675060">
        <w:rPr>
          <w:rStyle w:val="pagerange"/>
          <w:rFonts w:ascii="Times New Roman" w:hAnsi="Times New Roman" w:cs="Times New Roman"/>
          <w:color w:val="333333"/>
          <w:shd w:val="clear" w:color="auto" w:fill="FFFFFF"/>
        </w:rPr>
        <w:t>208-218,</w:t>
      </w:r>
      <w:r w:rsidRPr="00675060">
        <w:rPr>
          <w:rFonts w:ascii="Times New Roman" w:hAnsi="Times New Roman" w:cs="Times New Roman"/>
          <w:color w:val="333333"/>
          <w:shd w:val="clear" w:color="auto" w:fill="FFFFFF"/>
        </w:rPr>
        <w:t> </w:t>
      </w:r>
      <w:r w:rsidRPr="00675060">
        <w:rPr>
          <w:rStyle w:val="doilink"/>
          <w:rFonts w:ascii="Times New Roman" w:hAnsi="Times New Roman" w:cs="Times New Roman"/>
          <w:color w:val="333333"/>
          <w:shd w:val="clear" w:color="auto" w:fill="FFFFFF"/>
        </w:rPr>
        <w:t>DOI: </w:t>
      </w:r>
      <w:hyperlink r:id="rId26" w:history="1">
        <w:r w:rsidRPr="00675060">
          <w:rPr>
            <w:rStyle w:val="Hyperlink"/>
            <w:rFonts w:ascii="Times New Roman" w:hAnsi="Times New Roman" w:cs="Times New Roman"/>
            <w:color w:val="333333"/>
            <w:u w:val="none"/>
          </w:rPr>
          <w:t>10.1080/03069885.2016.1266440</w:t>
        </w:r>
      </w:hyperlink>
      <w:r w:rsidRPr="00675060">
        <w:rPr>
          <w:rStyle w:val="Hyperlink"/>
          <w:rFonts w:ascii="Times New Roman" w:hAnsi="Times New Roman" w:cs="Times New Roman"/>
          <w:color w:val="333333"/>
          <w:u w:val="none"/>
        </w:rPr>
        <w:t>.</w:t>
      </w:r>
    </w:p>
    <w:p w14:paraId="678B736F" w14:textId="2547D07A" w:rsidR="005C7883" w:rsidRPr="00675060" w:rsidRDefault="005C7883"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Marshall, J. (2010, October 31). FRANCE: University ranking by job success causes stir. </w:t>
      </w:r>
      <w:r w:rsidRPr="00675060">
        <w:rPr>
          <w:rStyle w:val="Hyperlink"/>
          <w:rFonts w:ascii="Times New Roman" w:hAnsi="Times New Roman" w:cs="Times New Roman"/>
          <w:i/>
          <w:iCs/>
          <w:color w:val="333333"/>
          <w:u w:val="none"/>
        </w:rPr>
        <w:t>University World News.</w:t>
      </w:r>
      <w:r w:rsidRPr="00675060">
        <w:rPr>
          <w:rStyle w:val="Hyperlink"/>
          <w:rFonts w:ascii="Times New Roman" w:hAnsi="Times New Roman" w:cs="Times New Roman"/>
          <w:color w:val="333333"/>
          <w:u w:val="none"/>
        </w:rPr>
        <w:t xml:space="preserve"> Retrieved from </w:t>
      </w:r>
      <w:hyperlink r:id="rId27" w:history="1">
        <w:r w:rsidRPr="00675060">
          <w:rPr>
            <w:rStyle w:val="Hyperlink"/>
            <w:rFonts w:ascii="Times New Roman" w:hAnsi="Times New Roman" w:cs="Times New Roman"/>
          </w:rPr>
          <w:t>https://www.universityworldnews.com/post.php?story=20101029223509813</w:t>
        </w:r>
      </w:hyperlink>
      <w:r w:rsidRPr="00675060">
        <w:rPr>
          <w:rStyle w:val="Hyperlink"/>
          <w:rFonts w:ascii="Times New Roman" w:hAnsi="Times New Roman" w:cs="Times New Roman"/>
          <w:color w:val="333333"/>
          <w:u w:val="none"/>
        </w:rPr>
        <w:t xml:space="preserve"> </w:t>
      </w:r>
    </w:p>
    <w:p w14:paraId="04282867" w14:textId="4C21349D" w:rsidR="00844747" w:rsidRPr="00675060" w:rsidRDefault="00844747"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lastRenderedPageBreak/>
        <w:t xml:space="preserve">Mehrotra, S. (2014). Quantity &amp; Quality: Policies to Meet the Twin Challenges of Employability in Indian Labor Market. </w:t>
      </w:r>
      <w:r w:rsidRPr="00675060">
        <w:rPr>
          <w:rStyle w:val="Hyperlink"/>
          <w:rFonts w:ascii="Times New Roman" w:hAnsi="Times New Roman" w:cs="Times New Roman"/>
          <w:i/>
          <w:color w:val="333333"/>
          <w:u w:val="none"/>
        </w:rPr>
        <w:t xml:space="preserve">Indian Journal of Industrial Relations, 49(3), </w:t>
      </w:r>
      <w:r w:rsidRPr="00675060">
        <w:rPr>
          <w:rStyle w:val="Hyperlink"/>
          <w:rFonts w:ascii="Times New Roman" w:hAnsi="Times New Roman" w:cs="Times New Roman"/>
          <w:color w:val="333333"/>
          <w:u w:val="none"/>
        </w:rPr>
        <w:t xml:space="preserve">367-377. </w:t>
      </w:r>
    </w:p>
    <w:p w14:paraId="13A2B071" w14:textId="2B0DF870" w:rsidR="00483123" w:rsidRPr="00675060" w:rsidRDefault="00483123"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Minaya, V., &amp; Scott-Clayton, J. (2018). Labor Market Outcomes and Postsecondary Accountability: Are Imperfect Metrics Better than None? In C. Hoxby &amp; K. Strange (Eds</w:t>
      </w:r>
      <w:r w:rsidR="001E2198" w:rsidRPr="00675060">
        <w:rPr>
          <w:rStyle w:val="Hyperlink"/>
          <w:rFonts w:ascii="Times New Roman" w:hAnsi="Times New Roman" w:cs="Times New Roman"/>
          <w:color w:val="333333"/>
          <w:u w:val="none"/>
        </w:rPr>
        <w:t>).</w:t>
      </w:r>
      <w:r w:rsidR="001E2198" w:rsidRPr="00675060">
        <w:rPr>
          <w:rStyle w:val="Hyperlink"/>
          <w:rFonts w:ascii="Times New Roman" w:hAnsi="Times New Roman" w:cs="Times New Roman"/>
          <w:i/>
          <w:color w:val="333333"/>
          <w:u w:val="none"/>
        </w:rPr>
        <w:t xml:space="preserve"> Productivity</w:t>
      </w:r>
      <w:r w:rsidRPr="00675060">
        <w:rPr>
          <w:rStyle w:val="Hyperlink"/>
          <w:rFonts w:ascii="Times New Roman" w:hAnsi="Times New Roman" w:cs="Times New Roman"/>
          <w:i/>
          <w:color w:val="333333"/>
          <w:u w:val="none"/>
        </w:rPr>
        <w:t xml:space="preserve"> in Higher Education</w:t>
      </w:r>
      <w:r w:rsidRPr="00675060">
        <w:rPr>
          <w:rStyle w:val="Hyperlink"/>
          <w:rFonts w:ascii="Times New Roman" w:hAnsi="Times New Roman" w:cs="Times New Roman"/>
          <w:color w:val="333333"/>
          <w:u w:val="none"/>
        </w:rPr>
        <w:t xml:space="preserve"> (forthcoming). Chicago: University of Chicago Press. Available as a Jan</w:t>
      </w:r>
      <w:r w:rsidR="001A4328" w:rsidRPr="00675060">
        <w:rPr>
          <w:rStyle w:val="Hyperlink"/>
          <w:rFonts w:ascii="Times New Roman" w:hAnsi="Times New Roman" w:cs="Times New Roman"/>
          <w:color w:val="333333"/>
          <w:u w:val="none"/>
        </w:rPr>
        <w:t>uary</w:t>
      </w:r>
      <w:r w:rsidRPr="00675060">
        <w:rPr>
          <w:rStyle w:val="Hyperlink"/>
          <w:rFonts w:ascii="Times New Roman" w:hAnsi="Times New Roman" w:cs="Times New Roman"/>
          <w:color w:val="333333"/>
          <w:u w:val="none"/>
        </w:rPr>
        <w:t xml:space="preserve"> 2018 working paper from NBER</w:t>
      </w:r>
      <w:r w:rsidR="001A4328" w:rsidRPr="00675060">
        <w:rPr>
          <w:rStyle w:val="Hyperlink"/>
          <w:rFonts w:ascii="Times New Roman" w:hAnsi="Times New Roman" w:cs="Times New Roman"/>
          <w:color w:val="333333"/>
          <w:u w:val="none"/>
        </w:rPr>
        <w:t>, retrieved May 29, 2019 from</w:t>
      </w:r>
      <w:r w:rsidRPr="00675060">
        <w:rPr>
          <w:rStyle w:val="Hyperlink"/>
          <w:rFonts w:ascii="Times New Roman" w:hAnsi="Times New Roman" w:cs="Times New Roman"/>
          <w:color w:val="333333"/>
          <w:u w:val="none"/>
        </w:rPr>
        <w:t xml:space="preserve"> </w:t>
      </w:r>
      <w:hyperlink r:id="rId28" w:history="1">
        <w:r w:rsidR="001A4328" w:rsidRPr="00675060">
          <w:rPr>
            <w:rStyle w:val="Hyperlink"/>
            <w:rFonts w:ascii="Times New Roman" w:hAnsi="Times New Roman" w:cs="Times New Roman"/>
          </w:rPr>
          <w:t>https://www.nber.org/books/hoxb-2</w:t>
        </w:r>
      </w:hyperlink>
      <w:r w:rsidR="001A4328" w:rsidRPr="00675060">
        <w:rPr>
          <w:rStyle w:val="Hyperlink"/>
          <w:rFonts w:ascii="Times New Roman" w:hAnsi="Times New Roman" w:cs="Times New Roman"/>
          <w:color w:val="333333"/>
          <w:u w:val="none"/>
        </w:rPr>
        <w:t xml:space="preserve"> </w:t>
      </w:r>
    </w:p>
    <w:p w14:paraId="63579B4B" w14:textId="692EFAF9" w:rsidR="001C2776" w:rsidRPr="00675060" w:rsidRDefault="001C2776" w:rsidP="001C2776">
      <w:pPr>
        <w:autoSpaceDE w:val="0"/>
        <w:autoSpaceDN w:val="0"/>
        <w:adjustRightInd w:val="0"/>
        <w:spacing w:after="120" w:line="240" w:lineRule="auto"/>
        <w:rPr>
          <w:rStyle w:val="Hyperlink"/>
          <w:rFonts w:ascii="Times New Roman" w:hAnsi="Times New Roman" w:cs="Times New Roman"/>
          <w:color w:val="auto"/>
          <w:u w:val="none"/>
        </w:rPr>
      </w:pPr>
      <w:r w:rsidRPr="00675060">
        <w:rPr>
          <w:rFonts w:ascii="Times New Roman" w:hAnsi="Times New Roman" w:cs="Times New Roman"/>
        </w:rPr>
        <w:t>Morley, L. (2001). Producing new workers: quality, equality and employability in higher</w:t>
      </w:r>
      <w:r w:rsidR="001E2198">
        <w:rPr>
          <w:rFonts w:ascii="Times New Roman" w:hAnsi="Times New Roman" w:cs="Times New Roman"/>
        </w:rPr>
        <w:t xml:space="preserve"> </w:t>
      </w:r>
      <w:r w:rsidRPr="00675060">
        <w:rPr>
          <w:rFonts w:ascii="Times New Roman" w:hAnsi="Times New Roman" w:cs="Times New Roman"/>
        </w:rPr>
        <w:t>education.</w:t>
      </w:r>
      <w:r w:rsidR="001E2198">
        <w:rPr>
          <w:rFonts w:ascii="Times New Roman" w:hAnsi="Times New Roman" w:cs="Times New Roman"/>
        </w:rPr>
        <w:t xml:space="preserve"> </w:t>
      </w:r>
      <w:r w:rsidRPr="00675060">
        <w:rPr>
          <w:rFonts w:ascii="Times New Roman" w:hAnsi="Times New Roman" w:cs="Times New Roman"/>
          <w:i/>
        </w:rPr>
        <w:t>Quality in Higher Education, 7(2), 131–138</w:t>
      </w:r>
      <w:r w:rsidRPr="00675060">
        <w:rPr>
          <w:rFonts w:ascii="Times New Roman" w:hAnsi="Times New Roman" w:cs="Times New Roman"/>
        </w:rPr>
        <w:t>.</w:t>
      </w:r>
    </w:p>
    <w:p w14:paraId="32ED6796" w14:textId="5AE29222" w:rsidR="00025FDA" w:rsidRPr="00675060" w:rsidRDefault="00025FDA"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Murphy, R. (2004). Turning Peasants into Modern Chinese Citizens: “Population Quality” Discourse, Demographic Transition and Primary Education. </w:t>
      </w:r>
      <w:r w:rsidRPr="00675060">
        <w:rPr>
          <w:rStyle w:val="Hyperlink"/>
          <w:rFonts w:ascii="Times New Roman" w:hAnsi="Times New Roman" w:cs="Times New Roman"/>
          <w:i/>
          <w:color w:val="333333"/>
          <w:u w:val="none"/>
        </w:rPr>
        <w:t>The China Quarterly</w:t>
      </w:r>
      <w:r w:rsidRPr="00675060">
        <w:rPr>
          <w:rStyle w:val="Hyperlink"/>
          <w:rFonts w:ascii="Times New Roman" w:hAnsi="Times New Roman" w:cs="Times New Roman"/>
          <w:color w:val="333333"/>
          <w:u w:val="none"/>
        </w:rPr>
        <w:t>, 177, 1-20. doi:10.1017/S0305741004000025</w:t>
      </w:r>
      <w:r w:rsidR="001A4328" w:rsidRPr="00675060">
        <w:rPr>
          <w:rStyle w:val="Hyperlink"/>
          <w:rFonts w:ascii="Times New Roman" w:hAnsi="Times New Roman" w:cs="Times New Roman"/>
          <w:color w:val="333333"/>
          <w:u w:val="none"/>
        </w:rPr>
        <w:t>.</w:t>
      </w:r>
    </w:p>
    <w:p w14:paraId="58ABA914" w14:textId="10BDC2B0" w:rsidR="00326181" w:rsidRPr="00675060" w:rsidRDefault="00326181" w:rsidP="0054485C">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NAO. (2018). </w:t>
      </w:r>
      <w:r w:rsidRPr="00675060">
        <w:rPr>
          <w:rStyle w:val="Hyperlink"/>
          <w:rFonts w:ascii="Times New Roman" w:hAnsi="Times New Roman" w:cs="Times New Roman"/>
          <w:i/>
          <w:color w:val="333333"/>
          <w:u w:val="none"/>
        </w:rPr>
        <w:t>Delivering STEM (science, technology, engineering and mathematics) skills for the economy.</w:t>
      </w:r>
      <w:r w:rsidRPr="00675060">
        <w:rPr>
          <w:rStyle w:val="Hyperlink"/>
          <w:rFonts w:ascii="Times New Roman" w:hAnsi="Times New Roman" w:cs="Times New Roman"/>
          <w:color w:val="333333"/>
          <w:u w:val="none"/>
        </w:rPr>
        <w:t xml:space="preserve"> London: National Audit Office</w:t>
      </w:r>
      <w:r w:rsidR="001A4328" w:rsidRPr="00675060">
        <w:rPr>
          <w:rStyle w:val="Hyperlink"/>
          <w:rFonts w:ascii="Times New Roman" w:hAnsi="Times New Roman" w:cs="Times New Roman"/>
          <w:color w:val="333333"/>
          <w:u w:val="none"/>
        </w:rPr>
        <w:t>.</w:t>
      </w:r>
    </w:p>
    <w:p w14:paraId="4C8237F6" w14:textId="7AA1B985" w:rsidR="00182467" w:rsidRPr="00675060" w:rsidRDefault="00182467" w:rsidP="00182467">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 xml:space="preserve">OECD. (2018). </w:t>
      </w:r>
      <w:r w:rsidRPr="00675060">
        <w:rPr>
          <w:rStyle w:val="Hyperlink"/>
          <w:rFonts w:ascii="Times New Roman" w:hAnsi="Times New Roman" w:cs="Times New Roman"/>
          <w:i/>
          <w:color w:val="333333"/>
          <w:u w:val="none"/>
        </w:rPr>
        <w:t>Good jobs for all in a changing world of work: The OECD jobs strategy. Meeting of the OECD Council at Ministerial Level Paris, 30-31 May 2018.</w:t>
      </w:r>
      <w:r w:rsidRPr="00675060">
        <w:rPr>
          <w:rStyle w:val="Hyperlink"/>
          <w:rFonts w:ascii="Times New Roman" w:hAnsi="Times New Roman" w:cs="Times New Roman"/>
          <w:color w:val="333333"/>
          <w:u w:val="none"/>
        </w:rPr>
        <w:t xml:space="preserve"> Paris: OECD</w:t>
      </w:r>
      <w:r w:rsidR="001A4328" w:rsidRPr="00675060">
        <w:rPr>
          <w:rStyle w:val="Hyperlink"/>
          <w:rFonts w:ascii="Times New Roman" w:hAnsi="Times New Roman" w:cs="Times New Roman"/>
          <w:color w:val="333333"/>
          <w:u w:val="none"/>
        </w:rPr>
        <w:t>.</w:t>
      </w:r>
    </w:p>
    <w:p w14:paraId="3AA9AE16" w14:textId="3851C728" w:rsidR="00A72DD5" w:rsidRPr="00675060" w:rsidRDefault="00A72DD5" w:rsidP="00182467">
      <w:pPr>
        <w:spacing w:line="240" w:lineRule="auto"/>
        <w:rPr>
          <w:rStyle w:val="Hyperlink"/>
          <w:rFonts w:ascii="Times New Roman" w:hAnsi="Times New Roman" w:cs="Times New Roman"/>
          <w:color w:val="333333"/>
          <w:u w:val="none"/>
        </w:rPr>
      </w:pPr>
      <w:r w:rsidRPr="00675060">
        <w:rPr>
          <w:rStyle w:val="Hyperlink"/>
          <w:rFonts w:ascii="Times New Roman" w:hAnsi="Times New Roman" w:cs="Times New Roman"/>
          <w:color w:val="333333"/>
          <w:u w:val="none"/>
        </w:rPr>
        <w:t>OECD. (2019</w:t>
      </w:r>
      <w:r w:rsidR="001E2198" w:rsidRPr="00675060">
        <w:rPr>
          <w:rStyle w:val="Hyperlink"/>
          <w:rFonts w:ascii="Times New Roman" w:hAnsi="Times New Roman" w:cs="Times New Roman"/>
          <w:color w:val="333333"/>
          <w:u w:val="none"/>
        </w:rPr>
        <w:t>).</w:t>
      </w:r>
      <w:r w:rsidR="001E2198" w:rsidRPr="00675060">
        <w:rPr>
          <w:rStyle w:val="Hyperlink"/>
          <w:rFonts w:ascii="Times New Roman" w:hAnsi="Times New Roman" w:cs="Times New Roman"/>
          <w:i/>
          <w:color w:val="333333"/>
          <w:u w:val="none"/>
        </w:rPr>
        <w:t xml:space="preserve"> Enrolment</w:t>
      </w:r>
      <w:r w:rsidRPr="00675060">
        <w:rPr>
          <w:rStyle w:val="Hyperlink"/>
          <w:rFonts w:ascii="Times New Roman" w:hAnsi="Times New Roman" w:cs="Times New Roman"/>
          <w:i/>
          <w:color w:val="333333"/>
          <w:u w:val="none"/>
        </w:rPr>
        <w:t xml:space="preserve"> rate in secondary and tertiary education (indicator)</w:t>
      </w:r>
      <w:r w:rsidRPr="00675060">
        <w:rPr>
          <w:rStyle w:val="Hyperlink"/>
          <w:rFonts w:ascii="Times New Roman" w:hAnsi="Times New Roman" w:cs="Times New Roman"/>
          <w:color w:val="333333"/>
          <w:u w:val="none"/>
        </w:rPr>
        <w:t xml:space="preserve">. </w:t>
      </w:r>
      <w:r w:rsidR="001A4328" w:rsidRPr="00675060">
        <w:rPr>
          <w:rStyle w:val="Hyperlink"/>
          <w:rFonts w:ascii="Times New Roman" w:hAnsi="Times New Roman" w:cs="Times New Roman"/>
          <w:color w:val="333333"/>
          <w:u w:val="none"/>
        </w:rPr>
        <w:t xml:space="preserve">Paris: OECD. </w:t>
      </w:r>
      <w:r w:rsidRPr="00675060">
        <w:rPr>
          <w:rStyle w:val="Hyperlink"/>
          <w:rFonts w:ascii="Times New Roman" w:hAnsi="Times New Roman" w:cs="Times New Roman"/>
          <w:color w:val="333333"/>
          <w:u w:val="none"/>
        </w:rPr>
        <w:t xml:space="preserve">DOI: 10.1787/1d7e7216-en </w:t>
      </w:r>
    </w:p>
    <w:p w14:paraId="1A88540B" w14:textId="411A6F45" w:rsidR="0054485C" w:rsidRPr="00675060" w:rsidRDefault="0054485C" w:rsidP="0054485C">
      <w:pPr>
        <w:spacing w:line="240" w:lineRule="auto"/>
        <w:rPr>
          <w:rFonts w:ascii="Times New Roman" w:hAnsi="Times New Roman" w:cs="Times New Roman"/>
        </w:rPr>
      </w:pPr>
      <w:r w:rsidRPr="00675060">
        <w:rPr>
          <w:rFonts w:ascii="Times New Roman" w:hAnsi="Times New Roman" w:cs="Times New Roman"/>
        </w:rPr>
        <w:t xml:space="preserve">Office of Tertiary Education, Skills and Employment and Office of Education. (2016). </w:t>
      </w:r>
      <w:r w:rsidRPr="00675060">
        <w:rPr>
          <w:rFonts w:ascii="Times New Roman" w:hAnsi="Times New Roman" w:cs="Times New Roman"/>
          <w:i/>
        </w:rPr>
        <w:t>Careers System Review: Package of Options for Improvement</w:t>
      </w:r>
      <w:r w:rsidR="001A4328" w:rsidRPr="00675060">
        <w:rPr>
          <w:rFonts w:ascii="Times New Roman" w:hAnsi="Times New Roman" w:cs="Times New Roman"/>
          <w:i/>
        </w:rPr>
        <w:t xml:space="preserve">. </w:t>
      </w:r>
      <w:r w:rsidR="001A4328" w:rsidRPr="00675060">
        <w:rPr>
          <w:rFonts w:ascii="Times New Roman" w:hAnsi="Times New Roman" w:cs="Times New Roman"/>
          <w:iCs/>
        </w:rPr>
        <w:t xml:space="preserve">Retrieved May 30, 2019 </w:t>
      </w:r>
      <w:r w:rsidRPr="00675060">
        <w:rPr>
          <w:rFonts w:ascii="Times New Roman" w:hAnsi="Times New Roman" w:cs="Times New Roman"/>
          <w:i/>
        </w:rPr>
        <w:t xml:space="preserve"> </w:t>
      </w:r>
      <w:r w:rsidRPr="00675060">
        <w:rPr>
          <w:rFonts w:ascii="Times New Roman" w:hAnsi="Times New Roman" w:cs="Times New Roman"/>
        </w:rPr>
        <w:t>from</w:t>
      </w:r>
      <w:r w:rsidR="001A4328" w:rsidRPr="00675060">
        <w:rPr>
          <w:rFonts w:ascii="Times New Roman" w:hAnsi="Times New Roman" w:cs="Times New Roman"/>
        </w:rPr>
        <w:t xml:space="preserve"> </w:t>
      </w:r>
      <w:hyperlink r:id="rId29" w:history="1">
        <w:r w:rsidR="001A4328" w:rsidRPr="00675060">
          <w:rPr>
            <w:rStyle w:val="Hyperlink"/>
            <w:rFonts w:ascii="Times New Roman" w:hAnsi="Times New Roman" w:cs="Times New Roman"/>
          </w:rPr>
          <w:t>https://www.education.govt.nz/assets/Documents/Ministry/consultations/Careers-System-Review-Cabinet-paper6.pdf</w:t>
        </w:r>
      </w:hyperlink>
    </w:p>
    <w:p w14:paraId="7B0CD97F" w14:textId="77777777" w:rsidR="009F1E0F" w:rsidRPr="00675060" w:rsidRDefault="009F1E0F" w:rsidP="0054485C">
      <w:pPr>
        <w:spacing w:line="240" w:lineRule="auto"/>
        <w:rPr>
          <w:rFonts w:ascii="Times New Roman" w:hAnsi="Times New Roman" w:cs="Times New Roman"/>
        </w:rPr>
      </w:pPr>
      <w:r w:rsidRPr="00675060">
        <w:rPr>
          <w:rFonts w:ascii="Times New Roman" w:hAnsi="Times New Roman" w:cs="Times New Roman"/>
        </w:rPr>
        <w:t xml:space="preserve">Old Bell3 Ltd. (2012). </w:t>
      </w:r>
      <w:r w:rsidRPr="00675060">
        <w:rPr>
          <w:rFonts w:ascii="Times New Roman" w:hAnsi="Times New Roman" w:cs="Times New Roman"/>
          <w:i/>
        </w:rPr>
        <w:t>Scoping study into the use of further education destination data. Research document no: 060/2012.</w:t>
      </w:r>
      <w:r w:rsidRPr="00675060">
        <w:rPr>
          <w:rFonts w:ascii="Times New Roman" w:hAnsi="Times New Roman" w:cs="Times New Roman"/>
        </w:rPr>
        <w:t xml:space="preserve"> Caerphilly: Wales Department for Education and Skills.</w:t>
      </w:r>
    </w:p>
    <w:p w14:paraId="3700E37C" w14:textId="77777777" w:rsidR="00927AB2" w:rsidRPr="00675060" w:rsidRDefault="00927AB2" w:rsidP="00927AB2">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Polesel, J., Helme, S., Davies, M., Teese, R., Nicholas, T., &amp; Vickers, M. (2004).  </w:t>
      </w:r>
      <w:r w:rsidRPr="00675060">
        <w:rPr>
          <w:rFonts w:ascii="Times New Roman" w:hAnsi="Times New Roman" w:cs="Times New Roman"/>
          <w:i/>
        </w:rPr>
        <w:t xml:space="preserve">VET in Schools: A post-compulsory education perspective. </w:t>
      </w:r>
      <w:r w:rsidRPr="00675060">
        <w:rPr>
          <w:rFonts w:ascii="Times New Roman" w:hAnsi="Times New Roman" w:cs="Times New Roman"/>
        </w:rPr>
        <w:t>Adelaide: NCVER.</w:t>
      </w:r>
    </w:p>
    <w:p w14:paraId="3823D9C0" w14:textId="2140735A" w:rsidR="00B91CFC" w:rsidRPr="00675060" w:rsidRDefault="00916566" w:rsidP="00B91CFC">
      <w:pPr>
        <w:pStyle w:val="CommentText"/>
        <w:rPr>
          <w:rFonts w:ascii="Times New Roman" w:hAnsi="Times New Roman" w:cs="Times New Roman"/>
          <w:sz w:val="22"/>
          <w:szCs w:val="22"/>
        </w:rPr>
      </w:pPr>
      <w:r w:rsidRPr="00675060">
        <w:rPr>
          <w:rFonts w:ascii="Times New Roman" w:hAnsi="Times New Roman" w:cs="Times New Roman"/>
          <w:sz w:val="22"/>
          <w:szCs w:val="22"/>
        </w:rPr>
        <w:t>Priest, R. (2019)</w:t>
      </w:r>
      <w:r w:rsidR="001B33B8">
        <w:rPr>
          <w:rFonts w:ascii="Times New Roman" w:hAnsi="Times New Roman" w:cs="Times New Roman"/>
          <w:sz w:val="22"/>
          <w:szCs w:val="22"/>
        </w:rPr>
        <w:t>.</w:t>
      </w:r>
      <w:r w:rsidRPr="00675060">
        <w:rPr>
          <w:rFonts w:ascii="Times New Roman" w:hAnsi="Times New Roman" w:cs="Times New Roman"/>
          <w:sz w:val="22"/>
          <w:szCs w:val="22"/>
        </w:rPr>
        <w:t xml:space="preserve"> Selling the dream</w:t>
      </w:r>
      <w:r w:rsidR="001B33B8">
        <w:rPr>
          <w:rFonts w:ascii="Times New Roman" w:hAnsi="Times New Roman" w:cs="Times New Roman"/>
          <w:sz w:val="22"/>
          <w:szCs w:val="22"/>
        </w:rPr>
        <w:t>.</w:t>
      </w:r>
      <w:r w:rsidRPr="00675060">
        <w:rPr>
          <w:rFonts w:ascii="Times New Roman" w:hAnsi="Times New Roman" w:cs="Times New Roman"/>
          <w:sz w:val="22"/>
          <w:szCs w:val="22"/>
        </w:rPr>
        <w:t xml:space="preserve"> </w:t>
      </w:r>
      <w:r w:rsidR="00B91CFC" w:rsidRPr="00675060">
        <w:rPr>
          <w:rFonts w:ascii="Times New Roman" w:hAnsi="Times New Roman" w:cs="Times New Roman"/>
          <w:sz w:val="22"/>
          <w:szCs w:val="22"/>
        </w:rPr>
        <w:t xml:space="preserve">In A. Mann, P. Huddleston, &amp; E. Kashefpakdel (Eds). </w:t>
      </w:r>
      <w:r w:rsidR="00B91CFC" w:rsidRPr="00675060">
        <w:rPr>
          <w:rFonts w:ascii="Times New Roman" w:hAnsi="Times New Roman" w:cs="Times New Roman"/>
          <w:i/>
          <w:sz w:val="22"/>
          <w:szCs w:val="22"/>
        </w:rPr>
        <w:t>Essays on Employer Engagement in Education</w:t>
      </w:r>
      <w:r w:rsidRPr="00675060">
        <w:rPr>
          <w:rFonts w:ascii="Times New Roman" w:hAnsi="Times New Roman" w:cs="Times New Roman"/>
          <w:sz w:val="22"/>
          <w:szCs w:val="22"/>
        </w:rPr>
        <w:t>. London: Routledge. doi:10.4324/9781315144115.</w:t>
      </w:r>
    </w:p>
    <w:p w14:paraId="52655C16" w14:textId="2049D96A" w:rsidR="0054485C" w:rsidRPr="00675060" w:rsidRDefault="0054485C" w:rsidP="0054485C">
      <w:pPr>
        <w:spacing w:line="240" w:lineRule="auto"/>
        <w:rPr>
          <w:rFonts w:ascii="Times New Roman" w:hAnsi="Times New Roman" w:cs="Times New Roman"/>
        </w:rPr>
      </w:pPr>
      <w:r w:rsidRPr="00675060">
        <w:rPr>
          <w:rFonts w:ascii="Times New Roman" w:hAnsi="Times New Roman" w:cs="Times New Roman"/>
        </w:rPr>
        <w:t xml:space="preserve">QS. (2018). </w:t>
      </w:r>
      <w:r w:rsidRPr="00675060">
        <w:rPr>
          <w:rFonts w:ascii="Times New Roman" w:hAnsi="Times New Roman" w:cs="Times New Roman"/>
          <w:i/>
        </w:rPr>
        <w:t>World University Rankings - Graduate Employability Rankings 2019 (digital supplement)</w:t>
      </w:r>
      <w:r w:rsidRPr="00675060">
        <w:rPr>
          <w:rFonts w:ascii="Times New Roman" w:hAnsi="Times New Roman" w:cs="Times New Roman"/>
        </w:rPr>
        <w:t>.</w:t>
      </w:r>
      <w:r w:rsidR="001A4328" w:rsidRPr="00675060">
        <w:rPr>
          <w:rFonts w:ascii="Times New Roman" w:hAnsi="Times New Roman" w:cs="Times New Roman"/>
        </w:rPr>
        <w:t xml:space="preserve"> London: Quacquarelli Symonds.</w:t>
      </w:r>
    </w:p>
    <w:p w14:paraId="158AA0D2" w14:textId="77777777" w:rsidR="00272276" w:rsidRPr="00675060" w:rsidRDefault="00272276" w:rsidP="00272276">
      <w:pPr>
        <w:spacing w:line="240" w:lineRule="auto"/>
        <w:rPr>
          <w:rFonts w:ascii="Times New Roman" w:hAnsi="Times New Roman" w:cs="Times New Roman"/>
        </w:rPr>
      </w:pPr>
      <w:r w:rsidRPr="00675060">
        <w:rPr>
          <w:rFonts w:ascii="Times New Roman" w:hAnsi="Times New Roman" w:cs="Times New Roman"/>
        </w:rPr>
        <w:t xml:space="preserve">Řihova, H. (2016). </w:t>
      </w:r>
      <w:r w:rsidRPr="00675060">
        <w:rPr>
          <w:rFonts w:ascii="Times New Roman" w:hAnsi="Times New Roman" w:cs="Times New Roman"/>
          <w:i/>
        </w:rPr>
        <w:t>Using labour market information - Guide to anticipating and matching skills and jobs, Volume 1.</w:t>
      </w:r>
      <w:r w:rsidRPr="00675060">
        <w:rPr>
          <w:rFonts w:ascii="Times New Roman" w:hAnsi="Times New Roman" w:cs="Times New Roman"/>
        </w:rPr>
        <w:t xml:space="preserve"> Turin: European Training Foundation (with the International Labour Organization and Cedefop).</w:t>
      </w:r>
    </w:p>
    <w:p w14:paraId="02485031" w14:textId="3E6E74F9" w:rsidR="00BB295F" w:rsidRPr="00675060" w:rsidRDefault="00BB295F" w:rsidP="00272276">
      <w:pPr>
        <w:spacing w:line="240" w:lineRule="auto"/>
        <w:rPr>
          <w:rFonts w:ascii="Times New Roman" w:hAnsi="Times New Roman" w:cs="Times New Roman"/>
        </w:rPr>
      </w:pPr>
      <w:r w:rsidRPr="00675060">
        <w:rPr>
          <w:rFonts w:ascii="Times New Roman" w:hAnsi="Times New Roman" w:cs="Times New Roman"/>
        </w:rPr>
        <w:t xml:space="preserve">RSA. (2017).  </w:t>
      </w:r>
      <w:r w:rsidRPr="00675060">
        <w:rPr>
          <w:rFonts w:ascii="Times New Roman" w:hAnsi="Times New Roman" w:cs="Times New Roman"/>
          <w:i/>
        </w:rPr>
        <w:t>The Entrepreneurial Audit.</w:t>
      </w:r>
      <w:r w:rsidRPr="00675060">
        <w:rPr>
          <w:rFonts w:ascii="Times New Roman" w:hAnsi="Times New Roman" w:cs="Times New Roman"/>
        </w:rPr>
        <w:t xml:space="preserve"> London: RSA. </w:t>
      </w:r>
    </w:p>
    <w:p w14:paraId="2B39083F" w14:textId="037CF826" w:rsidR="0054485C" w:rsidRPr="00675060" w:rsidRDefault="0054485C" w:rsidP="00E065B9">
      <w:pPr>
        <w:spacing w:after="120" w:line="240" w:lineRule="auto"/>
        <w:rPr>
          <w:rStyle w:val="Hyperlink"/>
          <w:rFonts w:ascii="Times New Roman" w:hAnsi="Times New Roman" w:cs="Times New Roman"/>
          <w:color w:val="auto"/>
          <w:u w:val="none"/>
        </w:rPr>
      </w:pPr>
      <w:r w:rsidRPr="00675060">
        <w:rPr>
          <w:rFonts w:ascii="Times New Roman" w:hAnsi="Times New Roman" w:cs="Times New Roman"/>
        </w:rPr>
        <w:t xml:space="preserve">Schomburg, H. (2016). </w:t>
      </w:r>
      <w:r w:rsidRPr="00675060">
        <w:rPr>
          <w:rFonts w:ascii="Times New Roman" w:hAnsi="Times New Roman" w:cs="Times New Roman"/>
          <w:i/>
        </w:rPr>
        <w:t xml:space="preserve">Guide to anticipating and matching skills and jobs volume 6: Carrying out tracer </w:t>
      </w:r>
      <w:r w:rsidR="001E2198" w:rsidRPr="00675060">
        <w:rPr>
          <w:rFonts w:ascii="Times New Roman" w:hAnsi="Times New Roman" w:cs="Times New Roman"/>
          <w:i/>
        </w:rPr>
        <w:t>studies.</w:t>
      </w:r>
      <w:r w:rsidR="001E2198" w:rsidRPr="00675060">
        <w:rPr>
          <w:rFonts w:ascii="Times New Roman" w:hAnsi="Times New Roman" w:cs="Times New Roman"/>
        </w:rPr>
        <w:t xml:space="preserve"> Luxembourg</w:t>
      </w:r>
      <w:r w:rsidRPr="00675060">
        <w:rPr>
          <w:rFonts w:ascii="Times New Roman" w:hAnsi="Times New Roman" w:cs="Times New Roman"/>
        </w:rPr>
        <w:t>: Publications Office of the European Union.</w:t>
      </w:r>
    </w:p>
    <w:p w14:paraId="45FE2551" w14:textId="5E791EB1" w:rsidR="0054485C" w:rsidRPr="00675060" w:rsidRDefault="0054485C" w:rsidP="00E065B9">
      <w:pPr>
        <w:spacing w:after="120" w:line="240" w:lineRule="auto"/>
        <w:rPr>
          <w:rStyle w:val="Hyperlink"/>
          <w:rFonts w:ascii="Times New Roman" w:hAnsi="Times New Roman" w:cs="Times New Roman"/>
          <w:color w:val="333333"/>
          <w:u w:val="none"/>
        </w:rPr>
      </w:pPr>
      <w:r w:rsidRPr="00675060">
        <w:rPr>
          <w:rStyle w:val="authors"/>
          <w:rFonts w:ascii="Times New Roman" w:hAnsi="Times New Roman" w:cs="Times New Roman"/>
          <w:color w:val="333333"/>
          <w:shd w:val="clear" w:color="auto" w:fill="FFFFFF"/>
        </w:rPr>
        <w:t>Simmons, R., &amp; Thompson, R.</w:t>
      </w:r>
      <w:r w:rsidRPr="00675060">
        <w:rPr>
          <w:rFonts w:ascii="Times New Roman" w:hAnsi="Times New Roman" w:cs="Times New Roman"/>
          <w:color w:val="333333"/>
          <w:shd w:val="clear" w:color="auto" w:fill="FFFFFF"/>
        </w:rPr>
        <w:t> </w:t>
      </w:r>
      <w:r w:rsidRPr="00675060">
        <w:rPr>
          <w:rStyle w:val="Date1"/>
          <w:rFonts w:ascii="Times New Roman" w:hAnsi="Times New Roman" w:cs="Times New Roman"/>
          <w:color w:val="333333"/>
          <w:shd w:val="clear" w:color="auto" w:fill="FFFFFF"/>
        </w:rPr>
        <w:t>(2013).</w:t>
      </w:r>
      <w:r w:rsidRPr="00675060">
        <w:rPr>
          <w:rFonts w:ascii="Times New Roman" w:hAnsi="Times New Roman" w:cs="Times New Roman"/>
          <w:color w:val="333333"/>
          <w:shd w:val="clear" w:color="auto" w:fill="FFFFFF"/>
        </w:rPr>
        <w:t> </w:t>
      </w:r>
      <w:r w:rsidRPr="00675060">
        <w:rPr>
          <w:rStyle w:val="arttitle"/>
          <w:rFonts w:ascii="Times New Roman" w:hAnsi="Times New Roman" w:cs="Times New Roman"/>
          <w:color w:val="333333"/>
          <w:shd w:val="clear" w:color="auto" w:fill="FFFFFF"/>
        </w:rPr>
        <w:t>Reclaiming the disengaged: critical perspectives on young people not in education, employment or training.</w:t>
      </w:r>
      <w:r w:rsidRPr="00675060">
        <w:rPr>
          <w:rFonts w:ascii="Times New Roman" w:hAnsi="Times New Roman" w:cs="Times New Roman"/>
          <w:color w:val="333333"/>
          <w:shd w:val="clear" w:color="auto" w:fill="FFFFFF"/>
        </w:rPr>
        <w:t> </w:t>
      </w:r>
      <w:r w:rsidRPr="00675060">
        <w:rPr>
          <w:rStyle w:val="serialtitle"/>
          <w:rFonts w:ascii="Times New Roman" w:hAnsi="Times New Roman" w:cs="Times New Roman"/>
          <w:i/>
          <w:color w:val="333333"/>
          <w:shd w:val="clear" w:color="auto" w:fill="FFFFFF"/>
        </w:rPr>
        <w:t>Research in Post-Compulsory Education,</w:t>
      </w:r>
      <w:r w:rsidRPr="00675060">
        <w:rPr>
          <w:rFonts w:ascii="Times New Roman" w:hAnsi="Times New Roman" w:cs="Times New Roman"/>
          <w:i/>
          <w:color w:val="333333"/>
          <w:shd w:val="clear" w:color="auto" w:fill="FFFFFF"/>
        </w:rPr>
        <w:t> </w:t>
      </w:r>
      <w:r w:rsidRPr="00675060">
        <w:rPr>
          <w:rStyle w:val="volumeissue"/>
          <w:rFonts w:ascii="Times New Roman" w:hAnsi="Times New Roman" w:cs="Times New Roman"/>
          <w:i/>
          <w:color w:val="333333"/>
          <w:shd w:val="clear" w:color="auto" w:fill="FFFFFF"/>
        </w:rPr>
        <w:t>18:1-2,</w:t>
      </w:r>
      <w:r w:rsidRPr="00675060">
        <w:rPr>
          <w:rFonts w:ascii="Times New Roman" w:hAnsi="Times New Roman" w:cs="Times New Roman"/>
          <w:i/>
          <w:color w:val="333333"/>
          <w:shd w:val="clear" w:color="auto" w:fill="FFFFFF"/>
        </w:rPr>
        <w:t> </w:t>
      </w:r>
      <w:r w:rsidRPr="00675060">
        <w:rPr>
          <w:rStyle w:val="pagerange"/>
          <w:rFonts w:ascii="Times New Roman" w:hAnsi="Times New Roman" w:cs="Times New Roman"/>
          <w:i/>
          <w:color w:val="333333"/>
          <w:shd w:val="clear" w:color="auto" w:fill="FFFFFF"/>
        </w:rPr>
        <w:t>1-11</w:t>
      </w:r>
      <w:r w:rsidRPr="00675060">
        <w:rPr>
          <w:rStyle w:val="pagerange"/>
          <w:rFonts w:ascii="Times New Roman" w:hAnsi="Times New Roman" w:cs="Times New Roman"/>
          <w:color w:val="333333"/>
          <w:shd w:val="clear" w:color="auto" w:fill="FFFFFF"/>
        </w:rPr>
        <w:t>,</w:t>
      </w:r>
      <w:r w:rsidRPr="00675060">
        <w:rPr>
          <w:rFonts w:ascii="Times New Roman" w:hAnsi="Times New Roman" w:cs="Times New Roman"/>
          <w:color w:val="333333"/>
          <w:shd w:val="clear" w:color="auto" w:fill="FFFFFF"/>
        </w:rPr>
        <w:t> </w:t>
      </w:r>
      <w:r w:rsidRPr="00675060">
        <w:rPr>
          <w:rStyle w:val="doilink"/>
          <w:rFonts w:ascii="Times New Roman" w:hAnsi="Times New Roman" w:cs="Times New Roman"/>
          <w:color w:val="333333"/>
          <w:shd w:val="clear" w:color="auto" w:fill="FFFFFF"/>
        </w:rPr>
        <w:t>DOI: </w:t>
      </w:r>
      <w:hyperlink r:id="rId30" w:history="1">
        <w:r w:rsidRPr="00675060">
          <w:rPr>
            <w:rStyle w:val="Hyperlink"/>
            <w:rFonts w:ascii="Times New Roman" w:hAnsi="Times New Roman" w:cs="Times New Roman"/>
            <w:color w:val="333333"/>
            <w:u w:val="none"/>
          </w:rPr>
          <w:t>10.1080/13596748.2013.755799</w:t>
        </w:r>
      </w:hyperlink>
      <w:r w:rsidRPr="00675060">
        <w:rPr>
          <w:rStyle w:val="Hyperlink"/>
          <w:rFonts w:ascii="Times New Roman" w:hAnsi="Times New Roman" w:cs="Times New Roman"/>
          <w:color w:val="333333"/>
          <w:u w:val="none"/>
        </w:rPr>
        <w:t>.</w:t>
      </w:r>
    </w:p>
    <w:p w14:paraId="679B64A2" w14:textId="52D0D343" w:rsidR="005C7883" w:rsidRPr="00675060" w:rsidRDefault="005C7883" w:rsidP="00E065B9">
      <w:pPr>
        <w:spacing w:after="120" w:line="240" w:lineRule="auto"/>
        <w:rPr>
          <w:rStyle w:val="Hyperlink"/>
          <w:rFonts w:ascii="Times New Roman" w:hAnsi="Times New Roman" w:cs="Times New Roman"/>
          <w:color w:val="333333"/>
        </w:rPr>
      </w:pPr>
      <w:r w:rsidRPr="00675060">
        <w:rPr>
          <w:rStyle w:val="Hyperlink"/>
          <w:rFonts w:ascii="Times New Roman" w:hAnsi="Times New Roman" w:cs="Times New Roman"/>
          <w:color w:val="333333"/>
          <w:u w:val="none"/>
        </w:rPr>
        <w:t xml:space="preserve">Singhal, P. (2019, January 11). Full-time employment rate for university graduates plummets. </w:t>
      </w:r>
      <w:r w:rsidRPr="00675060">
        <w:rPr>
          <w:rStyle w:val="Hyperlink"/>
          <w:rFonts w:ascii="Times New Roman" w:hAnsi="Times New Roman" w:cs="Times New Roman"/>
          <w:i/>
          <w:iCs/>
          <w:color w:val="333333"/>
          <w:u w:val="none"/>
        </w:rPr>
        <w:t>The Sydney Morning Herald</w:t>
      </w:r>
      <w:r w:rsidRPr="00675060">
        <w:rPr>
          <w:rStyle w:val="Hyperlink"/>
          <w:rFonts w:ascii="Times New Roman" w:hAnsi="Times New Roman" w:cs="Times New Roman"/>
          <w:color w:val="333333"/>
          <w:u w:val="none"/>
        </w:rPr>
        <w:t xml:space="preserve">. Retrieved from </w:t>
      </w:r>
      <w:hyperlink r:id="rId31" w:history="1">
        <w:r w:rsidRPr="00675060">
          <w:rPr>
            <w:rStyle w:val="Hyperlink"/>
            <w:rFonts w:ascii="Times New Roman" w:hAnsi="Times New Roman" w:cs="Times New Roman"/>
          </w:rPr>
          <w:t>https://www.smh.com.au/education/full-time-employment-rate-for-university-graduates-plummets-20190110-p50qlf.html</w:t>
        </w:r>
      </w:hyperlink>
      <w:r w:rsidRPr="00675060">
        <w:rPr>
          <w:rStyle w:val="Hyperlink"/>
          <w:rFonts w:ascii="Times New Roman" w:hAnsi="Times New Roman" w:cs="Times New Roman"/>
          <w:color w:val="333333"/>
          <w:u w:val="none"/>
        </w:rPr>
        <w:t xml:space="preserve"> </w:t>
      </w:r>
    </w:p>
    <w:p w14:paraId="41EA6965" w14:textId="50DB2E4F" w:rsidR="000A1E09" w:rsidRPr="00675060" w:rsidRDefault="000A1E09" w:rsidP="00E065B9">
      <w:pPr>
        <w:spacing w:after="120" w:line="240" w:lineRule="auto"/>
        <w:rPr>
          <w:rFonts w:ascii="Times New Roman" w:hAnsi="Times New Roman" w:cs="Times New Roman"/>
          <w:color w:val="333333"/>
        </w:rPr>
      </w:pPr>
      <w:r w:rsidRPr="00675060">
        <w:rPr>
          <w:rFonts w:ascii="Times New Roman" w:hAnsi="Times New Roman" w:cs="Times New Roman"/>
          <w:color w:val="333333"/>
        </w:rPr>
        <w:t>Smyth, R. (2018</w:t>
      </w:r>
      <w:r w:rsidR="001A4328" w:rsidRPr="00675060">
        <w:rPr>
          <w:rFonts w:ascii="Times New Roman" w:hAnsi="Times New Roman" w:cs="Times New Roman"/>
          <w:color w:val="333333"/>
        </w:rPr>
        <w:t>, October 11</w:t>
      </w:r>
      <w:r w:rsidRPr="00675060">
        <w:rPr>
          <w:rFonts w:ascii="Times New Roman" w:hAnsi="Times New Roman" w:cs="Times New Roman"/>
          <w:color w:val="333333"/>
        </w:rPr>
        <w:t xml:space="preserve">). New Zealand study highlights what matters for HE access and success. </w:t>
      </w:r>
      <w:r w:rsidRPr="00675060">
        <w:rPr>
          <w:rFonts w:ascii="Times New Roman" w:hAnsi="Times New Roman" w:cs="Times New Roman"/>
          <w:i/>
          <w:color w:val="333333"/>
        </w:rPr>
        <w:t>Times Higher Education</w:t>
      </w:r>
      <w:r w:rsidRPr="00675060">
        <w:rPr>
          <w:rFonts w:ascii="Times New Roman" w:hAnsi="Times New Roman" w:cs="Times New Roman"/>
          <w:color w:val="333333"/>
        </w:rPr>
        <w:t xml:space="preserve">. </w:t>
      </w:r>
      <w:r w:rsidR="001A4328" w:rsidRPr="00675060">
        <w:rPr>
          <w:rFonts w:ascii="Times New Roman" w:hAnsi="Times New Roman" w:cs="Times New Roman"/>
          <w:color w:val="333333"/>
        </w:rPr>
        <w:t xml:space="preserve">Retrieved from </w:t>
      </w:r>
      <w:hyperlink r:id="rId32" w:history="1">
        <w:r w:rsidRPr="00675060">
          <w:rPr>
            <w:rStyle w:val="Hyperlink"/>
            <w:rFonts w:ascii="Times New Roman" w:hAnsi="Times New Roman" w:cs="Times New Roman"/>
          </w:rPr>
          <w:t>https://www.timeshighereducation.com/opinion/new-zealand-study-highlights-what-matters-he-access-and-success</w:t>
        </w:r>
      </w:hyperlink>
      <w:r w:rsidRPr="00675060">
        <w:rPr>
          <w:rFonts w:ascii="Times New Roman" w:hAnsi="Times New Roman" w:cs="Times New Roman"/>
          <w:color w:val="333333"/>
        </w:rPr>
        <w:t xml:space="preserve">   </w:t>
      </w:r>
    </w:p>
    <w:p w14:paraId="58DA20C8" w14:textId="479ECE98" w:rsidR="0054485C" w:rsidRPr="00675060" w:rsidRDefault="0054485C" w:rsidP="00E065B9">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lastRenderedPageBreak/>
        <w:t>The Careers &amp; Enterprise Company. (2016</w:t>
      </w:r>
      <w:r w:rsidR="001E2198" w:rsidRPr="00675060">
        <w:rPr>
          <w:rFonts w:ascii="Times New Roman" w:hAnsi="Times New Roman" w:cs="Times New Roman"/>
        </w:rPr>
        <w:t>). Understanding</w:t>
      </w:r>
      <w:r w:rsidRPr="00675060">
        <w:rPr>
          <w:rFonts w:ascii="Times New Roman" w:hAnsi="Times New Roman" w:cs="Times New Roman"/>
        </w:rPr>
        <w:t xml:space="preserve"> The Careers </w:t>
      </w:r>
      <w:r w:rsidRPr="00675060">
        <w:rPr>
          <w:rFonts w:ascii="Times New Roman" w:hAnsi="Times New Roman" w:cs="Times New Roman"/>
          <w:i/>
          <w:iCs/>
        </w:rPr>
        <w:t xml:space="preserve">Cold Spots: </w:t>
      </w:r>
      <w:r w:rsidR="001E2198" w:rsidRPr="00675060">
        <w:rPr>
          <w:rFonts w:ascii="Times New Roman" w:hAnsi="Times New Roman" w:cs="Times New Roman"/>
          <w:i/>
          <w:iCs/>
        </w:rPr>
        <w:t>The Careers</w:t>
      </w:r>
      <w:r w:rsidRPr="00675060">
        <w:rPr>
          <w:rFonts w:ascii="Times New Roman" w:hAnsi="Times New Roman" w:cs="Times New Roman"/>
          <w:i/>
          <w:iCs/>
        </w:rPr>
        <w:t xml:space="preserve"> &amp; Enterprise Company </w:t>
      </w:r>
      <w:r w:rsidR="001E2198" w:rsidRPr="00675060">
        <w:rPr>
          <w:rFonts w:ascii="Times New Roman" w:hAnsi="Times New Roman" w:cs="Times New Roman"/>
          <w:i/>
          <w:iCs/>
        </w:rPr>
        <w:t>Prioritisation Indicators</w:t>
      </w:r>
      <w:r w:rsidRPr="00675060">
        <w:rPr>
          <w:rFonts w:ascii="Times New Roman" w:hAnsi="Times New Roman" w:cs="Times New Roman"/>
          <w:i/>
          <w:iCs/>
        </w:rPr>
        <w:t xml:space="preserve"> 2016</w:t>
      </w:r>
      <w:r w:rsidRPr="00675060">
        <w:rPr>
          <w:rFonts w:ascii="Times New Roman" w:hAnsi="Times New Roman" w:cs="Times New Roman"/>
        </w:rPr>
        <w:t>. London: The Careers &amp;Enterprise Company.</w:t>
      </w:r>
    </w:p>
    <w:p w14:paraId="4328715F" w14:textId="22FE343F" w:rsidR="00CA3C4D" w:rsidRPr="00675060" w:rsidRDefault="00CA3C4D" w:rsidP="00CA3C4D">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The Careers &amp; Enterprise </w:t>
      </w:r>
      <w:r w:rsidR="001E2198" w:rsidRPr="00675060">
        <w:rPr>
          <w:rFonts w:ascii="Times New Roman" w:hAnsi="Times New Roman" w:cs="Times New Roman"/>
        </w:rPr>
        <w:t>Company. (</w:t>
      </w:r>
      <w:r w:rsidRPr="00675060">
        <w:rPr>
          <w:rFonts w:ascii="Times New Roman" w:hAnsi="Times New Roman" w:cs="Times New Roman"/>
        </w:rPr>
        <w:t xml:space="preserve">2017). </w:t>
      </w:r>
      <w:r w:rsidRPr="00675060">
        <w:rPr>
          <w:rFonts w:ascii="Times New Roman" w:hAnsi="Times New Roman" w:cs="Times New Roman"/>
          <w:i/>
        </w:rPr>
        <w:t xml:space="preserve">State of the Nation 2017: Careers and Enterprise Provision in England's </w:t>
      </w:r>
      <w:r w:rsidR="001E2198" w:rsidRPr="00675060">
        <w:rPr>
          <w:rFonts w:ascii="Times New Roman" w:hAnsi="Times New Roman" w:cs="Times New Roman"/>
          <w:i/>
        </w:rPr>
        <w:t>Schools.</w:t>
      </w:r>
      <w:r w:rsidR="001E2198" w:rsidRPr="00675060">
        <w:rPr>
          <w:rFonts w:ascii="Times New Roman" w:hAnsi="Times New Roman" w:cs="Times New Roman"/>
        </w:rPr>
        <w:t xml:space="preserve"> London</w:t>
      </w:r>
      <w:r w:rsidRPr="00675060">
        <w:rPr>
          <w:rFonts w:ascii="Times New Roman" w:hAnsi="Times New Roman" w:cs="Times New Roman"/>
        </w:rPr>
        <w:t>: The Careers &amp; Enterprise Company</w:t>
      </w:r>
    </w:p>
    <w:p w14:paraId="019225C1" w14:textId="5EA2AC4F" w:rsidR="0054485C" w:rsidRPr="00675060" w:rsidRDefault="0054485C" w:rsidP="00E065B9">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The Careers &amp; Enterprise Company. (2018</w:t>
      </w:r>
      <w:r w:rsidR="001E2198" w:rsidRPr="00675060">
        <w:rPr>
          <w:rFonts w:ascii="Times New Roman" w:hAnsi="Times New Roman" w:cs="Times New Roman"/>
        </w:rPr>
        <w:t>).</w:t>
      </w:r>
      <w:r w:rsidR="001E2198" w:rsidRPr="00675060">
        <w:rPr>
          <w:rFonts w:ascii="Times New Roman" w:hAnsi="Times New Roman" w:cs="Times New Roman"/>
          <w:i/>
          <w:iCs/>
        </w:rPr>
        <w:t xml:space="preserve"> Updating</w:t>
      </w:r>
      <w:r w:rsidRPr="00675060">
        <w:rPr>
          <w:rFonts w:ascii="Times New Roman" w:hAnsi="Times New Roman" w:cs="Times New Roman"/>
          <w:i/>
          <w:iCs/>
        </w:rPr>
        <w:t xml:space="preserve"> the Careers Cold Spots: The Careers&amp; Enterprise Prioritisation Indicators. </w:t>
      </w:r>
      <w:r w:rsidR="001E2198" w:rsidRPr="00675060">
        <w:rPr>
          <w:rFonts w:ascii="Times New Roman" w:hAnsi="Times New Roman" w:cs="Times New Roman"/>
        </w:rPr>
        <w:t>London: The</w:t>
      </w:r>
      <w:r w:rsidRPr="00675060">
        <w:rPr>
          <w:rFonts w:ascii="Times New Roman" w:hAnsi="Times New Roman" w:cs="Times New Roman"/>
        </w:rPr>
        <w:t xml:space="preserve"> Careers &amp; Enterprise Company.</w:t>
      </w:r>
    </w:p>
    <w:p w14:paraId="5EBF013A" w14:textId="45E0B00C" w:rsidR="004E181C" w:rsidRPr="00675060" w:rsidRDefault="004E181C" w:rsidP="004E181C">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The Careers &amp; Enterprise Company. (2018b</w:t>
      </w:r>
      <w:r w:rsidR="001E2198" w:rsidRPr="00675060">
        <w:rPr>
          <w:rFonts w:ascii="Times New Roman" w:hAnsi="Times New Roman" w:cs="Times New Roman"/>
        </w:rPr>
        <w:t>).</w:t>
      </w:r>
      <w:r w:rsidR="001E2198" w:rsidRPr="00675060">
        <w:rPr>
          <w:rFonts w:ascii="Times New Roman" w:hAnsi="Times New Roman" w:cs="Times New Roman"/>
          <w:i/>
        </w:rPr>
        <w:t xml:space="preserve"> Closing</w:t>
      </w:r>
      <w:r w:rsidRPr="00675060">
        <w:rPr>
          <w:rFonts w:ascii="Times New Roman" w:hAnsi="Times New Roman" w:cs="Times New Roman"/>
          <w:i/>
        </w:rPr>
        <w:t xml:space="preserve"> the Gap: The Level of Employer Engagement in England’s Schools and Colleges.</w:t>
      </w:r>
      <w:r w:rsidRPr="00675060">
        <w:rPr>
          <w:rFonts w:ascii="Times New Roman" w:hAnsi="Times New Roman" w:cs="Times New Roman"/>
        </w:rPr>
        <w:t xml:space="preserve"> London: The Careers&amp; Enterprise Company.</w:t>
      </w:r>
    </w:p>
    <w:p w14:paraId="609EFD0A" w14:textId="434E193A" w:rsidR="00025FDA" w:rsidRPr="00675060" w:rsidRDefault="00025FDA" w:rsidP="00E065B9">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Tyack, D. &amp; Cuban, L. (1995). </w:t>
      </w:r>
      <w:r w:rsidRPr="00675060">
        <w:rPr>
          <w:rFonts w:ascii="Times New Roman" w:hAnsi="Times New Roman" w:cs="Times New Roman"/>
          <w:i/>
        </w:rPr>
        <w:t xml:space="preserve">Tinkering Toward Utopia: A Century of </w:t>
      </w:r>
      <w:r w:rsidR="001E2198" w:rsidRPr="00675060">
        <w:rPr>
          <w:rFonts w:ascii="Times New Roman" w:hAnsi="Times New Roman" w:cs="Times New Roman"/>
          <w:i/>
        </w:rPr>
        <w:t>Public School</w:t>
      </w:r>
      <w:r w:rsidRPr="00675060">
        <w:rPr>
          <w:rFonts w:ascii="Times New Roman" w:hAnsi="Times New Roman" w:cs="Times New Roman"/>
          <w:i/>
        </w:rPr>
        <w:t xml:space="preserve"> Reform</w:t>
      </w:r>
      <w:r w:rsidRPr="00675060">
        <w:rPr>
          <w:rFonts w:ascii="Times New Roman" w:hAnsi="Times New Roman" w:cs="Times New Roman"/>
        </w:rPr>
        <w:t>. Boston: Harvard University Press.</w:t>
      </w:r>
    </w:p>
    <w:p w14:paraId="4E5E4E4F" w14:textId="77777777" w:rsidR="00611AA7" w:rsidRPr="00675060" w:rsidRDefault="00611AA7" w:rsidP="00E065B9">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Tomlinson, M. (2012). Graduate Employability: A Review of Conceptual and Empirical Themes. </w:t>
      </w:r>
      <w:r w:rsidRPr="00675060">
        <w:rPr>
          <w:rFonts w:ascii="Times New Roman" w:hAnsi="Times New Roman" w:cs="Times New Roman"/>
          <w:i/>
        </w:rPr>
        <w:t>Higher Education Policy 25</w:t>
      </w:r>
      <w:r w:rsidRPr="00675060">
        <w:rPr>
          <w:rFonts w:ascii="Times New Roman" w:hAnsi="Times New Roman" w:cs="Times New Roman"/>
        </w:rPr>
        <w:t xml:space="preserve">: 407. </w:t>
      </w:r>
      <w:hyperlink r:id="rId33" w:history="1">
        <w:r w:rsidR="00C722D7" w:rsidRPr="00675060">
          <w:rPr>
            <w:rStyle w:val="Hyperlink"/>
            <w:rFonts w:ascii="Times New Roman" w:hAnsi="Times New Roman" w:cs="Times New Roman"/>
          </w:rPr>
          <w:t>https://doi.org/10.1057/hep.2011.26</w:t>
        </w:r>
      </w:hyperlink>
    </w:p>
    <w:p w14:paraId="12EF1933" w14:textId="7D707F16" w:rsidR="007F2F68" w:rsidRPr="00675060" w:rsidRDefault="007F2F68" w:rsidP="00E065B9">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Universities UK. (2019). </w:t>
      </w:r>
      <w:r w:rsidRPr="00675060">
        <w:rPr>
          <w:rFonts w:ascii="Times New Roman" w:hAnsi="Times New Roman" w:cs="Times New Roman"/>
          <w:i/>
        </w:rPr>
        <w:t>Parliamentary briefing: The uses and limits of Longitudinal Education Outcomes (LEO) data.</w:t>
      </w:r>
      <w:r w:rsidRPr="00675060">
        <w:rPr>
          <w:rFonts w:ascii="Times New Roman" w:hAnsi="Times New Roman" w:cs="Times New Roman"/>
        </w:rPr>
        <w:t xml:space="preserve"> London: UUK</w:t>
      </w:r>
    </w:p>
    <w:p w14:paraId="5FC87124" w14:textId="05B2347E" w:rsidR="00675060" w:rsidRPr="00675060" w:rsidRDefault="00675060" w:rsidP="00E065B9">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U.S. Department for Education. (2018, August 10). </w:t>
      </w:r>
      <w:r w:rsidRPr="00675060">
        <w:rPr>
          <w:rFonts w:ascii="Times New Roman" w:hAnsi="Times New Roman" w:cs="Times New Roman"/>
          <w:i/>
          <w:iCs/>
        </w:rPr>
        <w:t>U.S. Department of Education Proposes Overhaul of Gainful Employment Regulations.</w:t>
      </w:r>
      <w:r w:rsidRPr="00675060">
        <w:rPr>
          <w:rFonts w:ascii="Times New Roman" w:hAnsi="Times New Roman" w:cs="Times New Roman"/>
        </w:rPr>
        <w:t xml:space="preserve"> Washington: U.S. Department for Education. Retrieved 18 June, 2019 from </w:t>
      </w:r>
      <w:hyperlink r:id="rId34" w:history="1">
        <w:r w:rsidRPr="00675060">
          <w:rPr>
            <w:rStyle w:val="Hyperlink"/>
            <w:rFonts w:ascii="Times New Roman" w:hAnsi="Times New Roman" w:cs="Times New Roman"/>
          </w:rPr>
          <w:t>https://www.ed.gov/news/press-releases/us-department-education-proposes-overhaul-gainful-employment-regulations</w:t>
        </w:r>
      </w:hyperlink>
      <w:r w:rsidRPr="00675060">
        <w:rPr>
          <w:rFonts w:ascii="Times New Roman" w:hAnsi="Times New Roman" w:cs="Times New Roman"/>
        </w:rPr>
        <w:t xml:space="preserve"> </w:t>
      </w:r>
    </w:p>
    <w:p w14:paraId="79A66D99" w14:textId="77777777" w:rsidR="00C722D7" w:rsidRPr="00675060" w:rsidRDefault="00C722D7" w:rsidP="00C722D7">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Vigoda, E. (2003). New public management. In J. Rabin (Ed.), </w:t>
      </w:r>
      <w:r w:rsidRPr="00675060">
        <w:rPr>
          <w:rFonts w:ascii="Times New Roman" w:hAnsi="Times New Roman" w:cs="Times New Roman"/>
          <w:i/>
        </w:rPr>
        <w:t>Encyclopedia of public administration and public policy (Vol. 2)</w:t>
      </w:r>
      <w:r w:rsidRPr="00675060">
        <w:rPr>
          <w:rFonts w:ascii="Times New Roman" w:hAnsi="Times New Roman" w:cs="Times New Roman"/>
        </w:rPr>
        <w:t>. New York: Marcel Dekker.</w:t>
      </w:r>
    </w:p>
    <w:p w14:paraId="00C79001" w14:textId="77777777" w:rsidR="00326ABB" w:rsidRPr="00675060" w:rsidRDefault="00326ABB" w:rsidP="00C722D7">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Willet</w:t>
      </w:r>
      <w:r w:rsidR="007F2F68" w:rsidRPr="00675060">
        <w:rPr>
          <w:rFonts w:ascii="Times New Roman" w:hAnsi="Times New Roman" w:cs="Times New Roman"/>
        </w:rPr>
        <w:t>t</w:t>
      </w:r>
      <w:r w:rsidRPr="00675060">
        <w:rPr>
          <w:rFonts w:ascii="Times New Roman" w:hAnsi="Times New Roman" w:cs="Times New Roman"/>
        </w:rPr>
        <w:t xml:space="preserve">s, D. (2019). Graduate earnings rarely afford good policymaking. </w:t>
      </w:r>
      <w:r w:rsidRPr="00675060">
        <w:rPr>
          <w:rFonts w:ascii="Times New Roman" w:hAnsi="Times New Roman" w:cs="Times New Roman"/>
          <w:i/>
        </w:rPr>
        <w:t>Times Higher Education</w:t>
      </w:r>
      <w:r w:rsidRPr="00675060">
        <w:rPr>
          <w:rFonts w:ascii="Times New Roman" w:hAnsi="Times New Roman" w:cs="Times New Roman"/>
        </w:rPr>
        <w:t xml:space="preserve">. Available from: </w:t>
      </w:r>
      <w:hyperlink r:id="rId35" w:history="1">
        <w:r w:rsidRPr="00675060">
          <w:rPr>
            <w:rFonts w:ascii="Times New Roman" w:hAnsi="Times New Roman" w:cs="Times New Roman"/>
          </w:rPr>
          <w:t>https://www.timeshighereducation.com/features/graduate-earnings-rarely-afford-good-policymaking</w:t>
        </w:r>
      </w:hyperlink>
      <w:r w:rsidRPr="00675060">
        <w:rPr>
          <w:rFonts w:ascii="Times New Roman" w:hAnsi="Times New Roman" w:cs="Times New Roman"/>
        </w:rPr>
        <w:t xml:space="preserve"> [Accessed 28 May 2019]</w:t>
      </w:r>
    </w:p>
    <w:p w14:paraId="02EC2EF0" w14:textId="77777777" w:rsidR="006E50AF" w:rsidRPr="00675060" w:rsidRDefault="006E50AF" w:rsidP="00C722D7">
      <w:pPr>
        <w:autoSpaceDE w:val="0"/>
        <w:autoSpaceDN w:val="0"/>
        <w:adjustRightInd w:val="0"/>
        <w:spacing w:after="120" w:line="240" w:lineRule="auto"/>
        <w:rPr>
          <w:rFonts w:ascii="Times New Roman" w:hAnsi="Times New Roman" w:cs="Times New Roman"/>
        </w:rPr>
      </w:pPr>
      <w:r w:rsidRPr="00675060">
        <w:rPr>
          <w:rFonts w:ascii="Times New Roman" w:hAnsi="Times New Roman" w:cs="Times New Roman"/>
        </w:rPr>
        <w:t xml:space="preserve">Williamson, J., &amp; Rodeiro, C. (2017). "Meaningful" Destinations: Using National Data to Compare Progression to Higher Education, Employment and Training from Different Education Pathways in England. Paper presented at </w:t>
      </w:r>
      <w:r w:rsidRPr="00675060">
        <w:rPr>
          <w:rFonts w:ascii="Times New Roman" w:hAnsi="Times New Roman" w:cs="Times New Roman"/>
          <w:i/>
        </w:rPr>
        <w:t>ECER 2017</w:t>
      </w:r>
      <w:r w:rsidRPr="00675060">
        <w:rPr>
          <w:rFonts w:ascii="Times New Roman" w:hAnsi="Times New Roman" w:cs="Times New Roman"/>
        </w:rPr>
        <w:t xml:space="preserve">. </w:t>
      </w:r>
    </w:p>
    <w:p w14:paraId="39D165FC" w14:textId="77777777" w:rsidR="00272276" w:rsidRPr="00675060" w:rsidRDefault="00272276" w:rsidP="00272276">
      <w:pPr>
        <w:spacing w:line="240" w:lineRule="auto"/>
        <w:rPr>
          <w:rFonts w:ascii="Times New Roman" w:hAnsi="Times New Roman" w:cs="Times New Roman"/>
        </w:rPr>
      </w:pPr>
      <w:r w:rsidRPr="00675060">
        <w:rPr>
          <w:rFonts w:ascii="Times New Roman" w:hAnsi="Times New Roman" w:cs="Times New Roman"/>
        </w:rPr>
        <w:t xml:space="preserve">Woods, J., &amp; O’Leary, C. (2006).  </w:t>
      </w:r>
      <w:r w:rsidRPr="00675060">
        <w:rPr>
          <w:rFonts w:ascii="Times New Roman" w:hAnsi="Times New Roman" w:cs="Times New Roman"/>
          <w:i/>
        </w:rPr>
        <w:t xml:space="preserve">Conceptual Framework for an Optimal Labour Market Information System: Final Report. </w:t>
      </w:r>
      <w:r w:rsidRPr="00675060">
        <w:rPr>
          <w:rFonts w:ascii="Times New Roman" w:hAnsi="Times New Roman" w:cs="Times New Roman"/>
        </w:rPr>
        <w:t>Kalamazoo: W. E. Upjohn Institute for Employment Research.</w:t>
      </w:r>
    </w:p>
    <w:p w14:paraId="7A8F22D5" w14:textId="10556D58" w:rsidR="00675060" w:rsidRPr="00675060" w:rsidRDefault="00040024" w:rsidP="00CF7ABB">
      <w:pPr>
        <w:spacing w:line="240" w:lineRule="auto"/>
        <w:rPr>
          <w:rFonts w:ascii="Times New Roman" w:hAnsi="Times New Roman" w:cs="Times New Roman"/>
          <w:color w:val="0563C1" w:themeColor="hyperlink"/>
          <w:u w:val="single"/>
        </w:rPr>
      </w:pPr>
      <w:r w:rsidRPr="00675060">
        <w:rPr>
          <w:rFonts w:ascii="Times New Roman" w:hAnsi="Times New Roman" w:cs="Times New Roman"/>
        </w:rPr>
        <w:t xml:space="preserve">YouGov. (2010). </w:t>
      </w:r>
      <w:r w:rsidRPr="00675060">
        <w:rPr>
          <w:rFonts w:ascii="Times New Roman" w:hAnsi="Times New Roman" w:cs="Times New Roman"/>
          <w:i/>
        </w:rPr>
        <w:t>YouGov / Electrical Contractors’ Association Survey Results (n=2110)</w:t>
      </w:r>
      <w:r w:rsidRPr="00675060">
        <w:rPr>
          <w:rFonts w:ascii="Times New Roman" w:hAnsi="Times New Roman" w:cs="Times New Roman"/>
        </w:rPr>
        <w:t>. London: YouGov</w:t>
      </w:r>
      <w:r w:rsidR="001A4328" w:rsidRPr="00675060">
        <w:rPr>
          <w:rFonts w:ascii="Times New Roman" w:hAnsi="Times New Roman" w:cs="Times New Roman"/>
        </w:rPr>
        <w:t xml:space="preserve">. Retrieved May 30, 2019 from </w:t>
      </w:r>
      <w:hyperlink r:id="rId36" w:history="1">
        <w:r w:rsidRPr="00675060">
          <w:rPr>
            <w:rStyle w:val="Hyperlink"/>
            <w:rFonts w:ascii="Times New Roman" w:hAnsi="Times New Roman" w:cs="Times New Roman"/>
          </w:rPr>
          <w:t>http://cdn.yougov.com/today_uk_import/YG-Archives-Lif-ECA-apprentice-100120.pdf</w:t>
        </w:r>
      </w:hyperlink>
    </w:p>
    <w:sectPr w:rsidR="00675060" w:rsidRPr="00675060" w:rsidSect="00E665AD">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89056" w14:textId="77777777" w:rsidR="005D4745" w:rsidRDefault="005D4745" w:rsidP="00517BEC">
      <w:pPr>
        <w:spacing w:after="0" w:line="240" w:lineRule="auto"/>
      </w:pPr>
      <w:r>
        <w:separator/>
      </w:r>
    </w:p>
  </w:endnote>
  <w:endnote w:type="continuationSeparator" w:id="0">
    <w:p w14:paraId="53B32A7F" w14:textId="77777777" w:rsidR="005D4745" w:rsidRDefault="005D4745" w:rsidP="0051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018078"/>
      <w:docPartObj>
        <w:docPartGallery w:val="Page Numbers (Bottom of Page)"/>
        <w:docPartUnique/>
      </w:docPartObj>
    </w:sdtPr>
    <w:sdtEndPr>
      <w:rPr>
        <w:noProof/>
      </w:rPr>
    </w:sdtEndPr>
    <w:sdtContent>
      <w:p w14:paraId="57D7469D" w14:textId="047828AF" w:rsidR="00F700DE" w:rsidRDefault="00F700DE">
        <w:pPr>
          <w:pStyle w:val="Footer"/>
          <w:jc w:val="right"/>
        </w:pPr>
        <w:r>
          <w:fldChar w:fldCharType="begin"/>
        </w:r>
        <w:r>
          <w:instrText xml:space="preserve"> PAGE   \* MERGEFORMAT </w:instrText>
        </w:r>
        <w:r>
          <w:fldChar w:fldCharType="separate"/>
        </w:r>
        <w:r w:rsidR="00EA5B88">
          <w:rPr>
            <w:noProof/>
          </w:rPr>
          <w:t>4</w:t>
        </w:r>
        <w:r>
          <w:rPr>
            <w:noProof/>
          </w:rPr>
          <w:fldChar w:fldCharType="end"/>
        </w:r>
      </w:p>
    </w:sdtContent>
  </w:sdt>
  <w:p w14:paraId="78BCCF2C" w14:textId="77777777" w:rsidR="00F700DE" w:rsidRDefault="00F7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7EBAD" w14:textId="77777777" w:rsidR="005D4745" w:rsidRDefault="005D4745" w:rsidP="00517BEC">
      <w:pPr>
        <w:spacing w:after="0" w:line="240" w:lineRule="auto"/>
      </w:pPr>
      <w:r>
        <w:separator/>
      </w:r>
    </w:p>
  </w:footnote>
  <w:footnote w:type="continuationSeparator" w:id="0">
    <w:p w14:paraId="554A6786" w14:textId="77777777" w:rsidR="005D4745" w:rsidRDefault="005D4745" w:rsidP="00517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C7D8" w14:textId="77777777" w:rsidR="00F700DE" w:rsidRDefault="00F700DE">
    <w:pPr>
      <w:pStyle w:val="Header"/>
    </w:pPr>
    <w:r>
      <w:t>DRAFT FOR CO-AUTHOR CHECK BEFORE SUBMISSION (v2 20190618)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C74"/>
    <w:multiLevelType w:val="multilevel"/>
    <w:tmpl w:val="1D72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A7605"/>
    <w:multiLevelType w:val="multilevel"/>
    <w:tmpl w:val="E004A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967A0"/>
    <w:multiLevelType w:val="hybridMultilevel"/>
    <w:tmpl w:val="6314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46C98"/>
    <w:multiLevelType w:val="hybridMultilevel"/>
    <w:tmpl w:val="CE02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41FC4"/>
    <w:multiLevelType w:val="hybridMultilevel"/>
    <w:tmpl w:val="3F54E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D0F45"/>
    <w:multiLevelType w:val="hybridMultilevel"/>
    <w:tmpl w:val="29E8FC38"/>
    <w:lvl w:ilvl="0" w:tplc="54DC0EB2">
      <w:start w:val="2"/>
      <w:numFmt w:val="bullet"/>
      <w:lvlText w:val="-"/>
      <w:lvlJc w:val="left"/>
      <w:pPr>
        <w:ind w:left="720" w:hanging="360"/>
      </w:pPr>
      <w:rPr>
        <w:rFonts w:ascii="Palatino-Roman" w:eastAsiaTheme="minorEastAsia" w:hAnsi="Palatino-Roman" w:cs="Palatino-Roman" w:hint="default"/>
        <w:b w:val="0"/>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5516EA"/>
    <w:multiLevelType w:val="hybridMultilevel"/>
    <w:tmpl w:val="F20EBE38"/>
    <w:lvl w:ilvl="0" w:tplc="EF34617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FD1AF4"/>
    <w:multiLevelType w:val="hybridMultilevel"/>
    <w:tmpl w:val="9268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23140"/>
    <w:multiLevelType w:val="hybridMultilevel"/>
    <w:tmpl w:val="8812BEC4"/>
    <w:lvl w:ilvl="0" w:tplc="C20A82D4">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CD1EB8"/>
    <w:multiLevelType w:val="hybridMultilevel"/>
    <w:tmpl w:val="404E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6"/>
  </w:num>
  <w:num w:numId="5">
    <w:abstractNumId w:val="8"/>
  </w:num>
  <w:num w:numId="6">
    <w:abstractNumId w:val="1"/>
  </w:num>
  <w:num w:numId="7">
    <w:abstractNumId w:val="0"/>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BA34EA"/>
    <w:rsid w:val="000014CA"/>
    <w:rsid w:val="00001E0A"/>
    <w:rsid w:val="00005767"/>
    <w:rsid w:val="00023A87"/>
    <w:rsid w:val="00025FDA"/>
    <w:rsid w:val="00040024"/>
    <w:rsid w:val="00043DE2"/>
    <w:rsid w:val="000625E2"/>
    <w:rsid w:val="000627CE"/>
    <w:rsid w:val="00074AFE"/>
    <w:rsid w:val="0007635F"/>
    <w:rsid w:val="00082389"/>
    <w:rsid w:val="000A1E09"/>
    <w:rsid w:val="000A42ED"/>
    <w:rsid w:val="000A47B8"/>
    <w:rsid w:val="000B314E"/>
    <w:rsid w:val="000B723D"/>
    <w:rsid w:val="000B736D"/>
    <w:rsid w:val="000C1404"/>
    <w:rsid w:val="000E1AC7"/>
    <w:rsid w:val="000F5BDF"/>
    <w:rsid w:val="00114C8C"/>
    <w:rsid w:val="00124B4D"/>
    <w:rsid w:val="00127610"/>
    <w:rsid w:val="001454E9"/>
    <w:rsid w:val="00180F73"/>
    <w:rsid w:val="00182467"/>
    <w:rsid w:val="00187F74"/>
    <w:rsid w:val="001A4328"/>
    <w:rsid w:val="001B33B8"/>
    <w:rsid w:val="001C066E"/>
    <w:rsid w:val="001C2776"/>
    <w:rsid w:val="001E2198"/>
    <w:rsid w:val="001F204E"/>
    <w:rsid w:val="001F72B0"/>
    <w:rsid w:val="0020072C"/>
    <w:rsid w:val="00201AFE"/>
    <w:rsid w:val="002338DF"/>
    <w:rsid w:val="00244C55"/>
    <w:rsid w:val="002537BB"/>
    <w:rsid w:val="00272276"/>
    <w:rsid w:val="00274EAF"/>
    <w:rsid w:val="002822AB"/>
    <w:rsid w:val="00291889"/>
    <w:rsid w:val="002A2845"/>
    <w:rsid w:val="002A2E13"/>
    <w:rsid w:val="002A5DE4"/>
    <w:rsid w:val="002A729D"/>
    <w:rsid w:val="002B549E"/>
    <w:rsid w:val="002D324E"/>
    <w:rsid w:val="002E0EED"/>
    <w:rsid w:val="002F7384"/>
    <w:rsid w:val="00326181"/>
    <w:rsid w:val="00326ABB"/>
    <w:rsid w:val="00361689"/>
    <w:rsid w:val="0038030D"/>
    <w:rsid w:val="003844BD"/>
    <w:rsid w:val="00395706"/>
    <w:rsid w:val="00395841"/>
    <w:rsid w:val="003A7E76"/>
    <w:rsid w:val="003B1FB4"/>
    <w:rsid w:val="003B427B"/>
    <w:rsid w:val="003D12EA"/>
    <w:rsid w:val="003D2C90"/>
    <w:rsid w:val="003D4A01"/>
    <w:rsid w:val="003F42C4"/>
    <w:rsid w:val="003F64FC"/>
    <w:rsid w:val="003F6D4F"/>
    <w:rsid w:val="004045DB"/>
    <w:rsid w:val="00407841"/>
    <w:rsid w:val="00413C4E"/>
    <w:rsid w:val="00414F5A"/>
    <w:rsid w:val="00440340"/>
    <w:rsid w:val="0045600A"/>
    <w:rsid w:val="004565E2"/>
    <w:rsid w:val="00457E75"/>
    <w:rsid w:val="00472E18"/>
    <w:rsid w:val="00483123"/>
    <w:rsid w:val="00490A14"/>
    <w:rsid w:val="00493BE7"/>
    <w:rsid w:val="004A3055"/>
    <w:rsid w:val="004B516A"/>
    <w:rsid w:val="004C7AEF"/>
    <w:rsid w:val="004E161E"/>
    <w:rsid w:val="004E181C"/>
    <w:rsid w:val="004E6191"/>
    <w:rsid w:val="004E6B4A"/>
    <w:rsid w:val="00502643"/>
    <w:rsid w:val="00517BEC"/>
    <w:rsid w:val="005269DB"/>
    <w:rsid w:val="00526F50"/>
    <w:rsid w:val="005319CC"/>
    <w:rsid w:val="0054485C"/>
    <w:rsid w:val="00551FF2"/>
    <w:rsid w:val="00574D98"/>
    <w:rsid w:val="005818EE"/>
    <w:rsid w:val="005872C8"/>
    <w:rsid w:val="005A2826"/>
    <w:rsid w:val="005B6721"/>
    <w:rsid w:val="005B7919"/>
    <w:rsid w:val="005C4498"/>
    <w:rsid w:val="005C7883"/>
    <w:rsid w:val="005D422F"/>
    <w:rsid w:val="005D4745"/>
    <w:rsid w:val="005D61EA"/>
    <w:rsid w:val="005D69B1"/>
    <w:rsid w:val="005D749C"/>
    <w:rsid w:val="005E624B"/>
    <w:rsid w:val="005F3750"/>
    <w:rsid w:val="00605051"/>
    <w:rsid w:val="00611AA7"/>
    <w:rsid w:val="00621A39"/>
    <w:rsid w:val="00622232"/>
    <w:rsid w:val="00624431"/>
    <w:rsid w:val="006251CE"/>
    <w:rsid w:val="006566F9"/>
    <w:rsid w:val="00675060"/>
    <w:rsid w:val="00683FD8"/>
    <w:rsid w:val="006A1169"/>
    <w:rsid w:val="006C581B"/>
    <w:rsid w:val="006E50AF"/>
    <w:rsid w:val="006F4D7B"/>
    <w:rsid w:val="00701916"/>
    <w:rsid w:val="00703F8D"/>
    <w:rsid w:val="00732123"/>
    <w:rsid w:val="007573DC"/>
    <w:rsid w:val="00771359"/>
    <w:rsid w:val="007726F3"/>
    <w:rsid w:val="00793393"/>
    <w:rsid w:val="007961A8"/>
    <w:rsid w:val="007A6084"/>
    <w:rsid w:val="007B4105"/>
    <w:rsid w:val="007C3B48"/>
    <w:rsid w:val="007D0741"/>
    <w:rsid w:val="007F2F68"/>
    <w:rsid w:val="0083027B"/>
    <w:rsid w:val="00835572"/>
    <w:rsid w:val="00844747"/>
    <w:rsid w:val="0086581A"/>
    <w:rsid w:val="00873D39"/>
    <w:rsid w:val="0087406A"/>
    <w:rsid w:val="00875C1E"/>
    <w:rsid w:val="00883966"/>
    <w:rsid w:val="008931CA"/>
    <w:rsid w:val="008C5258"/>
    <w:rsid w:val="008E3FFA"/>
    <w:rsid w:val="008E5BD1"/>
    <w:rsid w:val="008F28CA"/>
    <w:rsid w:val="009110B0"/>
    <w:rsid w:val="00915608"/>
    <w:rsid w:val="00916566"/>
    <w:rsid w:val="00925F96"/>
    <w:rsid w:val="00926053"/>
    <w:rsid w:val="00927AB2"/>
    <w:rsid w:val="00940CE4"/>
    <w:rsid w:val="009553D5"/>
    <w:rsid w:val="00980FE9"/>
    <w:rsid w:val="009A4065"/>
    <w:rsid w:val="009B4840"/>
    <w:rsid w:val="009D0A1A"/>
    <w:rsid w:val="009D4B6B"/>
    <w:rsid w:val="009F1E0F"/>
    <w:rsid w:val="009F2261"/>
    <w:rsid w:val="00A24B48"/>
    <w:rsid w:val="00A26EF1"/>
    <w:rsid w:val="00A27B53"/>
    <w:rsid w:val="00A34A1E"/>
    <w:rsid w:val="00A41627"/>
    <w:rsid w:val="00A41F38"/>
    <w:rsid w:val="00A51E1E"/>
    <w:rsid w:val="00A53140"/>
    <w:rsid w:val="00A572BF"/>
    <w:rsid w:val="00A650DA"/>
    <w:rsid w:val="00A72DD5"/>
    <w:rsid w:val="00A77037"/>
    <w:rsid w:val="00A8557E"/>
    <w:rsid w:val="00A908D8"/>
    <w:rsid w:val="00A921C3"/>
    <w:rsid w:val="00AA03D0"/>
    <w:rsid w:val="00AA6C20"/>
    <w:rsid w:val="00AB130D"/>
    <w:rsid w:val="00AC4BAC"/>
    <w:rsid w:val="00AD6D1E"/>
    <w:rsid w:val="00AE10B5"/>
    <w:rsid w:val="00AE3CEA"/>
    <w:rsid w:val="00B01216"/>
    <w:rsid w:val="00B20E49"/>
    <w:rsid w:val="00B333F7"/>
    <w:rsid w:val="00B36007"/>
    <w:rsid w:val="00B424C7"/>
    <w:rsid w:val="00B43A9C"/>
    <w:rsid w:val="00B60660"/>
    <w:rsid w:val="00B70C0F"/>
    <w:rsid w:val="00B71820"/>
    <w:rsid w:val="00B72A26"/>
    <w:rsid w:val="00B80BA5"/>
    <w:rsid w:val="00B91CFC"/>
    <w:rsid w:val="00BA34EA"/>
    <w:rsid w:val="00BB09BC"/>
    <w:rsid w:val="00BB0E60"/>
    <w:rsid w:val="00BB295F"/>
    <w:rsid w:val="00BC2251"/>
    <w:rsid w:val="00BC3954"/>
    <w:rsid w:val="00BD343D"/>
    <w:rsid w:val="00BD3AC5"/>
    <w:rsid w:val="00BE1002"/>
    <w:rsid w:val="00BE4F30"/>
    <w:rsid w:val="00BF1498"/>
    <w:rsid w:val="00BF489D"/>
    <w:rsid w:val="00BF6C5A"/>
    <w:rsid w:val="00C11A4D"/>
    <w:rsid w:val="00C17348"/>
    <w:rsid w:val="00C23FE8"/>
    <w:rsid w:val="00C33531"/>
    <w:rsid w:val="00C41D3B"/>
    <w:rsid w:val="00C533DA"/>
    <w:rsid w:val="00C57B68"/>
    <w:rsid w:val="00C67FF5"/>
    <w:rsid w:val="00C70F04"/>
    <w:rsid w:val="00C722D7"/>
    <w:rsid w:val="00C731A3"/>
    <w:rsid w:val="00C81D07"/>
    <w:rsid w:val="00C8359C"/>
    <w:rsid w:val="00C85CAF"/>
    <w:rsid w:val="00C943E6"/>
    <w:rsid w:val="00CA3C4D"/>
    <w:rsid w:val="00CC0EA2"/>
    <w:rsid w:val="00CC556E"/>
    <w:rsid w:val="00CF123B"/>
    <w:rsid w:val="00CF554D"/>
    <w:rsid w:val="00CF7ABB"/>
    <w:rsid w:val="00D00205"/>
    <w:rsid w:val="00D02129"/>
    <w:rsid w:val="00D02E3E"/>
    <w:rsid w:val="00D260F4"/>
    <w:rsid w:val="00D400C2"/>
    <w:rsid w:val="00D41415"/>
    <w:rsid w:val="00D44215"/>
    <w:rsid w:val="00D455FB"/>
    <w:rsid w:val="00D4598D"/>
    <w:rsid w:val="00D50673"/>
    <w:rsid w:val="00D515E2"/>
    <w:rsid w:val="00D53283"/>
    <w:rsid w:val="00D74101"/>
    <w:rsid w:val="00D74915"/>
    <w:rsid w:val="00D83765"/>
    <w:rsid w:val="00DA27B7"/>
    <w:rsid w:val="00DA7338"/>
    <w:rsid w:val="00DE035B"/>
    <w:rsid w:val="00E031BE"/>
    <w:rsid w:val="00E038D1"/>
    <w:rsid w:val="00E065B9"/>
    <w:rsid w:val="00E068E8"/>
    <w:rsid w:val="00E12EF3"/>
    <w:rsid w:val="00E36840"/>
    <w:rsid w:val="00E57D93"/>
    <w:rsid w:val="00E665AD"/>
    <w:rsid w:val="00E76772"/>
    <w:rsid w:val="00E86CD7"/>
    <w:rsid w:val="00E945BB"/>
    <w:rsid w:val="00EA5B88"/>
    <w:rsid w:val="00EB3F48"/>
    <w:rsid w:val="00EC6DE6"/>
    <w:rsid w:val="00ED405B"/>
    <w:rsid w:val="00ED5C46"/>
    <w:rsid w:val="00EE4666"/>
    <w:rsid w:val="00EF3A35"/>
    <w:rsid w:val="00F06D65"/>
    <w:rsid w:val="00F07614"/>
    <w:rsid w:val="00F07D14"/>
    <w:rsid w:val="00F12423"/>
    <w:rsid w:val="00F2297A"/>
    <w:rsid w:val="00F3193F"/>
    <w:rsid w:val="00F411FF"/>
    <w:rsid w:val="00F47F1C"/>
    <w:rsid w:val="00F5500C"/>
    <w:rsid w:val="00F554FE"/>
    <w:rsid w:val="00F700DE"/>
    <w:rsid w:val="00F76FF6"/>
    <w:rsid w:val="00F90BC0"/>
    <w:rsid w:val="00F94B40"/>
    <w:rsid w:val="00F95BA6"/>
    <w:rsid w:val="00F96A33"/>
    <w:rsid w:val="00FA154D"/>
    <w:rsid w:val="00FA2828"/>
    <w:rsid w:val="00FA61E7"/>
    <w:rsid w:val="00FB2408"/>
    <w:rsid w:val="00FC2AAF"/>
    <w:rsid w:val="00FF7A0C"/>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09864"/>
  <w15:docId w15:val="{99DD1366-882D-48AA-B897-2781CE5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5AD"/>
  </w:style>
  <w:style w:type="paragraph" w:styleId="Heading1">
    <w:name w:val="heading 1"/>
    <w:basedOn w:val="Normal"/>
    <w:link w:val="Heading1Char"/>
    <w:uiPriority w:val="9"/>
    <w:qFormat/>
    <w:rsid w:val="00E368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57D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68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DE4"/>
    <w:pPr>
      <w:ind w:left="720"/>
      <w:contextualSpacing/>
    </w:pPr>
  </w:style>
  <w:style w:type="character" w:styleId="CommentReference">
    <w:name w:val="annotation reference"/>
    <w:basedOn w:val="DefaultParagraphFont"/>
    <w:uiPriority w:val="99"/>
    <w:semiHidden/>
    <w:unhideWhenUsed/>
    <w:rsid w:val="00A27B53"/>
    <w:rPr>
      <w:sz w:val="16"/>
      <w:szCs w:val="16"/>
    </w:rPr>
  </w:style>
  <w:style w:type="paragraph" w:styleId="CommentText">
    <w:name w:val="annotation text"/>
    <w:basedOn w:val="Normal"/>
    <w:link w:val="CommentTextChar"/>
    <w:uiPriority w:val="99"/>
    <w:unhideWhenUsed/>
    <w:rsid w:val="00A27B53"/>
    <w:pPr>
      <w:spacing w:line="240" w:lineRule="auto"/>
    </w:pPr>
    <w:rPr>
      <w:sz w:val="20"/>
      <w:szCs w:val="20"/>
    </w:rPr>
  </w:style>
  <w:style w:type="character" w:customStyle="1" w:styleId="CommentTextChar">
    <w:name w:val="Comment Text Char"/>
    <w:basedOn w:val="DefaultParagraphFont"/>
    <w:link w:val="CommentText"/>
    <w:uiPriority w:val="99"/>
    <w:rsid w:val="00A27B53"/>
    <w:rPr>
      <w:sz w:val="20"/>
      <w:szCs w:val="20"/>
    </w:rPr>
  </w:style>
  <w:style w:type="paragraph" w:styleId="CommentSubject">
    <w:name w:val="annotation subject"/>
    <w:basedOn w:val="CommentText"/>
    <w:next w:val="CommentText"/>
    <w:link w:val="CommentSubjectChar"/>
    <w:uiPriority w:val="99"/>
    <w:semiHidden/>
    <w:unhideWhenUsed/>
    <w:rsid w:val="00A27B53"/>
    <w:rPr>
      <w:b/>
      <w:bCs/>
    </w:rPr>
  </w:style>
  <w:style w:type="character" w:customStyle="1" w:styleId="CommentSubjectChar">
    <w:name w:val="Comment Subject Char"/>
    <w:basedOn w:val="CommentTextChar"/>
    <w:link w:val="CommentSubject"/>
    <w:uiPriority w:val="99"/>
    <w:semiHidden/>
    <w:rsid w:val="00A27B53"/>
    <w:rPr>
      <w:b/>
      <w:bCs/>
      <w:sz w:val="20"/>
      <w:szCs w:val="20"/>
    </w:rPr>
  </w:style>
  <w:style w:type="paragraph" w:styleId="BalloonText">
    <w:name w:val="Balloon Text"/>
    <w:basedOn w:val="Normal"/>
    <w:link w:val="BalloonTextChar"/>
    <w:uiPriority w:val="99"/>
    <w:semiHidden/>
    <w:unhideWhenUsed/>
    <w:rsid w:val="00A27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53"/>
    <w:rPr>
      <w:rFonts w:ascii="Segoe UI" w:hAnsi="Segoe UI" w:cs="Segoe UI"/>
      <w:sz w:val="18"/>
      <w:szCs w:val="18"/>
    </w:rPr>
  </w:style>
  <w:style w:type="paragraph" w:styleId="NoSpacing">
    <w:name w:val="No Spacing"/>
    <w:uiPriority w:val="1"/>
    <w:qFormat/>
    <w:rsid w:val="00D260F4"/>
    <w:pPr>
      <w:spacing w:after="0" w:line="240" w:lineRule="auto"/>
    </w:pPr>
  </w:style>
  <w:style w:type="paragraph" w:styleId="Header">
    <w:name w:val="header"/>
    <w:basedOn w:val="Normal"/>
    <w:link w:val="HeaderChar"/>
    <w:uiPriority w:val="99"/>
    <w:unhideWhenUsed/>
    <w:rsid w:val="00D26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0F4"/>
  </w:style>
  <w:style w:type="character" w:styleId="Hyperlink">
    <w:name w:val="Hyperlink"/>
    <w:basedOn w:val="DefaultParagraphFont"/>
    <w:uiPriority w:val="99"/>
    <w:unhideWhenUsed/>
    <w:rsid w:val="00201AFE"/>
    <w:rPr>
      <w:color w:val="0563C1" w:themeColor="hyperlink"/>
      <w:u w:val="single"/>
    </w:rPr>
  </w:style>
  <w:style w:type="character" w:customStyle="1" w:styleId="UnresolvedMention1">
    <w:name w:val="Unresolved Mention1"/>
    <w:basedOn w:val="DefaultParagraphFont"/>
    <w:uiPriority w:val="99"/>
    <w:semiHidden/>
    <w:unhideWhenUsed/>
    <w:rsid w:val="00201AFE"/>
    <w:rPr>
      <w:color w:val="605E5C"/>
      <w:shd w:val="clear" w:color="auto" w:fill="E1DFDD"/>
    </w:rPr>
  </w:style>
  <w:style w:type="paragraph" w:styleId="NormalWeb">
    <w:name w:val="Normal (Web)"/>
    <w:basedOn w:val="Normal"/>
    <w:uiPriority w:val="99"/>
    <w:unhideWhenUsed/>
    <w:rsid w:val="00E368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6840"/>
    <w:rPr>
      <w:i/>
      <w:iCs/>
    </w:rPr>
  </w:style>
  <w:style w:type="character" w:customStyle="1" w:styleId="Heading1Char">
    <w:name w:val="Heading 1 Char"/>
    <w:basedOn w:val="DefaultParagraphFont"/>
    <w:link w:val="Heading1"/>
    <w:uiPriority w:val="9"/>
    <w:rsid w:val="00E3684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36840"/>
    <w:rPr>
      <w:rFonts w:asciiTheme="majorHAnsi" w:eastAsiaTheme="majorEastAsia" w:hAnsiTheme="majorHAnsi" w:cstheme="majorBidi"/>
      <w:color w:val="1F3763" w:themeColor="accent1" w:themeShade="7F"/>
      <w:sz w:val="24"/>
      <w:szCs w:val="24"/>
    </w:rPr>
  </w:style>
  <w:style w:type="character" w:customStyle="1" w:styleId="source-link">
    <w:name w:val="source-link"/>
    <w:basedOn w:val="DefaultParagraphFont"/>
    <w:rsid w:val="00E57D93"/>
  </w:style>
  <w:style w:type="character" w:customStyle="1" w:styleId="creator-type-label">
    <w:name w:val="creator-type-label"/>
    <w:basedOn w:val="DefaultParagraphFont"/>
    <w:rsid w:val="00E57D93"/>
  </w:style>
  <w:style w:type="character" w:customStyle="1" w:styleId="Heading2Char">
    <w:name w:val="Heading 2 Char"/>
    <w:basedOn w:val="DefaultParagraphFont"/>
    <w:link w:val="Heading2"/>
    <w:uiPriority w:val="9"/>
    <w:semiHidden/>
    <w:rsid w:val="00E57D93"/>
    <w:rPr>
      <w:rFonts w:asciiTheme="majorHAnsi" w:eastAsiaTheme="majorEastAsia" w:hAnsiTheme="majorHAnsi" w:cstheme="majorBidi"/>
      <w:color w:val="2F5496" w:themeColor="accent1" w:themeShade="BF"/>
      <w:sz w:val="26"/>
      <w:szCs w:val="26"/>
    </w:rPr>
  </w:style>
  <w:style w:type="paragraph" w:customStyle="1" w:styleId="bibtop">
    <w:name w:val="bibtop"/>
    <w:basedOn w:val="Normal"/>
    <w:rsid w:val="00E57D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DefaultParagraphFont"/>
    <w:rsid w:val="00B70C0F"/>
  </w:style>
  <w:style w:type="character" w:styleId="Strong">
    <w:name w:val="Strong"/>
    <w:basedOn w:val="DefaultParagraphFont"/>
    <w:uiPriority w:val="22"/>
    <w:qFormat/>
    <w:rsid w:val="00B70C0F"/>
    <w:rPr>
      <w:b/>
      <w:bCs/>
    </w:rPr>
  </w:style>
  <w:style w:type="paragraph" w:customStyle="1" w:styleId="views-row">
    <w:name w:val="views-row"/>
    <w:basedOn w:val="Normal"/>
    <w:rsid w:val="00B70C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A650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F72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s">
    <w:name w:val="authors"/>
    <w:basedOn w:val="DefaultParagraphFont"/>
    <w:rsid w:val="001F72B0"/>
  </w:style>
  <w:style w:type="character" w:customStyle="1" w:styleId="Date1">
    <w:name w:val="Date1"/>
    <w:basedOn w:val="DefaultParagraphFont"/>
    <w:rsid w:val="001F72B0"/>
  </w:style>
  <w:style w:type="character" w:customStyle="1" w:styleId="arttitle">
    <w:name w:val="art_title"/>
    <w:basedOn w:val="DefaultParagraphFont"/>
    <w:rsid w:val="001F72B0"/>
  </w:style>
  <w:style w:type="character" w:customStyle="1" w:styleId="serialtitle">
    <w:name w:val="serial_title"/>
    <w:basedOn w:val="DefaultParagraphFont"/>
    <w:rsid w:val="001F72B0"/>
  </w:style>
  <w:style w:type="character" w:customStyle="1" w:styleId="volumeissue">
    <w:name w:val="volume_issue"/>
    <w:basedOn w:val="DefaultParagraphFont"/>
    <w:rsid w:val="001F72B0"/>
  </w:style>
  <w:style w:type="character" w:customStyle="1" w:styleId="pagerange">
    <w:name w:val="page_range"/>
    <w:basedOn w:val="DefaultParagraphFont"/>
    <w:rsid w:val="001F72B0"/>
  </w:style>
  <w:style w:type="character" w:customStyle="1" w:styleId="doilink">
    <w:name w:val="doi_link"/>
    <w:basedOn w:val="DefaultParagraphFont"/>
    <w:rsid w:val="001F72B0"/>
  </w:style>
  <w:style w:type="paragraph" w:styleId="Footer">
    <w:name w:val="footer"/>
    <w:basedOn w:val="Normal"/>
    <w:link w:val="FooterChar"/>
    <w:uiPriority w:val="99"/>
    <w:unhideWhenUsed/>
    <w:rsid w:val="00517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BEC"/>
  </w:style>
  <w:style w:type="paragraph" w:styleId="Date">
    <w:name w:val="Date"/>
    <w:basedOn w:val="Normal"/>
    <w:next w:val="Normal"/>
    <w:link w:val="DateChar"/>
    <w:uiPriority w:val="99"/>
    <w:semiHidden/>
    <w:unhideWhenUsed/>
    <w:rsid w:val="0086581A"/>
  </w:style>
  <w:style w:type="character" w:customStyle="1" w:styleId="DateChar">
    <w:name w:val="Date Char"/>
    <w:basedOn w:val="DefaultParagraphFont"/>
    <w:link w:val="Date"/>
    <w:uiPriority w:val="99"/>
    <w:semiHidden/>
    <w:rsid w:val="0086581A"/>
  </w:style>
  <w:style w:type="character" w:styleId="FollowedHyperlink">
    <w:name w:val="FollowedHyperlink"/>
    <w:basedOn w:val="DefaultParagraphFont"/>
    <w:uiPriority w:val="99"/>
    <w:semiHidden/>
    <w:unhideWhenUsed/>
    <w:rsid w:val="009D0A1A"/>
    <w:rPr>
      <w:color w:val="954F72" w:themeColor="followedHyperlink"/>
      <w:u w:val="single"/>
    </w:rPr>
  </w:style>
  <w:style w:type="paragraph" w:styleId="FootnoteText">
    <w:name w:val="footnote text"/>
    <w:basedOn w:val="Normal"/>
    <w:link w:val="FootnoteTextChar"/>
    <w:uiPriority w:val="99"/>
    <w:semiHidden/>
    <w:unhideWhenUsed/>
    <w:rsid w:val="002A7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29D"/>
    <w:rPr>
      <w:sz w:val="20"/>
      <w:szCs w:val="20"/>
    </w:rPr>
  </w:style>
  <w:style w:type="character" w:styleId="FootnoteReference">
    <w:name w:val="footnote reference"/>
    <w:basedOn w:val="DefaultParagraphFont"/>
    <w:uiPriority w:val="99"/>
    <w:semiHidden/>
    <w:unhideWhenUsed/>
    <w:rsid w:val="002A729D"/>
    <w:rPr>
      <w:vertAlign w:val="superscript"/>
    </w:rPr>
  </w:style>
  <w:style w:type="paragraph" w:styleId="Revision">
    <w:name w:val="Revision"/>
    <w:hidden/>
    <w:uiPriority w:val="99"/>
    <w:semiHidden/>
    <w:rsid w:val="00040024"/>
    <w:pPr>
      <w:spacing w:after="0" w:line="240" w:lineRule="auto"/>
    </w:pPr>
  </w:style>
  <w:style w:type="character" w:customStyle="1" w:styleId="UnresolvedMention">
    <w:name w:val="Unresolved Mention"/>
    <w:basedOn w:val="DefaultParagraphFont"/>
    <w:uiPriority w:val="99"/>
    <w:semiHidden/>
    <w:unhideWhenUsed/>
    <w:rsid w:val="001A4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6172">
      <w:bodyDiv w:val="1"/>
      <w:marLeft w:val="0"/>
      <w:marRight w:val="0"/>
      <w:marTop w:val="0"/>
      <w:marBottom w:val="0"/>
      <w:divBdr>
        <w:top w:val="none" w:sz="0" w:space="0" w:color="auto"/>
        <w:left w:val="none" w:sz="0" w:space="0" w:color="auto"/>
        <w:bottom w:val="none" w:sz="0" w:space="0" w:color="auto"/>
        <w:right w:val="none" w:sz="0" w:space="0" w:color="auto"/>
      </w:divBdr>
      <w:divsChild>
        <w:div w:id="2034570644">
          <w:marLeft w:val="0"/>
          <w:marRight w:val="0"/>
          <w:marTop w:val="0"/>
          <w:marBottom w:val="150"/>
          <w:divBdr>
            <w:top w:val="none" w:sz="0" w:space="0" w:color="auto"/>
            <w:left w:val="none" w:sz="0" w:space="0" w:color="auto"/>
            <w:bottom w:val="none" w:sz="0" w:space="0" w:color="auto"/>
            <w:right w:val="none" w:sz="0" w:space="0" w:color="auto"/>
          </w:divBdr>
        </w:div>
        <w:div w:id="996037928">
          <w:marLeft w:val="0"/>
          <w:marRight w:val="0"/>
          <w:marTop w:val="0"/>
          <w:marBottom w:val="225"/>
          <w:divBdr>
            <w:top w:val="none" w:sz="0" w:space="0" w:color="auto"/>
            <w:left w:val="none" w:sz="0" w:space="0" w:color="auto"/>
            <w:bottom w:val="none" w:sz="0" w:space="0" w:color="auto"/>
            <w:right w:val="none" w:sz="0" w:space="0" w:color="auto"/>
          </w:divBdr>
          <w:divsChild>
            <w:div w:id="1936355571">
              <w:marLeft w:val="0"/>
              <w:marRight w:val="0"/>
              <w:marTop w:val="0"/>
              <w:marBottom w:val="0"/>
              <w:divBdr>
                <w:top w:val="none" w:sz="0" w:space="0" w:color="auto"/>
                <w:left w:val="none" w:sz="0" w:space="0" w:color="auto"/>
                <w:bottom w:val="none" w:sz="0" w:space="0" w:color="auto"/>
                <w:right w:val="none" w:sz="0" w:space="0" w:color="auto"/>
              </w:divBdr>
              <w:divsChild>
                <w:div w:id="1900551585">
                  <w:marLeft w:val="0"/>
                  <w:marRight w:val="0"/>
                  <w:marTop w:val="0"/>
                  <w:marBottom w:val="75"/>
                  <w:divBdr>
                    <w:top w:val="none" w:sz="0" w:space="0" w:color="auto"/>
                    <w:left w:val="none" w:sz="0" w:space="0" w:color="auto"/>
                    <w:bottom w:val="none" w:sz="0" w:space="0" w:color="auto"/>
                    <w:right w:val="none" w:sz="0" w:space="0" w:color="auto"/>
                  </w:divBdr>
                </w:div>
                <w:div w:id="336083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05724">
      <w:bodyDiv w:val="1"/>
      <w:marLeft w:val="0"/>
      <w:marRight w:val="0"/>
      <w:marTop w:val="0"/>
      <w:marBottom w:val="0"/>
      <w:divBdr>
        <w:top w:val="none" w:sz="0" w:space="0" w:color="auto"/>
        <w:left w:val="none" w:sz="0" w:space="0" w:color="auto"/>
        <w:bottom w:val="none" w:sz="0" w:space="0" w:color="auto"/>
        <w:right w:val="none" w:sz="0" w:space="0" w:color="auto"/>
      </w:divBdr>
    </w:div>
    <w:div w:id="374164157">
      <w:bodyDiv w:val="1"/>
      <w:marLeft w:val="0"/>
      <w:marRight w:val="0"/>
      <w:marTop w:val="0"/>
      <w:marBottom w:val="0"/>
      <w:divBdr>
        <w:top w:val="none" w:sz="0" w:space="0" w:color="auto"/>
        <w:left w:val="none" w:sz="0" w:space="0" w:color="auto"/>
        <w:bottom w:val="none" w:sz="0" w:space="0" w:color="auto"/>
        <w:right w:val="none" w:sz="0" w:space="0" w:color="auto"/>
      </w:divBdr>
      <w:divsChild>
        <w:div w:id="1809391565">
          <w:marLeft w:val="-225"/>
          <w:marRight w:val="-225"/>
          <w:marTop w:val="0"/>
          <w:marBottom w:val="0"/>
          <w:divBdr>
            <w:top w:val="none" w:sz="0" w:space="0" w:color="auto"/>
            <w:left w:val="none" w:sz="0" w:space="0" w:color="auto"/>
            <w:bottom w:val="none" w:sz="0" w:space="0" w:color="auto"/>
            <w:right w:val="none" w:sz="0" w:space="0" w:color="auto"/>
          </w:divBdr>
          <w:divsChild>
            <w:div w:id="21108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3252">
      <w:bodyDiv w:val="1"/>
      <w:marLeft w:val="0"/>
      <w:marRight w:val="0"/>
      <w:marTop w:val="0"/>
      <w:marBottom w:val="0"/>
      <w:divBdr>
        <w:top w:val="none" w:sz="0" w:space="0" w:color="auto"/>
        <w:left w:val="none" w:sz="0" w:space="0" w:color="auto"/>
        <w:bottom w:val="none" w:sz="0" w:space="0" w:color="auto"/>
        <w:right w:val="none" w:sz="0" w:space="0" w:color="auto"/>
      </w:divBdr>
      <w:divsChild>
        <w:div w:id="886187703">
          <w:marLeft w:val="0"/>
          <w:marRight w:val="0"/>
          <w:marTop w:val="0"/>
          <w:marBottom w:val="240"/>
          <w:divBdr>
            <w:top w:val="none" w:sz="0" w:space="0" w:color="auto"/>
            <w:left w:val="none" w:sz="0" w:space="0" w:color="auto"/>
            <w:bottom w:val="none" w:sz="0" w:space="0" w:color="auto"/>
            <w:right w:val="none" w:sz="0" w:space="0" w:color="auto"/>
          </w:divBdr>
          <w:divsChild>
            <w:div w:id="1038555332">
              <w:marLeft w:val="0"/>
              <w:marRight w:val="0"/>
              <w:marTop w:val="0"/>
              <w:marBottom w:val="0"/>
              <w:divBdr>
                <w:top w:val="none" w:sz="0" w:space="0" w:color="auto"/>
                <w:left w:val="none" w:sz="0" w:space="0" w:color="auto"/>
                <w:bottom w:val="none" w:sz="0" w:space="0" w:color="auto"/>
                <w:right w:val="none" w:sz="0" w:space="0" w:color="auto"/>
              </w:divBdr>
              <w:divsChild>
                <w:div w:id="556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5190">
          <w:marLeft w:val="0"/>
          <w:marRight w:val="0"/>
          <w:marTop w:val="0"/>
          <w:marBottom w:val="240"/>
          <w:divBdr>
            <w:top w:val="none" w:sz="0" w:space="0" w:color="auto"/>
            <w:left w:val="none" w:sz="0" w:space="0" w:color="auto"/>
            <w:bottom w:val="none" w:sz="0" w:space="0" w:color="auto"/>
            <w:right w:val="none" w:sz="0" w:space="0" w:color="auto"/>
          </w:divBdr>
          <w:divsChild>
            <w:div w:id="596906575">
              <w:marLeft w:val="0"/>
              <w:marRight w:val="0"/>
              <w:marTop w:val="0"/>
              <w:marBottom w:val="0"/>
              <w:divBdr>
                <w:top w:val="none" w:sz="0" w:space="0" w:color="auto"/>
                <w:left w:val="none" w:sz="0" w:space="0" w:color="auto"/>
                <w:bottom w:val="none" w:sz="0" w:space="0" w:color="auto"/>
                <w:right w:val="none" w:sz="0" w:space="0" w:color="auto"/>
              </w:divBdr>
              <w:divsChild>
                <w:div w:id="996543019">
                  <w:marLeft w:val="0"/>
                  <w:marRight w:val="0"/>
                  <w:marTop w:val="0"/>
                  <w:marBottom w:val="0"/>
                  <w:divBdr>
                    <w:top w:val="none" w:sz="0" w:space="0" w:color="auto"/>
                    <w:left w:val="none" w:sz="0" w:space="0" w:color="auto"/>
                    <w:bottom w:val="none" w:sz="0" w:space="0" w:color="auto"/>
                    <w:right w:val="none" w:sz="0" w:space="0" w:color="auto"/>
                  </w:divBdr>
                  <w:divsChild>
                    <w:div w:id="1483423293">
                      <w:marLeft w:val="0"/>
                      <w:marRight w:val="0"/>
                      <w:marTop w:val="0"/>
                      <w:marBottom w:val="0"/>
                      <w:divBdr>
                        <w:top w:val="none" w:sz="0" w:space="0" w:color="auto"/>
                        <w:left w:val="none" w:sz="0" w:space="0" w:color="auto"/>
                        <w:bottom w:val="none" w:sz="0" w:space="0" w:color="auto"/>
                        <w:right w:val="none" w:sz="0" w:space="0" w:color="auto"/>
                      </w:divBdr>
                      <w:divsChild>
                        <w:div w:id="15169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97605">
          <w:marLeft w:val="0"/>
          <w:marRight w:val="0"/>
          <w:marTop w:val="0"/>
          <w:marBottom w:val="240"/>
          <w:divBdr>
            <w:top w:val="none" w:sz="0" w:space="0" w:color="auto"/>
            <w:left w:val="none" w:sz="0" w:space="0" w:color="auto"/>
            <w:bottom w:val="none" w:sz="0" w:space="0" w:color="auto"/>
            <w:right w:val="none" w:sz="0" w:space="0" w:color="auto"/>
          </w:divBdr>
          <w:divsChild>
            <w:div w:id="1551652560">
              <w:marLeft w:val="0"/>
              <w:marRight w:val="0"/>
              <w:marTop w:val="0"/>
              <w:marBottom w:val="0"/>
              <w:divBdr>
                <w:top w:val="none" w:sz="0" w:space="0" w:color="auto"/>
                <w:left w:val="none" w:sz="0" w:space="0" w:color="auto"/>
                <w:bottom w:val="none" w:sz="0" w:space="0" w:color="auto"/>
                <w:right w:val="none" w:sz="0" w:space="0" w:color="auto"/>
              </w:divBdr>
              <w:divsChild>
                <w:div w:id="534199906">
                  <w:marLeft w:val="0"/>
                  <w:marRight w:val="0"/>
                  <w:marTop w:val="0"/>
                  <w:marBottom w:val="0"/>
                  <w:divBdr>
                    <w:top w:val="none" w:sz="0" w:space="0" w:color="auto"/>
                    <w:left w:val="none" w:sz="0" w:space="0" w:color="auto"/>
                    <w:bottom w:val="none" w:sz="0" w:space="0" w:color="auto"/>
                    <w:right w:val="none" w:sz="0" w:space="0" w:color="auto"/>
                  </w:divBdr>
                  <w:divsChild>
                    <w:div w:id="801969007">
                      <w:marLeft w:val="0"/>
                      <w:marRight w:val="0"/>
                      <w:marTop w:val="0"/>
                      <w:marBottom w:val="0"/>
                      <w:divBdr>
                        <w:top w:val="none" w:sz="0" w:space="0" w:color="auto"/>
                        <w:left w:val="none" w:sz="0" w:space="0" w:color="auto"/>
                        <w:bottom w:val="none" w:sz="0" w:space="0" w:color="auto"/>
                        <w:right w:val="none" w:sz="0" w:space="0" w:color="auto"/>
                      </w:divBdr>
                      <w:divsChild>
                        <w:div w:id="695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122916">
      <w:bodyDiv w:val="1"/>
      <w:marLeft w:val="0"/>
      <w:marRight w:val="0"/>
      <w:marTop w:val="0"/>
      <w:marBottom w:val="0"/>
      <w:divBdr>
        <w:top w:val="none" w:sz="0" w:space="0" w:color="auto"/>
        <w:left w:val="none" w:sz="0" w:space="0" w:color="auto"/>
        <w:bottom w:val="none" w:sz="0" w:space="0" w:color="auto"/>
        <w:right w:val="none" w:sz="0" w:space="0" w:color="auto"/>
      </w:divBdr>
      <w:divsChild>
        <w:div w:id="1976911020">
          <w:marLeft w:val="0"/>
          <w:marRight w:val="0"/>
          <w:marTop w:val="0"/>
          <w:marBottom w:val="0"/>
          <w:divBdr>
            <w:top w:val="none" w:sz="0" w:space="0" w:color="auto"/>
            <w:left w:val="none" w:sz="0" w:space="0" w:color="auto"/>
            <w:bottom w:val="none" w:sz="0" w:space="0" w:color="auto"/>
            <w:right w:val="none" w:sz="0" w:space="0" w:color="auto"/>
          </w:divBdr>
          <w:divsChild>
            <w:div w:id="1849252560">
              <w:marLeft w:val="0"/>
              <w:marRight w:val="0"/>
              <w:marTop w:val="0"/>
              <w:marBottom w:val="0"/>
              <w:divBdr>
                <w:top w:val="none" w:sz="0" w:space="0" w:color="auto"/>
                <w:left w:val="none" w:sz="0" w:space="0" w:color="auto"/>
                <w:bottom w:val="none" w:sz="0" w:space="0" w:color="auto"/>
                <w:right w:val="none" w:sz="0" w:space="0" w:color="auto"/>
              </w:divBdr>
              <w:divsChild>
                <w:div w:id="1410811675">
                  <w:marLeft w:val="0"/>
                  <w:marRight w:val="0"/>
                  <w:marTop w:val="0"/>
                  <w:marBottom w:val="150"/>
                  <w:divBdr>
                    <w:top w:val="none" w:sz="0" w:space="0" w:color="auto"/>
                    <w:left w:val="none" w:sz="0" w:space="0" w:color="auto"/>
                    <w:bottom w:val="none" w:sz="0" w:space="0" w:color="auto"/>
                    <w:right w:val="none" w:sz="0" w:space="0" w:color="auto"/>
                  </w:divBdr>
                  <w:divsChild>
                    <w:div w:id="2011180521">
                      <w:marLeft w:val="0"/>
                      <w:marRight w:val="150"/>
                      <w:marTop w:val="0"/>
                      <w:marBottom w:val="0"/>
                      <w:divBdr>
                        <w:top w:val="none" w:sz="0" w:space="0" w:color="auto"/>
                        <w:left w:val="none" w:sz="0" w:space="0" w:color="auto"/>
                        <w:bottom w:val="none" w:sz="0" w:space="0" w:color="auto"/>
                        <w:right w:val="none" w:sz="0" w:space="0" w:color="auto"/>
                      </w:divBdr>
                    </w:div>
                    <w:div w:id="12706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92193">
          <w:marLeft w:val="0"/>
          <w:marRight w:val="0"/>
          <w:marTop w:val="0"/>
          <w:marBottom w:val="0"/>
          <w:divBdr>
            <w:top w:val="none" w:sz="0" w:space="0" w:color="auto"/>
            <w:left w:val="none" w:sz="0" w:space="0" w:color="auto"/>
            <w:bottom w:val="none" w:sz="0" w:space="0" w:color="auto"/>
            <w:right w:val="none" w:sz="0" w:space="0" w:color="auto"/>
          </w:divBdr>
          <w:divsChild>
            <w:div w:id="251353857">
              <w:marLeft w:val="0"/>
              <w:marRight w:val="0"/>
              <w:marTop w:val="0"/>
              <w:marBottom w:val="0"/>
              <w:divBdr>
                <w:top w:val="none" w:sz="0" w:space="0" w:color="auto"/>
                <w:left w:val="none" w:sz="0" w:space="0" w:color="auto"/>
                <w:bottom w:val="none" w:sz="0" w:space="0" w:color="auto"/>
                <w:right w:val="none" w:sz="0" w:space="0" w:color="auto"/>
              </w:divBdr>
              <w:divsChild>
                <w:div w:id="948388732">
                  <w:marLeft w:val="0"/>
                  <w:marRight w:val="0"/>
                  <w:marTop w:val="0"/>
                  <w:marBottom w:val="0"/>
                  <w:divBdr>
                    <w:top w:val="none" w:sz="0" w:space="0" w:color="auto"/>
                    <w:left w:val="none" w:sz="0" w:space="0" w:color="auto"/>
                    <w:bottom w:val="none" w:sz="0" w:space="0" w:color="auto"/>
                    <w:right w:val="none" w:sz="0" w:space="0" w:color="auto"/>
                  </w:divBdr>
                  <w:divsChild>
                    <w:div w:id="72245279">
                      <w:marLeft w:val="0"/>
                      <w:marRight w:val="0"/>
                      <w:marTop w:val="0"/>
                      <w:marBottom w:val="0"/>
                      <w:divBdr>
                        <w:top w:val="none" w:sz="0" w:space="0" w:color="auto"/>
                        <w:left w:val="none" w:sz="0" w:space="0" w:color="auto"/>
                        <w:bottom w:val="none" w:sz="0" w:space="0" w:color="auto"/>
                        <w:right w:val="none" w:sz="0" w:space="0" w:color="auto"/>
                      </w:divBdr>
                      <w:divsChild>
                        <w:div w:id="2108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413287">
      <w:bodyDiv w:val="1"/>
      <w:marLeft w:val="0"/>
      <w:marRight w:val="0"/>
      <w:marTop w:val="0"/>
      <w:marBottom w:val="0"/>
      <w:divBdr>
        <w:top w:val="none" w:sz="0" w:space="0" w:color="auto"/>
        <w:left w:val="none" w:sz="0" w:space="0" w:color="auto"/>
        <w:bottom w:val="none" w:sz="0" w:space="0" w:color="auto"/>
        <w:right w:val="none" w:sz="0" w:space="0" w:color="auto"/>
      </w:divBdr>
    </w:div>
    <w:div w:id="679506147">
      <w:bodyDiv w:val="1"/>
      <w:marLeft w:val="0"/>
      <w:marRight w:val="0"/>
      <w:marTop w:val="0"/>
      <w:marBottom w:val="0"/>
      <w:divBdr>
        <w:top w:val="none" w:sz="0" w:space="0" w:color="auto"/>
        <w:left w:val="none" w:sz="0" w:space="0" w:color="auto"/>
        <w:bottom w:val="none" w:sz="0" w:space="0" w:color="auto"/>
        <w:right w:val="none" w:sz="0" w:space="0" w:color="auto"/>
      </w:divBdr>
    </w:div>
    <w:div w:id="770011386">
      <w:bodyDiv w:val="1"/>
      <w:marLeft w:val="0"/>
      <w:marRight w:val="0"/>
      <w:marTop w:val="0"/>
      <w:marBottom w:val="0"/>
      <w:divBdr>
        <w:top w:val="none" w:sz="0" w:space="0" w:color="auto"/>
        <w:left w:val="none" w:sz="0" w:space="0" w:color="auto"/>
        <w:bottom w:val="none" w:sz="0" w:space="0" w:color="auto"/>
        <w:right w:val="none" w:sz="0" w:space="0" w:color="auto"/>
      </w:divBdr>
    </w:div>
    <w:div w:id="801001468">
      <w:bodyDiv w:val="1"/>
      <w:marLeft w:val="0"/>
      <w:marRight w:val="0"/>
      <w:marTop w:val="0"/>
      <w:marBottom w:val="0"/>
      <w:divBdr>
        <w:top w:val="none" w:sz="0" w:space="0" w:color="auto"/>
        <w:left w:val="none" w:sz="0" w:space="0" w:color="auto"/>
        <w:bottom w:val="none" w:sz="0" w:space="0" w:color="auto"/>
        <w:right w:val="none" w:sz="0" w:space="0" w:color="auto"/>
      </w:divBdr>
    </w:div>
    <w:div w:id="825438059">
      <w:bodyDiv w:val="1"/>
      <w:marLeft w:val="0"/>
      <w:marRight w:val="0"/>
      <w:marTop w:val="0"/>
      <w:marBottom w:val="0"/>
      <w:divBdr>
        <w:top w:val="none" w:sz="0" w:space="0" w:color="auto"/>
        <w:left w:val="none" w:sz="0" w:space="0" w:color="auto"/>
        <w:bottom w:val="none" w:sz="0" w:space="0" w:color="auto"/>
        <w:right w:val="none" w:sz="0" w:space="0" w:color="auto"/>
      </w:divBdr>
      <w:divsChild>
        <w:div w:id="710767219">
          <w:marLeft w:val="0"/>
          <w:marRight w:val="0"/>
          <w:marTop w:val="0"/>
          <w:marBottom w:val="0"/>
          <w:divBdr>
            <w:top w:val="none" w:sz="0" w:space="0" w:color="auto"/>
            <w:left w:val="none" w:sz="0" w:space="0" w:color="auto"/>
            <w:bottom w:val="none" w:sz="0" w:space="0" w:color="auto"/>
            <w:right w:val="none" w:sz="0" w:space="0" w:color="auto"/>
          </w:divBdr>
          <w:divsChild>
            <w:div w:id="1823080806">
              <w:marLeft w:val="0"/>
              <w:marRight w:val="0"/>
              <w:marTop w:val="0"/>
              <w:marBottom w:val="0"/>
              <w:divBdr>
                <w:top w:val="none" w:sz="0" w:space="0" w:color="auto"/>
                <w:left w:val="none" w:sz="0" w:space="0" w:color="auto"/>
                <w:bottom w:val="none" w:sz="0" w:space="0" w:color="auto"/>
                <w:right w:val="none" w:sz="0" w:space="0" w:color="auto"/>
              </w:divBdr>
            </w:div>
          </w:divsChild>
        </w:div>
        <w:div w:id="783504542">
          <w:marLeft w:val="0"/>
          <w:marRight w:val="0"/>
          <w:marTop w:val="0"/>
          <w:marBottom w:val="0"/>
          <w:divBdr>
            <w:top w:val="none" w:sz="0" w:space="0" w:color="auto"/>
            <w:left w:val="none" w:sz="0" w:space="0" w:color="auto"/>
            <w:bottom w:val="none" w:sz="0" w:space="0" w:color="auto"/>
            <w:right w:val="none" w:sz="0" w:space="0" w:color="auto"/>
          </w:divBdr>
          <w:divsChild>
            <w:div w:id="1636332767">
              <w:marLeft w:val="0"/>
              <w:marRight w:val="0"/>
              <w:marTop w:val="0"/>
              <w:marBottom w:val="0"/>
              <w:divBdr>
                <w:top w:val="none" w:sz="0" w:space="0" w:color="auto"/>
                <w:left w:val="none" w:sz="0" w:space="0" w:color="auto"/>
                <w:bottom w:val="none" w:sz="0" w:space="0" w:color="auto"/>
                <w:right w:val="none" w:sz="0" w:space="0" w:color="auto"/>
              </w:divBdr>
              <w:divsChild>
                <w:div w:id="242030703">
                  <w:marLeft w:val="0"/>
                  <w:marRight w:val="0"/>
                  <w:marTop w:val="0"/>
                  <w:marBottom w:val="0"/>
                  <w:divBdr>
                    <w:top w:val="none" w:sz="0" w:space="0" w:color="auto"/>
                    <w:left w:val="none" w:sz="0" w:space="0" w:color="auto"/>
                    <w:bottom w:val="none" w:sz="0" w:space="0" w:color="auto"/>
                    <w:right w:val="none" w:sz="0" w:space="0" w:color="auto"/>
                  </w:divBdr>
                  <w:divsChild>
                    <w:div w:id="805665200">
                      <w:marLeft w:val="0"/>
                      <w:marRight w:val="0"/>
                      <w:marTop w:val="0"/>
                      <w:marBottom w:val="0"/>
                      <w:divBdr>
                        <w:top w:val="none" w:sz="0" w:space="0" w:color="auto"/>
                        <w:left w:val="none" w:sz="0" w:space="0" w:color="auto"/>
                        <w:bottom w:val="none" w:sz="0" w:space="0" w:color="auto"/>
                        <w:right w:val="none" w:sz="0" w:space="0" w:color="auto"/>
                      </w:divBdr>
                      <w:divsChild>
                        <w:div w:id="11940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2526">
          <w:marLeft w:val="0"/>
          <w:marRight w:val="0"/>
          <w:marTop w:val="0"/>
          <w:marBottom w:val="0"/>
          <w:divBdr>
            <w:top w:val="none" w:sz="0" w:space="0" w:color="auto"/>
            <w:left w:val="none" w:sz="0" w:space="0" w:color="auto"/>
            <w:bottom w:val="none" w:sz="0" w:space="0" w:color="auto"/>
            <w:right w:val="none" w:sz="0" w:space="0" w:color="auto"/>
          </w:divBdr>
          <w:divsChild>
            <w:div w:id="729497741">
              <w:marLeft w:val="0"/>
              <w:marRight w:val="0"/>
              <w:marTop w:val="0"/>
              <w:marBottom w:val="0"/>
              <w:divBdr>
                <w:top w:val="none" w:sz="0" w:space="0" w:color="auto"/>
                <w:left w:val="none" w:sz="0" w:space="0" w:color="auto"/>
                <w:bottom w:val="none" w:sz="0" w:space="0" w:color="auto"/>
                <w:right w:val="none" w:sz="0" w:space="0" w:color="auto"/>
              </w:divBdr>
              <w:divsChild>
                <w:div w:id="1392121582">
                  <w:marLeft w:val="0"/>
                  <w:marRight w:val="0"/>
                  <w:marTop w:val="0"/>
                  <w:marBottom w:val="0"/>
                  <w:divBdr>
                    <w:top w:val="none" w:sz="0" w:space="0" w:color="auto"/>
                    <w:left w:val="none" w:sz="0" w:space="0" w:color="auto"/>
                    <w:bottom w:val="none" w:sz="0" w:space="0" w:color="auto"/>
                    <w:right w:val="none" w:sz="0" w:space="0" w:color="auto"/>
                  </w:divBdr>
                  <w:divsChild>
                    <w:div w:id="1514606825">
                      <w:marLeft w:val="0"/>
                      <w:marRight w:val="0"/>
                      <w:marTop w:val="0"/>
                      <w:marBottom w:val="0"/>
                      <w:divBdr>
                        <w:top w:val="none" w:sz="0" w:space="0" w:color="auto"/>
                        <w:left w:val="none" w:sz="0" w:space="0" w:color="auto"/>
                        <w:bottom w:val="none" w:sz="0" w:space="0" w:color="auto"/>
                        <w:right w:val="none" w:sz="0" w:space="0" w:color="auto"/>
                      </w:divBdr>
                      <w:divsChild>
                        <w:div w:id="1634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91942">
          <w:marLeft w:val="0"/>
          <w:marRight w:val="0"/>
          <w:marTop w:val="0"/>
          <w:marBottom w:val="0"/>
          <w:divBdr>
            <w:top w:val="none" w:sz="0" w:space="0" w:color="auto"/>
            <w:left w:val="none" w:sz="0" w:space="0" w:color="auto"/>
            <w:bottom w:val="none" w:sz="0" w:space="0" w:color="auto"/>
            <w:right w:val="none" w:sz="0" w:space="0" w:color="auto"/>
          </w:divBdr>
          <w:divsChild>
            <w:div w:id="925917899">
              <w:marLeft w:val="0"/>
              <w:marRight w:val="0"/>
              <w:marTop w:val="0"/>
              <w:marBottom w:val="0"/>
              <w:divBdr>
                <w:top w:val="none" w:sz="0" w:space="0" w:color="auto"/>
                <w:left w:val="none" w:sz="0" w:space="0" w:color="auto"/>
                <w:bottom w:val="none" w:sz="0" w:space="0" w:color="auto"/>
                <w:right w:val="none" w:sz="0" w:space="0" w:color="auto"/>
              </w:divBdr>
              <w:divsChild>
                <w:div w:id="667949216">
                  <w:marLeft w:val="0"/>
                  <w:marRight w:val="0"/>
                  <w:marTop w:val="0"/>
                  <w:marBottom w:val="240"/>
                  <w:divBdr>
                    <w:top w:val="none" w:sz="0" w:space="0" w:color="auto"/>
                    <w:left w:val="none" w:sz="0" w:space="0" w:color="auto"/>
                    <w:bottom w:val="none" w:sz="0" w:space="0" w:color="auto"/>
                    <w:right w:val="none" w:sz="0" w:space="0" w:color="auto"/>
                  </w:divBdr>
                  <w:divsChild>
                    <w:div w:id="7814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3331">
          <w:marLeft w:val="150"/>
          <w:marRight w:val="0"/>
          <w:marTop w:val="0"/>
          <w:marBottom w:val="0"/>
          <w:divBdr>
            <w:top w:val="none" w:sz="0" w:space="0" w:color="auto"/>
            <w:left w:val="none" w:sz="0" w:space="0" w:color="auto"/>
            <w:bottom w:val="none" w:sz="0" w:space="0" w:color="auto"/>
            <w:right w:val="none" w:sz="0" w:space="0" w:color="auto"/>
          </w:divBdr>
          <w:divsChild>
            <w:div w:id="1629161936">
              <w:marLeft w:val="0"/>
              <w:marRight w:val="0"/>
              <w:marTop w:val="0"/>
              <w:marBottom w:val="0"/>
              <w:divBdr>
                <w:top w:val="none" w:sz="0" w:space="0" w:color="auto"/>
                <w:left w:val="none" w:sz="0" w:space="0" w:color="auto"/>
                <w:bottom w:val="none" w:sz="0" w:space="0" w:color="auto"/>
                <w:right w:val="none" w:sz="0" w:space="0" w:color="auto"/>
              </w:divBdr>
              <w:divsChild>
                <w:div w:id="487131336">
                  <w:marLeft w:val="0"/>
                  <w:marRight w:val="0"/>
                  <w:marTop w:val="0"/>
                  <w:marBottom w:val="0"/>
                  <w:divBdr>
                    <w:top w:val="none" w:sz="0" w:space="0" w:color="auto"/>
                    <w:left w:val="none" w:sz="0" w:space="0" w:color="auto"/>
                    <w:bottom w:val="none" w:sz="0" w:space="0" w:color="auto"/>
                    <w:right w:val="none" w:sz="0" w:space="0" w:color="auto"/>
                  </w:divBdr>
                  <w:divsChild>
                    <w:div w:id="13071405">
                      <w:marLeft w:val="0"/>
                      <w:marRight w:val="0"/>
                      <w:marTop w:val="0"/>
                      <w:marBottom w:val="0"/>
                      <w:divBdr>
                        <w:top w:val="none" w:sz="0" w:space="0" w:color="auto"/>
                        <w:left w:val="none" w:sz="0" w:space="0" w:color="auto"/>
                        <w:bottom w:val="none" w:sz="0" w:space="0" w:color="auto"/>
                        <w:right w:val="none" w:sz="0" w:space="0" w:color="auto"/>
                      </w:divBdr>
                      <w:divsChild>
                        <w:div w:id="17965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65424">
          <w:marLeft w:val="0"/>
          <w:marRight w:val="0"/>
          <w:marTop w:val="0"/>
          <w:marBottom w:val="0"/>
          <w:divBdr>
            <w:top w:val="none" w:sz="0" w:space="0" w:color="auto"/>
            <w:left w:val="none" w:sz="0" w:space="0" w:color="auto"/>
            <w:bottom w:val="none" w:sz="0" w:space="0" w:color="auto"/>
            <w:right w:val="none" w:sz="0" w:space="0" w:color="auto"/>
          </w:divBdr>
          <w:divsChild>
            <w:div w:id="195777472">
              <w:marLeft w:val="0"/>
              <w:marRight w:val="0"/>
              <w:marTop w:val="0"/>
              <w:marBottom w:val="0"/>
              <w:divBdr>
                <w:top w:val="none" w:sz="0" w:space="0" w:color="auto"/>
                <w:left w:val="none" w:sz="0" w:space="0" w:color="auto"/>
                <w:bottom w:val="none" w:sz="0" w:space="0" w:color="auto"/>
                <w:right w:val="none" w:sz="0" w:space="0" w:color="auto"/>
              </w:divBdr>
              <w:divsChild>
                <w:div w:id="889922015">
                  <w:marLeft w:val="0"/>
                  <w:marRight w:val="0"/>
                  <w:marTop w:val="0"/>
                  <w:marBottom w:val="0"/>
                  <w:divBdr>
                    <w:top w:val="none" w:sz="0" w:space="0" w:color="auto"/>
                    <w:left w:val="none" w:sz="0" w:space="0" w:color="auto"/>
                    <w:bottom w:val="none" w:sz="0" w:space="0" w:color="auto"/>
                    <w:right w:val="none" w:sz="0" w:space="0" w:color="auto"/>
                  </w:divBdr>
                  <w:divsChild>
                    <w:div w:id="2051293870">
                      <w:marLeft w:val="0"/>
                      <w:marRight w:val="0"/>
                      <w:marTop w:val="0"/>
                      <w:marBottom w:val="0"/>
                      <w:divBdr>
                        <w:top w:val="none" w:sz="0" w:space="0" w:color="auto"/>
                        <w:left w:val="none" w:sz="0" w:space="0" w:color="auto"/>
                        <w:bottom w:val="none" w:sz="0" w:space="0" w:color="auto"/>
                        <w:right w:val="none" w:sz="0" w:space="0" w:color="auto"/>
                      </w:divBdr>
                      <w:divsChild>
                        <w:div w:id="1939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121234">
      <w:bodyDiv w:val="1"/>
      <w:marLeft w:val="0"/>
      <w:marRight w:val="0"/>
      <w:marTop w:val="0"/>
      <w:marBottom w:val="0"/>
      <w:divBdr>
        <w:top w:val="none" w:sz="0" w:space="0" w:color="auto"/>
        <w:left w:val="none" w:sz="0" w:space="0" w:color="auto"/>
        <w:bottom w:val="none" w:sz="0" w:space="0" w:color="auto"/>
        <w:right w:val="none" w:sz="0" w:space="0" w:color="auto"/>
      </w:divBdr>
    </w:div>
    <w:div w:id="856425734">
      <w:bodyDiv w:val="1"/>
      <w:marLeft w:val="0"/>
      <w:marRight w:val="0"/>
      <w:marTop w:val="0"/>
      <w:marBottom w:val="0"/>
      <w:divBdr>
        <w:top w:val="none" w:sz="0" w:space="0" w:color="auto"/>
        <w:left w:val="none" w:sz="0" w:space="0" w:color="auto"/>
        <w:bottom w:val="none" w:sz="0" w:space="0" w:color="auto"/>
        <w:right w:val="none" w:sz="0" w:space="0" w:color="auto"/>
      </w:divBdr>
      <w:divsChild>
        <w:div w:id="1907714673">
          <w:marLeft w:val="0"/>
          <w:marRight w:val="0"/>
          <w:marTop w:val="0"/>
          <w:marBottom w:val="0"/>
          <w:divBdr>
            <w:top w:val="none" w:sz="0" w:space="0" w:color="auto"/>
            <w:left w:val="none" w:sz="0" w:space="0" w:color="auto"/>
            <w:bottom w:val="none" w:sz="0" w:space="0" w:color="auto"/>
            <w:right w:val="none" w:sz="0" w:space="0" w:color="auto"/>
          </w:divBdr>
        </w:div>
        <w:div w:id="150174445">
          <w:marLeft w:val="0"/>
          <w:marRight w:val="0"/>
          <w:marTop w:val="0"/>
          <w:marBottom w:val="0"/>
          <w:divBdr>
            <w:top w:val="none" w:sz="0" w:space="0" w:color="auto"/>
            <w:left w:val="none" w:sz="0" w:space="0" w:color="auto"/>
            <w:bottom w:val="none" w:sz="0" w:space="0" w:color="auto"/>
            <w:right w:val="none" w:sz="0" w:space="0" w:color="auto"/>
          </w:divBdr>
        </w:div>
        <w:div w:id="2142309631">
          <w:marLeft w:val="0"/>
          <w:marRight w:val="0"/>
          <w:marTop w:val="0"/>
          <w:marBottom w:val="0"/>
          <w:divBdr>
            <w:top w:val="none" w:sz="0" w:space="0" w:color="auto"/>
            <w:left w:val="none" w:sz="0" w:space="0" w:color="auto"/>
            <w:bottom w:val="none" w:sz="0" w:space="0" w:color="auto"/>
            <w:right w:val="none" w:sz="0" w:space="0" w:color="auto"/>
          </w:divBdr>
        </w:div>
        <w:div w:id="582641823">
          <w:marLeft w:val="0"/>
          <w:marRight w:val="0"/>
          <w:marTop w:val="0"/>
          <w:marBottom w:val="0"/>
          <w:divBdr>
            <w:top w:val="none" w:sz="0" w:space="0" w:color="auto"/>
            <w:left w:val="none" w:sz="0" w:space="0" w:color="auto"/>
            <w:bottom w:val="none" w:sz="0" w:space="0" w:color="auto"/>
            <w:right w:val="none" w:sz="0" w:space="0" w:color="auto"/>
          </w:divBdr>
        </w:div>
        <w:div w:id="987711090">
          <w:marLeft w:val="0"/>
          <w:marRight w:val="0"/>
          <w:marTop w:val="0"/>
          <w:marBottom w:val="0"/>
          <w:divBdr>
            <w:top w:val="none" w:sz="0" w:space="0" w:color="auto"/>
            <w:left w:val="none" w:sz="0" w:space="0" w:color="auto"/>
            <w:bottom w:val="none" w:sz="0" w:space="0" w:color="auto"/>
            <w:right w:val="none" w:sz="0" w:space="0" w:color="auto"/>
          </w:divBdr>
        </w:div>
        <w:div w:id="650712891">
          <w:marLeft w:val="0"/>
          <w:marRight w:val="0"/>
          <w:marTop w:val="0"/>
          <w:marBottom w:val="0"/>
          <w:divBdr>
            <w:top w:val="none" w:sz="0" w:space="0" w:color="auto"/>
            <w:left w:val="none" w:sz="0" w:space="0" w:color="auto"/>
            <w:bottom w:val="none" w:sz="0" w:space="0" w:color="auto"/>
            <w:right w:val="none" w:sz="0" w:space="0" w:color="auto"/>
          </w:divBdr>
        </w:div>
      </w:divsChild>
    </w:div>
    <w:div w:id="971179678">
      <w:bodyDiv w:val="1"/>
      <w:marLeft w:val="0"/>
      <w:marRight w:val="0"/>
      <w:marTop w:val="0"/>
      <w:marBottom w:val="0"/>
      <w:divBdr>
        <w:top w:val="none" w:sz="0" w:space="0" w:color="auto"/>
        <w:left w:val="none" w:sz="0" w:space="0" w:color="auto"/>
        <w:bottom w:val="none" w:sz="0" w:space="0" w:color="auto"/>
        <w:right w:val="none" w:sz="0" w:space="0" w:color="auto"/>
      </w:divBdr>
    </w:div>
    <w:div w:id="1257865212">
      <w:bodyDiv w:val="1"/>
      <w:marLeft w:val="0"/>
      <w:marRight w:val="0"/>
      <w:marTop w:val="0"/>
      <w:marBottom w:val="0"/>
      <w:divBdr>
        <w:top w:val="none" w:sz="0" w:space="0" w:color="auto"/>
        <w:left w:val="none" w:sz="0" w:space="0" w:color="auto"/>
        <w:bottom w:val="none" w:sz="0" w:space="0" w:color="auto"/>
        <w:right w:val="none" w:sz="0" w:space="0" w:color="auto"/>
      </w:divBdr>
    </w:div>
    <w:div w:id="1308047162">
      <w:bodyDiv w:val="1"/>
      <w:marLeft w:val="0"/>
      <w:marRight w:val="0"/>
      <w:marTop w:val="0"/>
      <w:marBottom w:val="0"/>
      <w:divBdr>
        <w:top w:val="none" w:sz="0" w:space="0" w:color="auto"/>
        <w:left w:val="none" w:sz="0" w:space="0" w:color="auto"/>
        <w:bottom w:val="none" w:sz="0" w:space="0" w:color="auto"/>
        <w:right w:val="none" w:sz="0" w:space="0" w:color="auto"/>
      </w:divBdr>
    </w:div>
    <w:div w:id="1381783589">
      <w:bodyDiv w:val="1"/>
      <w:marLeft w:val="0"/>
      <w:marRight w:val="0"/>
      <w:marTop w:val="0"/>
      <w:marBottom w:val="0"/>
      <w:divBdr>
        <w:top w:val="none" w:sz="0" w:space="0" w:color="auto"/>
        <w:left w:val="none" w:sz="0" w:space="0" w:color="auto"/>
        <w:bottom w:val="none" w:sz="0" w:space="0" w:color="auto"/>
        <w:right w:val="none" w:sz="0" w:space="0" w:color="auto"/>
      </w:divBdr>
    </w:div>
    <w:div w:id="1575123647">
      <w:bodyDiv w:val="1"/>
      <w:marLeft w:val="0"/>
      <w:marRight w:val="0"/>
      <w:marTop w:val="0"/>
      <w:marBottom w:val="0"/>
      <w:divBdr>
        <w:top w:val="none" w:sz="0" w:space="0" w:color="auto"/>
        <w:left w:val="none" w:sz="0" w:space="0" w:color="auto"/>
        <w:bottom w:val="none" w:sz="0" w:space="0" w:color="auto"/>
        <w:right w:val="none" w:sz="0" w:space="0" w:color="auto"/>
      </w:divBdr>
    </w:div>
    <w:div w:id="1762407957">
      <w:bodyDiv w:val="1"/>
      <w:marLeft w:val="0"/>
      <w:marRight w:val="0"/>
      <w:marTop w:val="0"/>
      <w:marBottom w:val="0"/>
      <w:divBdr>
        <w:top w:val="none" w:sz="0" w:space="0" w:color="auto"/>
        <w:left w:val="none" w:sz="0" w:space="0" w:color="auto"/>
        <w:bottom w:val="none" w:sz="0" w:space="0" w:color="auto"/>
        <w:right w:val="none" w:sz="0" w:space="0" w:color="auto"/>
      </w:divBdr>
    </w:div>
    <w:div w:id="1965381143">
      <w:bodyDiv w:val="1"/>
      <w:marLeft w:val="0"/>
      <w:marRight w:val="0"/>
      <w:marTop w:val="0"/>
      <w:marBottom w:val="0"/>
      <w:divBdr>
        <w:top w:val="none" w:sz="0" w:space="0" w:color="auto"/>
        <w:left w:val="none" w:sz="0" w:space="0" w:color="auto"/>
        <w:bottom w:val="none" w:sz="0" w:space="0" w:color="auto"/>
        <w:right w:val="none" w:sz="0" w:space="0" w:color="auto"/>
      </w:divBdr>
    </w:div>
    <w:div w:id="20164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cspres.co.uk" TargetMode="External"/><Relationship Id="rId13" Type="http://schemas.openxmlformats.org/officeDocument/2006/relationships/hyperlink" Target="https://tracktionerasmus.eu/project-information/" TargetMode="External"/><Relationship Id="rId18" Type="http://schemas.openxmlformats.org/officeDocument/2006/relationships/hyperlink" Target="https://doi.org/10.1080/03075070601004333" TargetMode="External"/><Relationship Id="rId26" Type="http://schemas.openxmlformats.org/officeDocument/2006/relationships/hyperlink" Target="https://doi.org/10.1080/03069885.2016.126644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2801/15844" TargetMode="External"/><Relationship Id="rId34" Type="http://schemas.openxmlformats.org/officeDocument/2006/relationships/hyperlink" Target="https://www.ed.gov/news/press-releases/us-department-education-proposes-overhaul-gainful-employment-regulations" TargetMode="External"/><Relationship Id="rId7" Type="http://schemas.openxmlformats.org/officeDocument/2006/relationships/endnotes" Target="endnotes.xml"/><Relationship Id="rId12" Type="http://schemas.openxmlformats.org/officeDocument/2006/relationships/hyperlink" Target="http://www.ehis.ee" TargetMode="External"/><Relationship Id="rId17" Type="http://schemas.openxmlformats.org/officeDocument/2006/relationships/hyperlink" Target="https://www.timeshighereducation.com/student/best-universities/best-universities-graduate-jobs-global-university-employability-ranking" TargetMode="External"/><Relationship Id="rId25" Type="http://schemas.openxmlformats.org/officeDocument/2006/relationships/hyperlink" Target="https://www.stats.govt.nz/integrated-data/integrated-data-infrastructure/" TargetMode="External"/><Relationship Id="rId33" Type="http://schemas.openxmlformats.org/officeDocument/2006/relationships/hyperlink" Target="https://doi.org/10.1057/hep.2011.26"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13596748.2019.1584439" TargetMode="External"/><Relationship Id="rId20" Type="http://schemas.openxmlformats.org/officeDocument/2006/relationships/hyperlink" Target="http://dx.doi.org/10.2801/72440" TargetMode="External"/><Relationship Id="rId29" Type="http://schemas.openxmlformats.org/officeDocument/2006/relationships/hyperlink" Target="https://www.education.govt.nz/assets/Documents/Ministry/consultations/Careers-System-Review-Cabinet-paper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counts.govt.nz/find-school" TargetMode="External"/><Relationship Id="rId24" Type="http://schemas.openxmlformats.org/officeDocument/2006/relationships/hyperlink" Target="https://www.timeshighereducation.com/opinion/richer-data-give-lie-poor-completion-rates-canada" TargetMode="External"/><Relationship Id="rId32" Type="http://schemas.openxmlformats.org/officeDocument/2006/relationships/hyperlink" Target="https://www.timeshighereducation.com/opinion/new-zealand-study-highlights-what-matters-he-access-and-succes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rning-glass.com" TargetMode="External"/><Relationship Id="rId23" Type="http://schemas.openxmlformats.org/officeDocument/2006/relationships/hyperlink" Target="https://www.parliament.vic.gov.au/925-eejsc/inquiry-into-career-advice-activities-in-victorian-schools" TargetMode="External"/><Relationship Id="rId28" Type="http://schemas.openxmlformats.org/officeDocument/2006/relationships/hyperlink" Target="https://www.nber.org/books/hoxb-2" TargetMode="External"/><Relationship Id="rId36" Type="http://schemas.openxmlformats.org/officeDocument/2006/relationships/hyperlink" Target="http://cdn.yougov.com/today_uk_import/YG-Archives-Lif-ECA-apprentice-100120.pdf" TargetMode="External"/><Relationship Id="rId10" Type="http://schemas.openxmlformats.org/officeDocument/2006/relationships/hyperlink" Target="mailto:P.J.Huddleston@warwick.ac.uk" TargetMode="External"/><Relationship Id="rId19" Type="http://schemas.openxmlformats.org/officeDocument/2006/relationships/hyperlink" Target="https://www.zippia.com/advice/best-college-state-getting-job-2018/" TargetMode="External"/><Relationship Id="rId31" Type="http://schemas.openxmlformats.org/officeDocument/2006/relationships/hyperlink" Target="https://www.smh.com.au/education/full-time-employment-rate-for-university-graduates-plummets-20190110-p50qlf.html" TargetMode="External"/><Relationship Id="rId4" Type="http://schemas.openxmlformats.org/officeDocument/2006/relationships/settings" Target="settings.xml"/><Relationship Id="rId9" Type="http://schemas.openxmlformats.org/officeDocument/2006/relationships/hyperlink" Target="mailto:M.B.Tomlinson@soton.ac.uk" TargetMode="External"/><Relationship Id="rId14" Type="http://schemas.openxmlformats.org/officeDocument/2006/relationships/hyperlink" Target="http://www.eqavet.eu/" TargetMode="External"/><Relationship Id="rId22" Type="http://schemas.openxmlformats.org/officeDocument/2006/relationships/hyperlink" Target="https://www.educationcounts.govt.nz/publications/80898/going-on-to,-and-achieving-in,-higher-level-tertiary-education" TargetMode="External"/><Relationship Id="rId27" Type="http://schemas.openxmlformats.org/officeDocument/2006/relationships/hyperlink" Target="https://www.universityworldnews.com/post.php?story=20101029223509813" TargetMode="External"/><Relationship Id="rId30" Type="http://schemas.openxmlformats.org/officeDocument/2006/relationships/hyperlink" Target="https://doi.org/10.1080/13596748.2013.755799" TargetMode="External"/><Relationship Id="rId35" Type="http://schemas.openxmlformats.org/officeDocument/2006/relationships/hyperlink" Target="https://www.timeshighereducation.com/features/graduate-earnings-rarely-afford-good-policy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A60C6-0F94-4251-BEBD-AFCD7AF8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30</Pages>
  <Words>11198</Words>
  <Characters>63829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Percy</dc:creator>
  <cp:lastModifiedBy>Michael Tomlinson</cp:lastModifiedBy>
  <cp:revision>14</cp:revision>
  <dcterms:created xsi:type="dcterms:W3CDTF">2019-06-11T15:20:00Z</dcterms:created>
  <dcterms:modified xsi:type="dcterms:W3CDTF">2019-06-21T09:07:00Z</dcterms:modified>
</cp:coreProperties>
</file>