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9C24D" w14:textId="0B44B589" w:rsidR="005B755B" w:rsidRPr="00D72360" w:rsidRDefault="00ED5576">
      <w:pPr>
        <w:rPr>
          <w:rFonts w:cstheme="minorHAnsi"/>
          <w:b/>
          <w:bCs/>
        </w:rPr>
      </w:pPr>
      <w:bookmarkStart w:id="0" w:name="_Hlk48126041"/>
      <w:r w:rsidRPr="00D72360">
        <w:rPr>
          <w:rFonts w:eastAsia="DejaVu Sans" w:cstheme="minorHAnsi"/>
          <w:b/>
          <w:lang w:val="nl-NL"/>
        </w:rPr>
        <w:t xml:space="preserve">Identifying </w:t>
      </w:r>
      <w:r w:rsidR="00B420C2" w:rsidRPr="00D72360">
        <w:rPr>
          <w:rFonts w:eastAsia="DejaVu Sans" w:cstheme="minorHAnsi"/>
          <w:b/>
          <w:lang w:val="nl-NL"/>
        </w:rPr>
        <w:t xml:space="preserve">agricultural </w:t>
      </w:r>
      <w:r w:rsidRPr="00D72360">
        <w:rPr>
          <w:rFonts w:eastAsia="DejaVu Sans" w:cstheme="minorHAnsi"/>
          <w:b/>
          <w:lang w:val="nl-NL"/>
        </w:rPr>
        <w:t>frontiers for modelling global cropland expansion</w:t>
      </w:r>
    </w:p>
    <w:bookmarkEnd w:id="0"/>
    <w:p w14:paraId="2C1FFA96" w14:textId="3EB4616E" w:rsidR="005B755B" w:rsidRPr="00D72360" w:rsidRDefault="00ED5576">
      <w:pPr>
        <w:rPr>
          <w:rFonts w:cstheme="minorHAnsi"/>
          <w:bCs/>
        </w:rPr>
      </w:pPr>
      <w:r w:rsidRPr="00D72360">
        <w:rPr>
          <w:rFonts w:cstheme="minorHAnsi"/>
          <w:bCs/>
        </w:rPr>
        <w:t>F</w:t>
      </w:r>
      <w:r w:rsidR="00795730" w:rsidRPr="00D72360">
        <w:rPr>
          <w:rFonts w:cstheme="minorHAnsi"/>
          <w:bCs/>
        </w:rPr>
        <w:t>elix</w:t>
      </w:r>
      <w:r w:rsidRPr="00D72360">
        <w:rPr>
          <w:rFonts w:cstheme="minorHAnsi"/>
          <w:bCs/>
        </w:rPr>
        <w:t xml:space="preserve"> Eigenbrod</w:t>
      </w:r>
      <w:r w:rsidRPr="00D72360">
        <w:rPr>
          <w:rFonts w:cstheme="minorHAnsi"/>
          <w:bCs/>
          <w:vertAlign w:val="superscript"/>
        </w:rPr>
        <w:t>1*</w:t>
      </w:r>
      <w:r w:rsidRPr="00D72360">
        <w:rPr>
          <w:rFonts w:cstheme="minorHAnsi"/>
          <w:bCs/>
        </w:rPr>
        <w:t>, Michael Beckmann</w:t>
      </w:r>
      <w:r w:rsidRPr="00D72360">
        <w:rPr>
          <w:rFonts w:cstheme="minorHAnsi"/>
          <w:bCs/>
          <w:vertAlign w:val="superscript"/>
        </w:rPr>
        <w:t>2</w:t>
      </w:r>
      <w:r w:rsidRPr="00D72360">
        <w:rPr>
          <w:rFonts w:cstheme="minorHAnsi"/>
          <w:bCs/>
        </w:rPr>
        <w:t>, Sebastian Dunnett</w:t>
      </w:r>
      <w:r w:rsidRPr="00D72360">
        <w:rPr>
          <w:rFonts w:cstheme="minorHAnsi"/>
          <w:bCs/>
          <w:vertAlign w:val="superscript"/>
        </w:rPr>
        <w:t>1</w:t>
      </w:r>
      <w:r w:rsidRPr="00D72360">
        <w:rPr>
          <w:rFonts w:cstheme="minorHAnsi"/>
          <w:bCs/>
        </w:rPr>
        <w:t>, Laura Graham</w:t>
      </w:r>
      <w:r w:rsidRPr="00D72360">
        <w:rPr>
          <w:rFonts w:cstheme="minorHAnsi"/>
          <w:bCs/>
          <w:vertAlign w:val="superscript"/>
        </w:rPr>
        <w:t>1</w:t>
      </w:r>
      <w:r w:rsidRPr="00D72360">
        <w:rPr>
          <w:rFonts w:cstheme="minorHAnsi"/>
          <w:bCs/>
        </w:rPr>
        <w:t>, Robert A. Holland</w:t>
      </w:r>
      <w:r w:rsidRPr="00D72360">
        <w:rPr>
          <w:rFonts w:cstheme="minorHAnsi"/>
          <w:bCs/>
          <w:vertAlign w:val="superscript"/>
        </w:rPr>
        <w:t>1</w:t>
      </w:r>
      <w:r w:rsidRPr="00D72360">
        <w:rPr>
          <w:rFonts w:cstheme="minorHAnsi"/>
          <w:bCs/>
        </w:rPr>
        <w:t>, Patrick Meyfroidt</w:t>
      </w:r>
      <w:r w:rsidRPr="00D72360">
        <w:rPr>
          <w:rFonts w:cstheme="minorHAnsi"/>
          <w:bCs/>
          <w:vertAlign w:val="superscript"/>
        </w:rPr>
        <w:t>3,4</w:t>
      </w:r>
      <w:r w:rsidRPr="00D72360">
        <w:rPr>
          <w:rFonts w:cstheme="minorHAnsi"/>
          <w:bCs/>
        </w:rPr>
        <w:t>, Ralf Seppelt</w:t>
      </w:r>
      <w:r w:rsidRPr="00D72360">
        <w:rPr>
          <w:rFonts w:cstheme="minorHAnsi"/>
          <w:bCs/>
          <w:vertAlign w:val="superscript"/>
        </w:rPr>
        <w:t>2,</w:t>
      </w:r>
      <w:r w:rsidR="009D2CF1" w:rsidRPr="00D72360">
        <w:rPr>
          <w:rFonts w:cstheme="minorHAnsi"/>
          <w:bCs/>
          <w:vertAlign w:val="superscript"/>
        </w:rPr>
        <w:t>5</w:t>
      </w:r>
      <w:r w:rsidR="00FA0760" w:rsidRPr="00D72360">
        <w:rPr>
          <w:rFonts w:cstheme="minorHAnsi"/>
          <w:bCs/>
          <w:vertAlign w:val="superscript"/>
        </w:rPr>
        <w:t>,</w:t>
      </w:r>
      <w:r w:rsidR="009D2CF1" w:rsidRPr="00D72360">
        <w:rPr>
          <w:rFonts w:cstheme="minorHAnsi"/>
          <w:bCs/>
          <w:vertAlign w:val="superscript"/>
        </w:rPr>
        <w:t>6</w:t>
      </w:r>
      <w:r w:rsidRPr="00D72360">
        <w:rPr>
          <w:rFonts w:cstheme="minorHAnsi"/>
          <w:bCs/>
        </w:rPr>
        <w:t xml:space="preserve">, </w:t>
      </w:r>
      <w:r w:rsidRPr="00D72360">
        <w:rPr>
          <w:rFonts w:cstheme="minorHAnsi"/>
          <w:lang w:val="en-US"/>
        </w:rPr>
        <w:t>Xiao-Peng Song</w:t>
      </w:r>
      <w:r w:rsidR="009D2CF1" w:rsidRPr="00D72360">
        <w:rPr>
          <w:rFonts w:cstheme="minorHAnsi"/>
          <w:vertAlign w:val="superscript"/>
          <w:lang w:val="en-US"/>
        </w:rPr>
        <w:t>7</w:t>
      </w:r>
      <w:r w:rsidRPr="00D72360">
        <w:rPr>
          <w:rFonts w:cstheme="minorHAnsi"/>
          <w:lang w:val="en-US"/>
        </w:rPr>
        <w:t xml:space="preserve">, </w:t>
      </w:r>
      <w:r w:rsidRPr="00D72360">
        <w:rPr>
          <w:rFonts w:cstheme="minorHAnsi"/>
          <w:bCs/>
        </w:rPr>
        <w:t>Rebecca Spake</w:t>
      </w:r>
      <w:r w:rsidRPr="00D72360">
        <w:rPr>
          <w:rFonts w:cstheme="minorHAnsi"/>
          <w:bCs/>
          <w:vertAlign w:val="superscript"/>
        </w:rPr>
        <w:t>1</w:t>
      </w:r>
      <w:r w:rsidRPr="00D72360">
        <w:rPr>
          <w:rFonts w:cstheme="minorHAnsi"/>
          <w:bCs/>
        </w:rPr>
        <w:t>, Tom</w:t>
      </w:r>
      <w:r w:rsidRPr="00D72360">
        <w:rPr>
          <w:rFonts w:cstheme="minorHAnsi"/>
          <w:bCs/>
          <w:lang w:val="cs-CZ"/>
        </w:rPr>
        <w:t>áš</w:t>
      </w:r>
      <w:r w:rsidRPr="00D72360">
        <w:rPr>
          <w:rFonts w:cstheme="minorHAnsi"/>
          <w:bCs/>
        </w:rPr>
        <w:t xml:space="preserve"> Václavík</w:t>
      </w:r>
      <w:r w:rsidR="009D2CF1" w:rsidRPr="00D72360">
        <w:rPr>
          <w:rFonts w:cstheme="minorHAnsi"/>
          <w:bCs/>
          <w:vertAlign w:val="superscript"/>
        </w:rPr>
        <w:t>8</w:t>
      </w:r>
      <w:r w:rsidRPr="00D72360">
        <w:rPr>
          <w:rFonts w:cstheme="minorHAnsi"/>
          <w:bCs/>
          <w:vertAlign w:val="superscript"/>
        </w:rPr>
        <w:t>,</w:t>
      </w:r>
      <w:r w:rsidR="009D2CF1" w:rsidRPr="00D72360">
        <w:rPr>
          <w:rFonts w:cstheme="minorHAnsi"/>
          <w:bCs/>
          <w:vertAlign w:val="superscript"/>
        </w:rPr>
        <w:t>9</w:t>
      </w:r>
      <w:r w:rsidRPr="00D72360">
        <w:rPr>
          <w:rFonts w:cstheme="minorHAnsi"/>
          <w:bCs/>
        </w:rPr>
        <w:t>, Peter H. Verburg</w:t>
      </w:r>
      <w:r w:rsidR="009D2CF1" w:rsidRPr="00D72360">
        <w:rPr>
          <w:rFonts w:cstheme="minorHAnsi"/>
          <w:bCs/>
          <w:vertAlign w:val="superscript"/>
        </w:rPr>
        <w:t>10</w:t>
      </w:r>
      <w:r w:rsidRPr="00D72360">
        <w:rPr>
          <w:rFonts w:cstheme="minorHAnsi"/>
          <w:bCs/>
          <w:vertAlign w:val="superscript"/>
        </w:rPr>
        <w:t>,1</w:t>
      </w:r>
      <w:r w:rsidR="009D2CF1" w:rsidRPr="00D72360">
        <w:rPr>
          <w:rFonts w:cstheme="minorHAnsi"/>
          <w:bCs/>
          <w:vertAlign w:val="superscript"/>
        </w:rPr>
        <w:t>1</w:t>
      </w:r>
      <w:r w:rsidRPr="00D72360">
        <w:rPr>
          <w:rFonts w:cstheme="minorHAnsi"/>
          <w:bCs/>
        </w:rPr>
        <w:t xml:space="preserve"> </w:t>
      </w:r>
    </w:p>
    <w:p w14:paraId="61DD14A5" w14:textId="2498D6D3" w:rsidR="005B755B" w:rsidRPr="00D72360" w:rsidRDefault="00ED5576">
      <w:pPr>
        <w:pStyle w:val="ListParagraph"/>
        <w:numPr>
          <w:ilvl w:val="0"/>
          <w:numId w:val="2"/>
        </w:numPr>
        <w:rPr>
          <w:rFonts w:cstheme="minorHAnsi"/>
          <w:bCs/>
        </w:rPr>
      </w:pPr>
      <w:r w:rsidRPr="00D72360">
        <w:rPr>
          <w:rFonts w:cstheme="minorHAnsi"/>
          <w:bCs/>
        </w:rPr>
        <w:t>School of Geography and Environmental Science, University of Southampton, UK</w:t>
      </w:r>
    </w:p>
    <w:p w14:paraId="61F714A7" w14:textId="77777777" w:rsidR="009D2CF1" w:rsidRPr="00D72360" w:rsidRDefault="00FA0760">
      <w:pPr>
        <w:pStyle w:val="ListParagraph"/>
        <w:numPr>
          <w:ilvl w:val="0"/>
          <w:numId w:val="2"/>
        </w:numPr>
        <w:rPr>
          <w:bCs/>
        </w:rPr>
      </w:pPr>
      <w:r w:rsidRPr="00D72360">
        <w:rPr>
          <w:rFonts w:cstheme="minorHAnsi"/>
          <w:bCs/>
        </w:rPr>
        <w:t>Department of Computational Landscape Ecology, UFZ—Helmholtz Centre for Environmental Research, 04318 Leipzig, Germany</w:t>
      </w:r>
      <w:r w:rsidR="00ED5576" w:rsidRPr="00D72360">
        <w:rPr>
          <w:bCs/>
        </w:rPr>
        <w:t xml:space="preserve"> </w:t>
      </w:r>
    </w:p>
    <w:p w14:paraId="0B45C86B" w14:textId="46ABA99A" w:rsidR="005B755B" w:rsidRPr="00D72360" w:rsidRDefault="00ED5576" w:rsidP="009D2CF1">
      <w:pPr>
        <w:pStyle w:val="ListParagraph"/>
        <w:numPr>
          <w:ilvl w:val="0"/>
          <w:numId w:val="2"/>
        </w:numPr>
        <w:rPr>
          <w:bCs/>
        </w:rPr>
      </w:pPr>
      <w:r w:rsidRPr="00D72360">
        <w:rPr>
          <w:bCs/>
        </w:rPr>
        <w:t>Earth and Life Institute,</w:t>
      </w:r>
      <w:r w:rsidR="009D2CF1" w:rsidRPr="00D72360">
        <w:rPr>
          <w:bCs/>
        </w:rPr>
        <w:t xml:space="preserve"> </w:t>
      </w:r>
      <w:proofErr w:type="spellStart"/>
      <w:r w:rsidRPr="00D72360">
        <w:rPr>
          <w:bCs/>
        </w:rPr>
        <w:t>UCLouvain</w:t>
      </w:r>
      <w:proofErr w:type="spellEnd"/>
      <w:r w:rsidRPr="00D72360">
        <w:rPr>
          <w:bCs/>
        </w:rPr>
        <w:t>, 1348 Louvain-la-</w:t>
      </w:r>
      <w:proofErr w:type="spellStart"/>
      <w:r w:rsidRPr="00D72360">
        <w:rPr>
          <w:bCs/>
        </w:rPr>
        <w:t>Neuve</w:t>
      </w:r>
      <w:proofErr w:type="spellEnd"/>
      <w:r w:rsidRPr="00D72360">
        <w:rPr>
          <w:bCs/>
        </w:rPr>
        <w:t>, Belgium</w:t>
      </w:r>
    </w:p>
    <w:p w14:paraId="32D2E35F" w14:textId="77777777" w:rsidR="00FA0760" w:rsidRPr="00D72360" w:rsidRDefault="00ED5576" w:rsidP="00FA0760">
      <w:pPr>
        <w:pStyle w:val="ListParagraph"/>
        <w:numPr>
          <w:ilvl w:val="0"/>
          <w:numId w:val="2"/>
        </w:numPr>
        <w:rPr>
          <w:bCs/>
        </w:rPr>
      </w:pPr>
      <w:r w:rsidRPr="00D72360">
        <w:rPr>
          <w:bCs/>
        </w:rPr>
        <w:t xml:space="preserve"> Fonds de la Recherche </w:t>
      </w:r>
      <w:proofErr w:type="spellStart"/>
      <w:r w:rsidRPr="00D72360">
        <w:rPr>
          <w:bCs/>
        </w:rPr>
        <w:t>Scientifique</w:t>
      </w:r>
      <w:proofErr w:type="spellEnd"/>
      <w:r w:rsidRPr="00D72360">
        <w:rPr>
          <w:bCs/>
        </w:rPr>
        <w:t xml:space="preserve"> (F.R.S.- FNRS), 1000 Brussels, Belgium</w:t>
      </w:r>
    </w:p>
    <w:p w14:paraId="7BA991FE" w14:textId="2C64D1D7" w:rsidR="00FA0760" w:rsidRPr="00D72360" w:rsidRDefault="00FA0760" w:rsidP="00FA0760">
      <w:pPr>
        <w:pStyle w:val="ListParagraph"/>
        <w:numPr>
          <w:ilvl w:val="0"/>
          <w:numId w:val="2"/>
        </w:numPr>
        <w:rPr>
          <w:bCs/>
        </w:rPr>
      </w:pPr>
      <w:proofErr w:type="spellStart"/>
      <w:r w:rsidRPr="00D72360">
        <w:t>iDiv</w:t>
      </w:r>
      <w:proofErr w:type="spellEnd"/>
      <w:r w:rsidRPr="00D72360">
        <w:t>—German Centre for Integrative Biodiversity Research, 04103 Leipzig, Germany.</w:t>
      </w:r>
    </w:p>
    <w:p w14:paraId="309BEA39" w14:textId="77777777" w:rsidR="00FA0760" w:rsidRPr="00D72360" w:rsidRDefault="00FA0760">
      <w:pPr>
        <w:pStyle w:val="ListParagraph"/>
        <w:numPr>
          <w:ilvl w:val="0"/>
          <w:numId w:val="2"/>
        </w:numPr>
        <w:rPr>
          <w:bCs/>
        </w:rPr>
      </w:pPr>
      <w:r w:rsidRPr="00D72360">
        <w:rPr>
          <w:bCs/>
        </w:rPr>
        <w:t>Institute of Geoscience &amp; Geography, Martin-Luther-University Halle-Wittenberg, 06099 Halle (Saale), Germany</w:t>
      </w:r>
    </w:p>
    <w:p w14:paraId="320599AB" w14:textId="58DCFB27" w:rsidR="005B755B" w:rsidRPr="00D72360" w:rsidRDefault="00ED5576">
      <w:pPr>
        <w:pStyle w:val="ListParagraph"/>
        <w:numPr>
          <w:ilvl w:val="0"/>
          <w:numId w:val="2"/>
        </w:numPr>
        <w:rPr>
          <w:bCs/>
        </w:rPr>
      </w:pPr>
      <w:r w:rsidRPr="00D72360">
        <w:rPr>
          <w:bCs/>
        </w:rPr>
        <w:t>Department of Geosciences, Texas Tech University, Lubbock, TX 79409, USA</w:t>
      </w:r>
    </w:p>
    <w:p w14:paraId="1BE5024D" w14:textId="77777777" w:rsidR="005B755B" w:rsidRPr="00D72360" w:rsidRDefault="00ED5576">
      <w:pPr>
        <w:pStyle w:val="ListParagraph"/>
        <w:numPr>
          <w:ilvl w:val="0"/>
          <w:numId w:val="2"/>
        </w:numPr>
        <w:rPr>
          <w:bCs/>
        </w:rPr>
      </w:pPr>
      <w:r w:rsidRPr="00D72360">
        <w:rPr>
          <w:bCs/>
        </w:rPr>
        <w:t xml:space="preserve">Department of Ecology and Environmental Sciences, Faculty of Science, </w:t>
      </w:r>
      <w:proofErr w:type="spellStart"/>
      <w:r w:rsidRPr="00D72360">
        <w:rPr>
          <w:bCs/>
        </w:rPr>
        <w:t>Palacký</w:t>
      </w:r>
      <w:proofErr w:type="spellEnd"/>
      <w:r w:rsidRPr="00D72360">
        <w:rPr>
          <w:bCs/>
        </w:rPr>
        <w:t xml:space="preserve"> University Olomouc, 78371 Olomouc, Czech Republic</w:t>
      </w:r>
    </w:p>
    <w:p w14:paraId="3B95FAE5" w14:textId="77777777" w:rsidR="005B755B" w:rsidRPr="00D72360" w:rsidRDefault="00ED5576">
      <w:pPr>
        <w:pStyle w:val="ListParagraph"/>
        <w:numPr>
          <w:ilvl w:val="0"/>
          <w:numId w:val="2"/>
        </w:numPr>
        <w:rPr>
          <w:bCs/>
        </w:rPr>
      </w:pPr>
      <w:r w:rsidRPr="00D72360">
        <w:rPr>
          <w:bCs/>
        </w:rPr>
        <w:t>Global Change Research Institute of the Czech Academy of Sciences, 60300 Brno, Czech Republic</w:t>
      </w:r>
    </w:p>
    <w:p w14:paraId="03C70281" w14:textId="77777777" w:rsidR="005B755B" w:rsidRPr="00D72360" w:rsidRDefault="00ED5576">
      <w:pPr>
        <w:pStyle w:val="ListParagraph"/>
        <w:numPr>
          <w:ilvl w:val="0"/>
          <w:numId w:val="2"/>
        </w:numPr>
        <w:rPr>
          <w:bCs/>
        </w:rPr>
      </w:pPr>
      <w:r w:rsidRPr="00D72360">
        <w:rPr>
          <w:bCs/>
        </w:rPr>
        <w:t xml:space="preserve">Institute for Environmental Studies, VU University Amsterdam, de </w:t>
      </w:r>
      <w:proofErr w:type="spellStart"/>
      <w:r w:rsidRPr="00D72360">
        <w:rPr>
          <w:bCs/>
        </w:rPr>
        <w:t>Boelelaan</w:t>
      </w:r>
      <w:proofErr w:type="spellEnd"/>
      <w:r w:rsidRPr="00D72360">
        <w:rPr>
          <w:bCs/>
        </w:rPr>
        <w:t xml:space="preserve"> 1087, 1081HV Amsterdam, the Netherlands</w:t>
      </w:r>
    </w:p>
    <w:p w14:paraId="04B7C424" w14:textId="77777777" w:rsidR="005B755B" w:rsidRPr="00D72360" w:rsidRDefault="00ED5576">
      <w:pPr>
        <w:pStyle w:val="ListParagraph"/>
        <w:numPr>
          <w:ilvl w:val="0"/>
          <w:numId w:val="2"/>
        </w:numPr>
        <w:rPr>
          <w:bCs/>
        </w:rPr>
      </w:pPr>
      <w:r w:rsidRPr="00D72360">
        <w:rPr>
          <w:bCs/>
        </w:rPr>
        <w:t xml:space="preserve">Swiss Federal Institute for Forest, Snow and Landscape Research, </w:t>
      </w:r>
      <w:proofErr w:type="spellStart"/>
      <w:r w:rsidRPr="00D72360">
        <w:rPr>
          <w:bCs/>
        </w:rPr>
        <w:t>Birmensdorf</w:t>
      </w:r>
      <w:proofErr w:type="spellEnd"/>
      <w:r w:rsidRPr="00D72360">
        <w:rPr>
          <w:bCs/>
        </w:rPr>
        <w:t>, Switzerland</w:t>
      </w:r>
    </w:p>
    <w:p w14:paraId="18EC522D" w14:textId="7A12123B" w:rsidR="005B755B" w:rsidRPr="00D72360" w:rsidRDefault="00ED5576">
      <w:pPr>
        <w:rPr>
          <w:bCs/>
        </w:rPr>
      </w:pPr>
      <w:r w:rsidRPr="00D72360">
        <w:rPr>
          <w:bCs/>
        </w:rPr>
        <w:t xml:space="preserve">* </w:t>
      </w:r>
      <w:r w:rsidR="00432736">
        <w:rPr>
          <w:bCs/>
        </w:rPr>
        <w:t>Lead contact</w:t>
      </w:r>
      <w:r w:rsidRPr="00D72360">
        <w:rPr>
          <w:bCs/>
        </w:rPr>
        <w:t xml:space="preserve">: </w:t>
      </w:r>
      <w:hyperlink r:id="rId8" w:history="1">
        <w:r w:rsidR="00620365" w:rsidRPr="00D72360">
          <w:rPr>
            <w:rStyle w:val="Hyperlink"/>
            <w:bCs/>
          </w:rPr>
          <w:t>f.eigenbrod@soton.ac.uk</w:t>
        </w:r>
      </w:hyperlink>
      <w:r w:rsidR="00620365" w:rsidRPr="00D72360">
        <w:rPr>
          <w:bCs/>
        </w:rPr>
        <w:t xml:space="preserve"> </w:t>
      </w:r>
    </w:p>
    <w:p w14:paraId="3D194B8F" w14:textId="77777777" w:rsidR="005B755B" w:rsidRPr="00D72360" w:rsidRDefault="00ED5576">
      <w:pPr>
        <w:rPr>
          <w:b/>
          <w:bCs/>
        </w:rPr>
      </w:pPr>
      <w:r w:rsidRPr="00D72360">
        <w:rPr>
          <w:b/>
          <w:bCs/>
        </w:rPr>
        <w:t>Abstract</w:t>
      </w:r>
    </w:p>
    <w:p w14:paraId="0E74842B" w14:textId="183C25C5" w:rsidR="005B755B" w:rsidRPr="00D72360" w:rsidRDefault="00C52D3C">
      <w:pPr>
        <w:rPr>
          <w:bCs/>
        </w:rPr>
      </w:pPr>
      <w:bookmarkStart w:id="1" w:name="_Hlk39224870"/>
      <w:r>
        <w:t>The</w:t>
      </w:r>
      <w:r w:rsidRPr="00D72360">
        <w:t xml:space="preserve"> increasing</w:t>
      </w:r>
      <w:r>
        <w:t xml:space="preserve"> expansion of cropland is</w:t>
      </w:r>
      <w:r w:rsidRPr="00D72360">
        <w:t xml:space="preserve"> major driver of global </w:t>
      </w:r>
      <w:r>
        <w:t>carbon emissions and biodiversity loss</w:t>
      </w:r>
      <w:r w:rsidR="00AB0C8F">
        <w:t>. However,</w:t>
      </w:r>
      <w:r>
        <w:t xml:space="preserve"> predicting </w:t>
      </w:r>
      <w:r w:rsidR="00ED5576" w:rsidRPr="00D72360">
        <w:rPr>
          <w:bCs/>
        </w:rPr>
        <w:t>plausible future</w:t>
      </w:r>
      <w:r w:rsidR="005C3AA6" w:rsidRPr="00D72360">
        <w:rPr>
          <w:bCs/>
        </w:rPr>
        <w:t xml:space="preserve"> global</w:t>
      </w:r>
      <w:r w:rsidR="00ED5576" w:rsidRPr="00D72360">
        <w:rPr>
          <w:bCs/>
        </w:rPr>
        <w:t xml:space="preserve"> distributions of croplands </w:t>
      </w:r>
      <w:r>
        <w:rPr>
          <w:bCs/>
        </w:rPr>
        <w:t>remains challenging</w:t>
      </w:r>
      <w:r w:rsidR="00ED5576" w:rsidRPr="00D72360">
        <w:rPr>
          <w:bCs/>
        </w:rPr>
        <w:t xml:space="preserve">. Here, </w:t>
      </w:r>
      <w:r w:rsidR="00ED5576" w:rsidRPr="00D72360">
        <w:t xml:space="preserve">we </w:t>
      </w:r>
      <w:r w:rsidR="00ED5576" w:rsidRPr="00D72360">
        <w:rPr>
          <w:bCs/>
        </w:rPr>
        <w:t xml:space="preserve">show that, in general, existing global data aligned with classical </w:t>
      </w:r>
      <w:r w:rsidR="007F1B3D" w:rsidRPr="00D72360">
        <w:rPr>
          <w:bCs/>
        </w:rPr>
        <w:t xml:space="preserve">economic </w:t>
      </w:r>
      <w:r w:rsidR="00ED5576" w:rsidRPr="00D72360">
        <w:rPr>
          <w:bCs/>
        </w:rPr>
        <w:t>theories of expansion explain the current (1992) global extent of cropland reasonably well, but not recent expansion (1992-2015)</w:t>
      </w:r>
      <w:r w:rsidR="00EC18E5" w:rsidRPr="00D72360">
        <w:rPr>
          <w:bCs/>
        </w:rPr>
        <w:t xml:space="preserve">. </w:t>
      </w:r>
      <w:r w:rsidR="007F1B3D" w:rsidRPr="00D72360">
        <w:rPr>
          <w:bCs/>
        </w:rPr>
        <w:t>D</w:t>
      </w:r>
      <w:r w:rsidR="00ED5576" w:rsidRPr="00D72360">
        <w:rPr>
          <w:bCs/>
        </w:rPr>
        <w:t>eviations from models of cropland extent in 1992</w:t>
      </w:r>
      <w:r w:rsidR="005C3AA6" w:rsidRPr="00D72360">
        <w:rPr>
          <w:bCs/>
        </w:rPr>
        <w:t xml:space="preserve"> (‘</w:t>
      </w:r>
      <w:proofErr w:type="spellStart"/>
      <w:r w:rsidR="005C3AA6" w:rsidRPr="00D72360">
        <w:rPr>
          <w:bCs/>
        </w:rPr>
        <w:t>frontierness</w:t>
      </w:r>
      <w:proofErr w:type="spellEnd"/>
      <w:r w:rsidR="005C3AA6" w:rsidRPr="00D72360">
        <w:rPr>
          <w:bCs/>
        </w:rPr>
        <w:t>’)</w:t>
      </w:r>
      <w:r w:rsidR="00ED5576" w:rsidRPr="00D72360">
        <w:rPr>
          <w:bCs/>
        </w:rPr>
        <w:t xml:space="preserve"> can be used to improve global models of recent expansion</w:t>
      </w:r>
      <w:r w:rsidR="002838BC" w:rsidRPr="00D72360">
        <w:rPr>
          <w:bCs/>
        </w:rPr>
        <w:t xml:space="preserve">, likely </w:t>
      </w:r>
      <w:r w:rsidR="008F1A16" w:rsidRPr="00D72360">
        <w:rPr>
          <w:bCs/>
        </w:rPr>
        <w:t xml:space="preserve">as these deviations </w:t>
      </w:r>
      <w:r w:rsidR="007F1B3D" w:rsidRPr="00D72360">
        <w:rPr>
          <w:bCs/>
        </w:rPr>
        <w:t xml:space="preserve">are a proxy for </w:t>
      </w:r>
      <w:r w:rsidR="002838BC" w:rsidRPr="00D72360">
        <w:rPr>
          <w:bCs/>
        </w:rPr>
        <w:t xml:space="preserve">cropland </w:t>
      </w:r>
      <w:r w:rsidR="007F1B3D" w:rsidRPr="00D72360">
        <w:rPr>
          <w:bCs/>
        </w:rPr>
        <w:t>expansion under frontier conditions</w:t>
      </w:r>
      <w:r w:rsidR="002838BC" w:rsidRPr="00D72360">
        <w:rPr>
          <w:bCs/>
        </w:rPr>
        <w:t xml:space="preserve"> where</w:t>
      </w:r>
      <w:r w:rsidR="007F1B3D" w:rsidRPr="00D72360">
        <w:rPr>
          <w:bCs/>
        </w:rPr>
        <w:t xml:space="preserve"> classical </w:t>
      </w:r>
      <w:r w:rsidR="002838BC" w:rsidRPr="00D72360">
        <w:rPr>
          <w:bCs/>
        </w:rPr>
        <w:t xml:space="preserve">economic </w:t>
      </w:r>
      <w:r w:rsidR="007F1B3D" w:rsidRPr="00D72360">
        <w:rPr>
          <w:bCs/>
        </w:rPr>
        <w:t>theories of expansion</w:t>
      </w:r>
      <w:r w:rsidR="002838BC" w:rsidRPr="00D72360">
        <w:rPr>
          <w:bCs/>
        </w:rPr>
        <w:t xml:space="preserve"> are less applicable</w:t>
      </w:r>
      <w:r w:rsidR="00ED5576" w:rsidRPr="00D72360">
        <w:rPr>
          <w:bCs/>
        </w:rPr>
        <w:t>.</w:t>
      </w:r>
      <w:r w:rsidR="007F1B3D" w:rsidRPr="00D72360">
        <w:rPr>
          <w:bCs/>
        </w:rPr>
        <w:t xml:space="preserve"> </w:t>
      </w:r>
      <w:proofErr w:type="spellStart"/>
      <w:r>
        <w:rPr>
          <w:bCs/>
        </w:rPr>
        <w:t>F</w:t>
      </w:r>
      <w:r w:rsidR="007F1B3D" w:rsidRPr="00D72360">
        <w:rPr>
          <w:bCs/>
        </w:rPr>
        <w:t>rontierness</w:t>
      </w:r>
      <w:proofErr w:type="spellEnd"/>
      <w:r w:rsidR="007F1B3D" w:rsidRPr="00D72360">
        <w:rPr>
          <w:bCs/>
        </w:rPr>
        <w:t xml:space="preserve"> is insensitive to the land cover dataset </w:t>
      </w:r>
      <w:proofErr w:type="gramStart"/>
      <w:r w:rsidR="007F1B3D" w:rsidRPr="00D72360">
        <w:rPr>
          <w:bCs/>
        </w:rPr>
        <w:t>used, and</w:t>
      </w:r>
      <w:proofErr w:type="gramEnd"/>
      <w:r w:rsidR="007F1B3D" w:rsidRPr="00D72360">
        <w:rPr>
          <w:bCs/>
        </w:rPr>
        <w:t xml:space="preserve"> is particularly effective in improving models that include mosaic land cover classes and </w:t>
      </w:r>
      <w:r w:rsidR="008F1A16" w:rsidRPr="00D72360">
        <w:rPr>
          <w:bCs/>
        </w:rPr>
        <w:t xml:space="preserve">the largely smallholder driven </w:t>
      </w:r>
      <w:r w:rsidR="004D51BD" w:rsidRPr="00D72360">
        <w:rPr>
          <w:bCs/>
        </w:rPr>
        <w:t xml:space="preserve">frontier </w:t>
      </w:r>
      <w:r w:rsidR="008F1A16" w:rsidRPr="00D72360">
        <w:rPr>
          <w:bCs/>
        </w:rPr>
        <w:t xml:space="preserve">expansion </w:t>
      </w:r>
      <w:r w:rsidR="004D51BD" w:rsidRPr="00D72360">
        <w:rPr>
          <w:bCs/>
        </w:rPr>
        <w:t>occurring</w:t>
      </w:r>
      <w:r w:rsidR="008F1A16" w:rsidRPr="00D72360">
        <w:rPr>
          <w:bCs/>
        </w:rPr>
        <w:t xml:space="preserve"> in such areas</w:t>
      </w:r>
      <w:r w:rsidR="007F1B3D" w:rsidRPr="00D72360">
        <w:rPr>
          <w:bCs/>
        </w:rPr>
        <w:t xml:space="preserve">. </w:t>
      </w:r>
      <w:r w:rsidR="008F1A16" w:rsidRPr="00D72360">
        <w:rPr>
          <w:bCs/>
        </w:rPr>
        <w:t xml:space="preserve"> </w:t>
      </w:r>
      <w:r w:rsidR="00ED5576" w:rsidRPr="00D72360">
        <w:rPr>
          <w:bCs/>
        </w:rPr>
        <w:t xml:space="preserve">Our findings have important implications </w:t>
      </w:r>
      <w:r>
        <w:rPr>
          <w:bCs/>
        </w:rPr>
        <w:t>as</w:t>
      </w:r>
      <w:r w:rsidR="007F1B3D" w:rsidRPr="00D72360">
        <w:rPr>
          <w:bCs/>
        </w:rPr>
        <w:t xml:space="preserve"> </w:t>
      </w:r>
      <w:r>
        <w:rPr>
          <w:bCs/>
        </w:rPr>
        <w:t xml:space="preserve">the </w:t>
      </w:r>
      <w:proofErr w:type="spellStart"/>
      <w:r w:rsidR="007F1B3D" w:rsidRPr="00D72360">
        <w:rPr>
          <w:bCs/>
        </w:rPr>
        <w:t>frontierness</w:t>
      </w:r>
      <w:proofErr w:type="spellEnd"/>
      <w:r w:rsidR="00023D61" w:rsidRPr="00D72360">
        <w:rPr>
          <w:bCs/>
        </w:rPr>
        <w:t xml:space="preserve"> approach</w:t>
      </w:r>
      <w:r w:rsidR="007F1B3D" w:rsidRPr="00D72360">
        <w:rPr>
          <w:bCs/>
        </w:rPr>
        <w:t xml:space="preserve"> offers a straightforward </w:t>
      </w:r>
      <w:r w:rsidR="00023D61" w:rsidRPr="00D72360">
        <w:rPr>
          <w:bCs/>
        </w:rPr>
        <w:t>way</w:t>
      </w:r>
      <w:r w:rsidR="007F1B3D" w:rsidRPr="00D72360">
        <w:rPr>
          <w:bCs/>
        </w:rPr>
        <w:t xml:space="preserve"> </w:t>
      </w:r>
      <w:r w:rsidR="00023D61" w:rsidRPr="00D72360">
        <w:rPr>
          <w:bCs/>
        </w:rPr>
        <w:t>to</w:t>
      </w:r>
      <w:r w:rsidR="007F1B3D" w:rsidRPr="00D72360">
        <w:rPr>
          <w:bCs/>
        </w:rPr>
        <w:t xml:space="preserve"> improv</w:t>
      </w:r>
      <w:r w:rsidR="00023D61" w:rsidRPr="00D72360">
        <w:rPr>
          <w:bCs/>
        </w:rPr>
        <w:t>e</w:t>
      </w:r>
      <w:r w:rsidR="007F1B3D" w:rsidRPr="00D72360">
        <w:rPr>
          <w:bCs/>
        </w:rPr>
        <w:t xml:space="preserve"> global land use change models</w:t>
      </w:r>
      <w:bookmarkEnd w:id="1"/>
      <w:r w:rsidR="007F1B3D" w:rsidRPr="00D72360">
        <w:rPr>
          <w:bCs/>
        </w:rPr>
        <w:t xml:space="preserve">. </w:t>
      </w:r>
    </w:p>
    <w:p w14:paraId="7F4DF038" w14:textId="77777777" w:rsidR="006A0A13" w:rsidRPr="00D72360" w:rsidRDefault="006A0A13">
      <w:pPr>
        <w:rPr>
          <w:b/>
          <w:bCs/>
        </w:rPr>
      </w:pPr>
      <w:r w:rsidRPr="00D72360">
        <w:rPr>
          <w:b/>
          <w:bCs/>
        </w:rPr>
        <w:br w:type="page"/>
      </w:r>
    </w:p>
    <w:p w14:paraId="26FF2995" w14:textId="4B866E9A" w:rsidR="005B755B" w:rsidRPr="00D72360" w:rsidRDefault="00ED5576">
      <w:r w:rsidRPr="00D72360">
        <w:rPr>
          <w:b/>
          <w:bCs/>
        </w:rPr>
        <w:lastRenderedPageBreak/>
        <w:t xml:space="preserve">Introduction                                                     </w:t>
      </w:r>
    </w:p>
    <w:p w14:paraId="25EB094E" w14:textId="58DE5542" w:rsidR="005B755B" w:rsidRPr="00D72360" w:rsidRDefault="00ED5576">
      <w:r w:rsidRPr="00D72360">
        <w:t xml:space="preserve">The increasing appropriation of land by humans is a major driver of global environmental change </w:t>
      </w:r>
      <w:r w:rsidRPr="00D72360">
        <w:fldChar w:fldCharType="begin" w:fldLock="1"/>
      </w:r>
      <w:r w:rsidR="0090126B" w:rsidRPr="00D72360">
        <w:instrText>ADDIN CSL_CITATION {"citationItems":[{"id":"ITEM-1","itemData":{"DOI":"10.1073/pnas.1217241110","ISBN":"0027-8424","ISSN":"0027-8424","PMID":"23630271","abstract":"Human use of land has transformed ecosystem pattern and process across most of the terrestrial biosphere, a global change often described as historically recent and potentially catastrophic for both humanity and the biosphere. Interdisciplinary paleoecological, archaeological, and historical studies challenge this view, indicating that land use has been extensive and sustained for millennia in some regions and that recent trends may represent as much a recovery as an acceleration. Here we synthesize recent scientific evidence and theory on the emergence, history, and future of land use as a process transforming the Earth System and use this to explain why relatively small human populations likely caused widespread and profound ecological changes more than 3,000 y ago, whereas the largest and wealthiest human populations in history are using less arable land per person every decade. Contrasting two spatially explicit global reconstructions of land-use history shows that reconstructions incorporating adaptive changes in land-use systems over time, including land-use intensification, offer a more spatially detailed and plausible assessment of our planet's history, with a biosphere and perhaps even climate long ago affected by humans. Although land-use processes are now shifting rapidly from historical patterns in both type and scale, integrative global land-use models that incorporate dynamic adaptations in human-environment relationships help to advance our understanding of both past and future land-use changes, including their sustainability and potential global effects.","author":[{"dropping-particle":"","family":"Ellis","given":"E. C.","non-dropping-particle":"","parse-names":false,"suffix":""},{"dropping-particle":"","family":"Kaplan","given":"J. O.","non-dropping-particle":"","parse-names":false,"suffix":""},{"dropping-particle":"","family":"Fuller","given":"D. Q.","non-dropping-particle":"","parse-names":false,"suffix":""},{"dropping-particle":"","family":"Vavrus","given":"S.","non-dropping-particle":"","parse-names":false,"suffix":""},{"dropping-particle":"","family":"Klein Goldewijk","given":"K.","non-dropping-particle":"","parse-names":false,"suffix":""},{"dropping-particle":"","family":"Verburg","given":"P. H.","non-dropping-particle":"","parse-names":false,"suffix":""}],"container-title":"Proceedings of the National Academy of Sciences","id":"ITEM-1","issue":"20","issued":{"date-parts":[["2013"]]},"page":"7978-7985","title":"Used planet: A global history","type":"article-journal","volume":"110"},"uris":["http://www.mendeley.com/documents/?uuid=2166fa6b-ed28-4e56-9c15-a876ca0b0697"]},{"id":"ITEM-2","itemData":{"DOI":"10.1073/pnas.0704243104","ISSN":"0027-8424","PMID":"17616580","abstract":"Human appropriation of net primary production (HANPP), the aggregate impact of land use on biomass available each year in ecosystems, is a prominent measure of the human domination of the biosphere. We present a comprehensive assessment of global HANPP based on vegetation modeling, agricultural and forestry statistics, and geographical information systems data on land use, land cover, and soil degradation that localizes human impact on ecosystems. We found an aggregate global HANPP value of 15.6 Pg C/yr or 23.8% of potential net primary productivity, of which 53% was contributed by harvest, 40% by land-use-induced productivity changes, and 7% by human-induced fires. This is a remarkable impact on the biosphere caused by just one species. We present maps quantifying human-induced changes in trophic energy flows in ecosystems that illustrate spatial patterns in the human domination of ecosystems, thus emphasizing land use as a pervasive factor of global importance. Land use transforms earth's terrestrial surface, resulting in changes in biogeochemical cycles and in the ability of ecosystems to deliver services critical to human well being. The results suggest that large-scale schemes to substitute biomass for fossil fuels should be viewed cautiously because massive additional pressures on ecosystems might result from increased biomass harvest.","author":[{"dropping-particle":"","family":"Haberl","given":"Helmut","non-dropping-particle":"","parse-names":false,"suffix":""},{"dropping-particle":"","family":"Erb","given":"K Heinz","non-dropping-particle":"","parse-names":false,"suffix":""},{"dropping-particle":"","family":"Krausmann","given":"Fridolin","non-dropping-particle":"","parse-names":false,"suffix":""},{"dropping-particle":"","family":"Gaube","given":"Veronika","non-dropping-particle":"","parse-names":false,"suffix":""},{"dropping-particle":"","family":"Bondeau","given":"Alberte","non-dropping-particle":"","parse-names":false,"suffix":""},{"dropping-particle":"","family":"Plutzar","given":"Christoph","non-dropping-particle":"","parse-names":false,"suffix":""},{"dropping-particle":"","family":"Gingrich","given":"Simone","non-dropping-particle":"","parse-names":false,"suffix":""},{"dropping-particle":"","family":"Lucht","given":"Wolfgang","non-dropping-particle":"","parse-names":false,"suffix":""},{"dropping-particle":"","family":"Fischer-Kowalski","given":"Marina","non-dropping-particle":"","parse-names":false,"suffix":""}],"container-title":"Proceedings of the National Academy of Sciences of the United States of America","id":"ITEM-2","issue":"31","issued":{"date-parts":[["2007","7","31"]]},"page":"12942-7","publisher":"National Academy of Sciences","title":"Quantifying and mapping the human appropriation of net primary production in earth's terrestrial ecosystems.","type":"article-journal","volume":"104"},"uris":["http://www.mendeley.com/documents/?uuid=0fc5ba7a-c4a0-3032-a40d-7cfaa4182fa7"]}],"mendeley":{"formattedCitation":"&lt;sup&gt;1,2&lt;/sup&gt;","plainTextFormattedCitation":"1,2","previouslyFormattedCitation":"&lt;sup&gt;1,2&lt;/sup&gt;"},"properties":{"noteIndex":0},"schema":"https://github.com/citation-style-language/schema/raw/master/csl-citation.json"}</w:instrText>
      </w:r>
      <w:r w:rsidRPr="00D72360">
        <w:fldChar w:fldCharType="separate"/>
      </w:r>
      <w:bookmarkStart w:id="2" w:name="__Fieldmark__4368_3027855847"/>
      <w:bookmarkStart w:id="3" w:name="__Fieldmark__15_3608161928"/>
      <w:bookmarkStart w:id="4" w:name="__Fieldmark__1639_531043149"/>
      <w:r w:rsidR="0090126B" w:rsidRPr="00D72360">
        <w:rPr>
          <w:noProof/>
          <w:vertAlign w:val="superscript"/>
        </w:rPr>
        <w:t>1,2</w:t>
      </w:r>
      <w:r w:rsidRPr="00D72360">
        <w:fldChar w:fldCharType="end"/>
      </w:r>
      <w:bookmarkEnd w:id="2"/>
      <w:bookmarkEnd w:id="3"/>
      <w:bookmarkEnd w:id="4"/>
      <w:r w:rsidRPr="00D72360">
        <w:t>. Cropland expansion is a particular issue, given the projected increase in demand for agricultural products driven by changing dietary patterns of a growing population, increased demand for land-based climate solutions</w:t>
      </w:r>
      <w:r w:rsidR="0041298A" w:rsidRPr="00D72360">
        <w:fldChar w:fldCharType="begin" w:fldLock="1"/>
      </w:r>
      <w:r w:rsidR="0090126B" w:rsidRPr="00D72360">
        <w:instrText xml:space="preserve">ADDIN CSL_CITATION {"citationItems":[{"id":"ITEM-1","itemData":{"DOI":"10.1073/pnas.1710465114","ISSN":"0027-8424","PMID":"29078344","abstract":"Better stewardship of land is needed to achieve the Paris Climate Agreement goal of holding warming to below 2 °C; however, confusion persists about the specific set of land stewardship options available and their mitigation potential. To address this, we identify and quantify “natural climate solutions” (NCS): 20 conservation, restoration, and improved land management actions that increase carbon storage and/or avoid greenhouse gas emissions across global forests, wetlands, grasslands, and agricultural lands. We find that the maximum potential of NCS—when constrained by food security, fiber security, and biodiversity conservation—is 23.8 petagrams of CO 2 equivalent (PgCO 2 e) y −1 (95% CI 20.3–37.4). This is </w:instrText>
      </w:r>
      <w:r w:rsidR="0090126B" w:rsidRPr="00D72360">
        <w:rPr>
          <w:rFonts w:hint="eastAsia"/>
        </w:rPr>
        <w:instrText>≥</w:instrText>
      </w:r>
      <w:r w:rsidR="0090126B" w:rsidRPr="00D72360">
        <w:instrText xml:space="preserve">30% higher than prior estimates, which did not include the full range of options and safeguards considered here. About half of this maximum (11.3 PgCO 2 e y −1 ) represents cost-effective climate mitigation, assuming the social cost of CO 2 pollution is </w:instrText>
      </w:r>
      <w:r w:rsidR="0090126B" w:rsidRPr="00D72360">
        <w:rPr>
          <w:rFonts w:hint="eastAsia"/>
        </w:rPr>
        <w:instrText>≥</w:instrText>
      </w:r>
      <w:r w:rsidR="0090126B" w:rsidRPr="00D72360">
        <w:instrText>100 USD MgCO 2 e −1 by 2030. Natural climate solutions can provide 37% of cost-effective CO 2 mitigation needed through 2030 for a &gt;66% chance of holding warming to below 2 °C. One-third of this cost-effective NCS mitigation can be delivered at or below 10 USD MgCO 2 −1 . Most NCS actions—if effectively implemented—also offer water filtration, flood buffering, soil health, biodiversity habitat, and enhanced climate resilience. Work remains to better constrain uncertainty of NCS mitigation estimates. Nevertheless, existing knowledge reported here provides a robust basis for immediate global action to improve ecosystem stewardship as a major solution to climate change.","author":[{"dropping-particle":"","family":"Griscom","given":"Bronson W.","non-dropping-particle":"","parse-names":false,"suffix":""},{"dropping-particle":"","family":"Adams","given":"Justin","non-dropping-particle":"","parse-names":false,"suffix":""},{"dropping-particle":"","family":"Ellis","given":"Peter W.","non-dropping-particle":"","parse-names":false,"suffix":""},{"dropping-particle":"","family":"Houghton","given":"Richard A.","non-dropping-particle":"","parse-names":false,"suffix":""},{"dropping-particle":"","family":"Lomax","given":"Guy","non-dropping-particle":"","parse-names":false,"suffix":""},{"dropping-particle":"","family":"Miteva","given":"Daniela A.","non-dropping-particle":"","parse-names":false,"suffix":""},{"dropping-particle":"","family":"Schlesinger","given":"William H.","non-dropping-particle":"","parse-names":false,"suffix":""},{"dropping-particle":"","family":"Shoch","given":"David","non-dropping-particle":"","parse-names":false,"suffix":""},{"dropping-particle":"V.","family":"Siikamäki","given":"Juha","non-dropping-particle":"","parse-names":false,"suffix":""},{"dropping-particle":"","family":"Smith","given":"Pete","non-dropping-particle":"","parse-names":false,"suffix":""},{"dropping-particle":"","family":"Woodbury","given":"Peter","non-dropping-particle":"","parse-names":false,"suffix":""},{"dropping-particle":"","family":"Zganjar","given":"Chris","non-dropping-particle":"","parse-names":false,"suffix":""},{"dropping-particle":"","family":"Blackman","given":"Allen","non-dropping-particle":"","parse-names":false,"suffix":""},{"dropping-particle":"","family":"Campari","given":"João","non-dropping-particle":"","parse-names":false,"suffix":""},{"dropping-particle":"","family":"Conant","given":"Richard T.","non-dropping-particle":"","parse-names":false,"suffix":""},{"dropping-particle":"","family":"Delgado","given":"Christopher","non-dropping-particle":"","parse-names":false,"suffix":""},{"dropping-particle":"","family":"Elias","given":"Patricia","non-dropping-particle":"","parse-names":false,"suffix":""},{"dropping-particle":"","family":"Gopalakrishna","given":"Trisha","non-dropping-particle":"","parse-names":false,"suffix":""},{"dropping-particle":"","family":"Hamsik","given":"Marisa R.","non-dropping-particle":"","parse-names":false,"suffix":""},{"dropping-particle":"","family":"Herrero","given":"Mario","non-dropping-particle":"","parse-names":false,"suffix":""},{"dropping-particle":"","family":"Kiesecker","given":"Joseph","non-dropping-particle":"","parse-names":false,"suffix":""},{"dropping-particle":"","family":"Landis","given":"Emily","non-dropping-particle":"","parse-names":false,"suffix":""},{"dropping-particle":"","family":"Laestadius","given":"Lars","non-dropping-particle":"","parse-names":false,"suffix":""},{"dropping-particle":"","family":"Leavitt","given":"Sara M.","non-dropping-particle":"","parse-names":false,"suffix":""},{"dropping-particle":"","family":"Minnemeyer","given":"Susan","non-dropping-particle":"","parse-names":false,"suffix":""},{"dropping-particle":"","family":"Polasky","given":"Stephen","non-dropping-particle":"","parse-names":false,"suffix":""},{"dropping-particle":"","family":"Potapov","given":"Peter","non-dropping-particle":"","parse-names":false,"suffix":""},{"dropping-particle":"","family":"Putz","given":"Francis E.","non-dropping-particle":"","parse-names":false,"suffix":""},{"dropping-particle":"","family":"Sanderman","given":"Jonathan","non-dropping-particle":"","parse-names":false,"suffix":""},{"dropping-particle":"","family":"Silvius","given":"Marcel","non-dropping-particle":"","parse-names":false,"suffix":""},{"dropping-particle":"","family":"Wollenberg","given":"Eva","non-dropping-particle":"","parse-names":false,"suffix":""},{"dropping-particle":"","family":"Fargione","given":"Joseph","non-dropping-particle":"","parse-names":false,"suffix":""}],"container-title":"Proceedings of the National Academy of Sciences","id":"ITEM-1","issue":"44","issued":{"date-parts":[["2017","10","31"]]},"page":"11645-11650","title":"Natural climate solutions","type":"article-journal","volume":"114"},"uris":["http://www.mendeley.com/documents/?uuid=61f9022e-a359-47de-b4ab-370a56fc6b41"]}],"mendeley":{"formattedCitation":"&lt;sup&gt;3&lt;/sup&gt;","plainTextFormattedCitation":"3","previouslyFormattedCitation":"&lt;sup&gt;3&lt;/sup&gt;"},"properties":{"noteIndex":0},"schema":"https://github.com/citation-style-language/schema/raw/master/csl-citation.json"}</w:instrText>
      </w:r>
      <w:r w:rsidR="0041298A" w:rsidRPr="00D72360">
        <w:fldChar w:fldCharType="separate"/>
      </w:r>
      <w:r w:rsidR="0090126B" w:rsidRPr="00D72360">
        <w:rPr>
          <w:noProof/>
          <w:vertAlign w:val="superscript"/>
        </w:rPr>
        <w:t>3</w:t>
      </w:r>
      <w:r w:rsidR="0041298A" w:rsidRPr="00D72360">
        <w:fldChar w:fldCharType="end"/>
      </w:r>
      <w:r w:rsidRPr="00D72360">
        <w:t xml:space="preserve">, and the potential threat such expansion has for high-biodiversity tropical areas </w:t>
      </w:r>
      <w:r w:rsidRPr="00D72360">
        <w:fldChar w:fldCharType="begin" w:fldLock="1"/>
      </w:r>
      <w:r w:rsidR="0090126B" w:rsidRPr="00D72360">
        <w:instrText>ADDIN CSL_CITATION {"citationItems":[{"id":"ITEM-1","itemData":{"DOI":"10.1016/j.tree.2013.12.001","ISBN":"0169-5347 (Print)\\r0169-5347 (Linking)","ISSN":"01695347","PMID":"24388286","abstract":"The human population is projected to reach 11 billion this century, with the greatest increases in tropical developing nations. This growth, in concert with rising per-capita consumption, will require large increases in food and biofuel production. How will these megatrends affect tropical terrestrial and aquatic ecosystems and biodiversityα We foresee (i) major expansion and intensification of tropical agriculture, especially in Sub-Saharan Africa and South America; (ii) continuing rapid loss and alteration of tropical old-growth forests, woodlands, and semi-arid environments; (iii) a pivotal role for new roadways in determining the spatial extent of agriculture; and (iv) intensified conflicts between food production and nature conservation. Key priorities are to improve technologies and policies that promote more ecologically efficient food production while optimizing the allocation of lands to conservation and agriculture. © 2013 Elsevier Ltd.","author":[{"dropping-particle":"","family":"Laurance","given":"William F.","non-dropping-particle":"","parse-names":false,"suffix":""},{"dropping-particle":"","family":"Sayer","given":"Jeffrey","non-dropping-particle":"","parse-names":false,"suffix":""},{"dropping-particle":"","family":"Cassman","given":"Kenneth G.","non-dropping-particle":"","parse-names":false,"suffix":""}],"container-title":"Trends in Ecology and Evolution","id":"ITEM-1","issue":"2","issued":{"date-parts":[["2014"]]},"page":"107-116","publisher":"Elsevier Ltd","title":"Agricultural expansion and its impacts on tropical nature","type":"article-journal","volume":"29"},"uris":["http://www.mendeley.com/documents/?uuid=6f4384c7-1396-4e10-b78e-216e53630a3c"]},{"id":"ITEM-2","itemData":{"DOI":"10.1038/s41558-019-0406-z","ISSN":"17586798","abstract":"Habitat transformations caused by human land-use change are considered major drivers of ongoing biodiversity loss1,2,3, and their impact on biodiversity is expected to increase further this century4,5,6. Here, we used global decadal land-use projections to year 2070 for a range of shared socioeconomic pathways, which are linked to particular representative concentration pathways, to evaluate potential losses in range-wide suitable habitat and extinction risks for approximately 19,400 species of amphibians, birds and mammals. Substantial declines in suitable habitat are identified for species worldwide, with approximately 1,700 species expected to become imperilled due to land-use change alone. National stewardship for species highlights certain South American, Southeast Asian and African countries that are in particular need of proactive conservation planning. These geographically explicit projections and model workflows embedded in the Map of Life infrastructure are provided to facilitate the scrutiny, improvements and future updates needed for an ongoing and readily updated assessment of changing biodiversity. These forward-looking assessments and informatics tools are intended to support national conservation action and policies for addressing climate change and land-use change impacts on biodiversity.","author":[{"dropping-particle":"","family":"Powers","given":"Ryan P.","non-dropping-particle":"","parse-names":false,"suffix":""},{"dropping-particle":"","family":"Jetz","given":"Walter","non-dropping-particle":"","parse-names":false,"suffix":""}],"container-title":"Nature Climate Change","id":"ITEM-2","issue":"4","issued":{"date-parts":[["2019"]]},"page":"323-329","publisher":"Springer US","title":"Global habitat loss and extinction risk of terrestrial vertebrates under future land-use-change scenarios","type":"article-journal","volume":"9"},"uris":["http://www.mendeley.com/documents/?uuid=b332e035-6bf4-442e-8586-7e1610d05c31"]},{"id":"ITEM-3","itemData":{"DOI":"10.1038/s41467-019-10775-z","ISBN":"4146701910","abstract":"With rising demand for biomass, cropland expansion and intensification represent the main strategies to boost agricultural production, but are also major drivers of biodiversity decline. We investigate the consequences of attaining equal global production gains by 2030, either by cropland expansion or intensification, and analyse their impacts on agricultural markets and biodiversity. We find that both scenarios lead to lower crop prices across the world, even in regions where production decreases. Cropland expansion mostly affects biodiversity hotspots in Central and South America, while cropland intensification threatens biodiversity especially in Sub-Saharan Africa, India and China. Our results suggest that production gains will occur at the costs of biodiversity predominantly in developing tropical regions, while Europe and North America benefit from lower world market prices without putting their own biodiversity at risk. By identifying hotspots of potential future conflicts, we demonstrate where conservation prioritization is needed to balance agricultural production with conservation goals.","author":[{"dropping-particle":"","family":"Zabel","given":"Florian","non-dropping-particle":"","parse-names":false,"suffix":""},{"dropping-particle":"","family":"Delzeit","given":"Ruth","non-dropping-particle":"","parse-names":false,"suffix":""},{"dropping-particle":"","family":"Schneider","given":"Julia M.","non-dropping-particle":"","parse-names":false,"suffix":""},{"dropping-particle":"","family":"Seppelt","given":"Ralf","non-dropping-particle":"","parse-names":false,"suffix":""},{"dropping-particle":"","family":"Mauser","given":"Wolfram","non-dropping-particle":"","parse-names":false,"suffix":""},{"dropping-particle":"","family":"Václavík","given":"Tomáš","non-dropping-particle":"","parse-names":false,"suffix":""}],"container-title":"Nature Communications","id":"ITEM-3","issue":"1","issued":{"date-parts":[["2019"]]},"page":"1-10","title":"Global impacts of future cropland expansion and intensification on agricultural markets and biodiversity","type":"article-journal","volume":"10"},"uris":["http://www.mendeley.com/documents/?uuid=045b623f-495d-4898-abe4-ea2e12b3ea47"]}],"mendeley":{"formattedCitation":"&lt;sup&gt;4–6&lt;/sup&gt;","plainTextFormattedCitation":"4–6","previouslyFormattedCitation":"&lt;sup&gt;4–6&lt;/sup&gt;"},"properties":{"noteIndex":0},"schema":"https://github.com/citation-style-language/schema/raw/master/csl-citation.json"}</w:instrText>
      </w:r>
      <w:r w:rsidRPr="00D72360">
        <w:fldChar w:fldCharType="separate"/>
      </w:r>
      <w:bookmarkStart w:id="5" w:name="__Fieldmark__4396_3027855847"/>
      <w:bookmarkStart w:id="6" w:name="__Fieldmark__1647_531043149"/>
      <w:r w:rsidR="0090126B" w:rsidRPr="00D72360">
        <w:rPr>
          <w:noProof/>
          <w:vertAlign w:val="superscript"/>
        </w:rPr>
        <w:t>4–6</w:t>
      </w:r>
      <w:r w:rsidRPr="00D72360">
        <w:fldChar w:fldCharType="end"/>
      </w:r>
      <w:bookmarkEnd w:id="5"/>
      <w:bookmarkEnd w:id="6"/>
      <w:r w:rsidRPr="00D72360">
        <w:t xml:space="preserve">. While intensification of agriculture on existing agricultural lands can reduce the need for expansion into uncultivated areas </w:t>
      </w:r>
      <w:r w:rsidRPr="00D72360">
        <w:fldChar w:fldCharType="begin" w:fldLock="1"/>
      </w:r>
      <w:r w:rsidR="0090126B" w:rsidRPr="00D72360">
        <w:instrText>ADDIN CSL_CITATION {"citationItems":[{"id":"ITEM-1","itemData":{"DOI":"10.1126/science.1185383","ISSN":"1095-9203","PMID":"20110467","abstract":"Continuing population and consumption growth will mean that the global demand for food will increase for at least another 40 years. Growing competition for land, water, and energy, in addition to the overexploitation of fisheries, will affect our ability to produce food, as will the urgent requirement to reduce the impact of the food system on the environment. The effects of climate change are a further threat. But the world can produce more food and can ensure that it is used more efficiently and equitably. A multifaceted and linked global strategy is needed to ensure sustainable and equitable food security, different components of which are explored here.","author":[{"dropping-particle":"","family":"Godfray","given":"H Charles J","non-dropping-particle":"","parse-names":false,"suffix":""},{"dropping-particle":"","family":"Beddington","given":"John R","non-dropping-particle":"","parse-names":false,"suffix":""},{"dropping-particle":"","family":"Crute","given":"Ian R","non-dropping-particle":"","parse-names":false,"suffix":""},{"dropping-particle":"","family":"Haddad","given":"Lawrence","non-dropping-particle":"","parse-names":false,"suffix":""},{"dropping-particle":"","family":"Lawrence","given":"David","non-dropping-particle":"","parse-names":false,"suffix":""},{"dropping-particle":"","family":"Muir","given":"James F","non-dropping-particle":"","parse-names":false,"suffix":""},{"dropping-particle":"","family":"Pretty","given":"Jules","non-dropping-particle":"","parse-names":false,"suffix":""},{"dropping-particle":"","family":"Robinson","given":"Sherman","non-dropping-particle":"","parse-names":false,"suffix":""},{"dropping-particle":"","family":"Thomas","given":"Sandy M","non-dropping-particle":"","parse-names":false,"suffix":""},{"dropping-particle":"","family":"Toulmin","given":"Camilla","non-dropping-particle":"","parse-names":false,"suffix":""}],"container-title":"Science (New York, N.Y.)","id":"ITEM-1","issue":"5967","issued":{"date-parts":[["2010","2","12"]]},"note":"From Duplicate 1 (Food security: the challenge of feeding 9 billion people. - Godfray, H Charles J; Beddington, John R; Crute, Ian R; Haddad, Lawrence; Lawrence, David; Muir, James F; Pretty, Jules; Robinson, Sherman; Thomas, Sandy M; Toulmin, Camilla)\n\nFrom Duplicate 1 ( \n\nFood security: the challenge of feeding 9 billion people.\n\n- Godfray, H Charles J; Beddington, John R; Crute, Ian R; Haddad, Lawrence; Lawrence, David; Muir, James F; Pretty, Jules; Robinson, Sherman; Thomas, Sandy M; Toulmin, Camilla )\n\n","page":"812-8","title":"Food security: the challenge of feeding 9 billion people.","type":"article-journal","volume":"327"},"uris":["http://www.mendeley.com/documents/?uuid=3f5c9a5c-dcf7-4236-b2f2-189bd7dfd90a"]},{"id":"ITEM-2","itemData":{"DOI":"10.1073/pnas.1208065110","ISSN":"0027-8424","abstract":"New estimates of the impacts of germplasm improvement in the major staple crops between 1965 and 2004 on global land-cover change are presented, based on simulations carried out using a global economic model (Global Trade Analysis Project Agro-Ecological Zone), a multicommodity, multiregional computable general equilibrium model linked to a global spatially explicit database on land use. We estimate the impact of removing the gains in cereal productivity attributed to the widespread adoption of improved varieties in developing countries. Here, several different effects--higher yields, lower prices, higher land rents, and trade effects--have been incorporated in a single model of the impact of Green Revolution research (and subsequent advances in yields from crop germplasm improvement) on land-cover change. Our results generally support the Borlaug hypothesis that increases in cereal yields as a result of widespread adoption of improved crop germplasm have saved natural ecosystems from being converted to agriculture. However, this relationship is complex, and the net effect is of a much smaller magnitude than Borlaug proposed. We estimate that the total crop area in 2004 would have been between 17.9 and 26.7 million hectares larger in a world that had not benefited from crop germplasm improvement since 1965. Of these hectares, 12.0-17.7 million would have been in developing countries, displacing pastures and resulting in an estimated 2 million hectares of additional deforestation. However, the negative impacts of higher food prices on poverty and hunger under this scenario would likely have dwarfed the welfare effects of agricultural expansion.","author":[{"dropping-particle":"","family":"Stevenson","given":"J. R.","non-dropping-particle":"","parse-names":false,"suffix":""},{"dropping-particle":"","family":"Villoria","given":"N.","non-dropping-particle":"","parse-names":false,"suffix":""},{"dropping-particle":"","family":"Byerlee","given":"D.","non-dropping-particle":"","parse-names":false,"suffix":""},{"dropping-particle":"","family":"Kelley","given":"T.","non-dropping-particle":"","parse-names":false,"suffix":""},{"dropping-particle":"","family":"Maredia","given":"M.","non-dropping-particle":"","parse-names":false,"suffix":""}],"container-title":"Proceedings of the National Academy of Sciences","id":"ITEM-2","issue":"21","issued":{"date-parts":[["2013","5","21"]]},"page":"8363-8368","title":"Green Revolution research saved an estimated 18 to 27 million hectares from being brought into agricultural production","type":"article-journal","volume":"110"},"uris":["http://www.mendeley.com/documents/?uuid=0d79368e-a3ee-427b-9456-3d35467706cb"]}],"mendeley":{"formattedCitation":"&lt;sup&gt;7,8&lt;/sup&gt;","plainTextFormattedCitation":"7,8","previouslyFormattedCitation":"&lt;sup&gt;7,8&lt;/sup&gt;"},"properties":{"noteIndex":0},"schema":"https://github.com/citation-style-language/schema/raw/master/csl-citation.json"}</w:instrText>
      </w:r>
      <w:r w:rsidRPr="00D72360">
        <w:fldChar w:fldCharType="separate"/>
      </w:r>
      <w:bookmarkStart w:id="7" w:name="__Fieldmark__4409_3027855847"/>
      <w:bookmarkStart w:id="8" w:name="__Fieldmark__1654_531043149"/>
      <w:r w:rsidR="0090126B" w:rsidRPr="00D72360">
        <w:rPr>
          <w:noProof/>
          <w:vertAlign w:val="superscript"/>
        </w:rPr>
        <w:t>7,8</w:t>
      </w:r>
      <w:r w:rsidRPr="00D72360">
        <w:fldChar w:fldCharType="end"/>
      </w:r>
      <w:bookmarkEnd w:id="7"/>
      <w:bookmarkEnd w:id="8"/>
      <w:r w:rsidRPr="00D72360">
        <w:t>, the rate of global yield gains</w:t>
      </w:r>
      <w:r w:rsidR="001B29E7" w:rsidRPr="00D72360">
        <w:t xml:space="preserve"> per area</w:t>
      </w:r>
      <w:r w:rsidRPr="00D72360">
        <w:t xml:space="preserve"> is decreasing </w:t>
      </w:r>
      <w:r w:rsidRPr="00D72360">
        <w:fldChar w:fldCharType="begin" w:fldLock="1"/>
      </w:r>
      <w:r w:rsidR="0090126B" w:rsidRPr="00D72360">
        <w:instrText>ADDIN CSL_CITATION {"citationItems":[{"id":"ITEM-1","itemData":{"DOI":"10.5751/ES-07039-190450","ISSN":"1708-3087","author":[{"dropping-particle":"","family":"Seppelt","given":"Ralf","non-dropping-particle":"","parse-names":false,"suffix":""},{"dropping-particle":"","family":"Manceur","given":"Ameur M.","non-dropping-particle":"","parse-names":false,"suffix":""},{"dropping-particle":"","family":"Liu","given":"Jianguo","non-dropping-particle":"","parse-names":false,"suffix":""},{"dropping-particle":"","family":"Fenichel","given":"Eli P.","non-dropping-particle":"","parse-names":false,"suffix":""},{"dropping-particle":"","family":"Klotz","given":"Stefan","non-dropping-particle":"","parse-names":false,"suffix":""}],"container-title":"Ecology and Society","id":"ITEM-1","issue":"4","issued":{"date-parts":[["2014","12","18"]]},"page":"art50","publisher":"The Resilience Alliance","title":"Synchronized peak-rate years of global resources use","type":"article-journal","volume":"19"},"uris":["http://www.mendeley.com/documents/?uuid=9efd568d-5100-34a4-a4cc-8f25ed58ab8d"]}],"mendeley":{"formattedCitation":"&lt;sup&gt;9&lt;/sup&gt;","plainTextFormattedCitation":"9","previouslyFormattedCitation":"&lt;sup&gt;9&lt;/sup&gt;"},"properties":{"noteIndex":0},"schema":"https://github.com/citation-style-language/schema/raw/master/csl-citation.json"}</w:instrText>
      </w:r>
      <w:r w:rsidRPr="00D72360">
        <w:fldChar w:fldCharType="separate"/>
      </w:r>
      <w:bookmarkStart w:id="9" w:name="__Fieldmark__4418_3027855847"/>
      <w:bookmarkStart w:id="10" w:name="__Fieldmark__1664_531043149"/>
      <w:r w:rsidR="0090126B" w:rsidRPr="00D72360">
        <w:rPr>
          <w:noProof/>
          <w:vertAlign w:val="superscript"/>
        </w:rPr>
        <w:t>9</w:t>
      </w:r>
      <w:r w:rsidRPr="00D72360">
        <w:fldChar w:fldCharType="end"/>
      </w:r>
      <w:bookmarkStart w:id="11" w:name="__Fieldmark__34_3608161928"/>
      <w:bookmarkEnd w:id="9"/>
      <w:bookmarkEnd w:id="10"/>
      <w:bookmarkEnd w:id="11"/>
      <w:r w:rsidRPr="00D72360">
        <w:t xml:space="preserve">, and the rate of agricultural expansion has been increasing since 2000, mostly in the tropics </w:t>
      </w:r>
      <w:r w:rsidRPr="00D72360">
        <w:fldChar w:fldCharType="begin" w:fldLock="1"/>
      </w:r>
      <w:r w:rsidR="0090126B" w:rsidRPr="00D72360">
        <w:instrText>ADDIN CSL_CITATION {"citationItems":[{"id":"ITEM-1","itemData":{"DOI":"10.1038/ncomms3918","ISBN":"2041-1733","ISSN":"20411723","PMID":"24346131","abstract":"Food security and land required for food production largely depend on rate of yield gain of major cereal crops. Previous projections of food security are often more optimistic than what historical yield trends would support. Many econometric projections of future food production assume compound rates of yield gain, which are not consistent with historical yield trends. Here we provide a framework to characterize past yield trends and show that linear trajectories adequately describe past yield trends, which means the relative rate of gain decreases over time. Furthermore, there is evidence of yield plateaus or abrupt decreases in rate of yield gain, including rice in eastern Asia and wheat in northwest Europe, which account for 31% of total global rice, wheat and maize production. Estimating future food production capacity would benefit from an analysis of past crop yield trends based on a robust statistical analysis framework that evaluates historical yield trajectories and plateaus.","author":[{"dropping-particle":"","family":"Grassini","given":"Patricio","non-dropping-particle":"","parse-names":false,"suffix":""},{"dropping-particle":"","family":"Eskridge","given":"Kent M.","non-dropping-particle":"","parse-names":false,"suffix":""},{"dropping-particle":"","family":"Cassman","given":"Kenneth G.","non-dropping-particle":"","parse-names":false,"suffix":""}],"container-title":"Nature Communications","id":"ITEM-1","issued":{"date-parts":[["2013"]]},"page":"1-11","publisher":"Nature Publishing Group","title":"Distinguishing between yield advances and yield plateaus in historical crop production trends","type":"article-journal","volume":"4"},"uris":["http://www.mendeley.com/documents/?uuid=3f7fcca8-d6cc-45b3-8491-ca22a6f776a4"]}],"mendeley":{"formattedCitation":"&lt;sup&gt;10&lt;/sup&gt;","plainTextFormattedCitation":"10","previouslyFormattedCitation":"&lt;sup&gt;10&lt;/sup&gt;"},"properties":{"noteIndex":0},"schema":"https://github.com/citation-style-language/schema/raw/master/csl-citation.json"}</w:instrText>
      </w:r>
      <w:r w:rsidRPr="00D72360">
        <w:fldChar w:fldCharType="separate"/>
      </w:r>
      <w:bookmarkStart w:id="12" w:name="__Fieldmark__4434_3027855847"/>
      <w:bookmarkStart w:id="13" w:name="__Fieldmark__1673_531043149"/>
      <w:r w:rsidR="0090126B" w:rsidRPr="00D72360">
        <w:rPr>
          <w:noProof/>
          <w:vertAlign w:val="superscript"/>
        </w:rPr>
        <w:t>10</w:t>
      </w:r>
      <w:r w:rsidRPr="00D72360">
        <w:fldChar w:fldCharType="end"/>
      </w:r>
      <w:bookmarkStart w:id="14" w:name="__Fieldmark__40_3608161928"/>
      <w:bookmarkEnd w:id="12"/>
      <w:bookmarkEnd w:id="13"/>
      <w:bookmarkEnd w:id="14"/>
      <w:r w:rsidRPr="00D72360">
        <w:t>. However, much uncertainty exists about how much</w:t>
      </w:r>
      <w:r w:rsidR="00440D58" w:rsidRPr="00D72360">
        <w:t xml:space="preserve"> future</w:t>
      </w:r>
      <w:r w:rsidRPr="00D72360">
        <w:t xml:space="preserve"> expansion of cropland is likely to occur globally </w:t>
      </w:r>
      <w:r w:rsidRPr="00D72360">
        <w:fldChar w:fldCharType="begin" w:fldLock="1"/>
      </w:r>
      <w:r w:rsidR="0090126B" w:rsidRPr="00D72360">
        <w:instrText>ADDIN CSL_CITATION {"citationItems":[{"id":"ITEM-1","itemData":{"DOI":"10.1111/gcb.13447","ISSN":"13652486","abstract":"Understanding uncertainties in land cover projections is critical to investigating land-based climate mitigation policies, assessing the potential of climate adaptation strategies, and quantifying the impacts of land cover change on the climate system. Here we identify and quantify uncertainties in global and European land cover projections over a diverse range of model types and scenarios, extending the analysis beyond the agro-economic models included in previous comparisons. The results from 75 simulations over 18 models are analysed and show a large range in land cover area projections, with the highest variability occurring in future cropland areas. We demonstrate systematic differences in land cover areas associated with the characteristics of the modelling approach, which is at least as great as the differences attributed to the scenario variations. The results lead us to conclude that a higher degree of uncertainty exists in land use projections than currently included in climate or earth system projections. To account for land use uncertainty, it is recommended to use a diverse set of models and approaches when assessing the potential impacts of land cover change on future climate. Additionally, further work is needed to better understand the assumptions driving land use model results and reveal the causes of uncertainty in more depth, to help reduce model uncertainty and improve the projections of land cover. This article is protected by copyright. All rights reserved.","author":[{"dropping-particle":"","family":"Alexander","given":"Peter","non-dropping-particle":"","parse-names":false,"suffix":""},{"dropping-particle":"","family":"Prestele","given":"Reinhard","non-dropping-particle":"","parse-names":false,"suffix":""},{"dropping-particle":"","family":"Verburg","given":"Peter H.","non-dropping-particle":"","parse-names":false,"suffix":""},{"dropping-particle":"","family":"Arneth","given":"Almut","non-dropping-particle":"","parse-names":false,"suffix":""},{"dropping-particle":"","family":"Baranzelli","given":"Claudia","non-dropping-particle":"","parse-names":false,"suffix":""},{"dropping-particle":"","family":"Batista e Silva","given":"Filipe","non-dropping-particle":"","parse-names":false,"suffix":""},{"dropping-particle":"","family":"Brown","given":"Calum","non-dropping-particle":"","parse-names":false,"suffix":""},{"dropping-particle":"","family":"Butler","given":"Adam","non-dropping-particle":"","parse-names":false,"suffix":""},{"dropping-particle":"","family":"Calvin","given":"Katherine","non-dropping-particle":"","parse-names":false,"suffix":""},{"dropping-particle":"","family":"Dendoncker","given":"Nicolas","non-dropping-particle":"","parse-names":false,"suffix":""},{"dropping-particle":"","family":"Doelman","given":"Jonathan C.","non-dropping-particle":"","parse-names":false,"suffix":""},{"dropping-particle":"","family":"Dunford","given":"Robert","non-dropping-particle":"","parse-names":false,"suffix":""},{"dropping-particle":"","family":"Engström","given":"Kerstin","non-dropping-particle":"","parse-names":false,"suffix":""},{"dropping-particle":"","family":"Eitelberg","given":"David","non-dropping-particle":"","parse-names":false,"suffix":""},{"dropping-particle":"","family":"Fujimori","given":"Shinichiro","non-dropping-particle":"","parse-names":false,"suffix":""},{"dropping-particle":"","family":"Harrison","given":"Paula A.","non-dropping-particle":"","parse-names":false,"suffix":""},{"dropping-particle":"","family":"Hasegawa","given":"Tomoko","non-dropping-particle":"","parse-names":false,"suffix":""},{"dropping-particle":"","family":"Havlik","given":"Petr","non-dropping-particle":"","parse-names":false,"suffix":""},{"dropping-particle":"","family":"Holzhauer","given":"Sascha","non-dropping-particle":"","parse-names":false,"suffix":""},{"dropping-particle":"","family":"Humpenöder","given":"Florian","non-dropping-particle":"","parse-names":false,"suffix":""},{"dropping-particle":"","family":"Jacobs-Crisioni","given":"Chris","non-dropping-particle":"","parse-names":false,"suffix":""},{"dropping-particle":"","family":"Jain","given":"Atul K.","non-dropping-particle":"","parse-names":false,"suffix":""},{"dropping-particle":"","family":"Krisztin","given":"Tamás","non-dropping-particle":"","parse-names":false,"suffix":""},{"dropping-particle":"","family":"Kyle","given":"Page","non-dropping-particle":"","parse-names":false,"suffix":""},{"dropping-particle":"","family":"Lavalle","given":"Carlo","non-dropping-particle":"","parse-names":false,"suffix":""},{"dropping-particle":"","family":"Lenton","given":"Tim","non-dropping-particle":"","parse-names":false,"suffix":""},{"dropping-particle":"","family":"Liu","given":"Jiayi","non-dropping-particle":"","parse-names":false,"suffix":""},{"dropping-particle":"","family":"Meiyappan","given":"Prasanth","non-dropping-particle":"","parse-names":false,"suffix":""},{"dropping-particle":"","family":"Popp","given":"Alexander","non-dropping-particle":"","parse-names":false,"suffix":""},{"dropping-particle":"","family":"Powell","given":"Tom","non-dropping-particle":"","parse-names":false,"suffix":""},{"dropping-particle":"","family":"Sands","given":"Ronald D.","non-dropping-particle":"","parse-names":false,"suffix":""},{"dropping-particle":"","family":"Schaldach","given":"Rüdiger","non-dropping-particle":"","parse-names":false,"suffix":""},{"dropping-particle":"","family":"Stehfest","given":"Elke","non-dropping-particle":"","parse-names":false,"suffix":""},{"dropping-particle":"","family":"Steinbuks","given":"Jevgenijs","non-dropping-particle":"","parse-names":false,"suffix":""},{"dropping-particle":"","family":"Tabeau","given":"Andrzej","non-dropping-particle":"","parse-names":false,"suffix":""},{"dropping-particle":"","family":"Meijl","given":"Hans","non-dropping-particle":"van","parse-names":false,"suffix":""},{"dropping-particle":"","family":"Wise","given":"Marshall A.","non-dropping-particle":"","parse-names":false,"suffix":""},{"dropping-particle":"","family":"Rounsevell","given":"Mark D.A.","non-dropping-particle":"","parse-names":false,"suffix":""}],"container-title":"Global Change Biology","id":"ITEM-1","issue":"2","issued":{"date-parts":[["2017"]]},"page":"767-781","title":"Assessing uncertainties in land cover projections","type":"article-journal","volume":"23"},"uris":["http://www.mendeley.com/documents/?uuid=bfe756ae-c8d5-439f-bb1e-3e74b48e616a"]}],"mendeley":{"formattedCitation":"&lt;sup&gt;11&lt;/sup&gt;","plainTextFormattedCitation":"11","previouslyFormattedCitation":"&lt;sup&gt;11&lt;/sup&gt;"},"properties":{"noteIndex":0},"schema":"https://github.com/citation-style-language/schema/raw/master/csl-citation.json"}</w:instrText>
      </w:r>
      <w:r w:rsidRPr="00D72360">
        <w:fldChar w:fldCharType="separate"/>
      </w:r>
      <w:bookmarkStart w:id="15" w:name="__Fieldmark__4447_3027855847"/>
      <w:bookmarkStart w:id="16" w:name="__Fieldmark__1694_531043149"/>
      <w:r w:rsidR="0090126B" w:rsidRPr="00D72360">
        <w:rPr>
          <w:noProof/>
          <w:vertAlign w:val="superscript"/>
        </w:rPr>
        <w:t>11</w:t>
      </w:r>
      <w:r w:rsidRPr="00D72360">
        <w:fldChar w:fldCharType="end"/>
      </w:r>
      <w:bookmarkEnd w:id="15"/>
      <w:bookmarkEnd w:id="16"/>
      <w:r w:rsidRPr="00D72360">
        <w:t xml:space="preserve">, and where this will occur </w:t>
      </w:r>
      <w:r w:rsidRPr="00D72360">
        <w:fldChar w:fldCharType="begin" w:fldLock="1"/>
      </w:r>
      <w:r w:rsidR="0090126B" w:rsidRPr="00D72360">
        <w:instrText>ADDIN CSL_CITATION {"citationItems":[{"id":"ITEM-1","itemData":{"DOI":"10.1111/gcb.13337","ISBN":"1972952943","ISSN":"13652486","PMID":"27135635","abstract":"Background To maintain the balance between the demand of the body and supply (cardiac output), cardiac performance is tightly regulated via the parasympathetic and sympathetic nervous systems. In heart failure, cardiac output (supply) is decreased due to pathologic remodeling of the heart. To meet the demands of the body, the sympathetic system is activated and catecholamines stimulate β-adrenergic receptors (β-ARs) to increase contractile performance and cardiac output. Although this is beneficial in the acute phase, chronic β-ARs stimulation initiates a cascade of alterations at the cellular level, resulting in a diminished contractile performance of the heart.","author":[{"dropping-particle":"","family":"Prestele","given":"Reinhard","non-dropping-particle":"","parse-names":false,"suffix":""},{"dropping-particle":"","family":"Alexander","given":"Peter","non-dropping-particle":"","parse-names":false,"suffix":""},{"dropping-particle":"","family":"Rounsevell","given":"Mark D.A.","non-dropping-particle":"","parse-names":false,"suffix":""},{"dropping-particle":"","family":"Arneth","given":"Almut","non-dropping-particle":"","parse-names":false,"suffix":""},{"dropping-particle":"","family":"Calvin","given":"Katherine","non-dropping-particle":"","parse-names":false,"suffix":""},{"dropping-particle":"","family":"Doelman","given":"Jonathan","non-dropping-particle":"","parse-names":false,"suffix":""},{"dropping-particle":"","family":"Eitelberg","given":"David A.","non-dropping-particle":"","parse-names":false,"suffix":""},{"dropping-particle":"","family":"Engström","given":"Kerstin","non-dropping-particle":"","parse-names":false,"suffix":""},{"dropping-particle":"","family":"Fujimori","given":"Shinichiro","non-dropping-particle":"","parse-names":false,"suffix":""},{"dropping-particle":"","family":"Hasegawa","given":"Tomoko","non-dropping-particle":"","parse-names":false,"suffix":""},{"dropping-particle":"","family":"Havlik","given":"Petr","non-dropping-particle":"","parse-names":false,"suffix":""},{"dropping-particle":"","family":"Humpenöder","given":"Florian","non-dropping-particle":"","parse-names":false,"suffix":""},{"dropping-particle":"","family":"Jain","given":"Atul K.","non-dropping-particle":"","parse-names":false,"suffix":""},{"dropping-particle":"","family":"Krisztin","given":"Tamás","non-dropping-particle":"","parse-names":false,"suffix":""},{"dropping-particle":"","family":"Kyle","given":"Page","non-dropping-particle":"","parse-names":false,"suffix":""},{"dropping-particle":"","family":"Meiyappan","given":"Prasanth","non-dropping-particle":"","parse-names":false,"suffix":""},{"dropping-particle":"","family":"Popp","given":"Alexander","non-dropping-particle":"","parse-names":false,"suffix":""},{"dropping-particle":"","family":"Sands","given":"Ronald D.","non-dropping-particle":"","parse-names":false,"suffix":""},{"dropping-particle":"","family":"Schaldach","given":"Rüdiger","non-dropping-particle":"","parse-names":false,"suffix":""},{"dropping-particle":"","family":"Schüngel","given":"Jan","non-dropping-particle":"","parse-names":false,"suffix":""},{"dropping-particle":"","family":"Stehfest","given":"Elke","non-dropping-particle":"","parse-names":false,"suffix":""},{"dropping-particle":"","family":"Tabeau","given":"Andrzej","non-dropping-particle":"","parse-names":false,"suffix":""},{"dropping-particle":"","family":"Meijl","given":"Hans","non-dropping-particle":"Van","parse-names":false,"suffix":""},{"dropping-particle":"","family":"Vliet","given":"Jasper","non-dropping-particle":"Van","parse-names":false,"suffix":""},{"dropping-particle":"","family":"Verburg","given":"Peter H.","non-dropping-particle":"","parse-names":false,"suffix":""}],"container-title":"Global Change Biology","id":"ITEM-1","issue":"12","issued":{"date-parts":[["2016"]]},"page":"3967-3983","title":"Hotspots of uncertainty in land-use and land-cover change projections: a global-scale model comparison","type":"article-journal","volume":"22"},"uris":["http://www.mendeley.com/documents/?uuid=dc5e6ad9-36a7-40e3-a410-a27b9371fbe5"]},{"id":"ITEM-2","itemData":{"DOI":"10.1038/s41467-019-09945-w","ISSN":"20411723","abstract":"Land use is at the core of various sustainable development goals. Long-term climate foresight studies have structured their recent analyses around five socio-economic pathways (SSPs), with consistent storylines of future macroeconomic and societal developments; however, model quantification of these scenarios shows substantial heterogeneity in land-use projections. Here we build on a recently developed sensitivity approach to identify how future land use depends on six distinct socio-economic drivers (population, wealth, consumption preferences, agricultural productivity, land-use regulation, and trade) and their interactions. Spread across models arises mostly from diverging sensitivities to long-term drivers and from various representations of land-use regulation and trade, calling for reconciliation efforts and more empirical research. Most influential determinants for future cropland and pasture extent are population and agricultural efficiency. Furthermore, land-use regulation and consumption changes can play a key role in reducing both land use and food-security risks, and need to be central elements in sustainable development strategies.","author":[{"dropping-particle":"","family":"Stehfest","given":"Elke","non-dropping-particle":"","parse-names":false,"suffix":""},{"dropping-particle":"","family":"Zeist","given":"Willem Jan","non-dropping-particle":"van","parse-names":false,"suffix":""},{"dropping-particle":"","family":"Valin","given":"Hugo","non-dropping-particle":"","parse-names":false,"suffix":""},{"dropping-particle":"","family":"Havlik","given":"Petr","non-dropping-particle":"","parse-names":false,"suffix":""},{"dropping-particle":"","family":"Popp","given":"Alexander","non-dropping-particle":"","parse-names":false,"suffix":""},{"dropping-particle":"","family":"Kyle","given":"Page","non-dropping-particle":"","parse-names":false,"suffix":""},{"dropping-particle":"","family":"Tabeau","given":"Andrzej","non-dropping-particle":"","parse-names":false,"suffix":""},{"dropping-particle":"","family":"Mason-D’Croz","given":"Daniel","non-dropping-particle":"","parse-names":false,"suffix":""},{"dropping-particle":"","family":"Hasegawa","given":"Tomoko","non-dropping-particle":"","parse-names":false,"suffix":""},{"dropping-particle":"","family":"Bodirsky","given":"Benjamin L.","non-dropping-particle":"","parse-names":false,"suffix":""},{"dropping-particle":"","family":"Calvin","given":"Katherine","non-dropping-particle":"","parse-names":false,"suffix":""},{"dropping-particle":"","family":"Doelman","given":"Jonathan C.","non-dropping-particle":"","parse-names":false,"suffix":""},{"dropping-particle":"","family":"Fujimori","given":"Shinichiro","non-dropping-particle":"","parse-names":false,"suffix":""},{"dropping-particle":"","family":"Humpenöder","given":"Florian","non-dropping-particle":"","parse-names":false,"suffix":""},{"dropping-particle":"","family":"Lotze-Campen","given":"Hermann","non-dropping-particle":"","parse-names":false,"suffix":""},{"dropping-particle":"","family":"Meijl","given":"Hans","non-dropping-particle":"van","parse-names":false,"suffix":""},{"dropping-particle":"","family":"Wiebe","given":"Keith","non-dropping-particle":"","parse-names":false,"suffix":""}],"container-title":"Nature Communications","id":"ITEM-2","issue":"1","issued":{"date-parts":[["2019"]]},"page":"1-10","publisher":"Springer US","title":"Key determinants of global land-use projections","type":"article-journal","volume":"10"},"uris":["http://www.mendeley.com/documents/?uuid=e3e46f98-f490-4005-b296-cd9a7cdf466c","http://www.mendeley.com/documents/?uuid=0438b11b-cf9c-435e-a2be-52998cab9d27"]},{"id":"ITEM-3","itemData":{"DOI":"10.1007/s10113-016-0927-1","ISBN":"1436-378X","ISSN":"1436378X","abstract":"Potential trade-offs between providing sufficient food for a growing human population in the future and sustaining ecosystems and their services are driven by various biophysical and socio-economic parameters at different scales. In this study, we investigate these trade-offs by using a three-step interdisciplinary approach. We examine (1) how the expected global cropland expansion might affect food security in terms of agricultural production and prices, (2) where natural conditions are suitable for cropland expansion under changing climate conditions, and (3) whether this potential conversion to cropland would affect areas of high biodiversity value or conservation importance. Our results show that on the one hand, allowing the expansion of cropland generally results in an improved food security not only in regions where crop production rises, but also in net importing countries such as India and China. On the other hand, the estimated cropland expansion could take place in many highly biodiverse regions, pointing out the need for spatially detailed and context-specific assessments to understand the possible outcomes of different food security strategies. Our multidisciplinary approach is relevant with respect to the Sustainable Development Goals for implementing and enforcing sustainable pathways for increasing agricultural production, and ensuring food security while conserving biodiversity and ecosystem services.","author":[{"dropping-particle":"","family":"Delzeit","given":"Ruth","non-dropping-particle":"","parse-names":false,"suffix":""},{"dropping-particle":"","family":"Zabel","given":"Florian","non-dropping-particle":"","parse-names":false,"suffix":""},{"dropping-particle":"","family":"Meyer","given":"Carsten","non-dropping-particle":"","parse-names":false,"suffix":""},{"dropping-particle":"","family":"Václavík","given":"Tomáš","non-dropping-particle":"","parse-names":false,"suffix":""}],"container-title":"Regional Environmental Change","id":"ITEM-3","issue":"5","issued":{"date-parts":[["2017"]]},"page":"1429-1441","title":"Addressing future trade-offs between biodiversity and cropland expansion to improve food security","type":"article-journal","volume":"17"},"uris":["http://www.mendeley.com/documents/?uuid=d0f1b612-c791-4787-8bcd-56a9a39baf59"]}],"mendeley":{"formattedCitation":"&lt;sup&gt;12–14&lt;/sup&gt;","plainTextFormattedCitation":"12–14","previouslyFormattedCitation":"&lt;sup&gt;12–14&lt;/sup&gt;"},"properties":{"noteIndex":0},"schema":"https://github.com/citation-style-language/schema/raw/master/csl-citation.json"}</w:instrText>
      </w:r>
      <w:r w:rsidRPr="00D72360">
        <w:fldChar w:fldCharType="separate"/>
      </w:r>
      <w:bookmarkStart w:id="17" w:name="__Fieldmark__4457_3027855847"/>
      <w:bookmarkStart w:id="18" w:name="__Fieldmark__1705_531043149"/>
      <w:r w:rsidR="0090126B" w:rsidRPr="00D72360">
        <w:rPr>
          <w:noProof/>
          <w:vertAlign w:val="superscript"/>
        </w:rPr>
        <w:t>12–14</w:t>
      </w:r>
      <w:r w:rsidRPr="00D72360">
        <w:fldChar w:fldCharType="end"/>
      </w:r>
      <w:bookmarkEnd w:id="17"/>
      <w:bookmarkEnd w:id="18"/>
      <w:r w:rsidRPr="00D72360">
        <w:t xml:space="preserve">. This creates uncertainty in cropland expansion projections, which in turn has major implications for global models of land-based climate change mitigation options and of biodiversity loss </w:t>
      </w:r>
      <w:r w:rsidRPr="00D72360">
        <w:fldChar w:fldCharType="begin" w:fldLock="1"/>
      </w:r>
      <w:r w:rsidR="0090126B" w:rsidRPr="00D72360">
        <w:instrText>ADDIN CSL_CITATION {"citationItems":[{"id":"ITEM-1","itemData":{"DOI":"10.1111/gcb.13337","ISBN":"1972952943","ISSN":"13652486","PMID":"27135635","abstract":"Background To maintain the balance between the demand of the body and supply (cardiac output), cardiac performance is tightly regulated via the parasympathetic and sympathetic nervous systems. In heart failure, cardiac output (supply) is decreased due to pathologic remodeling of the heart. To meet the demands of the body, the sympathetic system is activated and catecholamines stimulate β-adrenergic receptors (β-ARs) to increase contractile performance and cardiac output. Although this is beneficial in the acute phase, chronic β-ARs stimulation initiates a cascade of alterations at the cellular level, resulting in a diminished contractile performance of the heart.","author":[{"dropping-particle":"","family":"Prestele","given":"Reinhard","non-dropping-particle":"","parse-names":false,"suffix":""},{"dropping-particle":"","family":"Alexander","given":"Peter","non-dropping-particle":"","parse-names":false,"suffix":""},{"dropping-particle":"","family":"Rounsevell","given":"Mark D.A.","non-dropping-particle":"","parse-names":false,"suffix":""},{"dropping-particle":"","family":"Arneth","given":"Almut","non-dropping-particle":"","parse-names":false,"suffix":""},{"dropping-particle":"","family":"Calvin","given":"Katherine","non-dropping-particle":"","parse-names":false,"suffix":""},{"dropping-particle":"","family":"Doelman","given":"Jonathan","non-dropping-particle":"","parse-names":false,"suffix":""},{"dropping-particle":"","family":"Eitelberg","given":"David A.","non-dropping-particle":"","parse-names":false,"suffix":""},{"dropping-particle":"","family":"Engström","given":"Kerstin","non-dropping-particle":"","parse-names":false,"suffix":""},{"dropping-particle":"","family":"Fujimori","given":"Shinichiro","non-dropping-particle":"","parse-names":false,"suffix":""},{"dropping-particle":"","family":"Hasegawa","given":"Tomoko","non-dropping-particle":"","parse-names":false,"suffix":""},{"dropping-particle":"","family":"Havlik","given":"Petr","non-dropping-particle":"","parse-names":false,"suffix":""},{"dropping-particle":"","family":"Humpenöder","given":"Florian","non-dropping-particle":"","parse-names":false,"suffix":""},{"dropping-particle":"","family":"Jain","given":"Atul K.","non-dropping-particle":"","parse-names":false,"suffix":""},{"dropping-particle":"","family":"Krisztin","given":"Tamás","non-dropping-particle":"","parse-names":false,"suffix":""},{"dropping-particle":"","family":"Kyle","given":"Page","non-dropping-particle":"","parse-names":false,"suffix":""},{"dropping-particle":"","family":"Meiyappan","given":"Prasanth","non-dropping-particle":"","parse-names":false,"suffix":""},{"dropping-particle":"","family":"Popp","given":"Alexander","non-dropping-particle":"","parse-names":false,"suffix":""},{"dropping-particle":"","family":"Sands","given":"Ronald D.","non-dropping-particle":"","parse-names":false,"suffix":""},{"dropping-particle":"","family":"Schaldach","given":"Rüdiger","non-dropping-particle":"","parse-names":false,"suffix":""},{"dropping-particle":"","family":"Schüngel","given":"Jan","non-dropping-particle":"","parse-names":false,"suffix":""},{"dropping-particle":"","family":"Stehfest","given":"Elke","non-dropping-particle":"","parse-names":false,"suffix":""},{"dropping-particle":"","family":"Tabeau","given":"Andrzej","non-dropping-particle":"","parse-names":false,"suffix":""},{"dropping-particle":"","family":"Meijl","given":"Hans","non-dropping-particle":"Van","parse-names":false,"suffix":""},{"dropping-particle":"","family":"Vliet","given":"Jasper","non-dropping-particle":"Van","parse-names":false,"suffix":""},{"dropping-particle":"","family":"Verburg","given":"Peter H.","non-dropping-particle":"","parse-names":false,"suffix":""}],"container-title":"Global Change Biology","id":"ITEM-1","issue":"12","issued":{"date-parts":[["2016"]]},"page":"3967-3983","title":"Hotspots of uncertainty in land-use and land-cover change projections: a global-scale model comparison","type":"article-journal","volume":"22"},"uris":["http://www.mendeley.com/documents/?uuid=dc5e6ad9-36a7-40e3-a410-a27b9371fbe5"]},{"id":"ITEM-2","itemData":{"DOI":"10.1111/gcb.13447","ISSN":"13652486","abstract":"Understanding uncertainties in land cover projections is critical to investigating land-based climate mitigation policies, assessing the potential of climate adaptation strategies, and quantifying the impacts of land cover change on the climate system. Here we identify and quantify uncertainties in global and European land cover projections over a diverse range of model types and scenarios, extending the analysis beyond the agro-economic models included in previous comparisons. The results from 75 simulations over 18 models are analysed and show a large range in land cover area projections, with the highest variability occurring in future cropland areas. We demonstrate systematic differences in land cover areas associated with the characteristics of the modelling approach, which is at least as great as the differences attributed to the scenario variations. The results lead us to conclude that a higher degree of uncertainty exists in land use projections than currently included in climate or earth system projections. To account for land use uncertainty, it is recommended to use a diverse set of models and approaches when assessing the potential impacts of land cover change on future climate. Additionally, further work is needed to better understand the assumptions driving land use model results and reveal the causes of uncertainty in more depth, to help reduce model uncertainty and improve the projections of land cover. This article is protected by copyright. All rights reserved.","author":[{"dropping-particle":"","family":"Alexander","given":"Peter","non-dropping-particle":"","parse-names":false,"suffix":""},{"dropping-particle":"","family":"Prestele","given":"Reinhard","non-dropping-particle":"","parse-names":false,"suffix":""},{"dropping-particle":"","family":"Verburg","given":"Peter H.","non-dropping-particle":"","parse-names":false,"suffix":""},{"dropping-particle":"","family":"Arneth","given":"Almut","non-dropping-particle":"","parse-names":false,"suffix":""},{"dropping-particle":"","family":"Baranzelli","given":"Claudia","non-dropping-particle":"","parse-names":false,"suffix":""},{"dropping-particle":"","family":"Batista e Silva","given":"Filipe","non-dropping-particle":"","parse-names":false,"suffix":""},{"dropping-particle":"","family":"Brown","given":"Calum","non-dropping-particle":"","parse-names":false,"suffix":""},{"dropping-particle":"","family":"Butler","given":"Adam","non-dropping-particle":"","parse-names":false,"suffix":""},{"dropping-particle":"","family":"Calvin","given":"Katherine","non-dropping-particle":"","parse-names":false,"suffix":""},{"dropping-particle":"","family":"Dendoncker","given":"Nicolas","non-dropping-particle":"","parse-names":false,"suffix":""},{"dropping-particle":"","family":"Doelman","given":"Jonathan C.","non-dropping-particle":"","parse-names":false,"suffix":""},{"dropping-particle":"","family":"Dunford","given":"Robert","non-dropping-particle":"","parse-names":false,"suffix":""},{"dropping-particle":"","family":"Engström","given":"Kerstin","non-dropping-particle":"","parse-names":false,"suffix":""},{"dropping-particle":"","family":"Eitelberg","given":"David","non-dropping-particle":"","parse-names":false,"suffix":""},{"dropping-particle":"","family":"Fujimori","given":"Shinichiro","non-dropping-particle":"","parse-names":false,"suffix":""},{"dropping-particle":"","family":"Harrison","given":"Paula A.","non-dropping-particle":"","parse-names":false,"suffix":""},{"dropping-particle":"","family":"Hasegawa","given":"Tomoko","non-dropping-particle":"","parse-names":false,"suffix":""},{"dropping-particle":"","family":"Havlik","given":"Petr","non-dropping-particle":"","parse-names":false,"suffix":""},{"dropping-particle":"","family":"Holzhauer","given":"Sascha","non-dropping-particle":"","parse-names":false,"suffix":""},{"dropping-particle":"","family":"Humpenöder","given":"Florian","non-dropping-particle":"","parse-names":false,"suffix":""},{"dropping-particle":"","family":"Jacobs-Crisioni","given":"Chris","non-dropping-particle":"","parse-names":false,"suffix":""},{"dropping-particle":"","family":"Jain","given":"Atul K.","non-dropping-particle":"","parse-names":false,"suffix":""},{"dropping-particle":"","family":"Krisztin","given":"Tamás","non-dropping-particle":"","parse-names":false,"suffix":""},{"dropping-particle":"","family":"Kyle","given":"Page","non-dropping-particle":"","parse-names":false,"suffix":""},{"dropping-particle":"","family":"Lavalle","given":"Carlo","non-dropping-particle":"","parse-names":false,"suffix":""},{"dropping-particle":"","family":"Lenton","given":"Tim","non-dropping-particle":"","parse-names":false,"suffix":""},{"dropping-particle":"","family":"Liu","given":"Jiayi","non-dropping-particle":"","parse-names":false,"suffix":""},{"dropping-particle":"","family":"Meiyappan","given":"Prasanth","non-dropping-particle":"","parse-names":false,"suffix":""},{"dropping-particle":"","family":"Popp","given":"Alexander","non-dropping-particle":"","parse-names":false,"suffix":""},{"dropping-particle":"","family":"Powell","given":"Tom","non-dropping-particle":"","parse-names":false,"suffix":""},{"dropping-particle":"","family":"Sands","given":"Ronald D.","non-dropping-particle":"","parse-names":false,"suffix":""},{"dropping-particle":"","family":"Schaldach","given":"Rüdiger","non-dropping-particle":"","parse-names":false,"suffix":""},{"dropping-particle":"","family":"Stehfest","given":"Elke","non-dropping-particle":"","parse-names":false,"suffix":""},{"dropping-particle":"","family":"Steinbuks","given":"Jevgenijs","non-dropping-particle":"","parse-names":false,"suffix":""},{"dropping-particle":"","family":"Tabeau","given":"Andrzej","non-dropping-particle":"","parse-names":false,"suffix":""},{"dropping-particle":"","family":"Meijl","given":"Hans","non-dropping-particle":"van","parse-names":false,"suffix":""},{"dropping-particle":"","family":"Wise","given":"Marshall A.","non-dropping-particle":"","parse-names":false,"suffix":""},{"dropping-particle":"","family":"Rounsevell","given":"Mark D.A.","non-dropping-particle":"","parse-names":false,"suffix":""}],"container-title":"Global Change Biology","id":"ITEM-2","issue":"2","issued":{"date-parts":[["2017"]]},"page":"767-781","title":"Assessing uncertainties in land cover projections","type":"article-journal","volume":"23"},"uris":["http://www.mendeley.com/documents/?uuid=bfe756ae-c8d5-439f-bb1e-3e74b48e616a"]}],"mendeley":{"formattedCitation":"&lt;sup&gt;11,12&lt;/sup&gt;","plainTextFormattedCitation":"11,12","previouslyFormattedCitation":"&lt;sup&gt;11,12&lt;/sup&gt;"},"properties":{"noteIndex":0},"schema":"https://github.com/citation-style-language/schema/raw/master/csl-citation.json"}</w:instrText>
      </w:r>
      <w:r w:rsidRPr="00D72360">
        <w:fldChar w:fldCharType="separate"/>
      </w:r>
      <w:bookmarkStart w:id="19" w:name="__Fieldmark__4479_3027855847"/>
      <w:r w:rsidR="0090126B" w:rsidRPr="00D72360">
        <w:rPr>
          <w:noProof/>
          <w:vertAlign w:val="superscript"/>
        </w:rPr>
        <w:t>11,12</w:t>
      </w:r>
      <w:r w:rsidRPr="00D72360">
        <w:fldChar w:fldCharType="end"/>
      </w:r>
      <w:bookmarkEnd w:id="19"/>
      <w:r w:rsidRPr="00D72360">
        <w:t xml:space="preserve">.  </w:t>
      </w:r>
    </w:p>
    <w:p w14:paraId="44D0B673" w14:textId="41B9D07E" w:rsidR="005B755B" w:rsidRPr="00D72360" w:rsidRDefault="00ED5576">
      <w:r w:rsidRPr="00D72360">
        <w:t xml:space="preserve">A key challenge to forecasting cropland expansion is the uncertainty as to whether the identity and magnitude of predictors of cropland expansion are consistent across space and time. </w:t>
      </w:r>
      <w:bookmarkStart w:id="20" w:name="_Hlk35869984"/>
      <w:r w:rsidRPr="00D72360">
        <w:t xml:space="preserve">While </w:t>
      </w:r>
      <w:r w:rsidR="00A459AA" w:rsidRPr="00D72360">
        <w:t xml:space="preserve">such consistency </w:t>
      </w:r>
      <w:r w:rsidRPr="00D72360">
        <w:t xml:space="preserve"> </w:t>
      </w:r>
      <w:r w:rsidR="00440D58" w:rsidRPr="00D72360">
        <w:t xml:space="preserve">may be </w:t>
      </w:r>
      <w:r w:rsidR="00A459AA" w:rsidRPr="00D72360">
        <w:t>true</w:t>
      </w:r>
      <w:r w:rsidRPr="00D72360">
        <w:t xml:space="preserve"> in consolidated agricultural regions such as Europe </w:t>
      </w:r>
      <w:bookmarkEnd w:id="20"/>
      <w:r w:rsidRPr="00D72360">
        <w:fldChar w:fldCharType="begin" w:fldLock="1"/>
      </w:r>
      <w:r w:rsidR="0090126B" w:rsidRPr="00D72360">
        <w:instrText>ADDIN CSL_CITATION {"citationItems":[{"id":"ITEM-1","itemData":{"DOI":"10.1007/s10021-011-9441-y","ISSN":"14329840","abstract":"Abandonment of arable land is often assumed to happen mostly in marginal areas where the conditions for arable cultivation are relatively unfavorable, whereas arable expansion is expected to occur mostly in areas with favorable conditions. This assumption, used in many land-use change forecasts, was never properly tested, mainly because the relatively short period of full-coverage land-use inventories did not allow a systematic analysis of the phenomena. With the recent release of CORINE 2006 this has changed. In this article, we explore the typical locations of abandonment and expansion of arable land in Europe during the period 1990-2006 by means of logistic regressions. More specifically, we test whether or not locations of abandonment and expansion can be inferred from the location characteristics of arable land in 1990. If the above assumption holds, this should be the case. We demonstrate that although arable expansion indeed happens in locations that resemble the bulk of arable land in 1990 (the presumably favorable locations), arable abandonment does not necessarily happen in locations that resemble the bulk of uncultivated land (that is, the presumably unfavorable locations). In other words, the assumption does not hold. Particularly, areas close to the road network were found to be associated with both high abandonment rates and high expansion rates, which suggest that abandonment is not limited to areas that are marginal in terms of agricultural production.","author":[{"dropping-particle":"","family":"Hatna","given":"Erez","non-dropping-particle":"","parse-names":false,"suffix":""},{"dropping-particle":"","family":"Bakker","given":"Martha M.","non-dropping-particle":"","parse-names":false,"suffix":""}],"container-title":"Ecosystems","id":"ITEM-1","issue":"5","issued":{"date-parts":[["2011"]]},"page":"720-731","title":"Abandonment and Expansion of Arable Land in Europe","type":"article-journal","volume":"14"},"uris":["http://www.mendeley.com/documents/?uuid=111b7745-26da-4da0-9fe0-017710a661a2"]}],"mendeley":{"formattedCitation":"&lt;sup&gt;15&lt;/sup&gt;","plainTextFormattedCitation":"15","previouslyFormattedCitation":"&lt;sup&gt;15&lt;/sup&gt;"},"properties":{"noteIndex":0},"schema":"https://github.com/citation-style-language/schema/raw/master/csl-citation.json"}</w:instrText>
      </w:r>
      <w:r w:rsidRPr="00D72360">
        <w:fldChar w:fldCharType="separate"/>
      </w:r>
      <w:bookmarkStart w:id="21" w:name="__Fieldmark__4502_3027855847"/>
      <w:r w:rsidR="0090126B" w:rsidRPr="00D72360">
        <w:rPr>
          <w:noProof/>
          <w:vertAlign w:val="superscript"/>
        </w:rPr>
        <w:t>15</w:t>
      </w:r>
      <w:r w:rsidRPr="00D72360">
        <w:fldChar w:fldCharType="end"/>
      </w:r>
      <w:bookmarkEnd w:id="21"/>
      <w:r w:rsidRPr="00D72360">
        <w:t xml:space="preserve">, this is unlikely to be </w:t>
      </w:r>
      <w:r w:rsidR="00440D58" w:rsidRPr="00D72360">
        <w:t>true</w:t>
      </w:r>
      <w:r w:rsidRPr="00D72360">
        <w:t xml:space="preserve"> globally, because frontier expansion of agriculture occurs under very different circumstances </w:t>
      </w:r>
      <w:bookmarkStart w:id="22" w:name="__Fieldmark__1767_531043149"/>
      <w:bookmarkEnd w:id="22"/>
      <w:r w:rsidRPr="00D72360">
        <w:t xml:space="preserve">than in consolidated agricultural regions </w:t>
      </w:r>
      <w:r w:rsidRPr="00D72360">
        <w:fldChar w:fldCharType="begin" w:fldLock="1"/>
      </w:r>
      <w:r w:rsidR="0090126B" w:rsidRPr="00D72360">
        <w:instrText>ADDIN CSL_CITATION {"citationItems":[{"id":"ITEM-1","itemData":{"DOI":"10.1111/j.1475-4959.2012.00462.x","ISSN":"00167398","abstract":"Resource and land frontiers have always been a significant focus of geography but have become overlooked in economics and economic history. Yet a critical driving force behind global economic development has been the response of human society to natural resource scarcity, not just through conserving scarce resources but also by obtaining and developing more of them. A handful of theories of how such classic frontier expansion has shaped economic development have been formulated, and these are discussed and reviewed. Evidence from history is cited to illustrate these effects, and the implications for resource-based development in the Contemporary Era (1950 to present) are discussed. Unlike previous eras, the pattern of frontier expansion is dualistic. This has led to less economy-wide benefits from frontier-based development in the Contemporary Era.","author":[{"dropping-particle":"","family":"Barbier","given":"Edward B.","non-dropping-particle":"","parse-names":false,"suffix":""}],"container-title":"Geographical Journal","id":"ITEM-1","issue":"2","issued":{"date-parts":[["2012"]]},"page":"110-122","title":"Scarcity, frontiers and development","type":"article-journal","volume":"178"},"uris":["http://www.mendeley.com/documents/?uuid=60fcc35f-38d8-4429-a46f-f0a73219ee99"]},{"id":"ITEM-2","itemData":{"DOI":"10.1016/j.landusepol.2019.01.011","ISSN":"02648377","abstract":"Agricultural land expansion is a prominent feature in today's developing countries. It is associated with a structural pattern of land use in many remote land-abundant regions where large-scale commercial primary product activities coexist with increased concentration of smallholders in more marginal areas. The result may be boom-bust cycles of development. If these phenomena are widespread across developing countries, then long-run expansion of agricultural land could be associated with lower levels of real income per capita, which may also fluctuate with prolonged expansion. A panel analysis conducted over 1961–2015 for 98 developing economies fails to reject this hypothesis. Policies should aim to decouple socio-economic gains through agricultural development from continued land expansion, and greater investments are needed to support smallholder agriculture, land distribution and livelihoods in these areas.","author":[{"dropping-particle":"","family":"Barbier","given":"Edward B.","non-dropping-particle":"","parse-names":false,"suffix":""}],"container-title":"Land Use Policy","id":"ITEM-2","issue":"January","issued":{"date-parts":[["2020","4"]]},"page":"103808","publisher":"Elsevier","title":"Long run agricultural land expansion, booms and busts","type":"article-journal","volume":"93"},"uris":["http://www.mendeley.com/documents/?uuid=9bd9f0fa-b38b-4abc-b597-43077bf80206"]}],"mendeley":{"formattedCitation":"&lt;sup&gt;16,17&lt;/sup&gt;","plainTextFormattedCitation":"16,17","previouslyFormattedCitation":"&lt;sup&gt;16,17&lt;/sup&gt;"},"properties":{"noteIndex":0},"schema":"https://github.com/citation-style-language/schema/raw/master/csl-citation.json"}</w:instrText>
      </w:r>
      <w:r w:rsidRPr="00D72360">
        <w:fldChar w:fldCharType="separate"/>
      </w:r>
      <w:bookmarkStart w:id="23" w:name="__Fieldmark__4515_3027855847"/>
      <w:bookmarkStart w:id="24" w:name="__Fieldmark__1782_531043149"/>
      <w:r w:rsidR="0090126B" w:rsidRPr="00D72360">
        <w:rPr>
          <w:noProof/>
          <w:vertAlign w:val="superscript"/>
        </w:rPr>
        <w:t>16,17</w:t>
      </w:r>
      <w:r w:rsidRPr="00D72360">
        <w:fldChar w:fldCharType="end"/>
      </w:r>
      <w:bookmarkEnd w:id="23"/>
      <w:bookmarkEnd w:id="24"/>
      <w:r w:rsidRPr="00D72360">
        <w:t xml:space="preserve">. </w:t>
      </w:r>
      <w:r w:rsidR="00A459AA" w:rsidRPr="00D72360">
        <w:rPr>
          <w:rFonts w:hint="eastAsia"/>
        </w:rPr>
        <w:t xml:space="preserve">Frontiers are regions with rapid land-use expansion and an imbalance </w:t>
      </w:r>
      <w:r w:rsidRPr="00D72360">
        <w:t>between abundant land and natural resources and a relative lack of capital or labour to exploit these resources</w:t>
      </w:r>
      <w:r w:rsidRPr="00D72360">
        <w:fldChar w:fldCharType="begin" w:fldLock="1"/>
      </w:r>
      <w:r w:rsidR="0090126B" w:rsidRPr="00D72360">
        <w:instrText>ADDIN CSL_CITATION {"citationItems":[{"id":"ITEM-1","itemData":{"DOI":"10.1080/24694452.2017.1360761","ISSN":"24694460","abstract":"© 2018 by American Association of Geographers. Theories of frontier expansion in the last four decades have been mostly shaped by studies of state-driven smallholder colonization. Modern-day agricultural frontiers, however, are increasingly driven by capitalized corporate agriculture operating with little direct government intervention. The expansion of contemporary frontiers has been explained by the existence of spatially heterogeneous “abnormal” rents, which can be caused by cheap land and labor, technological innovation, lack of regulations, and a variety of other incentives. Here, we argue that understanding the dynamics of these frontiers requires considering the differential ability of actors to capture such rents, which depends on their access to production factors and their information, preferences, and agency. We propose a new conceptual framework drawing on neoclassical economics and political economy, which we apply to the South American Gran Chaco, a hot spot of deforestation for soy and cattle production. We divide the region into a set of distinct frontiers based on satellite data, field interviews, and expert knowledge, to review the drivers and actors of agricultural expansion in these frontiers. We show that frontier expansion in the Chaco responded to the rents created by new agricultural technologies, infrastructure, and rising producer prices but that the frontier dynamics were strongly influenced by actors' abilities to capture or influence these rents. Our findings thus highlight that understanding contemporary commodity frontiers requires analyzing the novel ways by which the agency of particular groups of actors shapes land-use outcomes.","author":[{"dropping-particle":"","family":"Polain de Waroux","given":"Yann","non-dropping-particle":"le","parse-names":false,"suffix":""},{"dropping-particle":"","family":"Baumann","given":"Matthias","non-dropping-particle":"","parse-names":false,"suffix":""},{"dropping-particle":"","family":"Gasparri","given":"Nestor Ignacio","non-dropping-particle":"","parse-names":false,"suffix":""},{"dropping-particle":"","family":"Gavier-Pizarro","given":"Gregorio","non-dropping-particle":"","parse-names":false,"suffix":""},{"dropping-particle":"","family":"Godar","given":"Javier","non-dropping-particle":"","parse-names":false,"suffix":""},{"dropping-particle":"","family":"Kuemmerle","given":"Tobias","non-dropping-particle":"","parse-names":false,"suffix":""},{"dropping-particle":"","family":"Müller","given":"Robert","non-dropping-particle":"","parse-names":false,"suffix":""},{"dropping-particle":"","family":"Vázquez","given":"Fabricio","non-dropping-particle":"","parse-names":false,"suffix":""},{"dropping-particle":"","family":"Volante","given":"José Norberto","non-dropping-particle":"","parse-names":false,"suffix":""},{"dropping-particle":"","family":"Meyfroidt","given":"Patrick","non-dropping-particle":"","parse-names":false,"suffix":""}],"container-title":"Annals of the American Association of Geographers","id":"ITEM-1","issue":"1","issued":{"date-parts":[["2018"]]},"page":"204-225","title":"Rents, Actors, and the Expansion of Commodity Frontiers in the Gran Chaco","type":"article-journal","volume":"108"},"uris":["http://www.mendeley.com/documents/?uuid=26dca451-5397-4cb8-9a63-7686206d1e7c"]},{"id":"ITEM-2","itemData":{"DOI":"10.1111/j.1475-4959.2012.00462.x","ISSN":"00167398","abstract":"Resource and land frontiers have always been a significant focus of geography but have become overlooked in economics and economic history. Yet a critical driving force behind global economic development has been the response of human society to natural resource scarcity, not just through conserving scarce resources but also by obtaining and developing more of them. A handful of theories of how such classic frontier expansion has shaped economic development have been formulated, and these are discussed and reviewed. Evidence from history is cited to illustrate these effects, and the implications for resource-based development in the Contemporary Era (1950 to present) are discussed. Unlike previous eras, the pattern of frontier expansion is dualistic. This has led to less economy-wide benefits from frontier-based development in the Contemporary Era.","author":[{"dropping-particle":"","family":"Barbier","given":"Edward B.","non-dropping-particle":"","parse-names":false,"suffix":""}],"container-title":"Geographical Journal","id":"ITEM-2","issue":"2","issued":{"date-parts":[["2012"]]},"page":"110-122","title":"Scarcity, frontiers and development","type":"article-journal","volume":"178"},"uris":["http://www.mendeley.com/documents/?uuid=60fcc35f-38d8-4429-a46f-f0a73219ee99"]}],"mendeley":{"formattedCitation":"&lt;sup&gt;16,18&lt;/sup&gt;","plainTextFormattedCitation":"16,18","previouslyFormattedCitation":"&lt;sup&gt;16,18&lt;/sup&gt;"},"properties":{"noteIndex":0},"schema":"https://github.com/citation-style-language/schema/raw/master/csl-citation.json"}</w:instrText>
      </w:r>
      <w:r w:rsidRPr="00D72360">
        <w:fldChar w:fldCharType="separate"/>
      </w:r>
      <w:bookmarkStart w:id="25" w:name="__Fieldmark__4525_3027855847"/>
      <w:r w:rsidR="0090126B" w:rsidRPr="00D72360">
        <w:rPr>
          <w:noProof/>
          <w:vertAlign w:val="superscript"/>
        </w:rPr>
        <w:t>16,18</w:t>
      </w:r>
      <w:r w:rsidRPr="00D72360">
        <w:fldChar w:fldCharType="end"/>
      </w:r>
      <w:bookmarkEnd w:id="25"/>
      <w:r w:rsidRPr="00D72360">
        <w:t>. In frontier areas, case studies and theory suggest that agricultural expansion occurs under</w:t>
      </w:r>
      <w:r w:rsidR="00171F6B" w:rsidRPr="00D72360">
        <w:t xml:space="preserve"> </w:t>
      </w:r>
      <w:r w:rsidRPr="00D72360">
        <w:t xml:space="preserve">imperfect market conditions where agency of key actors, rent-capture behaviours and non-equilibrium dynamics dominate </w:t>
      </w:r>
      <w:r w:rsidRPr="00D72360">
        <w:fldChar w:fldCharType="begin" w:fldLock="1"/>
      </w:r>
      <w:r w:rsidR="0090126B" w:rsidRPr="00D72360">
        <w:instrText>ADDIN CSL_CITATION {"citationItems":[{"id":"ITEM-1","itemData":{"DOI":"10.1080/24694452.2017.1360761","ISSN":"24694460","abstract":"© 2018 by American Association of Geographers. Theories of frontier expansion in the last four decades have been mostly shaped by studies of state-driven smallholder colonization. Modern-day agricultural frontiers, however, are increasingly driven by capitalized corporate agriculture operating with little direct government intervention. The expansion of contemporary frontiers has been explained by the existence of spatially heterogeneous “abnormal” rents, which can be caused by cheap land and labor, technological innovation, lack of regulations, and a variety of other incentives. Here, we argue that understanding the dynamics of these frontiers requires considering the differential ability of actors to capture such rents, which depends on their access to production factors and their information, preferences, and agency. We propose a new conceptual framework drawing on neoclassical economics and political economy, which we apply to the South American Gran Chaco, a hot spot of deforestation for soy and cattle production. We divide the region into a set of distinct frontiers based on satellite data, field interviews, and expert knowledge, to review the drivers and actors of agricultural expansion in these frontiers. We show that frontier expansion in the Chaco responded to the rents created by new agricultural technologies, infrastructure, and rising producer prices but that the frontier dynamics were strongly influenced by actors' abilities to capture or influence these rents. Our findings thus highlight that understanding contemporary commodity frontiers requires analyzing the novel ways by which the agency of particular groups of actors shapes land-use outcomes.","author":[{"dropping-particle":"","family":"Polain de Waroux","given":"Yann","non-dropping-particle":"le","parse-names":false,"suffix":""},{"dropping-particle":"","family":"Baumann","given":"Matthias","non-dropping-particle":"","parse-names":false,"suffix":""},{"dropping-particle":"","family":"Gasparri","given":"Nestor Ignacio","non-dropping-particle":"","parse-names":false,"suffix":""},{"dropping-particle":"","family":"Gavier-Pizarro","given":"Gregorio","non-dropping-particle":"","parse-names":false,"suffix":""},{"dropping-particle":"","family":"Godar","given":"Javier","non-dropping-particle":"","parse-names":false,"suffix":""},{"dropping-particle":"","family":"Kuemmerle","given":"Tobias","non-dropping-particle":"","parse-names":false,"suffix":""},{"dropping-particle":"","family":"Müller","given":"Robert","non-dropping-particle":"","parse-names":false,"suffix":""},{"dropping-particle":"","family":"Vázquez","given":"Fabricio","non-dropping-particle":"","parse-names":false,"suffix":""},{"dropping-particle":"","family":"Volante","given":"José Norberto","non-dropping-particle":"","parse-names":false,"suffix":""},{"dropping-particle":"","family":"Meyfroidt","given":"Patrick","non-dropping-particle":"","parse-names":false,"suffix":""}],"container-title":"Annals of the American Association of Geographers","id":"ITEM-1","issue":"1","issued":{"date-parts":[["2018"]]},"page":"204-225","title":"Rents, Actors, and the Expansion of Commodity Frontiers in the Gran Chaco","type":"article-journal","volume":"108"},"uris":["http://www.mendeley.com/documents/?uuid=26dca451-5397-4cb8-9a63-7686206d1e7c"]}],"mendeley":{"formattedCitation":"&lt;sup&gt;18&lt;/sup&gt;","plainTextFormattedCitation":"18","previouslyFormattedCitation":"&lt;sup&gt;18&lt;/sup&gt;"},"properties":{"noteIndex":0},"schema":"https://github.com/citation-style-language/schema/raw/master/csl-citation.json"}</w:instrText>
      </w:r>
      <w:r w:rsidRPr="00D72360">
        <w:fldChar w:fldCharType="separate"/>
      </w:r>
      <w:bookmarkStart w:id="26" w:name="__Fieldmark__4539_3027855847"/>
      <w:bookmarkStart w:id="27" w:name="__Fieldmark__1925_531043149"/>
      <w:r w:rsidR="0090126B" w:rsidRPr="00D72360">
        <w:rPr>
          <w:noProof/>
          <w:vertAlign w:val="superscript"/>
        </w:rPr>
        <w:t>18</w:t>
      </w:r>
      <w:r w:rsidRPr="00D72360">
        <w:fldChar w:fldCharType="end"/>
      </w:r>
      <w:bookmarkEnd w:id="26"/>
      <w:bookmarkEnd w:id="27"/>
      <w:r w:rsidRPr="00D72360">
        <w:rPr>
          <w:i/>
          <w:iCs/>
        </w:rPr>
        <w:t>.</w:t>
      </w:r>
      <w:r w:rsidRPr="00D72360">
        <w:t xml:space="preserve"> Large-scale actors operating in commodity frontiers have the agency to modify the very conditions (such as accessibility, infrastructures, policies) that influence their own cropland expansion </w:t>
      </w:r>
      <w:r w:rsidRPr="00D72360">
        <w:fldChar w:fldCharType="begin" w:fldLock="1"/>
      </w:r>
      <w:r w:rsidR="0090126B" w:rsidRPr="00D72360">
        <w:instrText>ADDIN CSL_CITATION {"citationItems":[{"id":"ITEM-1","itemData":{"DOI":"10.1080/24694452.2017.1360761","ISSN":"24694460","abstract":"© 2018 by American Association of Geographers. Theories of frontier expansion in the last four decades have been mostly shaped by studies of state-driven smallholder colonization. Modern-day agricultural frontiers, however, are increasingly driven by capitalized corporate agriculture operating with little direct government intervention. The expansion of contemporary frontiers has been explained by the existence of spatially heterogeneous “abnormal” rents, which can be caused by cheap land and labor, technological innovation, lack of regulations, and a variety of other incentives. Here, we argue that understanding the dynamics of these frontiers requires considering the differential ability of actors to capture such rents, which depends on their access to production factors and their information, preferences, and agency. We propose a new conceptual framework drawing on neoclassical economics and political economy, which we apply to the South American Gran Chaco, a hot spot of deforestation for soy and cattle production. We divide the region into a set of distinct frontiers based on satellite data, field interviews, and expert knowledge, to review the drivers and actors of agricultural expansion in these frontiers. We show that frontier expansion in the Chaco responded to the rents created by new agricultural technologies, infrastructure, and rising producer prices but that the frontier dynamics were strongly influenced by actors' abilities to capture or influence these rents. Our findings thus highlight that understanding contemporary commodity frontiers requires analyzing the novel ways by which the agency of particular groups of actors shapes land-use outcomes.","author":[{"dropping-particle":"","family":"Polain de Waroux","given":"Yann","non-dropping-particle":"le","parse-names":false,"suffix":""},{"dropping-particle":"","family":"Baumann","given":"Matthias","non-dropping-particle":"","parse-names":false,"suffix":""},{"dropping-particle":"","family":"Gasparri","given":"Nestor Ignacio","non-dropping-particle":"","parse-names":false,"suffix":""},{"dropping-particle":"","family":"Gavier-Pizarro","given":"Gregorio","non-dropping-particle":"","parse-names":false,"suffix":""},{"dropping-particle":"","family":"Godar","given":"Javier","non-dropping-particle":"","parse-names":false,"suffix":""},{"dropping-particle":"","family":"Kuemmerle","given":"Tobias","non-dropping-particle":"","parse-names":false,"suffix":""},{"dropping-particle":"","family":"Müller","given":"Robert","non-dropping-particle":"","parse-names":false,"suffix":""},{"dropping-particle":"","family":"Vázquez","given":"Fabricio","non-dropping-particle":"","parse-names":false,"suffix":""},{"dropping-particle":"","family":"Volante","given":"José Norberto","non-dropping-particle":"","parse-names":false,"suffix":""},{"dropping-particle":"","family":"Meyfroidt","given":"Patrick","non-dropping-particle":"","parse-names":false,"suffix":""}],"container-title":"Annals of the American Association of Geographers","id":"ITEM-1","issue":"1","issued":{"date-parts":[["2018"]]},"page":"204-225","title":"Rents, Actors, and the Expansion of Commodity Frontiers in the Gran Chaco","type":"article-journal","volume":"108"},"uris":["http://www.mendeley.com/documents/?uuid=f5870611-1823-4a94-a789-556c31ecbbea"]}],"mendeley":{"formattedCitation":"&lt;sup&gt;18&lt;/sup&gt;","plainTextFormattedCitation":"18","previouslyFormattedCitation":"&lt;sup&gt;18&lt;/sup&gt;"},"properties":{"noteIndex":0},"schema":"https://github.com/citation-style-language/schema/raw/master/csl-citation.json"}</w:instrText>
      </w:r>
      <w:r w:rsidRPr="00D72360">
        <w:fldChar w:fldCharType="separate"/>
      </w:r>
      <w:bookmarkStart w:id="28" w:name="__Fieldmark__4551_3027855847"/>
      <w:r w:rsidR="0090126B" w:rsidRPr="00D72360">
        <w:rPr>
          <w:noProof/>
          <w:vertAlign w:val="superscript"/>
        </w:rPr>
        <w:t>18</w:t>
      </w:r>
      <w:r w:rsidRPr="00D72360">
        <w:fldChar w:fldCharType="end"/>
      </w:r>
      <w:bookmarkEnd w:id="28"/>
      <w:r w:rsidRPr="00D72360">
        <w:t>. By contrast, in smallholder-driven frontiers, coexistence between market-oriented and subsistence production and imperfect market integration are such that decisions may differ from the simple economic optimum captured in coarse-scale global approaches</w:t>
      </w:r>
      <w:r w:rsidRPr="00D72360">
        <w:fldChar w:fldCharType="begin" w:fldLock="1"/>
      </w:r>
      <w:r w:rsidR="0090126B" w:rsidRPr="00D72360">
        <w:instrText>ADDIN CSL_CITATION {"citationItems":[{"id":"ITEM-1","itemData":{"author":[{"dropping-particle":"","family":"Janvry","given":"Alain","non-dropping-particle":"de","parse-names":false,"suffix":""},{"dropping-particle":"","family":"Fafchamps","given":"Marcel","non-dropping-particle":"","parse-names":false,"suffix":""},{"dropping-particle":"","family":"Sadoulet","given":"Elisabeth","non-dropping-particle":"","parse-names":false,"suffix":""}],"container-title":"The Economic Journal","id":"ITEM-1","issue":"409","issued":{"date-parts":[["1991"]]},"page":"1400-1417","title":"Peasant Household Behaviour with Missing Markets: Some Paradoxes Explained","type":"article-journal","volume":"101"},"uris":["http://www.mendeley.com/documents/?uuid=832ad1d1-ad25-4332-8aea-4627cf491b01"]},{"id":"ITEM-2","itemData":{"DOI":"10.1016/j.gloenvcha.2018.08.006","ISBN":"0959-3780","ISSN":"09593780","abstract":"Changes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Change","id":"ITEM-2","issue":"March","issued":{"date-parts":[["2018"]]},"page":"52-67","publisher":"Elsevier Ltd","title":"Middle-range theories of land system change","type":"article-journal","volume":"53"},"uris":["http://www.mendeley.com/documents/?uuid=7373a15b-6118-424c-ab15-05715e02d423"]}],"mendeley":{"formattedCitation":"&lt;sup&gt;19,20&lt;/sup&gt;","plainTextFormattedCitation":"19,20","previouslyFormattedCitation":"&lt;sup&gt;19,20&lt;/sup&gt;"},"properties":{"noteIndex":0},"schema":"https://github.com/citation-style-language/schema/raw/master/csl-citation.json"}</w:instrText>
      </w:r>
      <w:r w:rsidRPr="00D72360">
        <w:fldChar w:fldCharType="separate"/>
      </w:r>
      <w:bookmarkStart w:id="29" w:name="__Fieldmark__4557_3027855847"/>
      <w:r w:rsidR="0090126B" w:rsidRPr="00D72360">
        <w:rPr>
          <w:noProof/>
          <w:vertAlign w:val="superscript"/>
        </w:rPr>
        <w:t>19,20</w:t>
      </w:r>
      <w:r w:rsidRPr="00D72360">
        <w:fldChar w:fldCharType="end"/>
      </w:r>
      <w:bookmarkEnd w:id="29"/>
      <w:r w:rsidRPr="00D72360">
        <w:t>. Finally, the globalized nature of trade in land-based product</w:t>
      </w:r>
      <w:r w:rsidR="001B29E7" w:rsidRPr="00D72360">
        <w:t>s</w:t>
      </w:r>
      <w:r w:rsidRPr="00D72360">
        <w:t xml:space="preserve"> such as agricultural commodities and timber </w:t>
      </w:r>
      <w:r w:rsidRPr="00D72360">
        <w:fldChar w:fldCharType="begin" w:fldLock="1"/>
      </w:r>
      <w:r w:rsidR="0090126B" w:rsidRPr="00D72360">
        <w:instrText>ADDIN CSL_CITATION {"citationItems":[{"id":"ITEM-1","itemData":{"DOI":"10.1073/pnas.1100480108","ISSN":"1091-6490","PMID":"21321211","abstract":"A central challenge for sustainability is how to preserve forest ecosystems and the services that they provide us while enhancing food production. This challenge for developing countries confronts the force of economic globalization, which seeks cropland that is shrinking in availability and triggers deforestation. Four mechanisms-the displacement, rebound, cascade, and remittance effects-that are amplified by economic globalization accelerate land conversion. A few developing countries have managed a land use transition over the recent decades that simultaneously increased their forest cover and agricultural production. These countries have relied on various mixes of agricultural intensification, land use zoning, forest protection, increased reliance on imported food and wood products, the creation of off-farm jobs, foreign capital investments, and remittances. Sound policies and innovations can therefore reconcile forest preservation with food production. Globalization can be harnessed to increase land use efficiency rather than leading to uncontrolled land use expansion. To do so, land systems should be understood and modeled as open systems with large flows of goods, people, and capital that connect local land use with global-scale factors.","author":[{"dropping-particle":"","family":"Lambin","given":"Eric F","non-dropping-particle":"","parse-names":false,"suffix":""},{"dropping-particle":"","family":"Meyfroidt","given":"Patrick","non-dropping-particle":"","parse-names":false,"suffix":""}],"container-title":"Proceedings of the National Academy of Sciences of the United States of America","id":"ITEM-1","issue":"9","issued":{"date-parts":[["2011","3","1"]]},"page":"3465-72","title":"Global land use change, economic globalization, and the looming land scarcity.","type":"article-journal","volume":"108"},"uris":["http://www.mendeley.com/documents/?uuid=aed85e8e-0a19-4d29-a541-a38c5e4beadb"]}],"mendeley":{"formattedCitation":"&lt;sup&gt;21&lt;/sup&gt;","plainTextFormattedCitation":"21","previouslyFormattedCitation":"&lt;sup&gt;21&lt;/sup&gt;"},"properties":{"noteIndex":0},"schema":"https://github.com/citation-style-language/schema/raw/master/csl-citation.json"}</w:instrText>
      </w:r>
      <w:r w:rsidRPr="00D72360">
        <w:fldChar w:fldCharType="separate"/>
      </w:r>
      <w:bookmarkStart w:id="30" w:name="__Fieldmark__4563_3027855847"/>
      <w:bookmarkStart w:id="31" w:name="__Fieldmark__1798_531043149"/>
      <w:r w:rsidR="0090126B" w:rsidRPr="00D72360">
        <w:rPr>
          <w:noProof/>
          <w:vertAlign w:val="superscript"/>
        </w:rPr>
        <w:t>21</w:t>
      </w:r>
      <w:r w:rsidRPr="00D72360">
        <w:fldChar w:fldCharType="end"/>
      </w:r>
      <w:bookmarkEnd w:id="30"/>
      <w:bookmarkEnd w:id="31"/>
      <w:r w:rsidRPr="00D72360">
        <w:t xml:space="preserve"> may lead to amplification of regional disparities in land use trajectories, further increasing global differences between past and current predictors of cropland expansion. </w:t>
      </w:r>
    </w:p>
    <w:p w14:paraId="15F42DB3" w14:textId="4281814C" w:rsidR="005B755B" w:rsidRPr="00D72360" w:rsidRDefault="00ED5576">
      <w:r w:rsidRPr="00D72360">
        <w:t xml:space="preserve">Frontier dynamics remain poorly represented in global land use models </w:t>
      </w:r>
      <w:r w:rsidRPr="00D72360">
        <w:fldChar w:fldCharType="begin" w:fldLock="1"/>
      </w:r>
      <w:r w:rsidR="0090126B" w:rsidRPr="00D72360">
        <w:instrText>ADDIN CSL_CITATION {"citationItems":[{"id":"ITEM-1","itemData":{"DOI":"10.1038/s41467-019-09945-w","ISSN":"20411723","abstract":"Land use is at the core of various sustainable development goals. Long-term climate foresight studies have structured their recent analyses around five socio-economic pathways (SSPs), with consistent storylines of future macroeconomic and societal developments; however, model quantification of these scenarios shows substantial heterogeneity in land-use projections. Here we build on a recently developed sensitivity approach to identify how future land use depends on six distinct socio-economic drivers (population, wealth, consumption preferences, agricultural productivity, land-use regulation, and trade) and their interactions. Spread across models arises mostly from diverging sensitivities to long-term drivers and from various representations of land-use regulation and trade, calling for reconciliation efforts and more empirical research. Most influential determinants for future cropland and pasture extent are population and agricultural efficiency. Furthermore, land-use regulation and consumption changes can play a key role in reducing both land use and food-security risks, and need to be central elements in sustainable development strategies.","author":[{"dropping-particle":"","family":"Stehfest","given":"Elke","non-dropping-particle":"","parse-names":false,"suffix":""},{"dropping-particle":"","family":"Zeist","given":"Willem Jan","non-dropping-particle":"van","parse-names":false,"suffix":""},{"dropping-particle":"","family":"Valin","given":"Hugo","non-dropping-particle":"","parse-names":false,"suffix":""},{"dropping-particle":"","family":"Havlik","given":"Petr","non-dropping-particle":"","parse-names":false,"suffix":""},{"dropping-particle":"","family":"Popp","given":"Alexander","non-dropping-particle":"","parse-names":false,"suffix":""},{"dropping-particle":"","family":"Kyle","given":"Page","non-dropping-particle":"","parse-names":false,"suffix":""},{"dropping-particle":"","family":"Tabeau","given":"Andrzej","non-dropping-particle":"","parse-names":false,"suffix":""},{"dropping-particle":"","family":"Mason-D’Croz","given":"Daniel","non-dropping-particle":"","parse-names":false,"suffix":""},{"dropping-particle":"","family":"Hasegawa","given":"Tomoko","non-dropping-particle":"","parse-names":false,"suffix":""},{"dropping-particle":"","family":"Bodirsky","given":"Benjamin L.","non-dropping-particle":"","parse-names":false,"suffix":""},{"dropping-particle":"","family":"Calvin","given":"Katherine","non-dropping-particle":"","parse-names":false,"suffix":""},{"dropping-particle":"","family":"Doelman","given":"Jonathan C.","non-dropping-particle":"","parse-names":false,"suffix":""},{"dropping-particle":"","family":"Fujimori","given":"Shinichiro","non-dropping-particle":"","parse-names":false,"suffix":""},{"dropping-particle":"","family":"Humpenöder","given":"Florian","non-dropping-particle":"","parse-names":false,"suffix":""},{"dropping-particle":"","family":"Lotze-Campen","given":"Hermann","non-dropping-particle":"","parse-names":false,"suffix":""},{"dropping-particle":"","family":"Meijl","given":"Hans","non-dropping-particle":"van","parse-names":false,"suffix":""},{"dropping-particle":"","family":"Wiebe","given":"Keith","non-dropping-particle":"","parse-names":false,"suffix":""}],"container-title":"Nature Communications","id":"ITEM-1","issue":"1","issued":{"date-parts":[["2019"]]},"page":"1-10","publisher":"Springer US","title":"Key determinants of global land-use projections","type":"article-journal","volume":"10"},"uris":["http://www.mendeley.com/documents/?uuid=0438b11b-cf9c-435e-a2be-52998cab9d27","http://www.mendeley.com/documents/?uuid=e3e46f98-f490-4005-b296-cd9a7cdf466c"]}],"mendeley":{"formattedCitation":"&lt;sup&gt;13&lt;/sup&gt;","plainTextFormattedCitation":"13","previouslyFormattedCitation":"&lt;sup&gt;13&lt;/sup&gt;"},"properties":{"noteIndex":0},"schema":"https://github.com/citation-style-language/schema/raw/master/csl-citation.json"}</w:instrText>
      </w:r>
      <w:r w:rsidRPr="00D72360">
        <w:fldChar w:fldCharType="separate"/>
      </w:r>
      <w:bookmarkStart w:id="32" w:name="__Fieldmark__4585_3027855847"/>
      <w:r w:rsidR="0090126B" w:rsidRPr="00D72360">
        <w:rPr>
          <w:noProof/>
          <w:vertAlign w:val="superscript"/>
        </w:rPr>
        <w:t>13</w:t>
      </w:r>
      <w:r w:rsidRPr="00D72360">
        <w:fldChar w:fldCharType="end"/>
      </w:r>
      <w:bookmarkEnd w:id="32"/>
      <w:r w:rsidRPr="00D72360">
        <w:t xml:space="preserve"> as even the most recent models are largely based on classical land rent theories under equilibrium conditions </w:t>
      </w:r>
      <w:r w:rsidRPr="00D72360">
        <w:fldChar w:fldCharType="begin" w:fldLock="1"/>
      </w:r>
      <w:r w:rsidR="0090126B" w:rsidRPr="00D72360">
        <w:instrText>ADDIN CSL_CITATION {"citationItems":[{"id":"ITEM-1","itemData":{"DOI":"10.1016/j.gloenvcha.2018.08.006","ISBN":"0959-3780","ISSN":"09593780","abstract":"Changes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Change","id":"ITEM-1","issue":"March","issued":{"date-parts":[["2018"]]},"page":"52-67","publisher":"Elsevier Ltd","title":"Middle-range theories of land system change","type":"article-journal","volume":"53"},"uris":["http://www.mendeley.com/documents/?uuid=fad42dec-a48c-4bba-b8ed-3518b8a70e4b"]},{"id":"ITEM-2","itemData":{"DOI":"10.1146/annurev-resource-100815-095333","ISSN":"1941-1340","abstract":"This review seeks to survey, understand, and reconcile the widely divergent estimates of long-run global crop output, land use, and price projections in the current literature. We review the history of such projections and the different models and assumptions used in these exercises. We then introduce an analytical partial equilibrium model of the global crops sector, which provides a lens through which we can evaluate this previous work. The resulting decomposition of model responses into demand, extensive supply, and intensive supply elasticities offers important insights into the diversity of model parameterizations being employed by the existing models. Along with the methodology for implementing productivity growth, this helps explain some of the divergences in results. We employ a numerical version of the analytical model, which serves as an emulator of this entire class of models, to explore how uncertainties in the common underlying drivers and economic responses contribute to uncertain projections of output, prices, and land use in 2050. We place each of the published estimates reviewed here into the resulting empirical distribution of outcomes at mid-century. In addition, we quantify the sensitivity of these projections to model inputs. Our findings suggest that the top priority for future research should be improved estimation of agricultural factor supply elasticities, a topic that has been largely neglected in recent decades.","author":[{"dropping-particle":"","family":"Hertel","given":"Thomas W.","non-dropping-particle":"","parse-names":false,"suffix":""},{"dropping-particle":"","family":"Baldos","given":"Uris Lantz C.","non-dropping-particle":"","parse-names":false,"suffix":""},{"dropping-particle":"","family":"Mensbrugghe","given":"Dominique","non-dropping-particle":"van der","parse-names":false,"suffix":""}],"container-title":"Annual Review of Resource Economics","id":"ITEM-2","issue":"1","issued":{"date-parts":[["2016","10","5"]]},"page":"417-441","title":"Predicting Long-Term Food Demand, Cropland Use, and Prices","type":"article-journal","volume":"8"},"uris":["http://www.mendeley.com/documents/?uuid=d7565db0-9f54-4bc2-9895-be15f276db04"]}],"mendeley":{"formattedCitation":"&lt;sup&gt;20,22&lt;/sup&gt;","plainTextFormattedCitation":"20,22","previouslyFormattedCitation":"&lt;sup&gt;20,22&lt;/sup&gt;"},"properties":{"noteIndex":0},"schema":"https://github.com/citation-style-language/schema/raw/master/csl-citation.json"}</w:instrText>
      </w:r>
      <w:r w:rsidRPr="00D72360">
        <w:fldChar w:fldCharType="separate"/>
      </w:r>
      <w:bookmarkStart w:id="33" w:name="__Fieldmark__4593_3027855847"/>
      <w:r w:rsidR="0090126B" w:rsidRPr="00D72360">
        <w:rPr>
          <w:noProof/>
          <w:vertAlign w:val="superscript"/>
        </w:rPr>
        <w:t>20,22</w:t>
      </w:r>
      <w:r w:rsidRPr="00D72360">
        <w:fldChar w:fldCharType="end"/>
      </w:r>
      <w:bookmarkEnd w:id="33"/>
      <w:r w:rsidRPr="00D72360">
        <w:t xml:space="preserve">. Moreover, systematic tests of the effects of these assumptions on the accuracy of the predictions of global land use models remain limited </w:t>
      </w:r>
      <w:r w:rsidRPr="00D72360">
        <w:fldChar w:fldCharType="begin" w:fldLock="1"/>
      </w:r>
      <w:r w:rsidR="0090126B" w:rsidRPr="00D72360">
        <w:instrText>ADDIN CSL_CITATION {"citationItems":[{"id":"ITEM-1","itemData":{"DOI":"10.1016/j.cosust.2019.05.002","ISSN":"18773435","abstract":"Land use models play an important role in exploring future land change dynamics and are instrumental to support the integration of knowledge in land system science. However, only modest progress has been made in achieving these aims due to insufficient model evaluation and limited representation of the underlying socio-ecological processes. We discuss how land use models can better represent multi-scalar dynamics, human agency and demand-supply relations, and how we can achieve learning from model evaluation. By addressing these issues we outline pathways towards a new generation of land use models that allow not only the assessment of future land cover pattern changes, but also stimulate envisioning future land use by society to support debate on sustainability solutions and help design alternative solutions.","author":[{"dropping-particle":"","family":"Verburg","given":"Peter H.","non-dropping-particle":"","parse-names":false,"suffix":""},{"dropping-particle":"","family":"Alexander","given":"Peter","non-dropping-particle":"","parse-names":false,"suffix":""},{"dropping-particle":"","family":"Evans","given":"Tom","non-dropping-particle":"","parse-names":false,"suffix":""},{"dropping-particle":"","family":"Magliocca","given":"Nicholas R.","non-dropping-particle":"","parse-names":false,"suffix":""},{"dropping-particle":"","family":"Malek","given":"Ziga","non-dropping-particle":"","parse-names":false,"suffix":""},{"dropping-particle":"DA","family":"Rounsevell","given":"Mark","non-dropping-particle":"","parse-names":false,"suffix":""},{"dropping-particle":"","family":"Vliet","given":"Jasper","non-dropping-particle":"van","parse-names":false,"suffix":""}],"container-title":"Current Opinion in Environmental Sustainability","id":"ITEM-1","issue":"June","issued":{"date-parts":[["2019"]]},"page":"77-85","publisher":"Elsevier B.V.","title":"Beyond land cover change: towards a new generation of land use models","type":"article-journal","volume":"38"},"uris":["http://www.mendeley.com/documents/?uuid=cce822ee-dceb-4cef-9dd8-5def5d1cc8fe"]}],"mendeley":{"formattedCitation":"&lt;sup&gt;23&lt;/sup&gt;","plainTextFormattedCitation":"23","previouslyFormattedCitation":"&lt;sup&gt;23&lt;/sup&gt;"},"properties":{"noteIndex":0},"schema":"https://github.com/citation-style-language/schema/raw/master/csl-citation.json"}</w:instrText>
      </w:r>
      <w:r w:rsidRPr="00D72360">
        <w:fldChar w:fldCharType="separate"/>
      </w:r>
      <w:bookmarkStart w:id="34" w:name="__Fieldmark__4601_3027855847"/>
      <w:r w:rsidR="0090126B" w:rsidRPr="00D72360">
        <w:rPr>
          <w:noProof/>
          <w:vertAlign w:val="superscript"/>
        </w:rPr>
        <w:t>23</w:t>
      </w:r>
      <w:r w:rsidRPr="00D72360">
        <w:fldChar w:fldCharType="end"/>
      </w:r>
      <w:bookmarkEnd w:id="34"/>
      <w:r w:rsidRPr="00D72360">
        <w:t xml:space="preserve">, and the spatial and temporal differences in the identity and effects of putative predictors of agricultural expansion have yet to be tested at the global scale. This lack of testing represents a key research gap for predicting future land cover changes </w:t>
      </w:r>
      <w:r w:rsidRPr="00D72360">
        <w:fldChar w:fldCharType="begin" w:fldLock="1"/>
      </w:r>
      <w:r w:rsidR="0090126B" w:rsidRPr="00D72360">
        <w:instrText>ADDIN CSL_CITATION {"citationItems":[{"id":"ITEM-1","itemData":{"DOI":"10.1111/gcb.12733","ISBN":"1365-2486","ISSN":"13652486","PMID":"25205590","abstract":"The world's population is growing and demand for food, feed, fiber, and fuel is increasing, placing greater demand on land and its resources for crop production. We review previously published estimates of global scale cropland availability, discuss the underlying assumptions that lead to differences between estimates, and illustrate the consequences of applying different estimates in model-based assessments of land-use change. The review estimates a range from 1552 to 5131 Mha, which includes 1550 Mha that is already cropland. Hence, the lowest estimates indicate that there is almost no room for cropland expansion, while the highest estimates indicate that cropland could potentially expand to over three times its current area. Differences can largely be attributed to institutional assumptions, i.e. which land covers/uses (e.g. forests or grasslands) are societally or governmentally allowed to convert to cropland, while there was little variation in biophysical assumptions. Estimates based on comparable assumptions showed a variation of up to 84%, which originated mainly from different underlying data sources. On the basis of this synthesis of the assumptions underlying these estimates, we constructed a high, a medium, and a low estimate of cropland availability that are representative of the range of estimates in the reviewed studies. We apply these estimates in a land-change model to illustrate the consequences on cropland expansion and intensification as well as deforestation. While uncertainty in cropland availability is hardly addressed in global land-use change assessments, the results indicate a large range of estimates with important consequences for model-based assessments.","author":[{"dropping-particle":"","family":"Eitelberg","given":"David A.","non-dropping-particle":"","parse-names":false,"suffix":""},{"dropping-particle":"","family":"Vliet","given":"Jasper","non-dropping-particle":"van","parse-names":false,"suffix":""},{"dropping-particle":"","family":"Verburg","given":"Peter H.","non-dropping-particle":"","parse-names":false,"suffix":""}],"container-title":"Global Change Biology","id":"ITEM-1","issue":"3","issued":{"date-parts":[["2015"]]},"page":"1236-1248","title":"A review of global potentially available cropland estimates and their consequences for model-based assessments","type":"article-journal","volume":"21"},"uris":["http://www.mendeley.com/documents/?uuid=7b911548-ece1-48ee-b6df-207ce35bd53a"]}],"mendeley":{"formattedCitation":"&lt;sup&gt;24&lt;/sup&gt;","plainTextFormattedCitation":"24","previouslyFormattedCitation":"&lt;sup&gt;24&lt;/sup&gt;"},"properties":{"noteIndex":0},"schema":"https://github.com/citation-style-language/schema/raw/master/csl-citation.json"}</w:instrText>
      </w:r>
      <w:r w:rsidRPr="00D72360">
        <w:fldChar w:fldCharType="separate"/>
      </w:r>
      <w:bookmarkStart w:id="35" w:name="__Fieldmark__4608_3027855847"/>
      <w:bookmarkStart w:id="36" w:name="__Fieldmark__1791_531043149"/>
      <w:r w:rsidR="0090126B" w:rsidRPr="00D72360">
        <w:rPr>
          <w:noProof/>
          <w:vertAlign w:val="superscript"/>
        </w:rPr>
        <w:t>24</w:t>
      </w:r>
      <w:r w:rsidRPr="00D72360">
        <w:fldChar w:fldCharType="end"/>
      </w:r>
      <w:bookmarkEnd w:id="35"/>
      <w:bookmarkEnd w:id="36"/>
      <w:r w:rsidRPr="00D72360">
        <w:t xml:space="preserve">.  </w:t>
      </w:r>
    </w:p>
    <w:p w14:paraId="5389F049" w14:textId="1DA9F387" w:rsidR="005B755B" w:rsidRPr="00D72360" w:rsidRDefault="00ED5576">
      <w:r w:rsidRPr="00D72360">
        <w:t xml:space="preserve">Until recently, a major barrier to assessing whether predictors of land use change are stable or changing over time has been the lack of finely resolved, global data on land use change. Such data are now available, at least for recent changes in forest cover </w:t>
      </w:r>
      <w:r w:rsidRPr="00D72360">
        <w:fldChar w:fldCharType="begin" w:fldLock="1"/>
      </w:r>
      <w:r w:rsidR="0090126B" w:rsidRPr="00D72360">
        <w:instrText>ADDIN CSL_CITATION {"citationItems":[{"id":"ITEM-1","itemData":{"DOI":"10.1126/science.1244693","ISSN":"0036-8075","PMID":"24233722","abstract":"Quantification of global forest change has been lacking despite the recognized importance of forest ecosystem services. In this study, Earth observation satellite data were used to map global forest loss (2.3 million square kilometers) and gain (0.8 million square kilometers) from 2000 to 2012 at a spatial resolution of 30 meters. The tropics were the only climate domain to exhibit a trend, with forest loss increasing by 2101 square kilometers per year. Brazil's well-documented reduction in deforestation was offset by increasing forest loss in Indonesia, Malaysia, Paraguay, Bolivia, Zambia, Angola, and elsewhere. Intensive forestry practiced within subtropical forests resulted in the highest rates of forest change globally. Boreal forest loss due largely to fire and forestry was second to that in the tropics in absolute and proportional terms. These results depict a globally consistent and locally relevant record of forest change.","author":[{"dropping-particle":"","family":"Hansen","given":"M C","non-dropping-particle":"","parse-names":false,"suffix":""},{"dropping-particle":"V.","family":"Potapov","given":"P.","non-dropping-particle":"","parse-names":false,"suffix":""},{"dropping-particle":"","family":"Moore","given":"R.","non-dropping-particle":"","parse-names":false,"suffix":""},{"dropping-particle":"","family":"Hancher","given":"M.","non-dropping-particle":"","parse-names":false,"suffix":""},{"dropping-particle":"","family":"Turubanova","given":"S. A.","non-dropping-particle":"","parse-names":false,"suffix":""},{"dropping-particle":"","family":"Tyukavina","given":"A.","non-dropping-particle":"","parse-names":false,"suffix":""},{"dropping-particle":"","family":"Thau","given":"D.","non-dropping-particle":"","parse-names":false,"suffix":""},{"dropping-particle":"V.","family":"Stehman","given":"S.","non-dropping-particle":"","parse-names":false,"suffix":""},{"dropping-particle":"","family":"Goetz","given":"S. J.","non-dropping-particle":"","parse-names":false,"suffix":""},{"dropping-particle":"","family":"Loveland","given":"T. R.","non-dropping-particle":"","parse-names":false,"suffix":""},{"dropping-particle":"","family":"Kommareddy","given":"A.","non-dropping-particle":"","parse-names":false,"suffix":""},{"dropping-particle":"","family":"Egorov","given":"A.","non-dropping-particle":"","parse-names":false,"suffix":""},{"dropping-particle":"","family":"Chini","given":"L.","non-dropping-particle":"","parse-names":false,"suffix":""},{"dropping-particle":"","family":"Justice","given":"C. O.","non-dropping-particle":"","parse-names":false,"suffix":""},{"dropping-particle":"","family":"Townshend","given":"J. R. G.","non-dropping-particle":"","parse-names":false,"suffix":""}],"container-title":"Science","id":"ITEM-1","issue":"6160","issued":{"date-parts":[["2013","11","15"]]},"page":"850-853","title":"High-Resolution Global Maps of 21st-Century Forest Cover Change","type":"article-journal","volume":"342"},"uris":["http://www.mendeley.com/documents/?uuid=790e77fc-cdb1-4acf-a159-792dfd9fb3ef"]}],"mendeley":{"formattedCitation":"&lt;sup&gt;25&lt;/sup&gt;","plainTextFormattedCitation":"25","previouslyFormattedCitation":"&lt;sup&gt;25&lt;/sup&gt;"},"properties":{"noteIndex":0},"schema":"https://github.com/citation-style-language/schema/raw/master/csl-citation.json"}</w:instrText>
      </w:r>
      <w:r w:rsidRPr="00D72360">
        <w:fldChar w:fldCharType="separate"/>
      </w:r>
      <w:bookmarkStart w:id="37" w:name="__Fieldmark__4640_3027855847"/>
      <w:r w:rsidR="0090126B" w:rsidRPr="00D72360">
        <w:rPr>
          <w:noProof/>
          <w:vertAlign w:val="superscript"/>
        </w:rPr>
        <w:t>25</w:t>
      </w:r>
      <w:r w:rsidRPr="00D72360">
        <w:fldChar w:fldCharType="end"/>
      </w:r>
      <w:bookmarkEnd w:id="37"/>
      <w:r w:rsidRPr="00D72360">
        <w:t xml:space="preserve">, and land cover (1992-2015) </w:t>
      </w:r>
      <w:r w:rsidRPr="00D72360">
        <w:fldChar w:fldCharType="begin" w:fldLock="1"/>
      </w:r>
      <w:r w:rsidR="0090126B" w:rsidRPr="00D72360">
        <w:instrText>ADDIN CSL_CITATION {"citationItems":[{"id":"ITEM-1","itemData":{"author":[{"dropping-particle":"","family":"Defourny","given":"P.","non-dropping-particle":"","parse-names":false,"suffix":""},{"dropping-particle":"","family":"Kirches","given":"G.","non-dropping-particle":"","parse-names":false,"suffix":""},{"dropping-particle":"","family":"Brockmann","given":"C.","non-dropping-particle":"","parse-names":false,"suffix":""},{"dropping-particle":"","family":"Boettcher","given":"M.","non-dropping-particle":"","parse-names":false,"suffix":""},{"dropping-particle":"","family":"Peters","given":"M.","non-dropping-particle":"","parse-names":false,"suffix":""},{"dropping-particle":"","family":"Bontemps","given":"S.","non-dropping-particle":"","parse-names":false,"suffix":""},{"dropping-particle":"","family":"Lamarche","given":"C.","non-dropping-particle":"","parse-names":false,"suffix":""},{"dropping-particle":"","family":"Schlerf","given":"M.","non-dropping-particle":"","parse-names":false,"suffix":""},{"dropping-particle":"","family":"Santoro","given":"M","non-dropping-particle":"","parse-names":false,"suffix":""}],"id":"ITEM-1","issued":{"date-parts":[["2016"]]},"title":"Land cover CCI product user guide version 2","type":"report"},"uris":["http://www.mendeley.com/documents/?uuid=9a88d692-81be-3ca0-85ef-17917d47a11e"]}],"mendeley":{"formattedCitation":"&lt;sup&gt;26&lt;/sup&gt;","plainTextFormattedCitation":"26","previouslyFormattedCitation":"&lt;sup&gt;26&lt;/sup&gt;"},"properties":{"noteIndex":0},"schema":"https://github.com/citation-style-language/schema/raw/master/csl-citation.json"}</w:instrText>
      </w:r>
      <w:r w:rsidRPr="00D72360">
        <w:fldChar w:fldCharType="separate"/>
      </w:r>
      <w:bookmarkStart w:id="38" w:name="__Fieldmark__4647_3027855847"/>
      <w:r w:rsidR="0090126B" w:rsidRPr="00D72360">
        <w:rPr>
          <w:noProof/>
          <w:vertAlign w:val="superscript"/>
        </w:rPr>
        <w:t>26</w:t>
      </w:r>
      <w:r w:rsidRPr="00D72360">
        <w:fldChar w:fldCharType="end"/>
      </w:r>
      <w:bookmarkEnd w:id="38"/>
      <w:r w:rsidRPr="00D72360">
        <w:t xml:space="preserve">. A recent global analysis suggested that forest loss between 2000 and 2015 was driven both by commercial agriculture and shifting (subsistence) agriculture </w:t>
      </w:r>
      <w:r w:rsidRPr="00D72360">
        <w:fldChar w:fldCharType="begin" w:fldLock="1"/>
      </w:r>
      <w:r w:rsidR="0090126B" w:rsidRPr="00D72360">
        <w:instrText>ADDIN CSL_CITATION {"citationItems":[{"id":"ITEM-1","itemData":{"DOI":"10.1126/science.aau3445","ISBN":"0036-8075","ISSN":"10959203","PMID":"30213911","abstract":"&lt;p&gt;Global maps of forest loss depict the scale and magnitude of forest disturbance, yet companies, governments, and nongovernmental organizations need to distinguish permanent conversion (i.e., deforestation) from temporary loss from forestry or wildfire. Using satellite imagery, we developed a forest loss classification model to determine a spatial attribution of forest disturbance to the dominant drivers of land cover and land use change over the period 2001 to 2015. Our results indicate that 27% of global forest loss can be attributed to deforestation through permanent land use change for commodity production. The remaining areas maintained the same land use over 15 years; in those areas, loss was attributed to forestry (26%), shifting agriculture (24%), and wildfire (23%). Despite corporate commitments, the rate of commodity-driven deforestation has not declined. To end deforestation, companies must eliminate 5 million hectares of conversion from supply chains each year.&lt;/p&gt;","author":[{"dropping-particle":"","family":"Curtis","given":"Philip G.","non-dropping-particle":"","parse-names":false,"suffix":""},{"dropping-particle":"","family":"Slay","given":"Christy M.","non-dropping-particle":"","parse-names":false,"suffix":""},{"dropping-particle":"","family":"Harris","given":"Nancy L.","non-dropping-particle":"","parse-names":false,"suffix":""},{"dropping-particle":"","family":"Tyukavina","given":"Alexandra","non-dropping-particle":"","parse-names":false,"suffix":""},{"dropping-particle":"","family":"Hansen","given":"Matthew C.","non-dropping-particle":"","parse-names":false,"suffix":""}],"container-title":"Science","id":"ITEM-1","issue":"6407","issued":{"date-parts":[["2018"]]},"page":"1108-1111","title":"Classifying drivers of global forest loss","type":"article-journal","volume":"361"},"uris":["http://www.mendeley.com/documents/?uuid=77c8a595-c12a-4e14-9968-e13cdc6abd58"]}],"mendeley":{"formattedCitation":"&lt;sup&gt;27&lt;/sup&gt;","plainTextFormattedCitation":"27","previouslyFormattedCitation":"&lt;sup&gt;27&lt;/sup&gt;"},"properties":{"noteIndex":0},"schema":"https://github.com/citation-style-language/schema/raw/master/csl-citation.json"}</w:instrText>
      </w:r>
      <w:r w:rsidRPr="00D72360">
        <w:fldChar w:fldCharType="separate"/>
      </w:r>
      <w:bookmarkStart w:id="39" w:name="__Fieldmark__4663_3027855847"/>
      <w:bookmarkStart w:id="40" w:name="__Fieldmark__239_3608161928"/>
      <w:bookmarkStart w:id="41" w:name="__Fieldmark__1897_531043149"/>
      <w:r w:rsidR="0090126B" w:rsidRPr="00D72360">
        <w:rPr>
          <w:noProof/>
          <w:vertAlign w:val="superscript"/>
        </w:rPr>
        <w:t>27</w:t>
      </w:r>
      <w:r w:rsidRPr="00D72360">
        <w:fldChar w:fldCharType="end"/>
      </w:r>
      <w:bookmarkEnd w:id="39"/>
      <w:bookmarkEnd w:id="40"/>
      <w:bookmarkEnd w:id="41"/>
      <w:r w:rsidRPr="00D72360">
        <w:t xml:space="preserve">, but did not directly assess how this relates to recent agricultural expansion, nor whether predictors of forest loss are stationary over time. Therefore, the need remains for an improved global, spatially resolved understanding of which socio-ecological factors are the most important predictors of recent agricultural expansion </w:t>
      </w:r>
      <w:r w:rsidRPr="00D72360">
        <w:fldChar w:fldCharType="begin" w:fldLock="1"/>
      </w:r>
      <w:r w:rsidR="0090126B" w:rsidRPr="00D72360">
        <w:instrText>ADDIN CSL_CITATION {"citationItems":[{"id":"ITEM-1","itemData":{"DOI":"10.1088/1748-9326/ab0d33","ISSN":"1748-9326","abstract":"Global change drivers of land-use/cover change (LUCC) like population dynamics, economic development, and climate change are increasingly important to local sustainability studies, and can only be properly analyzed at fine-scales that capture local biophysical and socio-economic conditions. When sufficiently widespread, local feedback to stresses originating from global drivers can have regional, national, and even global impacts. A multiscale, global-to-local-to-global (GLG) framework is thus needed for comprehensive analyses of LUCC and leakage. The number of GLG-LUCC studies has grown substantially over the past years, but no reviews of this literature and their contributions have been completed so far. In fact, the largest body of literature pertains to global-to-local impacts exclusively, whereas research on local feedback to regional, national, and global spheres remain scarce, and are almost solely undertaken within large modeling institutes. As such, those are rarely readily accessible for modification and extension by outside contributors. This review of the recent GLG-LUCC studies calls for more open-source modeling and availability of data, arguing that the latter is the real constraint to more widespread analyses of GLG-LUCC impacts. Progress in this field will require contributions from hundreds of researchers around the world and from a wide variety of disciplines.","author":[{"dropping-particle":"","family":"Hertel","given":"Thomas W.","non-dropping-particle":"","parse-names":false,"suffix":""},{"dropping-particle":"","family":"West","given":"Thales A P","non-dropping-particle":"","parse-names":false,"suffix":""},{"dropping-particle":"","family":"Börner","given":"Jan","non-dropping-particle":"","parse-names":false,"suffix":""},{"dropping-particle":"","family":"Villoria","given":"Nelson B.","non-dropping-particle":"","parse-names":false,"suffix":""}],"container-title":"Environmental Research Letters","id":"ITEM-1","issue":"5","issued":{"date-parts":[["2019","5","3"]]},"page":"053003","publisher":"IOP Publishing","title":"A review of global-local-global linkages in economic land-use/cover change models","type":"article-journal","volume":"14"},"uris":["http://www.mendeley.com/documents/?uuid=1e9d968a-2a49-43ad-a610-86eace4f9964"]}],"mendeley":{"formattedCitation":"&lt;sup&gt;28&lt;/sup&gt;","plainTextFormattedCitation":"28","previouslyFormattedCitation":"&lt;sup&gt;28&lt;/sup&gt;"},"properties":{"noteIndex":0},"schema":"https://github.com/citation-style-language/schema/raw/master/csl-citation.json"}</w:instrText>
      </w:r>
      <w:r w:rsidRPr="00D72360">
        <w:fldChar w:fldCharType="separate"/>
      </w:r>
      <w:bookmarkStart w:id="42" w:name="__Fieldmark__4693_3027855847"/>
      <w:r w:rsidR="0090126B" w:rsidRPr="00D72360">
        <w:rPr>
          <w:noProof/>
          <w:vertAlign w:val="superscript"/>
        </w:rPr>
        <w:t>28</w:t>
      </w:r>
      <w:r w:rsidRPr="00D72360">
        <w:fldChar w:fldCharType="end"/>
      </w:r>
      <w:bookmarkEnd w:id="42"/>
      <w:r w:rsidRPr="00D72360">
        <w:t xml:space="preserve">, and if and how these differ from the factors that explain the current global extent of cropland. </w:t>
      </w:r>
    </w:p>
    <w:p w14:paraId="6DD40C90" w14:textId="4B1B6BC3" w:rsidR="005B755B" w:rsidRPr="00D72360" w:rsidRDefault="00ED5576">
      <w:r w:rsidRPr="00D72360">
        <w:lastRenderedPageBreak/>
        <w:t xml:space="preserve">Here, we address this challenge in two ways. First, we use logistic regression models to compare how well globally available, independent putative predictors of agriculture explain global cropland </w:t>
      </w:r>
      <w:r w:rsidRPr="00D72360">
        <w:rPr>
          <w:b/>
        </w:rPr>
        <w:t>extent</w:t>
      </w:r>
      <w:r w:rsidRPr="00D72360">
        <w:t xml:space="preserve"> (in 1992) and recent cropland </w:t>
      </w:r>
      <w:r w:rsidRPr="00D72360">
        <w:rPr>
          <w:b/>
        </w:rPr>
        <w:t>expansion</w:t>
      </w:r>
      <w:r w:rsidR="00481868" w:rsidRPr="00D72360">
        <w:rPr>
          <w:b/>
        </w:rPr>
        <w:t xml:space="preserve"> </w:t>
      </w:r>
      <w:r w:rsidR="00481868" w:rsidRPr="00D72360">
        <w:t>(1992-2015)</w:t>
      </w:r>
      <w:r w:rsidRPr="00D72360">
        <w:t xml:space="preserve">. This provides a first global test of the degree to which the consistency and magnitude of predictors of cropland remain consistent over time. </w:t>
      </w:r>
      <w:bookmarkStart w:id="43" w:name="_Hlk35870833"/>
      <w:r w:rsidRPr="00D72360">
        <w:t xml:space="preserve">Globally available data </w:t>
      </w:r>
      <w:r w:rsidR="000A77AD" w:rsidRPr="00D72360">
        <w:t>enables tests of</w:t>
      </w:r>
      <w:r w:rsidRPr="00D72360">
        <w:t xml:space="preserve"> classical theories of cropland expansion but not </w:t>
      </w:r>
      <w:r w:rsidR="00DF0FBC" w:rsidRPr="00D72360">
        <w:t xml:space="preserve">of </w:t>
      </w:r>
      <w:r w:rsidRPr="00D72360">
        <w:t>theories of recent expansion in agricultural frontiers</w:t>
      </w:r>
      <w:bookmarkEnd w:id="43"/>
      <w:r w:rsidRPr="00D72360">
        <w:t xml:space="preserve"> </w:t>
      </w:r>
      <w:r w:rsidRPr="00D72360">
        <w:fldChar w:fldCharType="begin" w:fldLock="1"/>
      </w:r>
      <w:r w:rsidR="0090126B" w:rsidRPr="00D72360">
        <w:instrText>ADDIN CSL_CITATION {"citationItems":[{"id":"ITEM-1","itemData":{"DOI":"10.1016/j.gloenvcha.2018.08.006","ISBN":"0959-3780","ISSN":"09593780","abstract":"Changes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Change","id":"ITEM-1","issue":"March","issued":{"date-parts":[["2018"]]},"page":"52-67","publisher":"Elsevier Ltd","title":"Middle-range theories of land system change","type":"article-journal","volume":"53"},"uris":["http://www.mendeley.com/documents/?uuid=fad42dec-a48c-4bba-b8ed-3518b8a70e4b"]},{"id":"ITEM-2","itemData":{"DOI":"10.1080/24694452.2017.1360761","ISSN":"24694460","abstract":"© 2018 by American Association of Geographers. Theories of frontier expansion in the last four decades have been mostly shaped by studies of state-driven smallholder colonization. Modern-day agricultural frontiers, however, are increasingly driven by capitalized corporate agriculture operating with little direct government intervention. The expansion of contemporary frontiers has been explained by the existence of spatially heterogeneous “abnormal” rents, which can be caused by cheap land and labor, technological innovation, lack of regulations, and a variety of other incentives. Here, we argue that understanding the dynamics of these frontiers requires considering the differential ability of actors to capture such rents, which depends on their access to production factors and their information, preferences, and agency. We propose a new conceptual framework drawing on neoclassical economics and political economy, which we apply to the South American Gran Chaco, a hot spot of deforestation for soy and cattle production. We divide the region into a set of distinct frontiers based on satellite data, field interviews, and expert knowledge, to review the drivers and actors of agricultural expansion in these frontiers. We show that frontier expansion in the Chaco responded to the rents created by new agricultural technologies, infrastructure, and rising producer prices but that the frontier dynamics were strongly influenced by actors' abilities to capture or influence these rents. Our findings thus highlight that understanding contemporary commodity frontiers requires analyzing the novel ways by which the agency of particular groups of actors shapes land-use outcomes.","author":[{"dropping-particle":"","family":"Polain de Waroux","given":"Yann","non-dropping-particle":"le","parse-names":false,"suffix":""},{"dropping-particle":"","family":"Baumann","given":"Matthias","non-dropping-particle":"","parse-names":false,"suffix":""},{"dropping-particle":"","family":"Gasparri","given":"Nestor Ignacio","non-dropping-particle":"","parse-names":false,"suffix":""},{"dropping-particle":"","family":"Gavier-Pizarro","given":"Gregorio","non-dropping-particle":"","parse-names":false,"suffix":""},{"dropping-particle":"","family":"Godar","given":"Javier","non-dropping-particle":"","parse-names":false,"suffix":""},{"dropping-particle":"","family":"Kuemmerle","given":"Tobias","non-dropping-particle":"","parse-names":false,"suffix":""},{"dropping-particle":"","family":"Müller","given":"Robert","non-dropping-particle":"","parse-names":false,"suffix":""},{"dropping-particle":"","family":"Vázquez","given":"Fabricio","non-dropping-particle":"","parse-names":false,"suffix":""},{"dropping-particle":"","family":"Volante","given":"José Norberto","non-dropping-particle":"","parse-names":false,"suffix":""},{"dropping-particle":"","family":"Meyfroidt","given":"Patrick","non-dropping-particle":"","parse-names":false,"suffix":""}],"container-title":"Annals of the American Association of Geographers","id":"ITEM-2","issue":"1","issued":{"date-parts":[["2018"]]},"page":"204-225","title":"Rents, Actors, and the Expansion of Commodity Frontiers in the Gran Chaco","type":"article-journal","volume":"108"},"uris":["http://www.mendeley.com/documents/?uuid=379ada45-598d-4129-a197-be6be0079f1b"]}],"mendeley":{"formattedCitation":"&lt;sup&gt;18,20&lt;/sup&gt;","plainTextFormattedCitation":"18,20","previouslyFormattedCitation":"&lt;sup&gt;18,20&lt;/sup&gt;"},"properties":{"noteIndex":0},"schema":"https://github.com/citation-style-language/schema/raw/master/csl-citation.json"}</w:instrText>
      </w:r>
      <w:r w:rsidRPr="00D72360">
        <w:fldChar w:fldCharType="separate"/>
      </w:r>
      <w:bookmarkStart w:id="44" w:name="__Fieldmark__4731_3027855847"/>
      <w:r w:rsidR="0090126B" w:rsidRPr="00D72360">
        <w:rPr>
          <w:noProof/>
          <w:vertAlign w:val="superscript"/>
        </w:rPr>
        <w:t>18,20</w:t>
      </w:r>
      <w:r w:rsidRPr="00D72360">
        <w:fldChar w:fldCharType="end"/>
      </w:r>
      <w:bookmarkEnd w:id="44"/>
      <w:r w:rsidRPr="00D72360">
        <w:t xml:space="preserve"> (Table 1), so our </w:t>
      </w:r>
      <w:r w:rsidRPr="00D72360">
        <w:rPr>
          <w:i/>
        </w:rPr>
        <w:t>a priori</w:t>
      </w:r>
      <w:r w:rsidRPr="00D72360">
        <w:t xml:space="preserve"> hypothesis was that this data would better predict extent than expansion of cropland, as the latter is likely mostly occurring in frontier regions </w:t>
      </w:r>
      <w:r w:rsidRPr="00D72360">
        <w:fldChar w:fldCharType="begin" w:fldLock="1"/>
      </w:r>
      <w:r w:rsidR="0090126B" w:rsidRPr="00D72360">
        <w:instrText>ADDIN CSL_CITATION {"citationItems":[{"id":"ITEM-1","itemData":{"DOI":"10.1016/j.gloenvcha.2018.08.006","ISBN":"0959-3780","ISSN":"09593780","abstract":"Changes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Change","id":"ITEM-1","issue":"March","issued":{"date-parts":[["2018"]]},"page":"52-67","publisher":"Elsevier Ltd","title":"Middle-range theories of land system change","type":"article-journal","volume":"53"},"uris":["http://www.mendeley.com/documents/?uuid=fad42dec-a48c-4bba-b8ed-3518b8a70e4b"]}],"mendeley":{"formattedCitation":"&lt;sup&gt;20&lt;/sup&gt;","plainTextFormattedCitation":"20","previouslyFormattedCitation":"&lt;sup&gt;20&lt;/sup&gt;"},"properties":{"noteIndex":0},"schema":"https://github.com/citation-style-language/schema/raw/master/csl-citation.json"}</w:instrText>
      </w:r>
      <w:r w:rsidRPr="00D72360">
        <w:fldChar w:fldCharType="separate"/>
      </w:r>
      <w:bookmarkStart w:id="45" w:name="__Fieldmark__4743_3027855847"/>
      <w:r w:rsidR="0090126B" w:rsidRPr="00D72360">
        <w:rPr>
          <w:noProof/>
          <w:vertAlign w:val="superscript"/>
        </w:rPr>
        <w:t>20</w:t>
      </w:r>
      <w:r w:rsidRPr="00D72360">
        <w:fldChar w:fldCharType="end"/>
      </w:r>
      <w:bookmarkEnd w:id="45"/>
      <w:r w:rsidRPr="00D72360">
        <w:t xml:space="preserve">.  </w:t>
      </w:r>
    </w:p>
    <w:p w14:paraId="7AF2EDAA" w14:textId="36D3E4BB" w:rsidR="005B755B" w:rsidRPr="00D72360" w:rsidRDefault="000956BF">
      <w:bookmarkStart w:id="46" w:name="_Hlk39053970"/>
      <w:bookmarkStart w:id="47" w:name="_Hlk35871523"/>
      <w:r w:rsidRPr="00D72360">
        <w:t xml:space="preserve">Second, we applied positive deviance analysis </w:t>
      </w:r>
      <w:r w:rsidRPr="00D72360">
        <w:fldChar w:fldCharType="begin" w:fldLock="1"/>
      </w:r>
      <w:r w:rsidR="0090126B" w:rsidRPr="00D72360">
        <w:instrText>ADDIN CSL_CITATION {"citationItems":[{"id":"ITEM-1","itemData":{"ISBN":"0379-5721","abstract":"Background. Positive deviance is increasingly employed in international development activities to permit the utilization of proven local solutions. Including positive deviance methods in evaluation analysis, particularly in places like Bihar, India, where the rates of child underweight hover at 55%, can help identify project activities and household characteristics that affect key outcomes. These can, in turn, inform decision-making regarding the intensification of particularly promising activities. Objectives. To apply positive deviance analysis to the Dular program in Bihar, a community-based nutrition program that seeks to improve the impact of India's Integrated Child Development Services on young children. Methods. In order to assure that desired program outcomes were not dependent on higher economic status, the analysis isolated a subset ofprogram beneficiaries - the poorest children with the best nutritional outcomes - and examined the behavioral and project factors that may have brought about positive results in this subgroup. The data for this analysis were drawn from a 2005 program evaluation with a sample of 1,560 children. Results. The analysis found that positive deviant children with normal nutritional status in the poorest 50% of Dular households were introduced to complementary food almost 2 months earlier (7.18 vs. 9.02 months of age) than severely malnourished children, were more than twice as likely to use soap for handwashing after defecation (25.0% vs. 11.8%), and were more than seven times as likely to have literate mothers (25.0% vs. 3.5%). Conclusions. The analysis suggests that programmatic efforts relating to these activities have been particularly effective and may well deserve increased investment. © 2007, The United Nations University.","author":[{"dropping-particle":"","family":"Levinson","given":"F.J.","non-dropping-particle":"","parse-names":false,"suffix":""},{"dropping-particle":"","family":"Barney","given":"J.","non-dropping-particle":"","parse-names":false,"suffix":""},{"dropping-particle":"","family":"Bassett","given":"L.","non-dropping-particle":"","parse-names":false,"suffix":""},{"dropping-particle":"","family":"Schultink","given":"W.","non-dropping-particle":"","parse-names":false,"suffix":""}],"container-title":"Food and Nutrition Bulletin","id":"ITEM-1","issue":"3","issued":{"date-parts":[["2007"]]},"page":"259-265","title":"Utilization of positive deviance analysis in evaluating community-based nutrition programs: An application to the Dular program in Bihar, India","type":"article-journal","volume":"28"},"uris":["http://www.mendeley.com/documents/?uuid=d9b63d1d-0d3c-49d2-ba9e-2869363e7f63"]}],"mendeley":{"formattedCitation":"&lt;sup&gt;29&lt;/sup&gt;","plainTextFormattedCitation":"29","previouslyFormattedCitation":"&lt;sup&gt;29&lt;/sup&gt;"},"properties":{"noteIndex":0},"schema":"https://github.com/citation-style-language/schema/raw/master/csl-citation.json"}</w:instrText>
      </w:r>
      <w:r w:rsidRPr="00D72360">
        <w:fldChar w:fldCharType="separate"/>
      </w:r>
      <w:r w:rsidR="0090126B" w:rsidRPr="00D72360">
        <w:rPr>
          <w:noProof/>
          <w:vertAlign w:val="superscript"/>
        </w:rPr>
        <w:t>29</w:t>
      </w:r>
      <w:r w:rsidRPr="00D72360">
        <w:fldChar w:fldCharType="end"/>
      </w:r>
      <w:r w:rsidRPr="00D72360">
        <w:t xml:space="preserve"> to the extent of cropland in 1992 to develop and test the utility of a new proxy for recent agricultural expansion frontiers (which we refer to hereon as ‘</w:t>
      </w:r>
      <w:proofErr w:type="spellStart"/>
      <w:r w:rsidRPr="00D72360">
        <w:rPr>
          <w:b/>
        </w:rPr>
        <w:t>frontierness</w:t>
      </w:r>
      <w:proofErr w:type="spellEnd"/>
      <w:r w:rsidRPr="00D72360">
        <w:t xml:space="preserve">’).  </w:t>
      </w:r>
      <w:bookmarkEnd w:id="46"/>
      <w:r w:rsidR="00ED5576" w:rsidRPr="00D72360">
        <w:t xml:space="preserve">Positive deviance (or ‘bright spot’) analysis has been used in fields including human development </w:t>
      </w:r>
      <w:r w:rsidR="00ED5576" w:rsidRPr="00D72360">
        <w:fldChar w:fldCharType="begin" w:fldLock="1"/>
      </w:r>
      <w:r w:rsidR="0090126B" w:rsidRPr="00D72360">
        <w:instrText>ADDIN CSL_CITATION {"citationItems":[{"id":"ITEM-1","itemData":{"ISBN":"0379-5721","abstract":"Background. Positive deviance is increasingly employed in international development activities to permit the utilization of proven local solutions. Including positive deviance methods in evaluation analysis, particularly in places like Bihar, India, where the rates of child underweight hover at 55%, can help identify project activities and household characteristics that affect key outcomes. These can, in turn, inform decision-making regarding the intensification of particularly promising activities. Objectives. To apply positive deviance analysis to the Dular program in Bihar, a community-based nutrition program that seeks to improve the impact of India's Integrated Child Development Services on young children. Methods. In order to assure that desired program outcomes were not dependent on higher economic status, the analysis isolated a subset ofprogram beneficiaries - the poorest children with the best nutritional outcomes - and examined the behavioral and project factors that may have brought about positive results in this subgroup. The data for this analysis were drawn from a 2005 program evaluation with a sample of 1,560 children. Results. The analysis found that positive deviant children with normal nutritional status in the poorest 50% of Dular households were introduced to complementary food almost 2 months earlier (7.18 vs. 9.02 months of age) than severely malnourished children, were more than twice as likely to use soap for handwashing after defecation (25.0% vs. 11.8%), and were more than seven times as likely to have literate mothers (25.0% vs. 3.5%). Conclusions. The analysis suggests that programmatic efforts relating to these activities have been particularly effective and may well deserve increased investment. © 2007, The United Nations University.","author":[{"dropping-particle":"","family":"Levinson","given":"F.J.","non-dropping-particle":"","parse-names":false,"suffix":""},{"dropping-particle":"","family":"Barney","given":"J.","non-dropping-particle":"","parse-names":false,"suffix":""},{"dropping-particle":"","family":"Bassett","given":"L.","non-dropping-particle":"","parse-names":false,"suffix":""},{"dropping-particle":"","family":"Schultink","given":"W.","non-dropping-particle":"","parse-names":false,"suffix":""}],"container-title":"Food and Nutrition Bulletin","id":"ITEM-1","issue":"3","issued":{"date-parts":[["2007"]]},"page":"259-265","title":"Utilization of positive deviance analysis in evaluating community-based nutrition programs: An application to the Dular program in Bihar, India","type":"article-journal","volume":"28"},"uris":["http://www.mendeley.com/documents/?uuid=d9b63d1d-0d3c-49d2-ba9e-2869363e7f63"]}],"mendeley":{"formattedCitation":"&lt;sup&gt;29&lt;/sup&gt;","plainTextFormattedCitation":"29","previouslyFormattedCitation":"&lt;sup&gt;29&lt;/sup&gt;"},"properties":{"noteIndex":0},"schema":"https://github.com/citation-style-language/schema/raw/master/csl-citation.json"}</w:instrText>
      </w:r>
      <w:r w:rsidR="00ED5576" w:rsidRPr="00D72360">
        <w:fldChar w:fldCharType="separate"/>
      </w:r>
      <w:bookmarkStart w:id="48" w:name="__Fieldmark__4769_3027855847"/>
      <w:r w:rsidR="0090126B" w:rsidRPr="00D72360">
        <w:rPr>
          <w:noProof/>
          <w:vertAlign w:val="superscript"/>
        </w:rPr>
        <w:t>29</w:t>
      </w:r>
      <w:r w:rsidR="00ED5576" w:rsidRPr="00D72360">
        <w:fldChar w:fldCharType="end"/>
      </w:r>
      <w:bookmarkEnd w:id="48"/>
      <w:r w:rsidR="00ED5576" w:rsidRPr="00D72360">
        <w:t xml:space="preserve">, conservation </w:t>
      </w:r>
      <w:r w:rsidR="00ED5576" w:rsidRPr="00D72360">
        <w:fldChar w:fldCharType="begin" w:fldLock="1"/>
      </w:r>
      <w:r w:rsidR="0090126B" w:rsidRPr="00D72360">
        <w:instrText>ADDIN CSL_CITATION {"citationItems":[{"id":"ITEM-1","itemData":{"DOI":"10.1038/nature18607","ISBN":"0008-5472 (Print)\\r0008-5472 (Linking)","ISSN":"14764687","PMID":"11507039","abstract":"Ongoing declines in the structure and function of the world’s coral reefs1, 2 require novel approaches to sustain these ecosystems and the millions of people who depend on them3. A presently unexplored approach that draws on theory and practice in human health and rural development4, 5 is to systematically identify and learn from the ‘outliers’—places where ecosystems are substantially better (‘bright spots’) or worse (‘dark spots’) than expected, given the environmental conditions and socioeconomic drivers they are exposed to. Here we compile data from more than 2,500 reefs worldwide and develop a Bayesian hierarchical model to generate expectations of how standing stocks of reef fish biomass are related to 18 socioeconomic drivers and environmental conditions. We identify 15 bright spots and 35 dark spots among our global survey of coral reefs, defined as sites that have biomass levels more than two standard deviations from expectations. Importantly, bright spots are not simply comprised of remote areas with low fishing pressure; they include localities where human populations and use of ecosystem resources is high, potentially providing insights into how communities have successfully confronted strong drivers of change. Conversely, dark spots are not necessarily the sites with the lowest absolute biomass and even include some remote, uninhabited locations often considered near pristine6. We surveyed local experts about social, institutional, and environmental conditions at these sites to reveal that bright spots are characterized by strong sociocultural institutions such as customary taboos and marine tenure, high levels of local engagement in management, high dependence on marine resources, and beneficial environmental conditions such as deep-water refuges. Alternatively, dark spots are characterized by intensive capture and storage technology and a recent history of environmental shocks. Our results suggest that investments in strengthening fisheries governance, particularly aspects such as participation and property rights, could facilitate innovative conservation actions that help communities defy expectations of global reef degradation.","author":[{"dropping-particle":"","family":"Cinner","given":"Joshua E.","non-dropping-particle":"","parse-names":false,"suffix":""},{"dropping-particle":"","family":"Huchery","given":"Cindy","non-dropping-particle":"","parse-names":false,"suffix":""},{"dropping-particle":"","family":"MacNeil","given":"M. Aaron","non-dropping-particle":"","parse-names":false,"suffix":""},{"dropping-particle":"","family":"Graham","given":"Nicholas A.J.","non-dropping-particle":"","parse-names":false,"suffix":""},{"dropping-particle":"","family":"McClanahan","given":"Tim R.","non-dropping-particle":"","parse-names":false,"suffix":""},{"dropping-particle":"","family":"Maina","given":"Joseph","non-dropping-particle":"","parse-names":false,"suffix":""},{"dropping-particle":"","family":"Maire","given":"Eva","non-dropping-particle":"","parse-names":false,"suffix":""},{"dropping-particle":"","family":"Kittinger","given":"John N.","non-dropping-particle":"","parse-names":false,"suffix":""},{"dropping-particle":"","family":"Hicks","given":"Christina C.","non-dropping-particle":"","parse-names":false,"suffix":""},{"dropping-particle":"","family":"Mora","given":"Camilo","non-dropping-particle":"","parse-names":false,"suffix":""},{"dropping-particle":"","family":"Allison","given":"Edward H.","non-dropping-particle":"","parse-names":false,"suffix":""},{"dropping-particle":"","family":"D'Agata","given":"Stephanie","non-dropping-particle":"","parse-names":false,"suffix":""},{"dropping-particle":"","family":"Hoey","given":"Andrew","non-dropping-particle":"","parse-names":false,"suffix":""},{"dropping-particle":"","family":"Feary","given":"David A.","non-dropping-particle":"","parse-names":false,"suffix":""},{"dropping-particle":"","family":"Crowder","given":"Larry","non-dropping-particle":"","parse-names":false,"suffix":""},{"dropping-particle":"","family":"Williams","given":"Ivor D.","non-dropping-particle":"","parse-names":false,"suffix":""},{"dropping-particle":"","family":"Kulbicki","given":"Michel","non-dropping-particle":"","parse-names":false,"suffix":""},{"dropping-particle":"","family":"Vigliola","given":"Laurent","non-dropping-particle":"","parse-names":false,"suffix":""},{"dropping-particle":"","family":"Wantiez","given":"Laurent","non-dropping-particle":"","parse-names":false,"suffix":""},{"dropping-particle":"","family":"Edgar","given":"Graham","non-dropping-particle":"","parse-names":false,"suffix":""},{"dropping-particle":"","family":"Stuart-Smith","given":"Rick D.","non-dropping-particle":"","parse-names":false,"suffix":""},{"dropping-particle":"","family":"Sandin","given":"Stuart A.","non-dropping-particle":"","parse-names":false,"suffix":""},{"dropping-particle":"","family":"Green","given":"Alison L.","non-dropping-particle":"","parse-names":false,"suffix":""},{"dropping-particle":"","family":"Hardt","given":"Marah J.","non-dropping-particle":"","parse-names":false,"suffix":""},{"dropping-particle":"","family":"Beger","given":"Maria","non-dropping-particle":"","parse-names":false,"suffix":""},{"dropping-particle":"","family":"Friedlander","given":"Alan","non-dropping-particle":"","parse-names":false,"suffix":""},{"dropping-particle":"","family":"Campbell","given":"Stuart J.","non-dropping-particle":"","parse-names":false,"suffix":""},{"dropping-particle":"","family":"Holmes","given":"Katherine E.","non-dropping-particle":"","parse-names":false,"suffix":""},{"dropping-particle":"","family":"Wilson","given":"Shaun K.","non-dropping-particle":"","parse-names":false,"suffix":""},{"dropping-particle":"","family":"Brokovich","given":"Eran","non-dropping-particle":"","parse-names":false,"suffix":""},{"dropping-particle":"","family":"Brooks","given":"Andrew J.","non-dropping-particle":"","parse-names":false,"suffix":""},{"dropping-particle":"","family":"Cruz-Motta","given":"Juan J.","non-dropping-particle":"","parse-names":false,"suffix":""},{"dropping-particle":"","family":"Booth","given":"David J.","non-dropping-particle":"","parse-names":false,"suffix":""},{"dropping-particle":"","family":"Chabanet","given":"Pascale","non-dropping-particle":"","parse-names":false,"suffix":""},{"dropping-particle":"","family":"Gough","given":"Charlie","non-dropping-particle":"","parse-names":false,"suffix":""},{"dropping-particle":"","family":"Tupper","given":"Mark","non-dropping-particle":"","parse-names":false,"suffix":""},{"dropping-particle":"","family":"Ferse","given":"Sebastian C.A.","non-dropping-particle":"","parse-names":false,"suffix":""},{"dropping-particle":"","family":"Sumaila","given":"U. Rashid","non-dropping-particle":"","parse-names":false,"suffix":""},{"dropping-particle":"","family":"Mouillot","given":"David","non-dropping-particle":"","parse-names":false,"suffix":""}],"container-title":"Nature","id":"ITEM-1","issue":"7612","issued":{"date-parts":[["2016"]]},"page":"416-419","publisher":"Nature Publishing Group","title":"Bright spots among the world's coral reefs","type":"article-journal","volume":"535"},"uris":["http://www.mendeley.com/documents/?uuid=292eceb7-0348-4ba9-9996-f9432146ed13"]}],"mendeley":{"formattedCitation":"&lt;sup&gt;30&lt;/sup&gt;","plainTextFormattedCitation":"30","previouslyFormattedCitation":"&lt;sup&gt;30&lt;/sup&gt;"},"properties":{"noteIndex":0},"schema":"https://github.com/citation-style-language/schema/raw/master/csl-citation.json"}</w:instrText>
      </w:r>
      <w:r w:rsidR="00ED5576" w:rsidRPr="00D72360">
        <w:fldChar w:fldCharType="separate"/>
      </w:r>
      <w:bookmarkStart w:id="49" w:name="__Fieldmark__4776_3027855847"/>
      <w:r w:rsidR="0090126B" w:rsidRPr="00D72360">
        <w:rPr>
          <w:noProof/>
          <w:vertAlign w:val="superscript"/>
        </w:rPr>
        <w:t>30</w:t>
      </w:r>
      <w:r w:rsidR="00ED5576" w:rsidRPr="00D72360">
        <w:fldChar w:fldCharType="end"/>
      </w:r>
      <w:bookmarkEnd w:id="49"/>
      <w:r w:rsidR="00ED5576" w:rsidRPr="00D72360">
        <w:t xml:space="preserve"> and ecosystem services </w:t>
      </w:r>
      <w:r w:rsidR="00ED5576" w:rsidRPr="00D72360">
        <w:fldChar w:fldCharType="begin" w:fldLock="1"/>
      </w:r>
      <w:r w:rsidR="0090126B" w:rsidRPr="00D72360">
        <w:instrText>ADDIN CSL_CITATION {"citationItems":[{"id":"ITEM-1","itemData":{"DOI":"10.1111/1365-2664.13191","ISBN":"0000000302","ISSN":"13652664","PMID":"15981519","abstract":"The focus of an oil-immersion microscope objective is shifted because of the refractive-index mismatch between the cover glass and the aqueous sample. We present a procedure with which to determine the focal shift by use of an inverted microscope equipped with optical tweezers. As the position of the sample chamber is scanned vertically, we measure the axial displacement of an optically trapped bead; the relative motion of the bead with respect to the surface supplies the effective focal shift. Measurements of this quantity deviate from electromagnetic calculations of the focal shift, a discrepancy attributable to the depth-dependent decrease in axial trap stiffness that arises from spherical aberration.","author":[{"dropping-particle":"","family":"Frei","given":"Barbara","non-dropping-particle":"","parse-names":false,"suffix":""},{"dropping-particle":"","family":"Renard","given":"Delphine","non-dropping-particle":"","parse-names":false,"suffix":""},{"dropping-particle":"","family":"Mitchell","given":"Matthew G.E.","non-dropping-particle":"","parse-names":false,"suffix":""},{"dropping-particle":"","family":"Seufert","given":"Verena","non-dropping-particle":"","parse-names":false,"suffix":""},{"dropping-particle":"","family":"Chaplin-Kramer","given":"Rebecca","non-dropping-particle":"","parse-names":false,"suffix":""},{"dropping-particle":"","family":"Rhemtulla","given":"Jeanine M.","non-dropping-particle":"","parse-names":false,"suffix":""},{"dropping-particle":"","family":"Bennett","given":"Elena M.","non-dropping-particle":"","parse-names":false,"suffix":""}],"container-title":"Journal of Applied Ecology","id":"ITEM-1","issue":"6","issued":{"date-parts":[["2018"]]},"page":"2731-2743","title":"Bright spots in agricultural landscapes: Identifying areas exceeding expectations for multifunctionality and biodiversity","type":"article-journal","volume":"55"},"uris":["http://www.mendeley.com/documents/?uuid=9a4780da-9be8-40c7-a4d6-a42816dba918"]}],"mendeley":{"formattedCitation":"&lt;sup&gt;31&lt;/sup&gt;","plainTextFormattedCitation":"31","previouslyFormattedCitation":"&lt;sup&gt;31&lt;/sup&gt;"},"properties":{"noteIndex":0},"schema":"https://github.com/citation-style-language/schema/raw/master/csl-citation.json"}</w:instrText>
      </w:r>
      <w:r w:rsidR="00ED5576" w:rsidRPr="00D72360">
        <w:fldChar w:fldCharType="separate"/>
      </w:r>
      <w:bookmarkStart w:id="50" w:name="__Fieldmark__4781_3027855847"/>
      <w:r w:rsidR="0090126B" w:rsidRPr="00D72360">
        <w:rPr>
          <w:noProof/>
          <w:vertAlign w:val="superscript"/>
        </w:rPr>
        <w:t>31</w:t>
      </w:r>
      <w:r w:rsidR="00ED5576" w:rsidRPr="00D72360">
        <w:fldChar w:fldCharType="end"/>
      </w:r>
      <w:bookmarkEnd w:id="50"/>
      <w:r w:rsidR="00ED5576" w:rsidRPr="00D72360">
        <w:t>, to identify locations where the outcome variable exceeds (or falls below, cf.  ‘</w:t>
      </w:r>
      <w:r w:rsidR="0003493D" w:rsidRPr="00D72360">
        <w:t>dark</w:t>
      </w:r>
      <w:r w:rsidR="00ED5576" w:rsidRPr="00D72360">
        <w:t xml:space="preserve"> spots’) expectations derived from a null model. The null model should be clearly linked to hypotheses about known factors </w:t>
      </w:r>
      <w:r w:rsidR="00ED5576" w:rsidRPr="00D72360">
        <w:fldChar w:fldCharType="begin" w:fldLock="1"/>
      </w:r>
      <w:r w:rsidR="0090126B" w:rsidRPr="00D72360">
        <w:instrText>ADDIN CSL_CITATION {"citationItems":[{"id":"ITEM-1","itemData":{"DOI":"10.1111/1365-2664.13191","ISBN":"0000000302","ISSN":"13652664","PMID":"15981519","abstract":"The focus of an oil-immersion microscope objective is shifted because of the refractive-index mismatch between the cover glass and the aqueous sample. We present a procedure with which to determine the focal shift by use of an inverted microscope equipped with optical tweezers. As the position of the sample chamber is scanned vertically, we measure the axial displacement of an optically trapped bead; the relative motion of the bead with respect to the surface supplies the effective focal shift. Measurements of this quantity deviate from electromagnetic calculations of the focal shift, a discrepancy attributable to the depth-dependent decrease in axial trap stiffness that arises from spherical aberration.","author":[{"dropping-particle":"","family":"Frei","given":"Barbara","non-dropping-particle":"","parse-names":false,"suffix":""},{"dropping-particle":"","family":"Renard","given":"Delphine","non-dropping-particle":"","parse-names":false,"suffix":""},{"dropping-particle":"","family":"Mitchell","given":"Matthew G.E.","non-dropping-particle":"","parse-names":false,"suffix":""},{"dropping-particle":"","family":"Seufert","given":"Verena","non-dropping-particle":"","parse-names":false,"suffix":""},{"dropping-particle":"","family":"Chaplin-Kramer","given":"Rebecca","non-dropping-particle":"","parse-names":false,"suffix":""},{"dropping-particle":"","family":"Rhemtulla","given":"Jeanine M.","non-dropping-particle":"","parse-names":false,"suffix":""},{"dropping-particle":"","family":"Bennett","given":"Elena M.","non-dropping-particle":"","parse-names":false,"suffix":""}],"container-title":"Journal of Applied Ecology","id":"ITEM-1","issue":"6","issued":{"date-parts":[["2018"]]},"page":"2731-2743","title":"Bright spots in agricultural landscapes: Identifying areas exceeding expectations for multifunctionality and biodiversity","type":"article-journal","volume":"55"},"uris":["http://www.mendeley.com/documents/?uuid=9a4780da-9be8-40c7-a4d6-a42816dba918"]}],"mendeley":{"formattedCitation":"&lt;sup&gt;31&lt;/sup&gt;","plainTextFormattedCitation":"31","previouslyFormattedCitation":"&lt;sup&gt;31&lt;/sup&gt;"},"properties":{"noteIndex":0},"schema":"https://github.com/citation-style-language/schema/raw/master/csl-citation.json"}</w:instrText>
      </w:r>
      <w:r w:rsidR="00ED5576" w:rsidRPr="00D72360">
        <w:fldChar w:fldCharType="separate"/>
      </w:r>
      <w:bookmarkStart w:id="51" w:name="__Fieldmark__4794_3027855847"/>
      <w:r w:rsidR="0090126B" w:rsidRPr="00D72360">
        <w:rPr>
          <w:noProof/>
          <w:vertAlign w:val="superscript"/>
        </w:rPr>
        <w:t>31</w:t>
      </w:r>
      <w:r w:rsidR="00ED5576" w:rsidRPr="00D72360">
        <w:fldChar w:fldCharType="end"/>
      </w:r>
      <w:bookmarkEnd w:id="51"/>
      <w:r w:rsidR="00ED5576" w:rsidRPr="00D72360">
        <w:t>. Here, the ‘</w:t>
      </w:r>
      <w:r w:rsidR="00ED5576" w:rsidRPr="00D72360">
        <w:rPr>
          <w:b/>
        </w:rPr>
        <w:t>Null Model</w:t>
      </w:r>
      <w:r w:rsidR="00ED5576" w:rsidRPr="00D72360">
        <w:t xml:space="preserve">’ </w:t>
      </w:r>
      <w:bookmarkStart w:id="52" w:name="_Hlk35871351"/>
      <w:r w:rsidR="00ED5576" w:rsidRPr="00D72360">
        <w:t xml:space="preserve">corresponds to the classical theories of agricultural expansion that can be quantified globally with available data </w:t>
      </w:r>
      <w:bookmarkEnd w:id="52"/>
      <w:r w:rsidR="00ED5576" w:rsidRPr="00D72360">
        <w:t>(Table 1) (</w:t>
      </w:r>
      <w:r w:rsidR="0040791F" w:rsidRPr="00D72360">
        <w:t>Experimental Procedures</w:t>
      </w:r>
      <w:r w:rsidR="00ED5576" w:rsidRPr="00D72360">
        <w:t xml:space="preserve">). </w:t>
      </w:r>
      <w:bookmarkEnd w:id="47"/>
      <w:r w:rsidR="00ED5576" w:rsidRPr="00D72360">
        <w:t xml:space="preserve">Positive deviations from the Null Model are therefore locations with cropland in 1992 </w:t>
      </w:r>
      <w:r w:rsidR="00ED5576" w:rsidRPr="00D72360">
        <w:rPr>
          <w:i/>
        </w:rPr>
        <w:t>not</w:t>
      </w:r>
      <w:r w:rsidR="00ED5576" w:rsidRPr="00D72360">
        <w:t xml:space="preserve"> predicted by classical theories of agricultural expansion, and as such potentially indicative of pre-1992 cropland expansion frontiers. We then tested if these deviations from the Null Model of extent in 1992 – </w:t>
      </w:r>
      <w:proofErr w:type="spellStart"/>
      <w:r w:rsidR="00187773" w:rsidRPr="00D72360">
        <w:t>frontierness</w:t>
      </w:r>
      <w:proofErr w:type="spellEnd"/>
      <w:r w:rsidR="00ED5576" w:rsidRPr="00D72360">
        <w:t xml:space="preserve"> </w:t>
      </w:r>
      <w:r w:rsidR="00DF0D20" w:rsidRPr="00D72360">
        <w:t>–</w:t>
      </w:r>
      <w:r w:rsidR="00ED5576" w:rsidRPr="00D72360">
        <w:t xml:space="preserve"> can explain expansion of cropland from 1992 to 2015. </w:t>
      </w:r>
      <w:r w:rsidR="00440D58" w:rsidRPr="00D72360">
        <w:t xml:space="preserve">The hypothesis we test here </w:t>
      </w:r>
      <w:r w:rsidR="00ED5576" w:rsidRPr="00D72360">
        <w:t xml:space="preserve">is that pre-1992 frontiers </w:t>
      </w:r>
      <w:r w:rsidR="00440D58" w:rsidRPr="00D72360">
        <w:t>are</w:t>
      </w:r>
      <w:r w:rsidR="00ED5576" w:rsidRPr="00D72360">
        <w:t xml:space="preserve"> correlated with short-to-medium term post-1992 cropland expansion frontiers.  </w:t>
      </w:r>
    </w:p>
    <w:p w14:paraId="54948E9D" w14:textId="7770A53C" w:rsidR="005B755B" w:rsidRPr="00D72360" w:rsidRDefault="00ED5576">
      <w:pPr>
        <w:rPr>
          <w:bCs/>
        </w:rPr>
      </w:pPr>
      <w:r w:rsidRPr="00D72360">
        <w:t xml:space="preserve">We </w:t>
      </w:r>
      <w:r w:rsidRPr="00D72360">
        <w:rPr>
          <w:bCs/>
        </w:rPr>
        <w:t xml:space="preserve">show that, in general, existing global data, which </w:t>
      </w:r>
      <w:r w:rsidR="00AC3976" w:rsidRPr="00D72360">
        <w:rPr>
          <w:bCs/>
        </w:rPr>
        <w:t>are</w:t>
      </w:r>
      <w:r w:rsidRPr="00D72360">
        <w:rPr>
          <w:bCs/>
        </w:rPr>
        <w:t xml:space="preserve"> aligned with classical theories of agricultural expansion, explain the current global extent of cropland reasonably well, but do not explain most recent cropland expansion well. However, our proxy for frontiers (</w:t>
      </w:r>
      <w:proofErr w:type="spellStart"/>
      <w:r w:rsidR="00187773" w:rsidRPr="00D72360">
        <w:rPr>
          <w:bCs/>
        </w:rPr>
        <w:t>frontierness</w:t>
      </w:r>
      <w:proofErr w:type="spellEnd"/>
      <w:r w:rsidRPr="00D72360">
        <w:rPr>
          <w:bCs/>
        </w:rPr>
        <w:t xml:space="preserve">) generally provides significant improvements to models of 1992-2015 cropland expansion.  Our findings have important implications for global land use change models, as they show both that the dependence of these models of classical theories of agricultural expansion is problematic, but also that they can be improved using the </w:t>
      </w:r>
      <w:proofErr w:type="spellStart"/>
      <w:r w:rsidR="00187773" w:rsidRPr="00D72360">
        <w:rPr>
          <w:bCs/>
        </w:rPr>
        <w:t>frontierness</w:t>
      </w:r>
      <w:proofErr w:type="spellEnd"/>
      <w:r w:rsidRPr="00D72360">
        <w:rPr>
          <w:bCs/>
        </w:rPr>
        <w:t xml:space="preserve"> approach we demonstrate here. </w:t>
      </w:r>
    </w:p>
    <w:p w14:paraId="6230009D" w14:textId="77777777" w:rsidR="005B755B" w:rsidRPr="00D72360" w:rsidRDefault="00ED5576">
      <w:pPr>
        <w:rPr>
          <w:b/>
          <w:bCs/>
        </w:rPr>
      </w:pPr>
      <w:r w:rsidRPr="00D72360">
        <w:rPr>
          <w:b/>
          <w:bCs/>
        </w:rPr>
        <w:t>Results</w:t>
      </w:r>
    </w:p>
    <w:p w14:paraId="6694703C" w14:textId="0C2904CE" w:rsidR="005B755B" w:rsidRPr="00D72360" w:rsidRDefault="00ED5576">
      <w:pPr>
        <w:rPr>
          <w:i/>
          <w:iCs/>
        </w:rPr>
      </w:pPr>
      <w:r w:rsidRPr="00D72360">
        <w:rPr>
          <w:i/>
          <w:iCs/>
        </w:rPr>
        <w:t xml:space="preserve">Standard theories </w:t>
      </w:r>
      <w:r w:rsidR="00492BF9">
        <w:rPr>
          <w:i/>
          <w:iCs/>
        </w:rPr>
        <w:t>explain</w:t>
      </w:r>
      <w:r w:rsidR="007F0C27">
        <w:rPr>
          <w:i/>
          <w:iCs/>
        </w:rPr>
        <w:t xml:space="preserve"> extent better than expansion</w:t>
      </w:r>
      <w:r w:rsidRPr="00D72360">
        <w:rPr>
          <w:i/>
          <w:iCs/>
        </w:rPr>
        <w:t xml:space="preserve"> </w:t>
      </w:r>
    </w:p>
    <w:p w14:paraId="67A28888" w14:textId="072EDB06" w:rsidR="005B755B" w:rsidRPr="00D72360" w:rsidRDefault="00ED5576">
      <w:r w:rsidRPr="00D72360">
        <w:t xml:space="preserve">In general, independent global predictor variables </w:t>
      </w:r>
      <w:r w:rsidRPr="00D72360">
        <w:rPr>
          <w:bCs/>
        </w:rPr>
        <w:t xml:space="preserve">aligned with classical theories of cropland expansion </w:t>
      </w:r>
      <w:r w:rsidRPr="00D72360">
        <w:t xml:space="preserve">(Table 1; Fig 1 &amp; Model 1; </w:t>
      </w:r>
      <w:r w:rsidR="0040791F" w:rsidRPr="00D72360">
        <w:t>Experimental Procedures</w:t>
      </w:r>
      <w:r w:rsidRPr="00D72360">
        <w:t>) explained the 1992 extent of cropland globally well, but not recent expansion (1992-2015). However, the choice of threshold used to categorise land into non-cropland and cropland (to perform logistic regressions) had a major effect on the expansion analyses</w:t>
      </w:r>
      <w:r w:rsidRPr="00D72360">
        <w:rPr>
          <w:bCs/>
        </w:rPr>
        <w:t>,</w:t>
      </w:r>
      <w:r w:rsidRPr="00D72360">
        <w:t xml:space="preserve"> though not the extent analyses</w:t>
      </w:r>
      <w:r w:rsidRPr="00D72360">
        <w:rPr>
          <w:bCs/>
        </w:rPr>
        <w:t xml:space="preserve"> </w:t>
      </w:r>
      <w:r w:rsidRPr="00D72360">
        <w:t xml:space="preserve">(Fig. 1). </w:t>
      </w:r>
      <w:r w:rsidR="001E7970" w:rsidRPr="00D72360">
        <w:t xml:space="preserve">Expansion events were characterised as </w:t>
      </w:r>
      <w:r w:rsidR="003F3E6B" w:rsidRPr="00D72360">
        <w:t>extreme</w:t>
      </w:r>
      <w:r w:rsidR="0026281C" w:rsidRPr="00D72360">
        <w:t xml:space="preserve"> (</w:t>
      </w:r>
      <w:proofErr w:type="spellStart"/>
      <w:r w:rsidR="0026281C" w:rsidRPr="00D72360">
        <w:t>th</w:t>
      </w:r>
      <w:proofErr w:type="spellEnd"/>
      <w:r w:rsidR="0026281C" w:rsidRPr="00D72360">
        <w:rPr>
          <w:lang w:val="en-US" w:eastAsia="en-US"/>
        </w:rPr>
        <w:t>at is, very high prevalence of within-pixel expansion)</w:t>
      </w:r>
      <w:r w:rsidR="001E7970" w:rsidRPr="00D72360">
        <w:t xml:space="preserve"> (&gt;50% of a 5’ x 5’ pixel, subsequently expansion</w:t>
      </w:r>
      <w:r w:rsidR="001E7970" w:rsidRPr="00D72360">
        <w:rPr>
          <w:vertAlign w:val="subscript"/>
        </w:rPr>
        <w:t>50%</w:t>
      </w:r>
      <w:r w:rsidR="001E7970" w:rsidRPr="00D72360">
        <w:t xml:space="preserve">), </w:t>
      </w:r>
      <w:r w:rsidR="003F3E6B" w:rsidRPr="00D72360">
        <w:t>major</w:t>
      </w:r>
      <w:r w:rsidR="001E7970" w:rsidRPr="00D72360">
        <w:t xml:space="preserve"> (&gt;10% of a 5’ x 5’ pixel, subsequently expansion</w:t>
      </w:r>
      <w:r w:rsidR="001E7970" w:rsidRPr="00D72360">
        <w:rPr>
          <w:vertAlign w:val="subscript"/>
        </w:rPr>
        <w:t>10%</w:t>
      </w:r>
      <w:r w:rsidR="001E7970" w:rsidRPr="00D72360">
        <w:t xml:space="preserve">), or </w:t>
      </w:r>
      <w:r w:rsidR="000E70F3" w:rsidRPr="00D72360">
        <w:t>minor</w:t>
      </w:r>
      <w:r w:rsidR="001E7970" w:rsidRPr="00D72360">
        <w:t xml:space="preserve"> (&gt;0.5% of a 5’ x 5’ pixel, subsequently expansion</w:t>
      </w:r>
      <w:r w:rsidR="001E7970" w:rsidRPr="00D72360">
        <w:rPr>
          <w:vertAlign w:val="subscript"/>
        </w:rPr>
        <w:t>0.5%</w:t>
      </w:r>
      <w:r w:rsidR="001E7970" w:rsidRPr="00D72360">
        <w:t xml:space="preserve">). </w:t>
      </w:r>
      <w:r w:rsidRPr="00D72360">
        <w:t xml:space="preserve">Extreme </w:t>
      </w:r>
      <w:r w:rsidR="001309A8" w:rsidRPr="00D72360">
        <w:t>within-pixel</w:t>
      </w:r>
      <w:r w:rsidRPr="00D72360">
        <w:t xml:space="preserve"> expansion</w:t>
      </w:r>
      <w:r w:rsidR="001E7970" w:rsidRPr="00D72360">
        <w:rPr>
          <w:vertAlign w:val="subscript"/>
        </w:rPr>
        <w:t xml:space="preserve"> </w:t>
      </w:r>
      <w:proofErr w:type="gramStart"/>
      <w:r w:rsidRPr="00D72360">
        <w:t xml:space="preserve">events </w:t>
      </w:r>
      <w:r w:rsidR="001E7970" w:rsidRPr="00D72360">
        <w:t xml:space="preserve"> </w:t>
      </w:r>
      <w:r w:rsidRPr="00D72360">
        <w:t>are</w:t>
      </w:r>
      <w:proofErr w:type="gramEnd"/>
      <w:r w:rsidRPr="00D72360">
        <w:t xml:space="preserve"> relatively predictable using existing global datasets (</w:t>
      </w:r>
      <w:r w:rsidR="00440D58" w:rsidRPr="00D72360">
        <w:t>a</w:t>
      </w:r>
      <w:r w:rsidRPr="00D72360">
        <w:t xml:space="preserve">verage </w:t>
      </w:r>
      <w:proofErr w:type="spellStart"/>
      <w:r w:rsidRPr="00D72360">
        <w:t>McFaddden</w:t>
      </w:r>
      <w:proofErr w:type="spellEnd"/>
      <w:r w:rsidRPr="00D72360">
        <w:t xml:space="preserve"> pseudo-</w:t>
      </w:r>
      <w:r w:rsidRPr="00D72360">
        <w:rPr>
          <w:bCs/>
          <w:i/>
        </w:rPr>
        <w:t>R</w:t>
      </w:r>
      <w:r w:rsidRPr="00D72360">
        <w:rPr>
          <w:bCs/>
          <w:vertAlign w:val="superscript"/>
        </w:rPr>
        <w:t>2</w:t>
      </w:r>
      <w:r w:rsidRPr="00D72360">
        <w:t xml:space="preserve"> </w:t>
      </w:r>
      <w:r w:rsidRPr="00D72360">
        <w:rPr>
          <w:bCs/>
        </w:rPr>
        <w:t>expansion</w:t>
      </w:r>
      <w:r w:rsidRPr="00D72360">
        <w:rPr>
          <w:bCs/>
          <w:vertAlign w:val="subscript"/>
        </w:rPr>
        <w:t>50%</w:t>
      </w:r>
      <w:r w:rsidRPr="00D72360">
        <w:rPr>
          <w:bCs/>
        </w:rPr>
        <w:t xml:space="preserve"> = 0.28), but these events are globally very rare (only 0.45% of expansion events at the 0.5% threshold are also above the 50% threshold; Fig. S1 in </w:t>
      </w:r>
      <w:r w:rsidR="00216C8A">
        <w:rPr>
          <w:bCs/>
        </w:rPr>
        <w:t>Supplementary Information</w:t>
      </w:r>
      <w:r w:rsidRPr="00D72360">
        <w:rPr>
          <w:bCs/>
        </w:rPr>
        <w:t xml:space="preserve">). </w:t>
      </w:r>
      <w:r w:rsidRPr="00D72360">
        <w:t xml:space="preserve"> However, most </w:t>
      </w:r>
      <w:r w:rsidR="003F3E6B" w:rsidRPr="00D72360">
        <w:t>major</w:t>
      </w:r>
      <w:r w:rsidR="001E7970" w:rsidRPr="00D72360">
        <w:t xml:space="preserve"> </w:t>
      </w:r>
      <w:r w:rsidRPr="00D72360">
        <w:t xml:space="preserve">and </w:t>
      </w:r>
      <w:r w:rsidR="000E70F3" w:rsidRPr="00D72360">
        <w:t>minor</w:t>
      </w:r>
      <w:r w:rsidRPr="00D72360">
        <w:t xml:space="preserve"> recent expansion is </w:t>
      </w:r>
      <w:r w:rsidR="00440D58" w:rsidRPr="00D72360">
        <w:t>poorly predicted</w:t>
      </w:r>
      <w:r w:rsidR="002159D1" w:rsidRPr="00D72360">
        <w:t xml:space="preserve"> </w:t>
      </w:r>
      <w:r w:rsidRPr="00D72360">
        <w:rPr>
          <w:bCs/>
        </w:rPr>
        <w:t>(pseudo-</w:t>
      </w:r>
      <w:r w:rsidRPr="00D72360">
        <w:rPr>
          <w:bCs/>
          <w:i/>
        </w:rPr>
        <w:t>R</w:t>
      </w:r>
      <w:r w:rsidRPr="00D72360">
        <w:rPr>
          <w:bCs/>
          <w:vertAlign w:val="superscript"/>
        </w:rPr>
        <w:t>2</w:t>
      </w:r>
      <w:r w:rsidR="00256F89" w:rsidRPr="00D72360">
        <w:rPr>
          <w:bCs/>
          <w:vertAlign w:val="superscript"/>
        </w:rPr>
        <w:t xml:space="preserve"> </w:t>
      </w:r>
      <w:r w:rsidR="001E7970" w:rsidRPr="00D72360">
        <w:rPr>
          <w:bCs/>
        </w:rPr>
        <w:t>expansion</w:t>
      </w:r>
      <w:r w:rsidR="001E7970" w:rsidRPr="00D72360">
        <w:rPr>
          <w:bCs/>
          <w:vertAlign w:val="subscript"/>
        </w:rPr>
        <w:t>10%</w:t>
      </w:r>
      <w:r w:rsidR="001E7970" w:rsidRPr="00D72360">
        <w:rPr>
          <w:bCs/>
        </w:rPr>
        <w:t xml:space="preserve"> = 0.12; </w:t>
      </w:r>
      <w:r w:rsidRPr="00D72360">
        <w:rPr>
          <w:bCs/>
        </w:rPr>
        <w:t>expansion</w:t>
      </w:r>
      <w:r w:rsidRPr="00D72360">
        <w:rPr>
          <w:bCs/>
          <w:vertAlign w:val="subscript"/>
        </w:rPr>
        <w:t>0.5%</w:t>
      </w:r>
      <w:r w:rsidRPr="00D72360">
        <w:rPr>
          <w:bCs/>
        </w:rPr>
        <w:t xml:space="preserve"> = 0.08</w:t>
      </w:r>
      <w:r w:rsidRPr="00D72360">
        <w:t>)</w:t>
      </w:r>
      <w:r w:rsidR="00440D58" w:rsidRPr="00D72360">
        <w:t xml:space="preserve"> using this existing data</w:t>
      </w:r>
      <w:r w:rsidRPr="00D72360">
        <w:t xml:space="preserve">. By contrast, results for extent were relatively consistent, irrespective of the threshold chosen </w:t>
      </w:r>
      <w:r w:rsidRPr="00D72360">
        <w:rPr>
          <w:bCs/>
        </w:rPr>
        <w:t>(</w:t>
      </w:r>
      <w:r w:rsidR="00440D58" w:rsidRPr="00D72360">
        <w:rPr>
          <w:bCs/>
        </w:rPr>
        <w:t>a</w:t>
      </w:r>
      <w:r w:rsidRPr="00D72360">
        <w:rPr>
          <w:bCs/>
        </w:rPr>
        <w:t>verage McFadden pseudo-</w:t>
      </w:r>
      <w:r w:rsidRPr="00D72360">
        <w:rPr>
          <w:bCs/>
          <w:i/>
        </w:rPr>
        <w:t>R</w:t>
      </w:r>
      <w:r w:rsidRPr="00D72360">
        <w:rPr>
          <w:bCs/>
          <w:vertAlign w:val="superscript"/>
        </w:rPr>
        <w:t>2</w:t>
      </w:r>
      <w:r w:rsidRPr="00D72360">
        <w:rPr>
          <w:bCs/>
        </w:rPr>
        <w:t>: extent</w:t>
      </w:r>
      <w:r w:rsidRPr="00D72360">
        <w:rPr>
          <w:bCs/>
          <w:vertAlign w:val="subscript"/>
        </w:rPr>
        <w:t>0.5%</w:t>
      </w:r>
      <w:r w:rsidRPr="00D72360">
        <w:rPr>
          <w:bCs/>
        </w:rPr>
        <w:t xml:space="preserve"> = 0.32, extent</w:t>
      </w:r>
      <w:r w:rsidRPr="00D72360">
        <w:rPr>
          <w:bCs/>
          <w:vertAlign w:val="subscript"/>
        </w:rPr>
        <w:t>10%</w:t>
      </w:r>
      <w:r w:rsidRPr="00D72360">
        <w:rPr>
          <w:bCs/>
        </w:rPr>
        <w:t xml:space="preserve"> = 0.30, extent</w:t>
      </w:r>
      <w:r w:rsidRPr="00D72360">
        <w:rPr>
          <w:bCs/>
          <w:vertAlign w:val="subscript"/>
        </w:rPr>
        <w:t>50%</w:t>
      </w:r>
      <w:r w:rsidRPr="00D72360">
        <w:rPr>
          <w:bCs/>
        </w:rPr>
        <w:t xml:space="preserve"> = 0.33</w:t>
      </w:r>
      <w:r w:rsidRPr="00D72360">
        <w:t>).</w:t>
      </w:r>
      <w:r w:rsidR="005156AD" w:rsidRPr="00D72360">
        <w:t xml:space="preserve"> </w:t>
      </w:r>
    </w:p>
    <w:p w14:paraId="1A7E1E5C" w14:textId="14193CA8" w:rsidR="0041298A" w:rsidRPr="00D72360" w:rsidRDefault="00ED5576">
      <w:pPr>
        <w:rPr>
          <w:bCs/>
        </w:rPr>
      </w:pPr>
      <w:r w:rsidRPr="00D72360">
        <w:rPr>
          <w:bCs/>
        </w:rPr>
        <w:lastRenderedPageBreak/>
        <w:t xml:space="preserve">The magnitude and even direction of the effects of some predictors varied across models of cropland extent and recent expansion. </w:t>
      </w:r>
      <w:bookmarkStart w:id="53" w:name="_Hlk37063841"/>
      <w:r w:rsidRPr="00D72360">
        <w:rPr>
          <w:bCs/>
        </w:rPr>
        <w:t>The effect of GDP</w:t>
      </w:r>
      <w:r w:rsidR="00673E48" w:rsidRPr="00D72360">
        <w:rPr>
          <w:bCs/>
        </w:rPr>
        <w:t xml:space="preserve"> (a proxy for </w:t>
      </w:r>
      <w:r w:rsidR="00943B37" w:rsidRPr="00D72360">
        <w:rPr>
          <w:bCs/>
        </w:rPr>
        <w:t>economic activity</w:t>
      </w:r>
      <w:r w:rsidR="00673E48" w:rsidRPr="00D72360">
        <w:rPr>
          <w:bCs/>
        </w:rPr>
        <w:t>)</w:t>
      </w:r>
      <w:r w:rsidRPr="00D72360">
        <w:rPr>
          <w:bCs/>
        </w:rPr>
        <w:t xml:space="preserve"> </w:t>
      </w:r>
      <w:bookmarkEnd w:id="53"/>
      <w:r w:rsidRPr="00D72360">
        <w:rPr>
          <w:bCs/>
        </w:rPr>
        <w:t>was positive for the extent models, but negative for the expansion models. At a 50% threshold, ‘</w:t>
      </w:r>
      <w:r w:rsidR="00256F89" w:rsidRPr="00D72360">
        <w:rPr>
          <w:bCs/>
        </w:rPr>
        <w:t>A</w:t>
      </w:r>
      <w:r w:rsidRPr="00D72360">
        <w:rPr>
          <w:bCs/>
        </w:rPr>
        <w:t>ccess’</w:t>
      </w:r>
      <w:r w:rsidR="00256F89" w:rsidRPr="00D72360">
        <w:rPr>
          <w:bCs/>
        </w:rPr>
        <w:t xml:space="preserve"> (distance to markets)</w:t>
      </w:r>
      <w:r w:rsidRPr="00D72360">
        <w:rPr>
          <w:bCs/>
        </w:rPr>
        <w:t xml:space="preserve"> had a positive relationship with cropland for the extent model, but a negative effect on expansion. The considerably higher explanatory power of the 50% threshold expansion models relative to the lower thresholds appears to be due to the much stronger negative effect of ‘steepness’ (percentage cover of steep slopes), and to a lesser degree the positive effect of population density for this threshold relative to expansion at other thresholds. Differences between thresholds for the extent models were less pronounced, but steepness also had a higher explanatory power for extent of agriculture in 1992 for the 50% threshold than the other two thresholds (Fig. 1). See Fig S2 in the SI for global distributions of extent and expansion of cropland</w:t>
      </w:r>
      <w:r w:rsidR="00440D58" w:rsidRPr="00D72360">
        <w:rPr>
          <w:bCs/>
        </w:rPr>
        <w:t xml:space="preserve"> at all three thresholds</w:t>
      </w:r>
      <w:r w:rsidRPr="00D72360">
        <w:rPr>
          <w:bCs/>
        </w:rPr>
        <w:t>.</w:t>
      </w:r>
    </w:p>
    <w:p w14:paraId="31E596FC" w14:textId="7BEF3671" w:rsidR="005B755B" w:rsidRPr="00D72360" w:rsidRDefault="00492BF9">
      <w:pPr>
        <w:rPr>
          <w:i/>
          <w:iCs/>
        </w:rPr>
      </w:pPr>
      <w:r>
        <w:rPr>
          <w:i/>
          <w:iCs/>
        </w:rPr>
        <w:t xml:space="preserve">Expansion aligns with </w:t>
      </w:r>
      <w:r w:rsidR="00127813">
        <w:rPr>
          <w:i/>
          <w:iCs/>
        </w:rPr>
        <w:t>positive deviance</w:t>
      </w:r>
      <w:r>
        <w:rPr>
          <w:i/>
          <w:iCs/>
        </w:rPr>
        <w:t xml:space="preserve"> </w:t>
      </w:r>
    </w:p>
    <w:p w14:paraId="4FDE1A7C" w14:textId="48ABA290" w:rsidR="005B755B" w:rsidRPr="00D72360" w:rsidRDefault="00ED5576">
      <w:pPr>
        <w:spacing w:after="0" w:line="240" w:lineRule="auto"/>
      </w:pPr>
      <w:r w:rsidRPr="00D72360">
        <w:t xml:space="preserve">A disproportionate amount of recent expansion of cropland (0.5% or 10% threshold) occurs in areas that have at least 1 SD or more cropland in 1992 (positive deviations) than would be predicted by the predictors of classical theory within the Null Model (Table 2; Fig. 1). Such areas of high positive deviations correspond to high values of </w:t>
      </w:r>
      <w:proofErr w:type="spellStart"/>
      <w:r w:rsidR="00187773" w:rsidRPr="00D72360">
        <w:t>frontierness</w:t>
      </w:r>
      <w:proofErr w:type="spellEnd"/>
      <w:r w:rsidRPr="00D72360">
        <w:t xml:space="preserve"> (all deviations from the 1992 Null Model</w:t>
      </w:r>
      <w:r w:rsidR="008A0479" w:rsidRPr="00D72360">
        <w:t xml:space="preserve">; </w:t>
      </w:r>
      <w:r w:rsidR="001665A4" w:rsidRPr="00D72360">
        <w:t>Null Model</w:t>
      </w:r>
      <w:r w:rsidR="008A0479" w:rsidRPr="00D72360">
        <w:t xml:space="preserve"> coefficients in Table S</w:t>
      </w:r>
      <w:r w:rsidR="001665A4" w:rsidRPr="00D72360">
        <w:t>1</w:t>
      </w:r>
      <w:r w:rsidRPr="00D72360">
        <w:t xml:space="preserve">).  Recent expansion at the 0.5% threshold is extremely </w:t>
      </w:r>
      <w:r w:rsidR="00473096" w:rsidRPr="00D72360">
        <w:t xml:space="preserve">common </w:t>
      </w:r>
      <w:r w:rsidRPr="00D72360">
        <w:t xml:space="preserve">(21% of </w:t>
      </w:r>
      <w:proofErr w:type="spellStart"/>
      <w:r w:rsidRPr="00D72360">
        <w:t>bioclimatically</w:t>
      </w:r>
      <w:proofErr w:type="spellEnd"/>
      <w:r w:rsidRPr="00D72360">
        <w:t xml:space="preserve"> suitable areas), including within regions already dominated by agriculture (Europe, eastern USA, China), as well as within frontier regions in South America, sub-Saharan Africa and the former USSR. Overlaps with positive deviations of 1 or more SD is high within the latter areas – with the exception of Indonesia </w:t>
      </w:r>
      <w:proofErr w:type="gramStart"/>
      <w:r w:rsidRPr="00D72360">
        <w:t>–  but</w:t>
      </w:r>
      <w:proofErr w:type="gramEnd"/>
      <w:r w:rsidRPr="00D72360">
        <w:t xml:space="preserve"> not the former. </w:t>
      </w:r>
      <w:r w:rsidR="003F3E6B" w:rsidRPr="00D72360">
        <w:t>Major</w:t>
      </w:r>
      <w:r w:rsidRPr="00D72360">
        <w:t xml:space="preserve"> expansion (10% threshold) is much less common, and concentrated in frontiers regions, where it shows a high degree of overlap with positive deviations from the Null Model (Fig 2). Conversely, very rare, </w:t>
      </w:r>
      <w:r w:rsidR="003F3E6B" w:rsidRPr="00D72360">
        <w:t>extreme</w:t>
      </w:r>
      <w:r w:rsidRPr="00D72360">
        <w:t xml:space="preserve"> expansion (50%</w:t>
      </w:r>
      <w:r w:rsidR="00E86D4C" w:rsidRPr="00D72360">
        <w:t xml:space="preserve"> threshold</w:t>
      </w:r>
      <w:r w:rsidRPr="00D72360">
        <w:t xml:space="preserve">) occurs in areas with less cropland in 1992 (negative deviations) than would be predicted by classical theory (Table 2). </w:t>
      </w:r>
      <w:r w:rsidR="004267B0" w:rsidRPr="00D72360">
        <w:t xml:space="preserve"> </w:t>
      </w:r>
    </w:p>
    <w:p w14:paraId="5DC92C22" w14:textId="007701D9" w:rsidR="00A41DC0" w:rsidRPr="00D72360" w:rsidRDefault="00A41DC0">
      <w:pPr>
        <w:spacing w:after="0" w:line="240" w:lineRule="auto"/>
        <w:rPr>
          <w:i/>
        </w:rPr>
      </w:pPr>
      <w:r w:rsidRPr="00D72360">
        <w:rPr>
          <w:i/>
        </w:rPr>
        <w:br w:type="page"/>
      </w:r>
    </w:p>
    <w:p w14:paraId="073B0541" w14:textId="57185C26" w:rsidR="00440D58" w:rsidRPr="00D72360" w:rsidRDefault="001056C6" w:rsidP="00440D58">
      <w:pPr>
        <w:spacing w:after="0" w:line="240" w:lineRule="auto"/>
        <w:rPr>
          <w:i/>
        </w:rPr>
      </w:pPr>
      <w:proofErr w:type="spellStart"/>
      <w:r>
        <w:rPr>
          <w:i/>
        </w:rPr>
        <w:lastRenderedPageBreak/>
        <w:t>Frontierness</w:t>
      </w:r>
      <w:proofErr w:type="spellEnd"/>
      <w:r>
        <w:rPr>
          <w:i/>
        </w:rPr>
        <w:t xml:space="preserve"> improves models of expansion </w:t>
      </w:r>
    </w:p>
    <w:p w14:paraId="71C9E62E" w14:textId="77777777" w:rsidR="00440D58" w:rsidRPr="00D72360" w:rsidRDefault="00440D58" w:rsidP="00440D58">
      <w:pPr>
        <w:spacing w:after="0" w:line="240" w:lineRule="auto"/>
        <w:rPr>
          <w:i/>
        </w:rPr>
      </w:pPr>
    </w:p>
    <w:p w14:paraId="7E2195F1" w14:textId="48C7706E" w:rsidR="005B755B" w:rsidRPr="00D72360" w:rsidRDefault="00ED5576">
      <w:r w:rsidRPr="00D72360">
        <w:rPr>
          <w:bCs/>
        </w:rPr>
        <w:t>I</w:t>
      </w:r>
      <w:r w:rsidRPr="00D72360">
        <w:t xml:space="preserve">nclusion of </w:t>
      </w:r>
      <w:proofErr w:type="spellStart"/>
      <w:r w:rsidRPr="00D72360">
        <w:t>frontierness</w:t>
      </w:r>
      <w:proofErr w:type="spellEnd"/>
      <w:r w:rsidRPr="00D72360">
        <w:t xml:space="preserve"> as a predictor</w:t>
      </w:r>
      <w:r w:rsidR="00106D33" w:rsidRPr="00D72360">
        <w:t xml:space="preserve"> </w:t>
      </w:r>
      <w:r w:rsidRPr="00D72360">
        <w:t xml:space="preserve">(Model 3) increased the </w:t>
      </w:r>
      <w:r w:rsidR="0011292B">
        <w:t>predictive</w:t>
      </w:r>
      <w:r w:rsidR="0011292B" w:rsidRPr="00D72360">
        <w:t xml:space="preserve"> </w:t>
      </w:r>
      <w:r w:rsidRPr="00D72360">
        <w:t>power of the 0.5% and 10% threshold 1992-2015 expansion models by a pseudo-</w:t>
      </w:r>
      <w:r w:rsidRPr="00D72360">
        <w:rPr>
          <w:i/>
        </w:rPr>
        <w:t>R</w:t>
      </w:r>
      <w:r w:rsidRPr="00D72360">
        <w:rPr>
          <w:vertAlign w:val="superscript"/>
        </w:rPr>
        <w:t>2</w:t>
      </w:r>
      <w:r w:rsidRPr="00D72360">
        <w:t xml:space="preserve"> of 0.08 over models using existing predictors (Model 2), but did not improve the </w:t>
      </w:r>
      <w:r w:rsidR="0011292B">
        <w:t>predictive</w:t>
      </w:r>
      <w:r w:rsidR="0011292B" w:rsidRPr="00D72360">
        <w:t xml:space="preserve"> </w:t>
      </w:r>
      <w:r w:rsidRPr="00D72360">
        <w:t xml:space="preserve">power of the 50% threshold expansion model (Table 3). </w:t>
      </w:r>
    </w:p>
    <w:p w14:paraId="4577BC09" w14:textId="77777777" w:rsidR="005B755B" w:rsidRPr="00D72360" w:rsidRDefault="00ED5576">
      <w:pPr>
        <w:rPr>
          <w:b/>
          <w:bCs/>
        </w:rPr>
      </w:pPr>
      <w:r w:rsidRPr="00D72360">
        <w:rPr>
          <w:b/>
          <w:bCs/>
        </w:rPr>
        <w:t>Discussion</w:t>
      </w:r>
    </w:p>
    <w:p w14:paraId="1D758C13" w14:textId="7657D3E0" w:rsidR="005B755B" w:rsidRPr="00D72360" w:rsidRDefault="00ED5576">
      <w:r w:rsidRPr="00D72360">
        <w:t xml:space="preserve">A key challenge for predicting future land use change globally is understanding the degree to which the predictors of such changes are stationary in space and time </w:t>
      </w:r>
      <w:r w:rsidRPr="00D72360">
        <w:fldChar w:fldCharType="begin" w:fldLock="1"/>
      </w:r>
      <w:r w:rsidR="0090126B" w:rsidRPr="00D72360">
        <w:instrText>ADDIN CSL_CITATION {"citationItems":[{"id":"ITEM-1","itemData":{"DOI":"10.1111/gcb.13337","ISBN":"1972952943","ISSN":"13652486","PMID":"27135635","abstract":"Background To maintain the balance between the demand of the body and supply (cardiac output), cardiac performance is tightly regulated via the parasympathetic and sympathetic nervous systems. In heart failure, cardiac output (supply) is decreased due to pathologic remodeling of the heart. To meet the demands of the body, the sympathetic system is activated and catecholamines stimulate β-adrenergic receptors (β-ARs) to increase contractile performance and cardiac output. Although this is beneficial in the acute phase, chronic β-ARs stimulation initiates a cascade of alterations at the cellular level, resulting in a diminished contractile performance of the heart.","author":[{"dropping-particle":"","family":"Prestele","given":"Reinhard","non-dropping-particle":"","parse-names":false,"suffix":""},{"dropping-particle":"","family":"Alexander","given":"Peter","non-dropping-particle":"","parse-names":false,"suffix":""},{"dropping-particle":"","family":"Rounsevell","given":"Mark D.A.","non-dropping-particle":"","parse-names":false,"suffix":""},{"dropping-particle":"","family":"Arneth","given":"Almut","non-dropping-particle":"","parse-names":false,"suffix":""},{"dropping-particle":"","family":"Calvin","given":"Katherine","non-dropping-particle":"","parse-names":false,"suffix":""},{"dropping-particle":"","family":"Doelman","given":"Jonathan","non-dropping-particle":"","parse-names":false,"suffix":""},{"dropping-particle":"","family":"Eitelberg","given":"David A.","non-dropping-particle":"","parse-names":false,"suffix":""},{"dropping-particle":"","family":"Engström","given":"Kerstin","non-dropping-particle":"","parse-names":false,"suffix":""},{"dropping-particle":"","family":"Fujimori","given":"Shinichiro","non-dropping-particle":"","parse-names":false,"suffix":""},{"dropping-particle":"","family":"Hasegawa","given":"Tomoko","non-dropping-particle":"","parse-names":false,"suffix":""},{"dropping-particle":"","family":"Havlik","given":"Petr","non-dropping-particle":"","parse-names":false,"suffix":""},{"dropping-particle":"","family":"Humpenöder","given":"Florian","non-dropping-particle":"","parse-names":false,"suffix":""},{"dropping-particle":"","family":"Jain","given":"Atul K.","non-dropping-particle":"","parse-names":false,"suffix":""},{"dropping-particle":"","family":"Krisztin","given":"Tamás","non-dropping-particle":"","parse-names":false,"suffix":""},{"dropping-particle":"","family":"Kyle","given":"Page","non-dropping-particle":"","parse-names":false,"suffix":""},{"dropping-particle":"","family":"Meiyappan","given":"Prasanth","non-dropping-particle":"","parse-names":false,"suffix":""},{"dropping-particle":"","family":"Popp","given":"Alexander","non-dropping-particle":"","parse-names":false,"suffix":""},{"dropping-particle":"","family":"Sands","given":"Ronald D.","non-dropping-particle":"","parse-names":false,"suffix":""},{"dropping-particle":"","family":"Schaldach","given":"Rüdiger","non-dropping-particle":"","parse-names":false,"suffix":""},{"dropping-particle":"","family":"Schüngel","given":"Jan","non-dropping-particle":"","parse-names":false,"suffix":""},{"dropping-particle":"","family":"Stehfest","given":"Elke","non-dropping-particle":"","parse-names":false,"suffix":""},{"dropping-particle":"","family":"Tabeau","given":"Andrzej","non-dropping-particle":"","parse-names":false,"suffix":""},{"dropping-particle":"","family":"Meijl","given":"Hans","non-dropping-particle":"Van","parse-names":false,"suffix":""},{"dropping-particle":"","family":"Vliet","given":"Jasper","non-dropping-particle":"Van","parse-names":false,"suffix":""},{"dropping-particle":"","family":"Verburg","given":"Peter H.","non-dropping-particle":"","parse-names":false,"suffix":""}],"container-title":"Global Change Biology","id":"ITEM-1","issue":"12","issued":{"date-parts":[["2016"]]},"page":"3967-3983","title":"Hotspots of uncertainty in land-use and land-cover change projections: a global-scale model comparison","type":"article-journal","volume":"22"},"uris":["http://www.mendeley.com/documents/?uuid=dc5e6ad9-36a7-40e3-a410-a27b9371fbe5"]},{"id":"ITEM-2","itemData":{"DOI":"10.1088/1748-9326/ab0d33","ISSN":"1748-9326","abstract":"Global change drivers of land-use/cover change (LUCC) like population dynamics, economic development, and climate change are increasingly important to local sustainability studies, and can only be properly analyzed at fine-scales that capture local biophysical and socio-economic conditions. When sufficiently widespread, local feedback to stresses originating from global drivers can have regional, national, and even global impacts. A multiscale, global-to-local-to-global (GLG) framework is thus needed for comprehensive analyses of LUCC and leakage. The number of GLG-LUCC studies has grown substantially over the past years, but no reviews of this literature and their contributions have been completed so far. In fact, the largest body of literature pertains to global-to-local impacts exclusively, whereas research on local feedback to regional, national, and global spheres remain scarce, and are almost solely undertaken within large modeling institutes. As such, those are rarely readily accessible for modification and extension by outside contributors. This review of the recent GLG-LUCC studies calls for more open-source modeling and availability of data, arguing that the latter is the real constraint to more widespread analyses of GLG-LUCC impacts. Progress in this field will require contributions from hundreds of researchers around the world and from a wide variety of disciplines.","author":[{"dropping-particle":"","family":"Hertel","given":"Thomas W.","non-dropping-particle":"","parse-names":false,"suffix":""},{"dropping-particle":"","family":"West","given":"Thales A P","non-dropping-particle":"","parse-names":false,"suffix":""},{"dropping-particle":"","family":"Börner","given":"Jan","non-dropping-particle":"","parse-names":false,"suffix":""},{"dropping-particle":"","family":"Villoria","given":"Nelson B.","non-dropping-particle":"","parse-names":false,"suffix":""}],"container-title":"Environmental Research Letters","id":"ITEM-2","issue":"5","issued":{"date-parts":[["2019","5","3"]]},"page":"053003","publisher":"IOP Publishing","title":"A review of global-local-global linkages in economic land-use/cover change models","type":"article-journal","volume":"14"},"uris":["http://www.mendeley.com/documents/?uuid=1e9d968a-2a49-43ad-a610-86eace4f9964"]}],"mendeley":{"formattedCitation":"&lt;sup&gt;12,28&lt;/sup&gt;","plainTextFormattedCitation":"12,28","previouslyFormattedCitation":"&lt;sup&gt;12,28&lt;/sup&gt;"},"properties":{"noteIndex":0},"schema":"https://github.com/citation-style-language/schema/raw/master/csl-citation.json"}</w:instrText>
      </w:r>
      <w:r w:rsidRPr="00D72360">
        <w:fldChar w:fldCharType="separate"/>
      </w:r>
      <w:bookmarkStart w:id="54" w:name="__Fieldmark__5507_3027855847"/>
      <w:bookmarkStart w:id="55" w:name="__Fieldmark__3286_531043149"/>
      <w:r w:rsidR="0090126B" w:rsidRPr="00D72360">
        <w:rPr>
          <w:noProof/>
          <w:vertAlign w:val="superscript"/>
        </w:rPr>
        <w:t>12,28</w:t>
      </w:r>
      <w:r w:rsidRPr="00D72360">
        <w:fldChar w:fldCharType="end"/>
      </w:r>
      <w:bookmarkEnd w:id="54"/>
      <w:bookmarkEnd w:id="55"/>
      <w:r w:rsidRPr="00D72360">
        <w:t>. Here</w:t>
      </w:r>
      <w:r w:rsidR="001E0E33">
        <w:t xml:space="preserve"> </w:t>
      </w:r>
      <w:r w:rsidRPr="00D72360">
        <w:t xml:space="preserve">we show that while classical theories of cropland expansion explain the current (1992) extent of cropland reasonably well, </w:t>
      </w:r>
      <w:r w:rsidR="00563BD5" w:rsidRPr="00D72360">
        <w:t xml:space="preserve">this is generally not the case for </w:t>
      </w:r>
      <w:r w:rsidRPr="00D72360">
        <w:t>recent cropland expansion (1992-2015).  We also show that using deviations from a null model of cropland extent in 1992 (</w:t>
      </w:r>
      <w:proofErr w:type="spellStart"/>
      <w:r w:rsidRPr="00D72360">
        <w:t>frontierness</w:t>
      </w:r>
      <w:proofErr w:type="spellEnd"/>
      <w:r w:rsidRPr="00D72360">
        <w:t xml:space="preserve">) improves our ability to predict recent expansion. Both results have important implications for global land use models.   </w:t>
      </w:r>
    </w:p>
    <w:p w14:paraId="418B7078" w14:textId="7DC625A0" w:rsidR="005B755B" w:rsidRPr="00D72360" w:rsidRDefault="00ED5576">
      <w:r w:rsidRPr="00D72360">
        <w:t xml:space="preserve">At present, approaches to modelling gridded global land use and land cover change generally use existing cropland and available land as initial inputs for prediction, in addition to measures of regional disaggregated demand for agricultural products </w:t>
      </w:r>
      <w:r w:rsidRPr="00D72360">
        <w:fldChar w:fldCharType="begin" w:fldLock="1"/>
      </w:r>
      <w:r w:rsidR="0090126B" w:rsidRPr="00D72360">
        <w:instrText>ADDIN CSL_CITATION {"citationItems":[{"id":"ITEM-1","itemData":{"DOI":"10.1111/gcb.13337","ISBN":"1972952943","ISSN":"13652486","PMID":"27135635","abstract":"Background To maintain the balance between the demand of the body and supply (cardiac output), cardiac performance is tightly regulated via the parasympathetic and sympathetic nervous systems. In heart failure, cardiac output (supply) is decreased due to pathologic remodeling of the heart. To meet the demands of the body, the sympathetic system is activated and catecholamines stimulate β-adrenergic receptors (β-ARs) to increase contractile performance and cardiac output. Although this is beneficial in the acute phase, chronic β-ARs stimulation initiates a cascade of alterations at the cellular level, resulting in a diminished contractile performance of the heart.","author":[{"dropping-particle":"","family":"Prestele","given":"Reinhard","non-dropping-particle":"","parse-names":false,"suffix":""},{"dropping-particle":"","family":"Alexander","given":"Peter","non-dropping-particle":"","parse-names":false,"suffix":""},{"dropping-particle":"","family":"Rounsevell","given":"Mark D.A.","non-dropping-particle":"","parse-names":false,"suffix":""},{"dropping-particle":"","family":"Arneth","given":"Almut","non-dropping-particle":"","parse-names":false,"suffix":""},{"dropping-particle":"","family":"Calvin","given":"Katherine","non-dropping-particle":"","parse-names":false,"suffix":""},{"dropping-particle":"","family":"Doelman","given":"Jonathan","non-dropping-particle":"","parse-names":false,"suffix":""},{"dropping-particle":"","family":"Eitelberg","given":"David A.","non-dropping-particle":"","parse-names":false,"suffix":""},{"dropping-particle":"","family":"Engström","given":"Kerstin","non-dropping-particle":"","parse-names":false,"suffix":""},{"dropping-particle":"","family":"Fujimori","given":"Shinichiro","non-dropping-particle":"","parse-names":false,"suffix":""},{"dropping-particle":"","family":"Hasegawa","given":"Tomoko","non-dropping-particle":"","parse-names":false,"suffix":""},{"dropping-particle":"","family":"Havlik","given":"Petr","non-dropping-particle":"","parse-names":false,"suffix":""},{"dropping-particle":"","family":"Humpenöder","given":"Florian","non-dropping-particle":"","parse-names":false,"suffix":""},{"dropping-particle":"","family":"Jain","given":"Atul K.","non-dropping-particle":"","parse-names":false,"suffix":""},{"dropping-particle":"","family":"Krisztin","given":"Tamás","non-dropping-particle":"","parse-names":false,"suffix":""},{"dropping-particle":"","family":"Kyle","given":"Page","non-dropping-particle":"","parse-names":false,"suffix":""},{"dropping-particle":"","family":"Meiyappan","given":"Prasanth","non-dropping-particle":"","parse-names":false,"suffix":""},{"dropping-particle":"","family":"Popp","given":"Alexander","non-dropping-particle":"","parse-names":false,"suffix":""},{"dropping-particle":"","family":"Sands","given":"Ronald D.","non-dropping-particle":"","parse-names":false,"suffix":""},{"dropping-particle":"","family":"Schaldach","given":"Rüdiger","non-dropping-particle":"","parse-names":false,"suffix":""},{"dropping-particle":"","family":"Schüngel","given":"Jan","non-dropping-particle":"","parse-names":false,"suffix":""},{"dropping-particle":"","family":"Stehfest","given":"Elke","non-dropping-particle":"","parse-names":false,"suffix":""},{"dropping-particle":"","family":"Tabeau","given":"Andrzej","non-dropping-particle":"","parse-names":false,"suffix":""},{"dropping-particle":"","family":"Meijl","given":"Hans","non-dropping-particle":"Van","parse-names":false,"suffix":""},{"dropping-particle":"","family":"Vliet","given":"Jasper","non-dropping-particle":"Van","parse-names":false,"suffix":""},{"dropping-particle":"","family":"Verburg","given":"Peter H.","non-dropping-particle":"","parse-names":false,"suffix":""}],"container-title":"Global Change Biology","id":"ITEM-1","issue":"12","issued":{"date-parts":[["2016"]]},"page":"3967-3983","title":"Hotspots of uncertainty in land-use and land-cover change projections: a global-scale model comparison","type":"article-journal","volume":"22"},"uris":["http://www.mendeley.com/documents/?uuid=dc5e6ad9-36a7-40e3-a410-a27b9371fbe5"]}],"mendeley":{"formattedCitation":"&lt;sup&gt;12&lt;/sup&gt;","plainTextFormattedCitation":"12","previouslyFormattedCitation":"&lt;sup&gt;12&lt;/sup&gt;"},"properties":{"noteIndex":0},"schema":"https://github.com/citation-style-language/schema/raw/master/csl-citation.json"}</w:instrText>
      </w:r>
      <w:r w:rsidRPr="00D72360">
        <w:fldChar w:fldCharType="separate"/>
      </w:r>
      <w:bookmarkStart w:id="56" w:name="__Fieldmark__5545_3027855847"/>
      <w:r w:rsidR="0090126B" w:rsidRPr="00D72360">
        <w:rPr>
          <w:noProof/>
          <w:vertAlign w:val="superscript"/>
        </w:rPr>
        <w:t>12</w:t>
      </w:r>
      <w:r w:rsidRPr="00D72360">
        <w:fldChar w:fldCharType="end"/>
      </w:r>
      <w:bookmarkEnd w:id="56"/>
      <w:r w:rsidRPr="00D72360">
        <w:t xml:space="preserve">. Some gridded models also assume expansion after accounting for constraints (e.g. protected area coverage, bioclimatic limits of cropland, other existing land cover types) and endogenous suitability such as soil type and aridity </w:t>
      </w:r>
      <w:r w:rsidRPr="00D72360">
        <w:fldChar w:fldCharType="begin" w:fldLock="1"/>
      </w:r>
      <w:r w:rsidR="00D24611">
        <w:instrText>ADDIN CSL_CITATION {"citationItems":[{"id":"ITEM-1","itemData":{"DOI":"10.1111/gcb.12733","ISBN":"1365-2486","ISSN":"13652486","PMID":"25205590","abstract":"The world's population is growing and demand for food, feed, fiber, and fuel is increasing, placing greater demand on land and its resources for crop production. We review previously published estimates of global scale cropland availability, discuss the underlying assumptions that lead to differences between estimates, and illustrate the consequences of applying different estimates in model-based assessments of land-use change. The review estimates a range from 1552 to 5131 Mha, which includes 1550 Mha that is already cropland. Hence, the lowest estimates indicate that there is almost no room for cropland expansion, while the highest estimates indicate that cropland could potentially expand to over three times its current area. Differences can largely be attributed to institutional assumptions, i.e. which land covers/uses (e.g. forests or grasslands) are societally or governmentally allowed to convert to cropland, while there was little variation in biophysical assumptions. Estimates based on comparable assumptions showed a variation of up to 84%, which originated mainly from different underlying data sources. On the basis of this synthesis of the assumptions underlying these estimates, we constructed a high, a medium, and a low estimate of cropland availability that are representative of the range of estimates in the reviewed studies. We apply these estimates in a land-change model to illustrate the consequences on cropland expansion and intensification as well as deforestation. While uncertainty in cropland availability is hardly addressed in global land-use change assessments, the results indicate a large range of estimates with important consequences for model-based assessments.","author":[{"dropping-particle":"","family":"Eitelberg","given":"David A.","non-dropping-particle":"","parse-names":false,"suffix":""},{"dropping-particle":"","family":"Vliet","given":"Jasper","non-dropping-particle":"van","parse-names":false,"suffix":""},{"dropping-particle":"","family":"Verburg","given":"Peter H.","non-dropping-particle":"","parse-names":false,"suffix":""}],"container-title":"Global Change Biology","id":"ITEM-1","issue":"3","issued":{"date-parts":[["2015"]]},"page":"1236-1248","title":"A review of global potentially available cropland estimates and their consequences for model-based assessments","type":"article-journal","volume":"21"},"uris":["http://www.mendeley.com/documents/?uuid=7b911548-ece1-48ee-b6df-207ce35bd53a"]},{"id":"ITEM-2","itemData":{"DOI":"10.1111/gcb.14110","ISBN":"1365-2486","ISSN":"13652486","PMID":"29485759","abstract":"Land use contributes to environmental change, but is also influenced by such changes. Climate and atmospheric carbon dioxide (CO2 ) levels' changes alter agricultural crop productivity, plant water requirements and irrigation water availability. The global food system needs to respond and adapt to these changes, for example, by altering agricultural practices, including the crop types or intensity of management, or shifting cultivated areas within and between countries. As impacts and associated adaptation responses are spatially specific, understanding the land use adaptation to environmental changes requires crop productivity representations that capture spatial variations. The impact of variation in management practices, including fertiliser and irrigation rates, also needs to be considered. To date, models of global land use have selected agricultural expansion or intensification levels using relatively aggregate spatial representations, typically at a regional level, that are not able to characterise the details of these spatially differentiated responses. Here, we show results from a novel global modelling approach using more detailed biophysically derived yield responses to inputs with greater spatial specificity than previously possible. The approach couples a dynamic global vegetative model (LPJ-GUESS) with a new land use and food system model (PLUMv2), with results benchmarked against historical land use change from 1970. Land use outcomes to 2100 were explored, suggesting that increased intensity of climate forcing reduces the inputs required for food production, due to the fertilisation and enhanced water use efficiency effects of elevated atmospheric CO2 concentrations, but requiring substantial shifts in the global and local patterns of production. The results suggest that adaptation in the global agriculture and food system has substantial capacity to diminish the negative impacts and gain greater benefits from positive outcomes of climate change. Consequently, agricultural expansion and intensification may be lower than found in previous studies where spatial details and processes consideration were more constrained.","author":[{"dropping-particle":"","family":"Alexander","given":"Peter","non-dropping-particle":"","parse-names":false,"suffix":""},{"dropping-particle":"","family":"Rabin","given":"Sam","non-dropping-particle":"","parse-names":false,"suffix":""},{"dropping-particle":"","family":"Anthoni","given":"Peter","non-dropping-particle":"","parse-names":false,"suffix":""},{"dropping-particle":"","family":"Henry","given":"Roslyn","non-dropping-particle":"","parse-names":false,"suffix":""},{"dropping-particle":"","family":"Pugh","given":"Thomas A.M.","non-dropping-particle":"","parse-names":false,"suffix":""},{"dropping-particle":"","family":"Rounsevell","given":"Mark D.A.","non-dropping-particle":"","parse-names":false,"suffix":""},{"dropping-particle":"","family":"Arneth","given":"Almut","non-dropping-particle":"","parse-names":false,"suffix":""}],"container-title":"Global Change Biology","id":"ITEM-2","issue":"7","issued":{"date-parts":[["2018"]]},"page":"2791-2809","title":"Adaptation of global land use and management intensity to changes in climate and atmospheric carbon dioxide","type":"article-journal","volume":"24"},"uris":["http://www.mendeley.com/documents/?uuid=4c2dde3f-b075-4ebe-8021-1c0b5296b102"]}],"mendeley":{"formattedCitation":"&lt;sup&gt;24,32&lt;/sup&gt;","plainTextFormattedCitation":"24,32","previouslyFormattedCitation":"&lt;sup&gt;24,32&lt;/sup&gt;"},"properties":{"noteIndex":0},"schema":"https://github.com/citation-style-language/schema/raw/master/csl-citation.json"}</w:instrText>
      </w:r>
      <w:r w:rsidRPr="00D72360">
        <w:fldChar w:fldCharType="separate"/>
      </w:r>
      <w:bookmarkStart w:id="57" w:name="__Fieldmark__5557_3027855847"/>
      <w:r w:rsidR="00D24611" w:rsidRPr="00D24611">
        <w:rPr>
          <w:noProof/>
          <w:vertAlign w:val="superscript"/>
        </w:rPr>
        <w:t>24,32</w:t>
      </w:r>
      <w:r w:rsidRPr="00D72360">
        <w:fldChar w:fldCharType="end"/>
      </w:r>
      <w:bookmarkEnd w:id="57"/>
      <w:r w:rsidRPr="00D72360">
        <w:t xml:space="preserve">. Our findings show this approach is unlikely to predict future agricultural expansion well, most likely because most current cropland expansion is driven by multiple processes and actors that are not fully captured by existing global datasets </w:t>
      </w:r>
      <w:r w:rsidR="006006DF" w:rsidRPr="00D72360">
        <w:fldChar w:fldCharType="begin" w:fldLock="1"/>
      </w:r>
      <w:r w:rsidR="0090126B" w:rsidRPr="00D72360">
        <w:instrText>ADDIN CSL_CITATION {"citationItems":[{"id":"ITEM-1","itemData":{"DOI":"10.1016/j.landusepol.2019.01.011","ISSN":"02648377","abstract":"Agricultural land expansion is a prominent feature in today's developing countries. It is associated with a structural pattern of land use in many remote land-abundant regions where large-scale commercial primary product activities coexist with increased concentration of smallholders in more marginal areas. The result may be boom-bust cycles of development. If these phenomena are widespread across developing countries, then long-run expansion of agricultural land could be associated with lower levels of real income per capita, which may also fluctuate with prolonged expansion. A panel analysis conducted over 1961–2015 for 98 developing economies fails to reject this hypothesis. Policies should aim to decouple socio-economic gains through agricultural development from continued land expansion, and greater investments are needed to support smallholder agriculture, land distribution and livelihoods in these areas.","author":[{"dropping-particle":"","family":"Barbier","given":"Edward B.","non-dropping-particle":"","parse-names":false,"suffix":""}],"container-title":"Land Use Policy","id":"ITEM-1","issue":"January","issued":{"date-parts":[["2020","4"]]},"page":"103808","publisher":"Elsevier","title":"Long run agricultural land expansion, booms and busts","type":"article-journal","volume":"93"},"uris":["http://www.mendeley.com/documents/?uuid=9bd9f0fa-b38b-4abc-b597-43077bf80206"]},{"id":"ITEM-2","itemData":{"DOI":"10.1080/24694452.2017.1360761","ISSN":"24694460","abstract":"© 2018 by American Association of Geographers. Theories of frontier expansion in the last four decades have been mostly shaped by studies of state-driven smallholder colonization. Modern-day agricultural frontiers, however, are increasingly driven by capitalized corporate agriculture operating with little direct government intervention. The expansion of contemporary frontiers has been explained by the existence of spatially heterogeneous “abnormal” rents, which can be caused by cheap land and labor, technological innovation, lack of regulations, and a variety of other incentives. Here, we argue that understanding the dynamics of these frontiers requires considering the differential ability of actors to capture such rents, which depends on their access to production factors and their information, preferences, and agency. We propose a new conceptual framework drawing on neoclassical economics and political economy, which we apply to the South American Gran Chaco, a hot spot of deforestation for soy and cattle production. We divide the region into a set of distinct frontiers based on satellite data, field interviews, and expert knowledge, to review the drivers and actors of agricultural expansion in these frontiers. We show that frontier expansion in the Chaco responded to the rents created by new agricultural technologies, infrastructure, and rising producer prices but that the frontier dynamics were strongly influenced by actors' abilities to capture or influence these rents. Our findings thus highlight that understanding contemporary commodity frontiers requires analyzing the novel ways by which the agency of particular groups of actors shapes land-use outcomes.","author":[{"dropping-particle":"","family":"Polain de Waroux","given":"Yann","non-dropping-particle":"le","parse-names":false,"suffix":""},{"dropping-particle":"","family":"Baumann","given":"Matthias","non-dropping-particle":"","parse-names":false,"suffix":""},{"dropping-particle":"","family":"Gasparri","given":"Nestor Ignacio","non-dropping-particle":"","parse-names":false,"suffix":""},{"dropping-particle":"","family":"Gavier-Pizarro","given":"Gregorio","non-dropping-particle":"","parse-names":false,"suffix":""},{"dropping-particle":"","family":"Godar","given":"Javier","non-dropping-particle":"","parse-names":false,"suffix":""},{"dropping-particle":"","family":"Kuemmerle","given":"Tobias","non-dropping-particle":"","parse-names":false,"suffix":""},{"dropping-particle":"","family":"Müller","given":"Robert","non-dropping-particle":"","parse-names":false,"suffix":""},{"dropping-particle":"","family":"Vázquez","given":"Fabricio","non-dropping-particle":"","parse-names":false,"suffix":""},{"dropping-particle":"","family":"Volante","given":"José Norberto","non-dropping-particle":"","parse-names":false,"suffix":""},{"dropping-particle":"","family":"Meyfroidt","given":"Patrick","non-dropping-particle":"","parse-names":false,"suffix":""}],"container-title":"Annals of the American Association of Geographers","id":"ITEM-2","issue":"1","issued":{"date-parts":[["2018"]]},"page":"204-225","title":"Rents, Actors, and the Expansion of Commodity Frontiers in the Gran Chaco","type":"article-journal","volume":"108"},"uris":["http://www.mendeley.com/documents/?uuid=f5870611-1823-4a94-a789-556c31ecbbea","http://www.mendeley.com/documents/?uuid=379ada45-598d-4129-a197-be6be0079f1b"]}],"mendeley":{"formattedCitation":"&lt;sup&gt;17,18&lt;/sup&gt;","plainTextFormattedCitation":"17,18","previouslyFormattedCitation":"&lt;sup&gt;17,18&lt;/sup&gt;"},"properties":{"noteIndex":0},"schema":"https://github.com/citation-style-language/schema/raw/master/csl-citation.json"}</w:instrText>
      </w:r>
      <w:r w:rsidR="006006DF" w:rsidRPr="00D72360">
        <w:fldChar w:fldCharType="separate"/>
      </w:r>
      <w:r w:rsidR="0090126B" w:rsidRPr="00D72360">
        <w:rPr>
          <w:noProof/>
          <w:vertAlign w:val="superscript"/>
        </w:rPr>
        <w:t>17,18</w:t>
      </w:r>
      <w:r w:rsidR="006006DF" w:rsidRPr="00D72360">
        <w:fldChar w:fldCharType="end"/>
      </w:r>
      <w:r w:rsidRPr="00D72360">
        <w:t>. Key commercial crops do disproportionately overlap with cropland expansion at all thresholds (Table S</w:t>
      </w:r>
      <w:r w:rsidR="00BE5637" w:rsidRPr="00D72360">
        <w:t>8</w:t>
      </w:r>
      <w:r w:rsidRPr="00D72360">
        <w:t xml:space="preserve">); </w:t>
      </w:r>
      <w:bookmarkStart w:id="58" w:name="_Hlk36038308"/>
      <w:r w:rsidRPr="00D72360">
        <w:t>however, such expansion can be driven both by large commercial land holders</w:t>
      </w:r>
      <w:r w:rsidRPr="00D72360">
        <w:fldChar w:fldCharType="begin" w:fldLock="1"/>
      </w:r>
      <w:r w:rsidR="00D24611">
        <w:instrText>ADDIN CSL_CITATION {"citationItems":[{"id":"ITEM-1","itemData":{"DOI":"10.1088/1748-9326/aad5bf","ISSN":"17489326","abstract":"A combination of high commodity crop prices, rising global food demand, and technological advances has transformed the scale of global crop production. Farming in South America is a prime example, where large-scale cash crops, such as soy, have transformed the land use dynamics at the forest frontier. We evaluate this transformation in sub-Andean South America by estimating crop and forest cover and detecting individual cropland field parcels using Landsat imagery in 5 year intervals over a 24 year period. From 1990 to 2014, cropland expansion onto deforested land was increasingly driven by large fields (&gt;50 ha), whose contribution increased from 32% to 48% (+16% increase), while the contribution of smaller fields (&lt;20 ha) declined from 36% to 26% (−10% decrease). This shift toward large-scale farming replacing cleared land across the region has important implications for food security and biodiversity conservation. Policy efforts will need to target different actors and transcend national borders in order to tackle the changing nature of South American deforestation.","author":[{"dropping-particle":"","family":"Graesser","given":"Jordan","non-dropping-particle":"","parse-names":false,"suffix":""},{"dropping-particle":"","family":"Ramankutty","given":"Navin","non-dropping-particle":"","parse-names":false,"suffix":""},{"dropping-particle":"","family":"Coomes","given":"Oliver T.","non-dropping-particle":"","parse-names":false,"suffix":""}],"container-title":"Environmental Research Letters","id":"ITEM-1","issue":"8","issued":{"date-parts":[["2018"]]},"publisher":"IOP Publishing","title":"Increasing expansion of large-scale crop production onto deforested land in sub-Andean South America","type":"article-journal","volume":"13"},"uris":["http://www.mendeley.com/documents/?uuid=dc8b1ab9-086f-41ce-9409-48d7b4497894"]}],"mendeley":{"formattedCitation":"&lt;sup&gt;33&lt;/sup&gt;","plainTextFormattedCitation":"33","previouslyFormattedCitation":"&lt;sup&gt;33&lt;/sup&gt;"},"properties":{"noteIndex":0},"schema":"https://github.com/citation-style-language/schema/raw/master/csl-citation.json"}</w:instrText>
      </w:r>
      <w:r w:rsidRPr="00D72360">
        <w:fldChar w:fldCharType="separate"/>
      </w:r>
      <w:bookmarkStart w:id="59" w:name="__Fieldmark__5596_3027855847"/>
      <w:r w:rsidR="00D24611" w:rsidRPr="00D24611">
        <w:rPr>
          <w:noProof/>
          <w:vertAlign w:val="superscript"/>
        </w:rPr>
        <w:t>33</w:t>
      </w:r>
      <w:r w:rsidRPr="00D72360">
        <w:fldChar w:fldCharType="end"/>
      </w:r>
      <w:bookmarkEnd w:id="59"/>
      <w:r w:rsidRPr="00D72360">
        <w:t xml:space="preserve"> and smallholders</w:t>
      </w:r>
      <w:r w:rsidRPr="00D72360">
        <w:rPr>
          <w:rFonts w:cstheme="minorHAnsi"/>
        </w:rPr>
        <w:t xml:space="preserve"> </w:t>
      </w:r>
      <w:r w:rsidRPr="00D72360">
        <w:fldChar w:fldCharType="begin" w:fldLock="1"/>
      </w:r>
      <w:r w:rsidR="00D24611">
        <w:instrText>ADDIN CSL_CITATION {"citationItems":[{"id":"ITEM-1","itemData":{"DOI":"10.1038/s41467-018-07915-2","ISSN":"20411723","abstract":"Oil palm expansion resulted in 2 million hectares (Mha) of forest loss globally in 2000–2010. Despite accounting for 24% (4.5 Mha) of the world’s total oil palm cultivated area, expansion dynamics in sub-Saharan Africa have been overlooked. We show that in Southwest Cameroon, a top producing region of Africa, 67% of oil palm expansion from 2000–2015 occurred at the expense of forest. Contrary to the publicized narrative of industrial-scale expansion, most oil palm expansion and associated deforestation is occurring outside large agro-industrial concessions. Expansion and deforestation carried out by non-industrial producers is occurring near low-efficiency informal mills, unconstrained by the location of high-efficiency company-owned mills. These results highlight the key role of a booming informal economic sector in driving rapid land use change. High per capita consumption and rising palm oil demands in sub-Saharan Africa spotlight the need to consider informal economies when identifying regionally relevant sustainability pathways.","author":[{"dropping-particle":"","family":"Ordway","given":"Elsa M.","non-dropping-particle":"","parse-names":false,"suffix":""},{"dropping-particle":"","family":"Naylor","given":"Rosamond L.","non-dropping-particle":"","parse-names":false,"suffix":""},{"dropping-particle":"","family":"Nkongho","given":"Raymond N.","non-dropping-particle":"","parse-names":false,"suffix":""},{"dropping-particle":"","family":"Lambin","given":"Eric F.","non-dropping-particle":"","parse-names":false,"suffix":""}],"container-title":"Nature Communications","id":"ITEM-1","issue":"1","issued":{"date-parts":[["2019"]]},"page":"1-11","publisher":"Springer US","title":"Oil palm expansion and deforestation in Southwest Cameroon associated with proliferation of informal mills","type":"article-journal","volume":"10"},"uris":["http://www.mendeley.com/documents/?uuid=da95b384-f7fb-464d-b6ed-e2c4727fdc84"]}],"mendeley":{"formattedCitation":"&lt;sup&gt;34&lt;/sup&gt;","plainTextFormattedCitation":"34","previouslyFormattedCitation":"&lt;sup&gt;34&lt;/sup&gt;"},"properties":{"noteIndex":0},"schema":"https://github.com/citation-style-language/schema/raw/master/csl-citation.json"}</w:instrText>
      </w:r>
      <w:r w:rsidRPr="00D72360">
        <w:fldChar w:fldCharType="separate"/>
      </w:r>
      <w:bookmarkStart w:id="60" w:name="__Fieldmark__3425_531043149"/>
      <w:bookmarkStart w:id="61" w:name="__Fieldmark__5603_3027855847"/>
      <w:bookmarkEnd w:id="60"/>
      <w:r w:rsidR="00D24611" w:rsidRPr="00D24611">
        <w:rPr>
          <w:noProof/>
          <w:vertAlign w:val="superscript"/>
        </w:rPr>
        <w:t>34</w:t>
      </w:r>
      <w:r w:rsidRPr="00D72360">
        <w:fldChar w:fldCharType="end"/>
      </w:r>
      <w:bookmarkEnd w:id="61"/>
      <w:r w:rsidRPr="00D72360">
        <w:rPr>
          <w:rFonts w:cstheme="minorHAnsi"/>
        </w:rPr>
        <w:t xml:space="preserve">. </w:t>
      </w:r>
      <w:bookmarkEnd w:id="58"/>
      <w:r w:rsidRPr="00D72360">
        <w:rPr>
          <w:rFonts w:cstheme="minorHAnsi"/>
        </w:rPr>
        <w:t xml:space="preserve">More generally, </w:t>
      </w:r>
      <w:r w:rsidRPr="00D72360">
        <w:t>the disproportionate overlap of expansion at the 0.5% and 10% threshold with both large and small fields (Table S</w:t>
      </w:r>
      <w:r w:rsidR="00BE5637" w:rsidRPr="00D72360">
        <w:t>8</w:t>
      </w:r>
      <w:r w:rsidRPr="00D72360">
        <w:t xml:space="preserve">) supports existing work showing that </w:t>
      </w:r>
      <w:r w:rsidRPr="00D72360">
        <w:rPr>
          <w:rFonts w:cstheme="minorHAnsi"/>
        </w:rPr>
        <w:t xml:space="preserve">frontier expansion is driven both by commercial and subsistence activities </w:t>
      </w:r>
      <w:r w:rsidRPr="00D72360">
        <w:fldChar w:fldCharType="begin" w:fldLock="1"/>
      </w:r>
      <w:r w:rsidR="00D24611">
        <w:instrText>ADDIN CSL_CITATION {"citationItems":[{"id":"ITEM-1","itemData":{"DOI":"10.1016/j.landusepol.2019.01.011","ISSN":"02648377","abstract":"Agricultural land expansion is a prominent feature in today's developing countries. It is associated with a structural pattern of land use in many remote land-abundant regions where large-scale commercial primary product activities coexist with increased concentration of smallholders in more marginal areas. The result may be boom-bust cycles of development. If these phenomena are widespread across developing countries, then long-run expansion of agricultural land could be associated with lower levels of real income per capita, which may also fluctuate with prolonged expansion. A panel analysis conducted over 1961–2015 for 98 developing economies fails to reject this hypothesis. Policies should aim to decouple socio-economic gains through agricultural development from continued land expansion, and greater investments are needed to support smallholder agriculture, land distribution and livelihoods in these areas.","author":[{"dropping-particle":"","family":"Barbier","given":"Edward B.","non-dropping-particle":"","parse-names":false,"suffix":""}],"container-title":"Land Use Policy","id":"ITEM-1","issue":"January","issued":{"date-parts":[["2020","4"]]},"page":"103808","publisher":"Elsevier","title":"Long run agricultural land expansion, booms and busts","type":"article-journal","volume":"93"},"uris":["http://www.mendeley.com/documents/?uuid=9bd9f0fa-b38b-4abc-b597-43077bf80206"]},{"id":"ITEM-2","itemData":{"DOI":"10.1080/24694452.2017.1360761","ISSN":"24694460","abstract":"© 2018 by American Association of Geographers. Theories of frontier expansion in the last four decades have been mostly shaped by studies of state-driven smallholder colonization. Modern-day agricultural frontiers, however, are increasingly driven by capitalized corporate agriculture operating with little direct government intervention. The expansion of contemporary frontiers has been explained by the existence of spatially heterogeneous “abnormal” rents, which can be caused by cheap land and labor, technological innovation, lack of regulations, and a variety of other incentives. Here, we argue that understanding the dynamics of these frontiers requires considering the differential ability of actors to capture such rents, which depends on their access to production factors and their information, preferences, and agency. We propose a new conceptual framework drawing on neoclassical economics and political economy, which we apply to the South American Gran Chaco, a hot spot of deforestation for soy and cattle production. We divide the region into a set of distinct frontiers based on satellite data, field interviews, and expert knowledge, to review the drivers and actors of agricultural expansion in these frontiers. We show that frontier expansion in the Chaco responded to the rents created by new agricultural technologies, infrastructure, and rising producer prices but that the frontier dynamics were strongly influenced by actors' abilities to capture or influence these rents. Our findings thus highlight that understanding contemporary commodity frontiers requires analyzing the novel ways by which the agency of particular groups of actors shapes land-use outcomes.","author":[{"dropping-particle":"","family":"Polain de Waroux","given":"Yann","non-dropping-particle":"le","parse-names":false,"suffix":""},{"dropping-particle":"","family":"Baumann","given":"Matthias","non-dropping-particle":"","parse-names":false,"suffix":""},{"dropping-particle":"","family":"Gasparri","given":"Nestor Ignacio","non-dropping-particle":"","parse-names":false,"suffix":""},{"dropping-particle":"","family":"Gavier-Pizarro","given":"Gregorio","non-dropping-particle":"","parse-names":false,"suffix":""},{"dropping-particle":"","family":"Godar","given":"Javier","non-dropping-particle":"","parse-names":false,"suffix":""},{"dropping-particle":"","family":"Kuemmerle","given":"Tobias","non-dropping-particle":"","parse-names":false,"suffix":""},{"dropping-particle":"","family":"Müller","given":"Robert","non-dropping-particle":"","parse-names":false,"suffix":""},{"dropping-particle":"","family":"Vázquez","given":"Fabricio","non-dropping-particle":"","parse-names":false,"suffix":""},{"dropping-particle":"","family":"Volante","given":"José Norberto","non-dropping-particle":"","parse-names":false,"suffix":""},{"dropping-particle":"","family":"Meyfroidt","given":"Patrick","non-dropping-particle":"","parse-names":false,"suffix":""}],"container-title":"Annals of the American Association of Geographers","id":"ITEM-2","issue":"1","issued":{"date-parts":[["2018"]]},"page":"204-225","title":"Rents, Actors, and the Expansion of Commodity Frontiers in the Gran Chaco","type":"article-journal","volume":"108"},"uris":["http://www.mendeley.com/documents/?uuid=379ada45-598d-4129-a197-be6be0079f1b"]},{"id":"ITEM-3","itemData":{"DOI":"10.1016/j.gfs.2018.05.002","ISSN":"22119124","abstract":"The widely reported claim that smallholders produce 70-80% of the world’s food has been a linchpin of agricultural development policy despite limited empirical evidence. We examine variations in global crop production by farm size using a newly-compiled global sample of subnational level microdata and agricultural censuses. We found that farms under 2 ha produce 31-35% of total crop production and 30-34% of food supply on 24% of gross agricultural area. Farms under 2 ha devote a greater proportion of their production to food, while farms over 1000 ha have the greatest proportion of waste. As farms get larger, crop species richness declines and different types of crops are grown, which is reflected in variations in macro-nutrient production by farm size.","author":[{"dropping-particle":"","family":"Ricciardi","given":"Vincent","non-dropping-particle":"","parse-names":false,"suffix":""},{"dropping-particle":"","family":"Ramankutty","given":"Navin","non-dropping-particle":"","parse-names":false,"suffix":""},{"dropping-particle":"","family":"Mehrabi","given":"Zia","non-dropping-particle":"","parse-names":false,"suffix":""},{"dropping-particle":"","family":"Jarvis","given":"Larissa","non-dropping-particle":"","parse-names":false,"suffix":""},{"dropping-particle":"","family":"Chookolingo","given":"Brenton","non-dropping-particle":"","parse-names":false,"suffix":""}],"container-title":"Global Food Security","id":"ITEM-3","issue":"May","issued":{"date-parts":[["2018"]]},"page":"64-72","publisher":"Elsevier B.V.","title":"How much of the world's food do smallholders produce?","type":"article-journal","volume":"17"},"uris":["http://www.mendeley.com/documents/?uuid=d955e839-6686-4d74-9f36-d329a739e690"]},{"id":"ITEM-4","itemData":{"DOI":"10.1111/j.1475-4959.2012.00462.x","ISSN":"00167398","abstract":"Resource and land frontiers have always been a significant focus of geography but have become overlooked in economics and economic history. Yet a critical driving force behind global economic development has been the response of human society to natural resource scarcity, not just through conserving scarce resources but also by obtaining and developing more of them. A handful of theories of how such classic frontier expansion has shaped economic development have been formulated, and these are discussed and reviewed. Evidence from history is cited to illustrate these effects, and the implications for resource-based development in the Contemporary Era (1950 to present) are discussed. Unlike previous eras, the pattern of frontier expansion is dualistic. This has led to less economy-wide benefits from frontier-based development in the Contemporary Era.","author":[{"dropping-particle":"","family":"Barbier","given":"Edward B.","non-dropping-particle":"","parse-names":false,"suffix":""}],"container-title":"Geographical Journal","id":"ITEM-4","issue":"2","issued":{"date-parts":[["2012"]]},"page":"110-122","title":"Scarcity, frontiers and development","type":"article-journal","volume":"178"},"uris":["http://www.mendeley.com/documents/?uuid=60fcc35f-38d8-4429-a46f-f0a73219ee99"]}],"mendeley":{"formattedCitation":"&lt;sup&gt;16–18,35&lt;/sup&gt;","plainTextFormattedCitation":"16–18,35","previouslyFormattedCitation":"&lt;sup&gt;16–18,35&lt;/sup&gt;"},"properties":{"noteIndex":0},"schema":"https://github.com/citation-style-language/schema/raw/master/csl-citation.json"}</w:instrText>
      </w:r>
      <w:r w:rsidRPr="00D72360">
        <w:fldChar w:fldCharType="separate"/>
      </w:r>
      <w:bookmarkStart w:id="62" w:name="__Fieldmark__3432_531043149"/>
      <w:bookmarkStart w:id="63" w:name="__Fieldmark__5623_3027855847"/>
      <w:bookmarkEnd w:id="62"/>
      <w:r w:rsidR="00D24611" w:rsidRPr="00D24611">
        <w:rPr>
          <w:rFonts w:cstheme="minorHAnsi"/>
          <w:noProof/>
          <w:vertAlign w:val="superscript"/>
          <w:lang w:val="nl-NL"/>
        </w:rPr>
        <w:t>16–18,35</w:t>
      </w:r>
      <w:r w:rsidRPr="00D72360">
        <w:fldChar w:fldCharType="end"/>
      </w:r>
      <w:bookmarkEnd w:id="63"/>
      <w:r w:rsidRPr="00D72360">
        <w:rPr>
          <w:lang w:val="nl-NL"/>
        </w:rPr>
        <w:t xml:space="preserve">. </w:t>
      </w:r>
    </w:p>
    <w:p w14:paraId="1198DFCC" w14:textId="59FB5C10" w:rsidR="00BC0994" w:rsidRPr="00D72360" w:rsidRDefault="00ED5576">
      <w:r w:rsidRPr="00D72360">
        <w:t xml:space="preserve">Our proxy for agricultural expansion frontiers </w:t>
      </w:r>
      <w:r w:rsidR="00655EB0" w:rsidRPr="00D72360">
        <w:t>–</w:t>
      </w:r>
      <w:r w:rsidR="00440D58" w:rsidRPr="00D72360">
        <w:t xml:space="preserve"> </w:t>
      </w:r>
      <w:proofErr w:type="spellStart"/>
      <w:r w:rsidR="00187773" w:rsidRPr="00D72360">
        <w:t>frontierness</w:t>
      </w:r>
      <w:proofErr w:type="spellEnd"/>
      <w:r w:rsidRPr="00D72360">
        <w:t xml:space="preserve"> </w:t>
      </w:r>
      <w:r w:rsidR="00655EB0" w:rsidRPr="00D72360">
        <w:t>–</w:t>
      </w:r>
      <w:r w:rsidR="00440D58" w:rsidRPr="00D72360">
        <w:t xml:space="preserve"> </w:t>
      </w:r>
      <w:r w:rsidRPr="00D72360">
        <w:t xml:space="preserve">added explanatory power to models of agricultural expansion, except for the most extreme, and very rare, expansion events (&gt;50% threshold). The spatial pattern of our </w:t>
      </w:r>
      <w:proofErr w:type="spellStart"/>
      <w:r w:rsidRPr="00D72360">
        <w:t>frontierness</w:t>
      </w:r>
      <w:proofErr w:type="spellEnd"/>
      <w:r w:rsidRPr="00D72360">
        <w:t xml:space="preserve"> indicator appears to align with recent cropland expansion in areas recognized as key global cropland expansion frontiers in South America (</w:t>
      </w:r>
      <w:proofErr w:type="spellStart"/>
      <w:r w:rsidRPr="00D72360">
        <w:t>Cerrado</w:t>
      </w:r>
      <w:proofErr w:type="spellEnd"/>
      <w:r w:rsidRPr="00D72360">
        <w:t xml:space="preserve"> and Chaco</w:t>
      </w:r>
      <w:r w:rsidR="00E86D4C" w:rsidRPr="00D72360">
        <w:t xml:space="preserve"> ecoregions</w:t>
      </w:r>
      <w:r w:rsidRPr="00D72360">
        <w:t xml:space="preserve"> </w:t>
      </w:r>
      <w:r w:rsidRPr="00D72360">
        <w:fldChar w:fldCharType="begin" w:fldLock="1"/>
      </w:r>
      <w:r w:rsidR="00D24611">
        <w:instrText>ADDIN CSL_CITATION {"citationItems":[{"id":"ITEM-1","itemData":{"DOI":"10.1088/1748-9326/aad5bf","ISSN":"17489326","abstract":"A combination of high commodity crop prices, rising global food demand, and technological advances has transformed the scale of global crop production. Farming in South America is a prime example, where large-scale cash crops, such as soy, have transformed the land use dynamics at the forest frontier. We evaluate this transformation in sub-Andean South America by estimating crop and forest cover and detecting individual cropland field parcels using Landsat imagery in 5 year intervals over a 24 year period. From 1990 to 2014, cropland expansion onto deforested land was increasingly driven by large fields (&gt;50 ha), whose contribution increased from 32% to 48% (+16% increase), while the contribution of smaller fields (&lt;20 ha) declined from 36% to 26% (−10% decrease). This shift toward large-scale farming replacing cleared land across the region has important implications for food security and biodiversity conservation. Policy efforts will need to target different actors and transcend national borders in order to tackle the changing nature of South American deforestation.","author":[{"dropping-particle":"","family":"Graesser","given":"Jordan","non-dropping-particle":"","parse-names":false,"suffix":""},{"dropping-particle":"","family":"Ramankutty","given":"Navin","non-dropping-particle":"","parse-names":false,"suffix":""},{"dropping-particle":"","family":"Coomes","given":"Oliver T.","non-dropping-particle":"","parse-names":false,"suffix":""}],"container-title":"Environmental Research Letters","id":"ITEM-1","issue":"8","issued":{"date-parts":[["2018"]]},"publisher":"IOP Publishing","title":"Increasing expansion of large-scale crop production onto deforested land in sub-Andean South America","type":"article-journal","volume":"13"},"uris":["http://www.mendeley.com/documents/?uuid=dc8b1ab9-086f-41ce-9409-48d7b4497894"]}],"mendeley":{"formattedCitation":"&lt;sup&gt;33&lt;/sup&gt;","plainTextFormattedCitation":"33","previouslyFormattedCitation":"&lt;sup&gt;33&lt;/sup&gt;"},"properties":{"noteIndex":0},"schema":"https://github.com/citation-style-language/schema/raw/master/csl-citation.json"}</w:instrText>
      </w:r>
      <w:r w:rsidRPr="00D72360">
        <w:fldChar w:fldCharType="separate"/>
      </w:r>
      <w:bookmarkStart w:id="64" w:name="__Fieldmark__5657_3027855847"/>
      <w:r w:rsidR="00D24611" w:rsidRPr="00D24611">
        <w:rPr>
          <w:noProof/>
          <w:vertAlign w:val="superscript"/>
        </w:rPr>
        <w:t>33</w:t>
      </w:r>
      <w:r w:rsidRPr="00D72360">
        <w:fldChar w:fldCharType="end"/>
      </w:r>
      <w:bookmarkEnd w:id="64"/>
      <w:r w:rsidR="00E86D4C" w:rsidRPr="00D72360">
        <w:t>)</w:t>
      </w:r>
      <w:r w:rsidRPr="00D72360">
        <w:t xml:space="preserve">, as well as forest frontiers in West Africa, and a large arc of cropland expansion in the steppes of Southern Russia and Kazakhstan – some of these the result of </w:t>
      </w:r>
      <w:proofErr w:type="spellStart"/>
      <w:r w:rsidRPr="00D72360">
        <w:t>recultivation</w:t>
      </w:r>
      <w:proofErr w:type="spellEnd"/>
      <w:r w:rsidRPr="00D72360">
        <w:t xml:space="preserve"> of land abandoned at the collapse of the Soviet Union </w:t>
      </w:r>
      <w:r w:rsidRPr="00D72360">
        <w:fldChar w:fldCharType="begin" w:fldLock="1"/>
      </w:r>
      <w:r w:rsidR="00D24611">
        <w:instrText>ADDIN CSL_CITATION {"citationItems":[{"id":"ITEM-1","itemData":{"DOI":"10.1016/j.gloenvcha.2016.01.003","ISBN":"0959-3780","ISSN":"09593780","PMID":"15003161","abstract":"Further cropland expansion might be unavoidable to satisfy the growing demand for land-based products and ecosystem services. A crucial issue is thus to assess the trade-offs between social and ecological impacts and the benefits of converting additional land to cropland. In the former Soviet Union countries, where the transition from state-command to market-driven economies resulted in widespread agricultural land abandonment, cropland expansion may incur relatively low costs, especially compared with tropical regions. Our objectives were to quantify the drivers, constraints and trade-offs associated with recultivating abandoned cropland to assess the potentially available cropland in European Russia, western Siberia, Ukraine and Kazakhstan-the region where the vast majority of post-Soviet cropland abandonment took place. Using spatial panel regressions, we characterized the socio-economic determinants of cropland abandonment and recultivation. We then used recent maps of changes in cropland to (i) spatially characterize the socio-economic, accessibility and soil constraints associated with the recultivation of abandoned croplands and (ii) investigate the environmental trade-offs regarding carbon stocks and habitat for biodiversity. Less cropland abandonment and more recultivation after 2000 occurred in areas with an increasing rural population and a younger labor force, but also improved yields. Synergies were observed between cropland recultivation and intensification over the 2000s. From 47.3 million hectares (Mha) of cropland abandoned in 2009, we identified only 8.5 (7.1-17.4). Mha of potentially available cropland with low environmental trade-offs and low to moderate socio-economic or accessibility constraints that were located on high-quality soils (Chernozems). These areas represented an annual wheat production potential of ~14.3 (9.6-19.5). million tons (Mt). Conversely, 8.5 (4.2-12.4). Mha had high carbon or biodiversity trade-offs, of which ~10% might be attractive for cropland expansion and thus would require protection from recultivation. Agro-environmental, accessibility, and socio-economic constraints suggested that the remaining 30.6 (25.7-30.6). Mha of abandoned croplands were unlikely to provide important contributions to future crop production at current wheat prices but could provide various ecosystem services, and some could support extensive livestock production. Political and institutional support could foster recultivation by su…","author":[{"dropping-particle":"","family":"Meyfroidt","given":"Patrick","non-dropping-particle":"","parse-names":false,"suffix":""},{"dropping-particle":"","family":"Schierhorn","given":"Florian","non-dropping-particle":"","parse-names":false,"suffix":""},{"dropping-particle":"V.","family":"Prishchepov","given":"Alexander","non-dropping-particle":"","parse-names":false,"suffix":""},{"dropping-particle":"","family":"Müller","given":"Daniel","non-dropping-particle":"","parse-names":false,"suffix":""},{"dropping-particle":"","family":"Kuemmerle","given":"Tobias","non-dropping-particle":"","parse-names":false,"suffix":""}],"container-title":"Global Environmental Change","id":"ITEM-1","issued":{"date-parts":[["2016"]]},"page":"1-15","publisher":"Elsevier Ltd","title":"Drivers, constraints and trade-offs associated with recultivating abandoned cropland in Russia, Ukraine and Kazakhstan","type":"article-journal","volume":"37"},"uris":["http://www.mendeley.com/documents/?uuid=533cfbe2-8ba1-44a5-b2d8-35aa2e9831ac"]},{"id":"ITEM-2","itemData":{"DOI":"10.1088/1748-9326/10/5/054012","ISSN":"1748-9326","abstract":"During the Soviet Virgin Lands Campaign, approximately 23 million hectares (Mha) of Eurasian steppe grassland were converted into cropland in Northern Kazakhstan from 1954 to 1963. As a result Kazakhstan became an important breadbasket of the former Soviet Union. However, the collapse of the Soviet Union in 1991 triggered widespread agricultural abandonment, and much cropland reverted to grasslands. Our goal in this study was to reconstruct and analyze agricultural land-cover change since the eve of the Virgin Lands Campaign, from 1953 to 2010 in Kostanay Province, a region that is representative of Northern Kazakhstan. Further, we assessed the potential of currently idle cropland for re-cultivation. We reconstructed the cropland extent before and after the Virgin Lands Campaign using archival maps, and we mapped the agricultural land cover in the late Soviet and post-Soviet period using multi-seasonal Landsat TM/ETM+ images from circa 1990, 2000 and 2010. Cropland extent peaked at approximately 3.1 Mha in our study area in 1990, 38% of which had been converted from grasslands from 1954 to 1961. After the collapse of the Soviet Union, 45% of the Soviet cropland was abandoned and had reverted to grassland by 2000. After 2000, cropland contraction and re-cultivation were balanced. Using spatial logistic regressions we found that cropland expansion during the Virgin Lands Campaign was significantly associated with favorable agro-environmental conditions. In contrast, cropland expansion after the Campaign until 1990, as well as cropland contraction after 1990, occurred mainly in areas that were less favorable for agriculture. Cropland re-cultivation after 2000 was occurring on lands with relatively favorable agro-environmental conditions in comparison to remaining idle croplands, albeit with much lower agro-environmental endowment compared to stable croplands from 1990 to 2010. In sum, we found that cropland production potentials of the currently uncultivated areas are much lower than commonly believed, and further cropland expansion is only possible at the expense of marginal lands. Our results suggest if increasing production is a goal, improving crop yields in currently cultivated lands should be a focus, whereas extensive livestock grazing as well as the conservation of non-provisioning ecosystem services and biodiversity should be priority on more marginal lands.","author":[{"dropping-particle":"","family":"Kraemer","given":"Roland","non-dropping-particle":"","parse-names":false,"suffix":""},{"dropping-particle":"V.","family":"Prishchepov","given":"Alexander","non-dropping-particle":"","parse-names":false,"suffix":""},{"dropping-particle":"","family":"Müller","given":"Daniel","non-dropping-particle":"","parse-names":false,"suffix":""},{"dropping-particle":"","family":"Kuemmerle","given":"Tobias","non-dropping-particle":"","parse-names":false,"suffix":""},{"dropping-particle":"","family":"Radeloff","given":"Volker C.","non-dropping-particle":"","parse-names":false,"suffix":""},{"dropping-particle":"","family":"Dara","given":"Andrey","non-dropping-particle":"","parse-names":false,"suffix":""},{"dropping-particle":"","family":"Terekhov","given":"Alexey","non-dropping-particle":"","parse-names":false,"suffix":""},{"dropping-particle":"","family":"Frühauf","given":"Manfred","non-dropping-particle":"","parse-names":false,"suffix":""}],"container-title":"Environmental Research Letters","id":"ITEM-2","issue":"5","issued":{"date-parts":[["2015","5","1"]]},"page":"054012","publisher":"IOP Publishing","title":"Long-term agricultural land-cover change and potential for cropland expansion in the former Virgin Lands area of Kazakhstan","type":"article-journal","volume":"10"},"uris":["http://www.mendeley.com/documents/?uuid=67f07443-2a15-417d-9b0f-dda08af42b70"]},{"id":"ITEM-3","itemData":{"DOI":"10.1016/j.rse.2018.05.005","ISSN":"00344257","abstract":"Much of the world's temperate grasslands have been converted to croplands, yet these trends can reverse in some regions. This is the case for the steppes of northern Kazakhstan, where the breakdown of the Soviet Union led to widespread cropland abandonment, creating restoration opportunities. Understanding when abandonment happened and whether it persists is important for making use of these opportunities. We developed a trajectory-based change detection approach to identify cropland abandonment between 1988 and 2013 and recultivation between 1991 and 2013. Our approach is based on annual time series of cropland probabilities derived from Landsat imagery and resulted in reliable maps (89% overall accuracy), with abandonment being detected more accurately (user's accuracy of 93%) than recultivation (73%). Most of the remaining uncertainty in our maps was due to low image availability during the mid-1990s, leading to abandonment in the 1990s sometimes only being detected in the 2000s. Our results suggest that of the ~4.7 million ha of cropland in our study area in 1985, roughly 40% had been abandoned by 2013. Knowing the timing of abandonment allowed for deeper insights into what drives these dynamics: recultivation after 2007 happened preferentially on those lands that had been abandoned most recently, suggesting that the most productive croplands were abandoned last and recultivated first. Likewise, knowing the timing of abandonment allowed for more precise estimates of the environmental impacts of abandonment (e.g., soil organic carbon sequestration estimated at 16.3 Mt. C compared to 24.0 Mt. C when assuming all abandonment happened right after the breakdown of the Soviet Union, with the uncertainty around emission estimates decreasing by 63%). Overall, our study emphasizes the value of the Landsat archive for understanding agricultural land-use dynamics, and the opportunities of trajectory-based approaches for mapping these dynamics.","author":[{"dropping-particle":"","family":"Dara","given":"Andrey","non-dropping-particle":"","parse-names":false,"suffix":""},{"dropping-particle":"","family":"Baumann","given":"Matthias","non-dropping-particle":"","parse-names":false,"suffix":""},{"dropping-particle":"","family":"Kuemmerle","given":"Tobias","non-dropping-particle":"","parse-names":false,"suffix":""},{"dropping-particle":"","family":"Pflugmacher","given":"Dirk","non-dropping-particle":"","parse-names":false,"suffix":""},{"dropping-particle":"","family":"Rabe","given":"Andreas","non-dropping-particle":"","parse-names":false,"suffix":""},{"dropping-particle":"","family":"Griffiths","given":"Patrick","non-dropping-particle":"","parse-names":false,"suffix":""},{"dropping-particle":"","family":"Hölzel","given":"Norbert","non-dropping-particle":"","parse-names":false,"suffix":""},{"dropping-particle":"","family":"Kamp","given":"Johannes","non-dropping-particle":"","parse-names":false,"suffix":""},{"dropping-particle":"","family":"Freitag","given":"Martin","non-dropping-particle":"","parse-names":false,"suffix":""},{"dropping-particle":"","family":"Hostert","given":"Patrick","non-dropping-particle":"","parse-names":false,"suffix":""}],"container-title":"Remote Sensing of Environment","id":"ITEM-3","issue":"September 2017","issued":{"date-parts":[["2018"]]},"page":"49-60","title":"Mapping the timing of cropland abandonment and recultivation in northern Kazakhstan using annual Landsat time series","type":"article-journal","volume":"213"},"uris":["http://www.mendeley.com/documents/?uuid=3ca2807a-1d25-42da-a554-7e5e083b239c"]}],"mendeley":{"formattedCitation":"&lt;sup&gt;36–38&lt;/sup&gt;","plainTextFormattedCitation":"36–38","previouslyFormattedCitation":"&lt;sup&gt;36–38&lt;/sup&gt;"},"properties":{"noteIndex":0},"schema":"https://github.com/citation-style-language/schema/raw/master/csl-citation.json"}</w:instrText>
      </w:r>
      <w:r w:rsidRPr="00D72360">
        <w:fldChar w:fldCharType="separate"/>
      </w:r>
      <w:bookmarkStart w:id="65" w:name="__Fieldmark__5673_3027855847"/>
      <w:r w:rsidR="00D24611" w:rsidRPr="00D24611">
        <w:rPr>
          <w:noProof/>
          <w:vertAlign w:val="superscript"/>
        </w:rPr>
        <w:t>36–38</w:t>
      </w:r>
      <w:r w:rsidRPr="00D72360">
        <w:fldChar w:fldCharType="end"/>
      </w:r>
      <w:bookmarkEnd w:id="65"/>
      <w:r w:rsidR="00787513" w:rsidRPr="00D72360">
        <w:t xml:space="preserve"> (Fig 3)</w:t>
      </w:r>
      <w:r w:rsidRPr="00D72360">
        <w:t>.</w:t>
      </w:r>
      <w:r w:rsidR="00E86D4C" w:rsidRPr="00D72360">
        <w:t xml:space="preserve"> </w:t>
      </w:r>
      <w:r w:rsidRPr="00D72360">
        <w:t xml:space="preserve">This is likely because the post-1992 expansion frontiers </w:t>
      </w:r>
      <w:r w:rsidR="0010617E" w:rsidRPr="00D72360">
        <w:t>occur</w:t>
      </w:r>
      <w:r w:rsidRPr="00D72360">
        <w:t xml:space="preserve"> largely in the same places as recent, pre-1992 expansion frontiers. Indeed, post-hoc analyses showed proportionally similar or higher overlap with areas of high positive deviation from the Null Models of cropland extent</w:t>
      </w:r>
      <w:r w:rsidR="00440D58" w:rsidRPr="00D72360">
        <w:t xml:space="preserve"> </w:t>
      </w:r>
      <w:r w:rsidRPr="00D72360">
        <w:t xml:space="preserve">for </w:t>
      </w:r>
      <w:bookmarkStart w:id="66" w:name="_Hlk25061837"/>
      <w:r w:rsidRPr="00D72360">
        <w:t xml:space="preserve">agriculture-driven deforestation in the period 1982-1992 as compared to 1992-2015, as measured using an independent global dataset </w:t>
      </w:r>
      <w:r w:rsidRPr="00D72360">
        <w:fldChar w:fldCharType="begin" w:fldLock="1"/>
      </w:r>
      <w:r w:rsidR="00D24611">
        <w:instrText>ADDIN CSL_CITATION {"citationItems":[{"id":"ITEM-1","itemData":{"DOI":"10.1038/s41586-018-0411-9","ISSN":"14764687","abstract":"Land change is a cause and consequence of global environmental change 1,2 . Changes in land use and land cover considerably alter the Earth’s energy balance and biogeochemical cycles, which contributes to climate change and—in turn—affects land surface properties and the provision of ecosystem services 1–4 . However, quantification of global land change is lacking. Here we analyse 35 years’ worth of satellite data and provide a comprehensive record of global land-change dynamics during the period 1982–2016. We show that—contrary to the prevailing view that forest area has declined globally 5 —tree cover has increased by 2.24 million km 2 (+7.1% relative to the 1982 level). This overall net gain is the result of a net loss in the tropics being outweighed by a net gain in the extratropics. Global bare ground cover has decreased by 1.16 million km 2 (−3.1%), most notably in agricultural regions in Asia. Of all land changes, 60% are associated with direct human activities and 40% with indirect drivers such as climate change. Land-use change exhibits regional dominance, including tropical deforestation and agricultural expansion, temperate reforestation or afforestation, cropland intensification and urbanization. Consistently across all climate domains, montane systems have gained tree cover and many arid and semi-arid ecosystems have lost vegetation cover. The mapped land changes and the driver attributions reflect a human-dominated Earth system. The dataset we developed may be used to improve the modelling of land-use changes, biogeochemical cycles and vegetation–climate interactions to advance our understanding of global environmental change 1–4,6 .","author":[{"dropping-particle":"","family":"Song","given":"Xiao Peng","non-dropping-particle":"","parse-names":false,"suffix":""},{"dropping-particle":"","family":"Hansen","given":"Matthew C","non-dropping-particle":"","parse-names":false,"suffix":""},{"dropping-particle":"V.","family":"Stehman","given":"Stephen","non-dropping-particle":"","parse-names":false,"suffix":""},{"dropping-particle":"V.","family":"Potapov","given":"Peter","non-dropping-particle":"","parse-names":false,"suffix":""},{"dropping-particle":"","family":"Tyukavina","given":"Alexandra","non-dropping-particle":"","parse-names":false,"suffix":""},{"dropping-particle":"","family":"Vermote","given":"Eric F","non-dropping-particle":"","parse-names":false,"suffix":""},{"dropping-particle":"","family":"Townshend","given":"John R","non-dropping-particle":"","parse-names":false,"suffix":""}],"container-title":"Nature","id":"ITEM-1","issue":"7720","issued":{"date-parts":[["2018","8","8"]]},"page":"639-643","publisher":"Springer US","title":"Global land change from 1982 to 2016","type":"article","volume":"560"},"uris":["http://www.mendeley.com/documents/?uuid=a04d6a29-019d-48a3-be33-017b7016a380"]}],"mendeley":{"formattedCitation":"&lt;sup&gt;39&lt;/sup&gt;","plainTextFormattedCitation":"39","previouslyFormattedCitation":"&lt;sup&gt;39&lt;/sup&gt;"},"properties":{"noteIndex":0},"schema":"https://github.com/citation-style-language/schema/raw/master/csl-citation.json"}</w:instrText>
      </w:r>
      <w:r w:rsidRPr="00D72360">
        <w:fldChar w:fldCharType="separate"/>
      </w:r>
      <w:bookmarkStart w:id="67" w:name="__Fieldmark__5698_3027855847"/>
      <w:r w:rsidR="00D24611" w:rsidRPr="00D24611">
        <w:rPr>
          <w:noProof/>
          <w:vertAlign w:val="superscript"/>
        </w:rPr>
        <w:t>39</w:t>
      </w:r>
      <w:r w:rsidRPr="00D72360">
        <w:fldChar w:fldCharType="end"/>
      </w:r>
      <w:bookmarkEnd w:id="66"/>
      <w:bookmarkEnd w:id="67"/>
      <w:r w:rsidRPr="00D72360">
        <w:t xml:space="preserve"> (</w:t>
      </w:r>
      <w:r w:rsidR="00216C8A">
        <w:t>Supplementary Information</w:t>
      </w:r>
      <w:r w:rsidRPr="00D72360">
        <w:t xml:space="preserve">; Supplementary </w:t>
      </w:r>
      <w:r w:rsidR="00D5601A">
        <w:t>Experimental Procedures</w:t>
      </w:r>
      <w:r w:rsidRPr="00D72360">
        <w:t xml:space="preserve"> and Table S</w:t>
      </w:r>
      <w:r w:rsidR="00BE5637" w:rsidRPr="00D72360">
        <w:t>9</w:t>
      </w:r>
      <w:r w:rsidRPr="00D72360">
        <w:t xml:space="preserve">). This suggests that at present there is at least some medium term (~30 years) stationarity in the bulk of global cropland expansion frontiers. This is likely because expansion frontiers build on agglomeration economies, which require some time to appear as cropland expands in a region, and thus cropland expansion disproportionately occurs near places where some expansion has already taken place </w:t>
      </w:r>
      <w:r w:rsidRPr="00D72360">
        <w:fldChar w:fldCharType="begin" w:fldLock="1"/>
      </w:r>
      <w:r w:rsidR="00D24611">
        <w:instrText>ADDIN CSL_CITATION {"citationItems":[{"id":"ITEM-1","itemData":{"DOI":"10.1016/j.landusepol.2013.03.011","ISSN":"02648377","abstract":"In this paper we present a framework for understanding regional land use processes by incorporating the concept of agglomeration economies into agricultural frontier theory. We show that agricultural firms can obtain positive externalities from locating in close proximity to other agricultural firms, leading to agglomeration economies. Agglomeration economies lead to high levels of competition and diversity within a local agricultural supply chain and influence local prices, information flows, and private enforcement of environmental institutions. We use the theory of agglomeration economies to understand the development of soybean production in two counties along the Santarém-Cuiaba (BR-163) highway in the Brazilian Amazon: Santarém, Pará and Sorriso, Mato Grosso. We conclude that differences in environmental and land tenure institutions influenced the occurrence of agglomeration economies in these two counties, which in turn affected the total factor productivity of soy in each region. In particular, the supply chain became extremely competitive and diverse in Sorriso where few environmental regulations existed, while environmental restrictions reduced the diversification of the supply chain in Santarém. The presence of a soy agglomeration economy in Sorriso spurred innovation, increased productivity, and led to extremely rapid soy expansion in that county, while the monopolistic supply chain in Santarém reduced producers' access to land and capital and impeded soy expansion. © 2013 Elsevier Ltd.","author":[{"dropping-particle":"","family":"Garrett","given":"Rachael D.","non-dropping-particle":"","parse-names":false,"suffix":""},{"dropping-particle":"","family":"Lambin","given":"Eric F.","non-dropping-particle":"","parse-names":false,"suffix":""},{"dropping-particle":"","family":"Naylor","given":"Rosamond L.","non-dropping-particle":"","parse-names":false,"suffix":""}],"container-title":"Land Use Policy","id":"ITEM-1","issued":{"date-parts":[["2013"]]},"page":"265-275","publisher":"Elsevier Ltd","title":"The new economic geography of land use change: Supply chain configurations and land use in the Brazilian Amazon","type":"article-journal","volume":"34"},"uris":["http://www.mendeley.com/documents/?uuid=a4918278-f020-49a4-a607-7b7c6180903e"]},{"id":"ITEM-2","itemData":{"DOI":"10.1016/j.gloenvcha.2018.08.006","ISBN":"0959-3780","ISSN":"09593780","abstract":"Changes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Change","id":"ITEM-2","issue":"March","issued":{"date-parts":[["2018"]]},"page":"52-67","publisher":"Elsevier Ltd","title":"Middle-range theories of land system change","type":"article-journal","volume":"53"},"uris":["http://www.mendeley.com/documents/?uuid=7373a15b-6118-424c-ab15-05715e02d423"]}],"mendeley":{"formattedCitation":"&lt;sup&gt;20,40&lt;/sup&gt;","plainTextFormattedCitation":"20,40","previouslyFormattedCitation":"&lt;sup&gt;20,40&lt;/sup&gt;"},"properties":{"noteIndex":0},"schema":"https://github.com/citation-style-language/schema/raw/master/csl-citation.json"}</w:instrText>
      </w:r>
      <w:r w:rsidRPr="00D72360">
        <w:fldChar w:fldCharType="separate"/>
      </w:r>
      <w:bookmarkStart w:id="68" w:name="__Fieldmark__5714_3027855847"/>
      <w:r w:rsidR="00D24611" w:rsidRPr="00D24611">
        <w:rPr>
          <w:noProof/>
          <w:vertAlign w:val="superscript"/>
        </w:rPr>
        <w:t>20,40</w:t>
      </w:r>
      <w:r w:rsidRPr="00D72360">
        <w:fldChar w:fldCharType="end"/>
      </w:r>
      <w:bookmarkEnd w:id="68"/>
      <w:r w:rsidRPr="00D72360">
        <w:t xml:space="preserve">. As such, at the 5’ x 5’ </w:t>
      </w:r>
      <w:r w:rsidR="007205E2" w:rsidRPr="00D72360">
        <w:t xml:space="preserve">arc-min </w:t>
      </w:r>
      <w:r w:rsidRPr="00D72360">
        <w:t xml:space="preserve">resolution (roughly 10 x 10 km at the equator), pixels can remain ‘expansion’ pixels over a </w:t>
      </w:r>
      <w:proofErr w:type="gramStart"/>
      <w:r w:rsidRPr="00D72360">
        <w:t>fairly long</w:t>
      </w:r>
      <w:proofErr w:type="gramEnd"/>
      <w:r w:rsidRPr="00D72360">
        <w:t xml:space="preserve"> time period, as gradually more of their area is converted to cropland. </w:t>
      </w:r>
      <w:bookmarkStart w:id="69" w:name="_Hlk39060471"/>
      <w:r w:rsidR="00A92E9F" w:rsidRPr="00D72360">
        <w:t xml:space="preserve">Interestingly, </w:t>
      </w:r>
      <w:r w:rsidR="00A92E9F" w:rsidRPr="00D72360">
        <w:rPr>
          <w:i/>
        </w:rPr>
        <w:t>post-hoc</w:t>
      </w:r>
      <w:r w:rsidR="00A92E9F" w:rsidRPr="00D72360">
        <w:t xml:space="preserve"> overlap analyses (Table S2) demonstrated that areas with more cropland than predicted (high positive deviations from the Null Models of cropland extent in 1992) </w:t>
      </w:r>
      <w:r w:rsidR="00A92E9F" w:rsidRPr="00D72360">
        <w:lastRenderedPageBreak/>
        <w:t>disproportionately overlapped with the largest fields, as measured in 2017</w:t>
      </w:r>
      <w:r w:rsidR="00A92E9F" w:rsidRPr="00D72360">
        <w:fldChar w:fldCharType="begin" w:fldLock="1"/>
      </w:r>
      <w:r w:rsidR="00D24611">
        <w:instrText>ADDIN CSL_CITATION {"citationItems":[{"id":"ITEM-1","itemData":{"DOI":"10.1111/gcb.14492","ISSN":"13652486","abstract":"© 2018 The Authors. Global Change Biology Published by John Wiley  &amp;  Sons Ltd. There is an increasing evidence that smallholder farms contribute substantially to food production globally, yet spatially explicit data on agricultural field sizes are currently lacking. Automated field size delineation using remote sensing or the estimation of average farm size at subnational level using census data are two approaches that have been used. However, both have limitations, for example, automatic field size delineation using remote sensing has not yet been implemented at a global scale while the spatial resolution is very coarse when using census data. This paper demonstrates a unique approach to quantifying and mapping agricultural field size globally using crowdsourcing. A campaign was run in June 2017, where participants were asked to visually interpret very high resolution satellite imagery from Google Maps and Bing using the Geo-Wiki application. During the campaign, participants collected field size data for 130 K unique locations around the globe. Using this sample, we have produced the most accurate global field size map to date and estimated the percentage of different field sizes, ranging from very small to very large, in agricultural areas at global, continental, and national levels. The results show that smallholder farms occupy up to 40% of agricultural areas globally, which means that, potentially, there are many more smallholder farms in comparison with the two different current global estimates of 12% and 24%. The global field size map and the crowdsourced data set are openly available and can be used for integrated assessment modeling, comparative studies of agricultural dynamics across different contexts, for training and validation of remote sensing field size delineation, and potential contributions to the Sustainable Development Goal of Ending hunger, achieve food security and improved nutrition and promote sustainable agriculture.","author":[{"dropping-particle":"","family":"Lesiv","given":"Myroslava","non-dropping-particle":"","parse-names":false,"suffix":""},{"dropping-particle":"","family":"Laso Bayas","given":"Juan Carlos","non-dropping-particle":"","parse-names":false,"suffix":""},{"dropping-particle":"","family":"See","given":"Linda","non-dropping-particle":"","parse-names":false,"suffix":""},{"dropping-particle":"","family":"Duerauer","given":"Martina","non-dropping-particle":"","parse-names":false,"suffix":""},{"dropping-particle":"","family":"Dahlia","given":"Domian","non-dropping-particle":"","parse-names":false,"suffix":""},{"dropping-particle":"","family":"Durando","given":"Neal","non-dropping-particle":"","parse-names":false,"suffix":""},{"dropping-particle":"","family":"Hazarika","given":"Rubul","non-dropping-particle":"","parse-names":false,"suffix":""},{"dropping-particle":"","family":"Kumar Sahariah","given":"Parag","non-dropping-particle":"","parse-names":false,"suffix":""},{"dropping-particle":"","family":"Vakolyuk","given":"Mar'yana","non-dropping-particle":"","parse-names":false,"suffix":""},{"dropping-particle":"","family":"Blyshchyk","given":"Volodymyr","non-dropping-particle":"","parse-names":false,"suffix":""},{"dropping-particle":"","family":"Bilous","given":"Andrii","non-dropping-particle":"","parse-names":false,"suffix":""},{"dropping-particle":"","family":"Perez-Hoyos","given":"Ana","non-dropping-particle":"","parse-names":false,"suffix":""},{"dropping-particle":"","family":"Gengler","given":"Sarah","non-dropping-particle":"","parse-names":false,"suffix":""},{"dropping-particle":"","family":"Prestele","given":"Reinhard","non-dropping-particle":"","parse-names":false,"suffix":""},{"dropping-particle":"","family":"Bilous","given":"Svitlana","non-dropping-particle":"","parse-names":false,"suffix":""},{"dropping-particle":"","family":"Akhtar","given":"Ibrar ul Hassan","non-dropping-particle":"","parse-names":false,"suffix":""},{"dropping-particle":"","family":"Singha","given":"Kuleswar","non-dropping-particle":"","parse-names":false,"suffix":""},{"dropping-particle":"","family":"Choudhury","given":"Sochin Boro","non-dropping-particle":"","parse-names":false,"suffix":""},{"dropping-particle":"","family":"Chetri","given":"Tilok","non-dropping-particle":"","parse-names":false,"suffix":""},{"dropping-particle":"","family":"Malek","given":"Žiga","non-dropping-particle":"","parse-names":false,"suffix":""},{"dropping-particle":"","family":"Bungnamei","given":"Khangsembou","non-dropping-particle":"","parse-names":false,"suffix":""},{"dropping-particle":"","family":"Saikia","given":"Anup","non-dropping-particle":"","parse-names":false,"suffix":""},{"dropping-particle":"","family":"Sahariah","given":"Dhrubajyoti","non-dropping-particle":"","parse-names":false,"suffix":""},{"dropping-particle":"","family":"Narzary","given":"William","non-dropping-particle":"","parse-names":false,"suffix":""},{"dropping-particle":"","family":"Danylo","given":"Olha","non-dropping-particle":"","parse-names":false,"suffix":""},{"dropping-particle":"","family":"Sturn","given":"Tobias","non-dropping-particle":"","parse-names":false,"suffix":""},{"dropping-particle":"","family":"Karner","given":"Mathias","non-dropping-particle":"","parse-names":false,"suffix":""},{"dropping-particle":"","family":"McCallum","given":"Ian","non-dropping-particle":"","parse-names":false,"suffix":""},{"dropping-particle":"","family":"Schepaschenko","given":"Dmitry","non-dropping-particle":"","parse-names":false,"suffix":""},{"dropping-particle":"","family":"Moltchanova","given":"Elena","non-dropping-particle":"","parse-names":false,"suffix":""},{"dropping-particle":"","family":"Fraisl","given":"Dilek","non-dropping-particle":"","parse-names":false,"suffix":""},{"dropping-particle":"","family":"Moorthy","given":"Inian","non-dropping-particle":"","parse-names":false,"suffix":""},{"dropping-particle":"","family":"Fritz","given":"Steffen","non-dropping-particle":"","parse-names":false,"suffix":""}],"container-title":"Global Change Biology","id":"ITEM-1","issue":"1","issued":{"date-parts":[["2019"]]},"page":"174-186","title":"Estimating the global distribution of field size using crowdsourcing","type":"article-journal","volume":"25"},"uris":["http://www.mendeley.com/documents/?uuid=7838b332-bd1c-4bee-9b36-438fdf6da133"]}],"mendeley":{"formattedCitation":"&lt;sup&gt;41&lt;/sup&gt;","plainTextFormattedCitation":"41","previouslyFormattedCitation":"&lt;sup&gt;41&lt;/sup&gt;"},"properties":{"noteIndex":0},"schema":"https://github.com/citation-style-language/schema/raw/master/csl-citation.json"}</w:instrText>
      </w:r>
      <w:r w:rsidR="00A92E9F" w:rsidRPr="00D72360">
        <w:fldChar w:fldCharType="separate"/>
      </w:r>
      <w:r w:rsidR="00D24611" w:rsidRPr="00D24611">
        <w:rPr>
          <w:noProof/>
          <w:vertAlign w:val="superscript"/>
        </w:rPr>
        <w:t>41</w:t>
      </w:r>
      <w:r w:rsidR="00A92E9F" w:rsidRPr="00D72360">
        <w:fldChar w:fldCharType="end"/>
      </w:r>
      <w:r w:rsidR="00A92E9F" w:rsidRPr="00D72360">
        <w:t>. This might reflect the recent shifts to large-scale, commercial agriculture in frontier areas, as observed in South America</w:t>
      </w:r>
      <w:r w:rsidR="00A92E9F" w:rsidRPr="00D72360">
        <w:fldChar w:fldCharType="begin" w:fldLock="1"/>
      </w:r>
      <w:r w:rsidR="00D24611">
        <w:instrText>ADDIN CSL_CITATION {"citationItems":[{"id":"ITEM-1","itemData":{"DOI":"10.1088/1748-9326/aad5bf","ISSN":"17489326","abstract":"A combination of high commodity crop prices, rising global food demand, and technological advances has transformed the scale of global crop production. Farming in South America is a prime example, where large-scale cash crops, such as soy, have transformed the land use dynamics at the forest frontier. We evaluate this transformation in sub-Andean South America by estimating crop and forest cover and detecting individual cropland field parcels using Landsat imagery in 5 year intervals over a 24 year period. From 1990 to 2014, cropland expansion onto deforested land was increasingly driven by large fields (&gt;50 ha), whose contribution increased from 32% to 48% (+16% increase), while the contribution of smaller fields (&lt;20 ha) declined from 36% to 26% (−10% decrease). This shift toward large-scale farming replacing cleared land across the region has important implications for food security and biodiversity conservation. Policy efforts will need to target different actors and transcend national borders in order to tackle the changing nature of South American deforestation.","author":[{"dropping-particle":"","family":"Graesser","given":"Jordan","non-dropping-particle":"","parse-names":false,"suffix":""},{"dropping-particle":"","family":"Ramankutty","given":"Navin","non-dropping-particle":"","parse-names":false,"suffix":""},{"dropping-particle":"","family":"Coomes","given":"Oliver T.","non-dropping-particle":"","parse-names":false,"suffix":""}],"container-title":"Environmental Research Letters","id":"ITEM-1","issue":"8","issued":{"date-parts":[["2018"]]},"publisher":"IOP Publishing","title":"Increasing expansion of large-scale crop production onto deforested land in sub-Andean South America","type":"article-journal","volume":"13"},"uris":["http://www.mendeley.com/documents/?uuid=dc8b1ab9-086f-41ce-9409-48d7b4497894"]}],"mendeley":{"formattedCitation":"&lt;sup&gt;33&lt;/sup&gt;","plainTextFormattedCitation":"33","previouslyFormattedCitation":"&lt;sup&gt;33&lt;/sup&gt;"},"properties":{"noteIndex":0},"schema":"https://github.com/citation-style-language/schema/raw/master/csl-citation.json"}</w:instrText>
      </w:r>
      <w:r w:rsidR="00A92E9F" w:rsidRPr="00D72360">
        <w:fldChar w:fldCharType="separate"/>
      </w:r>
      <w:r w:rsidR="00D24611" w:rsidRPr="00D24611">
        <w:rPr>
          <w:noProof/>
          <w:vertAlign w:val="superscript"/>
        </w:rPr>
        <w:t>33</w:t>
      </w:r>
      <w:r w:rsidR="00A92E9F" w:rsidRPr="00D72360">
        <w:fldChar w:fldCharType="end"/>
      </w:r>
      <w:r w:rsidR="00A92E9F" w:rsidRPr="00D72360">
        <w:t xml:space="preserve">, and that recent expansion is predominantly associated with large-scale actors more generally. This post-hoc analysis also showed no tendency of positive deviations towards less developed countries (as measured by political stability or HDI), and only a weak positive effect of favourable soil conditions, again illustrating the difficulty in a priori identification of expansion frontiers using existing datasets. Overlaps of these variables with areas with high negative deviations from the predicted extent of cropland in 1992 (so less cropland than expected) did appear to be disproportionately located in areas with major soil constraints; this perhaps explains the overlaps with small field sizes in such areas. As the </w:t>
      </w:r>
      <w:proofErr w:type="spellStart"/>
      <w:r w:rsidR="00A92E9F" w:rsidRPr="00D72360">
        <w:t>frontierness</w:t>
      </w:r>
      <w:proofErr w:type="spellEnd"/>
      <w:r w:rsidR="00A92E9F" w:rsidRPr="00D72360">
        <w:t xml:space="preserve"> proxy is all deviations from the Null Model (positive and negative), it suggests that negative values of the proxy flag areas where local conditions (e.g. soil constraints) limit cropland expansion that is otherwise predictable from existing global datasets</w:t>
      </w:r>
      <w:r w:rsidR="00BC0994" w:rsidRPr="00D72360">
        <w:t>.</w:t>
      </w:r>
      <w:bookmarkEnd w:id="69"/>
      <w:r w:rsidR="00BC0994" w:rsidRPr="00D72360">
        <w:t xml:space="preserve"> </w:t>
      </w:r>
    </w:p>
    <w:p w14:paraId="1D6694F2" w14:textId="0A386A5B" w:rsidR="005B755B" w:rsidRPr="00D72360" w:rsidRDefault="00ED5576">
      <w:pPr>
        <w:rPr>
          <w:vertAlign w:val="subscript"/>
        </w:rPr>
      </w:pPr>
      <w:r w:rsidRPr="00D72360">
        <w:t xml:space="preserve">As current frontiers can be identified using our positive deviance </w:t>
      </w:r>
      <w:proofErr w:type="spellStart"/>
      <w:r w:rsidR="00187773" w:rsidRPr="00D72360">
        <w:t>frontierness</w:t>
      </w:r>
      <w:proofErr w:type="spellEnd"/>
      <w:r w:rsidRPr="00D72360">
        <w:t xml:space="preserve"> approach for the most current available land cover data, this means we can use the approach to predict medium-term future frontier areas with currently available data within existing predictive models of land use change.  </w:t>
      </w:r>
      <w:proofErr w:type="spellStart"/>
      <w:r w:rsidRPr="00D72360">
        <w:t>Frontierness</w:t>
      </w:r>
      <w:proofErr w:type="spellEnd"/>
      <w:r w:rsidRPr="00D72360">
        <w:t xml:space="preserve"> could therefore be used to help close a major research gap – building spatially </w:t>
      </w:r>
      <w:proofErr w:type="spellStart"/>
      <w:r w:rsidRPr="00D72360">
        <w:t>dissagregated</w:t>
      </w:r>
      <w:proofErr w:type="spellEnd"/>
      <w:r w:rsidRPr="00D72360">
        <w:t xml:space="preserve"> transfer functions within gridded economic models </w:t>
      </w:r>
      <w:r w:rsidRPr="00D72360">
        <w:fldChar w:fldCharType="begin" w:fldLock="1"/>
      </w:r>
      <w:r w:rsidR="0090126B" w:rsidRPr="00D72360">
        <w:instrText>ADDIN CSL_CITATION {"citationItems":[{"id":"ITEM-1","itemData":{"DOI":"10.1088/1748-9326/ab0d33","ISSN":"1748-9326","abstract":"Global change drivers of land-use/cover change (LUCC) like population dynamics, economic development, and climate change are increasingly important to local sustainability studies, and can only be properly analyzed at fine-scales that capture local biophysical and socio-economic conditions. When sufficiently widespread, local feedback to stresses originating from global drivers can have regional, national, and even global impacts. A multiscale, global-to-local-to-global (GLG) framework is thus needed for comprehensive analyses of LUCC and leakage. The number of GLG-LUCC studies has grown substantially over the past years, but no reviews of this literature and their contributions have been completed so far. In fact, the largest body of literature pertains to global-to-local impacts exclusively, whereas research on local feedback to regional, national, and global spheres remain scarce, and are almost solely undertaken within large modeling institutes. As such, those are rarely readily accessible for modification and extension by outside contributors. This review of the recent GLG-LUCC studies calls for more open-source modeling and availability of data, arguing that the latter is the real constraint to more widespread analyses of GLG-LUCC impacts. Progress in this field will require contributions from hundreds of researchers around the world and from a wide variety of disciplines.","author":[{"dropping-particle":"","family":"Hertel","given":"Thomas W.","non-dropping-particle":"","parse-names":false,"suffix":""},{"dropping-particle":"","family":"West","given":"Thales A P","non-dropping-particle":"","parse-names":false,"suffix":""},{"dropping-particle":"","family":"Börner","given":"Jan","non-dropping-particle":"","parse-names":false,"suffix":""},{"dropping-particle":"","family":"Villoria","given":"Nelson B.","non-dropping-particle":"","parse-names":false,"suffix":""}],"container-title":"Environmental Research Letters","id":"ITEM-1","issue":"5","issued":{"date-parts":[["2019","5","3"]]},"page":"053003","publisher":"IOP Publishing","title":"A review of global-local-global linkages in economic land-use/cover change models","type":"article-journal","volume":"14"},"uris":["http://www.mendeley.com/documents/?uuid=1e9d968a-2a49-43ad-a610-86eace4f9964"]}],"mendeley":{"formattedCitation":"&lt;sup&gt;28&lt;/sup&gt;","plainTextFormattedCitation":"28","previouslyFormattedCitation":"&lt;sup&gt;28&lt;/sup&gt;"},"properties":{"noteIndex":0},"schema":"https://github.com/citation-style-language/schema/raw/master/csl-citation.json"}</w:instrText>
      </w:r>
      <w:r w:rsidRPr="00D72360">
        <w:fldChar w:fldCharType="separate"/>
      </w:r>
      <w:bookmarkStart w:id="70" w:name="__Fieldmark__5764_3027855847"/>
      <w:r w:rsidR="0090126B" w:rsidRPr="00D72360">
        <w:rPr>
          <w:noProof/>
          <w:vertAlign w:val="superscript"/>
        </w:rPr>
        <w:t>28</w:t>
      </w:r>
      <w:r w:rsidRPr="00D72360">
        <w:fldChar w:fldCharType="end"/>
      </w:r>
      <w:bookmarkEnd w:id="70"/>
      <w:r w:rsidRPr="00D72360">
        <w:t xml:space="preserve">. </w:t>
      </w:r>
      <w:bookmarkStart w:id="71" w:name="_Hlk45873348"/>
      <w:r w:rsidRPr="00D72360">
        <w:t xml:space="preserve">For example, </w:t>
      </w:r>
      <w:proofErr w:type="spellStart"/>
      <w:r w:rsidRPr="00D72360">
        <w:t>frontierness</w:t>
      </w:r>
      <w:proofErr w:type="spellEnd"/>
      <w:r w:rsidRPr="00D72360">
        <w:t xml:space="preserve"> could be an additional input into global, country-level economic models</w:t>
      </w:r>
      <w:r w:rsidR="005F6946">
        <w:t>, enabling the modelling of</w:t>
      </w:r>
      <w:r w:rsidRPr="00D72360">
        <w:t xml:space="preserve"> </w:t>
      </w:r>
      <w:r w:rsidR="005F6946">
        <w:t xml:space="preserve"> within-country </w:t>
      </w:r>
      <w:r w:rsidRPr="00D72360">
        <w:t xml:space="preserve">spatial heterogeneity in land supply elasticities, building on recent work where market access was used within such models </w:t>
      </w:r>
      <w:r w:rsidRPr="00D72360">
        <w:fldChar w:fldCharType="begin" w:fldLock="1"/>
      </w:r>
      <w:r w:rsidR="00D24611">
        <w:instrText>ADDIN CSL_CITATION {"citationItems":[{"id":"ITEM-1","itemData":{"DOI":"10.1016/j.landusepol.2018.04.010","ISSN":"02648377","abstract":"Land supply elasticities determine the rates of land conversion in global policy models. However, they are only available for few countries in the world. Therefore, analysts seeking to improve the spatial resolution of their models are forced to impose regionally homogeneous parameters over highly heterogeneous regions. This article estimates spatially explicit land supply elasticities using gridded data for the American continent. These estimates reasonably reproduce changes in land use observed at different levels of geographical aggregation across the continent. Plugging our estimates in a previous analysis of the land-use effects of eliminating global unsustainable irrigation, reveals higher pressure to convert land in the ecoregions in the south of the continent that have experienced most rapid cropland expansion in the recent past.","author":[{"dropping-particle":"","family":"Villoria","given":"Nelson B.","non-dropping-particle":"","parse-names":false,"suffix":""},{"dropping-particle":"","family":"Liu","given":"Jing","non-dropping-particle":"","parse-names":false,"suffix":""}],"container-title":"Land Use Policy","id":"ITEM-1","issue":"April","issued":{"date-parts":[["2018"]]},"page":"411-419","publisher":"Elsevier","title":"Using spatially explicit data to improve our understanding of land supply responses: An application to the cropland effects of global sustainable irrigation in the Americas","type":"article-journal","volume":"75"},"uris":["http://www.mendeley.com/documents/?uuid=caf5211b-02bf-4c9a-b552-77c459b35589"]}],"mendeley":{"formattedCitation":"&lt;sup&gt;42&lt;/sup&gt;","plainTextFormattedCitation":"42","previouslyFormattedCitation":"&lt;sup&gt;42&lt;/sup&gt;"},"properties":{"noteIndex":0},"schema":"https://github.com/citation-style-language/schema/raw/master/csl-citation.json"}</w:instrText>
      </w:r>
      <w:r w:rsidRPr="00D72360">
        <w:fldChar w:fldCharType="separate"/>
      </w:r>
      <w:bookmarkStart w:id="72" w:name="__Fieldmark__5771_3027855847"/>
      <w:r w:rsidR="00D24611" w:rsidRPr="00D24611">
        <w:rPr>
          <w:noProof/>
          <w:vertAlign w:val="superscript"/>
        </w:rPr>
        <w:t>42</w:t>
      </w:r>
      <w:r w:rsidRPr="00D72360">
        <w:fldChar w:fldCharType="end"/>
      </w:r>
      <w:bookmarkEnd w:id="72"/>
      <w:r w:rsidRPr="00D72360">
        <w:t xml:space="preserve">. </w:t>
      </w:r>
      <w:bookmarkEnd w:id="71"/>
      <w:r w:rsidRPr="00D72360">
        <w:t xml:space="preserve">Moreover, the same positive deviance approach that underpins </w:t>
      </w:r>
      <w:proofErr w:type="spellStart"/>
      <w:r w:rsidRPr="00D72360">
        <w:t>frontierness</w:t>
      </w:r>
      <w:proofErr w:type="spellEnd"/>
      <w:r w:rsidRPr="00D72360">
        <w:t xml:space="preserve"> could potentially be used for improving models of other types of land use or land</w:t>
      </w:r>
      <w:r w:rsidR="00106D33" w:rsidRPr="00D72360">
        <w:t>-</w:t>
      </w:r>
      <w:r w:rsidRPr="00D72360">
        <w:t xml:space="preserve">use intensity change. Of course, if the nature of expansion changes – for example to more rapid, large-scale expansion in frontier areas, as appears to be the case in South America </w:t>
      </w:r>
      <w:r w:rsidRPr="00D72360">
        <w:fldChar w:fldCharType="begin" w:fldLock="1"/>
      </w:r>
      <w:r w:rsidR="00D24611">
        <w:instrText>ADDIN CSL_CITATION {"citationItems":[{"id":"ITEM-1","itemData":{"DOI":"10.1088/1748-9326/aad5bf","ISSN":"17489326","abstract":"A combination of high commodity crop prices, rising global food demand, and technological advances has transformed the scale of global crop production. Farming in South America is a prime example, where large-scale cash crops, such as soy, have transformed the land use dynamics at the forest frontier. We evaluate this transformation in sub-Andean South America by estimating crop and forest cover and detecting individual cropland field parcels using Landsat imagery in 5 year intervals over a 24 year period. From 1990 to 2014, cropland expansion onto deforested land was increasingly driven by large fields (&gt;50 ha), whose contribution increased from 32% to 48% (+16% increase), while the contribution of smaller fields (&lt;20 ha) declined from 36% to 26% (−10% decrease). This shift toward large-scale farming replacing cleared land across the region has important implications for food security and biodiversity conservation. Policy efforts will need to target different actors and transcend national borders in order to tackle the changing nature of South American deforestation.","author":[{"dropping-particle":"","family":"Graesser","given":"Jordan","non-dropping-particle":"","parse-names":false,"suffix":""},{"dropping-particle":"","family":"Ramankutty","given":"Navin","non-dropping-particle":"","parse-names":false,"suffix":""},{"dropping-particle":"","family":"Coomes","given":"Oliver T.","non-dropping-particle":"","parse-names":false,"suffix":""}],"container-title":"Environmental Research Letters","id":"ITEM-1","issue":"8","issued":{"date-parts":[["2018"]]},"publisher":"IOP Publishing","title":"Increasing expansion of large-scale crop production onto deforested land in sub-Andean South America","type":"article-journal","volume":"13"},"uris":["http://www.mendeley.com/documents/?uuid=dc8b1ab9-086f-41ce-9409-48d7b4497894"]}],"mendeley":{"formattedCitation":"&lt;sup&gt;33&lt;/sup&gt;","plainTextFormattedCitation":"33","previouslyFormattedCitation":"&lt;sup&gt;33&lt;/sup&gt;"},"properties":{"noteIndex":0},"schema":"https://github.com/citation-style-language/schema/raw/master/csl-citation.json"}</w:instrText>
      </w:r>
      <w:r w:rsidRPr="00D72360">
        <w:fldChar w:fldCharType="separate"/>
      </w:r>
      <w:bookmarkStart w:id="73" w:name="__Fieldmark__5782_3027855847"/>
      <w:r w:rsidR="00D24611" w:rsidRPr="00D24611">
        <w:rPr>
          <w:noProof/>
          <w:vertAlign w:val="superscript"/>
        </w:rPr>
        <w:t>33</w:t>
      </w:r>
      <w:r w:rsidRPr="00D72360">
        <w:fldChar w:fldCharType="end"/>
      </w:r>
      <w:bookmarkEnd w:id="73"/>
      <w:r w:rsidRPr="00D72360">
        <w:t xml:space="preserve"> – the predictive power of </w:t>
      </w:r>
      <w:proofErr w:type="spellStart"/>
      <w:r w:rsidRPr="00D72360">
        <w:t>frontierness</w:t>
      </w:r>
      <w:proofErr w:type="spellEnd"/>
      <w:r w:rsidRPr="00D72360">
        <w:t xml:space="preserve"> may decrease in the future.  However, even where regions are changing, </w:t>
      </w:r>
      <w:proofErr w:type="spellStart"/>
      <w:r w:rsidRPr="00D72360">
        <w:t>frontierness</w:t>
      </w:r>
      <w:proofErr w:type="spellEnd"/>
      <w:r w:rsidRPr="00D72360">
        <w:t xml:space="preserve"> could still be useful, as a way of helping to identify outlier regions, where additional case studies and ground-based analyses could help understand why they deviate from expectations and thereby enrich land use theories. For example, the relative</w:t>
      </w:r>
      <w:r w:rsidR="007205E2" w:rsidRPr="00D72360">
        <w:t xml:space="preserve"> </w:t>
      </w:r>
      <w:r w:rsidR="007205E2" w:rsidRPr="00D72360">
        <w:rPr>
          <w:i/>
        </w:rPr>
        <w:t>lack</w:t>
      </w:r>
      <w:r w:rsidR="007205E2" w:rsidRPr="00D72360">
        <w:t xml:space="preserve"> of</w:t>
      </w:r>
      <w:r w:rsidRPr="00D72360">
        <w:t xml:space="preserve"> overlap of </w:t>
      </w:r>
      <w:proofErr w:type="spellStart"/>
      <w:r w:rsidRPr="00D72360">
        <w:t>frontierness</w:t>
      </w:r>
      <w:proofErr w:type="spellEnd"/>
      <w:r w:rsidRPr="00D72360">
        <w:t xml:space="preserve"> with recent </w:t>
      </w:r>
      <w:r w:rsidR="003F3E6B" w:rsidRPr="00D72360">
        <w:t>major</w:t>
      </w:r>
      <w:r w:rsidRPr="00D72360">
        <w:t xml:space="preserve"> (&gt;10%) expansion in Indonesia (Fig. </w:t>
      </w:r>
      <w:r w:rsidR="00787513" w:rsidRPr="00D72360">
        <w:t>3</w:t>
      </w:r>
      <w:r w:rsidRPr="00D72360">
        <w:t xml:space="preserve">) could be partially linked to the 2011 moratorium on new land concessions in Indonesia, which slowed deforestation since 2012 </w:t>
      </w:r>
      <w:r w:rsidRPr="00D72360">
        <w:fldChar w:fldCharType="begin" w:fldLock="1"/>
      </w:r>
      <w:r w:rsidR="00D24611">
        <w:instrText>ADDIN CSL_CITATION {"citationItems":[{"id":"ITEM-1","itemData":{"DOI":"10.1088/1748-9326/ab051e","ISSN":"1748-9326","abstract":"The tropics have suffered substantial forest loss, and elevated deforestation rates have been closely linked to large-scale land acquisitions (LSLA). Having a timely and accurate understanding of global LSLA pattern will be critically important for concluding related policies and actions. Here, we investigate global LSLA networks and find that land acquisitions are characterized by dominant acquisition flows from the developing to the developed world (75.4%), and less of these flows are retained within the developing world (22.8%) or the developed world (1.8%). Policy-driven moratoria on existing LSLA are a key mechanism used to minimize global forest loss and recently employed in Indonesia, however their effectiveness remains unclear given a lack of quantitative synthesis. Based on a spatially-explicit temporal analysis of forest loss from 2001-2017, we find that, as a whole of Indonesia, the increased forest loss rate of 0.091 Mha yr-1 (2001-2011) slowed down to 0.001 Mha yr-1 (2012-2017) after moratoria established in 2011. Meanwhile, based on a comparison of annual forest loss in logging, timber, and oil palm concessions, we find that land concessions outside the moratorium experienced 35%-396% higher rates of forest loss than in comparable land concessions within the moratorium. Decreased forest loss from full implementation of moratoria on all land concessions could mitigate a maximum aboveground biomass carbon emission of 112 888 ± 24 766 Mg C yr-1, which is a nearly 41.89% reduction relative to the counterfactual scenario of no moratorium. These findings lend support for international cooperation and collective action to put into practice effective land moratoria to reverse decade-long trajectories of tropical forest loss.","author":[{"dropping-particle":"","family":"Chen","given":"Bin","non-dropping-particle":"","parse-names":false,"suffix":""},{"dropping-particle":"","family":"Kennedy","given":"Christina M.","non-dropping-particle":"","parse-names":false,"suffix":""},{"dropping-particle":"","family":"Xu","given":"Bing","non-dropping-particle":"","parse-names":false,"suffix":""}],"container-title":"Environmental Research Letters","id":"ITEM-1","issue":"4","issued":{"date-parts":[["2019","3","29"]]},"page":"044009","publisher":"IOP Publishing","title":"Effective moratoria on land acquisitions reduce tropical deforestation: evidence from Indonesia","type":"article-journal","volume":"14"},"uris":["http://www.mendeley.com/documents/?uuid=e6feb578-1bcc-4a5b-b458-d339d9c746d4"]}],"mendeley":{"formattedCitation":"&lt;sup&gt;43&lt;/sup&gt;","plainTextFormattedCitation":"43","previouslyFormattedCitation":"&lt;sup&gt;43&lt;/sup&gt;"},"properties":{"noteIndex":0},"schema":"https://github.com/citation-style-language/schema/raw/master/csl-citation.json"}</w:instrText>
      </w:r>
      <w:r w:rsidRPr="00D72360">
        <w:fldChar w:fldCharType="separate"/>
      </w:r>
      <w:bookmarkStart w:id="74" w:name="__Fieldmark__5806_3027855847"/>
      <w:r w:rsidR="00D24611" w:rsidRPr="00D24611">
        <w:rPr>
          <w:noProof/>
          <w:vertAlign w:val="superscript"/>
        </w:rPr>
        <w:t>43</w:t>
      </w:r>
      <w:r w:rsidRPr="00D72360">
        <w:fldChar w:fldCharType="end"/>
      </w:r>
      <w:bookmarkEnd w:id="74"/>
      <w:r w:rsidRPr="00D72360">
        <w:t xml:space="preserve">.  To encourage further use of our proxy, we provide global geospatial files of </w:t>
      </w:r>
      <w:proofErr w:type="spellStart"/>
      <w:r w:rsidR="00187773" w:rsidRPr="00D72360">
        <w:t>frontierness</w:t>
      </w:r>
      <w:proofErr w:type="spellEnd"/>
      <w:r w:rsidRPr="00D72360">
        <w:t xml:space="preserve"> – calculated for both 1992 (as used in this paper) and for 2015 (latest data) </w:t>
      </w:r>
      <w:r w:rsidR="001C0E93">
        <w:t xml:space="preserve">as outlined in the Data and Code Availability in the Resource Availability section. </w:t>
      </w:r>
    </w:p>
    <w:p w14:paraId="036CCA3B" w14:textId="4B7A34AA" w:rsidR="005B755B" w:rsidRPr="00D72360" w:rsidRDefault="00ED5576">
      <w:pPr>
        <w:rPr>
          <w:rFonts w:cstheme="minorHAnsi"/>
        </w:rPr>
      </w:pPr>
      <w:r w:rsidRPr="00D72360">
        <w:t xml:space="preserve">Counterintuitively, very rare, </w:t>
      </w:r>
      <w:r w:rsidR="003F3E6B" w:rsidRPr="00D72360">
        <w:t>extreme</w:t>
      </w:r>
      <w:r w:rsidRPr="00D72360">
        <w:t xml:space="preserve"> expansion</w:t>
      </w:r>
      <w:r w:rsidR="00473096" w:rsidRPr="00D72360">
        <w:t xml:space="preserve"> (50% threshold)</w:t>
      </w:r>
      <w:r w:rsidRPr="00D72360">
        <w:t xml:space="preserve"> can be relatively well explained by existing predictor variables. </w:t>
      </w:r>
      <w:r w:rsidRPr="00D72360">
        <w:rPr>
          <w:i/>
        </w:rPr>
        <w:t>Post-hoc</w:t>
      </w:r>
      <w:r w:rsidRPr="00D72360">
        <w:t xml:space="preserve"> overlap analysis showed that such expansion has a disproportionate overlap with modelled distributions of soy and very large fields (</w:t>
      </w:r>
      <w:r w:rsidR="00216C8A">
        <w:t>Supplementary Information</w:t>
      </w:r>
      <w:r w:rsidRPr="00D72360">
        <w:t>; Table S</w:t>
      </w:r>
      <w:r w:rsidR="00787513" w:rsidRPr="00D72360">
        <w:t>8</w:t>
      </w:r>
      <w:r w:rsidRPr="00D72360">
        <w:t xml:space="preserve">). </w:t>
      </w:r>
      <w:r w:rsidRPr="00D72360">
        <w:rPr>
          <w:rFonts w:cstheme="minorHAnsi"/>
        </w:rPr>
        <w:t xml:space="preserve">Large fields are often associated with large farms, which in turn relate to farm income </w:t>
      </w:r>
      <w:r w:rsidRPr="00D72360">
        <w:fldChar w:fldCharType="begin" w:fldLock="1"/>
      </w:r>
      <w:r w:rsidR="00D24611">
        <w:instrText>ADDIN CSL_CITATION {"citationItems":[{"id":"ITEM-1","itemData":{"DOI":"10.1111/gcb.12838","ISBN":"1365-2486","ISSN":"13652486","PMID":"25640302","abstract":"A new 1 km global IIASA-IFPRI cropland percentage map for the baseline year 2005 has been developed which integrates a number of individual cropland maps at global to regional to national scales. The individual map products include existing global land cover maps such as GlobCover 2005 and MODIS v.5, regional maps such as AFRICOVER and national maps from mapping agencies and other organizations. The different products are ranked at the national level using crowdsourced data from Geo-Wiki to create a map that reflects the likelihood of cropland. Calibration with national and subnational crop statistics was then undertaken to distribute the cropland within each country and subnational unit. The new IIASA-IFPRI cropland product has been validated using very high-resolution satellite imagery via Geo-Wiki and has an overall accuracy of 82.4%. It has also been compared with the EarthStat cropland product and shows a lower root mean square error on an independent data set collected from Geo-Wiki. The first ever global field size map was produced at the same resolution as the IIASA-IFPRI cropland map based on interpolation of field size data collected via a Geo-Wiki crowdsourcing campaign. A validation exercise of the global field size map revealed satisfactory agreement with control data, particularly given the relatively modest size of the field size data set used to create the map. Both are critical inputs to global agricultural monitoring in the frame of GEOGLAM and will serve the global land modelling and integrated assessment community, in particular for improving land use models that require baseline cropland information. These products are freely available for downloading from the http://cropland.geo-wiki.org website.","author":[{"dropping-particle":"","family":"Fritz","given":"Steffen","non-dropping-particle":"","parse-names":false,"suffix":""},{"dropping-particle":"","family":"See","given":"Linda","non-dropping-particle":"","parse-names":false,"suffix":""},{"dropping-particle":"","family":"Mccallum","given":"Ian","non-dropping-particle":"","parse-names":false,"suffix":""},{"dropping-particle":"","family":"You","given":"Liangzhi","non-dropping-particle":"","parse-names":false,"suffix":""},{"dropping-particle":"","family":"Bun","given":"Andriy","non-dropping-particle":"","parse-names":false,"suffix":""},{"dropping-particle":"","family":"Moltchanova","given":"Elena","non-dropping-particle":"","parse-names":false,"suffix":""},{"dropping-particle":"","family":"Duerauer","given":"Martina","non-dropping-particle":"","parse-names":false,"suffix":""},{"dropping-particle":"","family":"Albrecht","given":"Fransizka","non-dropping-particle":"","parse-names":false,"suffix":""},{"dropping-particle":"","family":"Schill","given":"Christian","non-dropping-particle":"","parse-names":false,"suffix":""},{"dropping-particle":"","family":"Perger","given":"Christoph","non-dropping-particle":"","parse-names":false,"suffix":""},{"dropping-particle":"","family":"Havlik","given":"Petr","non-dropping-particle":"","parse-names":false,"suffix":""},{"dropping-particle":"","family":"Mosnier","given":"Aline","non-dropping-particle":"","parse-names":false,"suffix":""},{"dropping-particle":"","family":"Thornton","given":"Philip","non-dropping-particle":"","parse-names":false,"suffix":""},{"dropping-particle":"","family":"Wood-Sichra","given":"Ulrike","non-dropping-particle":"","parse-names":false,"suffix":""},{"dropping-particle":"","family":"Herrero","given":"Mario","non-dropping-particle":"","parse-names":false,"suffix":""},{"dropping-particle":"","family":"Becker-Reshef","given":"Inbal","non-dropping-particle":"","parse-names":false,"suffix":""},{"dropping-particle":"","family":"Justice","given":"Chris","non-dropping-particle":"","parse-names":false,"suffix":""},{"dropping-particle":"","family":"Hansen","given":"Matthew","non-dropping-particle":"","parse-names":false,"suffix":""},{"dropping-particle":"","family":"Gong","given":"Peng","non-dropping-particle":"","parse-names":false,"suffix":""},{"dropping-particle":"","family":"Abdel Aziz","given":"Sheta","non-dropping-particle":"","parse-names":false,"suffix":""},{"dropping-particle":"","family":"Cipriani","given":"Anna","non-dropping-particle":"","parse-names":false,"suffix":""},{"dropping-particle":"","family":"Cumani","given":"Renato","non-dropping-particle":"","parse-names":false,"suffix":""},{"dropping-particle":"","family":"Cecchi","given":"Giuliano","non-dropping-particle":"","parse-names":false,"suffix":""},{"dropping-particle":"","family":"Conchedda","given":"Giulia","non-dropping-particle":"","parse-names":false,"suffix":""},{"dropping-particle":"","family":"Ferreira","given":"Stefanus","non-dropping-particle":"","parse-names":false,"suffix":""},{"dropping-particle":"","family":"Gomez","given":"Adriana","non-dropping-particle":"","parse-names":false,"suffix":""},{"dropping-particle":"","family":"Haffani","given":"Myriam","non-dropping-particle":"","parse-names":false,"suffix":""},{"dropping-particle":"","family":"Kayitakire","given":"Francois","non-dropping-particle":"","parse-names":false,"suffix":""},{"dropping-particle":"","family":"Malanding","given":"Jaiteh","non-dropping-particle":"","parse-names":false,"suffix":""},{"dropping-particle":"","family":"Mueller","given":"Rick","non-dropping-particle":"","parse-names":false,"suffix":""},{"dropping-particle":"","family":"Newby","given":"Terence","non-dropping-particle":"","parse-names":false,"suffix":""},{"dropping-particle":"","family":"Nonguierma","given":"Andre","non-dropping-particle":"","parse-names":false,"suffix":""},{"dropping-particle":"","family":"Olusegun","given":"Adeaga","non-dropping-particle":"","parse-names":false,"suffix":""},{"dropping-particle":"","family":"Ortner","given":"Simone","non-dropping-particle":"","parse-names":false,"suffix":""},{"dropping-particle":"","family":"Rajak","given":"D. Ram","non-dropping-particle":"","parse-names":false,"suffix":""},{"dropping-particle":"","family":"Rocha","given":"Jansle","non-dropping-particle":"","parse-names":false,"suffix":""},{"dropping-particle":"","family":"Schepaschenko","given":"Dmitry","non-dropping-particle":"","parse-names":false,"suffix":""},{"dropping-particle":"","family":"Schepaschenko","given":"Maria","non-dropping-particle":"","parse-names":false,"suffix":""},{"dropping-particle":"","family":"Terekhov","given":"Alexey","non-dropping-particle":"","parse-names":false,"suffix":""},{"dropping-particle":"","family":"Tiangwa","given":"Alex","non-dropping-particle":"","parse-names":false,"suffix":""},{"dropping-particle":"","family":"Vancutsem","given":"Christelle","non-dropping-particle":"","parse-names":false,"suffix":""},{"dropping-particle":"","family":"Vintrou","given":"Elodie","non-dropping-particle":"","parse-names":false,"suffix":""},{"dropping-particle":"","family":"Wenbin","given":"Wu","non-dropping-particle":"","parse-names":false,"suffix":""},{"dropping-particle":"","family":"Velde","given":"Marijn","non-dropping-particle":"van der","parse-names":false,"suffix":""},{"dropping-particle":"","family":"Dunwoody","given":"Antonia","non-dropping-particle":"","parse-names":false,"suffix":""},{"dropping-particle":"","family":"Kraxner","given":"Florian","non-dropping-particle":"","parse-names":false,"suffix":""},{"dropping-particle":"","family":"Obersteiner","given":"Michael","non-dropping-particle":"","parse-names":false,"suffix":""}],"container-title":"Global Change Biology","id":"ITEM-1","issue":"5","issued":{"date-parts":[["2015"]]},"page":"1980-1992","title":"Mapping global cropland and field size","type":"article-journal","volume":"21"},"uris":["http://www.mendeley.com/documents/?uuid=92aad5c3-7238-46d1-96e5-f0922ebbfa9b"]},{"id":"ITEM-2","itemData":{"DOI":"10.1016/j.gfs.2017.08.001","ISSN":"22119124","abstract":"This paper connects the discussion on the trade-offs between agricultural production and environmental concerns, including the asserted need for global land use expansion, and the issues of rural livelihoods and food security. Several widespread narratives are challenged. The key insights are: 1/ There is a severe research gap about how concrete interventions can reduce the need for agricultural expansion through changing consumption. 2/ Increasing global food production can hardly be achieved without environmental trade-offs. 3/ The food security/environment trade-offs can be mitigated by recognizing that some supply chains benefit little to food security, while entailing high environmental impacts such as deforestation. 4/ Through prices, global food production is linked to food security of the - mainly urban - low income, net food buyers. 5/ Developing commercial farming, including medium-scale farms providing high labor productivity employment, can contribute to food security through rural wages. 6/ Developing such value chains based on commodities with high income- and price-elasticity of demand requires interventions to avoid deforestation through a rebound-effect.","author":[{"dropping-particle":"","family":"Meyfroidt","given":"Patrick","non-dropping-particle":"","parse-names":false,"suffix":""}],"container-title":"Global Food Security","id":"ITEM-2","issued":{"date-parts":[["2018"]]},"page":"9-16","publisher":"Elsevier B.V.","title":"Trade-offs between environment and livelihoods: Bridging the global land use and food security discussions","type":"article-journal","volume":"16"},"uris":["http://www.mendeley.com/documents/?uuid=cb587907-6c81-4230-a90c-e2d43a807af5"]},{"id":"ITEM-3","itemData":{"DOI":"10.1016/j.gfs.2018.05.002","ISSN":"22119124","abstract":"The widely reported claim that smallholders produce 70-80% of the world’s food has been a linchpin of agricultural development policy despite limited empirical evidence. We examine variations in global crop production by farm size using a newly-compiled global sample of subnational level microdata and agricultural censuses. We found that farms under 2 ha produce 31-35% of total crop production and 30-34% of food supply on 24% of gross agricultural area. Farms under 2 ha devote a greater proportion of their production to food, while farms over 1000 ha have the greatest proportion of waste. As farms get larger, crop species richness declines and different types of crops are grown, which is reflected in variations in macro-nutrient production by farm size.","author":[{"dropping-particle":"","family":"Ricciardi","given":"Vincent","non-dropping-particle":"","parse-names":false,"suffix":""},{"dropping-particle":"","family":"Ramankutty","given":"Navin","non-dropping-particle":"","parse-names":false,"suffix":""},{"dropping-particle":"","family":"Mehrabi","given":"Zia","non-dropping-particle":"","parse-names":false,"suffix":""},{"dropping-particle":"","family":"Jarvis","given":"Larissa","non-dropping-particle":"","parse-names":false,"suffix":""},{"dropping-particle":"","family":"Chookolingo","given":"Brenton","non-dropping-particle":"","parse-names":false,"suffix":""}],"container-title":"Global Food Security","id":"ITEM-3","issue":"May","issued":{"date-parts":[["2018"]]},"page":"64-72","publisher":"Elsevier B.V.","title":"How much of the world's food do smallholders produce?","type":"article-journal","volume":"17"},"uris":["http://www.mendeley.com/documents/?uuid=d955e839-6686-4d74-9f36-d329a739e690"]}],"mendeley":{"formattedCitation":"&lt;sup&gt;35,44,45&lt;/sup&gt;","plainTextFormattedCitation":"35,44,45","previouslyFormattedCitation":"&lt;sup&gt;35,44,45&lt;/sup&gt;"},"properties":{"noteIndex":0},"schema":"https://github.com/citation-style-language/schema/raw/master/csl-citation.json"}</w:instrText>
      </w:r>
      <w:r w:rsidRPr="00D72360">
        <w:fldChar w:fldCharType="separate"/>
      </w:r>
      <w:bookmarkStart w:id="75" w:name="__Fieldmark__5861_3027855847"/>
      <w:bookmarkStart w:id="76" w:name="__Fieldmark__3322_531043149"/>
      <w:r w:rsidR="00D24611" w:rsidRPr="00D24611">
        <w:rPr>
          <w:rFonts w:cstheme="minorHAnsi"/>
          <w:noProof/>
          <w:vertAlign w:val="superscript"/>
        </w:rPr>
        <w:t>35,44,45</w:t>
      </w:r>
      <w:r w:rsidRPr="00D72360">
        <w:fldChar w:fldCharType="end"/>
      </w:r>
      <w:bookmarkEnd w:id="75"/>
      <w:bookmarkEnd w:id="76"/>
      <w:r w:rsidRPr="00D72360">
        <w:rPr>
          <w:rFonts w:cstheme="minorHAnsi"/>
        </w:rPr>
        <w:t>. As such, observed</w:t>
      </w:r>
      <w:r w:rsidRPr="00D72360">
        <w:t xml:space="preserve"> </w:t>
      </w:r>
      <w:r w:rsidR="003F3E6B" w:rsidRPr="00D72360">
        <w:t>extreme</w:t>
      </w:r>
      <w:r w:rsidRPr="00D72360">
        <w:rPr>
          <w:rFonts w:cstheme="minorHAnsi"/>
        </w:rPr>
        <w:t xml:space="preserve"> expansion fits with the commodity and neoliberal resource frontier theories of agricultural expansion. Here, rapid land use expansion for large-scale agriculture occurs in resource frontiers where there is an abundance of land on which structural factors such as new agricultural technologies, infrastructure, and rising producer prices, facilitate large agricultural rents, but the expansion strongly depends on the ability of powerful actors to capture or influence these rents through large-scale, capital-intensive agriculture (e.g.</w:t>
      </w:r>
      <w:r w:rsidRPr="00D72360">
        <w:fldChar w:fldCharType="begin" w:fldLock="1"/>
      </w:r>
      <w:r w:rsidR="00D24611">
        <w:instrText>ADDIN CSL_CITATION {"citationItems":[{"id":"ITEM-1","itemData":{"DOI":"10.1073/pnas.1602646113","ISBN":"1078087412473","ISSN":"0027-8424","PMID":"27035995","abstract":"SignificanceA growing global demand for agricultural products such as soybeans and beef is causing agriculture to expand into forest ecosystems. Many countries are tightening environmental regulations as a response. Because agricultural companies can move, there is a risk that stringent land-use regulations might just displace land conversion geographically. A better understanding of how these regulations affect companies movements is therefore crucial for designing effective conservation policies. Here we analyze the determinants of siting choices by agricultural companies. We find that companies that tend to clear more forest prefer areas with lower deforestation restrictions, and that all companies prefer areas with low enforcement. However, these effects are less important than the availability of forestland or the proximity to current investments. Growing demand for agricultural commodities is causing the expansion of agricultural frontiers onto native vegetation worldwide. Agribusiness companies linking these frontiers to distant spaces of consumption through global commodity chains increasingly make zero-deforestation pledges. However, production and land conversion are often carried out by less-visible local and regional actors that are mobile and responsive to new agricultural expansion opportunities and legal constraints on land use. With more stringent deforestation regulations in some countries, we ask whether their movements are determined partly by differences in land-use policies, resulting in \"deforestation havens.\" We analyze the determinants of investment decisions by agricultural companies in the Gran Chaco and Chiquitano, a region that has become the new deforestation \"hot spot\" in South America. We test whether companies seek out less-regulated forest areas for new agricultural investments. Based on interviews with 82 companies totaling 2.5 Mha of properties, we show that, in addition to proximity to current investments and the availability of cheap forestland, lower deforestation regulations attract investments by companies that tend to clear more forest, mostly cattle ranching operations, and that lower enforcement attracts all companies. Avoiding deforestation leakage requires harmonizing deforestation regulations across regions and commodities and promoting sustainable intensification in cattle ranching.","author":[{"dropping-particle":"","family":"Polain de Waroux","given":"Yann","non-dropping-particle":"le","parse-names":false,"suffix":""},{"dropping-particle":"","family":"Garrett","given":"Rachael D.","non-dropping-particle":"","parse-names":false,"suffix":""},{"dropping-particle":"","family":"Heilmayr","given":"Robert","non-dropping-particle":"","parse-names":false,"suffix":""},{"dropping-particle":"","family":"Lambin","given":"Eric F.","non-dropping-particle":"","parse-names":false,"suffix":""}],"container-title":"Proceedings of the National Academy of Sciences","id":"ITEM-1","issue":"15","issued":{"date-parts":[["2016"]]},"page":"4021-4026","title":"Land-use policies and corporate investments in agriculture in the Gran Chaco and Chiquitano","type":"article-journal","volume":"113"},"uris":["http://www.mendeley.com/documents/?uuid=c63484dc-31a7-4ffe-85a9-a08cdd15334e"]},{"id":"ITEM-2","itemData":{"DOI":"10.1080/24694452.2017.1360761","ISSN":"24694460","abstract":"© 2018 by American Association of Geographers. Theories of frontier expansion in the last four decades have been mostly shaped by studies of state-driven smallholder colonization. Modern-day agricultural frontiers, however, are increasingly driven by capitalized corporate agriculture operating with little direct government intervention. The expansion of contemporary frontiers has been explained by the existence of spatially heterogeneous “abnormal” rents, which can be caused by cheap land and labor, technological innovation, lack of regulations, and a variety of other incentives. Here, we argue that understanding the dynamics of these frontiers requires considering the differential ability of actors to capture such rents, which depends on their access to production factors and their information, preferences, and agency. We propose a new conceptual framework drawing on neoclassical economics and political economy, which we apply to the South American Gran Chaco, a hot spot of deforestation for soy and cattle production. We divide the region into a set of distinct frontiers based on satellite data, field interviews, and expert knowledge, to review the drivers and actors of agricultural expansion in these frontiers. We show that frontier expansion in the Chaco responded to the rents created by new agricultural technologies, infrastructure, and rising producer prices but that the frontier dynamics were strongly influenced by actors' abilities to capture or influence these rents. Our findings thus highlight that understanding contemporary commodity frontiers requires analyzing the novel ways by which the agency of particular groups of actors shapes land-use outcomes.","author":[{"dropping-particle":"","family":"Polain de Waroux","given":"Yann","non-dropping-particle":"le","parse-names":false,"suffix":""},{"dropping-particle":"","family":"Baumann","given":"Matthias","non-dropping-particle":"","parse-names":false,"suffix":""},{"dropping-particle":"","family":"Gasparri","given":"Nestor Ignacio","non-dropping-particle":"","parse-names":false,"suffix":""},{"dropping-particle":"","family":"Gavier-Pizarro","given":"Gregorio","non-dropping-particle":"","parse-names":false,"suffix":""},{"dropping-particle":"","family":"Godar","given":"Javier","non-dropping-particle":"","parse-names":false,"suffix":""},{"dropping-particle":"","family":"Kuemmerle","given":"Tobias","non-dropping-particle":"","parse-names":false,"suffix":""},{"dropping-particle":"","family":"Müller","given":"Robert","non-dropping-particle":"","parse-names":false,"suffix":""},{"dropping-particle":"","family":"Vázquez","given":"Fabricio","non-dropping-particle":"","parse-names":false,"suffix":""},{"dropping-particle":"","family":"Volante","given":"José Norberto","non-dropping-particle":"","parse-names":false,"suffix":""},{"dropping-particle":"","family":"Meyfroidt","given":"Patrick","non-dropping-particle":"","parse-names":false,"suffix":""}],"container-title":"Annals of the American Association of Geographers","id":"ITEM-2","issue":"1","issued":{"date-parts":[["2018"]]},"page":"204-225","title":"Rents, Actors, and the Expansion of Commodity Frontiers in the Gran Chaco","type":"article-journal","volume":"108"},"uris":["http://www.mendeley.com/documents/?uuid=26dca451-5397-4cb8-9a63-7686206d1e7c"]}],"mendeley":{"formattedCitation":"&lt;sup&gt;18,46&lt;/sup&gt;","plainTextFormattedCitation":"18,46","previouslyFormattedCitation":"&lt;sup&gt;18,46&lt;/sup&gt;"},"properties":{"noteIndex":0},"schema":"https://github.com/citation-style-language/schema/raw/master/csl-citation.json"}</w:instrText>
      </w:r>
      <w:r w:rsidRPr="00D72360">
        <w:fldChar w:fldCharType="separate"/>
      </w:r>
      <w:bookmarkStart w:id="77" w:name="__Fieldmark__5878_3027855847"/>
      <w:bookmarkStart w:id="78" w:name="__Fieldmark__3368_531043149"/>
      <w:r w:rsidR="00D24611" w:rsidRPr="00D24611">
        <w:rPr>
          <w:rFonts w:cstheme="minorHAnsi"/>
          <w:noProof/>
          <w:vertAlign w:val="superscript"/>
        </w:rPr>
        <w:t>18,46</w:t>
      </w:r>
      <w:r w:rsidRPr="00D72360">
        <w:fldChar w:fldCharType="end"/>
      </w:r>
      <w:bookmarkEnd w:id="77"/>
      <w:bookmarkEnd w:id="78"/>
      <w:r w:rsidRPr="00D72360">
        <w:rPr>
          <w:rFonts w:cstheme="minorHAnsi"/>
        </w:rPr>
        <w:t xml:space="preserve">). This might include influencing the location of new roads or infrastructures like ports, or even building these themselves, influencing the spatial pattern and implementation of land use policies such as areas and practices targeted for agricultural subsidies or where land uses are restricted </w:t>
      </w:r>
      <w:r w:rsidRPr="00D72360">
        <w:fldChar w:fldCharType="begin" w:fldLock="1"/>
      </w:r>
      <w:r w:rsidR="0090126B" w:rsidRPr="00D72360">
        <w:instrText>ADDIN CSL_CITATION {"citationItems":[{"id":"ITEM-1","itemData":{"DOI":"10.1080/24694452.2017.1360761","ISSN":"24694460","abstract":"© 2018 by American Association of Geographers. Theories of frontier expansion in the last four decades have been mostly shaped by studies of state-driven smallholder colonization. Modern-day agricultural frontiers, however, are increasingly driven by capitalized corporate agriculture operating with little direct government intervention. The expansion of contemporary frontiers has been explained by the existence of spatially heterogeneous “abnormal” rents, which can be caused by cheap land and labor, technological innovation, lack of regulations, and a variety of other incentives. Here, we argue that understanding the dynamics of these frontiers requires considering the differential ability of actors to capture such rents, which depends on their access to production factors and their information, preferences, and agency. We propose a new conceptual framework drawing on neoclassical economics and political economy, which we apply to the South American Gran Chaco, a hot spot of deforestation for soy and cattle production. We divide the region into a set of distinct frontiers based on satellite data, field interviews, and expert knowledge, to review the drivers and actors of agricultural expansion in these frontiers. We show that frontier expansion in the Chaco responded to the rents created by new agricultural technologies, infrastructure, and rising producer prices but that the frontier dynamics were strongly influenced by actors' abilities to capture or influence these rents. Our findings thus highlight that understanding contemporary commodity frontiers requires analyzing the novel ways by which the agency of particular groups of actors shapes land-use outcomes.","author":[{"dropping-particle":"","family":"Polain de Waroux","given":"Yann","non-dropping-particle":"le","parse-names":false,"suffix":""},{"dropping-particle":"","family":"Baumann","given":"Matthias","non-dropping-particle":"","parse-names":false,"suffix":""},{"dropping-particle":"","family":"Gasparri","given":"Nestor Ignacio","non-dropping-particle":"","parse-names":false,"suffix":""},{"dropping-particle":"","family":"Gavier-Pizarro","given":"Gregorio","non-dropping-particle":"","parse-names":false,"suffix":""},{"dropping-particle":"","family":"Godar","given":"Javier","non-dropping-particle":"","parse-names":false,"suffix":""},{"dropping-particle":"","family":"Kuemmerle","given":"Tobias","non-dropping-particle":"","parse-names":false,"suffix":""},{"dropping-particle":"","family":"Müller","given":"Robert","non-dropping-particle":"","parse-names":false,"suffix":""},{"dropping-particle":"","family":"Vázquez","given":"Fabricio","non-dropping-particle":"","parse-names":false,"suffix":""},{"dropping-particle":"","family":"Volante","given":"José Norberto","non-dropping-particle":"","parse-names":false,"suffix":""},{"dropping-particle":"","family":"Meyfroidt","given":"Patrick","non-dropping-particle":"","parse-names":false,"suffix":""}],"container-title":"Annals of the American Association of Geographers","id":"ITEM-1","issue":"1","issued":{"date-parts":[["2018"]]},"page":"204-225","title":"Rents, Actors, and the Expansion of Commodity Frontiers in the Gran Chaco","type":"article-journal","volume":"108"},"uris":["http://www.mendeley.com/documents/?uuid=379ada45-598d-4129-a197-be6be0079f1b"]}],"mendeley":{"formattedCitation":"&lt;sup&gt;18&lt;/sup&gt;","plainTextFormattedCitation":"18","previouslyFormattedCitation":"&lt;sup&gt;18&lt;/sup&gt;"},"properties":{"noteIndex":0},"schema":"https://github.com/citation-style-language/schema/raw/master/csl-citation.json"}</w:instrText>
      </w:r>
      <w:r w:rsidRPr="00D72360">
        <w:fldChar w:fldCharType="separate"/>
      </w:r>
      <w:bookmarkStart w:id="79" w:name="__Fieldmark__5886_3027855847"/>
      <w:r w:rsidR="0090126B" w:rsidRPr="00D72360">
        <w:rPr>
          <w:rFonts w:cstheme="minorHAnsi"/>
          <w:noProof/>
          <w:vertAlign w:val="superscript"/>
        </w:rPr>
        <w:t>18</w:t>
      </w:r>
      <w:r w:rsidRPr="00D72360">
        <w:fldChar w:fldCharType="end"/>
      </w:r>
      <w:bookmarkEnd w:id="79"/>
      <w:r w:rsidR="00955256" w:rsidRPr="00D72360">
        <w:t>.</w:t>
      </w:r>
      <w:r w:rsidRPr="00D72360">
        <w:t xml:space="preserve"> </w:t>
      </w:r>
      <w:r w:rsidR="00955256" w:rsidRPr="00D72360">
        <w:t>T</w:t>
      </w:r>
      <w:r w:rsidRPr="00D72360">
        <w:t xml:space="preserve">his might explain why these rare expansion events exhibit a negative, rather than positive response to </w:t>
      </w:r>
      <w:r w:rsidRPr="00D72360">
        <w:lastRenderedPageBreak/>
        <w:t>distance to market and population density</w:t>
      </w:r>
      <w:r w:rsidRPr="00D72360">
        <w:rPr>
          <w:rFonts w:cstheme="minorHAnsi"/>
        </w:rPr>
        <w:t>. Market access may also be acting as a proxy for some predictors of commodity frontiers as it</w:t>
      </w:r>
      <w:r w:rsidRPr="00D72360">
        <w:t xml:space="preserve"> is inversely correlated with poverty and low land costs </w:t>
      </w:r>
      <w:r w:rsidRPr="00D72360">
        <w:fldChar w:fldCharType="begin" w:fldLock="1"/>
      </w:r>
      <w:r w:rsidR="00D24611">
        <w:instrText>ADDIN CSL_CITATION {"citationItems":[{"id":"ITEM-1","itemData":{"DOI":"10.1038/nature25181","ISSN":"14764687","abstract":"Travel time to cities in 2015 is quantified in a high-resolution global map that will be useful for socio-economic policy design and conservation research.","author":[{"dropping-particle":"","family":"Weiss","given":"D. J.","non-dropping-particle":"","parse-names":false,"suffix":""},{"dropping-particle":"","family":"Nelson","given":"A.","non-dropping-particle":"","parse-names":false,"suffix":""},{"dropping-particle":"","family":"Gibson","given":"H. S.","non-dropping-particle":"","parse-names":false,"suffix":""},{"dropping-particle":"","family":"Temperley","given":"W.","non-dropping-particle":"","parse-names":false,"suffix":""},{"dropping-particle":"","family":"Peedell","given":"S.","non-dropping-particle":"","parse-names":false,"suffix":""},{"dropping-particle":"","family":"Lieber","given":"A.","non-dropping-particle":"","parse-names":false,"suffix":""},{"dropping-particle":"","family":"Hancher","given":"M.","non-dropping-particle":"","parse-names":false,"suffix":""},{"dropping-particle":"","family":"Poyart","given":"E.","non-dropping-particle":"","parse-names":false,"suffix":""},{"dropping-particle":"","family":"Belchior","given":"S.","non-dropping-particle":"","parse-names":false,"suffix":""},{"dropping-particle":"","family":"Fullman","given":"N.","non-dropping-particle":"","parse-names":false,"suffix":""},{"dropping-particle":"","family":"Mappin","given":"B.","non-dropping-particle":"","parse-names":false,"suffix":""},{"dropping-particle":"","family":"Dalrymple","given":"U.","non-dropping-particle":"","parse-names":false,"suffix":""},{"dropping-particle":"","family":"Rozier","given":"J.","non-dropping-particle":"","parse-names":false,"suffix":""},{"dropping-particle":"","family":"Lucas","given":"T. C.D.","non-dropping-particle":"","parse-names":false,"suffix":""},{"dropping-particle":"","family":"Howes","given":"R. E.","non-dropping-particle":"","parse-names":false,"suffix":""},{"dropping-particle":"","family":"Tusting","given":"L. S.","non-dropping-particle":"","parse-names":false,"suffix":""},{"dropping-particle":"","family":"Kang","given":"S. Y.","non-dropping-particle":"","parse-names":false,"suffix":""},{"dropping-particle":"","family":"Cameron","given":"E.","non-dropping-particle":"","parse-names":false,"suffix":""},{"dropping-particle":"","family":"Bisanzio","given":"D.","non-dropping-particle":"","parse-names":false,"suffix":""},{"dropping-particle":"","family":"Battle","given":"K. E.","non-dropping-particle":"","parse-names":false,"suffix":""},{"dropping-particle":"","family":"Bhatt","given":"S.","non-dropping-particle":"","parse-names":false,"suffix":""},{"dropping-particle":"","family":"Gething","given":"P. W.","non-dropping-particle":"","parse-names":false,"suffix":""}],"container-title":"Nature","id":"ITEM-1","issue":"7688","issued":{"date-parts":[["2018"]]},"page":"333-336","publisher":"Nature Publishing Group","title":"A global map of travel time to cities to assess inequalities in accessibility in 2015","type":"article-journal","volume":"553"},"uris":["http://www.mendeley.com/documents/?uuid=8a59986f-7e2f-476d-8b0b-7e43d2bd231b"]}],"mendeley":{"formattedCitation":"&lt;sup&gt;47&lt;/sup&gt;","plainTextFormattedCitation":"47","previouslyFormattedCitation":"&lt;sup&gt;47&lt;/sup&gt;"},"properties":{"noteIndex":0},"schema":"https://github.com/citation-style-language/schema/raw/master/csl-citation.json"}</w:instrText>
      </w:r>
      <w:r w:rsidRPr="00D72360">
        <w:fldChar w:fldCharType="separate"/>
      </w:r>
      <w:bookmarkStart w:id="80" w:name="__Fieldmark__5900_3027855847"/>
      <w:r w:rsidR="00D24611" w:rsidRPr="00D24611">
        <w:rPr>
          <w:noProof/>
          <w:vertAlign w:val="superscript"/>
        </w:rPr>
        <w:t>47</w:t>
      </w:r>
      <w:r w:rsidRPr="00D72360">
        <w:fldChar w:fldCharType="end"/>
      </w:r>
      <w:bookmarkEnd w:id="80"/>
      <w:r w:rsidRPr="00D72360">
        <w:t xml:space="preserve">. Our ability to explain these very rare, </w:t>
      </w:r>
      <w:r w:rsidR="003F3E6B" w:rsidRPr="00D72360">
        <w:t>extreme</w:t>
      </w:r>
      <w:r w:rsidRPr="00D72360">
        <w:t xml:space="preserve"> expansion events reasonably well with global data may be also partly be due to a relatively small number of 5’ </w:t>
      </w:r>
      <w:r w:rsidRPr="00D72360">
        <w:rPr>
          <w:rFonts w:cstheme="minorHAnsi"/>
        </w:rPr>
        <w:t>×</w:t>
      </w:r>
      <w:r w:rsidRPr="00D72360">
        <w:t xml:space="preserve"> 5’ pixels globally that are </w:t>
      </w:r>
      <w:r w:rsidRPr="00D72360">
        <w:rPr>
          <w:rFonts w:cstheme="minorHAnsi"/>
        </w:rPr>
        <w:t xml:space="preserve">1) flat enough for intensive mechanized agriculture (steepness is a key predictor of </w:t>
      </w:r>
      <w:r w:rsidR="003F3E6B" w:rsidRPr="00D72360">
        <w:rPr>
          <w:rFonts w:cstheme="minorHAnsi"/>
        </w:rPr>
        <w:t>extreme</w:t>
      </w:r>
      <w:r w:rsidRPr="00D72360">
        <w:rPr>
          <w:rFonts w:cstheme="minorHAnsi"/>
        </w:rPr>
        <w:t xml:space="preserve"> expansion); 2) where some cropland already exists (agriculture in 1992 is a key predictor as well), but 3) there is still enough space for the ~25 km</w:t>
      </w:r>
      <w:r w:rsidRPr="00D72360">
        <w:rPr>
          <w:rFonts w:cstheme="minorHAnsi"/>
          <w:vertAlign w:val="superscript"/>
        </w:rPr>
        <w:t>2</w:t>
      </w:r>
      <w:r w:rsidRPr="00D72360">
        <w:rPr>
          <w:rFonts w:cstheme="minorHAnsi"/>
        </w:rPr>
        <w:t xml:space="preserve"> (at the equator) of new cropland this threshold entails.  The relatively high predictability of rare, </w:t>
      </w:r>
      <w:r w:rsidR="003F3E6B" w:rsidRPr="00D72360">
        <w:rPr>
          <w:rFonts w:cstheme="minorHAnsi"/>
        </w:rPr>
        <w:t>extreme</w:t>
      </w:r>
      <w:r w:rsidRPr="00D72360">
        <w:rPr>
          <w:rFonts w:cstheme="minorHAnsi"/>
        </w:rPr>
        <w:t xml:space="preserve"> cropland expansion events is an important finding, as while very rare, such events represent the extreme points of wider, industrial-scale expansion frontiers. Such areas (e.g. the South American resource frontiers, which are increasingly characterized by large field sizes </w:t>
      </w:r>
      <w:r w:rsidRPr="00D72360">
        <w:fldChar w:fldCharType="begin" w:fldLock="1"/>
      </w:r>
      <w:r w:rsidR="00D24611">
        <w:instrText>ADDIN CSL_CITATION {"citationItems":[{"id":"ITEM-1","itemData":{"DOI":"10.1088/1748-9326/aad5bf","ISSN":"17489326","abstract":"A combination of high commodity crop prices, rising global food demand, and technological advances has transformed the scale of global crop production. Farming in South America is a prime example, where large-scale cash crops, such as soy, have transformed the land use dynamics at the forest frontier. We evaluate this transformation in sub-Andean South America by estimating crop and forest cover and detecting individual cropland field parcels using Landsat imagery in 5 year intervals over a 24 year period. From 1990 to 2014, cropland expansion onto deforested land was increasingly driven by large fields (&gt;50 ha), whose contribution increased from 32% to 48% (+16% increase), while the contribution of smaller fields (&lt;20 ha) declined from 36% to 26% (−10% decrease). This shift toward large-scale farming replacing cleared land across the region has important implications for food security and biodiversity conservation. Policy efforts will need to target different actors and transcend national borders in order to tackle the changing nature of South American deforestation.","author":[{"dropping-particle":"","family":"Graesser","given":"Jordan","non-dropping-particle":"","parse-names":false,"suffix":""},{"dropping-particle":"","family":"Ramankutty","given":"Navin","non-dropping-particle":"","parse-names":false,"suffix":""},{"dropping-particle":"","family":"Coomes","given":"Oliver T.","non-dropping-particle":"","parse-names":false,"suffix":""}],"container-title":"Environmental Research Letters","id":"ITEM-1","issue":"8","issued":{"date-parts":[["2018"]]},"publisher":"IOP Publishing","title":"Increasing expansion of large-scale crop production onto deforested land in sub-Andean South America","type":"article-journal","volume":"13"},"uris":["http://www.mendeley.com/documents/?uuid=dc8b1ab9-086f-41ce-9409-48d7b4497894"]}],"mendeley":{"formattedCitation":"&lt;sup&gt;33&lt;/sup&gt;","plainTextFormattedCitation":"33","previouslyFormattedCitation":"&lt;sup&gt;33&lt;/sup&gt;"},"properties":{"noteIndex":0},"schema":"https://github.com/citation-style-language/schema/raw/master/csl-citation.json"}</w:instrText>
      </w:r>
      <w:r w:rsidRPr="00D72360">
        <w:fldChar w:fldCharType="separate"/>
      </w:r>
      <w:bookmarkStart w:id="81" w:name="__Fieldmark__5945_3027855847"/>
      <w:r w:rsidR="00D24611" w:rsidRPr="00D24611">
        <w:rPr>
          <w:rFonts w:cstheme="minorHAnsi"/>
          <w:noProof/>
          <w:vertAlign w:val="superscript"/>
        </w:rPr>
        <w:t>33</w:t>
      </w:r>
      <w:r w:rsidRPr="00D72360">
        <w:fldChar w:fldCharType="end"/>
      </w:r>
      <w:bookmarkEnd w:id="81"/>
      <w:r w:rsidRPr="00D72360">
        <w:rPr>
          <w:rFonts w:cstheme="minorHAnsi"/>
        </w:rPr>
        <w:t xml:space="preserve">) are known to have major social and ecological consequences </w:t>
      </w:r>
      <w:r w:rsidRPr="00D72360">
        <w:fldChar w:fldCharType="begin" w:fldLock="1"/>
      </w:r>
      <w:r w:rsidR="00D24611">
        <w:instrText>ADDIN CSL_CITATION {"citationItems":[{"id":"ITEM-1","itemData":{"DOI":"10.1073/pnas.1602646113","ISBN":"1078087412473","ISSN":"0027-8424","PMID":"27035995","abstract":"SignificanceA growing global demand for agricultural products such as soybeans and beef is causing agriculture to expand into forest ecosystems. Many countries are tightening environmental regulations as a response. Because agricultural companies can move, there is a risk that stringent land-use regulations might just displace land conversion geographically. A better understanding of how these regulations affect companies movements is therefore crucial for designing effective conservation policies. Here we analyze the determinants of siting choices by agricultural companies. We find that companies that tend to clear more forest prefer areas with lower deforestation restrictions, and that all companies prefer areas with low enforcement. However, these effects are less important than the availability of forestland or the proximity to current investments. Growing demand for agricultural commodities is causing the expansion of agricultural frontiers onto native vegetation worldwide. Agribusiness companies linking these frontiers to distant spaces of consumption through global commodity chains increasingly make zero-deforestation pledges. However, production and land conversion are often carried out by less-visible local and regional actors that are mobile and responsive to new agricultural expansion opportunities and legal constraints on land use. With more stringent deforestation regulations in some countries, we ask whether their movements are determined partly by differences in land-use policies, resulting in \"deforestation havens.\" We analyze the determinants of investment decisions by agricultural companies in the Gran Chaco and Chiquitano, a region that has become the new deforestation \"hot spot\" in South America. We test whether companies seek out less-regulated forest areas for new agricultural investments. Based on interviews with 82 companies totaling 2.5 Mha of properties, we show that, in addition to proximity to current investments and the availability of cheap forestland, lower deforestation regulations attract investments by companies that tend to clear more forest, mostly cattle ranching operations, and that lower enforcement attracts all companies. Avoiding deforestation leakage requires harmonizing deforestation regulations across regions and commodities and promoting sustainable intensification in cattle ranching.","author":[{"dropping-particle":"","family":"Polain de Waroux","given":"Yann","non-dropping-particle":"le","parse-names":false,"suffix":""},{"dropping-particle":"","family":"Garrett","given":"Rachael D.","non-dropping-particle":"","parse-names":false,"suffix":""},{"dropping-particle":"","family":"Heilmayr","given":"Robert","non-dropping-particle":"","parse-names":false,"suffix":""},{"dropping-particle":"","family":"Lambin","given":"Eric F.","non-dropping-particle":"","parse-names":false,"suffix":""}],"container-title":"Proceedings of the National Academy of Sciences","id":"ITEM-1","issue":"15","issued":{"date-parts":[["2016"]]},"page":"4021-4026","title":"Land-use policies and corporate investments in agriculture in the Gran Chaco and Chiquitano","type":"article-journal","volume":"113"},"uris":["http://www.mendeley.com/documents/?uuid=c63484dc-31a7-4ffe-85a9-a08cdd15334e"]},{"id":"ITEM-2","itemData":{"DOI":"10.1016/j.gloenvcha.2017.05.001","ISSN":"09593780","abstract":"South America's tropical dry forests and savannas are under increasing pressure from agricultural expansion. Cattle ranching and soybean production both drive these forest losses, but their relative importance remains unclear. Also unclear is how soybean expansion elsewhere affects deforestation via pushing cattle ranching to deforestation frontiers. To assess these questions, we focused on the Chaco, a 110 million ha ecoregion extending into Argentina, Bolivia, and Paraguay, with about 8 million ha of deforestation in 2000–2012. We used panel regressions at the district level to quantify the role of soybean expansion in driving these forest losses using a wide range of environmental and socio-economic control variables. Our models suggest that soybean production was a direct driver of deforestation in the Argentine Chaco only (0.08 ha new soybean area per ha forest lost), whereas cattle ranching was significantly associated with deforestation in all three countries (0.02 additional cattle per hectare forest loss). However, our models also suggested Argentine soybean cultivation may indirectly be linked to deforestation in the Bolivian and Paraguayan Chaco. We furthermore found substantial time-delayed effects in the relationship of soybean expansion in Argentina and Paraguay (i.e., soybean expansion in one year resulted in deforestation several years later) and deforestation in the Chaco, further suggesting that possible displacement effects within and between Chaco countries may at least partly drive forest loss. Altogether, our study showed that deforestation in the Chaco appears to be mainly driven by the globally surging demand for soybean, although regionally other proximate drivers are sometimes important. Steering agricultural production in the Chaco and other tropical dry forests onto sustainable pathways will thus require policies that consider these scale effects and that account for the regional variation in deforestation drivers within and across countries.","author":[{"dropping-particle":"","family":"Fehlenberg","given":"Verena","non-dropping-particle":"","parse-names":false,"suffix":""},{"dropping-particle":"","family":"Baumann","given":"Matthias","non-dropping-particle":"","parse-names":false,"suffix":""},{"dropping-particle":"","family":"Gasparri","given":"Nestor Ignacio","non-dropping-particle":"","parse-names":false,"suffix":""},{"dropping-particle":"","family":"Piquer-Rodriguez","given":"Maria","non-dropping-particle":"","parse-names":false,"suffix":""},{"dropping-particle":"","family":"Gavier-Pizarro","given":"Gregorio","non-dropping-particle":"","parse-names":false,"suffix":""},{"dropping-particle":"","family":"Kuemmerle","given":"Tobias","non-dropping-particle":"","parse-names":false,"suffix":""}],"container-title":"Global Environmental Change","id":"ITEM-2","issue":"April","issued":{"date-parts":[["2017"]]},"page":"24-34","publisher":"Elsevier Ltd","title":"The role of soybean production as an underlying driver of deforestation in the South American Chaco","type":"article-journal","volume":"45"},"uris":["http://www.mendeley.com/documents/?uuid=0e3df460-1d83-4ea4-a8d3-71568c13dbe3"]}],"mendeley":{"formattedCitation":"&lt;sup&gt;46,48&lt;/sup&gt;","plainTextFormattedCitation":"46,48","previouslyFormattedCitation":"&lt;sup&gt;46,48&lt;/sup&gt;"},"properties":{"noteIndex":0},"schema":"https://github.com/citation-style-language/schema/raw/master/csl-citation.json"}</w:instrText>
      </w:r>
      <w:r w:rsidRPr="00D72360">
        <w:fldChar w:fldCharType="separate"/>
      </w:r>
      <w:bookmarkStart w:id="82" w:name="__Fieldmark__5953_3027855847"/>
      <w:r w:rsidR="00D24611" w:rsidRPr="00D24611">
        <w:rPr>
          <w:rFonts w:cstheme="minorHAnsi"/>
          <w:noProof/>
          <w:vertAlign w:val="superscript"/>
        </w:rPr>
        <w:t>46,48</w:t>
      </w:r>
      <w:r w:rsidRPr="00D72360">
        <w:fldChar w:fldCharType="end"/>
      </w:r>
      <w:bookmarkEnd w:id="82"/>
      <w:r w:rsidRPr="00D72360">
        <w:rPr>
          <w:rFonts w:cstheme="minorHAnsi"/>
        </w:rPr>
        <w:t xml:space="preserve">. </w:t>
      </w:r>
    </w:p>
    <w:p w14:paraId="4AD7BAD1" w14:textId="1E7B139A" w:rsidR="0007606A" w:rsidRPr="00D72360" w:rsidRDefault="00585506">
      <w:r w:rsidRPr="00D72360">
        <w:t>Importantly, our ‘</w:t>
      </w:r>
      <w:proofErr w:type="spellStart"/>
      <w:r w:rsidRPr="00D72360">
        <w:t>frontierness</w:t>
      </w:r>
      <w:proofErr w:type="spellEnd"/>
      <w:r w:rsidRPr="00D72360">
        <w:t xml:space="preserve">’ approach is robust to how cropland is defined, the choice and thematic resolution of the inputted cropland map, as well as the length of the time series considered. Results of including mosaic land cover classes (hereafter ‘mosaic’) were </w:t>
      </w:r>
      <w:proofErr w:type="gramStart"/>
      <w:r w:rsidRPr="00D72360">
        <w:t>similar to</w:t>
      </w:r>
      <w:proofErr w:type="gramEnd"/>
      <w:r w:rsidRPr="00D72360">
        <w:t xml:space="preserve"> the main analyses for the ‘extent’ analyses (Table S5). The explanatory power of existing predictors (Model 2) was lower in the ‘mosaic’ analyses for the 10% and 50% thresholds for the base ‘expansion’ models (0.16 vs 23 and 0.30 vs 0.41, respectively). However, importantly, for the models that included </w:t>
      </w:r>
      <w:proofErr w:type="spellStart"/>
      <w:r w:rsidRPr="00D72360">
        <w:t>frontierness</w:t>
      </w:r>
      <w:proofErr w:type="spellEnd"/>
      <w:r w:rsidRPr="00D72360">
        <w:t xml:space="preserve"> (Model 3), the explanatory power of the ‘mosaic’ models was identical to the main results (Table S6). These results suggest that existing predictors capture mosaic expansion poorly, likely as such mosaic expansion represents a smallholder driven expansion frontier.  Fortunately, our </w:t>
      </w:r>
      <w:proofErr w:type="spellStart"/>
      <w:r w:rsidRPr="00D72360">
        <w:t>frontierness</w:t>
      </w:r>
      <w:proofErr w:type="spellEnd"/>
      <w:r w:rsidRPr="00D72360">
        <w:t xml:space="preserve"> proxy is effective in explaining such mosaic expansion frontiers when the Null Model includes mosaic land cover classes in estimates of cropland. The choice of end date for the ‘expansion’ analyses was unimportant; end dates of 2013 and 2015 yielded almost identical explanatory power of all ‘expansion’ models (Table S6). Finally, </w:t>
      </w:r>
      <w:r w:rsidR="00D81B87" w:rsidRPr="00D72360">
        <w:t>r</w:t>
      </w:r>
      <w:r w:rsidRPr="00D72360">
        <w:t xml:space="preserve">esults of ‘extent’ analyses using either the ESA CCI data (main results) and </w:t>
      </w:r>
      <w:bookmarkStart w:id="83" w:name="_Hlk39495144"/>
      <w:r w:rsidRPr="00D72360">
        <w:t>MODIS data</w:t>
      </w:r>
      <w:r w:rsidR="00D81B87" w:rsidRPr="00D72360">
        <w:fldChar w:fldCharType="begin" w:fldLock="1"/>
      </w:r>
      <w:r w:rsidR="00D24611">
        <w:instrText>ADDIN CSL_CITATION {"citationItems":[{"id":"ITEM-1","itemData":{"DOI":"https://doi.org/10.5067/MODIS/MCD12C1.006","ISBN":"6371007.181","abstract":"The MODIS Land Cover Type Product (MCD12Q1) provides a suite of science data sets (SDSs) that map global land cover at 500 meter spatial resolution at annual time step for six different land cover legends. The maps were created from classifications of spectro-temporal features derived of data from the Moderate Resolution Imaging Spectroradiometer (MODIS). This user guide provides the following information related to the C6 product: 1. An overview of the MCD12Q1 algorithm, with references to published literature where more details can be found.","author":[{"dropping-particle":"","family":"Sulla-Menashe","given":"Damien","non-dropping-particle":"","parse-names":false,"suffix":""},{"dropping-particle":"","family":"Friedl","given":"Mark A","non-dropping-particle":"","parse-names":false,"suffix":""}],"id":"ITEM-1","issue":"Figure 1","issued":{"date-parts":[["2018"]]},"page":"1-18","title":"User Guide to Collection 6 MODIS Land Cover (MCD12Q1 and MCD12C1) Product","type":"article-journal"},"uris":["http://www.mendeley.com/documents/?uuid=14d7c2cb-984b-46e9-9e6b-74f7105821b1"]}],"mendeley":{"formattedCitation":"&lt;sup&gt;49&lt;/sup&gt;","plainTextFormattedCitation":"49","previouslyFormattedCitation":"&lt;sup&gt;49&lt;/sup&gt;"},"properties":{"noteIndex":0},"schema":"https://github.com/citation-style-language/schema/raw/master/csl-citation.json"}</w:instrText>
      </w:r>
      <w:r w:rsidR="00D81B87" w:rsidRPr="00D72360">
        <w:fldChar w:fldCharType="separate"/>
      </w:r>
      <w:r w:rsidR="00D24611" w:rsidRPr="00D24611">
        <w:rPr>
          <w:noProof/>
          <w:vertAlign w:val="superscript"/>
        </w:rPr>
        <w:t>49</w:t>
      </w:r>
      <w:r w:rsidR="00D81B87" w:rsidRPr="00D72360">
        <w:fldChar w:fldCharType="end"/>
      </w:r>
      <w:r w:rsidRPr="00D72360">
        <w:t xml:space="preserve"> </w:t>
      </w:r>
      <w:bookmarkEnd w:id="83"/>
      <w:r w:rsidRPr="00D72360">
        <w:t>for 2001-2015 also differed negligibly, likely as both datasets accurately represent the majority of cropland at the global scale</w:t>
      </w:r>
      <w:r w:rsidRPr="00D72360">
        <w:fldChar w:fldCharType="begin" w:fldLock="1"/>
      </w:r>
      <w:r w:rsidR="00D24611">
        <w:instrText>ADDIN CSL_CITATION {"citationItems":[{"id":"ITEM-1","itemData":{"DOI":"10.3390/rs9111118","ISBN":"3903327867","ISSN":"20724292","abstract":"Accurate and reliable information on the spatial distribution of major crops is needed for detecting possible production deficits with the aim of preventing food security crises and anticipating response planning. In this paper, we compared some of the most widely used global land cover datasets to examine their comparative advantages for cropland monitoring. Cropland class areas are compared for the following datasets: FAO-GLCshare (FAO Global Land Cover Network), Geowiki IIASA-Hybrid (Hybrid global land cover map from the International Institute of Applied System Analysis), GLC2000 (Global Land Cover 2000), GLCNMO2008 (Global Land Cover by National Mapping Organizations), GlobCover, Globeland30, LC-CCI (Land Cover Climate Change Initiative) 2010 and 2015, and MODISLC (MODIS Land Cover product). The methodology involves: (1) highlighting discrepancies in the extent and spatial distribution of cropland, (2) comparing the areas with FAO agricultural statistics at the country level, and (3) providing accuracy assessment through freely available reference datasets. Recommendations for crop monitoring at the country level are based on a priority ranking derived from the results obtained from analyses 2 and 3. Our results revealed that cropland information varies substantially among the analyzed land cover datasets. FAO-GLCshare and Globeland30 generally provided adequate results to monitor cropland areas, whereas LC-CCI2010 and GLC2000 are less unsuitable due to large overestimations in the former and out of date information and low accuracy in the latter. The recently launched LC-CCI datasets (i.e., LC-CCI2015) show a higher potential for cropland monitoring uses than the previous version (i.e., LC-CCI2010).","author":[{"dropping-particle":"","family":"Pérez-Hoyos","given":"Ana","non-dropping-particle":"","parse-names":false,"suffix":""},{"dropping-particle":"","family":"Rembold","given":"Felix","non-dropping-particle":"","parse-names":false,"suffix":""},{"dropping-particle":"","family":"Kerdiles","given":"Hervé","non-dropping-particle":"","parse-names":false,"suffix":""},{"dropping-particle":"","family":"Gallego","given":"Javier","non-dropping-particle":"","parse-names":false,"suffix":""}],"container-title":"Remote Sensing","id":"ITEM-1","issue":"11","issued":{"date-parts":[["2017"]]},"title":"Comparison of global land cover datasets for cropland monitoring","type":"article-journal","volume":"9"},"uris":["http://www.mendeley.com/documents/?uuid=0b13b0fd-3744-4a4c-ab8e-f57679874513"]}],"mendeley":{"formattedCitation":"&lt;sup&gt;50&lt;/sup&gt;","plainTextFormattedCitation":"50","previouslyFormattedCitation":"&lt;sup&gt;50&lt;/sup&gt;"},"properties":{"noteIndex":0},"schema":"https://github.com/citation-style-language/schema/raw/master/csl-citation.json"}</w:instrText>
      </w:r>
      <w:r w:rsidRPr="00D72360">
        <w:fldChar w:fldCharType="separate"/>
      </w:r>
      <w:r w:rsidR="00D24611" w:rsidRPr="00D24611">
        <w:rPr>
          <w:noProof/>
          <w:vertAlign w:val="superscript"/>
        </w:rPr>
        <w:t>50</w:t>
      </w:r>
      <w:r w:rsidRPr="00D72360">
        <w:fldChar w:fldCharType="end"/>
      </w:r>
      <w:r w:rsidRPr="00D72360">
        <w:t>(</w:t>
      </w:r>
      <w:r w:rsidR="008D19B5">
        <w:t>Supplementary Experimental Procedures</w:t>
      </w:r>
      <w:r w:rsidRPr="00D72360">
        <w:t>; Figs S3 &amp; S4; Table S7). However, the explanatory power of models using MODIS data was much higher than the CCI data for the 2001-2015 ‘expansion’ analyses; indeed, ‘expansion’ is better predicted than ‘extent’ based on the MODIS data (Table S7). Critically, adding ‘</w:t>
      </w:r>
      <w:proofErr w:type="spellStart"/>
      <w:r w:rsidRPr="00D72360">
        <w:t>frontierness</w:t>
      </w:r>
      <w:proofErr w:type="spellEnd"/>
      <w:r w:rsidRPr="00D72360">
        <w:t>’ still greatly improved the explanatory power (pseudo R</w:t>
      </w:r>
      <w:r w:rsidRPr="00D72360">
        <w:rPr>
          <w:vertAlign w:val="superscript"/>
        </w:rPr>
        <w:t>2</w:t>
      </w:r>
      <w:r w:rsidRPr="00D72360">
        <w:t>) of the MODIS expansion models (from 0.35 to 0.53 and 0.42 to 0</w:t>
      </w:r>
      <w:r w:rsidR="002A45A7" w:rsidRPr="00D72360">
        <w:t>.</w:t>
      </w:r>
      <w:r w:rsidRPr="00D72360">
        <w:t xml:space="preserve">57 for 0.5% and 10% cropland, respectively)(Table S7), again illustrating the robustness of our </w:t>
      </w:r>
      <w:proofErr w:type="spellStart"/>
      <w:r w:rsidRPr="00D72360">
        <w:t>frontierness</w:t>
      </w:r>
      <w:proofErr w:type="spellEnd"/>
      <w:r w:rsidRPr="00D72360">
        <w:t xml:space="preserve"> approach to varying definitions of cropland. The relative predictability of expansion as measured by MODIS is perhaps because underrepresentation of cropland by the MODIS data in 2001 (Fig S3) meant more of the measured expansion 2001-2015 </w:t>
      </w:r>
      <w:r w:rsidR="002A45A7" w:rsidRPr="00D72360">
        <w:t xml:space="preserve">occurred </w:t>
      </w:r>
      <w:r w:rsidRPr="00D72360">
        <w:t>within relatively predictable consolidated agricultural regions as opposed to frontier regions (Fig S4).</w:t>
      </w:r>
    </w:p>
    <w:p w14:paraId="7F96E364" w14:textId="0532C90E" w:rsidR="005B755B" w:rsidRPr="00D72360" w:rsidRDefault="00ED5576">
      <w:bookmarkStart w:id="84" w:name="_Hlk45873626"/>
      <w:r w:rsidRPr="00D72360">
        <w:t xml:space="preserve">As with any global analyses, our work here is subject to </w:t>
      </w:r>
      <w:proofErr w:type="gramStart"/>
      <w:r w:rsidRPr="00D72360">
        <w:t>a number of</w:t>
      </w:r>
      <w:proofErr w:type="gramEnd"/>
      <w:r w:rsidRPr="00D72360">
        <w:t xml:space="preserve"> caveats. </w:t>
      </w:r>
      <w:bookmarkStart w:id="85" w:name="_Hlk37066521"/>
      <w:bookmarkStart w:id="86" w:name="_Hlk36048065"/>
      <w:r w:rsidR="00A92E9F" w:rsidRPr="00D72360">
        <w:t>Firstly, we were unable to address adequately in the ‘extent’ analysis the issue of endogeneity of human population density</w:t>
      </w:r>
      <w:r w:rsidR="005F6946">
        <w:t>, GDP</w:t>
      </w:r>
      <w:r w:rsidR="00A92E9F" w:rsidRPr="00D72360">
        <w:t xml:space="preserve"> and cropland extent. Population growth is a known driver of cropland expansion</w:t>
      </w:r>
      <w:r w:rsidR="00A92E9F" w:rsidRPr="00D72360">
        <w:fldChar w:fldCharType="begin" w:fldLock="1"/>
      </w:r>
      <w:r w:rsidR="00D24611">
        <w:instrText>ADDIN CSL_CITATION {"citationItems":[{"id":"ITEM-1","itemData":{"DOI":"10.4324/9781315131450","ISBN":"020230793X","ISSN":"00324728","PMID":"8935034","author":[{"dropping-particle":"","family":"Boserup","given":"E.","non-dropping-particle":"","parse-names":false,"suffix":""}],"id":"ITEM-1","issued":{"date-parts":[["1965"]]},"publisher":"Allen &amp; Unwin","publisher-place":"London","title":"The Conditions of Agricultural Growth: The Economics of Agrarian Societies","type":"book"},"uris":["http://www.mendeley.com/documents/?uuid=e53b80d0-67ce-4f7c-9ae2-e162789cc87d"]}],"mendeley":{"formattedCitation":"&lt;sup&gt;51&lt;/sup&gt;","plainTextFormattedCitation":"51","previouslyFormattedCitation":"&lt;sup&gt;51&lt;/sup&gt;"},"properties":{"noteIndex":0},"schema":"https://github.com/citation-style-language/schema/raw/master/csl-citation.json"}</w:instrText>
      </w:r>
      <w:r w:rsidR="00A92E9F" w:rsidRPr="00D72360">
        <w:fldChar w:fldCharType="separate"/>
      </w:r>
      <w:r w:rsidR="00D24611" w:rsidRPr="00D24611">
        <w:rPr>
          <w:noProof/>
          <w:vertAlign w:val="superscript"/>
        </w:rPr>
        <w:t>51</w:t>
      </w:r>
      <w:r w:rsidR="00A92E9F" w:rsidRPr="00D72360">
        <w:fldChar w:fldCharType="end"/>
      </w:r>
      <w:r w:rsidR="00A92E9F" w:rsidRPr="00D72360">
        <w:t>, but people are drawn to existing agricultural areas, as reflected by the establishment of many of the world’s great cities within areas with rich agricultural lands. As population density is measured in 1990, and cropland</w:t>
      </w:r>
      <w:r w:rsidR="005F6946">
        <w:t xml:space="preserve"> and GDP</w:t>
      </w:r>
      <w:r w:rsidR="00A92E9F" w:rsidRPr="00D72360">
        <w:t xml:space="preserve"> in 1992, it is impossible to ascertain statistically which one</w:t>
      </w:r>
      <w:r w:rsidR="005F6946">
        <w:t>s</w:t>
      </w:r>
      <w:r w:rsidR="00A92E9F" w:rsidRPr="00D72360">
        <w:t xml:space="preserve"> </w:t>
      </w:r>
      <w:r w:rsidR="005F6946">
        <w:t>are</w:t>
      </w:r>
      <w:r w:rsidR="00A92E9F" w:rsidRPr="00D72360">
        <w:t xml:space="preserve"> causal. </w:t>
      </w:r>
      <w:bookmarkEnd w:id="84"/>
      <w:r w:rsidR="00A92E9F" w:rsidRPr="00D72360">
        <w:t xml:space="preserve"> The issue of endogeneity also affects the ‘market access’ layer, as this is based on city populations and human populations in 2000</w:t>
      </w:r>
      <w:r w:rsidR="00A92E9F" w:rsidRPr="00D72360">
        <w:fldChar w:fldCharType="begin" w:fldLock="1"/>
      </w:r>
      <w:r w:rsidR="00D24611">
        <w:instrText>ADDIN CSL_CITATION {"citationItems":[{"id":"ITEM-1","itemData":{"DOI":"10.1088/1748-9326/6/3/034019","ISBN":"1748-9326","ISSN":"1748-9326","abstract":"Markets influence the global patterns of urbanization, deforestation, agriculture and other land use systems. Yet market influence is rarely incorporated into spatially explicit global studies of environmental change, largely because consistent global data are lacking below the national level. Here we present the first high spatial resolution gridded data depicting market influence globally. The data jointly represent variations in both market strength and accessibility based on three market influence indices derived from an index of accessibility to market locations and national level gross domestic product (purchasing power parity). These indices show strong correspondence with human population density while also revealing several distinct and useful relationships with other global environmental patterns. As market influence grows, the need for high resolution global data on market influence and its dynamics will become increasingly important to understanding and forecasting global environmental change.","author":[{"dropping-particle":"","family":"Verburg","given":"Peter H.","non-dropping-particle":"","parse-names":false,"suffix":""},{"dropping-particle":"","family":"Ellis","given":"Erle C.","non-dropping-particle":"","parse-names":false,"suffix":""},{"dropping-particle":"","family":"Letourneau","given":"Aurelien","non-dropping-particle":"","parse-names":false,"suffix":""}],"container-title":"Environmental Research Letters","id":"ITEM-1","issue":"3","issued":{"date-parts":[["2011","7","1"]]},"page":"034019","title":"A global assessment of market accessibility and market influence for global environmental change studies","type":"article-journal","volume":"6"},"uris":["http://www.mendeley.com/documents/?uuid=8badd825-def1-472f-8657-d00c16f39f47"]}],"mendeley":{"formattedCitation":"&lt;sup&gt;52&lt;/sup&gt;","plainTextFormattedCitation":"52","previouslyFormattedCitation":"&lt;sup&gt;52&lt;/sup&gt;"},"properties":{"noteIndex":0},"schema":"https://github.com/citation-style-language/schema/raw/master/csl-citation.json"}</w:instrText>
      </w:r>
      <w:r w:rsidR="00A92E9F" w:rsidRPr="00D72360">
        <w:fldChar w:fldCharType="separate"/>
      </w:r>
      <w:r w:rsidR="00D24611" w:rsidRPr="00D24611">
        <w:rPr>
          <w:noProof/>
          <w:vertAlign w:val="superscript"/>
        </w:rPr>
        <w:t>52</w:t>
      </w:r>
      <w:r w:rsidR="00A92E9F" w:rsidRPr="00D72360">
        <w:fldChar w:fldCharType="end"/>
      </w:r>
      <w:r w:rsidR="00A92E9F" w:rsidRPr="00D72360">
        <w:t>. Unfortunately, these issues of endogeneity cannot be addressed as no spatially resolved global primary datasets of human population exist prior to 1990; as such the ‘extent’ analyses should be viewed with more caution than the ‘expansion’ analyses, which do not suffer from this problem.</w:t>
      </w:r>
      <w:bookmarkEnd w:id="85"/>
      <w:r w:rsidR="002B331C" w:rsidRPr="00D72360">
        <w:t xml:space="preserve"> </w:t>
      </w:r>
      <w:bookmarkEnd w:id="86"/>
      <w:r w:rsidR="002B331C" w:rsidRPr="00D72360">
        <w:t>Secondly</w:t>
      </w:r>
      <w:r w:rsidRPr="00D72360">
        <w:t xml:space="preserve">, as gridded global time series for key potential drivers of </w:t>
      </w:r>
      <w:r w:rsidRPr="00D72360">
        <w:lastRenderedPageBreak/>
        <w:t xml:space="preserve">expansion (e.g. population) do not exist prior to 1990, we were unable to test if past trajectories of change of population (or GDP) can improve the </w:t>
      </w:r>
      <w:r w:rsidR="005F6946">
        <w:t>predictive</w:t>
      </w:r>
      <w:r w:rsidR="005F6946" w:rsidRPr="00D72360">
        <w:t xml:space="preserve"> </w:t>
      </w:r>
      <w:r w:rsidRPr="00D72360">
        <w:t xml:space="preserve">power of models of cropland expansion and reduce the utility of </w:t>
      </w:r>
      <w:proofErr w:type="spellStart"/>
      <w:r w:rsidRPr="00D72360">
        <w:t>frontierness</w:t>
      </w:r>
      <w:proofErr w:type="spellEnd"/>
      <w:r w:rsidRPr="00D72360">
        <w:t xml:space="preserve">. Changes in population density, human development index (HDI) and GDP between 1990 and 2015 (post-hoc overlap analyses; see </w:t>
      </w:r>
      <w:r w:rsidR="008D19B5">
        <w:t>Supplementary Experimental Procedures</w:t>
      </w:r>
      <w:r w:rsidRPr="00D72360">
        <w:t xml:space="preserve"> and Table S</w:t>
      </w:r>
      <w:r w:rsidR="00787513" w:rsidRPr="00D72360">
        <w:t>8</w:t>
      </w:r>
      <w:r w:rsidRPr="00D72360">
        <w:t xml:space="preserve">) were not associated with cropland expansion at the 0.5% and 10% threshold. However, it is possible that longer-term, and lagged changes in socio-economic variables could be important predictors of future expansion; testing this should be a priority as such data becomes available. </w:t>
      </w:r>
    </w:p>
    <w:p w14:paraId="6753E240" w14:textId="73829B62" w:rsidR="008F6BF2" w:rsidRPr="000B1355" w:rsidRDefault="00ED5576">
      <w:r w:rsidRPr="00D72360">
        <w:t xml:space="preserve">Accurate predictions of cropland expansion are critical in understanding both issues of food security and climate change </w:t>
      </w:r>
      <w:r w:rsidRPr="00D72360">
        <w:fldChar w:fldCharType="begin" w:fldLock="1"/>
      </w:r>
      <w:r w:rsidR="00D24611">
        <w:instrText>ADDIN CSL_CITATION {"citationItems":[{"id":"ITEM-1","itemData":{"DOI":"10.1073/pnas.1222463110","ISSN":"0027-8424","abstract":"Here we present the results from an intercomparison of multiple global gridded crop models (GGCMs) within the framework of the Agricultural Model Intercomparison and Improvement Project and the Inter-Sectoral Impacts Model Intercomparison Project. Results indicate strong negative effects of climate change, especially at higher levels of warming and at low latitudes; models that include explicit nitrogen stress project more severe impacts. Across seven GGCMs, five global climate models, and four representative concentration pathways, model agreement on direction of yield changes is found in many major agricultural regions at both low and high latitudes; however, reducing uncertainty in sign of response in mid-latitude regions remains a challenge. Uncertainties related to the representation of carbon dioxide, nitrogen, and high temperature effects demonstrated here show that further research is urgently needed to better understand effects of climate change on agricultural production and to devise targeted adaptation strategies.","author":[{"dropping-particle":"","family":"Rosenzweig","given":"Cynthia","non-dropping-particle":"","parse-names":false,"suffix":""},{"dropping-particle":"","family":"Elliott","given":"Joshua","non-dropping-particle":"","parse-names":false,"suffix":""},{"dropping-particle":"","family":"Deryng","given":"Delphine","non-dropping-particle":"","parse-names":false,"suffix":""},{"dropping-particle":"","family":"Ruane","given":"Alex C.","non-dropping-particle":"","parse-names":false,"suffix":""},{"dropping-particle":"","family":"Müller","given":"Christoph","non-dropping-particle":"","parse-names":false,"suffix":""},{"dropping-particle":"","family":"Arneth","given":"Almut","non-dropping-particle":"","parse-names":false,"suffix":""},{"dropping-particle":"","family":"Boote","given":"Kenneth J.","non-dropping-particle":"","parse-names":false,"suffix":""},{"dropping-particle":"","family":"Folberth","given":"Christian","non-dropping-particle":"","parse-names":false,"suffix":""},{"dropping-particle":"","family":"Glotter","given":"Michael","non-dropping-particle":"","parse-names":false,"suffix":""},{"dropping-particle":"","family":"Khabarov","given":"Nikolay","non-dropping-particle":"","parse-names":false,"suffix":""},{"dropping-particle":"","family":"Neumann","given":"Kathleen","non-dropping-particle":"","parse-names":false,"suffix":""},{"dropping-particle":"","family":"Piontek","given":"Franziska","non-dropping-particle":"","parse-names":false,"suffix":""},{"dropping-particle":"","family":"Pugh","given":"Thomas A. M.","non-dropping-particle":"","parse-names":false,"suffix":""},{"dropping-particle":"","family":"Schmid","given":"Erwin","non-dropping-particle":"","parse-names":false,"suffix":""},{"dropping-particle":"","family":"Stehfest","given":"Elke","non-dropping-particle":"","parse-names":false,"suffix":""},{"dropping-particle":"","family":"Yang","given":"Hong","non-dropping-particle":"","parse-names":false,"suffix":""},{"dropping-particle":"","family":"Jones","given":"James W.","non-dropping-particle":"","parse-names":false,"suffix":""}],"container-title":"Proceedings of the National Academy of Sciences","id":"ITEM-1","issue":"9","issued":{"date-parts":[["2014"]]},"page":"3268-3273","title":"Assessing agricultural risks of climate change in the 21st century in a global gridded crop model intercomparison","type":"article-journal","volume":"111"},"uris":["http://www.mendeley.com/documents/?uuid=30b3c7ed-05ce-4581-a50a-2c63193a5138"]}],"mendeley":{"formattedCitation":"&lt;sup&gt;53&lt;/sup&gt;","plainTextFormattedCitation":"53","previouslyFormattedCitation":"&lt;sup&gt;53&lt;/sup&gt;"},"properties":{"noteIndex":0},"schema":"https://github.com/citation-style-language/schema/raw/master/csl-citation.json"}</w:instrText>
      </w:r>
      <w:r w:rsidRPr="00D72360">
        <w:fldChar w:fldCharType="separate"/>
      </w:r>
      <w:bookmarkStart w:id="87" w:name="__Fieldmark__5997_3027855847"/>
      <w:bookmarkStart w:id="88" w:name="__Fieldmark__3482_531043149"/>
      <w:r w:rsidR="00D24611" w:rsidRPr="00D24611">
        <w:rPr>
          <w:noProof/>
          <w:vertAlign w:val="superscript"/>
        </w:rPr>
        <w:t>53</w:t>
      </w:r>
      <w:r w:rsidRPr="00D72360">
        <w:fldChar w:fldCharType="end"/>
      </w:r>
      <w:bookmarkEnd w:id="87"/>
      <w:bookmarkEnd w:id="88"/>
      <w:r w:rsidRPr="00D72360">
        <w:t xml:space="preserve">, but also how these in turn affect biodiversity </w:t>
      </w:r>
      <w:r w:rsidRPr="00D72360">
        <w:fldChar w:fldCharType="begin" w:fldLock="1"/>
      </w:r>
      <w:r w:rsidR="00D24611">
        <w:instrText>ADDIN CSL_CITATION {"citationItems":[{"id":"ITEM-1","itemData":{"DOI":"10.1038/s41467-019-10775-z","ISBN":"4146701910","abstract":"With rising demand for biomass, cropland expansion and intensification represent the main strategies to boost agricultural production, but are also major drivers of biodiversity decline. We investigate the consequences of attaining equal global production gains by 2030, either by cropland expansion or intensification, and analyse their impacts on agricultural markets and biodiversity. We find that both scenarios lead to lower crop prices across the world, even in regions where production decreases. Cropland expansion mostly affects biodiversity hotspots in Central and South America, while cropland intensification threatens biodiversity especially in Sub-Saharan Africa, India and China. Our results suggest that production gains will occur at the costs of biodiversity predominantly in developing tropical regions, while Europe and North America benefit from lower world market prices without putting their own biodiversity at risk. By identifying hotspots of potential future conflicts, we demonstrate where conservation prioritization is needed to balance agricultural production with conservation goals.","author":[{"dropping-particle":"","family":"Zabel","given":"Florian","non-dropping-particle":"","parse-names":false,"suffix":""},{"dropping-particle":"","family":"Delzeit","given":"Ruth","non-dropping-particle":"","parse-names":false,"suffix":""},{"dropping-particle":"","family":"Schneider","given":"Julia M.","non-dropping-particle":"","parse-names":false,"suffix":""},{"dropping-particle":"","family":"Seppelt","given":"Ralf","non-dropping-particle":"","parse-names":false,"suffix":""},{"dropping-particle":"","family":"Mauser","given":"Wolfram","non-dropping-particle":"","parse-names":false,"suffix":""},{"dropping-particle":"","family":"Václavík","given":"Tomáš","non-dropping-particle":"","parse-names":false,"suffix":""}],"container-title":"Nature Communications","id":"ITEM-1","issue":"1","issued":{"date-parts":[["2019"]]},"page":"1-10","title":"Global impacts of future cropland expansion and intensification on agricultural markets and biodiversity","type":"article-journal","volume":"10"},"uris":["http://www.mendeley.com/documents/?uuid=045b623f-495d-4898-abe4-ea2e12b3ea47"]},{"id":"ITEM-2","itemData":{"DOI":"10.1073/pnas.1807745115","ISSN":"0027-8424","abstract":"Climate and land-use change interactively affect biodiversity. Large-scale expansions of bioenergy have been suggested as an important component for climate change mitigation. Here we use harmonized climate and land-use projections to investigate their potential combined impacts on global vertebrate diversity under a low- and a high-level emission scenario. We combine climate-based species distribution models for the world’s amphibians, birds, and mammals with land-use change simulations and identify areas threatened by both climate and land-use change in the future. The combined projected effects of climate and land-use change on vertebrate diversity are similar under the two scenarios, with land-use change effects being stronger under the low- and climate change effects under the high-emission scenario. Under the low-emission scenario, increases in bioenergy cropland may cause severe impacts in biodiversity that are not compensated by lower climate change impacts. Under this low-emission scenario, larger proportions of species distributions and a higher number of small-range species may become impacted by the combination of land-use and climate change than under the high-emission scenario, largely a result of bioenergy cropland expansion. Our findings highlight the need to carefully consider both climate and land-use change when projecting biodiversity impacts. We show that biodiversity is likely to suffer severely if bioenergy cropland expansion remains a major component of climate change mitigation strategies. Our study calls for an immediate and significant reduction in energy consumption for the benefit of both biodiversity and to achieve the goals of the Paris Agreement.","author":[{"dropping-particle":"","family":"Hof","given":"Christian","non-dropping-particle":"","parse-names":false,"suffix":""},{"dropping-particle":"","family":"Voskamp","given":"Alke","non-dropping-particle":"","parse-names":false,"suffix":""},{"dropping-particle":"","family":"Biber","given":"Matthias F.","non-dropping-particle":"","parse-names":false,"suffix":""},{"dropping-particle":"","family":"Böhning-Gaese","given":"Katrin","non-dropping-particle":"","parse-names":false,"suffix":""},{"dropping-particle":"","family":"Engelhardt","given":"Eva Katharina","non-dropping-particle":"","parse-names":false,"suffix":""},{"dropping-particle":"","family":"Niamir","given":"Aidin","non-dropping-particle":"","parse-names":false,"suffix":""},{"dropping-particle":"","family":"Willis","given":"Stephen G.","non-dropping-particle":"","parse-names":false,"suffix":""},{"dropping-particle":"","family":"Hickler","given":"Thomas","non-dropping-particle":"","parse-names":false,"suffix":""}],"container-title":"Proceedings of the National Academy of Sciences","id":"ITEM-2","issue":"52","issued":{"date-parts":[["2018"]]},"page":"13294-13299","title":"Bioenergy cropland expansion may offset positive effects of climate change mitigation for global vertebrate diversity","type":"article-journal","volume":"115"},"uris":["http://www.mendeley.com/documents/?uuid=b71c1e09-1558-468e-b4b2-c1210ff7095b"]}],"mendeley":{"formattedCitation":"&lt;sup&gt;6,54&lt;/sup&gt;","plainTextFormattedCitation":"6,54","previouslyFormattedCitation":"&lt;sup&gt;6,54&lt;/sup&gt;"},"properties":{"noteIndex":0},"schema":"https://github.com/citation-style-language/schema/raw/master/csl-citation.json"}</w:instrText>
      </w:r>
      <w:r w:rsidRPr="00D72360">
        <w:fldChar w:fldCharType="separate"/>
      </w:r>
      <w:bookmarkStart w:id="89" w:name="__Fieldmark__6005_3027855847"/>
      <w:bookmarkStart w:id="90" w:name="__Fieldmark__3487_531043149"/>
      <w:r w:rsidR="00D24611" w:rsidRPr="00D24611">
        <w:rPr>
          <w:noProof/>
          <w:vertAlign w:val="superscript"/>
        </w:rPr>
        <w:t>6,54</w:t>
      </w:r>
      <w:r w:rsidRPr="00D72360">
        <w:fldChar w:fldCharType="end"/>
      </w:r>
      <w:bookmarkEnd w:id="89"/>
      <w:bookmarkEnd w:id="90"/>
      <w:r w:rsidRPr="00D72360">
        <w:t xml:space="preserve">. This study shows that </w:t>
      </w:r>
      <w:r w:rsidR="004B4BE8" w:rsidRPr="00D72360">
        <w:t xml:space="preserve">in general </w:t>
      </w:r>
      <w:r w:rsidRPr="00D72360">
        <w:t>recent cropland expansion cannot be explained well with currently available data</w:t>
      </w:r>
      <w:bookmarkStart w:id="91" w:name="_Hlk37839689"/>
      <w:r w:rsidRPr="00D72360">
        <w:t xml:space="preserve">. </w:t>
      </w:r>
      <w:r w:rsidR="00D809DC" w:rsidRPr="00D809DC">
        <w:t xml:space="preserve">Our study also highlights the value using residual deviations from a model of current extent of cropland (our </w:t>
      </w:r>
      <w:proofErr w:type="spellStart"/>
      <w:r w:rsidR="00D809DC" w:rsidRPr="00D809DC">
        <w:t>frontierness</w:t>
      </w:r>
      <w:proofErr w:type="spellEnd"/>
      <w:r w:rsidR="00D809DC" w:rsidRPr="00D809DC">
        <w:t xml:space="preserve"> proxy) as a new way of improving the predictive power of models of cropland expansion over and above what is possible with globally available predictor variables. </w:t>
      </w:r>
      <w:bookmarkStart w:id="92" w:name="_Hlk46234568"/>
      <w:r w:rsidR="000B1355" w:rsidRPr="000B1355">
        <w:t>This is likely because these residuals</w:t>
      </w:r>
      <w:r w:rsidR="000B1355">
        <w:t>,</w:t>
      </w:r>
      <w:r w:rsidR="000B1355" w:rsidRPr="000B1355">
        <w:t xml:space="preserve"> potentially representing expansion frontiers</w:t>
      </w:r>
      <w:r w:rsidR="000B1355">
        <w:t>,</w:t>
      </w:r>
      <w:r w:rsidR="000B1355" w:rsidRPr="000B1355">
        <w:t xml:space="preserve"> are not currently captured in global model</w:t>
      </w:r>
      <w:r w:rsidR="00D809DC" w:rsidRPr="00D809DC">
        <w:t xml:space="preserve">s </w:t>
      </w:r>
      <w:r w:rsidR="00D809DC" w:rsidRPr="00D809DC">
        <w:fldChar w:fldCharType="begin" w:fldLock="1"/>
      </w:r>
      <w:r w:rsidR="00D809DC" w:rsidRPr="00D809DC">
        <w:instrText>ADDIN CSL_CITATION {"citationItems":[{"id":"ITEM-1","itemData":{"DOI":"10.1038/s41467-019-09945-w","ISSN":"20411723","abstract":"Land use is at the core of various sustainable development goals. Long-term climate foresight studies have structured their recent analyses around five socio-economic pathways (SSPs), with consistent storylines of future macroeconomic and societal developments; however, model quantification of these scenarios shows substantial heterogeneity in land-use projections. Here we build on a recently developed sensitivity approach to identify how future land use depends on six distinct socio-economic drivers (population, wealth, consumption preferences, agricultural productivity, land-use regulation, and trade) and their interactions. Spread across models arises mostly from diverging sensitivities to long-term drivers and from various representations of land-use regulation and trade, calling for reconciliation efforts and more empirical research. Most influential determinants for future cropland and pasture extent are population and agricultural efficiency. Furthermore, land-use regulation and consumption changes can play a key role in reducing both land use and food-security risks, and need to be central elements in sustainable development strategies.","author":[{"dropping-particle":"","family":"Stehfest","given":"Elke","non-dropping-particle":"","parse-names":false,"suffix":""},{"dropping-particle":"","family":"Zeist","given":"Willem Jan","non-dropping-particle":"van","parse-names":false,"suffix":""},{"dropping-particle":"","family":"Valin","given":"Hugo","non-dropping-particle":"","parse-names":false,"suffix":""},{"dropping-particle":"","family":"Havlik","given":"Petr","non-dropping-particle":"","parse-names":false,"suffix":""},{"dropping-particle":"","family":"Popp","given":"Alexander","non-dropping-particle":"","parse-names":false,"suffix":""},{"dropping-particle":"","family":"Kyle","given":"Page","non-dropping-particle":"","parse-names":false,"suffix":""},{"dropping-particle":"","family":"Tabeau","given":"Andrzej","non-dropping-particle":"","parse-names":false,"suffix":""},{"dropping-particle":"","family":"Mason-D’Croz","given":"Daniel","non-dropping-particle":"","parse-names":false,"suffix":""},{"dropping-particle":"","family":"Hasegawa","given":"Tomoko","non-dropping-particle":"","parse-names":false,"suffix":""},{"dropping-particle":"","family":"Bodirsky","given":"Benjamin L.","non-dropping-particle":"","parse-names":false,"suffix":""},{"dropping-particle":"","family":"Calvin","given":"Katherine","non-dropping-particle":"","parse-names":false,"suffix":""},{"dropping-particle":"","family":"Doelman","given":"Jonathan C.","non-dropping-particle":"","parse-names":false,"suffix":""},{"dropping-particle":"","family":"Fujimori","given":"Shinichiro","non-dropping-particle":"","parse-names":false,"suffix":""},{"dropping-particle":"","family":"Humpenöder","given":"Florian","non-dropping-particle":"","parse-names":false,"suffix":""},{"dropping-particle":"","family":"Lotze-Campen","given":"Hermann","non-dropping-particle":"","parse-names":false,"suffix":""},{"dropping-particle":"","family":"Meijl","given":"Hans","non-dropping-particle":"van","parse-names":false,"suffix":""},{"dropping-particle":"","family":"Wiebe","given":"Keith","non-dropping-particle":"","parse-names":false,"suffix":""}],"container-title":"Nature Communications","id":"ITEM-1","issue":"1","issued":{"date-parts":[["2019"]]},"page":"1-10","publisher":"Springer US","title":"Key determinants of global land-use projections","type":"article-journal","volume":"10"},"uris":["http://www.mendeley.com/documents/?uuid=0438b11b-cf9c-435e-a2be-52998cab9d27","http://www.mendeley.com/documents/?uuid=e3e46f98-f490-4005-b296-cd9a7cdf466c"]}],"mendeley":{"formattedCitation":"&lt;sup&gt;13&lt;/sup&gt;","plainTextFormattedCitation":"13","previouslyFormattedCitation":"&lt;sup&gt;13&lt;/sup&gt;"},"properties":{"noteIndex":0},"schema":"https://github.com/citation-style-language/schema/raw/master/csl-citation.json"}</w:instrText>
      </w:r>
      <w:r w:rsidR="00D809DC" w:rsidRPr="00D809DC">
        <w:fldChar w:fldCharType="separate"/>
      </w:r>
      <w:r w:rsidR="00D809DC" w:rsidRPr="00D809DC">
        <w:rPr>
          <w:noProof/>
          <w:vertAlign w:val="superscript"/>
        </w:rPr>
        <w:t>13</w:t>
      </w:r>
      <w:r w:rsidR="00D809DC" w:rsidRPr="00D809DC">
        <w:fldChar w:fldCharType="end"/>
      </w:r>
      <w:r w:rsidR="00D809DC" w:rsidRPr="00D809DC">
        <w:t xml:space="preserve">, and is particularly true for models that include mosaic land cover classes. </w:t>
      </w:r>
      <w:bookmarkEnd w:id="91"/>
      <w:bookmarkEnd w:id="92"/>
      <w:r w:rsidRPr="00D72360">
        <w:t xml:space="preserve">Taken together, our results both show the limits of current data and approaches for predicting cropland </w:t>
      </w:r>
      <w:proofErr w:type="gramStart"/>
      <w:r w:rsidRPr="00D72360">
        <w:t>globally, and</w:t>
      </w:r>
      <w:proofErr w:type="gramEnd"/>
      <w:r w:rsidRPr="00D72360">
        <w:t xml:space="preserve"> offer some novel and promising ways forward for such work.  </w:t>
      </w:r>
    </w:p>
    <w:p w14:paraId="3E1F71D9" w14:textId="77777777" w:rsidR="00A05360" w:rsidRPr="00E04F26" w:rsidRDefault="00A05360" w:rsidP="00A05360">
      <w:pPr>
        <w:rPr>
          <w:b/>
          <w:bCs/>
        </w:rPr>
      </w:pPr>
      <w:r w:rsidRPr="00D72360">
        <w:rPr>
          <w:b/>
          <w:bCs/>
        </w:rPr>
        <w:t xml:space="preserve">Experimental Procedures </w:t>
      </w:r>
    </w:p>
    <w:p w14:paraId="298B776D" w14:textId="46109A93" w:rsidR="00F527D2" w:rsidRPr="00A05360" w:rsidRDefault="00F527D2">
      <w:pPr>
        <w:rPr>
          <w:i/>
          <w:u w:val="single"/>
        </w:rPr>
      </w:pPr>
      <w:r w:rsidRPr="00A05360">
        <w:rPr>
          <w:i/>
          <w:u w:val="single"/>
        </w:rPr>
        <w:t>Resource Availability</w:t>
      </w:r>
    </w:p>
    <w:p w14:paraId="3060A700" w14:textId="77777777" w:rsidR="00E04F26" w:rsidRDefault="00E04F26">
      <w:r>
        <w:rPr>
          <w:i/>
        </w:rPr>
        <w:t>Lead Contact</w:t>
      </w:r>
      <w:r w:rsidRPr="00E04F26">
        <w:t xml:space="preserve"> </w:t>
      </w:r>
    </w:p>
    <w:p w14:paraId="68EFFA29" w14:textId="22875F2B" w:rsidR="00F527D2" w:rsidRPr="00E04F26" w:rsidRDefault="00E04F26">
      <w:pPr>
        <w:rPr>
          <w:iCs/>
        </w:rPr>
      </w:pPr>
      <w:r w:rsidRPr="00E04F26">
        <w:rPr>
          <w:iCs/>
        </w:rPr>
        <w:t xml:space="preserve">Further </w:t>
      </w:r>
      <w:r>
        <w:rPr>
          <w:iCs/>
        </w:rPr>
        <w:t xml:space="preserve">questions about the analysis </w:t>
      </w:r>
      <w:r w:rsidRPr="00E04F26">
        <w:rPr>
          <w:iCs/>
        </w:rPr>
        <w:t xml:space="preserve">should be directed to and will be fulfilled by the Lead Contact, </w:t>
      </w:r>
      <w:r>
        <w:rPr>
          <w:iCs/>
        </w:rPr>
        <w:t>Felix Eigenbrod</w:t>
      </w:r>
      <w:r w:rsidRPr="00E04F26">
        <w:rPr>
          <w:iCs/>
        </w:rPr>
        <w:t xml:space="preserve"> (</w:t>
      </w:r>
      <w:hyperlink r:id="rId9" w:history="1">
        <w:r w:rsidRPr="000D26BC">
          <w:rPr>
            <w:rStyle w:val="Hyperlink"/>
            <w:iCs/>
          </w:rPr>
          <w:t>f.eigenbrod@soton.ac.uk</w:t>
        </w:r>
      </w:hyperlink>
      <w:r w:rsidRPr="00E04F26">
        <w:rPr>
          <w:iCs/>
        </w:rPr>
        <w:t>).</w:t>
      </w:r>
    </w:p>
    <w:p w14:paraId="7B0E39BF" w14:textId="77777777" w:rsidR="00E04F26" w:rsidRDefault="00E04F26">
      <w:r>
        <w:rPr>
          <w:i/>
        </w:rPr>
        <w:t>Materials Availability</w:t>
      </w:r>
      <w:r w:rsidRPr="00E04F26">
        <w:t xml:space="preserve"> </w:t>
      </w:r>
    </w:p>
    <w:p w14:paraId="2539CD9D" w14:textId="275115A0" w:rsidR="00E04F26" w:rsidRDefault="00E04F26">
      <w:pPr>
        <w:rPr>
          <w:i/>
        </w:rPr>
      </w:pPr>
      <w:r w:rsidRPr="00E04F26">
        <w:rPr>
          <w:iCs/>
        </w:rPr>
        <w:t>This study did not generate new unique materials</w:t>
      </w:r>
      <w:r w:rsidRPr="00E04F26">
        <w:rPr>
          <w:i/>
        </w:rPr>
        <w:t>.</w:t>
      </w:r>
    </w:p>
    <w:p w14:paraId="48066188" w14:textId="77777777" w:rsidR="00E04F26" w:rsidRDefault="00E04F26">
      <w:r>
        <w:rPr>
          <w:i/>
        </w:rPr>
        <w:t>Data and Code Availability</w:t>
      </w:r>
      <w:r w:rsidRPr="00E04F26">
        <w:t xml:space="preserve"> </w:t>
      </w:r>
    </w:p>
    <w:p w14:paraId="6CB75664" w14:textId="24640665" w:rsidR="00E04F26" w:rsidRPr="00E04F26" w:rsidRDefault="00E04F26">
      <w:pPr>
        <w:rPr>
          <w:iCs/>
        </w:rPr>
      </w:pPr>
      <w:r w:rsidRPr="00E04F26">
        <w:rPr>
          <w:iCs/>
        </w:rPr>
        <w:t>The</w:t>
      </w:r>
      <w:r w:rsidR="002972D0">
        <w:rPr>
          <w:iCs/>
        </w:rPr>
        <w:t xml:space="preserve"> </w:t>
      </w:r>
      <w:r w:rsidR="0086242C">
        <w:rPr>
          <w:iCs/>
        </w:rPr>
        <w:t xml:space="preserve">code used for all analyses </w:t>
      </w:r>
      <w:r w:rsidRPr="00E04F26">
        <w:rPr>
          <w:iCs/>
        </w:rPr>
        <w:t>generated during this study</w:t>
      </w:r>
      <w:r w:rsidR="00A9492F">
        <w:rPr>
          <w:iCs/>
        </w:rPr>
        <w:t>, as well as .</w:t>
      </w:r>
      <w:proofErr w:type="spellStart"/>
      <w:r w:rsidR="00A9492F">
        <w:rPr>
          <w:iCs/>
        </w:rPr>
        <w:t>tif</w:t>
      </w:r>
      <w:proofErr w:type="spellEnd"/>
      <w:r w:rsidR="00A9492F">
        <w:rPr>
          <w:iCs/>
        </w:rPr>
        <w:t xml:space="preserve"> files of </w:t>
      </w:r>
      <w:proofErr w:type="spellStart"/>
      <w:r w:rsidR="00A9492F">
        <w:rPr>
          <w:iCs/>
        </w:rPr>
        <w:t>frontierness</w:t>
      </w:r>
      <w:proofErr w:type="spellEnd"/>
      <w:r w:rsidR="00A9492F">
        <w:rPr>
          <w:iCs/>
        </w:rPr>
        <w:t xml:space="preserve"> for 2001 and 2015</w:t>
      </w:r>
      <w:r w:rsidRPr="00E04F26">
        <w:rPr>
          <w:iCs/>
        </w:rPr>
        <w:t xml:space="preserve"> are </w:t>
      </w:r>
      <w:r w:rsidR="00A9492F">
        <w:rPr>
          <w:iCs/>
        </w:rPr>
        <w:t xml:space="preserve">freely available on Mendeley Data: </w:t>
      </w:r>
      <w:hyperlink r:id="rId10" w:history="1">
        <w:r w:rsidR="00A9492F" w:rsidRPr="004F1270">
          <w:rPr>
            <w:rStyle w:val="Hyperlink"/>
            <w:iCs/>
          </w:rPr>
          <w:t>http://dx.doi.org/10.17632/rtgdj2jmk6.1</w:t>
        </w:r>
      </w:hyperlink>
      <w:r w:rsidR="00A9492F">
        <w:rPr>
          <w:iCs/>
        </w:rPr>
        <w:fldChar w:fldCharType="begin" w:fldLock="1"/>
      </w:r>
      <w:r w:rsidR="00E273DD">
        <w:rPr>
          <w:iCs/>
        </w:rPr>
        <w:instrText>ADDIN CSL_CITATION {"citationItems":[{"id":"ITEM-1","itemData":{"DOI":"10.17632/rtgdj2jmk6.1","URL":"http://dx.doi.org/10.17632/rtgdj2jmk6.1","accessed":{"date-parts":[["2020","8","14"]]},"author":[{"dropping-particle":"","family":"Eigenbrod, Felix; Beckmann, Michael; Dunnett, Seb; Graham, Laura; Holland, Robert; Meyfroidt, Patrick; Seppelt, Ralf; Song, Xiao-Peng; Spake, Rebecca; Václavík, Tomáš; Verburg","given":"Peter","non-dropping-particle":"","parse-names":false,"suffix":""}],"container-title":"Mendeley Data","id":"ITEM-1","issued":{"date-parts":[["2020"]]},"title":"Identifying agricultural frontiers for modelling global cropland expansion - code and data","type":"webpage"},"uris":["http://www.mendeley.com/documents/?uuid=80d2c7fa-5ec5-3eb4-ac90-42f011706b46"]}],"mendeley":{"formattedCitation":"&lt;sup&gt;55&lt;/sup&gt;","plainTextFormattedCitation":"55","previouslyFormattedCitation":"&lt;sup&gt;55&lt;/sup&gt;"},"properties":{"noteIndex":0},"schema":"https://github.com/citation-style-language/schema/raw/master/csl-citation.json"}</w:instrText>
      </w:r>
      <w:r w:rsidR="00A9492F">
        <w:rPr>
          <w:iCs/>
        </w:rPr>
        <w:fldChar w:fldCharType="separate"/>
      </w:r>
      <w:r w:rsidR="00A9492F" w:rsidRPr="00A9492F">
        <w:rPr>
          <w:iCs/>
          <w:noProof/>
          <w:vertAlign w:val="superscript"/>
        </w:rPr>
        <w:t>55</w:t>
      </w:r>
      <w:r w:rsidR="00A9492F">
        <w:rPr>
          <w:iCs/>
        </w:rPr>
        <w:fldChar w:fldCharType="end"/>
      </w:r>
    </w:p>
    <w:p w14:paraId="1BBA90C6" w14:textId="43118BE8" w:rsidR="00A05360" w:rsidRPr="00A05360" w:rsidRDefault="00A05360">
      <w:pPr>
        <w:rPr>
          <w:i/>
          <w:u w:val="single"/>
        </w:rPr>
      </w:pPr>
      <w:r w:rsidRPr="00A05360">
        <w:rPr>
          <w:i/>
          <w:u w:val="single"/>
        </w:rPr>
        <w:t>Methods</w:t>
      </w:r>
    </w:p>
    <w:p w14:paraId="11F909F4" w14:textId="5467587D" w:rsidR="005B755B" w:rsidRPr="00D72360" w:rsidRDefault="00ED5576">
      <w:r w:rsidRPr="00D72360">
        <w:rPr>
          <w:i/>
        </w:rPr>
        <w:t>Cropland data</w:t>
      </w:r>
      <w:r w:rsidRPr="00D72360">
        <w:t xml:space="preserve"> </w:t>
      </w:r>
    </w:p>
    <w:p w14:paraId="19FF83CD" w14:textId="060149AE" w:rsidR="005B755B" w:rsidRPr="00D72360" w:rsidRDefault="00ED5576">
      <w:r w:rsidRPr="00D72360">
        <w:t xml:space="preserve">We derived global data on cropland in 1992 and 2015 using the ESA’s CCI 2015 dataset, which provides harmonized land cover for all years globally between 1992 and 2015 </w:t>
      </w:r>
      <w:r w:rsidRPr="00D72360">
        <w:fldChar w:fldCharType="begin" w:fldLock="1"/>
      </w:r>
      <w:r w:rsidR="0090126B" w:rsidRPr="00D72360">
        <w:instrText>ADDIN CSL_CITATION {"citationItems":[{"id":"ITEM-1","itemData":{"author":[{"dropping-particle":"","family":"Defourny","given":"P.","non-dropping-particle":"","parse-names":false,"suffix":""},{"dropping-particle":"","family":"Kirches","given":"G.","non-dropping-particle":"","parse-names":false,"suffix":""},{"dropping-particle":"","family":"Brockmann","given":"C.","non-dropping-particle":"","parse-names":false,"suffix":""},{"dropping-particle":"","family":"Boettcher","given":"M.","non-dropping-particle":"","parse-names":false,"suffix":""},{"dropping-particle":"","family":"Peters","given":"M.","non-dropping-particle":"","parse-names":false,"suffix":""},{"dropping-particle":"","family":"Bontemps","given":"S.","non-dropping-particle":"","parse-names":false,"suffix":""},{"dropping-particle":"","family":"Lamarche","given":"C.","non-dropping-particle":"","parse-names":false,"suffix":""},{"dropping-particle":"","family":"Schlerf","given":"M.","non-dropping-particle":"","parse-names":false,"suffix":""},{"dropping-particle":"","family":"Santoro","given":"M","non-dropping-particle":"","parse-names":false,"suffix":""}],"id":"ITEM-1","issued":{"date-parts":[["2016"]]},"title":"Land cover CCI product user guide version 2","type":"report"},"uris":["http://www.mendeley.com/documents/?uuid=9a88d692-81be-3ca0-85ef-17917d47a11e"]}],"mendeley":{"formattedCitation":"&lt;sup&gt;26&lt;/sup&gt;","plainTextFormattedCitation":"26","previouslyFormattedCitation":"&lt;sup&gt;26&lt;/sup&gt;"},"properties":{"noteIndex":0},"schema":"https://github.com/citation-style-language/schema/raw/master/csl-citation.json"}</w:instrText>
      </w:r>
      <w:r w:rsidRPr="00D72360">
        <w:fldChar w:fldCharType="separate"/>
      </w:r>
      <w:bookmarkStart w:id="93" w:name="__Fieldmark__2096_531043149"/>
      <w:bookmarkStart w:id="94" w:name="__Fieldmark__6064_3027855847"/>
      <w:bookmarkEnd w:id="93"/>
      <w:r w:rsidR="0090126B" w:rsidRPr="00D72360">
        <w:rPr>
          <w:noProof/>
          <w:vertAlign w:val="superscript"/>
        </w:rPr>
        <w:t>26</w:t>
      </w:r>
      <w:r w:rsidRPr="00D72360">
        <w:fldChar w:fldCharType="end"/>
      </w:r>
      <w:bookmarkEnd w:id="94"/>
      <w:r w:rsidRPr="00D72360">
        <w:t>. While the ESA CCI land cover is available at the 300 x 300 m resolution, our analyses were conducted at 5’</w:t>
      </w:r>
      <w:r w:rsidR="00FD4B77" w:rsidRPr="00D72360">
        <w:t xml:space="preserve"> x 5’ arc minute</w:t>
      </w:r>
      <w:r w:rsidRPr="00D72360">
        <w:t xml:space="preserve"> resolution (percentage of available land that is cropland), as this is the finest common resolution at which the predictor variables for the models of extent and expansion used here are available. To minimize the effects of errors in the ESA CC</w:t>
      </w:r>
      <w:r w:rsidR="00106D33" w:rsidRPr="00D72360">
        <w:t>I</w:t>
      </w:r>
      <w:r w:rsidRPr="00D72360">
        <w:t xml:space="preserve"> 2015 data </w:t>
      </w:r>
      <w:r w:rsidRPr="00D72360">
        <w:fldChar w:fldCharType="begin" w:fldLock="1"/>
      </w:r>
      <w:r w:rsidR="00D24611">
        <w:instrText>ADDIN CSL_CITATION {"citationItems":[{"id":"ITEM-1","itemData":{"DOI":"10.3390/rs9111118","ISBN":"3903327867","ISSN":"20724292","abstract":"Accurate and reliable information on the spatial distribution of major crops is needed for detecting possible production deficits with the aim of preventing food security crises and anticipating response planning. In this paper, we compared some of the most widely used global land cover datasets to examine their comparative advantages for cropland monitoring. Cropland class areas are compared for the following datasets: FAO-GLCshare (FAO Global Land Cover Network), Geowiki IIASA-Hybrid (Hybrid global land cover map from the International Institute of Applied System Analysis), GLC2000 (Global Land Cover 2000), GLCNMO2008 (Global Land Cover by National Mapping Organizations), GlobCover, Globeland30, LC-CCI (Land Cover Climate Change Initiative) 2010 and 2015, and MODISLC (MODIS Land Cover product). The methodology involves: (1) highlighting discrepancies in the extent and spatial distribution of cropland, (2) comparing the areas with FAO agricultural statistics at the country level, and (3) providing accuracy assessment through freely available reference datasets. Recommendations for crop monitoring at the country level are based on a priority ranking derived from the results obtained from analyses 2 and 3. Our results revealed that cropland information varies substantially among the analyzed land cover datasets. FAO-GLCshare and Globeland30 generally provided adequate results to monitor cropland areas, whereas LC-CCI2010 and GLC2000 are less unsuitable due to large overestimations in the former and out of date information and low accuracy in the latter. The recently launched LC-CCI datasets (i.e., LC-CCI2015) show a higher potential for cropland monitoring uses than the previous version (i.e., LC-CCI2010).","author":[{"dropping-particle":"","family":"Pérez-Hoyos","given":"Ana","non-dropping-particle":"","parse-names":false,"suffix":""},{"dropping-particle":"","family":"Rembold","given":"Felix","non-dropping-particle":"","parse-names":false,"suffix":""},{"dropping-particle":"","family":"Kerdiles","given":"Hervé","non-dropping-particle":"","parse-names":false,"suffix":""},{"dropping-particle":"","family":"Gallego","given":"Javier","non-dropping-particle":"","parse-names":false,"suffix":""}],"container-title":"Remote Sensing","id":"ITEM-1","issue":"11","issued":{"date-parts":[["2017"]]},"title":"Comparison of global land cover datasets for cropland monitoring","type":"article-journal","volume":"9"},"uris":["http://www.mendeley.com/documents/?uuid=0b13b0fd-3744-4a4c-ab8e-f57679874513"]}],"mendeley":{"formattedCitation":"&lt;sup&gt;50&lt;/sup&gt;","plainTextFormattedCitation":"50","previouslyFormattedCitation":"&lt;sup&gt;50&lt;/sup&gt;"},"properties":{"noteIndex":0},"schema":"https://github.com/citation-style-language/schema/raw/master/csl-citation.json"}</w:instrText>
      </w:r>
      <w:r w:rsidRPr="00D72360">
        <w:fldChar w:fldCharType="separate"/>
      </w:r>
      <w:bookmarkStart w:id="95" w:name="__Fieldmark__2106_531043149"/>
      <w:bookmarkStart w:id="96" w:name="__Fieldmark__6077_3027855847"/>
      <w:bookmarkEnd w:id="95"/>
      <w:r w:rsidR="00D24611" w:rsidRPr="00D24611">
        <w:rPr>
          <w:noProof/>
          <w:vertAlign w:val="superscript"/>
        </w:rPr>
        <w:t>50</w:t>
      </w:r>
      <w:r w:rsidRPr="00D72360">
        <w:fldChar w:fldCharType="end"/>
      </w:r>
      <w:bookmarkEnd w:id="96"/>
      <w:r w:rsidRPr="00D72360">
        <w:t xml:space="preserve">, we excluded pixels classified as mosaic cropland (classes 30 and 40) and only consider those pixels classified as 100% cropland (classes 10,11, 12,20) as cropland in this analysis. We calculated the increase in cropland between 1992 and 2015 at the 300 x 300 m resolution simply by identifying pixels classified as cropland as outlined above in 2015, but not classified as cropland in 1992. We then calculated the percentage cropland cover (for 1992) and change in cropland cover (1992 to 2015) per 5’ x 5’ </w:t>
      </w:r>
      <w:r w:rsidR="008F6BF2" w:rsidRPr="00D72360">
        <w:t xml:space="preserve">arcminute </w:t>
      </w:r>
      <w:r w:rsidRPr="00D72360">
        <w:t xml:space="preserve">pixel </w:t>
      </w:r>
      <w:r w:rsidRPr="00D72360">
        <w:lastRenderedPageBreak/>
        <w:t xml:space="preserve">(approximately 10 km x 10 km at the equator), using the ESA CCI 150 x 150 m resolution water mask.  </w:t>
      </w:r>
      <w:bookmarkStart w:id="97" w:name="_Hlk39502546"/>
      <w:r w:rsidRPr="00D72360">
        <w:t>We then converted %</w:t>
      </w:r>
      <w:r w:rsidR="00167C4A" w:rsidRPr="00D72360">
        <w:t xml:space="preserve"> </w:t>
      </w:r>
      <w:r w:rsidRPr="00D72360">
        <w:t xml:space="preserve">cropland per 5’ x 5’ pixel to a binary variable, as with other recent work </w:t>
      </w:r>
      <w:r w:rsidRPr="00D72360">
        <w:fldChar w:fldCharType="begin" w:fldLock="1"/>
      </w:r>
      <w:r w:rsidR="00E273DD">
        <w:instrText>ADDIN CSL_CITATION {"citationItems":[{"id":"ITEM-1","itemData":{"DOI":"10.1126/science.aau3445","ISBN":"0036-8075","ISSN":"10959203","PMID":"30213911","abstract":"&lt;p&gt;Global maps of forest loss depict the scale and magnitude of forest disturbance, yet companies, governments, and nongovernmental organizations need to distinguish permanent conversion (i.e., deforestation) from temporary loss from forestry or wildfire. Using satellite imagery, we developed a forest loss classification model to determine a spatial attribution of forest disturbance to the dominant drivers of land cover and land use change over the period 2001 to 2015. Our results indicate that 27% of global forest loss can be attributed to deforestation through permanent land use change for commodity production. The remaining areas maintained the same land use over 15 years; in those areas, loss was attributed to forestry (26%), shifting agriculture (24%), and wildfire (23%). Despite corporate commitments, the rate of commodity-driven deforestation has not declined. To end deforestation, companies must eliminate 5 million hectares of conversion from supply chains each year.&lt;/p&gt;","author":[{"dropping-particle":"","family":"Curtis","given":"Philip G.","non-dropping-particle":"","parse-names":false,"suffix":""},{"dropping-particle":"","family":"Slay","given":"Christy M.","non-dropping-particle":"","parse-names":false,"suffix":""},{"dropping-particle":"","family":"Harris","given":"Nancy L.","non-dropping-particle":"","parse-names":false,"suffix":""},{"dropping-particle":"","family":"Tyukavina","given":"Alexandra","non-dropping-particle":"","parse-names":false,"suffix":""},{"dropping-particle":"","family":"Hansen","given":"Matthew C.","non-dropping-particle":"","parse-names":false,"suffix":""}],"container-title":"Science","id":"ITEM-1","issue":"6407","issued":{"date-parts":[["2018"]]},"page":"1108-1111","title":"Classifying drivers of global forest loss","type":"article-journal","volume":"361"},"uris":["http://www.mendeley.com/documents/?uuid=77c8a595-c12a-4e14-9968-e13cdc6abd58"]},{"id":"ITEM-2","itemData":{"DOI":"10.1016/j.gloenvcha.2018.06.004","ISSN":"09593780","abstract":"Halting and reversing global forest loss is a key priority for sustainable development pathways. Multiple countries in the Global South have recently transitioned from net forest loss to net forest gain. Understanding and explaining reforestation patterns is necessary to better understand land cover dynamics and create more effective sustainability policies. We show that international migration – a key feature of globalization in the 21st century – spurs a transition to greater forest cover in Nepal. Although some aspects of globalization - agricultural commodity production and trade in particular - have been identified as contributing to deforestation, the effects of international migration are less well understood. Using data from Nepal's national census (1.36 Million households) and from high-resolution forest cover change, we find that international outmigration is associated with substantial increases in local forest cover, even after controlling for multiple confounding factors. We find that areas with international outmigration levels above the median in 2001 were 44% more likely to experience net reforestation between 2000–2012. This effect of outmigration is mediated by changes in population density and in household agricultural activity. Effects of outmigration are higher in more agriculturally suitable areas, suggesting that migration-driven forest transitions are influenced by agricultural production systems. We provide new empirical evidence of forest transition driven by international migration and a generalizable analytical approach to the study of forest transitions using secondary global and national datasets. Our results suggest that actions to reach global sustainability, biodiversity targets, and reduced emissions can be better designed and targeted by taking into account the effects of international migration on natural resources and ecosystems.","author":[{"dropping-particle":"","family":"Oldekop","given":"Johan A.","non-dropping-particle":"","parse-names":false,"suffix":""},{"dropping-particle":"","family":"Sims","given":"Katharine R.E.","non-dropping-particle":"","parse-names":false,"suffix":""},{"dropping-particle":"","family":"Whittingham","given":"Mark J.","non-dropping-particle":"","parse-names":false,"suffix":""},{"dropping-particle":"","family":"Agrawal","given":"Arun","non-dropping-particle":"","parse-names":false,"suffix":""}],"container-title":"Global Environmental Change","id":"ITEM-2","issue":"May","issued":{"date-parts":[["2018"]]},"page":"66-74","publisher":"Elsevier Ltd","title":"An upside to globalization: International outmigration drives reforestation in Nepal","type":"article-journal","volume":"52"},"uris":["http://www.mendeley.com/documents/?uuid=fb1a3b7d-bc24-45dd-b4ae-8d82cfa71b63"]}],"mendeley":{"formattedCitation":"&lt;sup&gt;27,56&lt;/sup&gt;","plainTextFormattedCitation":"27,56","previouslyFormattedCitation":"&lt;sup&gt;27,56&lt;/sup&gt;"},"properties":{"noteIndex":0},"schema":"https://github.com/citation-style-language/schema/raw/master/csl-citation.json"}</w:instrText>
      </w:r>
      <w:r w:rsidRPr="00D72360">
        <w:fldChar w:fldCharType="separate"/>
      </w:r>
      <w:bookmarkStart w:id="98" w:name="__Fieldmark__2116_531043149"/>
      <w:bookmarkStart w:id="99" w:name="__Fieldmark__6095_3027855847"/>
      <w:bookmarkEnd w:id="98"/>
      <w:r w:rsidR="00A9492F" w:rsidRPr="00A9492F">
        <w:rPr>
          <w:noProof/>
          <w:vertAlign w:val="superscript"/>
        </w:rPr>
        <w:t>27,56</w:t>
      </w:r>
      <w:r w:rsidRPr="00D72360">
        <w:fldChar w:fldCharType="end"/>
      </w:r>
      <w:bookmarkEnd w:id="99"/>
      <w:r w:rsidRPr="00D72360">
        <w:t xml:space="preserve"> </w:t>
      </w:r>
      <w:r w:rsidR="00D70E2D" w:rsidRPr="00D72360">
        <w:t>as</w:t>
      </w:r>
      <w:r w:rsidRPr="00D72360">
        <w:t xml:space="preserve"> the extremely zero-inflated nature of the 1992-2015  expansion data</w:t>
      </w:r>
      <w:r w:rsidR="00D70E2D" w:rsidRPr="00D72360">
        <w:t xml:space="preserve"> precludes statistical analysis of the raw percentage cropland data</w:t>
      </w:r>
      <w:r w:rsidRPr="00D72360">
        <w:t xml:space="preserve">. </w:t>
      </w:r>
      <w:bookmarkEnd w:id="97"/>
      <w:r w:rsidRPr="00D72360">
        <w:t xml:space="preserve">As the threshold used to binarize the cropland variable greatly affects the number of recent cropland expansion pixels globally (see </w:t>
      </w:r>
      <w:r w:rsidR="00216C8A">
        <w:t>Supplementary Information</w:t>
      </w:r>
      <w:r w:rsidRPr="00D72360">
        <w:t xml:space="preserve">; Fig S1), we used three different thresholds both for extent and for expansion – </w:t>
      </w:r>
      <w:r w:rsidR="008F6BF2" w:rsidRPr="00D72360">
        <w:t xml:space="preserve">&gt; </w:t>
      </w:r>
      <w:r w:rsidR="00106D33" w:rsidRPr="00D72360">
        <w:t>0.5</w:t>
      </w:r>
      <w:r w:rsidRPr="00D72360">
        <w:t xml:space="preserve">% cropland, </w:t>
      </w:r>
      <w:r w:rsidR="008F6BF2" w:rsidRPr="00D72360">
        <w:t xml:space="preserve">&gt; </w:t>
      </w:r>
      <w:r w:rsidRPr="00D72360">
        <w:t>10% cropland and</w:t>
      </w:r>
      <w:r w:rsidR="008F6BF2" w:rsidRPr="00D72360">
        <w:t xml:space="preserve"> &gt;</w:t>
      </w:r>
      <w:r w:rsidRPr="00D72360">
        <w:t xml:space="preserve"> </w:t>
      </w:r>
      <w:r w:rsidR="00106D33" w:rsidRPr="00D72360">
        <w:t>50</w:t>
      </w:r>
      <w:r w:rsidRPr="00D72360">
        <w:t xml:space="preserve">% cropland. Pixels classified as having undergone expansion had an increase in cropland corresponding at least to these thresholds between 1992 and 2015. </w:t>
      </w:r>
    </w:p>
    <w:p w14:paraId="56BB50ED" w14:textId="7E42C4AE" w:rsidR="00720724" w:rsidRPr="00D72360" w:rsidRDefault="003E090A">
      <w:r w:rsidRPr="00D72360">
        <w:t>As all global cropland maps have considerable error associated with them</w:t>
      </w:r>
      <w:r w:rsidRPr="00D72360">
        <w:fldChar w:fldCharType="begin" w:fldLock="1"/>
      </w:r>
      <w:r w:rsidR="00D24611">
        <w:instrText>ADDIN CSL_CITATION {"citationItems":[{"id":"ITEM-1","itemData":{"DOI":"10.3390/rs9111118","ISBN":"3903327867","ISSN":"20724292","abstract":"Accurate and reliable information on the spatial distribution of major crops is needed for detecting possible production deficits with the aim of preventing food security crises and anticipating response planning. In this paper, we compared some of the most widely used global land cover datasets to examine their comparative advantages for cropland monitoring. Cropland class areas are compared for the following datasets: FAO-GLCshare (FAO Global Land Cover Network), Geowiki IIASA-Hybrid (Hybrid global land cover map from the International Institute of Applied System Analysis), GLC2000 (Global Land Cover 2000), GLCNMO2008 (Global Land Cover by National Mapping Organizations), GlobCover, Globeland30, LC-CCI (Land Cover Climate Change Initiative) 2010 and 2015, and MODISLC (MODIS Land Cover product). The methodology involves: (1) highlighting discrepancies in the extent and spatial distribution of cropland, (2) comparing the areas with FAO agricultural statistics at the country level, and (3) providing accuracy assessment through freely available reference datasets. Recommendations for crop monitoring at the country level are based on a priority ranking derived from the results obtained from analyses 2 and 3. Our results revealed that cropland information varies substantially among the analyzed land cover datasets. FAO-GLCshare and Globeland30 generally provided adequate results to monitor cropland areas, whereas LC-CCI2010 and GLC2000 are less unsuitable due to large overestimations in the former and out of date information and low accuracy in the latter. The recently launched LC-CCI datasets (i.e., LC-CCI2015) show a higher potential for cropland monitoring uses than the previous version (i.e., LC-CCI2010).","author":[{"dropping-particle":"","family":"Pérez-Hoyos","given":"Ana","non-dropping-particle":"","parse-names":false,"suffix":""},{"dropping-particle":"","family":"Rembold","given":"Felix","non-dropping-particle":"","parse-names":false,"suffix":""},{"dropping-particle":"","family":"Kerdiles","given":"Hervé","non-dropping-particle":"","parse-names":false,"suffix":""},{"dropping-particle":"","family":"Gallego","given":"Javier","non-dropping-particle":"","parse-names":false,"suffix":""}],"container-title":"Remote Sensing","id":"ITEM-1","issue":"11","issued":{"date-parts":[["2017"]]},"title":"Comparison of global land cover datasets for cropland monitoring","type":"article-journal","volume":"9"},"uris":["http://www.mendeley.com/documents/?uuid=0b13b0fd-3744-4a4c-ab8e-f57679874513"]}],"mendeley":{"formattedCitation":"&lt;sup&gt;50&lt;/sup&gt;","plainTextFormattedCitation":"50","previouslyFormattedCitation":"&lt;sup&gt;50&lt;/sup&gt;"},"properties":{"noteIndex":0},"schema":"https://github.com/citation-style-language/schema/raw/master/csl-citation.json"}</w:instrText>
      </w:r>
      <w:r w:rsidRPr="00D72360">
        <w:fldChar w:fldCharType="separate"/>
      </w:r>
      <w:r w:rsidR="00D24611" w:rsidRPr="00D24611">
        <w:rPr>
          <w:noProof/>
          <w:vertAlign w:val="superscript"/>
        </w:rPr>
        <w:t>50</w:t>
      </w:r>
      <w:r w:rsidRPr="00D72360">
        <w:fldChar w:fldCharType="end"/>
      </w:r>
      <w:r w:rsidRPr="00D72360">
        <w:t>, we also ran a series of sensitivity analyses to assess whether our findings were robust to how cropland was measured. Firstly, we re-ran the ‘extent’ and ‘expansion’ analyses, using a reclassified ESA CCI map that reclassed the mosaic land cover classes (classes 30 and 40) as cropland. This is because excluding these classes – as is the case in the main analysis as outlined above – could underestimate the total amount (1992) and expansion (1992-2015) of cropland. This could have disproportionately affected smallholder systems, and hence smallholder expansion-driven frontiers.  Secondly, we checked the robustness of our results to the choice of end date used for the ‘expansion’ analysis, by re-running all ‘expansion’ analyses using an end date of 2013 rather than 2015.  Finally, as land cover products vary enormously in their cropland estimates</w:t>
      </w:r>
      <w:r w:rsidRPr="00D72360">
        <w:fldChar w:fldCharType="begin" w:fldLock="1"/>
      </w:r>
      <w:r w:rsidR="00D24611">
        <w:instrText>ADDIN CSL_CITATION {"citationItems":[{"id":"ITEM-1","itemData":{"DOI":"10.3390/rs9111118","ISBN":"3903327867","ISSN":"20724292","abstract":"Accurate and reliable information on the spatial distribution of major crops is needed for detecting possible production deficits with the aim of preventing food security crises and anticipating response planning. In this paper, we compared some of the most widely used global land cover datasets to examine their comparative advantages for cropland monitoring. Cropland class areas are compared for the following datasets: FAO-GLCshare (FAO Global Land Cover Network), Geowiki IIASA-Hybrid (Hybrid global land cover map from the International Institute of Applied System Analysis), GLC2000 (Global Land Cover 2000), GLCNMO2008 (Global Land Cover by National Mapping Organizations), GlobCover, Globeland30, LC-CCI (Land Cover Climate Change Initiative) 2010 and 2015, and MODISLC (MODIS Land Cover product). The methodology involves: (1) highlighting discrepancies in the extent and spatial distribution of cropland, (2) comparing the areas with FAO agricultural statistics at the country level, and (3) providing accuracy assessment through freely available reference datasets. Recommendations for crop monitoring at the country level are based on a priority ranking derived from the results obtained from analyses 2 and 3. Our results revealed that cropland information varies substantially among the analyzed land cover datasets. FAO-GLCshare and Globeland30 generally provided adequate results to monitor cropland areas, whereas LC-CCI2010 and GLC2000 are less unsuitable due to large overestimations in the former and out of date information and low accuracy in the latter. The recently launched LC-CCI datasets (i.e., LC-CCI2015) show a higher potential for cropland monitoring uses than the previous version (i.e., LC-CCI2010).","author":[{"dropping-particle":"","family":"Pérez-Hoyos","given":"Ana","non-dropping-particle":"","parse-names":false,"suffix":""},{"dropping-particle":"","family":"Rembold","given":"Felix","non-dropping-particle":"","parse-names":false,"suffix":""},{"dropping-particle":"","family":"Kerdiles","given":"Hervé","non-dropping-particle":"","parse-names":false,"suffix":""},{"dropping-particle":"","family":"Gallego","given":"Javier","non-dropping-particle":"","parse-names":false,"suffix":""}],"container-title":"Remote Sensing","id":"ITEM-1","issue":"11","issued":{"date-parts":[["2017"]]},"title":"Comparison of global land cover datasets for cropland monitoring","type":"article-journal","volume":"9"},"uris":["http://www.mendeley.com/documents/?uuid=0b13b0fd-3744-4a4c-ab8e-f57679874513"]}],"mendeley":{"formattedCitation":"&lt;sup&gt;50&lt;/sup&gt;","plainTextFormattedCitation":"50","previouslyFormattedCitation":"&lt;sup&gt;50&lt;/sup&gt;"},"properties":{"noteIndex":0},"schema":"https://github.com/citation-style-language/schema/raw/master/csl-citation.json"}</w:instrText>
      </w:r>
      <w:r w:rsidRPr="00D72360">
        <w:fldChar w:fldCharType="separate"/>
      </w:r>
      <w:r w:rsidR="00D24611" w:rsidRPr="00D24611">
        <w:rPr>
          <w:noProof/>
          <w:vertAlign w:val="superscript"/>
        </w:rPr>
        <w:t>50</w:t>
      </w:r>
      <w:r w:rsidRPr="00D72360">
        <w:fldChar w:fldCharType="end"/>
      </w:r>
      <w:r w:rsidRPr="00D72360">
        <w:t>, we also re-ran all ‘extent’ and ‘expansion’ models for both the ESA CCI dataset (used in the main analysis), and the MODIS 6 land cover product</w:t>
      </w:r>
      <w:r w:rsidRPr="00D72360">
        <w:fldChar w:fldCharType="begin" w:fldLock="1"/>
      </w:r>
      <w:r w:rsidR="00D24611">
        <w:instrText>ADDIN CSL_CITATION {"citationItems":[{"id":"ITEM-1","itemData":{"DOI":"https://doi.org/10.5067/MODIS/MCD12C1.006","ISBN":"6371007.181","abstract":"The MODIS Land Cover Type Product (MCD12Q1) provides a suite of science data sets (SDSs) that map global land cover at 500 meter spatial resolution at annual time step for six different land cover legends. The maps were created from classifications of spectro-temporal features derived of data from the Moderate Resolution Imaging Spectroradiometer (MODIS). This user guide provides the following information related to the C6 product: 1. An overview of the MCD12Q1 algorithm, with references to published literature where more details can be found.","author":[{"dropping-particle":"","family":"Sulla-Menashe","given":"Damien","non-dropping-particle":"","parse-names":false,"suffix":""},{"dropping-particle":"","family":"Friedl","given":"Mark A","non-dropping-particle":"","parse-names":false,"suffix":""}],"id":"ITEM-1","issue":"Figure 1","issued":{"date-parts":[["2018"]]},"page":"1-18","title":"User Guide to Collection 6 MODIS Land Cover (MCD12Q1 and MCD12C1) Product","type":"article-journal"},"uris":["http://www.mendeley.com/documents/?uuid=14d7c2cb-984b-46e9-9e6b-74f7105821b1"]}],"mendeley":{"formattedCitation":"&lt;sup&gt;49&lt;/sup&gt;","plainTextFormattedCitation":"49","previouslyFormattedCitation":"&lt;sup&gt;49&lt;/sup&gt;"},"properties":{"noteIndex":0},"schema":"https://github.com/citation-style-language/schema/raw/master/csl-citation.json"}</w:instrText>
      </w:r>
      <w:r w:rsidRPr="00D72360">
        <w:fldChar w:fldCharType="separate"/>
      </w:r>
      <w:r w:rsidR="00D24611" w:rsidRPr="00D24611">
        <w:rPr>
          <w:noProof/>
          <w:vertAlign w:val="superscript"/>
        </w:rPr>
        <w:t>49</w:t>
      </w:r>
      <w:r w:rsidRPr="00D72360">
        <w:fldChar w:fldCharType="end"/>
      </w:r>
      <w:r w:rsidRPr="00D72360">
        <w:t xml:space="preserve"> over the period (2001-2015) for which time series are available for both datasets. These datasets represent opposite extremes in estimates of cropland globally, with MODIS generally underestimating cropland, and ESA CCI data prone to overestimating cropland</w:t>
      </w:r>
      <w:r w:rsidRPr="00D72360">
        <w:fldChar w:fldCharType="begin" w:fldLock="1"/>
      </w:r>
      <w:r w:rsidR="00D24611">
        <w:instrText>ADDIN CSL_CITATION {"citationItems":[{"id":"ITEM-1","itemData":{"DOI":"10.3390/rs9111118","ISBN":"3903327867","ISSN":"20724292","abstract":"Accurate and reliable information on the spatial distribution of major crops is needed for detecting possible production deficits with the aim of preventing food security crises and anticipating response planning. In this paper, we compared some of the most widely used global land cover datasets to examine their comparative advantages for cropland monitoring. Cropland class areas are compared for the following datasets: FAO-GLCshare (FAO Global Land Cover Network), Geowiki IIASA-Hybrid (Hybrid global land cover map from the International Institute of Applied System Analysis), GLC2000 (Global Land Cover 2000), GLCNMO2008 (Global Land Cover by National Mapping Organizations), GlobCover, Globeland30, LC-CCI (Land Cover Climate Change Initiative) 2010 and 2015, and MODISLC (MODIS Land Cover product). The methodology involves: (1) highlighting discrepancies in the extent and spatial distribution of cropland, (2) comparing the areas with FAO agricultural statistics at the country level, and (3) providing accuracy assessment through freely available reference datasets. Recommendations for crop monitoring at the country level are based on a priority ranking derived from the results obtained from analyses 2 and 3. Our results revealed that cropland information varies substantially among the analyzed land cover datasets. FAO-GLCshare and Globeland30 generally provided adequate results to monitor cropland areas, whereas LC-CCI2010 and GLC2000 are less unsuitable due to large overestimations in the former and out of date information and low accuracy in the latter. The recently launched LC-CCI datasets (i.e., LC-CCI2015) show a higher potential for cropland monitoring uses than the previous version (i.e., LC-CCI2010).","author":[{"dropping-particle":"","family":"Pérez-Hoyos","given":"Ana","non-dropping-particle":"","parse-names":false,"suffix":""},{"dropping-particle":"","family":"Rembold","given":"Felix","non-dropping-particle":"","parse-names":false,"suffix":""},{"dropping-particle":"","family":"Kerdiles","given":"Hervé","non-dropping-particle":"","parse-names":false,"suffix":""},{"dropping-particle":"","family":"Gallego","given":"Javier","non-dropping-particle":"","parse-names":false,"suffix":""}],"container-title":"Remote Sensing","id":"ITEM-1","issue":"11","issued":{"date-parts":[["2017"]]},"title":"Comparison of global land cover datasets for cropland monitoring","type":"article-journal","volume":"9"},"uris":["http://www.mendeley.com/documents/?uuid=0b13b0fd-3744-4a4c-ab8e-f57679874513"]}],"mendeley":{"formattedCitation":"&lt;sup&gt;50&lt;/sup&gt;","plainTextFormattedCitation":"50","previouslyFormattedCitation":"&lt;sup&gt;50&lt;/sup&gt;"},"properties":{"noteIndex":0},"schema":"https://github.com/citation-style-language/schema/raw/master/csl-citation.json"}</w:instrText>
      </w:r>
      <w:r w:rsidRPr="00D72360">
        <w:fldChar w:fldCharType="separate"/>
      </w:r>
      <w:r w:rsidR="00D24611" w:rsidRPr="00D24611">
        <w:rPr>
          <w:noProof/>
          <w:vertAlign w:val="superscript"/>
        </w:rPr>
        <w:t>50</w:t>
      </w:r>
      <w:r w:rsidRPr="00D72360">
        <w:fldChar w:fldCharType="end"/>
      </w:r>
      <w:r w:rsidRPr="00D72360">
        <w:t xml:space="preserve">. Full details of all sensitivity tests are in the </w:t>
      </w:r>
      <w:r w:rsidR="008D19B5">
        <w:t>Supplementary Experimental Procedures</w:t>
      </w:r>
      <w:r w:rsidRPr="00D72360">
        <w:t xml:space="preserve">. </w:t>
      </w:r>
    </w:p>
    <w:p w14:paraId="7A6FFEC0" w14:textId="0DE2F41A" w:rsidR="005B755B" w:rsidRPr="00D72360" w:rsidRDefault="00ED5576">
      <w:pPr>
        <w:rPr>
          <w:i/>
        </w:rPr>
      </w:pPr>
      <w:r w:rsidRPr="00D72360">
        <w:rPr>
          <w:i/>
        </w:rPr>
        <w:t>Socio-economic and biophysical explanatory datasets</w:t>
      </w:r>
    </w:p>
    <w:p w14:paraId="358CFD31" w14:textId="0C915596" w:rsidR="005B755B" w:rsidRPr="00D72360" w:rsidRDefault="00ED5576">
      <w:r w:rsidRPr="00D72360">
        <w:t>We assembled global spatial datasets independent of land cover relevant for cropland exten</w:t>
      </w:r>
      <w:r w:rsidR="0010617E" w:rsidRPr="00D72360">
        <w:t>t</w:t>
      </w:r>
      <w:r w:rsidRPr="00D72360">
        <w:t xml:space="preserve"> and expansion which are available at 5’ </w:t>
      </w:r>
      <w:r w:rsidR="008F6BF2" w:rsidRPr="00D72360">
        <w:t xml:space="preserve">x 5’ </w:t>
      </w:r>
      <w:r w:rsidRPr="00D72360">
        <w:t>resolution or finer</w:t>
      </w:r>
      <w:r w:rsidR="007E5EAF" w:rsidRPr="00D72360">
        <w:t xml:space="preserve"> (Table 1)</w:t>
      </w:r>
      <w:r w:rsidRPr="00D72360">
        <w:t xml:space="preserve">. This is because using data modelled using land cover to explain a land cover type (cropland) would lead to circularity in our inference </w:t>
      </w:r>
      <w:r w:rsidRPr="00D72360">
        <w:fldChar w:fldCharType="begin" w:fldLock="1"/>
      </w:r>
      <w:r w:rsidR="00E273DD">
        <w:instrText>ADDIN CSL_CITATION {"citationItems":[{"id":"ITEM-1","itemData":{"DOI":"10.1016/j.cosust.2013.06.002","ISSN":"18773435","abstract":"Future increases in land-based production will need to focus more on sustainably intensifying existing production systems. Unfortunately, our understanding of the global patterns of land use intensity is weak, partly because land use intensity is a complex, multidimensional term, and partly because we lack appropriate datasets to assess land use intensity across broad geographic extents. Here, we review the state of the art regarding approaches for mapping land use intensity and provide a comprehensive overview of available global-scale datasets on land use intensity. We also outline major challenges and opportunities for mapping land use intensity for cropland, grazing, and forestry systems, and identify key issues for future research. © 2013 The Authors.","author":[{"dropping-particle":"","family":"Kuemmerle","given":"Tobias","non-dropping-particle":"","parse-names":false,"suffix":""},{"dropping-particle":"","family":"Erb","given":"Karlheinz","non-dropping-particle":"","parse-names":false,"suffix":""},{"dropping-particle":"","family":"Meyfroidt","given":"Patrick","non-dropping-particle":"","parse-names":false,"suffix":""},{"dropping-particle":"","family":"Müller","given":"Daniel","non-dropping-particle":"","parse-names":false,"suffix":""},{"dropping-particle":"","family":"Verburg","given":"Peter H.","non-dropping-particle":"","parse-names":false,"suffix":""},{"dropping-particle":"","family":"Estel","given":"Stephan","non-dropping-particle":"","parse-names":false,"suffix":""},{"dropping-particle":"","family":"Haberl","given":"Helmut","non-dropping-particle":"","parse-names":false,"suffix":""},{"dropping-particle":"","family":"Hostert","given":"Patrick","non-dropping-particle":"","parse-names":false,"suffix":""},{"dropping-particle":"","family":"Jepsen","given":"Martin R.","non-dropping-particle":"","parse-names":false,"suffix":""},{"dropping-particle":"","family":"Kastner","given":"Thomas","non-dropping-particle":"","parse-names":false,"suffix":""},{"dropping-particle":"","family":"Levers","given":"Christian","non-dropping-particle":"","parse-names":false,"suffix":""},{"dropping-particle":"","family":"Lindner","given":"Marcus","non-dropping-particle":"","parse-names":false,"suffix":""},{"dropping-particle":"","family":"Plutzar","given":"Christoph","non-dropping-particle":"","parse-names":false,"suffix":""},{"dropping-particle":"","family":"Verkerk","given":"Pieter Johannes","non-dropping-particle":"","parse-names":false,"suffix":""},{"dropping-particle":"","family":"Zanden","given":"Emma H.","non-dropping-particle":"van der","parse-names":false,"suffix":""},{"dropping-particle":"","family":"Reenberg","given":"Anette","non-dropping-particle":"","parse-names":false,"suffix":""}],"container-title":"Current Opinion in Environmental Sustainability","id":"ITEM-1","issue":"5","issued":{"date-parts":[["2013"]]},"page":"484-493","title":"Challenges and opportunities in mapping land use intensity globally","type":"article-journal","volume":"5"},"uris":["http://www.mendeley.com/documents/?uuid=c577531b-2a01-4df1-9353-9f0f4c55b0b1"]}],"mendeley":{"formattedCitation":"&lt;sup&gt;57&lt;/sup&gt;","plainTextFormattedCitation":"57","previouslyFormattedCitation":"&lt;sup&gt;57&lt;/sup&gt;"},"properties":{"noteIndex":0},"schema":"https://github.com/citation-style-language/schema/raw/master/csl-citation.json"}</w:instrText>
      </w:r>
      <w:r w:rsidRPr="00D72360">
        <w:fldChar w:fldCharType="separate"/>
      </w:r>
      <w:bookmarkStart w:id="100" w:name="__Fieldmark__6127_3027855847"/>
      <w:bookmarkStart w:id="101" w:name="__Fieldmark__2138_531043149"/>
      <w:r w:rsidR="00A9492F" w:rsidRPr="00A9492F">
        <w:rPr>
          <w:noProof/>
          <w:vertAlign w:val="superscript"/>
        </w:rPr>
        <w:t>57</w:t>
      </w:r>
      <w:r w:rsidRPr="00D72360">
        <w:fldChar w:fldCharType="end"/>
      </w:r>
      <w:bookmarkEnd w:id="100"/>
      <w:bookmarkEnd w:id="101"/>
      <w:r w:rsidRPr="00D72360">
        <w:t xml:space="preserve">. These are: 1) </w:t>
      </w:r>
      <w:r w:rsidRPr="00D72360">
        <w:rPr>
          <w:i/>
        </w:rPr>
        <w:t>Bioclimatic suitability</w:t>
      </w:r>
      <w:r w:rsidRPr="00D72360">
        <w:t xml:space="preserve">. This is the summed, standardized agroclimatic potential for low-input, rainfed agriculture of the main crops globally - wheat, soy, maize and rice, as well as oil palm </w:t>
      </w:r>
      <w:r w:rsidRPr="00D72360">
        <w:fldChar w:fldCharType="begin" w:fldLock="1"/>
      </w:r>
      <w:r w:rsidR="00E273DD">
        <w:instrText>ADDIN CSL_CITATION {"citationItems":[{"id":"ITEM-1","itemData":{"abstract":"Note that the citation is for the data. The report has since been updated, but the citation should stay the same: http://www.fao.org/nr/land/soils/harmonized-world-soil-database/global-terrain-slope-and-aspect-data/en/","author":[{"dropping-particle":"","family":"Fischer","given":"G.","non-dropping-particle":"","parse-names":false,"suffix":""},{"dropping-particle":"","family":"Nachtergaele","given":"F.","non-dropping-particle":"","parse-names":false,"suffix":""},{"dropping-particle":"","family":"Prieler","given":"S.","non-dropping-particle":"","parse-names":false,"suffix":""},{"dropping-particle":"van","family":"Velthuizen","given":"H.T.","non-dropping-particle":"","parse-names":false,"suffix":""},{"dropping-particle":"","family":"Verelst","given":"L.","non-dropping-particle":"","parse-names":false,"suffix":""},{"dropping-particle":"","family":"Wiberg","given":"D.","non-dropping-particle":"","parse-names":false,"suffix":""}],"container-title":"Food and Agriculture Organization of the United Nations","id":"ITEM-1","issued":{"date-parts":[["2008"]]},"page":"179","title":"Global Agro-ecological Zones :Model documentation","type":"article-journal"},"uris":["http://www.mendeley.com/documents/?uuid=2fde4743-0ab3-47d9-9af7-988cfacb9738"]}],"mendeley":{"formattedCitation":"&lt;sup&gt;58&lt;/sup&gt;","plainTextFormattedCitation":"58","previouslyFormattedCitation":"&lt;sup&gt;58&lt;/sup&gt;"},"properties":{"noteIndex":0},"schema":"https://github.com/citation-style-language/schema/raw/master/csl-citation.json"}</w:instrText>
      </w:r>
      <w:r w:rsidRPr="00D72360">
        <w:fldChar w:fldCharType="separate"/>
      </w:r>
      <w:bookmarkStart w:id="102" w:name="__Fieldmark__6141_3027855847"/>
      <w:r w:rsidR="00A9492F" w:rsidRPr="00A9492F">
        <w:rPr>
          <w:noProof/>
          <w:vertAlign w:val="superscript"/>
        </w:rPr>
        <w:t>58</w:t>
      </w:r>
      <w:r w:rsidRPr="00D72360">
        <w:fldChar w:fldCharType="end"/>
      </w:r>
      <w:bookmarkEnd w:id="102"/>
      <w:r w:rsidRPr="00D72360">
        <w:t xml:space="preserve">. The latter is included due to its recent disproportionate role in driving recent agricultural expansion in sub-Saharan Africa </w:t>
      </w:r>
      <w:r w:rsidRPr="00D72360">
        <w:fldChar w:fldCharType="begin" w:fldLock="1"/>
      </w:r>
      <w:r w:rsidR="00D24611">
        <w:instrText>ADDIN CSL_CITATION {"citationItems":[{"id":"ITEM-1","itemData":{"DOI":"10.1038/s41467-018-07915-2","ISSN":"20411723","abstract":"Oil palm expansion resulted in 2 million hectares (Mha) of forest loss globally in 2000–2010. Despite accounting for 24% (4.5 Mha) of the world’s total oil palm cultivated area, expansion dynamics in sub-Saharan Africa have been overlooked. We show that in Southwest Cameroon, a top producing region of Africa, 67% of oil palm expansion from 2000–2015 occurred at the expense of forest. Contrary to the publicized narrative of industrial-scale expansion, most oil palm expansion and associated deforestation is occurring outside large agro-industrial concessions. Expansion and deforestation carried out by non-industrial producers is occurring near low-efficiency informal mills, unconstrained by the location of high-efficiency company-owned mills. These results highlight the key role of a booming informal economic sector in driving rapid land use change. High per capita consumption and rising palm oil demands in sub-Saharan Africa spotlight the need to consider informal economies when identifying regionally relevant sustainability pathways.","author":[{"dropping-particle":"","family":"Ordway","given":"Elsa M.","non-dropping-particle":"","parse-names":false,"suffix":""},{"dropping-particle":"","family":"Naylor","given":"Rosamond L.","non-dropping-particle":"","parse-names":false,"suffix":""},{"dropping-particle":"","family":"Nkongho","given":"Raymond N.","non-dropping-particle":"","parse-names":false,"suffix":""},{"dropping-particle":"","family":"Lambin","given":"Eric F.","non-dropping-particle":"","parse-names":false,"suffix":""}],"container-title":"Nature Communications","id":"ITEM-1","issue":"1","issued":{"date-parts":[["2019"]]},"page":"1-11","publisher":"Springer US","title":"Oil palm expansion and deforestation in Southwest Cameroon associated with proliferation of informal mills","type":"article-journal","volume":"10"},"uris":["http://www.mendeley.com/documents/?uuid=da95b384-f7fb-464d-b6ed-e2c4727fdc84"]}],"mendeley":{"formattedCitation":"&lt;sup&gt;34&lt;/sup&gt;","plainTextFormattedCitation":"34","previouslyFormattedCitation":"&lt;sup&gt;34&lt;/sup&gt;"},"properties":{"noteIndex":0},"schema":"https://github.com/citation-style-language/schema/raw/master/csl-citation.json"}</w:instrText>
      </w:r>
      <w:r w:rsidRPr="00D72360">
        <w:fldChar w:fldCharType="separate"/>
      </w:r>
      <w:bookmarkStart w:id="103" w:name="__Fieldmark__6148_3027855847"/>
      <w:bookmarkStart w:id="104" w:name="__Fieldmark__2148_531043149"/>
      <w:r w:rsidR="00D24611" w:rsidRPr="00D24611">
        <w:rPr>
          <w:noProof/>
          <w:vertAlign w:val="superscript"/>
        </w:rPr>
        <w:t>34</w:t>
      </w:r>
      <w:r w:rsidRPr="00D72360">
        <w:fldChar w:fldCharType="end"/>
      </w:r>
      <w:bookmarkEnd w:id="103"/>
      <w:bookmarkEnd w:id="104"/>
      <w:r w:rsidRPr="00D72360">
        <w:t xml:space="preserve">. Note this excludes edaphic constraints, as these are partially based on land cover. 2) </w:t>
      </w:r>
      <w:r w:rsidRPr="00D72360">
        <w:rPr>
          <w:i/>
        </w:rPr>
        <w:t>Steepness</w:t>
      </w:r>
      <w:r w:rsidRPr="00D72360">
        <w:t xml:space="preserve"> - the percentage of each pixel with a slope of &gt;15% - this is the limit to mechanized agriculture </w:t>
      </w:r>
      <w:r w:rsidRPr="00D72360">
        <w:fldChar w:fldCharType="begin" w:fldLock="1"/>
      </w:r>
      <w:r w:rsidR="00E273DD">
        <w:instrText>ADDIN CSL_CITATION {"citationItems":[{"id":"ITEM-1","itemData":{"abstract":"Note that the citation is for the data. The report has since been updated, but the citation should stay the same: http://www.fao.org/nr/land/soils/harmonized-world-soil-database/global-terrain-slope-and-aspect-data/en/","author":[{"dropping-particle":"","family":"Fischer","given":"G.","non-dropping-particle":"","parse-names":false,"suffix":""},{"dropping-particle":"","family":"Nachtergaele","given":"F.","non-dropping-particle":"","parse-names":false,"suffix":""},{"dropping-particle":"","family":"Prieler","given":"S.","non-dropping-particle":"","parse-names":false,"suffix":""},{"dropping-particle":"van","family":"Velthuizen","given":"H.T.","non-dropping-particle":"","parse-names":false,"suffix":""},{"dropping-particle":"","family":"Verelst","given":"L.","non-dropping-particle":"","parse-names":false,"suffix":""},{"dropping-particle":"","family":"Wiberg","given":"D.","non-dropping-particle":"","parse-names":false,"suffix":""}],"container-title":"Food and Agriculture Organization of the United Nations","id":"ITEM-1","issued":{"date-parts":[["2008"]]},"page":"179","title":"Global Agro-ecological Zones :Model documentation","type":"article-journal"},"uris":["http://www.mendeley.com/documents/?uuid=2fde4743-0ab3-47d9-9af7-988cfacb9738"]}],"mendeley":{"formattedCitation":"&lt;sup&gt;58&lt;/sup&gt;","plainTextFormattedCitation":"58","previouslyFormattedCitation":"&lt;sup&gt;58&lt;/sup&gt;"},"properties":{"noteIndex":0},"schema":"https://github.com/citation-style-language/schema/raw/master/csl-citation.json"}</w:instrText>
      </w:r>
      <w:r w:rsidRPr="00D72360">
        <w:fldChar w:fldCharType="separate"/>
      </w:r>
      <w:bookmarkStart w:id="105" w:name="__Fieldmark__6160_3027855847"/>
      <w:r w:rsidR="00A9492F" w:rsidRPr="00A9492F">
        <w:rPr>
          <w:noProof/>
          <w:vertAlign w:val="superscript"/>
        </w:rPr>
        <w:t>58</w:t>
      </w:r>
      <w:r w:rsidRPr="00D72360">
        <w:fldChar w:fldCharType="end"/>
      </w:r>
      <w:bookmarkEnd w:id="105"/>
      <w:r w:rsidRPr="00D72360">
        <w:t>. 3</w:t>
      </w:r>
      <w:r w:rsidRPr="00D72360">
        <w:rPr>
          <w:i/>
        </w:rPr>
        <w:t xml:space="preserve">) </w:t>
      </w:r>
      <w:r w:rsidR="008F6BF2" w:rsidRPr="00D72360">
        <w:rPr>
          <w:i/>
        </w:rPr>
        <w:t xml:space="preserve">Access. </w:t>
      </w:r>
      <w:r w:rsidR="008F6BF2" w:rsidRPr="00D72360">
        <w:t>D</w:t>
      </w:r>
      <w:r w:rsidRPr="00D72360">
        <w:t xml:space="preserve">istance to markets </w:t>
      </w:r>
      <w:r w:rsidRPr="00D72360">
        <w:fldChar w:fldCharType="begin" w:fldLock="1"/>
      </w:r>
      <w:r w:rsidR="00D24611">
        <w:instrText>ADDIN CSL_CITATION {"citationItems":[{"id":"ITEM-1","itemData":{"DOI":"10.1088/1748-9326/6/3/034019","ISBN":"1748-9326","ISSN":"1748-9326","abstract":"Markets influence the global patterns of urbanization, deforestation, agriculture and other land use systems. Yet market influence is rarely incorporated into spatially explicit global studies of environmental change, largely because consistent global data are lacking below the national level. Here we present the first high spatial resolution gridded data depicting market influence globally. The data jointly represent variations in both market strength and accessibility based on three market influence indices derived from an index of accessibility to market locations and national level gross domestic product (purchasing power parity). These indices show strong correspondence with human population density while also revealing several distinct and useful relationships with other global environmental patterns. As market influence grows, the need for high resolution global data on market influence and its dynamics will become increasingly important to understanding and forecasting global environmental change.","author":[{"dropping-particle":"","family":"Verburg","given":"Peter H.","non-dropping-particle":"","parse-names":false,"suffix":""},{"dropping-particle":"","family":"Ellis","given":"Erle C.","non-dropping-particle":"","parse-names":false,"suffix":""},{"dropping-particle":"","family":"Letourneau","given":"Aurelien","non-dropping-particle":"","parse-names":false,"suffix":""}],"container-title":"Environmental Research Letters","id":"ITEM-1","issue":"3","issued":{"date-parts":[["2011","7","1"]]},"page":"034019","title":"A global assessment of market accessibility and market influence for global environmental change studies","type":"article-journal","volume":"6"},"uris":["http://www.mendeley.com/documents/?uuid=8badd825-def1-472f-8657-d00c16f39f47"]}],"mendeley":{"formattedCitation":"&lt;sup&gt;52&lt;/sup&gt;","plainTextFormattedCitation":"52","previouslyFormattedCitation":"&lt;sup&gt;52&lt;/sup&gt;"},"properties":{"noteIndex":0},"schema":"https://github.com/citation-style-language/schema/raw/master/csl-citation.json"}</w:instrText>
      </w:r>
      <w:r w:rsidRPr="00D72360">
        <w:fldChar w:fldCharType="separate"/>
      </w:r>
      <w:bookmarkStart w:id="106" w:name="__Fieldmark__6170_3027855847"/>
      <w:bookmarkStart w:id="107" w:name="__Fieldmark__2153_531043149"/>
      <w:r w:rsidR="00D24611" w:rsidRPr="00D24611">
        <w:rPr>
          <w:noProof/>
          <w:vertAlign w:val="superscript"/>
        </w:rPr>
        <w:t>52</w:t>
      </w:r>
      <w:r w:rsidRPr="00D72360">
        <w:fldChar w:fldCharType="end"/>
      </w:r>
      <w:bookmarkEnd w:id="106"/>
      <w:bookmarkEnd w:id="107"/>
      <w:r w:rsidRPr="00D72360">
        <w:t>.  4</w:t>
      </w:r>
      <w:r w:rsidRPr="00D72360">
        <w:rPr>
          <w:i/>
        </w:rPr>
        <w:t xml:space="preserve">) Population density </w:t>
      </w:r>
      <w:r w:rsidRPr="00D72360">
        <w:t xml:space="preserve">(in 1990) </w:t>
      </w:r>
      <w:r w:rsidRPr="00D72360">
        <w:fldChar w:fldCharType="begin" w:fldLock="1"/>
      </w:r>
      <w:r w:rsidR="00E273DD">
        <w:instrText>ADDIN CSL_CITATION {"citationItems":[{"id":"ITEM-1","itemData":{"DOI":"http://dx.doi.org/10.7927/H4ST7MRB","id":"ITEM-1","issued":{"date-parts":[["2005"]]},"publisher":"NASA Socioeconomic Data and Applications Center (SEDAC)","title":"Gridded Population of the World, Version 3 (GPWv3): Population Density Grid, Future Estimates","type":"article"},"uris":["http://www.mendeley.com/documents/?uuid=571fe342-3ec5-4f58-965e-189ccef2048f"]}],"mendeley":{"formattedCitation":"&lt;sup&gt;59&lt;/sup&gt;","plainTextFormattedCitation":"59","previouslyFormattedCitation":"&lt;sup&gt;59&lt;/sup&gt;"},"properties":{"noteIndex":0},"schema":"https://github.com/citation-style-language/schema/raw/master/csl-citation.json"}</w:instrText>
      </w:r>
      <w:r w:rsidRPr="00D72360">
        <w:fldChar w:fldCharType="separate"/>
      </w:r>
      <w:bookmarkStart w:id="108" w:name="__Fieldmark__6186_3027855847"/>
      <w:r w:rsidR="00A9492F" w:rsidRPr="00A9492F">
        <w:rPr>
          <w:noProof/>
          <w:vertAlign w:val="superscript"/>
        </w:rPr>
        <w:t>59</w:t>
      </w:r>
      <w:r w:rsidRPr="00D72360">
        <w:fldChar w:fldCharType="end"/>
      </w:r>
      <w:bookmarkEnd w:id="108"/>
      <w:r w:rsidRPr="00D72360">
        <w:t xml:space="preserve">. 5) </w:t>
      </w:r>
      <w:r w:rsidRPr="00D72360">
        <w:rPr>
          <w:i/>
        </w:rPr>
        <w:t>GDP</w:t>
      </w:r>
      <w:r w:rsidRPr="00D72360">
        <w:t xml:space="preserve">. GDP in 1992 </w:t>
      </w:r>
      <w:r w:rsidRPr="00D72360">
        <w:fldChar w:fldCharType="begin" w:fldLock="1"/>
      </w:r>
      <w:r w:rsidR="00E273DD">
        <w:instrText>ADDIN CSL_CITATION {"citationItems":[{"id":"ITEM-1","itemData":{"DOI":"10.1038/sdata.2018.4","ISSN":"20524463","abstract":"Gridded global datasets for Gross Domestic Product and Human Development Index over 1990–2015","author":[{"dropping-particle":"","family":"Kummu","given":"Matti","non-dropping-particle":"","parse-names":false,"suffix":""},{"dropping-particle":"","family":"Taka","given":"Maija","non-dropping-particle":"","parse-names":false,"suffix":""},{"dropping-particle":"","family":"Guillaume","given":"Joseph H.A.","non-dropping-particle":"","parse-names":false,"suffix":""}],"container-title":"Scientific Data","id":"ITEM-1","issued":{"date-parts":[["2018"]]},"page":"1-15","title":"Gridded global datasets for Gross Domestic Product and Human Development Index over 1990-2015","type":"article-journal","volume":"5"},"uris":["http://www.mendeley.com/documents/?uuid=09ae6276-eb88-4a44-a478-0deb8bf707db"]}],"mendeley":{"formattedCitation":"&lt;sup&gt;60&lt;/sup&gt;","plainTextFormattedCitation":"60","previouslyFormattedCitation":"&lt;sup&gt;60&lt;/sup&gt;"},"properties":{"noteIndex":0},"schema":"https://github.com/citation-style-language/schema/raw/master/csl-citation.json"}</w:instrText>
      </w:r>
      <w:r w:rsidRPr="00D72360">
        <w:fldChar w:fldCharType="separate"/>
      </w:r>
      <w:bookmarkStart w:id="109" w:name="__Fieldmark__6196_3027855847"/>
      <w:bookmarkStart w:id="110" w:name="__Fieldmark__2158_531043149"/>
      <w:r w:rsidR="00A9492F" w:rsidRPr="00A9492F">
        <w:rPr>
          <w:noProof/>
          <w:vertAlign w:val="superscript"/>
        </w:rPr>
        <w:t>60</w:t>
      </w:r>
      <w:r w:rsidRPr="00D72360">
        <w:fldChar w:fldCharType="end"/>
      </w:r>
      <w:bookmarkEnd w:id="109"/>
      <w:bookmarkEnd w:id="110"/>
      <w:r w:rsidRPr="00D72360">
        <w:t xml:space="preserve">. We do not consider dynamic variables (e.g. change in population density or GDP) in any models as 1) no relevant gridded global datasets exist prior to 1990; and 2) using dynamic data between 1990 and 2015 to predict expansion between 1990 and 2015 would be circular. </w:t>
      </w:r>
    </w:p>
    <w:p w14:paraId="7CDA1AF0" w14:textId="12A41FC3" w:rsidR="005B755B" w:rsidRPr="00D72360" w:rsidRDefault="00ED5576">
      <w:r w:rsidRPr="00D72360">
        <w:t xml:space="preserve">We then built statistical models that linked the above variables to </w:t>
      </w:r>
      <w:r w:rsidRPr="00D72360">
        <w:rPr>
          <w:i/>
        </w:rPr>
        <w:t>a priori</w:t>
      </w:r>
      <w:r w:rsidRPr="00D72360">
        <w:t xml:space="preserve"> theories of cropland expansion (Table 1). Bioclimatic suitability and steepness relates to Ricardian </w:t>
      </w:r>
      <w:r w:rsidRPr="00D72360">
        <w:fldChar w:fldCharType="begin" w:fldLock="1"/>
      </w:r>
      <w:r w:rsidR="00E273DD">
        <w:instrText>ADDIN CSL_CITATION {"citationItems":[{"id":"ITEM-1","itemData":{"author":[{"dropping-particle":"","family":"Ricardo","given":"David","non-dropping-particle":"","parse-names":false,"suffix":""}],"id":"ITEM-1","issued":{"date-parts":[["1817"]]},"publisher":"John Murray","publisher-place":"London","title":"The Principles of Political Economy and Taxation","type":"book"},"uris":["http://www.mendeley.com/documents/?uuid=d7613671-c179-48e2-ba42-9df8633f5c6b"]}],"mendeley":{"formattedCitation":"&lt;sup&gt;61&lt;/sup&gt;","plainTextFormattedCitation":"61","previouslyFormattedCitation":"&lt;sup&gt;61&lt;/sup&gt;"},"properties":{"noteIndex":0},"schema":"https://github.com/citation-style-language/schema/raw/master/csl-citation.json"}</w:instrText>
      </w:r>
      <w:r w:rsidRPr="00D72360">
        <w:fldChar w:fldCharType="separate"/>
      </w:r>
      <w:bookmarkStart w:id="111" w:name="__Fieldmark__6212_3027855847"/>
      <w:bookmarkStart w:id="112" w:name="__Fieldmark__2250_531043149"/>
      <w:r w:rsidR="00A9492F" w:rsidRPr="00A9492F">
        <w:rPr>
          <w:noProof/>
          <w:vertAlign w:val="superscript"/>
        </w:rPr>
        <w:t>61</w:t>
      </w:r>
      <w:r w:rsidRPr="00D72360">
        <w:fldChar w:fldCharType="end"/>
      </w:r>
      <w:bookmarkEnd w:id="111"/>
      <w:bookmarkEnd w:id="112"/>
      <w:r w:rsidRPr="00D72360">
        <w:t xml:space="preserve"> land rent theory, which states that ‘rent’ (underlying value) of land for agriculture is related to its biophysical characteristics relative to other land under use. Distance to markets captures von </w:t>
      </w:r>
      <w:proofErr w:type="spellStart"/>
      <w:r w:rsidRPr="00D72360">
        <w:t>Thünen’s</w:t>
      </w:r>
      <w:proofErr w:type="spellEnd"/>
      <w:r w:rsidRPr="00D72360">
        <w:t xml:space="preserve"> location theory </w:t>
      </w:r>
      <w:r w:rsidRPr="00D72360">
        <w:fldChar w:fldCharType="begin" w:fldLock="1"/>
      </w:r>
      <w:r w:rsidR="00E273DD">
        <w:instrText>ADDIN CSL_CITATION {"citationItems":[{"id":"ITEM-1","itemData":{"author":[{"dropping-particle":"","family":"Thunen","given":"JH","non-dropping-particle":"von","parse-names":false,"suffix":""}],"id":"ITEM-1","issued":{"date-parts":[["1966"]]},"publisher":"Pergamon","publisher-place":"New York","title":"The Isolated State","type":"book"},"uris":["http://www.mendeley.com/documents/?uuid=35dbe835-5d99-4832-b15c-4f83bf03595f"]}],"mendeley":{"formattedCitation":"&lt;sup&gt;62&lt;/sup&gt;","plainTextFormattedCitation":"62","previouslyFormattedCitation":"&lt;sup&gt;62&lt;/sup&gt;"},"properties":{"noteIndex":0},"schema":"https://github.com/citation-style-language/schema/raw/master/csl-citation.json"}</w:instrText>
      </w:r>
      <w:r w:rsidRPr="00D72360">
        <w:fldChar w:fldCharType="separate"/>
      </w:r>
      <w:bookmarkStart w:id="113" w:name="__Fieldmark__6221_3027855847"/>
      <w:bookmarkStart w:id="114" w:name="__Fieldmark__2257_531043149"/>
      <w:r w:rsidR="00A9492F" w:rsidRPr="00A9492F">
        <w:rPr>
          <w:noProof/>
          <w:vertAlign w:val="superscript"/>
        </w:rPr>
        <w:t>62</w:t>
      </w:r>
      <w:r w:rsidRPr="00D72360">
        <w:fldChar w:fldCharType="end"/>
      </w:r>
      <w:bookmarkEnd w:id="113"/>
      <w:bookmarkEnd w:id="114"/>
      <w:r w:rsidRPr="00D72360">
        <w:t xml:space="preserve"> that the highest land rent is near markets, which makes it most likely to be converted to agriculture. We captured the interactions between the biophysical (Ricardian) and location-based determinants of land rent for agriculture using interaction terms (Equation 1). These simple models do not encompass other key determinants of cropland expansion in land rent theory – high agricultural prices and low alternative employment opportunities </w:t>
      </w:r>
      <w:r w:rsidRPr="00D72360">
        <w:fldChar w:fldCharType="begin" w:fldLock="1"/>
      </w:r>
      <w:r w:rsidR="00D24611">
        <w:instrText>ADDIN CSL_CITATION {"citationItems":[{"id":"ITEM-1","itemData":{"DOI":"10.1073/pnas.0912014107","ISBN":"0027-8424","ISSN":"0027-8424","PMID":"20643935","abstract":"Policies to effectively reduce deforestation are discussed within a land rent (von Thünen) framework. The first set of policies attempts to reduce the rent of extensive agriculture, either by neglecting extension, marketing, and infrastructure, generating alternative income opportunities, stimulating intensive agricultural production or by reforming land tenure. The second set aims to increase either extractive or protective forest rent and--more importantly--create institutions (community forest management) or markets (payment for environmental services) that enable land users to capture a larger share of the protective forest rent. The third set aims to limit forest conversion directly by establishing protected areas. Many of these policy options present local win-lose scenarios between forest conservation and agricultural production. Local yield increases tend to stimulate agricultural encroachment, contrary to the logic of the global food equation that suggests yield increases take pressure off forests. At national and global scales, however, policy makers are presented with a more pleasant scenario. Agricultural production in developing countries has increased by 3.3-3.4% annually over the last 2 decades, whereas gross deforestation has increased agricultural area by only 0.3%, suggesting a minor role of forest conversion in overall agricultural production. A spatial delinking of remaining forests and intensive production areas should also help reconcile conservation and production goals in the future.","author":[{"dropping-particle":"","family":"Angelsen","given":"A.","non-dropping-particle":"","parse-names":false,"suffix":""}],"container-title":"Proceedings of the National Academy of Sciences","id":"ITEM-1","issue":"46","issued":{"date-parts":[["2010"]]},"page":"19639-19644","title":"Policies for reduced deforestation and their impact on agricultural production","type":"article-journal","volume":"107"},"uris":["http://www.mendeley.com/documents/?uuid=7011f904-f543-44b8-b84d-06680b9c0c0f"]}],"mendeley":{"formattedCitation":"&lt;sup&gt;63&lt;/sup&gt;","plainTextFormattedCitation":"63","previouslyFormattedCitation":"&lt;sup&gt;63&lt;/sup&gt;"},"properties":{"noteIndex":0},"schema":"https://github.com/citation-style-language/schema/raw/master/csl-citation.json"}</w:instrText>
      </w:r>
      <w:r w:rsidRPr="00D72360">
        <w:fldChar w:fldCharType="separate"/>
      </w:r>
      <w:bookmarkStart w:id="115" w:name="__Fieldmark__6228_3027855847"/>
      <w:bookmarkStart w:id="116" w:name="__Fieldmark__2262_531043149"/>
      <w:r w:rsidR="00D24611" w:rsidRPr="00D24611">
        <w:rPr>
          <w:noProof/>
          <w:vertAlign w:val="superscript"/>
        </w:rPr>
        <w:t>63</w:t>
      </w:r>
      <w:r w:rsidRPr="00D72360">
        <w:fldChar w:fldCharType="end"/>
      </w:r>
      <w:bookmarkEnd w:id="115"/>
      <w:bookmarkEnd w:id="116"/>
      <w:r w:rsidRPr="00D72360">
        <w:t xml:space="preserve">, as such factors are not available </w:t>
      </w:r>
      <w:r w:rsidRPr="00D72360">
        <w:lastRenderedPageBreak/>
        <w:t xml:space="preserve">globally in spatially-disaggregated form. We also included human population density, which relates to </w:t>
      </w:r>
      <w:proofErr w:type="spellStart"/>
      <w:r w:rsidRPr="00D72360">
        <w:t>Boserup’s</w:t>
      </w:r>
      <w:proofErr w:type="spellEnd"/>
      <w:r w:rsidRPr="00D72360">
        <w:t xml:space="preserve"> </w:t>
      </w:r>
      <w:r w:rsidRPr="00D72360">
        <w:fldChar w:fldCharType="begin" w:fldLock="1"/>
      </w:r>
      <w:r w:rsidR="00D24611">
        <w:instrText>ADDIN CSL_CITATION {"citationItems":[{"id":"ITEM-1","itemData":{"author":[{"dropping-particle":"","family":"Boserup","given":"Esther","non-dropping-particle":"","parse-names":false,"suffix":""}],"id":"ITEM-1","issued":{"date-parts":[["1965"]]},"publisher":"Allen &amp; Unwin","publisher-place":"London","title":"The Conditions of Agricultural Growth: The Economics of Agrarian Change under Population Pressure","type":"book"},"uris":["http://www.mendeley.com/documents/?uuid=9bc8aafa-44ff-4690-9537-4ca997bf7687"]}],"mendeley":{"formattedCitation":"&lt;sup&gt;64&lt;/sup&gt;","manualFormatting":"(1965)","plainTextFormattedCitation":"64","previouslyFormattedCitation":"&lt;sup&gt;64&lt;/sup&gt;"},"properties":{"noteIndex":0},"schema":"https://github.com/citation-style-language/schema/raw/master/csl-citation.json"}</w:instrText>
      </w:r>
      <w:r w:rsidRPr="00D72360">
        <w:fldChar w:fldCharType="separate"/>
      </w:r>
      <w:bookmarkStart w:id="117" w:name="__Fieldmark__6237_3027855847"/>
      <w:r w:rsidRPr="00D72360">
        <w:rPr>
          <w:noProof/>
        </w:rPr>
        <w:t>(</w:t>
      </w:r>
      <w:bookmarkStart w:id="118" w:name="__Fieldmark__2269_531043149"/>
      <w:r w:rsidRPr="00D72360">
        <w:rPr>
          <w:noProof/>
        </w:rPr>
        <w:t>1965)</w:t>
      </w:r>
      <w:r w:rsidRPr="00D72360">
        <w:fldChar w:fldCharType="end"/>
      </w:r>
      <w:bookmarkEnd w:id="117"/>
      <w:bookmarkEnd w:id="118"/>
      <w:r w:rsidRPr="00D72360">
        <w:t xml:space="preserve"> theory arguing that expansion of agriculture occurs to satisfy subsistence needs until land becomes scarce, after which intensification takes over. Of course, population expansion can also occur after cropland is established. Unfortunately, high-resolution gridded population data does not exist earlier than 1990, so we were unable to account for this problem of potential endogeneity. </w:t>
      </w:r>
      <w:r w:rsidR="00106D33" w:rsidRPr="00D72360">
        <w:t>Grid cells</w:t>
      </w:r>
      <w:r w:rsidRPr="00D72360">
        <w:t xml:space="preserve"> with high population density should – all other things being equal (modelled via the biophysical constraints, access to markets and interactions between population, access, GDP in 1992 and biophysical constraints; Equation 1) – be dominated by agriculture. By including interactions between economic activity (as measured by GDP) and access, steepness, as well as agroclimatic potential (Equation 1), we incorporated hypotheses concerning potential interactions between subsistence and market demands for agriculture </w:t>
      </w:r>
      <w:r w:rsidRPr="00D72360">
        <w:fldChar w:fldCharType="begin" w:fldLock="1"/>
      </w:r>
      <w:r w:rsidR="0090126B" w:rsidRPr="00D72360">
        <w:instrText>ADDIN CSL_CITATION {"citationItems":[{"id":"ITEM-1","itemData":{"DOI":"10.1016/j.gloenvcha.2018.08.006","ISBN":"0959-3780","ISSN":"09593780","abstract":"Changes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Change","id":"ITEM-1","issue":"March","issued":{"date-parts":[["2018"]]},"page":"52-67","publisher":"Elsevier Ltd","title":"Middle-range theories of land system change","type":"article-journal","volume":"53"},"uris":["http://www.mendeley.com/documents/?uuid=7373a15b-6118-424c-ab15-05715e02d423"]}],"mendeley":{"formattedCitation":"&lt;sup&gt;20&lt;/sup&gt;","plainTextFormattedCitation":"20","previouslyFormattedCitation":"&lt;sup&gt;20&lt;/sup&gt;"},"properties":{"noteIndex":0},"schema":"https://github.com/citation-style-language/schema/raw/master/csl-citation.json"}</w:instrText>
      </w:r>
      <w:r w:rsidRPr="00D72360">
        <w:fldChar w:fldCharType="separate"/>
      </w:r>
      <w:bookmarkStart w:id="119" w:name="__Fieldmark__6246_3027855847"/>
      <w:bookmarkStart w:id="120" w:name="__Fieldmark__2280_531043149"/>
      <w:r w:rsidR="0090126B" w:rsidRPr="00D72360">
        <w:rPr>
          <w:noProof/>
          <w:vertAlign w:val="superscript"/>
        </w:rPr>
        <w:t>20</w:t>
      </w:r>
      <w:r w:rsidRPr="00D72360">
        <w:fldChar w:fldCharType="end"/>
      </w:r>
      <w:bookmarkEnd w:id="119"/>
      <w:bookmarkEnd w:id="120"/>
      <w:r w:rsidRPr="00D72360">
        <w:t xml:space="preserve">. However, these variables do not take into account the technological, institutional variables that also determine demand per unit area – (induced intensification theory), nor quality of governance, inequality in access to land, and other factors that influence the heterogeneity in agent’s ability to materialize potential land rents, all of which are important in determining modern resource frontiers </w:t>
      </w:r>
      <w:r w:rsidRPr="00D72360">
        <w:fldChar w:fldCharType="begin" w:fldLock="1"/>
      </w:r>
      <w:r w:rsidR="0090126B" w:rsidRPr="00D72360">
        <w:instrText>ADDIN CSL_CITATION {"citationItems":[{"id":"ITEM-1","itemData":{"DOI":"10.1016/j.gloenvcha.2018.08.006","ISBN":"0959-3780","ISSN":"09593780","abstract":"Changes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Change","id":"ITEM-1","issue":"March","issued":{"date-parts":[["2018"]]},"page":"52-67","publisher":"Elsevier Ltd","title":"Middle-range theories of land system change","type":"article-journal","volume":"53"},"uris":["http://www.mendeley.com/documents/?uuid=7373a15b-6118-424c-ab15-05715e02d423"]},{"id":"ITEM-2","itemData":{"DOI":"10.1080/24694452.2017.1360761","ISSN":"24694460","abstract":"© 2018 by American Association of Geographers. Theories of frontier expansion in the last four decades have been mostly shaped by studies of state-driven smallholder colonization. Modern-day agricultural frontiers, however, are increasingly driven by capitalized corporate agriculture operating with little direct government intervention. The expansion of contemporary frontiers has been explained by the existence of spatially heterogeneous “abnormal” rents, which can be caused by cheap land and labor, technological innovation, lack of regulations, and a variety of other incentives. Here, we argue that understanding the dynamics of these frontiers requires considering the differential ability of actors to capture such rents, which depends on their access to production factors and their information, preferences, and agency. We propose a new conceptual framework drawing on neoclassical economics and political economy, which we apply to the South American Gran Chaco, a hot spot of deforestation for soy and cattle production. We divide the region into a set of distinct frontiers based on satellite data, field interviews, and expert knowledge, to review the drivers and actors of agricultural expansion in these frontiers. We show that frontier expansion in the Chaco responded to the rents created by new agricultural technologies, infrastructure, and rising producer prices but that the frontier dynamics were strongly influenced by actors' abilities to capture or influence these rents. Our findings thus highlight that understanding contemporary commodity frontiers requires analyzing the novel ways by which the agency of particular groups of actors shapes land-use outcomes.","author":[{"dropping-particle":"","family":"Polain de Waroux","given":"Yann","non-dropping-particle":"le","parse-names":false,"suffix":""},{"dropping-particle":"","family":"Baumann","given":"Matthias","non-dropping-particle":"","parse-names":false,"suffix":""},{"dropping-particle":"","family":"Gasparri","given":"Nestor Ignacio","non-dropping-particle":"","parse-names":false,"suffix":""},{"dropping-particle":"","family":"Gavier-Pizarro","given":"Gregorio","non-dropping-particle":"","parse-names":false,"suffix":""},{"dropping-particle":"","family":"Godar","given":"Javier","non-dropping-particle":"","parse-names":false,"suffix":""},{"dropping-particle":"","family":"Kuemmerle","given":"Tobias","non-dropping-particle":"","parse-names":false,"suffix":""},{"dropping-particle":"","family":"Müller","given":"Robert","non-dropping-particle":"","parse-names":false,"suffix":""},{"dropping-particle":"","family":"Vázquez","given":"Fabricio","non-dropping-particle":"","parse-names":false,"suffix":""},{"dropping-particle":"","family":"Volante","given":"José Norberto","non-dropping-particle":"","parse-names":false,"suffix":""},{"dropping-particle":"","family":"Meyfroidt","given":"Patrick","non-dropping-particle":"","parse-names":false,"suffix":""}],"container-title":"Annals of the American Association of Geographers","id":"ITEM-2","issue":"1","issued":{"date-parts":[["2018"]]},"page":"204-225","title":"Rents, Actors, and the Expansion of Commodity Frontiers in the Gran Chaco","type":"article-journal","volume":"108"},"uris":["http://www.mendeley.com/documents/?uuid=26dca451-5397-4cb8-9a63-7686206d1e7c"]}],"mendeley":{"formattedCitation":"&lt;sup&gt;18,20&lt;/sup&gt;","plainTextFormattedCitation":"18,20","previouslyFormattedCitation":"&lt;sup&gt;18,20&lt;/sup&gt;"},"properties":{"noteIndex":0},"schema":"https://github.com/citation-style-language/schema/raw/master/csl-citation.json"}</w:instrText>
      </w:r>
      <w:r w:rsidRPr="00D72360">
        <w:fldChar w:fldCharType="separate"/>
      </w:r>
      <w:bookmarkStart w:id="121" w:name="__Fieldmark__6253_3027855847"/>
      <w:bookmarkStart w:id="122" w:name="__Fieldmark__2291_531043149"/>
      <w:r w:rsidR="0090126B" w:rsidRPr="00D72360">
        <w:rPr>
          <w:noProof/>
          <w:vertAlign w:val="superscript"/>
        </w:rPr>
        <w:t>18,20</w:t>
      </w:r>
      <w:r w:rsidRPr="00D72360">
        <w:fldChar w:fldCharType="end"/>
      </w:r>
      <w:bookmarkEnd w:id="121"/>
      <w:bookmarkEnd w:id="122"/>
      <w:r w:rsidRPr="00D72360">
        <w:t xml:space="preserve">. Again, this is due to data constraints. </w:t>
      </w:r>
    </w:p>
    <w:p w14:paraId="2020570F" w14:textId="4A19AAD9" w:rsidR="00950588" w:rsidRPr="00D72360" w:rsidRDefault="00127813" w:rsidP="00950588">
      <w:pPr>
        <w:rPr>
          <w:i/>
          <w:iCs/>
        </w:rPr>
      </w:pPr>
      <w:r>
        <w:rPr>
          <w:i/>
          <w:iCs/>
        </w:rPr>
        <w:t>Explaining extent and expansion with s</w:t>
      </w:r>
      <w:r w:rsidR="00950588" w:rsidRPr="00D72360">
        <w:rPr>
          <w:i/>
          <w:iCs/>
        </w:rPr>
        <w:t>tandard theories</w:t>
      </w:r>
    </w:p>
    <w:p w14:paraId="3034335A" w14:textId="0AB35BAC" w:rsidR="005B755B" w:rsidRPr="00D72360" w:rsidRDefault="00ED5576">
      <w:r w:rsidRPr="00D72360">
        <w:rPr>
          <w:iCs/>
        </w:rPr>
        <w:t xml:space="preserve">Like-to-like comparisons of the relative importance of different predictors explaining recent agricultural expansion (1992 to 2015) and cropland extent in 1992 requires a sub-sampling approach </w:t>
      </w:r>
      <w:r w:rsidRPr="00D72360">
        <w:fldChar w:fldCharType="begin" w:fldLock="1"/>
      </w:r>
      <w:r w:rsidR="00D24611">
        <w:instrText>ADDIN CSL_CITATION {"citationItems":[{"id":"ITEM-1","itemData":{"DOI":"10.1007/s10021-011-9441-y","ISSN":"14329840","abstract":"Abandonment of arable land is often assumed to happen mostly in marginal areas where the conditions for arable cultivation are relatively unfavorable, whereas arable expansion is expected to occur mostly in areas with favorable conditions. This assumption, used in many land-use change forecasts, was never properly tested, mainly because the relatively short period of full-coverage land-use inventories did not allow a systematic analysis of the phenomena. With the recent release of CORINE 2006 this has changed. In this article, we explore the typical locations of abandonment and expansion of arable land in Europe during the period 1990-2006 by means of logistic regressions. More specifically, we test whether or not locations of abandonment and expansion can be inferred from the location characteristics of arable land in 1990. If the above assumption holds, this should be the case. We demonstrate that although arable expansion indeed happens in locations that resemble the bulk of arable land in 1990 (the presumably favorable locations), arable abandonment does not necessarily happen in locations that resemble the bulk of uncultivated land (that is, the presumably unfavorable locations). In other words, the assumption does not hold. Particularly, areas close to the road network were found to be associated with both high abandonment rates and high expansion rates, which suggest that abandonment is not limited to areas that are marginal in terms of agricultural production.","author":[{"dropping-particle":"","family":"Hatna","given":"Erez","non-dropping-particle":"","parse-names":false,"suffix":""},{"dropping-particle":"","family":"Bakker","given":"Martha M.","non-dropping-particle":"","parse-names":false,"suffix":""}],"container-title":"Ecosystems","id":"ITEM-1","issue":"5","issued":{"date-parts":[["2011"]]},"page":"720-731","title":"Abandonment and Expansion of Arable Land in Europe","type":"article-journal","volume":"14"},"uris":["http://www.mendeley.com/documents/?uuid=111b7745-26da-4da0-9fe0-017710a661a2"]},{"id":"ITEM-2","itemData":{"DOI":"10.1016/j.scitotenv.2018.06.326","ISSN":"18791026","abstract":"Agricultural abandonment is widespread and growing in many regions worldwide, often because of agricultural intensification on productive lands, conservation policies, or the spatial decoupling of agricultural production from consumption. Abandonment has major environmental and social impacts, which differ starkly depending on the geographical context, as does its potential to serve as a land reservoir for recultivation. Understanding determinants of abandonment patterns, and especially how their influence varies across broad geographic extents, is therefore important. Using a pan-European map of agricultural abandonment derived from MODIS NDVI time series between 2001 and 2012, we quantified the importance of farm management, climatic, environmental, and socio-economic variables in explaining abandonment patterns. We chose a machine learning modelling framework that accounts for spatial variation in the relationship between abandonment and its determinants. We predicted abandonment probability as well as determinant coefficients for the entire study area and summarised them for regions under selected EU support schemes. Our results highlight that agricultural abandonment was mainly explained by climate conditions suboptimal for agriculture (i.e., low/high growing degrees days). Determinants related to farm management (smaller field size, lower yields) and socio-economic conditions (high unemployment, negative migration balance) also contributed to describing agricultural abandonment patterns in Europe. Several determinants influenced abandonment in strongly non-linear ways and we found substantial spatial non-stationarity effects, although abandonment patterns were equally well-explained by predictors specified with spatially constant and varying effects. Predicted abandonment probability was similar inside and outside EU support or conservation zones, whereas observed MODIS-based abandonment was generally higher outside these zones, suggesting that schemes such as Natura 2000 or High Nature Value Farmland likely influence abandonment patterns. Our work highlights the potential value of spatial boosting for gaining insights into land-use change processes and their outcomes, which should increase the ability of such models to inform context-specific, regionalised decision making.","author":[{"dropping-particle":"","family":"Levers","given":"Christian","non-dropping-particle":"","parse-names":false,"suffix":""},{"dropping-particle":"","family":"Schneider","given":"Max","non-dropping-particle":"","parse-names":false,"suffix":""},{"dropping-particle":"V.","family":"Prishchepov","given":"Alexander","non-dropping-particle":"","parse-names":false,"suffix":""},{"dropping-particle":"","family":"Estel","given":"Stephan","non-dropping-particle":"","parse-names":false,"suffix":""},{"dropping-particle":"","family":"Kuemmerle","given":"Tobias","non-dropping-particle":"","parse-names":false,"suffix":""}],"container-title":"Science of the Total Environment","id":"ITEM-2","issued":{"date-parts":[["2018"]]},"page":"95-111","publisher":"Elsevier B.V.","title":"Spatial variation in determinants of agricultural land abandonment in Europe","type":"article-journal","volume":"644"},"uris":["http://www.mendeley.com/documents/?uuid=a7056bae-9591-4177-958c-acd57e40d619"]}],"mendeley":{"formattedCitation":"&lt;sup&gt;15,65&lt;/sup&gt;","plainTextFormattedCitation":"15,65","previouslyFormattedCitation":"&lt;sup&gt;15,65&lt;/sup&gt;"},"properties":{"noteIndex":0},"schema":"https://github.com/citation-style-language/schema/raw/master/csl-citation.json"}</w:instrText>
      </w:r>
      <w:r w:rsidRPr="00D72360">
        <w:fldChar w:fldCharType="separate"/>
      </w:r>
      <w:bookmarkStart w:id="123" w:name="__Fieldmark__6266_3027855847"/>
      <w:r w:rsidR="0090126B" w:rsidRPr="00D72360">
        <w:rPr>
          <w:iCs/>
          <w:noProof/>
          <w:vertAlign w:val="superscript"/>
        </w:rPr>
        <w:t>15,65</w:t>
      </w:r>
      <w:r w:rsidRPr="00D72360">
        <w:fldChar w:fldCharType="end"/>
      </w:r>
      <w:bookmarkEnd w:id="123"/>
      <w:r w:rsidRPr="00D72360">
        <w:rPr>
          <w:iCs/>
        </w:rPr>
        <w:t>. This is because locations of expansion events are comparatively extremely rare to locations where expansions did not occur</w:t>
      </w:r>
      <w:r w:rsidRPr="00D72360">
        <w:t xml:space="preserve">. Subsampling approaches enable balanced sampling, where an equal number of ‘presences’ (changes) and ‘absences’ are randomly sampled many times from across the study area, and the average coefficients are used </w:t>
      </w:r>
      <w:r w:rsidRPr="00D72360">
        <w:fldChar w:fldCharType="begin" w:fldLock="1"/>
      </w:r>
      <w:r w:rsidR="00D24611">
        <w:instrText>ADDIN CSL_CITATION {"citationItems":[{"id":"ITEM-1","itemData":{"DOI":"10.1016/j.scitotenv.2018.06.326","ISSN":"18791026","abstract":"Agricultural abandonment is widespread and growing in many regions worldwide, often because of agricultural intensification on productive lands, conservation policies, or the spatial decoupling of agricultural production from consumption. Abandonment has major environmental and social impacts, which differ starkly depending on the geographical context, as does its potential to serve as a land reservoir for recultivation. Understanding determinants of abandonment patterns, and especially how their influence varies across broad geographic extents, is therefore important. Using a pan-European map of agricultural abandonment derived from MODIS NDVI time series between 2001 and 2012, we quantified the importance of farm management, climatic, environmental, and socio-economic variables in explaining abandonment patterns. We chose a machine learning modelling framework that accounts for spatial variation in the relationship between abandonment and its determinants. We predicted abandonment probability as well as determinant coefficients for the entire study area and summarised them for regions under selected EU support schemes. Our results highlight that agricultural abandonment was mainly explained by climate conditions suboptimal for agriculture (i.e., low/high growing degrees days). Determinants related to farm management (smaller field size, lower yields) and socio-economic conditions (high unemployment, negative migration balance) also contributed to describing agricultural abandonment patterns in Europe. Several determinants influenced abandonment in strongly non-linear ways and we found substantial spatial non-stationarity effects, although abandonment patterns were equally well-explained by predictors specified with spatially constant and varying effects. Predicted abandonment probability was similar inside and outside EU support or conservation zones, whereas observed MODIS-based abandonment was generally higher outside these zones, suggesting that schemes such as Natura 2000 or High Nature Value Farmland likely influence abandonment patterns. Our work highlights the potential value of spatial boosting for gaining insights into land-use change processes and their outcomes, which should increase the ability of such models to inform context-specific, regionalised decision making.","author":[{"dropping-particle":"","family":"Levers","given":"Christian","non-dropping-particle":"","parse-names":false,"suffix":""},{"dropping-particle":"","family":"Schneider","given":"Max","non-dropping-particle":"","parse-names":false,"suffix":""},{"dropping-particle":"V.","family":"Prishchepov","given":"Alexander","non-dropping-particle":"","parse-names":false,"suffix":""},{"dropping-particle":"","family":"Estel","given":"Stephan","non-dropping-particle":"","parse-names":false,"suffix":""},{"dropping-particle":"","family":"Kuemmerle","given":"Tobias","non-dropping-particle":"","parse-names":false,"suffix":""}],"container-title":"Science of the Total Environment","id":"ITEM-1","issued":{"date-parts":[["2018"]]},"page":"95-111","publisher":"Elsevier B.V.","title":"Spatial variation in determinants of agricultural land abandonment in Europe","type":"article-journal","volume":"644"},"uris":["http://www.mendeley.com/documents/?uuid=a7056bae-9591-4177-958c-acd57e40d619"]},{"id":"ITEM-2","itemData":{"DOI":"10.1007/s10021-011-9441-y","ISSN":"14329840","abstract":"Abandonment of arable land is often assumed to happen mostly in marginal areas where the conditions for arable cultivation are relatively unfavorable, whereas arable expansion is expected to occur mostly in areas with favorable conditions. This assumption, used in many land-use change forecasts, was never properly tested, mainly because the relatively short period of full-coverage land-use inventories did not allow a systematic analysis of the phenomena. With the recent release of CORINE 2006 this has changed. In this article, we explore the typical locations of abandonment and expansion of arable land in Europe during the period 1990-2006 by means of logistic regressions. More specifically, we test whether or not locations of abandonment and expansion can be inferred from the location characteristics of arable land in 1990. If the above assumption holds, this should be the case. We demonstrate that although arable expansion indeed happens in locations that resemble the bulk of arable land in 1990 (the presumably favorable locations), arable abandonment does not necessarily happen in locations that resemble the bulk of uncultivated land (that is, the presumably unfavorable locations). In other words, the assumption does not hold. Particularly, areas close to the road network were found to be associated with both high abandonment rates and high expansion rates, which suggest that abandonment is not limited to areas that are marginal in terms of agricultural production.","author":[{"dropping-particle":"","family":"Hatna","given":"Erez","non-dropping-particle":"","parse-names":false,"suffix":""},{"dropping-particle":"","family":"Bakker","given":"Martha M.","non-dropping-particle":"","parse-names":false,"suffix":""}],"container-title":"Ecosystems","id":"ITEM-2","issue":"5","issued":{"date-parts":[["2011"]]},"page":"720-731","title":"Abandonment and Expansion of Arable Land in Europe","type":"article-journal","volume":"14"},"uris":["http://www.mendeley.com/documents/?uuid=111b7745-26da-4da0-9fe0-017710a661a2"]},{"id":"ITEM-3","itemData":{"DOI":"10.1111/j.1365-2486.2012.02759.x","ISBN":"1354-1013","ISSN":"13541013","abstract":"Current global scale land-change models used for integrated assessments and climate modeling are based on classifications of land cover. However, land-use management intensity and livestock keeping are also important aspects of land use, and are an integrated part of land systems. This article aims to classify, map, and to characterize Land Systems (LS) at a global scale and analyze the spatial determinants of these systems. Besides proposing such a classification, the article tests if global assessments can be based on globally uniform allocation rules. Land cover, livestock, and agricultural intensity data are used to map LS using a hierarchical classification method. Logistic regressions are used to analyze variation in spatial determinants of LS. The analysis of the spatial determinants of LS indicates strong associations between LS and a range of socioeconomic and biophysical indicators of human-environment interactions. The set of identified spatial determinants of a LS differs among regions and scales, especially for (mosaic) cropland systems, grassland systems with livestock, and settlements. (Semi-)Natural LS have more similar spatial determinants across regions and scales. Using LS in global models is expected to result in a more accurate representation of land use capturing important aspects of land systems and land architecture: the variation in land cover and the link between land-use intensity and landscape composition. Because the set of most important spatial determinants of LS varies among regions and scales, land-change models that include the human drivers of land change are best parameterized at sub-global level, where similar biophysical, socioeconomic and cultural conditions prevail in the specific regions.","author":[{"dropping-particle":"","family":"Asselen","given":"Sanneke","non-dropping-particle":"van","parse-names":false,"suffix":""},{"dropping-particle":"","family":"Verburg","given":"Peter H.","non-dropping-particle":"","parse-names":false,"suffix":""}],"container-title":"Global Change Biology","id":"ITEM-3","issue":"10","issued":{"date-parts":[["2012"]]},"page":"3125-3148","title":"A Land System representation for global assessments and land-use modeling","type":"article-journal","volume":"18"},"uris":["http://www.mendeley.com/documents/?uuid=5f71eaa9-cf90-4677-816f-29e022d807e4"]}],"mendeley":{"formattedCitation":"&lt;sup&gt;15,65,66&lt;/sup&gt;","plainTextFormattedCitation":"15,65,66","previouslyFormattedCitation":"&lt;sup&gt;15,65,66&lt;/sup&gt;"},"properties":{"noteIndex":0},"schema":"https://github.com/citation-style-language/schema/raw/master/csl-citation.json"}</w:instrText>
      </w:r>
      <w:r w:rsidRPr="00D72360">
        <w:fldChar w:fldCharType="separate"/>
      </w:r>
      <w:bookmarkStart w:id="124" w:name="__Fieldmark__6272_3027855847"/>
      <w:bookmarkStart w:id="125" w:name="__Fieldmark__2210_531043149"/>
      <w:r w:rsidR="0090126B" w:rsidRPr="00D72360">
        <w:rPr>
          <w:noProof/>
          <w:vertAlign w:val="superscript"/>
          <w:lang w:val="nl-NL"/>
        </w:rPr>
        <w:t>15,65,66</w:t>
      </w:r>
      <w:r w:rsidRPr="00D72360">
        <w:fldChar w:fldCharType="end"/>
      </w:r>
      <w:bookmarkEnd w:id="124"/>
      <w:bookmarkEnd w:id="125"/>
      <w:r w:rsidRPr="00D72360">
        <w:rPr>
          <w:lang w:val="nl-NL"/>
        </w:rPr>
        <w:t xml:space="preserve">. </w:t>
      </w:r>
      <w:r w:rsidRPr="00D72360">
        <w:t xml:space="preserve">This approach also reduces the  spatial autocorrelation </w:t>
      </w:r>
      <w:r w:rsidRPr="00D72360">
        <w:fldChar w:fldCharType="begin" w:fldLock="1"/>
      </w:r>
      <w:r w:rsidR="00D24611">
        <w:instrText>ADDIN CSL_CITATION {"citationItems":[{"id":"ITEM-1","itemData":{"DOI":"10.1038/ncomms3474","ISBN":"2041-1733","ISSN":"20411723","PMID":"24064801","abstract":"Nature Communications 4, (2013). doi:10.1038/ncomms3474","author":[{"dropping-particle":"","family":"Sandel","given":"Brody","non-dropping-particle":"","parse-names":false,"suffix":""},{"dropping-particle":"","family":"Svenning","given":"Jens Christian","non-dropping-particle":"","parse-names":false,"suffix":""}],"container-title":"Nature Communications","id":"ITEM-1","issued":{"date-parts":[["2013"]]},"page":"1-7","publisher":"Nature Publishing Group","title":"Human impacts drive a global topographic signature in tree cover","type":"article-journal","volume":"4"},"uris":["http://www.mendeley.com/documents/?uuid=4f420ba5-f067-4952-9cfb-9c0d5871476c"]}],"mendeley":{"formattedCitation":"&lt;sup&gt;67&lt;/sup&gt;","plainTextFormattedCitation":"67","previouslyFormattedCitation":"&lt;sup&gt;67&lt;/sup&gt;"},"properties":{"noteIndex":0},"schema":"https://github.com/citation-style-language/schema/raw/master/csl-citation.json"}</w:instrText>
      </w:r>
      <w:r w:rsidRPr="00D72360">
        <w:fldChar w:fldCharType="separate"/>
      </w:r>
      <w:bookmarkStart w:id="126" w:name="__Fieldmark__6280_3027855847"/>
      <w:bookmarkStart w:id="127" w:name="__Fieldmark__2216_531043149"/>
      <w:r w:rsidR="0090126B" w:rsidRPr="00D72360">
        <w:rPr>
          <w:noProof/>
          <w:vertAlign w:val="superscript"/>
        </w:rPr>
        <w:t>67</w:t>
      </w:r>
      <w:r w:rsidRPr="00D72360">
        <w:fldChar w:fldCharType="end"/>
      </w:r>
      <w:bookmarkEnd w:id="126"/>
      <w:bookmarkEnd w:id="127"/>
      <w:r w:rsidRPr="00D72360">
        <w:t>. We therefore randomly selected 500 ‘presence’ and 500 ‘absence’ squares globally 10,000 times for all three cropland thresholds (</w:t>
      </w:r>
      <w:r w:rsidR="00106D33" w:rsidRPr="00D72360">
        <w:t>0.5</w:t>
      </w:r>
      <w:r w:rsidRPr="00D72360">
        <w:t xml:space="preserve">%, 10% or </w:t>
      </w:r>
      <w:r w:rsidR="00106D33" w:rsidRPr="00D72360">
        <w:t>50</w:t>
      </w:r>
      <w:r w:rsidRPr="00D72360">
        <w:t>% or more expansion or extent in cropland) for both extent and expansion models, and then ran a logistic regression models for each subsample.</w:t>
      </w:r>
    </w:p>
    <w:p w14:paraId="5DA2E15B" w14:textId="10ED34A7" w:rsidR="005B755B" w:rsidRPr="00D72360" w:rsidRDefault="00ED5576">
      <w:r w:rsidRPr="00D72360">
        <w:t xml:space="preserve">In each case, we used the same global logistic regression model (Model 1) to enable like-to-like comparisons. This model includes variables that relate to the major existing theories of agricultural expansion </w:t>
      </w:r>
      <w:r w:rsidRPr="00D72360">
        <w:fldChar w:fldCharType="begin" w:fldLock="1"/>
      </w:r>
      <w:r w:rsidR="00D24611">
        <w:instrText>ADDIN CSL_CITATION {"citationItems":[{"id":"ITEM-1","itemData":{"DOI":"10.1073/pnas.0912014107","ISBN":"0027-8424","ISSN":"0027-8424","PMID":"20643935","abstract":"Policies to effectively reduce deforestation are discussed within a land rent (von Thünen) framework. The first set of policies attempts to reduce the rent of extensive agriculture, either by neglecting extension, marketing, and infrastructure, generating alternative income opportunities, stimulating intensive agricultural production or by reforming land tenure. The second set aims to increase either extractive or protective forest rent and--more importantly--create institutions (community forest management) or markets (payment for environmental services) that enable land users to capture a larger share of the protective forest rent. The third set aims to limit forest conversion directly by establishing protected areas. Many of these policy options present local win-lose scenarios between forest conservation and agricultural production. Local yield increases tend to stimulate agricultural encroachment, contrary to the logic of the global food equation that suggests yield increases take pressure off forests. At national and global scales, however, policy makers are presented with a more pleasant scenario. Agricultural production in developing countries has increased by 3.3-3.4% annually over the last 2 decades, whereas gross deforestation has increased agricultural area by only 0.3%, suggesting a minor role of forest conversion in overall agricultural production. A spatial delinking of remaining forests and intensive production areas should also help reconcile conservation and production goals in the future.","author":[{"dropping-particle":"","family":"Angelsen","given":"A.","non-dropping-particle":"","parse-names":false,"suffix":""}],"container-title":"Proceedings of the National Academy of Sciences","id":"ITEM-1","issue":"46","issued":{"date-parts":[["2010"]]},"page":"19639-19644","title":"Policies for reduced deforestation and their impact on agricultural production","type":"article-journal","volume":"107"},"uris":["http://www.mendeley.com/documents/?uuid=7011f904-f543-44b8-b84d-06680b9c0c0f"]},{"id":"ITEM-2","itemData":{"DOI":"10.1016/j.gloenvcha.2018.08.006","ISBN":"0959-3780","ISSN":"09593780","abstract":"Changes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Change","id":"ITEM-2","issue":"March","issued":{"date-parts":[["2018"]]},"page":"52-67","publisher":"Elsevier Ltd","title":"Middle-range theories of land system change","type":"article-journal","volume":"53"},"uris":["http://www.mendeley.com/documents/?uuid=7373a15b-6118-424c-ab15-05715e02d423"]}],"mendeley":{"formattedCitation":"&lt;sup&gt;20,63&lt;/sup&gt;","plainTextFormattedCitation":"20,63","previouslyFormattedCitation":"&lt;sup&gt;20,63&lt;/sup&gt;"},"properties":{"noteIndex":0},"schema":"https://github.com/citation-style-language/schema/raw/master/csl-citation.json"}</w:instrText>
      </w:r>
      <w:r w:rsidRPr="00D72360">
        <w:fldChar w:fldCharType="separate"/>
      </w:r>
      <w:bookmarkStart w:id="128" w:name="__Fieldmark__6299_3027855847"/>
      <w:bookmarkStart w:id="129" w:name="__Fieldmark__2232_531043149"/>
      <w:r w:rsidR="00D24611" w:rsidRPr="00D24611">
        <w:rPr>
          <w:noProof/>
          <w:vertAlign w:val="superscript"/>
          <w:lang w:val="de-DE"/>
        </w:rPr>
        <w:t>20,63</w:t>
      </w:r>
      <w:r w:rsidRPr="00D72360">
        <w:fldChar w:fldCharType="end"/>
      </w:r>
      <w:bookmarkEnd w:id="128"/>
      <w:bookmarkEnd w:id="129"/>
      <w:r w:rsidRPr="00D72360">
        <w:rPr>
          <w:lang w:val="de-DE"/>
        </w:rPr>
        <w:t xml:space="preserve">.   </w:t>
      </w:r>
    </w:p>
    <w:p w14:paraId="4CAC3BD8" w14:textId="1AA9B288" w:rsidR="005B755B" w:rsidRPr="00D72360" w:rsidRDefault="00ED5576">
      <w:pPr>
        <w:rPr>
          <w:i/>
          <w:lang w:val="de-DE"/>
        </w:rPr>
      </w:pPr>
      <m:oMath>
        <m:r>
          <m:rPr>
            <m:sty m:val="p"/>
          </m:rPr>
          <w:rPr>
            <w:rFonts w:ascii="Cambria Math" w:hAnsi="Cambria Math"/>
          </w:rPr>
          <m:t>Cropland</m:t>
        </m:r>
        <m:d>
          <m:dPr>
            <m:begChr m:val="["/>
            <m:endChr m:val="]"/>
            <m:ctrlPr>
              <w:rPr>
                <w:rFonts w:ascii="Cambria Math" w:hAnsi="Cambria Math"/>
              </w:rPr>
            </m:ctrlPr>
          </m:dPr>
          <m:e>
            <m:r>
              <m:rPr>
                <m:sty m:val="p"/>
              </m:rPr>
              <w:rPr>
                <w:rFonts w:ascii="Cambria Math" w:hAnsi="Cambria Math"/>
              </w:rPr>
              <m:t>balanced sample of extent in 1992 OR expansion between 1992 and 2015</m:t>
            </m:r>
          </m:e>
        </m:d>
        <m:r>
          <m:rPr>
            <m:sty m:val="p"/>
          </m:rPr>
          <w:rPr>
            <w:rFonts w:ascii="Cambria Math" w:hAnsi="Cambria Math"/>
          </w:rPr>
          <m:t xml:space="preserve"> X1</m:t>
        </m:r>
      </m:oMath>
      <w:r w:rsidRPr="00D72360">
        <w:rPr>
          <w:i/>
          <w:lang w:val="de-DE"/>
        </w:rPr>
        <w:t xml:space="preserve"> (</w:t>
      </w:r>
      <w:r w:rsidRPr="00D72360">
        <w:rPr>
          <w:b/>
          <w:i/>
          <w:lang w:val="de-DE"/>
        </w:rPr>
        <w:t>Model 1)</w:t>
      </w:r>
    </w:p>
    <w:p w14:paraId="0680BADE" w14:textId="59ECF9F4" w:rsidR="005B755B" w:rsidRPr="00D72360" w:rsidRDefault="00ED5576">
      <m:oMathPara>
        <m:oMath>
          <m:r>
            <m:rPr>
              <m:sty m:val="p"/>
            </m:rPr>
            <w:rPr>
              <w:rFonts w:ascii="Cambria Math" w:hAnsi="Cambria Math"/>
            </w:rPr>
            <m:t>where X1=Bioclimatic suitability+Access+Steepness+Population density+GDP+Bioclimatic suitability*Access+Steepness*Access+Bioclimatic suitability*Population density+Steepness*Population density+GPD*Acccess+GDP*Steeepness+GDP*Bioclimatic suitability+GDP*Population density</m:t>
          </m:r>
        </m:oMath>
      </m:oMathPara>
    </w:p>
    <w:p w14:paraId="138D919F" w14:textId="3CAA42F9" w:rsidR="005B755B" w:rsidRPr="00D72360" w:rsidRDefault="00ED5576">
      <w:r w:rsidRPr="00D72360">
        <w:t xml:space="preserve">All statistical analyses were limited to areas considered minimally </w:t>
      </w:r>
      <w:proofErr w:type="spellStart"/>
      <w:r w:rsidRPr="00D72360">
        <w:t>bioclimatically</w:t>
      </w:r>
      <w:proofErr w:type="spellEnd"/>
      <w:r w:rsidRPr="00D72360">
        <w:t xml:space="preserve"> suitable (values &gt; 0) for rain-fed cultivation of at least one of wheat, soy, maize, rice or oil palm by the FAO </w:t>
      </w:r>
      <w:r w:rsidRPr="00D72360">
        <w:fldChar w:fldCharType="begin" w:fldLock="1"/>
      </w:r>
      <w:r w:rsidR="00E273DD">
        <w:instrText>ADDIN CSL_CITATION {"citationItems":[{"id":"ITEM-1","itemData":{"abstract":"Note that the citation is for the data. The report has since been updated, but the citation should stay the same: http://www.fao.org/nr/land/soils/harmonized-world-soil-database/global-terrain-slope-and-aspect-data/en/","author":[{"dropping-particle":"","family":"Fischer","given":"G.","non-dropping-particle":"","parse-names":false,"suffix":""},{"dropping-particle":"","family":"Nachtergaele","given":"F.","non-dropping-particle":"","parse-names":false,"suffix":""},{"dropping-particle":"","family":"Prieler","given":"S.","non-dropping-particle":"","parse-names":false,"suffix":""},{"dropping-particle":"van","family":"Velthuizen","given":"H.T.","non-dropping-particle":"","parse-names":false,"suffix":""},{"dropping-particle":"","family":"Verelst","given":"L.","non-dropping-particle":"","parse-names":false,"suffix":""},{"dropping-particle":"","family":"Wiberg","given":"D.","non-dropping-particle":"","parse-names":false,"suffix":""}],"container-title":"Food and Agriculture Organization of the United Nations","id":"ITEM-1","issued":{"date-parts":[["2008"]]},"page":"179","title":"Global Agro-ecological Zones :Model documentation","type":"article-journal"},"uris":["http://www.mendeley.com/documents/?uuid=2fde4743-0ab3-47d9-9af7-988cfacb9738"]}],"mendeley":{"formattedCitation":"&lt;sup&gt;58&lt;/sup&gt;","plainTextFormattedCitation":"58","previouslyFormattedCitation":"&lt;sup&gt;58&lt;/sup&gt;"},"properties":{"noteIndex":0},"schema":"https://github.com/citation-style-language/schema/raw/master/csl-citation.json"}</w:instrText>
      </w:r>
      <w:r w:rsidRPr="00D72360">
        <w:fldChar w:fldCharType="separate"/>
      </w:r>
      <w:bookmarkStart w:id="130" w:name="__Fieldmark__6317_3027855847"/>
      <w:r w:rsidR="00A9492F" w:rsidRPr="00A9492F">
        <w:rPr>
          <w:noProof/>
          <w:vertAlign w:val="superscript"/>
        </w:rPr>
        <w:t>58</w:t>
      </w:r>
      <w:r w:rsidRPr="00D72360">
        <w:fldChar w:fldCharType="end"/>
      </w:r>
      <w:bookmarkEnd w:id="130"/>
      <w:r w:rsidRPr="00D72360">
        <w:t xml:space="preserve">. This excludes deserts, high mountains and the Artic. It also excludes some irrigated croplands in deserts (e.g. Nile valley; Indus valley); this is because spatial data on such irrigated areas is only available using datasets partially based on cropland data </w:t>
      </w:r>
      <w:r w:rsidR="00D24611">
        <w:fldChar w:fldCharType="begin" w:fldLock="1"/>
      </w:r>
      <w:r w:rsidR="00D24611">
        <w:instrText>ADDIN CSL_CITATION {"citationItems":[{"id":"ITEM-1","itemData":{"URL":"http://www.fao.org/nr/water/aquastat/data/query/index.html?lang=en","container-title":"Food and Agriculture Organization of the United Nations (FAO). AQUASTAT Database.","id":"ITEM-1","issued":{"date-parts":[["2016"]]},"title":"FAO-AQUASTAT","type":"webpage"},"uris":["http://www.mendeley.com/documents/?uuid=f91f5cfc-12bc-424b-94c8-0f96205748a4"]}],"mendeley":{"formattedCitation":"&lt;sup&gt;68&lt;/sup&gt;","plainTextFormattedCitation":"68","previouslyFormattedCitation":"&lt;sup&gt;68&lt;/sup&gt;"},"properties":{"noteIndex":0},"schema":"https://github.com/citation-style-language/schema/raw/master/csl-citation.json"}</w:instrText>
      </w:r>
      <w:r w:rsidR="00D24611">
        <w:fldChar w:fldCharType="separate"/>
      </w:r>
      <w:r w:rsidR="00D24611" w:rsidRPr="00D24611">
        <w:rPr>
          <w:noProof/>
          <w:vertAlign w:val="superscript"/>
        </w:rPr>
        <w:t>68</w:t>
      </w:r>
      <w:r w:rsidR="00D24611">
        <w:fldChar w:fldCharType="end"/>
      </w:r>
      <w:r w:rsidRPr="00D72360">
        <w:t xml:space="preserve">, which would introduce circularity into the analysis.  </w:t>
      </w:r>
    </w:p>
    <w:p w14:paraId="3918325D" w14:textId="1C3DF931" w:rsidR="005B755B" w:rsidRPr="00D72360" w:rsidRDefault="00ED5576">
      <w:r w:rsidRPr="00D72360">
        <w:t xml:space="preserve">In addition, models of expansion were limited to </w:t>
      </w:r>
      <w:proofErr w:type="spellStart"/>
      <w:r w:rsidRPr="00D72360">
        <w:t>bioclimatically</w:t>
      </w:r>
      <w:proofErr w:type="spellEnd"/>
      <w:r w:rsidRPr="00D72360">
        <w:t xml:space="preserve"> suitable pixels that had </w:t>
      </w:r>
      <w:proofErr w:type="gramStart"/>
      <w:r w:rsidRPr="00D72360">
        <w:t>sufficient</w:t>
      </w:r>
      <w:proofErr w:type="gramEnd"/>
      <w:r w:rsidRPr="00D72360">
        <w:t xml:space="preserve"> space for agricultural expansion at the relevant threshold. For example, at the 10% threshold, at </w:t>
      </w:r>
      <w:r w:rsidRPr="00D72360">
        <w:lastRenderedPageBreak/>
        <w:t xml:space="preserve">least 10% of the pixel had to be available for expansion. To limit expansion to realistic pixels </w:t>
      </w:r>
      <w:r w:rsidRPr="00D72360">
        <w:fldChar w:fldCharType="begin" w:fldLock="1"/>
      </w:r>
      <w:r w:rsidR="0090126B" w:rsidRPr="00D72360">
        <w:instrText>ADDIN CSL_CITATION {"citationItems":[{"id":"ITEM-1","itemData":{"DOI":"10.1111/gcb.12733","ISBN":"1365-2486","ISSN":"13652486","PMID":"25205590","abstract":"The world's population is growing and demand for food, feed, fiber, and fuel is increasing, placing greater demand on land and its resources for crop production. We review previously published estimates of global scale cropland availability, discuss the underlying assumptions that lead to differences between estimates, and illustrate the consequences of applying different estimates in model-based assessments of land-use change. The review estimates a range from 1552 to 5131 Mha, which includes 1550 Mha that is already cropland. Hence, the lowest estimates indicate that there is almost no room for cropland expansion, while the highest estimates indicate that cropland could potentially expand to over three times its current area. Differences can largely be attributed to institutional assumptions, i.e. which land covers/uses (e.g. forests or grasslands) are societally or governmentally allowed to convert to cropland, while there was little variation in biophysical assumptions. Estimates based on comparable assumptions showed a variation of up to 84%, which originated mainly from different underlying data sources. On the basis of this synthesis of the assumptions underlying these estimates, we constructed a high, a medium, and a low estimate of cropland availability that are representative of the range of estimates in the reviewed studies. We apply these estimates in a land-change model to illustrate the consequences on cropland expansion and intensification as well as deforestation. While uncertainty in cropland availability is hardly addressed in global land-use change assessments, the results indicate a large range of estimates with important consequences for model-based assessments.","author":[{"dropping-particle":"","family":"Eitelberg","given":"David A.","non-dropping-particle":"","parse-names":false,"suffix":""},{"dropping-particle":"","family":"Vliet","given":"Jasper","non-dropping-particle":"van","parse-names":false,"suffix":""},{"dropping-particle":"","family":"Verburg","given":"Peter H.","non-dropping-particle":"","parse-names":false,"suffix":""}],"container-title":"Global Change Biology","id":"ITEM-1","issue":"3","issued":{"date-parts":[["2015"]]},"page":"1236-1248","title":"A review of global potentially available cropland estimates and their consequences for model-based assessments","type":"article-journal","volume":"21"},"uris":["http://www.mendeley.com/documents/?uuid=7b911548-ece1-48ee-b6df-207ce35bd53a"]}],"mendeley":{"formattedCitation":"&lt;sup&gt;24&lt;/sup&gt;","plainTextFormattedCitation":"24","previouslyFormattedCitation":"&lt;sup&gt;24&lt;/sup&gt;"},"properties":{"noteIndex":0},"schema":"https://github.com/citation-style-language/schema/raw/master/csl-citation.json"}</w:instrText>
      </w:r>
      <w:r w:rsidRPr="00D72360">
        <w:fldChar w:fldCharType="separate"/>
      </w:r>
      <w:bookmarkStart w:id="131" w:name="__Fieldmark__6341_3027855847"/>
      <w:bookmarkStart w:id="132" w:name="__Fieldmark__2319_531043149"/>
      <w:r w:rsidR="0090126B" w:rsidRPr="00D72360">
        <w:rPr>
          <w:noProof/>
          <w:vertAlign w:val="superscript"/>
        </w:rPr>
        <w:t>24</w:t>
      </w:r>
      <w:r w:rsidRPr="00D72360">
        <w:fldChar w:fldCharType="end"/>
      </w:r>
      <w:bookmarkEnd w:id="131"/>
      <w:bookmarkEnd w:id="132"/>
      <w:r w:rsidRPr="00D72360">
        <w:t>, the only land within a pixel considered for expansion was areas that were not 1) cropland, urban areas, snow/ice, water or barren land/rock in in 1992; and 2) covered by protected areas (IUCN classes I to IV</w:t>
      </w:r>
      <w:r w:rsidR="0075694E" w:rsidRPr="00D72360">
        <w:t>)</w:t>
      </w:r>
      <w:r w:rsidRPr="00D72360">
        <w:t>,</w:t>
      </w:r>
      <w:r w:rsidRPr="00D72360">
        <w:fldChar w:fldCharType="begin" w:fldLock="1"/>
      </w:r>
      <w:r w:rsidR="00D24611">
        <w:instrText>ADDIN CSL_CITATION {"citationItems":[{"id":"ITEM-1","itemData":{"author":[{"dropping-particle":"","family":"Bingham","given":"Heather C","non-dropping-particle":"","parse-names":false,"suffix":""},{"dropping-particle":"","family":"Deguignet","given":"Marine","non-dropping-particle":"","parse-names":false,"suffix":""},{"dropping-particle":"","family":"Lewis","given":"Edward","non-dropping-particle":"","parse-names":false,"suffix":""},{"dropping-particle":"","family":"Stewart","given":"Jessica","non-dropping-particle":"","parse-names":false,"suffix":""},{"dropping-particle":"","family":"Juffe-Bignoli","given":"Diego","non-dropping-particle":"","parse-names":false,"suffix":""},{"dropping-particle":"","family":"MacSharry","given":"Brian","non-dropping-particle":"","parse-names":false,"suffix":""},{"dropping-particle":"","family":"Milam","given":"Amy","non-dropping-particle":"","parse-names":false,"suffix":""},{"dropping-particle":"","family":"Kingston","given":"Naomi","non-dropping-particle":"","parse-names":false,"suffix":""}],"id":"ITEM-1","issued":{"date-parts":[["2019"]]},"title":"User Manual for the World Database on Protected Areas and world database on other effective area-based conservation measures: 1.6","type":"report"},"uris":["http://www.mendeley.com/documents/?uuid=dbc50110-17a0-316d-975b-a19327fde277"]}],"mendeley":{"formattedCitation":"&lt;sup&gt;69&lt;/sup&gt;","plainTextFormattedCitation":"69","previouslyFormattedCitation":"&lt;sup&gt;69&lt;/sup&gt;"},"properties":{"noteIndex":0},"schema":"https://github.com/citation-style-language/schema/raw/master/csl-citation.json"}</w:instrText>
      </w:r>
      <w:r w:rsidRPr="00D72360">
        <w:fldChar w:fldCharType="separate"/>
      </w:r>
      <w:bookmarkStart w:id="133" w:name="__Fieldmark__6351_3027855847"/>
      <w:r w:rsidR="0090126B" w:rsidRPr="00D72360">
        <w:rPr>
          <w:noProof/>
          <w:vertAlign w:val="superscript"/>
        </w:rPr>
        <w:t>69</w:t>
      </w:r>
      <w:r w:rsidRPr="00D72360">
        <w:fldChar w:fldCharType="end"/>
      </w:r>
      <w:bookmarkEnd w:id="133"/>
      <w:r w:rsidRPr="00D72360">
        <w:t xml:space="preserve"> in 1992. </w:t>
      </w:r>
    </w:p>
    <w:p w14:paraId="7050FD10" w14:textId="384B7274" w:rsidR="005B755B" w:rsidRPr="00D72360" w:rsidRDefault="00ED5576">
      <w:r w:rsidRPr="00D72360">
        <w:t xml:space="preserve">All variables were centred and standardized globally across suitable pixels, and re-centred for each subsample (as recommended for models with interaction terms) </w:t>
      </w:r>
      <w:r w:rsidRPr="00D72360">
        <w:fldChar w:fldCharType="begin" w:fldLock="1"/>
      </w:r>
      <w:r w:rsidR="00D24611">
        <w:instrText>ADDIN CSL_CITATION {"citationItems":[{"id":"ITEM-1","itemData":{"DOI":"10.1177/1094428111430540","ISBN":"1094428111430","ISSN":"10944281","abstract":"Abstract Additive transformations are often offered as a remedy for the common problem of collinearity in moderated regression and polynomial regression analysis. As the authors demonstrate in this article, mean-centering reduces nonessential collinearity but not essential collinearity. Therefore, in most cases, mean-centering of predictors does not accomplish its intended goal. In this article, the authors discuss and explain, through derivation of equations and empirical examples, that mean-centering changes lower order regression coefficients but not the highest order coefficients, does not change the fit of regression models, does not impact the power to detect moderating effects, and does not alter the reliability of product terms. The authors outline the positive effects of mean-centering, namely, the increased interpretability of the results and its importance for moderator analysis in structural equations and multilevel analysis. It is recommended that researchers center their predic- tor variables when their variables do not have meaningful zero-points within the range of the vari- ables to assist in interpreting the results.","author":[{"dropping-particle":"","family":"Dalal","given":"Dev K.","non-dropping-particle":"","parse-names":false,"suffix":""},{"dropping-particle":"","family":"Zickar","given":"Michael J.","non-dropping-particle":"","parse-names":false,"suffix":""}],"container-title":"Organizational Research Methods","id":"ITEM-1","issue":"3","issued":{"date-parts":[["2012"]]},"page":"339-362","title":"Some Common Myths About Centering Predictor Variables in Moderated Multiple Regression and Polynomial Regression","type":"article-journal","volume":"15"},"uris":["http://www.mendeley.com/documents/?uuid=0d677f51-7a0f-4c4b-9787-b65919fb0325"]}],"mendeley":{"formattedCitation":"&lt;sup&gt;70&lt;/sup&gt;","plainTextFormattedCitation":"70","previouslyFormattedCitation":"&lt;sup&gt;70&lt;/sup&gt;"},"properties":{"noteIndex":0},"schema":"https://github.com/citation-style-language/schema/raw/master/csl-citation.json"}</w:instrText>
      </w:r>
      <w:r w:rsidRPr="00D72360">
        <w:fldChar w:fldCharType="separate"/>
      </w:r>
      <w:bookmarkStart w:id="134" w:name="__Fieldmark__6359_3027855847"/>
      <w:bookmarkStart w:id="135" w:name="__Fieldmark__2331_531043149"/>
      <w:r w:rsidR="0090126B" w:rsidRPr="00D72360">
        <w:rPr>
          <w:noProof/>
          <w:vertAlign w:val="superscript"/>
        </w:rPr>
        <w:t>70</w:t>
      </w:r>
      <w:r w:rsidRPr="00D72360">
        <w:fldChar w:fldCharType="end"/>
      </w:r>
      <w:bookmarkEnd w:id="134"/>
      <w:bookmarkEnd w:id="135"/>
      <w:r w:rsidRPr="00D72360">
        <w:t>. We then calculated the average coefficient, 95% CI and average McFadden pseudo-R</w:t>
      </w:r>
      <w:r w:rsidRPr="00D72360">
        <w:rPr>
          <w:vertAlign w:val="superscript"/>
        </w:rPr>
        <w:t>2</w:t>
      </w:r>
      <w:r w:rsidRPr="00D72360">
        <w:t xml:space="preserve"> across all 10,000 models in each instance. </w:t>
      </w:r>
    </w:p>
    <w:p w14:paraId="6E094280" w14:textId="5725608A" w:rsidR="005B755B" w:rsidRPr="00D72360" w:rsidRDefault="00ED5576">
      <w:r w:rsidRPr="00D72360">
        <w:rPr>
          <w:i/>
          <w:iCs/>
        </w:rPr>
        <w:t>Positive deviance analysis</w:t>
      </w:r>
    </w:p>
    <w:p w14:paraId="744913B8" w14:textId="0732B497" w:rsidR="005B755B" w:rsidRPr="00D72360" w:rsidRDefault="00ED5576">
      <w:r w:rsidRPr="00D72360">
        <w:t>Positive deviance (or ‘bright spot’) analysis identif</w:t>
      </w:r>
      <w:r w:rsidR="00106D33" w:rsidRPr="00D72360">
        <w:t>ies</w:t>
      </w:r>
      <w:r w:rsidRPr="00D72360">
        <w:t xml:space="preserve"> locations where the outcome variable exceeds expectations (areas with high positive residuals) derived from a null model. Here, the global ‘null’ model (Null Model) corresponds to all theories of agricultural expansion that can be quantified globally with available data (Table 1); that is, the same predicator variables used for the extent to expansion comparison (Model 1). As existing data do not capture recent frontier expansion well (</w:t>
      </w:r>
      <w:r w:rsidR="0040791F" w:rsidRPr="00D72360">
        <w:t>Experimental Procedures</w:t>
      </w:r>
      <w:r w:rsidRPr="00D72360">
        <w:t>; Q1), positive deviations (areas with more cropland than predicted in 1992) may represent cropland frontier expansion events (</w:t>
      </w:r>
      <w:proofErr w:type="spellStart"/>
      <w:r w:rsidRPr="00D72360">
        <w:t>frontierness</w:t>
      </w:r>
      <w:proofErr w:type="spellEnd"/>
      <w:r w:rsidRPr="00D72360">
        <w:t xml:space="preserve">). The Null Models are run for all three cropland thresholds (&gt;0.5%, &gt;10% and &gt;50%) and use all </w:t>
      </w:r>
      <w:proofErr w:type="spellStart"/>
      <w:r w:rsidRPr="00D72360">
        <w:t>bioclimatically</w:t>
      </w:r>
      <w:proofErr w:type="spellEnd"/>
      <w:r w:rsidRPr="00D72360">
        <w:t xml:space="preserve"> suitable pixels (approximately 1.3 million) because positive deviance analysis cannot be carried via the sub-sampling approach used for Model 1. Our use of positive deviance analysis is somewhat different from other socio-ecological approaches in that </w:t>
      </w:r>
      <w:r w:rsidR="003A2532" w:rsidRPr="00D72360">
        <w:t>our primary interest is not</w:t>
      </w:r>
      <w:r w:rsidRPr="00D72360">
        <w:t xml:space="preserve"> in explaining positive and negative deviations in the 1992 cropland per se, but rather if our putative proxy for expansion frontiers (</w:t>
      </w:r>
      <w:proofErr w:type="spellStart"/>
      <w:r w:rsidRPr="00D72360">
        <w:t>frontierness</w:t>
      </w:r>
      <w:proofErr w:type="spellEnd"/>
      <w:r w:rsidRPr="00D72360">
        <w:t xml:space="preserve">; deviations from the null 1992 model) can predict post 1992 cropland expansion events. </w:t>
      </w:r>
    </w:p>
    <w:p w14:paraId="3286775A" w14:textId="5649D9F3" w:rsidR="005B755B" w:rsidRPr="00D72360" w:rsidRDefault="00ED5576">
      <w:pPr>
        <w:rPr>
          <w:i/>
        </w:rPr>
      </w:pPr>
      <m:oMath>
        <m:r>
          <m:rPr>
            <m:sty m:val="p"/>
          </m:rPr>
          <w:rPr>
            <w:rFonts w:ascii="Cambria Math" w:hAnsi="Cambria Math"/>
          </w:rPr>
          <m:t>Cropland extent in 1992</m:t>
        </m:r>
        <m:d>
          <m:dPr>
            <m:ctrlPr>
              <w:rPr>
                <w:rFonts w:ascii="Cambria Math" w:hAnsi="Cambria Math"/>
              </w:rPr>
            </m:ctrlPr>
          </m:dPr>
          <m:e>
            <m:r>
              <m:rPr>
                <m:sty m:val="p"/>
              </m:rPr>
              <w:rPr>
                <w:rFonts w:ascii="Cambria Math" w:hAnsi="Cambria Math"/>
              </w:rPr>
              <m:t>globally</m:t>
            </m:r>
          </m:e>
        </m:d>
        <m:r>
          <m:rPr>
            <m:sty m:val="p"/>
          </m:rPr>
          <w:rPr>
            <w:rFonts w:ascii="Cambria Math" w:hAnsi="Cambria Math"/>
          </w:rPr>
          <m:t xml:space="preserve"> X1</m:t>
        </m:r>
      </m:oMath>
      <w:r w:rsidRPr="00D72360">
        <w:rPr>
          <w:i/>
        </w:rPr>
        <w:t xml:space="preserve"> </w:t>
      </w:r>
      <w:r w:rsidRPr="00D72360">
        <w:rPr>
          <w:b/>
          <w:i/>
        </w:rPr>
        <w:t>(Null Model</w:t>
      </w:r>
      <w:r w:rsidRPr="00D72360">
        <w:rPr>
          <w:i/>
        </w:rPr>
        <w:t>)</w:t>
      </w:r>
    </w:p>
    <w:p w14:paraId="6B9D74C2" w14:textId="608DC881" w:rsidR="005B755B" w:rsidRPr="00D72360" w:rsidRDefault="00ED5576">
      <m:oMathPara>
        <m:oMath>
          <m:r>
            <m:rPr>
              <m:sty m:val="p"/>
            </m:rPr>
            <w:rPr>
              <w:rFonts w:ascii="Cambria Math" w:hAnsi="Cambria Math"/>
            </w:rPr>
            <m:t>where X1=Bioclimatic suitability+Access+Steepness+Population density+GDP+Bioclimatic suitability*Access+Steepness*Access+Bioclimatic suitability*Population density+Steepness*Population density+GPD*Acccess+GDP*Steeepness+GDP*Bioclimatic suitability+GDP*Population density</m:t>
          </m:r>
        </m:oMath>
      </m:oMathPara>
    </w:p>
    <w:p w14:paraId="53BC4E80" w14:textId="774C4BD2" w:rsidR="00127813" w:rsidRPr="00D72360" w:rsidRDefault="00127813" w:rsidP="00127813">
      <w:pPr>
        <w:rPr>
          <w:i/>
          <w:iCs/>
        </w:rPr>
      </w:pPr>
      <w:r>
        <w:rPr>
          <w:i/>
          <w:iCs/>
        </w:rPr>
        <w:t xml:space="preserve">Does expansion align with positive deviance? </w:t>
      </w:r>
    </w:p>
    <w:p w14:paraId="01962094" w14:textId="16A39929" w:rsidR="005B755B" w:rsidRPr="00D72360" w:rsidRDefault="00ED5576">
      <w:r w:rsidRPr="00D72360">
        <w:t xml:space="preserve">We quantified the proportional overlap of cropland expansion between 1992 and 2015 at different </w:t>
      </w:r>
      <w:r w:rsidR="00165FF4" w:rsidRPr="00D72360">
        <w:t xml:space="preserve">expansion </w:t>
      </w:r>
      <w:r w:rsidRPr="00D72360">
        <w:t>thresholds (0.5%, 10% and 50% cropland) with areas covered by positive and negative deviations at least 1 SD and 2 SD (respectively) from the global 1992 extent model, following</w:t>
      </w:r>
      <w:r w:rsidR="0075694E" w:rsidRPr="00D72360">
        <w:fldChar w:fldCharType="begin" w:fldLock="1"/>
      </w:r>
      <w:r w:rsidR="00E273DD">
        <w:instrText>ADDIN CSL_CITATION {"citationItems":[{"id":"ITEM-1","itemData":{"DOI":"10.1098/rspb.2009.0528","ISSN":"0962-8452","author":[{"dropping-particle":"","family":"Eigenbrod","given":"Felix","non-dropping-particle":"","parse-names":false,"suffix":""},{"dropping-particle":"","family":"Anderson","given":"Barbara J","non-dropping-particle":"","parse-names":false,"suffix":""},{"dropping-particle":"","family":"Armsworth","given":"Paul R","non-dropping-particle":"","parse-names":false,"suffix":""},{"dropping-particle":"","family":"Heinemeyer","given":"Andreas","non-dropping-particle":"","parse-names":false,"suffix":""},{"dropping-particle":"","family":"Jackson","given":"Sarah F","non-dropping-particle":"","parse-names":false,"suffix":""},{"dropping-particle":"","family":"Parnell","given":"Mark","non-dropping-particle":"","parse-names":false,"suffix":""},{"dropping-particle":"","family":"Thomas","given":"Chris D","non-dropping-particle":"","parse-names":false,"suffix":""},{"dropping-particle":"","family":"Gaston","given":"Kevin J","non-dropping-particle":"","parse-names":false,"suffix":""}],"container-title":"Proceedings of the Royal Society B: Biological Sciences","id":"ITEM-1","issue":"1669","issued":{"date-parts":[["2009","8","22"]]},"page":"2903-2911","title":"Ecosystem service benefits of contrasting conservation strategies in a human-dominated region","type":"article-journal","volume":"276"},"uris":["http://www.mendeley.com/documents/?uuid=c14a17c6-bec8-45a9-8a05-a2cb3f3cf5ed"]}],"mendeley":{"formattedCitation":"&lt;sup&gt;71&lt;/sup&gt;","plainTextFormattedCitation":"71","previouslyFormattedCitation":"&lt;sup&gt;71&lt;/sup&gt;"},"properties":{"noteIndex":0},"schema":"https://github.com/citation-style-language/schema/raw/master/csl-citation.json"}</w:instrText>
      </w:r>
      <w:r w:rsidR="0075694E" w:rsidRPr="00D72360">
        <w:fldChar w:fldCharType="separate"/>
      </w:r>
      <w:r w:rsidR="00A9492F" w:rsidRPr="00A9492F">
        <w:rPr>
          <w:noProof/>
          <w:vertAlign w:val="superscript"/>
        </w:rPr>
        <w:t>71</w:t>
      </w:r>
      <w:r w:rsidR="0075694E" w:rsidRPr="00D72360">
        <w:fldChar w:fldCharType="end"/>
      </w:r>
      <w:r w:rsidRPr="00D72360">
        <w:t>. Deviation thresholds that had more of their summed total value overlapping with cropland expansion at a given threshold than expected for the area of the cropland have values &gt; 1; deviation thresholds that are under-represented by a given cropland expansion dataset have values below 1. In every case, we used the same cropland threshold (0.5%, 10% and 50%) for both the Null Model and the extent of cropland expansion.</w:t>
      </w:r>
    </w:p>
    <w:p w14:paraId="1EF9DA42" w14:textId="63AD5D89" w:rsidR="0007606A" w:rsidRPr="00D72360" w:rsidRDefault="006A1683">
      <w:pPr>
        <w:spacing w:after="0" w:line="240" w:lineRule="auto"/>
      </w:pPr>
      <w:r w:rsidRPr="00D72360">
        <w:t>To better understand what the deviations from the 1992 null model (</w:t>
      </w:r>
      <w:proofErr w:type="spellStart"/>
      <w:r w:rsidRPr="00D72360">
        <w:t>frontierness</w:t>
      </w:r>
      <w:proofErr w:type="spellEnd"/>
      <w:r w:rsidRPr="00D72360">
        <w:t xml:space="preserve">) represents, we also did post-hoc overlap analyses of </w:t>
      </w:r>
      <w:proofErr w:type="spellStart"/>
      <w:r w:rsidRPr="00D72360">
        <w:t>frontierness</w:t>
      </w:r>
      <w:proofErr w:type="spellEnd"/>
      <w:r w:rsidRPr="00D72360">
        <w:t xml:space="preserve"> and spatial variables associated with frontier expansion. This approach has previously been used negative deviance (bright spot) analyses in environmental studies</w:t>
      </w:r>
      <w:r w:rsidRPr="00D72360">
        <w:fldChar w:fldCharType="begin" w:fldLock="1"/>
      </w:r>
      <w:r w:rsidR="0090126B" w:rsidRPr="00D72360">
        <w:instrText>ADDIN CSL_CITATION {"citationItems":[{"id":"ITEM-1","itemData":{"DOI":"10.1111/1365-2664.13191","ISBN":"0000000302","ISSN":"13652664","PMID":"15981519","abstract":"The focus of an oil-immersion microscope objective is shifted because of the refractive-index mismatch between the cover glass and the aqueous sample. We present a procedure with which to determine the focal shift by use of an inverted microscope equipped with optical tweezers. As the position of the sample chamber is scanned vertically, we measure the axial displacement of an optically trapped bead; the relative motion of the bead with respect to the surface supplies the effective focal shift. Measurements of this quantity deviate from electromagnetic calculations of the focal shift, a discrepancy attributable to the depth-dependent decrease in axial trap stiffness that arises from spherical aberration.","author":[{"dropping-particle":"","family":"Frei","given":"Barbara","non-dropping-particle":"","parse-names":false,"suffix":""},{"dropping-particle":"","family":"Renard","given":"Delphine","non-dropping-particle":"","parse-names":false,"suffix":""},{"dropping-particle":"","family":"Mitchell","given":"Matthew G.E.","non-dropping-particle":"","parse-names":false,"suffix":""},{"dropping-particle":"","family":"Seufert","given":"Verena","non-dropping-particle":"","parse-names":false,"suffix":""},{"dropping-particle":"","family":"Chaplin-Kramer","given":"Rebecca","non-dropping-particle":"","parse-names":false,"suffix":""},{"dropping-particle":"","family":"Rhemtulla","given":"Jeanine M.","non-dropping-particle":"","parse-names":false,"suffix":""},{"dropping-particle":"","family":"Bennett","given":"Elena M.","non-dropping-particle":"","parse-names":false,"suffix":""}],"container-title":"Journal of Applied Ecology","id":"ITEM-1","issue":"6","issued":{"date-parts":[["2018"]]},"page":"2731-2743","title":"Bright spots in agricultural landscapes: Identifying areas exceeding expectations for multifunctionality and biodiversity","type":"article-journal","volume":"55"},"uris":["http://www.mendeley.com/documents/?uuid=9a4780da-9be8-40c7-a4d6-a42816dba918"]},{"id":"ITEM-2","itemData":{"DOI":"10.1038/nature18607","ISBN":"0008-5472 (Print)\\r0008-5472 (Linking)","ISSN":"14764687","PMID":"11507039","abstract":"Ongoing declines in the structure and function of the world’s coral reefs1, 2 require novel approaches to sustain these ecosystems and the millions of people who depend on them3. A presently unexplored approach that draws on theory and practice in human health and rural development4, 5 is to systematically identify and learn from the ‘outliers’—places where ecosystems are substantially better (‘bright spots’) or worse (‘dark spots’) than expected, given the environmental conditions and socioeconomic drivers they are exposed to. Here we compile data from more than 2,500 reefs worldwide and develop a Bayesian hierarchical model to generate expectations of how standing stocks of reef fish biomass are related to 18 socioeconomic drivers and environmental conditions. We identify 15 bright spots and 35 dark spots among our global survey of coral reefs, defined as sites that have biomass levels more than two standard deviations from expectations. Importantly, bright spots are not simply comprised of remote areas with low fishing pressure; they include localities where human populations and use of ecosystem resources is high, potentially providing insights into how communities have successfully confronted strong drivers of change. Conversely, dark spots are not necessarily the sites with the lowest absolute biomass and even include some remote, uninhabited locations often considered near pristine6. We surveyed local experts about social, institutional, and environmental conditions at these sites to reveal that bright spots are characterized by strong sociocultural institutions such as customary taboos and marine tenure, high levels of local engagement in management, high dependence on marine resources, and beneficial environmental conditions such as deep-water refuges. Alternatively, dark spots are characterized by intensive capture and storage technology and a recent history of environmental shocks. Our results suggest that investments in strengthening fisheries governance, particularly aspects such as participation and property rights, could facilitate innovative conservation actions that help communities defy expectations of global reef degradation.","author":[{"dropping-particle":"","family":"Cinner","given":"Joshua E.","non-dropping-particle":"","parse-names":false,"suffix":""},{"dropping-particle":"","family":"Huchery","given":"Cindy","non-dropping-particle":"","parse-names":false,"suffix":""},{"dropping-particle":"","family":"MacNeil","given":"M. Aaron","non-dropping-particle":"","parse-names":false,"suffix":""},{"dropping-particle":"","family":"Graham","given":"Nicholas A.J.","non-dropping-particle":"","parse-names":false,"suffix":""},{"dropping-particle":"","family":"McClanahan","given":"Tim R.","non-dropping-particle":"","parse-names":false,"suffix":""},{"dropping-particle":"","family":"Maina","given":"Joseph","non-dropping-particle":"","parse-names":false,"suffix":""},{"dropping-particle":"","family":"Maire","given":"Eva","non-dropping-particle":"","parse-names":false,"suffix":""},{"dropping-particle":"","family":"Kittinger","given":"John N.","non-dropping-particle":"","parse-names":false,"suffix":""},{"dropping-particle":"","family":"Hicks","given":"Christina C.","non-dropping-particle":"","parse-names":false,"suffix":""},{"dropping-particle":"","family":"Mora","given":"Camilo","non-dropping-particle":"","parse-names":false,"suffix":""},{"dropping-particle":"","family":"Allison","given":"Edward H.","non-dropping-particle":"","parse-names":false,"suffix":""},{"dropping-particle":"","family":"D'Agata","given":"Stephanie","non-dropping-particle":"","parse-names":false,"suffix":""},{"dropping-particle":"","family":"Hoey","given":"Andrew","non-dropping-particle":"","parse-names":false,"suffix":""},{"dropping-particle":"","family":"Feary","given":"David A.","non-dropping-particle":"","parse-names":false,"suffix":""},{"dropping-particle":"","family":"Crowder","given":"Larry","non-dropping-particle":"","parse-names":false,"suffix":""},{"dropping-particle":"","family":"Williams","given":"Ivor D.","non-dropping-particle":"","parse-names":false,"suffix":""},{"dropping-particle":"","family":"Kulbicki","given":"Michel","non-dropping-particle":"","parse-names":false,"suffix":""},{"dropping-particle":"","family":"Vigliola","given":"Laurent","non-dropping-particle":"","parse-names":false,"suffix":""},{"dropping-particle":"","family":"Wantiez","given":"Laurent","non-dropping-particle":"","parse-names":false,"suffix":""},{"dropping-particle":"","family":"Edgar","given":"Graham","non-dropping-particle":"","parse-names":false,"suffix":""},{"dropping-particle":"","family":"Stuart-Smith","given":"Rick D.","non-dropping-particle":"","parse-names":false,"suffix":""},{"dropping-particle":"","family":"Sandin","given":"Stuart A.","non-dropping-particle":"","parse-names":false,"suffix":""},{"dropping-particle":"","family":"Green","given":"Alison L.","non-dropping-particle":"","parse-names":false,"suffix":""},{"dropping-particle":"","family":"Hardt","given":"Marah J.","non-dropping-particle":"","parse-names":false,"suffix":""},{"dropping-particle":"","family":"Beger","given":"Maria","non-dropping-particle":"","parse-names":false,"suffix":""},{"dropping-particle":"","family":"Friedlander","given":"Alan","non-dropping-particle":"","parse-names":false,"suffix":""},{"dropping-particle":"","family":"Campbell","given":"Stuart J.","non-dropping-particle":"","parse-names":false,"suffix":""},{"dropping-particle":"","family":"Holmes","given":"Katherine E.","non-dropping-particle":"","parse-names":false,"suffix":""},{"dropping-particle":"","family":"Wilson","given":"Shaun K.","non-dropping-particle":"","parse-names":false,"suffix":""},{"dropping-particle":"","family":"Brokovich","given":"Eran","non-dropping-particle":"","parse-names":false,"suffix":""},{"dropping-particle":"","family":"Brooks","given":"Andrew J.","non-dropping-particle":"","parse-names":false,"suffix":""},{"dropping-particle":"","family":"Cruz-Motta","given":"Juan J.","non-dropping-particle":"","parse-names":false,"suffix":""},{"dropping-particle":"","family":"Booth","given":"David J.","non-dropping-particle":"","parse-names":false,"suffix":""},{"dropping-particle":"","family":"Chabanet","given":"Pascale","non-dropping-particle":"","parse-names":false,"suffix":""},{"dropping-particle":"","family":"Gough","given":"Charlie","non-dropping-particle":"","parse-names":false,"suffix":""},{"dropping-particle":"","family":"Tupper","given":"Mark","non-dropping-particle":"","parse-names":false,"suffix":""},{"dropping-particle":"","family":"Ferse","given":"Sebastian C.A.","non-dropping-particle":"","parse-names":false,"suffix":""},{"dropping-particle":"","family":"Sumaila","given":"U. Rashid","non-dropping-particle":"","parse-names":false,"suffix":""},{"dropping-particle":"","family":"Mouillot","given":"David","non-dropping-particle":"","parse-names":false,"suffix":""}],"container-title":"Nature","id":"ITEM-2","issue":"7612","issued":{"date-parts":[["2016"]]},"page":"416-419","publisher":"Nature Publishing Group","title":"Bright spots among the world's coral reefs","type":"article-journal","volume":"535"},"uris":["http://www.mendeley.com/documents/?uuid=292eceb7-0348-4ba9-9996-f9432146ed13"]}],"mendeley":{"formattedCitation":"&lt;sup&gt;30,31&lt;/sup&gt;","plainTextFormattedCitation":"30,31","previouslyFormattedCitation":"&lt;sup&gt;30,31&lt;/sup&gt;"},"properties":{"noteIndex":0},"schema":"https://github.com/citation-style-language/schema/raw/master/csl-citation.json"}</w:instrText>
      </w:r>
      <w:r w:rsidRPr="00D72360">
        <w:fldChar w:fldCharType="separate"/>
      </w:r>
      <w:r w:rsidR="0090126B" w:rsidRPr="00D72360">
        <w:rPr>
          <w:noProof/>
          <w:vertAlign w:val="superscript"/>
        </w:rPr>
        <w:t>30,31</w:t>
      </w:r>
      <w:r w:rsidRPr="00D72360">
        <w:fldChar w:fldCharType="end"/>
      </w:r>
      <w:r w:rsidRPr="00D72360">
        <w:t>. The variables we considered include: i) the human development index (HDI) in 1992</w:t>
      </w:r>
      <w:r w:rsidRPr="00D72360">
        <w:fldChar w:fldCharType="begin" w:fldLock="1"/>
      </w:r>
      <w:r w:rsidR="00E273DD">
        <w:instrText>ADDIN CSL_CITATION {"citationItems":[{"id":"ITEM-1","itemData":{"DOI":"10.1038/sdata.2018.4","ISSN":"20524463","abstract":"Gridded global datasets for Gross Domestic Product and Human Development Index over 1990–2015","author":[{"dropping-particle":"","family":"Kummu","given":"Matti","non-dropping-particle":"","parse-names":false,"suffix":""},{"dropping-particle":"","family":"Taka","given":"Maija","non-dropping-particle":"","parse-names":false,"suffix":""},{"dropping-particle":"","family":"Guillaume","given":"Joseph H.A.","non-dropping-particle":"","parse-names":false,"suffix":""}],"container-title":"Scientific Data","id":"ITEM-1","issued":{"date-parts":[["2018"]]},"page":"1-15","title":"Gridded global datasets for Gross Domestic Product and Human Development Index over 1990-2015","type":"article-journal","volume":"5"},"uris":["http://www.mendeley.com/documents/?uuid=09ae6276-eb88-4a44-a478-0deb8bf707db"]}],"mendeley":{"formattedCitation":"&lt;sup&gt;60&lt;/sup&gt;","plainTextFormattedCitation":"60","previouslyFormattedCitation":"&lt;sup&gt;60&lt;/sup&gt;"},"properties":{"noteIndex":0},"schema":"https://github.com/citation-style-language/schema/raw/master/csl-citation.json"}</w:instrText>
      </w:r>
      <w:r w:rsidRPr="00D72360">
        <w:fldChar w:fldCharType="separate"/>
      </w:r>
      <w:r w:rsidR="00A9492F" w:rsidRPr="00A9492F">
        <w:rPr>
          <w:noProof/>
          <w:vertAlign w:val="superscript"/>
        </w:rPr>
        <w:t>60</w:t>
      </w:r>
      <w:r w:rsidRPr="00D72360">
        <w:fldChar w:fldCharType="end"/>
      </w:r>
      <w:r w:rsidRPr="00D72360">
        <w:t>; ii) political stability (a country-level indicator from the Global Governance Index [only political stability was chosen (sensu</w:t>
      </w:r>
      <w:r w:rsidRPr="00D72360">
        <w:fldChar w:fldCharType="begin" w:fldLock="1"/>
      </w:r>
      <w:r w:rsidR="00E273DD">
        <w:instrText>ADDIN CSL_CITATION {"citationItems":[{"id":"ITEM-1","itemData":{"DOI":"10.1016/j.gloenvcha.2013.09.004","ISBN":"0959-3780","ISSN":"09593780","abstract":"Land use is a key driver of global environmental change. Unless major shifts in consumptive behaviours occur, land-based production will have to increase drastically to meet future demands for food and other commodities. One approach to better understand the drivers and impacts of agricultural intensification is the identification of global, archetypical patterns of land systems. Current approaches focus on broad-scale representations of dominant land cover with limited consideration of land-use intensity. In this study, we derived a new global representation of land systems based on more than 30 high-resolution datasets on land-use intensity, environmental conditions and socioeconomic indicators. Using a self-organizing map algorithm, we identified and mapped twelve archetypes of land systems for the year 2005. Our analysis reveals similarities in land systems across the globe but the diverse pattern at sub-national scales implies that there are no 'one-size-fits-all' solutions to sustainable land management. Our results help to identify generic patterns of land pressures and environmental threats and provide means to target regionalized strategies to cope with the challenges of global change. Mapping global archetypes of land systems represents a first step towards better understanding the global patterns of human-environment interactions and the environmental and social outcomes of land system dynamics. © 2013 Elsevier Ltd.","author":[{"dropping-particle":"","family":"Václavík","given":"Tomáš","non-dropping-particle":"","parse-names":false,"suffix":""},{"dropping-particle":"","family":"Lautenbach","given":"Sven","non-dropping-particle":"","parse-names":false,"suffix":""},{"dropping-particle":"","family":"Kuemmerle","given":"Tobias","non-dropping-particle":"","parse-names":false,"suffix":""},{"dropping-particle":"","family":"Seppelt","given":"Ralf","non-dropping-particle":"","parse-names":false,"suffix":""}],"container-title":"Global Environmental Change","id":"ITEM-1","issue":"6","issued":{"date-parts":[["2013"]]},"page":"1637-1647","title":"Mapping global land system archetypes","type":"article-journal","volume":"23"},"uris":["http://www.mendeley.com/documents/?uuid=eb4e2baa-5424-43a1-83fc-9ecd2c8f6d5b"]}],"mendeley":{"formattedCitation":"&lt;sup&gt;72&lt;/sup&gt;","plainTextFormattedCitation":"72","previouslyFormattedCitation":"&lt;sup&gt;72&lt;/sup&gt;"},"properties":{"noteIndex":0},"schema":"https://github.com/citation-style-language/schema/raw/master/csl-citation.json"}</w:instrText>
      </w:r>
      <w:r w:rsidRPr="00D72360">
        <w:fldChar w:fldCharType="separate"/>
      </w:r>
      <w:r w:rsidR="00A9492F" w:rsidRPr="00A9492F">
        <w:rPr>
          <w:noProof/>
          <w:vertAlign w:val="superscript"/>
        </w:rPr>
        <w:t>72</w:t>
      </w:r>
      <w:r w:rsidRPr="00D72360">
        <w:fldChar w:fldCharType="end"/>
      </w:r>
      <w:r w:rsidRPr="00D72360">
        <w:t>) as all six Global Governance indices are highly correlated]; iii) the distribution of the largest and smallest quartiles of field size</w:t>
      </w:r>
      <w:r w:rsidRPr="00D72360">
        <w:fldChar w:fldCharType="begin" w:fldLock="1"/>
      </w:r>
      <w:r w:rsidR="00D24611">
        <w:instrText>ADDIN CSL_CITATION {"citationItems":[{"id":"ITEM-1","itemData":{"DOI":"10.1111/gcb.14492","ISSN":"13652486","abstract":"© 2018 The Authors. Global Change Biology Published by John Wiley  &amp;  Sons Ltd. There is an increasing evidence that smallholder farms contribute substantially to food production globally, yet spatially explicit data on agricultural field sizes are currently lacking. Automated field size delineation using remote sensing or the estimation of average farm size at subnational level using census data are two approaches that have been used. However, both have limitations, for example, automatic field size delineation using remote sensing has not yet been implemented at a global scale while the spatial resolution is very coarse when using census data. This paper demonstrates a unique approach to quantifying and mapping agricultural field size globally using crowdsourcing. A campaign was run in June 2017, where participants were asked to visually interpret very high resolution satellite imagery from Google Maps and Bing using the Geo-Wiki application. During the campaign, participants collected field size data for 130 K unique locations around the globe. Using this sample, we have produced the most accurate global field size map to date and estimated the percentage of different field sizes, ranging from very small to very large, in agricultural areas at global, continental, and national levels. The results show that smallholder farms occupy up to 40% of agricultural areas globally, which means that, potentially, there are many more smallholder farms in comparison with the two different current global estimates of 12% and 24%. The global field size map and the crowdsourced data set are openly available and can be used for integrated assessment modeling, comparative studies of agricultural dynamics across different contexts, for training and validation of remote sensing field size delineation, and potential contributions to the Sustainable Development Goal of Ending hunger, achieve food security and improved nutrition and promote sustainable agriculture.","author":[{"dropping-particle":"","family":"Lesiv","given":"Myroslava","non-dropping-particle":"","parse-names":false,"suffix":""},{"dropping-particle":"","family":"Laso Bayas","given":"Juan Carlos","non-dropping-particle":"","parse-names":false,"suffix":""},{"dropping-particle":"","family":"See","given":"Linda","non-dropping-particle":"","parse-names":false,"suffix":""},{"dropping-particle":"","family":"Duerauer","given":"Martina","non-dropping-particle":"","parse-names":false,"suffix":""},{"dropping-particle":"","family":"Dahlia","given":"Domian","non-dropping-particle":"","parse-names":false,"suffix":""},{"dropping-particle":"","family":"Durando","given":"Neal","non-dropping-particle":"","parse-names":false,"suffix":""},{"dropping-particle":"","family":"Hazarika","given":"Rubul","non-dropping-particle":"","parse-names":false,"suffix":""},{"dropping-particle":"","family":"Kumar Sahariah","given":"Parag","non-dropping-particle":"","parse-names":false,"suffix":""},{"dropping-particle":"","family":"Vakolyuk","given":"Mar'yana","non-dropping-particle":"","parse-names":false,"suffix":""},{"dropping-particle":"","family":"Blyshchyk","given":"Volodymyr","non-dropping-particle":"","parse-names":false,"suffix":""},{"dropping-particle":"","family":"Bilous","given":"Andrii","non-dropping-particle":"","parse-names":false,"suffix":""},{"dropping-particle":"","family":"Perez-Hoyos","given":"Ana","non-dropping-particle":"","parse-names":false,"suffix":""},{"dropping-particle":"","family":"Gengler","given":"Sarah","non-dropping-particle":"","parse-names":false,"suffix":""},{"dropping-particle":"","family":"Prestele","given":"Reinhard","non-dropping-particle":"","parse-names":false,"suffix":""},{"dropping-particle":"","family":"Bilous","given":"Svitlana","non-dropping-particle":"","parse-names":false,"suffix":""},{"dropping-particle":"","family":"Akhtar","given":"Ibrar ul Hassan","non-dropping-particle":"","parse-names":false,"suffix":""},{"dropping-particle":"","family":"Singha","given":"Kuleswar","non-dropping-particle":"","parse-names":false,"suffix":""},{"dropping-particle":"","family":"Choudhury","given":"Sochin Boro","non-dropping-particle":"","parse-names":false,"suffix":""},{"dropping-particle":"","family":"Chetri","given":"Tilok","non-dropping-particle":"","parse-names":false,"suffix":""},{"dropping-particle":"","family":"Malek","given":"Žiga","non-dropping-particle":"","parse-names":false,"suffix":""},{"dropping-particle":"","family":"Bungnamei","given":"Khangsembou","non-dropping-particle":"","parse-names":false,"suffix":""},{"dropping-particle":"","family":"Saikia","given":"Anup","non-dropping-particle":"","parse-names":false,"suffix":""},{"dropping-particle":"","family":"Sahariah","given":"Dhrubajyoti","non-dropping-particle":"","parse-names":false,"suffix":""},{"dropping-particle":"","family":"Narzary","given":"William","non-dropping-particle":"","parse-names":false,"suffix":""},{"dropping-particle":"","family":"Danylo","given":"Olha","non-dropping-particle":"","parse-names":false,"suffix":""},{"dropping-particle":"","family":"Sturn","given":"Tobias","non-dropping-particle":"","parse-names":false,"suffix":""},{"dropping-particle":"","family":"Karner","given":"Mathias","non-dropping-particle":"","parse-names":false,"suffix":""},{"dropping-particle":"","family":"McCallum","given":"Ian","non-dropping-particle":"","parse-names":false,"suffix":""},{"dropping-particle":"","family":"Schepaschenko","given":"Dmitry","non-dropping-particle":"","parse-names":false,"suffix":""},{"dropping-particle":"","family":"Moltchanova","given":"Elena","non-dropping-particle":"","parse-names":false,"suffix":""},{"dropping-particle":"","family":"Fraisl","given":"Dilek","non-dropping-particle":"","parse-names":false,"suffix":""},{"dropping-particle":"","family":"Moorthy","given":"Inian","non-dropping-particle":"","parse-names":false,"suffix":""},{"dropping-particle":"","family":"Fritz","given":"Steffen","non-dropping-particle":"","parse-names":false,"suffix":""}],"container-title":"Global Change Biology","id":"ITEM-1","issue":"1","issued":{"date-parts":[["2019"]]},"page":"174-186","title":"Estimating the global distribution of field size using crowdsourcing","type":"article-journal","volume":"25"},"uris":["http://www.mendeley.com/documents/?uuid=7838b332-bd1c-4bee-9b36-438fdf6da133"]}],"mendeley":{"formattedCitation":"&lt;sup&gt;41&lt;/sup&gt;","plainTextFormattedCitation":"41","previouslyFormattedCitation":"&lt;sup&gt;41&lt;/sup&gt;"},"properties":{"noteIndex":0},"schema":"https://github.com/citation-style-language/schema/raw/master/csl-citation.json"}</w:instrText>
      </w:r>
      <w:r w:rsidRPr="00D72360">
        <w:fldChar w:fldCharType="separate"/>
      </w:r>
      <w:r w:rsidR="00D24611" w:rsidRPr="00D24611">
        <w:rPr>
          <w:noProof/>
          <w:vertAlign w:val="superscript"/>
        </w:rPr>
        <w:t>41</w:t>
      </w:r>
      <w:r w:rsidRPr="00D72360">
        <w:fldChar w:fldCharType="end"/>
      </w:r>
      <w:r w:rsidRPr="00D72360">
        <w:t>, and iv) soil constraints on plant growth</w:t>
      </w:r>
      <w:r w:rsidRPr="00D72360">
        <w:fldChar w:fldCharType="begin" w:fldLock="1"/>
      </w:r>
      <w:r w:rsidR="00E273DD">
        <w:instrText>ADDIN CSL_CITATION {"citationItems":[{"id":"ITEM-1","itemData":{"abstract":"Note that the citation is for the data. The report has since been updated, but the citation should stay the same: http://www.fao.org/nr/land/soils/harmonized-world-soil-database/global-terrain-slope-and-aspect-data/en/","author":[{"dropping-particle":"","family":"Fischer","given":"G.","non-dropping-particle":"","parse-names":false,"suffix":""},{"dropping-particle":"","family":"Nachtergaele","given":"F.","non-dropping-particle":"","parse-names":false,"suffix":""},{"dropping-particle":"","family":"Prieler","given":"S.","non-dropping-particle":"","parse-names":false,"suffix":""},{"dropping-particle":"van","family":"Velthuizen","given":"H.T.","non-dropping-particle":"","parse-names":false,"suffix":""},{"dropping-particle":"","family":"Verelst","given":"L.","non-dropping-particle":"","parse-names":false,"suffix":""},{"dropping-particle":"","family":"Wiberg","given":"D.","non-dropping-particle":"","parse-names":false,"suffix":""}],"container-title":"Food and Agriculture Organization of the United Nations","id":"ITEM-1","issued":{"date-parts":[["2008"]]},"page":"179","title":"Global Agro-ecological Zones :Model documentation","type":"article-journal"},"uris":["http://www.mendeley.com/documents/?uuid=2fde4743-0ab3-47d9-9af7-988cfacb9738"]}],"mendeley":{"formattedCitation":"&lt;sup&gt;58&lt;/sup&gt;","plainTextFormattedCitation":"58","previouslyFormattedCitation":"&lt;sup&gt;58&lt;/sup&gt;"},"properties":{"noteIndex":0},"schema":"https://github.com/citation-style-language/schema/raw/master/csl-citation.json"}</w:instrText>
      </w:r>
      <w:r w:rsidRPr="00D72360">
        <w:fldChar w:fldCharType="separate"/>
      </w:r>
      <w:r w:rsidR="00A9492F" w:rsidRPr="00A9492F">
        <w:rPr>
          <w:noProof/>
          <w:vertAlign w:val="superscript"/>
        </w:rPr>
        <w:t>58</w:t>
      </w:r>
      <w:r w:rsidRPr="00D72360">
        <w:fldChar w:fldCharType="end"/>
      </w:r>
      <w:r w:rsidRPr="00D72360">
        <w:t xml:space="preserve">. The soil constraint layer comprised binary pixels (5’ x 5’ min </w:t>
      </w:r>
      <w:r w:rsidRPr="00D72360">
        <w:lastRenderedPageBreak/>
        <w:t>resolution); those classified as ‘1’have none of the seven constraints on plant growth in the FAO dataset classified as higher than ‘moderate’; areas classified as ‘0’ have at least one constraint of ‘severe’ or above.   None of these variables were suitable for the regression models used in the main analysis,  being either too coarse in resolution (political stability), partially derived from land cover (field size, soil constraints) or highly correlated with an existing variable (HDI is highly correlated with GDP), but all link to existing theories of frontier expansion</w:t>
      </w:r>
      <w:r w:rsidRPr="00D72360">
        <w:fldChar w:fldCharType="begin" w:fldLock="1"/>
      </w:r>
      <w:r w:rsidR="0090126B" w:rsidRPr="00D72360">
        <w:instrText>ADDIN CSL_CITATION {"citationItems":[{"id":"ITEM-1","itemData":{"DOI":"10.1016/j.gloenvcha.2018.08.006","ISBN":"0959-3780","ISSN":"09593780","abstract":"Changes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Change","id":"ITEM-1","issue":"March","issued":{"date-parts":[["2018"]]},"page":"52-67","publisher":"Elsevier Ltd","title":"Middle-range theories of land system change","type":"article-journal","volume":"53"},"uris":["http://www.mendeley.com/documents/?uuid=fad42dec-a48c-4bba-b8ed-3518b8a70e4b"]}],"mendeley":{"formattedCitation":"&lt;sup&gt;20&lt;/sup&gt;","plainTextFormattedCitation":"20","previouslyFormattedCitation":"&lt;sup&gt;20&lt;/sup&gt;"},"properties":{"noteIndex":0},"schema":"https://github.com/citation-style-language/schema/raw/master/csl-citation.json"}</w:instrText>
      </w:r>
      <w:r w:rsidRPr="00D72360">
        <w:fldChar w:fldCharType="separate"/>
      </w:r>
      <w:r w:rsidR="0090126B" w:rsidRPr="00D72360">
        <w:rPr>
          <w:noProof/>
          <w:vertAlign w:val="superscript"/>
        </w:rPr>
        <w:t>20</w:t>
      </w:r>
      <w:r w:rsidRPr="00D72360">
        <w:fldChar w:fldCharType="end"/>
      </w:r>
      <w:r w:rsidRPr="00D72360">
        <w:t>.</w:t>
      </w:r>
    </w:p>
    <w:p w14:paraId="50267F94" w14:textId="77777777" w:rsidR="0007606A" w:rsidRPr="00D72360" w:rsidRDefault="0007606A">
      <w:pPr>
        <w:spacing w:after="0" w:line="240" w:lineRule="auto"/>
      </w:pPr>
    </w:p>
    <w:p w14:paraId="57CBCE21" w14:textId="77777777" w:rsidR="00127813" w:rsidRDefault="00127813" w:rsidP="0007606A">
      <w:pPr>
        <w:spacing w:after="0" w:line="240" w:lineRule="auto"/>
        <w:rPr>
          <w:i/>
        </w:rPr>
      </w:pPr>
      <w:r>
        <w:rPr>
          <w:i/>
        </w:rPr>
        <w:t xml:space="preserve">Does </w:t>
      </w:r>
      <w:proofErr w:type="spellStart"/>
      <w:r>
        <w:rPr>
          <w:i/>
        </w:rPr>
        <w:t>frontierness</w:t>
      </w:r>
      <w:proofErr w:type="spellEnd"/>
      <w:r>
        <w:rPr>
          <w:i/>
        </w:rPr>
        <w:t xml:space="preserve"> improve models of expansion?</w:t>
      </w:r>
    </w:p>
    <w:p w14:paraId="30AB2314" w14:textId="7CF4D63D" w:rsidR="0007606A" w:rsidRPr="00D72360" w:rsidRDefault="00ED5576" w:rsidP="0007606A">
      <w:pPr>
        <w:spacing w:after="0" w:line="240" w:lineRule="auto"/>
        <w:rPr>
          <w:i/>
        </w:rPr>
      </w:pPr>
      <w:r w:rsidRPr="00D72360">
        <w:rPr>
          <w:i/>
        </w:rPr>
        <w:t xml:space="preserve"> </w:t>
      </w:r>
    </w:p>
    <w:p w14:paraId="7BEFDAAA" w14:textId="6EFE32B1" w:rsidR="0007606A" w:rsidRPr="00D72360" w:rsidRDefault="00ED5576" w:rsidP="0007606A">
      <w:pPr>
        <w:spacing w:after="0" w:line="240" w:lineRule="auto"/>
      </w:pPr>
      <w:r w:rsidRPr="00D72360">
        <w:t xml:space="preserve">We used logistic regression to formally test whether </w:t>
      </w:r>
      <w:proofErr w:type="spellStart"/>
      <w:r w:rsidRPr="00D72360">
        <w:t>frontierness</w:t>
      </w:r>
      <w:proofErr w:type="spellEnd"/>
      <w:r w:rsidRPr="00D72360">
        <w:t xml:space="preserve"> (deviations from the null 1992 cropland model) represents a useful proxy for expansion frontiers between 1992 and 2015. Our approach is analogous to that of a recent study that uses deviations from a null (biophysical only) model as a new variable </w:t>
      </w:r>
      <w:r w:rsidR="0075694E" w:rsidRPr="00D72360">
        <w:t>for</w:t>
      </w:r>
      <w:r w:rsidRPr="00D72360">
        <w:t xml:space="preserve"> quantifying the impacts of technological advances on banana production globally </w:t>
      </w:r>
      <w:r w:rsidRPr="00D72360">
        <w:fldChar w:fldCharType="begin" w:fldLock="1"/>
      </w:r>
      <w:r w:rsidR="00E273DD">
        <w:instrText>ADDIN CSL_CITATION {"citationItems":[{"id":"ITEM-1","itemData":{"DOI":"10.1038/s41558-019-0559-9","ISSN":"1758-678X","author":[{"dropping-particle":"","family":"Varma","given":"Varun","non-dropping-particle":"","parse-names":false,"suffix":""},{"dropping-particle":"","family":"Bebber","given":"Daniel P","non-dropping-particle":"","parse-names":false,"suffix":""}],"container-title":"Nature Climate Change","id":"ITEM-1","issue":"10","issued":{"date-parts":[["2019","10","2"]]},"page":"752-757","publisher":"Springer US","title":"Climate change impacts on banana yields around the world","type":"article-journal","volume":"9"},"uris":["http://www.mendeley.com/documents/?uuid=22dbe210-f47f-419a-af81-0b0ed1d73aa5"]}],"mendeley":{"formattedCitation":"&lt;sup&gt;73&lt;/sup&gt;","plainTextFormattedCitation":"73","previouslyFormattedCitation":"&lt;sup&gt;73&lt;/sup&gt;"},"properties":{"noteIndex":0},"schema":"https://github.com/citation-style-language/schema/raw/master/csl-citation.json"}</w:instrText>
      </w:r>
      <w:r w:rsidRPr="00D72360">
        <w:fldChar w:fldCharType="separate"/>
      </w:r>
      <w:bookmarkStart w:id="136" w:name="__Fieldmark__6451_3027855847"/>
      <w:r w:rsidR="00A9492F" w:rsidRPr="00A9492F">
        <w:rPr>
          <w:noProof/>
          <w:vertAlign w:val="superscript"/>
        </w:rPr>
        <w:t>73</w:t>
      </w:r>
      <w:r w:rsidRPr="00D72360">
        <w:fldChar w:fldCharType="end"/>
      </w:r>
      <w:bookmarkEnd w:id="136"/>
      <w:r w:rsidRPr="00D72360">
        <w:t xml:space="preserve">. The use of residuals (or deviations) as a predictors is generally considered poor practice if applied to the same response model </w:t>
      </w:r>
      <w:r w:rsidRPr="00D72360">
        <w:fldChar w:fldCharType="begin" w:fldLock="1"/>
      </w:r>
      <w:r w:rsidR="00E273DD">
        <w:instrText>ADDIN CSL_CITATION {"citationItems":[{"id":"ITEM-1","itemData":{"DOI":"10.1046/j.1365-2656.2002.00618.x","ISSN":"0021-8790","author":[{"dropping-particle":"","family":"Freckleton","given":"Robert P.","non-dropping-particle":"","parse-names":false,"suffix":""}],"container-title":"Journal of Animal Ecology","id":"ITEM-1","issue":"3","issued":{"date-parts":[["2002","5"]]},"page":"542-545","title":"On the misuse of residuals in ecology: regression of residuals vs. multiple regression","type":"article-journal","volume":"71"},"uris":["http://www.mendeley.com/documents/?uuid=6c25d8d6-d572-4410-8ff5-5ec4dcf50a2b"]}],"mendeley":{"formattedCitation":"&lt;sup&gt;74&lt;/sup&gt;","plainTextFormattedCitation":"74","previouslyFormattedCitation":"&lt;sup&gt;74&lt;/sup&gt;"},"properties":{"noteIndex":0},"schema":"https://github.com/citation-style-language/schema/raw/master/csl-citation.json"}</w:instrText>
      </w:r>
      <w:r w:rsidRPr="00D72360">
        <w:fldChar w:fldCharType="separate"/>
      </w:r>
      <w:bookmarkStart w:id="137" w:name="__Fieldmark__6457_3027855847"/>
      <w:bookmarkStart w:id="138" w:name="__Fieldmark__2441_531043149"/>
      <w:r w:rsidR="00A9492F" w:rsidRPr="00A9492F">
        <w:rPr>
          <w:noProof/>
          <w:vertAlign w:val="superscript"/>
        </w:rPr>
        <w:t>74</w:t>
      </w:r>
      <w:r w:rsidRPr="00D72360">
        <w:fldChar w:fldCharType="end"/>
      </w:r>
      <w:bookmarkEnd w:id="137"/>
      <w:bookmarkEnd w:id="138"/>
      <w:r w:rsidRPr="00D72360">
        <w:t>; however, this is not the case here; cropland in 1992 is independent of expansion of cropland between 1992 and 2015.</w:t>
      </w:r>
    </w:p>
    <w:p w14:paraId="468757B5" w14:textId="77777777" w:rsidR="0007606A" w:rsidRPr="00D72360" w:rsidRDefault="0007606A" w:rsidP="0007606A">
      <w:pPr>
        <w:spacing w:after="0" w:line="240" w:lineRule="auto"/>
        <w:rPr>
          <w:i/>
        </w:rPr>
      </w:pPr>
    </w:p>
    <w:p w14:paraId="6C818E01" w14:textId="4021D78A" w:rsidR="005B755B" w:rsidRPr="00D72360" w:rsidRDefault="00ED5576" w:rsidP="0007606A">
      <w:pPr>
        <w:spacing w:after="0" w:line="240" w:lineRule="auto"/>
        <w:rPr>
          <w:i/>
        </w:rPr>
      </w:pPr>
      <w:r w:rsidRPr="00D72360">
        <w:t xml:space="preserve">To test if </w:t>
      </w:r>
      <w:proofErr w:type="spellStart"/>
      <w:r w:rsidR="00187773" w:rsidRPr="00D72360">
        <w:t>frontierness</w:t>
      </w:r>
      <w:proofErr w:type="spellEnd"/>
      <w:r w:rsidRPr="00D72360">
        <w:t xml:space="preserve"> provides additional explanatory power over existing datasets, we compared two different models for each of the three cropland thresholds (0.5%, 10% and 50%). The first –Model </w:t>
      </w:r>
      <w:proofErr w:type="gramStart"/>
      <w:r w:rsidRPr="00D72360">
        <w:t>2  –</w:t>
      </w:r>
      <w:proofErr w:type="gramEnd"/>
      <w:r w:rsidRPr="00D72360">
        <w:t xml:space="preserve"> includes the terms (X1) as in Model 1 (the extent to expansion comparison) and the Null Model – as are all globally available independent predictors of expansion – as well as the </w:t>
      </w:r>
      <w:r w:rsidR="0075694E" w:rsidRPr="00D72360">
        <w:t>percentage</w:t>
      </w:r>
      <w:r w:rsidRPr="00D72360">
        <w:t xml:space="preserve"> of cropland in 1992. We include the latter as a predictor, as current extent of cropland is known to be </w:t>
      </w:r>
      <w:r w:rsidR="00490F4E" w:rsidRPr="00D72360">
        <w:t xml:space="preserve">a </w:t>
      </w:r>
      <w:r w:rsidRPr="00D72360">
        <w:t>very good predictor of future expansion, and is therefore incorporated into most land use change models</w:t>
      </w:r>
      <w:r w:rsidRPr="00D72360">
        <w:fldChar w:fldCharType="begin" w:fldLock="1"/>
      </w:r>
      <w:r w:rsidR="0090126B" w:rsidRPr="00D72360">
        <w:instrText>ADDIN CSL_CITATION {"citationItems":[{"id":"ITEM-1","itemData":{"DOI":"10.1111/gcb.13337","ISBN":"1972952943","ISSN":"13652486","PMID":"27135635","abstract":"Background To maintain the balance between the demand of the body and supply (cardiac output), cardiac performance is tightly regulated via the parasympathetic and sympathetic nervous systems. In heart failure, cardiac output (supply) is decreased due to pathologic remodeling of the heart. To meet the demands of the body, the sympathetic system is activated and catecholamines stimulate β-adrenergic receptors (β-ARs) to increase contractile performance and cardiac output. Although this is beneficial in the acute phase, chronic β-ARs stimulation initiates a cascade of alterations at the cellular level, resulting in a diminished contractile performance of the heart.","author":[{"dropping-particle":"","family":"Prestele","given":"Reinhard","non-dropping-particle":"","parse-names":false,"suffix":""},{"dropping-particle":"","family":"Alexander","given":"Peter","non-dropping-particle":"","parse-names":false,"suffix":""},{"dropping-particle":"","family":"Rounsevell","given":"Mark D.A.","non-dropping-particle":"","parse-names":false,"suffix":""},{"dropping-particle":"","family":"Arneth","given":"Almut","non-dropping-particle":"","parse-names":false,"suffix":""},{"dropping-particle":"","family":"Calvin","given":"Katherine","non-dropping-particle":"","parse-names":false,"suffix":""},{"dropping-particle":"","family":"Doelman","given":"Jonathan","non-dropping-particle":"","parse-names":false,"suffix":""},{"dropping-particle":"","family":"Eitelberg","given":"David A.","non-dropping-particle":"","parse-names":false,"suffix":""},{"dropping-particle":"","family":"Engström","given":"Kerstin","non-dropping-particle":"","parse-names":false,"suffix":""},{"dropping-particle":"","family":"Fujimori","given":"Shinichiro","non-dropping-particle":"","parse-names":false,"suffix":""},{"dropping-particle":"","family":"Hasegawa","given":"Tomoko","non-dropping-particle":"","parse-names":false,"suffix":""},{"dropping-particle":"","family":"Havlik","given":"Petr","non-dropping-particle":"","parse-names":false,"suffix":""},{"dropping-particle":"","family":"Humpenöder","given":"Florian","non-dropping-particle":"","parse-names":false,"suffix":""},{"dropping-particle":"","family":"Jain","given":"Atul K.","non-dropping-particle":"","parse-names":false,"suffix":""},{"dropping-particle":"","family":"Krisztin","given":"Tamás","non-dropping-particle":"","parse-names":false,"suffix":""},{"dropping-particle":"","family":"Kyle","given":"Page","non-dropping-particle":"","parse-names":false,"suffix":""},{"dropping-particle":"","family":"Meiyappan","given":"Prasanth","non-dropping-particle":"","parse-names":false,"suffix":""},{"dropping-particle":"","family":"Popp","given":"Alexander","non-dropping-particle":"","parse-names":false,"suffix":""},{"dropping-particle":"","family":"Sands","given":"Ronald D.","non-dropping-particle":"","parse-names":false,"suffix":""},{"dropping-particle":"","family":"Schaldach","given":"Rüdiger","non-dropping-particle":"","parse-names":false,"suffix":""},{"dropping-particle":"","family":"Schüngel","given":"Jan","non-dropping-particle":"","parse-names":false,"suffix":""},{"dropping-particle":"","family":"Stehfest","given":"Elke","non-dropping-particle":"","parse-names":false,"suffix":""},{"dropping-particle":"","family":"Tabeau","given":"Andrzej","non-dropping-particle":"","parse-names":false,"suffix":""},{"dropping-particle":"","family":"Meijl","given":"Hans","non-dropping-particle":"Van","parse-names":false,"suffix":""},{"dropping-particle":"","family":"Vliet","given":"Jasper","non-dropping-particle":"Van","parse-names":false,"suffix":""},{"dropping-particle":"","family":"Verburg","given":"Peter H.","non-dropping-particle":"","parse-names":false,"suffix":""}],"container-title":"Global Change Biology","id":"ITEM-1","issue":"12","issued":{"date-parts":[["2016"]]},"page":"3967-3983","title":"Hotspots of uncertainty in land-use and land-cover change projections: a global-scale model comparison","type":"article-journal","volume":"22"},"uris":["http://www.mendeley.com/documents/?uuid=dc5e6ad9-36a7-40e3-a410-a27b9371fbe5"]}],"mendeley":{"formattedCitation":"&lt;sup&gt;12&lt;/sup&gt;","plainTextFormattedCitation":"12","previouslyFormattedCitation":"&lt;sup&gt;12&lt;/sup&gt;"},"properties":{"noteIndex":0},"schema":"https://github.com/citation-style-language/schema/raw/master/csl-citation.json"}</w:instrText>
      </w:r>
      <w:r w:rsidRPr="00D72360">
        <w:fldChar w:fldCharType="separate"/>
      </w:r>
      <w:bookmarkStart w:id="139" w:name="__Fieldmark__6490_3027855847"/>
      <w:r w:rsidR="0090126B" w:rsidRPr="00D72360">
        <w:rPr>
          <w:noProof/>
          <w:vertAlign w:val="superscript"/>
        </w:rPr>
        <w:t>12</w:t>
      </w:r>
      <w:r w:rsidRPr="00D72360">
        <w:fldChar w:fldCharType="end"/>
      </w:r>
      <w:bookmarkEnd w:id="139"/>
      <w:r w:rsidRPr="00D72360">
        <w:t xml:space="preserve">.  As such, Model 2 represents the current state of the art in terms of statistical modelling of global cropland expansion. The third model – Model 3, includes all variables in Model 2, as well as </w:t>
      </w:r>
      <w:proofErr w:type="spellStart"/>
      <w:r w:rsidRPr="00D72360">
        <w:t>frontierness</w:t>
      </w:r>
      <w:proofErr w:type="spellEnd"/>
      <w:r w:rsidRPr="00D72360">
        <w:t>. We include interaction terms between cropland in 1992 and all other independent predictors as all could potentially moderate the influence of existing cropland on expansion in both Model 2 and Model 3. We also include the interaction term between cropland</w:t>
      </w:r>
      <w:r w:rsidR="0075694E" w:rsidRPr="00D72360">
        <w:t xml:space="preserve"> in </w:t>
      </w:r>
      <w:r w:rsidRPr="00D72360">
        <w:t xml:space="preserve">1992 and </w:t>
      </w:r>
      <w:proofErr w:type="spellStart"/>
      <w:r w:rsidRPr="00D72360">
        <w:t>frontierness</w:t>
      </w:r>
      <w:proofErr w:type="spellEnd"/>
      <w:r w:rsidRPr="00D72360">
        <w:t xml:space="preserve"> in Model 3, as areas with existing cropland in frontier areas could plausibly have higher likelihood of expansion as other areas. We do not include interactions between </w:t>
      </w:r>
      <w:proofErr w:type="spellStart"/>
      <w:r w:rsidRPr="00D72360">
        <w:t>frontierness</w:t>
      </w:r>
      <w:proofErr w:type="spellEnd"/>
      <w:r w:rsidRPr="00D72360">
        <w:t xml:space="preserve"> and the other independent predictors, as we</w:t>
      </w:r>
      <w:r w:rsidR="00490F4E" w:rsidRPr="00D72360">
        <w:t xml:space="preserve"> </w:t>
      </w:r>
      <w:r w:rsidRPr="00D72360">
        <w:t xml:space="preserve">do not have </w:t>
      </w:r>
      <w:r w:rsidRPr="00D72360">
        <w:rPr>
          <w:i/>
        </w:rPr>
        <w:t>a priori</w:t>
      </w:r>
      <w:r w:rsidRPr="00D72360">
        <w:t xml:space="preserve"> justification for doing so.  </w:t>
      </w:r>
    </w:p>
    <w:p w14:paraId="4131A50A" w14:textId="77777777" w:rsidR="005B755B" w:rsidRPr="00D72360" w:rsidRDefault="00ED5576">
      <w:r w:rsidRPr="00D72360">
        <w:t xml:space="preserve">The models are: </w:t>
      </w:r>
    </w:p>
    <w:p w14:paraId="28954108" w14:textId="05ECF1B1" w:rsidR="005B755B" w:rsidRPr="00D72360" w:rsidRDefault="00ED5576">
      <w:pPr>
        <w:rPr>
          <w:i/>
        </w:rPr>
      </w:pPr>
      <m:oMath>
        <m:r>
          <m:rPr>
            <m:sty m:val="p"/>
          </m:rPr>
          <w:rPr>
            <w:rFonts w:ascii="Cambria Math" w:hAnsi="Cambria Math"/>
          </w:rPr>
          <m:t>Cropland</m:t>
        </m:r>
        <m:d>
          <m:dPr>
            <m:begChr m:val="["/>
            <m:endChr m:val="]"/>
            <m:ctrlPr>
              <w:rPr>
                <w:rFonts w:ascii="Cambria Math" w:hAnsi="Cambria Math"/>
              </w:rPr>
            </m:ctrlPr>
          </m:dPr>
          <m:e>
            <m:r>
              <m:rPr>
                <m:sty m:val="p"/>
              </m:rPr>
              <w:rPr>
                <w:rFonts w:ascii="Cambria Math" w:hAnsi="Cambria Math"/>
              </w:rPr>
              <m:t>expansion between1992 and 2015</m:t>
            </m:r>
          </m:e>
        </m:d>
        <m:r>
          <m:rPr>
            <m:sty m:val="p"/>
          </m:rPr>
          <w:rPr>
            <w:rFonts w:ascii="Cambria Math" w:hAnsi="Cambria Math"/>
          </w:rPr>
          <m:t xml:space="preserve"> X1+X2</m:t>
        </m:r>
      </m:oMath>
      <w:r w:rsidRPr="00D72360">
        <w:rPr>
          <w:b/>
        </w:rPr>
        <w:t xml:space="preserve"> </w:t>
      </w:r>
      <w:r w:rsidRPr="00D72360">
        <w:rPr>
          <w:i/>
        </w:rPr>
        <w:t xml:space="preserve"> (</w:t>
      </w:r>
      <w:r w:rsidRPr="00D72360">
        <w:rPr>
          <w:b/>
          <w:i/>
        </w:rPr>
        <w:t>Model 2</w:t>
      </w:r>
      <w:r w:rsidRPr="00D72360">
        <w:rPr>
          <w:i/>
        </w:rPr>
        <w:t>)</w:t>
      </w:r>
    </w:p>
    <w:p w14:paraId="00ECA5EE" w14:textId="433B66D0" w:rsidR="005B755B" w:rsidRPr="00D72360" w:rsidRDefault="00ED5576">
      <w:pPr>
        <w:jc w:val="both"/>
        <w:rPr>
          <w:i/>
        </w:rPr>
      </w:pPr>
      <m:oMath>
        <m:r>
          <m:rPr>
            <m:sty m:val="p"/>
          </m:rPr>
          <w:rPr>
            <w:rFonts w:ascii="Cambria Math" w:hAnsi="Cambria Math"/>
          </w:rPr>
          <m:t>Cropland</m:t>
        </m:r>
        <m:d>
          <m:dPr>
            <m:begChr m:val="["/>
            <m:endChr m:val="]"/>
            <m:ctrlPr>
              <w:rPr>
                <w:rFonts w:ascii="Cambria Math" w:hAnsi="Cambria Math"/>
              </w:rPr>
            </m:ctrlPr>
          </m:dPr>
          <m:e>
            <m:r>
              <m:rPr>
                <m:sty m:val="p"/>
              </m:rPr>
              <w:rPr>
                <w:rFonts w:ascii="Cambria Math" w:hAnsi="Cambria Math"/>
              </w:rPr>
              <m:t>expansion between1992and 2015</m:t>
            </m:r>
          </m:e>
        </m:d>
        <m:r>
          <m:rPr>
            <m:sty m:val="p"/>
          </m:rPr>
          <w:rPr>
            <w:rFonts w:ascii="Cambria Math" w:hAnsi="Cambria Math"/>
          </w:rPr>
          <m:t xml:space="preserve"> X1+X2+X3</m:t>
        </m:r>
      </m:oMath>
      <w:r w:rsidRPr="00D72360">
        <w:rPr>
          <w:b/>
        </w:rPr>
        <w:t xml:space="preserve">  </w:t>
      </w:r>
      <w:r w:rsidRPr="00D72360">
        <w:rPr>
          <w:i/>
        </w:rPr>
        <w:t>(</w:t>
      </w:r>
      <w:r w:rsidRPr="00D72360">
        <w:rPr>
          <w:b/>
          <w:i/>
        </w:rPr>
        <w:t>Model 3</w:t>
      </w:r>
      <w:r w:rsidRPr="00D72360">
        <w:rPr>
          <w:i/>
        </w:rPr>
        <w:t>)</w:t>
      </w:r>
    </w:p>
    <w:p w14:paraId="11A63CA8" w14:textId="58E40431" w:rsidR="005B755B" w:rsidRPr="00D72360" w:rsidRDefault="00ED5576">
      <m:oMathPara>
        <m:oMath>
          <m:r>
            <m:rPr>
              <m:sty m:val="p"/>
            </m:rPr>
            <w:rPr>
              <w:rFonts w:ascii="Cambria Math" w:hAnsi="Cambria Math"/>
            </w:rPr>
            <m:t>where X1=Bioclimatic suitability+Access+Steepness+Population density+GDP+Bioclimatic suitability*Access+Steepness*Access+Bioclimatic suitability*Population density+Steepness*Population density+GPD*Acccess+GDP*Steeepness+GDP*Bioclimatic suitability+GDP*Population density</m:t>
          </m:r>
        </m:oMath>
      </m:oMathPara>
    </w:p>
    <w:p w14:paraId="3171BE6B" w14:textId="616DEB48" w:rsidR="005B755B" w:rsidRPr="00D72360" w:rsidRDefault="00ED5576">
      <m:oMathPara>
        <m:oMath>
          <m:r>
            <m:rPr>
              <m:sty m:val="p"/>
            </m:rPr>
            <w:rPr>
              <w:rFonts w:ascii="Cambria Math" w:hAnsi="Cambria Math"/>
            </w:rPr>
            <m:t>where X2=Percentage cropland 1992+Percentage cropland1992*Bioclimatic suitability+Percentage Cropland 1992*Access+Percentage cropland 1992*Steepness+Percentage cropland 1992*Population density+Percentage cropland 1992*GDP 1992</m:t>
          </m:r>
        </m:oMath>
      </m:oMathPara>
    </w:p>
    <w:p w14:paraId="73A2D57D" w14:textId="62F79019" w:rsidR="005B755B" w:rsidRPr="00D72360" w:rsidRDefault="00ED5576">
      <m:oMathPara>
        <m:oMath>
          <m:r>
            <m:rPr>
              <m:sty m:val="p"/>
            </m:rPr>
            <w:rPr>
              <w:rFonts w:ascii="Cambria Math" w:hAnsi="Cambria Math"/>
            </w:rPr>
            <m:t>where X3=Frontierness+Frontierness*PercentageCropland1992</m:t>
          </m:r>
        </m:oMath>
      </m:oMathPara>
    </w:p>
    <w:p w14:paraId="61A42A41" w14:textId="77777777" w:rsidR="007205E2" w:rsidRPr="00D72360" w:rsidRDefault="007205E2">
      <w:pPr>
        <w:rPr>
          <w:rFonts w:cstheme="minorHAnsi"/>
          <w:b/>
          <w:bCs/>
          <w:lang w:val="en-US"/>
        </w:rPr>
      </w:pPr>
    </w:p>
    <w:p w14:paraId="04ABCEE1" w14:textId="09DD783B" w:rsidR="007205E2" w:rsidRPr="00D72360" w:rsidRDefault="007205E2">
      <w:r w:rsidRPr="00D72360">
        <w:t xml:space="preserve">All analyses were conducted using R 3.6 </w:t>
      </w:r>
      <w:r w:rsidRPr="00D72360">
        <w:fldChar w:fldCharType="begin" w:fldLock="1"/>
      </w:r>
      <w:r w:rsidR="00E273DD">
        <w:instrText>ADDIN CSL_CITATION {"citationItems":[{"id":"ITEM-1","itemData":{"author":[{"dropping-particle":"","family":"R Core Team","given":"","non-dropping-particle":"","parse-names":false,"suffix":""}],"id":"ITEM-1","issued":{"date-parts":[["2019"]]},"publisher":"R Foundation for Statistical Computing,","publisher-place":"Vienna, Austria","title":"R: A language and environment for statistical computing.","type":"article"},"uris":["http://www.mendeley.com/documents/?uuid=af6149dc-8aae-40f2-90f3-21f9abf3c9fc"]}],"mendeley":{"formattedCitation":"&lt;sup&gt;75&lt;/sup&gt;","plainTextFormattedCitation":"75","previouslyFormattedCitation":"&lt;sup&gt;75&lt;/sup&gt;"},"properties":{"noteIndex":0},"schema":"https://github.com/citation-style-language/schema/raw/master/csl-citation.json"}</w:instrText>
      </w:r>
      <w:r w:rsidRPr="00D72360">
        <w:fldChar w:fldCharType="separate"/>
      </w:r>
      <w:bookmarkStart w:id="140" w:name="__Fieldmark__6038_3027855847"/>
      <w:r w:rsidR="00A9492F" w:rsidRPr="00A9492F">
        <w:rPr>
          <w:noProof/>
          <w:vertAlign w:val="superscript"/>
        </w:rPr>
        <w:t>75</w:t>
      </w:r>
      <w:r w:rsidRPr="00D72360">
        <w:fldChar w:fldCharType="end"/>
      </w:r>
      <w:bookmarkEnd w:id="140"/>
      <w:r w:rsidRPr="00D72360">
        <w:t xml:space="preserve">, using a variety of packages. </w:t>
      </w:r>
    </w:p>
    <w:p w14:paraId="2404535F" w14:textId="31609DD1" w:rsidR="00DC14F7" w:rsidRPr="00D72360" w:rsidRDefault="00DC14F7" w:rsidP="00FA0760">
      <w:bookmarkStart w:id="141" w:name="_Hlk26543758"/>
      <w:r w:rsidRPr="00D72360">
        <w:rPr>
          <w:b/>
        </w:rPr>
        <w:lastRenderedPageBreak/>
        <w:t>Acknowledgements</w:t>
      </w:r>
      <w:r w:rsidRPr="00D72360">
        <w:t xml:space="preserve"> FE, LJG, RS, and RAH were funded by the ERC Starting Grant “SCALEFORES” (Grant number 680176). </w:t>
      </w:r>
      <w:r w:rsidR="00C42EDD" w:rsidRPr="00D72360">
        <w:t>SD was funded by “Addressing the Valuation of Energy and Nature Together (ADVENT), Grant/Award Number: NE/M019640/1; NERC, and a University of Southampton studentship.</w:t>
      </w:r>
      <w:r w:rsidR="00FA0760" w:rsidRPr="00D72360">
        <w:t xml:space="preserve"> MB acknowledges funding by the Helmholtz Research School for Ecosystem Services under Changing Land Use and Climate (ESCALATE, VH-KO-613). PM was supported by the European Research Council (ERC) under the European Union’s Horizon 2020 research and innovation program (Grant agreement No 677140 MIDLAND). </w:t>
      </w:r>
      <w:r w:rsidR="001C0716" w:rsidRPr="001C0716">
        <w:t xml:space="preserve">XPS acknowledges support by the NASA Harvest Program (80NSSC18M0039). </w:t>
      </w:r>
      <w:r w:rsidR="00827081" w:rsidRPr="00D72360">
        <w:t xml:space="preserve">TV was supported by the European Structural and Investments Funds (grant CZ.02.1.01/0.0/0.0/16_019/0000797: </w:t>
      </w:r>
      <w:proofErr w:type="spellStart"/>
      <w:r w:rsidR="00827081" w:rsidRPr="00D72360">
        <w:t>SustES</w:t>
      </w:r>
      <w:proofErr w:type="spellEnd"/>
      <w:r w:rsidR="00827081" w:rsidRPr="00D72360">
        <w:t xml:space="preserve">—Adaptation strategies for sustainable ecosystem services and food security under adverse environmental conditions). </w:t>
      </w:r>
      <w:r w:rsidR="00FA0760" w:rsidRPr="00D72360">
        <w:t>This work contributes to the Global Land Programme (</w:t>
      </w:r>
      <w:hyperlink r:id="rId11" w:history="1">
        <w:r w:rsidR="00FA0760" w:rsidRPr="00D72360">
          <w:rPr>
            <w:rStyle w:val="Hyperlink"/>
            <w:color w:val="auto"/>
          </w:rPr>
          <w:t>https://glp.earth</w:t>
        </w:r>
      </w:hyperlink>
      <w:r w:rsidR="00FA0760" w:rsidRPr="00D72360">
        <w:t>).</w:t>
      </w:r>
      <w:r w:rsidR="001C0716">
        <w:t xml:space="preserve"> The authors also thank two anonymous reviewers whose thoughtful and constructive comments greatly improved this study. </w:t>
      </w:r>
    </w:p>
    <w:p w14:paraId="428BB300" w14:textId="4301C9D6" w:rsidR="00DC14F7" w:rsidRDefault="00DC14F7">
      <w:r w:rsidRPr="00D72360">
        <w:rPr>
          <w:b/>
        </w:rPr>
        <w:t xml:space="preserve">Author contributions </w:t>
      </w:r>
      <w:r w:rsidR="00D45FF0" w:rsidRPr="00D72360">
        <w:t xml:space="preserve">FE conceived the original idea, ran all analyses and wrote the paper.  MB, LG, RAH, PM, </w:t>
      </w:r>
      <w:proofErr w:type="spellStart"/>
      <w:r w:rsidR="00D45FF0" w:rsidRPr="00D72360">
        <w:t>RaS</w:t>
      </w:r>
      <w:proofErr w:type="spellEnd"/>
      <w:r w:rsidR="00D45FF0" w:rsidRPr="00D72360">
        <w:t xml:space="preserve">, </w:t>
      </w:r>
      <w:proofErr w:type="spellStart"/>
      <w:r w:rsidR="00D45FF0" w:rsidRPr="00D72360">
        <w:t>ReS</w:t>
      </w:r>
      <w:proofErr w:type="spellEnd"/>
      <w:r w:rsidR="00D45FF0" w:rsidRPr="00D72360">
        <w:t>, PV and TV all assisted FE in refining the idea and analyses, and text. SD and XPS contributed data. All authors commented on various version of the final manuscript.</w:t>
      </w:r>
      <w:bookmarkEnd w:id="141"/>
    </w:p>
    <w:p w14:paraId="11DC305E" w14:textId="2948F40D" w:rsidR="004E5F4B" w:rsidRDefault="004E5F4B" w:rsidP="00C03B20">
      <w:r>
        <w:rPr>
          <w:b/>
        </w:rPr>
        <w:t>Declaration of Interests</w:t>
      </w:r>
      <w:r w:rsidRPr="00D72360">
        <w:rPr>
          <w:b/>
        </w:rPr>
        <w:t xml:space="preserve"> </w:t>
      </w:r>
      <w:r w:rsidRPr="004E5F4B">
        <w:t>The authors declare no competing interest</w:t>
      </w:r>
      <w:r>
        <w:t>s.</w:t>
      </w:r>
      <w:r w:rsidRPr="004E5F4B">
        <w:t xml:space="preserve"> </w:t>
      </w:r>
    </w:p>
    <w:p w14:paraId="471BB580" w14:textId="77945DB7" w:rsidR="00C03B20" w:rsidRPr="00D72360" w:rsidRDefault="00C03B20" w:rsidP="00C03B20">
      <w:r w:rsidRPr="00D72360">
        <w:rPr>
          <w:rFonts w:cstheme="minorHAnsi"/>
          <w:b/>
          <w:bCs/>
          <w:lang w:val="en-US"/>
        </w:rPr>
        <w:t>References</w:t>
      </w:r>
    </w:p>
    <w:p w14:paraId="27F20393" w14:textId="5B40318D" w:rsidR="00E273DD" w:rsidRPr="00E273DD" w:rsidRDefault="00C03B20" w:rsidP="00E273DD">
      <w:pPr>
        <w:widowControl w:val="0"/>
        <w:autoSpaceDE w:val="0"/>
        <w:autoSpaceDN w:val="0"/>
        <w:adjustRightInd w:val="0"/>
        <w:spacing w:line="240" w:lineRule="auto"/>
        <w:ind w:left="640" w:hanging="640"/>
        <w:rPr>
          <w:rFonts w:ascii="Calibri" w:hAnsi="Calibri" w:cs="Calibri"/>
          <w:noProof/>
          <w:szCs w:val="24"/>
        </w:rPr>
      </w:pPr>
      <w:r w:rsidRPr="00D72360">
        <w:fldChar w:fldCharType="begin" w:fldLock="1"/>
      </w:r>
      <w:r w:rsidRPr="00D72360">
        <w:rPr>
          <w:lang w:val="de-DE"/>
        </w:rPr>
        <w:instrText>ADDIN Mendeley Bibliography CSL_BIBLIOGRAPHY</w:instrText>
      </w:r>
      <w:r w:rsidRPr="00D72360">
        <w:fldChar w:fldCharType="separate"/>
      </w:r>
      <w:bookmarkStart w:id="142" w:name="__Fieldmark__6524_3027855847"/>
      <w:bookmarkStart w:id="143" w:name="__Fieldmark__1586_3608161928"/>
      <w:bookmarkStart w:id="144" w:name="__Fieldmark__3509_531043149"/>
      <w:r w:rsidR="00E273DD" w:rsidRPr="00E273DD">
        <w:rPr>
          <w:rFonts w:ascii="Calibri" w:hAnsi="Calibri" w:cs="Calibri"/>
          <w:noProof/>
          <w:szCs w:val="24"/>
        </w:rPr>
        <w:t>1.</w:t>
      </w:r>
      <w:r w:rsidR="00E273DD" w:rsidRPr="00E273DD">
        <w:rPr>
          <w:rFonts w:ascii="Calibri" w:hAnsi="Calibri" w:cs="Calibri"/>
          <w:noProof/>
          <w:szCs w:val="24"/>
        </w:rPr>
        <w:tab/>
        <w:t xml:space="preserve">Ellis, E.C., Kaplan, J.O., Fuller, D.Q., Vavrus, S., Klein Goldewijk, K., and Verburg, P.H. (2013). Used planet: A global history. Proc. Natl. Acad. Sci. </w:t>
      </w:r>
      <w:r w:rsidR="00E273DD" w:rsidRPr="00E273DD">
        <w:rPr>
          <w:rFonts w:ascii="Calibri" w:hAnsi="Calibri" w:cs="Calibri"/>
          <w:i/>
          <w:iCs/>
          <w:noProof/>
          <w:szCs w:val="24"/>
        </w:rPr>
        <w:t>110</w:t>
      </w:r>
      <w:r w:rsidR="00E273DD" w:rsidRPr="00E273DD">
        <w:rPr>
          <w:rFonts w:ascii="Calibri" w:hAnsi="Calibri" w:cs="Calibri"/>
          <w:noProof/>
          <w:szCs w:val="24"/>
        </w:rPr>
        <w:t>, 7978–7985.</w:t>
      </w:r>
    </w:p>
    <w:p w14:paraId="0A7FF15A"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w:t>
      </w:r>
      <w:r w:rsidRPr="00E273DD">
        <w:rPr>
          <w:rFonts w:ascii="Calibri" w:hAnsi="Calibri" w:cs="Calibri"/>
          <w:noProof/>
          <w:szCs w:val="24"/>
        </w:rPr>
        <w:tab/>
        <w:t xml:space="preserve">Haberl, H., Erb, K.H., Krausmann, F., Gaube, V., Bondeau, A., Plutzar, C., Gingrich, S., Lucht, W., and Fischer-Kowalski, M. (2007). Quantifying and mapping the human appropriation of net primary production in earth’s terrestrial ecosystems. Proc. Natl. Acad. Sci. U. S. A. </w:t>
      </w:r>
      <w:r w:rsidRPr="00E273DD">
        <w:rPr>
          <w:rFonts w:ascii="Calibri" w:hAnsi="Calibri" w:cs="Calibri"/>
          <w:i/>
          <w:iCs/>
          <w:noProof/>
          <w:szCs w:val="24"/>
        </w:rPr>
        <w:t>104</w:t>
      </w:r>
      <w:r w:rsidRPr="00E273DD">
        <w:rPr>
          <w:rFonts w:ascii="Calibri" w:hAnsi="Calibri" w:cs="Calibri"/>
          <w:noProof/>
          <w:szCs w:val="24"/>
        </w:rPr>
        <w:t>, 12942–7.</w:t>
      </w:r>
    </w:p>
    <w:p w14:paraId="695AC017"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w:t>
      </w:r>
      <w:r w:rsidRPr="00E273DD">
        <w:rPr>
          <w:rFonts w:ascii="Calibri" w:hAnsi="Calibri" w:cs="Calibri"/>
          <w:noProof/>
          <w:szCs w:val="24"/>
        </w:rPr>
        <w:tab/>
        <w:t xml:space="preserve">Griscom, B.W., Adams, J., Ellis, P.W., Houghton, R.A., Lomax, G., Miteva, D.A., Schlesinger, W.H., Shoch, D., Siikamäki, J. V., Smith, P., et al. (2017). Natural climate solutions. Proc. Natl. Acad. Sci. </w:t>
      </w:r>
      <w:r w:rsidRPr="00E273DD">
        <w:rPr>
          <w:rFonts w:ascii="Calibri" w:hAnsi="Calibri" w:cs="Calibri"/>
          <w:i/>
          <w:iCs/>
          <w:noProof/>
          <w:szCs w:val="24"/>
        </w:rPr>
        <w:t>114</w:t>
      </w:r>
      <w:r w:rsidRPr="00E273DD">
        <w:rPr>
          <w:rFonts w:ascii="Calibri" w:hAnsi="Calibri" w:cs="Calibri"/>
          <w:noProof/>
          <w:szCs w:val="24"/>
        </w:rPr>
        <w:t>, 11645–11650.</w:t>
      </w:r>
    </w:p>
    <w:p w14:paraId="59882D9C"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4.</w:t>
      </w:r>
      <w:r w:rsidRPr="00E273DD">
        <w:rPr>
          <w:rFonts w:ascii="Calibri" w:hAnsi="Calibri" w:cs="Calibri"/>
          <w:noProof/>
          <w:szCs w:val="24"/>
        </w:rPr>
        <w:tab/>
        <w:t xml:space="preserve">Laurance, W.F., Sayer, J., and Cassman, K.G. (2014). Agricultural expansion and its impacts on tropical nature. Trends Ecol. Evol. </w:t>
      </w:r>
      <w:r w:rsidRPr="00E273DD">
        <w:rPr>
          <w:rFonts w:ascii="Calibri" w:hAnsi="Calibri" w:cs="Calibri"/>
          <w:i/>
          <w:iCs/>
          <w:noProof/>
          <w:szCs w:val="24"/>
        </w:rPr>
        <w:t>29</w:t>
      </w:r>
      <w:r w:rsidRPr="00E273DD">
        <w:rPr>
          <w:rFonts w:ascii="Calibri" w:hAnsi="Calibri" w:cs="Calibri"/>
          <w:noProof/>
          <w:szCs w:val="24"/>
        </w:rPr>
        <w:t>, 107–116.</w:t>
      </w:r>
    </w:p>
    <w:p w14:paraId="584AB228"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w:t>
      </w:r>
      <w:r w:rsidRPr="00E273DD">
        <w:rPr>
          <w:rFonts w:ascii="Calibri" w:hAnsi="Calibri" w:cs="Calibri"/>
          <w:noProof/>
          <w:szCs w:val="24"/>
        </w:rPr>
        <w:tab/>
        <w:t xml:space="preserve">Powers, R.P., and Jetz, W. (2019). Global habitat loss and extinction risk of terrestrial vertebrates under future land-use-change scenarios. Nat. Clim. Chang. </w:t>
      </w:r>
      <w:r w:rsidRPr="00E273DD">
        <w:rPr>
          <w:rFonts w:ascii="Calibri" w:hAnsi="Calibri" w:cs="Calibri"/>
          <w:i/>
          <w:iCs/>
          <w:noProof/>
          <w:szCs w:val="24"/>
        </w:rPr>
        <w:t>9</w:t>
      </w:r>
      <w:r w:rsidRPr="00E273DD">
        <w:rPr>
          <w:rFonts w:ascii="Calibri" w:hAnsi="Calibri" w:cs="Calibri"/>
          <w:noProof/>
          <w:szCs w:val="24"/>
        </w:rPr>
        <w:t>, 323–329.</w:t>
      </w:r>
    </w:p>
    <w:p w14:paraId="44A1855E"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w:t>
      </w:r>
      <w:r w:rsidRPr="00E273DD">
        <w:rPr>
          <w:rFonts w:ascii="Calibri" w:hAnsi="Calibri" w:cs="Calibri"/>
          <w:noProof/>
          <w:szCs w:val="24"/>
        </w:rPr>
        <w:tab/>
        <w:t xml:space="preserve">Zabel, F., Delzeit, R., Schneider, J.M., Seppelt, R., Mauser, W., and Václavík, T. (2019). Global impacts of future cropland expansion and intensification on agricultural markets and biodiversity. Nat. Commun. </w:t>
      </w:r>
      <w:r w:rsidRPr="00E273DD">
        <w:rPr>
          <w:rFonts w:ascii="Calibri" w:hAnsi="Calibri" w:cs="Calibri"/>
          <w:i/>
          <w:iCs/>
          <w:noProof/>
          <w:szCs w:val="24"/>
        </w:rPr>
        <w:t>10</w:t>
      </w:r>
      <w:r w:rsidRPr="00E273DD">
        <w:rPr>
          <w:rFonts w:ascii="Calibri" w:hAnsi="Calibri" w:cs="Calibri"/>
          <w:noProof/>
          <w:szCs w:val="24"/>
        </w:rPr>
        <w:t>, 1–10.</w:t>
      </w:r>
    </w:p>
    <w:p w14:paraId="03864304"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7.</w:t>
      </w:r>
      <w:r w:rsidRPr="00E273DD">
        <w:rPr>
          <w:rFonts w:ascii="Calibri" w:hAnsi="Calibri" w:cs="Calibri"/>
          <w:noProof/>
          <w:szCs w:val="24"/>
        </w:rPr>
        <w:tab/>
        <w:t xml:space="preserve">Godfray, H.C.J., Beddington, J.R., Crute, I.R., Haddad, L., Lawrence, D., Muir, J.F., Pretty, J., Robinson, S., Thomas, S.M., and Toulmin, C. (2010). Food security: the challenge of feeding 9 billion people. Science </w:t>
      </w:r>
      <w:r w:rsidRPr="00E273DD">
        <w:rPr>
          <w:rFonts w:ascii="Calibri" w:hAnsi="Calibri" w:cs="Calibri"/>
          <w:i/>
          <w:iCs/>
          <w:noProof/>
          <w:szCs w:val="24"/>
        </w:rPr>
        <w:t>327</w:t>
      </w:r>
      <w:r w:rsidRPr="00E273DD">
        <w:rPr>
          <w:rFonts w:ascii="Calibri" w:hAnsi="Calibri" w:cs="Calibri"/>
          <w:noProof/>
          <w:szCs w:val="24"/>
        </w:rPr>
        <w:t>, 812–8.</w:t>
      </w:r>
    </w:p>
    <w:p w14:paraId="50C59817"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8.</w:t>
      </w:r>
      <w:r w:rsidRPr="00E273DD">
        <w:rPr>
          <w:rFonts w:ascii="Calibri" w:hAnsi="Calibri" w:cs="Calibri"/>
          <w:noProof/>
          <w:szCs w:val="24"/>
        </w:rPr>
        <w:tab/>
        <w:t xml:space="preserve">Stevenson, J.R., Villoria, N., Byerlee, D., Kelley, T., and Maredia, M. (2013). Green Revolution research saved an estimated 18 to 27 million hectares from being brought into agricultural production. Proc. Natl. Acad. Sci. </w:t>
      </w:r>
      <w:r w:rsidRPr="00E273DD">
        <w:rPr>
          <w:rFonts w:ascii="Calibri" w:hAnsi="Calibri" w:cs="Calibri"/>
          <w:i/>
          <w:iCs/>
          <w:noProof/>
          <w:szCs w:val="24"/>
        </w:rPr>
        <w:t>110</w:t>
      </w:r>
      <w:r w:rsidRPr="00E273DD">
        <w:rPr>
          <w:rFonts w:ascii="Calibri" w:hAnsi="Calibri" w:cs="Calibri"/>
          <w:noProof/>
          <w:szCs w:val="24"/>
        </w:rPr>
        <w:t>, 8363–8368.</w:t>
      </w:r>
    </w:p>
    <w:p w14:paraId="47688791"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9.</w:t>
      </w:r>
      <w:r w:rsidRPr="00E273DD">
        <w:rPr>
          <w:rFonts w:ascii="Calibri" w:hAnsi="Calibri" w:cs="Calibri"/>
          <w:noProof/>
          <w:szCs w:val="24"/>
        </w:rPr>
        <w:tab/>
        <w:t xml:space="preserve">Seppelt, R., Manceur, A.M., Liu, J., Fenichel, E.P., and Klotz, S. (2014). Synchronized peak-rate years of global resources use. Ecol. Soc. </w:t>
      </w:r>
      <w:r w:rsidRPr="00E273DD">
        <w:rPr>
          <w:rFonts w:ascii="Calibri" w:hAnsi="Calibri" w:cs="Calibri"/>
          <w:i/>
          <w:iCs/>
          <w:noProof/>
          <w:szCs w:val="24"/>
        </w:rPr>
        <w:t>19</w:t>
      </w:r>
      <w:r w:rsidRPr="00E273DD">
        <w:rPr>
          <w:rFonts w:ascii="Calibri" w:hAnsi="Calibri" w:cs="Calibri"/>
          <w:noProof/>
          <w:szCs w:val="24"/>
        </w:rPr>
        <w:t>, art50.</w:t>
      </w:r>
    </w:p>
    <w:p w14:paraId="10259E05"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10.</w:t>
      </w:r>
      <w:r w:rsidRPr="00E273DD">
        <w:rPr>
          <w:rFonts w:ascii="Calibri" w:hAnsi="Calibri" w:cs="Calibri"/>
          <w:noProof/>
          <w:szCs w:val="24"/>
        </w:rPr>
        <w:tab/>
        <w:t xml:space="preserve">Grassini, P., Eskridge, K.M., and Cassman, K.G. (2013). Distinguishing between yield advances </w:t>
      </w:r>
      <w:r w:rsidRPr="00E273DD">
        <w:rPr>
          <w:rFonts w:ascii="Calibri" w:hAnsi="Calibri" w:cs="Calibri"/>
          <w:noProof/>
          <w:szCs w:val="24"/>
        </w:rPr>
        <w:lastRenderedPageBreak/>
        <w:t xml:space="preserve">and yield plateaus in historical crop production trends. Nat. Commun. </w:t>
      </w:r>
      <w:r w:rsidRPr="00E273DD">
        <w:rPr>
          <w:rFonts w:ascii="Calibri" w:hAnsi="Calibri" w:cs="Calibri"/>
          <w:i/>
          <w:iCs/>
          <w:noProof/>
          <w:szCs w:val="24"/>
        </w:rPr>
        <w:t>4</w:t>
      </w:r>
      <w:r w:rsidRPr="00E273DD">
        <w:rPr>
          <w:rFonts w:ascii="Calibri" w:hAnsi="Calibri" w:cs="Calibri"/>
          <w:noProof/>
          <w:szCs w:val="24"/>
        </w:rPr>
        <w:t>, 1–11.</w:t>
      </w:r>
    </w:p>
    <w:p w14:paraId="0E2BDF37"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11.</w:t>
      </w:r>
      <w:r w:rsidRPr="00E273DD">
        <w:rPr>
          <w:rFonts w:ascii="Calibri" w:hAnsi="Calibri" w:cs="Calibri"/>
          <w:noProof/>
          <w:szCs w:val="24"/>
        </w:rPr>
        <w:tab/>
        <w:t xml:space="preserve">Alexander, P., Prestele, R., Verburg, P.H., Arneth, A., Baranzelli, C., Batista e Silva, F., Brown, C., Butler, A., Calvin, K., Dendoncker, N., et al. (2017). Assessing uncertainties in land cover projections. Glob. Chang. Biol. </w:t>
      </w:r>
      <w:r w:rsidRPr="00E273DD">
        <w:rPr>
          <w:rFonts w:ascii="Calibri" w:hAnsi="Calibri" w:cs="Calibri"/>
          <w:i/>
          <w:iCs/>
          <w:noProof/>
          <w:szCs w:val="24"/>
        </w:rPr>
        <w:t>23</w:t>
      </w:r>
      <w:r w:rsidRPr="00E273DD">
        <w:rPr>
          <w:rFonts w:ascii="Calibri" w:hAnsi="Calibri" w:cs="Calibri"/>
          <w:noProof/>
          <w:szCs w:val="24"/>
        </w:rPr>
        <w:t>, 767–781.</w:t>
      </w:r>
    </w:p>
    <w:p w14:paraId="441EF9B4"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12.</w:t>
      </w:r>
      <w:r w:rsidRPr="00E273DD">
        <w:rPr>
          <w:rFonts w:ascii="Calibri" w:hAnsi="Calibri" w:cs="Calibri"/>
          <w:noProof/>
          <w:szCs w:val="24"/>
        </w:rPr>
        <w:tab/>
        <w:t xml:space="preserve">Prestele, R., Alexander, P., Rounsevell, M.D.A., Arneth, A., Calvin, K., Doelman, J., Eitelberg, D.A., Engström, K., Fujimori, S., Hasegawa, T., et al. (2016). Hotspots of uncertainty in land-use and land-cover change projections: a global-scale model comparison. Glob. Chang. Biol. </w:t>
      </w:r>
      <w:r w:rsidRPr="00E273DD">
        <w:rPr>
          <w:rFonts w:ascii="Calibri" w:hAnsi="Calibri" w:cs="Calibri"/>
          <w:i/>
          <w:iCs/>
          <w:noProof/>
          <w:szCs w:val="24"/>
        </w:rPr>
        <w:t>22</w:t>
      </w:r>
      <w:r w:rsidRPr="00E273DD">
        <w:rPr>
          <w:rFonts w:ascii="Calibri" w:hAnsi="Calibri" w:cs="Calibri"/>
          <w:noProof/>
          <w:szCs w:val="24"/>
        </w:rPr>
        <w:t>, 3967–3983.</w:t>
      </w:r>
    </w:p>
    <w:p w14:paraId="735E351F"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13.</w:t>
      </w:r>
      <w:r w:rsidRPr="00E273DD">
        <w:rPr>
          <w:rFonts w:ascii="Calibri" w:hAnsi="Calibri" w:cs="Calibri"/>
          <w:noProof/>
          <w:szCs w:val="24"/>
        </w:rPr>
        <w:tab/>
        <w:t xml:space="preserve">Stehfest, E., van Zeist, W.J., Valin, H., Havlik, P., Popp, A., Kyle, P., Tabeau, A., Mason-D’Croz, D., Hasegawa, T., Bodirsky, B.L., et al. (2019). Key determinants of global land-use projections. Nat. Commun. </w:t>
      </w:r>
      <w:r w:rsidRPr="00E273DD">
        <w:rPr>
          <w:rFonts w:ascii="Calibri" w:hAnsi="Calibri" w:cs="Calibri"/>
          <w:i/>
          <w:iCs/>
          <w:noProof/>
          <w:szCs w:val="24"/>
        </w:rPr>
        <w:t>10</w:t>
      </w:r>
      <w:r w:rsidRPr="00E273DD">
        <w:rPr>
          <w:rFonts w:ascii="Calibri" w:hAnsi="Calibri" w:cs="Calibri"/>
          <w:noProof/>
          <w:szCs w:val="24"/>
        </w:rPr>
        <w:t>, 1–10.</w:t>
      </w:r>
    </w:p>
    <w:p w14:paraId="0028D216"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14.</w:t>
      </w:r>
      <w:r w:rsidRPr="00E273DD">
        <w:rPr>
          <w:rFonts w:ascii="Calibri" w:hAnsi="Calibri" w:cs="Calibri"/>
          <w:noProof/>
          <w:szCs w:val="24"/>
        </w:rPr>
        <w:tab/>
        <w:t xml:space="preserve">Delzeit, R., Zabel, F., Meyer, C., and Václavík, T. (2017). Addressing future trade-offs between biodiversity and cropland expansion to improve food security. Reg. Environ. Chang. </w:t>
      </w:r>
      <w:r w:rsidRPr="00E273DD">
        <w:rPr>
          <w:rFonts w:ascii="Calibri" w:hAnsi="Calibri" w:cs="Calibri"/>
          <w:i/>
          <w:iCs/>
          <w:noProof/>
          <w:szCs w:val="24"/>
        </w:rPr>
        <w:t>17</w:t>
      </w:r>
      <w:r w:rsidRPr="00E273DD">
        <w:rPr>
          <w:rFonts w:ascii="Calibri" w:hAnsi="Calibri" w:cs="Calibri"/>
          <w:noProof/>
          <w:szCs w:val="24"/>
        </w:rPr>
        <w:t>, 1429–1441.</w:t>
      </w:r>
    </w:p>
    <w:p w14:paraId="39105828"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15.</w:t>
      </w:r>
      <w:r w:rsidRPr="00E273DD">
        <w:rPr>
          <w:rFonts w:ascii="Calibri" w:hAnsi="Calibri" w:cs="Calibri"/>
          <w:noProof/>
          <w:szCs w:val="24"/>
        </w:rPr>
        <w:tab/>
        <w:t xml:space="preserve">Hatna, E., and Bakker, M.M. (2011). Abandonment and Expansion of Arable Land in Europe. Ecosystems </w:t>
      </w:r>
      <w:r w:rsidRPr="00E273DD">
        <w:rPr>
          <w:rFonts w:ascii="Calibri" w:hAnsi="Calibri" w:cs="Calibri"/>
          <w:i/>
          <w:iCs/>
          <w:noProof/>
          <w:szCs w:val="24"/>
        </w:rPr>
        <w:t>14</w:t>
      </w:r>
      <w:r w:rsidRPr="00E273DD">
        <w:rPr>
          <w:rFonts w:ascii="Calibri" w:hAnsi="Calibri" w:cs="Calibri"/>
          <w:noProof/>
          <w:szCs w:val="24"/>
        </w:rPr>
        <w:t>, 720–731.</w:t>
      </w:r>
    </w:p>
    <w:p w14:paraId="4312B8EB"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16.</w:t>
      </w:r>
      <w:r w:rsidRPr="00E273DD">
        <w:rPr>
          <w:rFonts w:ascii="Calibri" w:hAnsi="Calibri" w:cs="Calibri"/>
          <w:noProof/>
          <w:szCs w:val="24"/>
        </w:rPr>
        <w:tab/>
        <w:t xml:space="preserve">Barbier, E.B. (2012). Scarcity, frontiers and development. Geogr. J. </w:t>
      </w:r>
      <w:r w:rsidRPr="00E273DD">
        <w:rPr>
          <w:rFonts w:ascii="Calibri" w:hAnsi="Calibri" w:cs="Calibri"/>
          <w:i/>
          <w:iCs/>
          <w:noProof/>
          <w:szCs w:val="24"/>
        </w:rPr>
        <w:t>178</w:t>
      </w:r>
      <w:r w:rsidRPr="00E273DD">
        <w:rPr>
          <w:rFonts w:ascii="Calibri" w:hAnsi="Calibri" w:cs="Calibri"/>
          <w:noProof/>
          <w:szCs w:val="24"/>
        </w:rPr>
        <w:t>, 110–122.</w:t>
      </w:r>
    </w:p>
    <w:p w14:paraId="404CF50D"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17.</w:t>
      </w:r>
      <w:r w:rsidRPr="00E273DD">
        <w:rPr>
          <w:rFonts w:ascii="Calibri" w:hAnsi="Calibri" w:cs="Calibri"/>
          <w:noProof/>
          <w:szCs w:val="24"/>
        </w:rPr>
        <w:tab/>
        <w:t xml:space="preserve">Barbier, E.B. (2020). Long run agricultural land expansion, booms and busts. Land use policy </w:t>
      </w:r>
      <w:r w:rsidRPr="00E273DD">
        <w:rPr>
          <w:rFonts w:ascii="Calibri" w:hAnsi="Calibri" w:cs="Calibri"/>
          <w:i/>
          <w:iCs/>
          <w:noProof/>
          <w:szCs w:val="24"/>
        </w:rPr>
        <w:t>93</w:t>
      </w:r>
      <w:r w:rsidRPr="00E273DD">
        <w:rPr>
          <w:rFonts w:ascii="Calibri" w:hAnsi="Calibri" w:cs="Calibri"/>
          <w:noProof/>
          <w:szCs w:val="24"/>
        </w:rPr>
        <w:t>, 103808.</w:t>
      </w:r>
    </w:p>
    <w:p w14:paraId="6361B9DB"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18.</w:t>
      </w:r>
      <w:r w:rsidRPr="00E273DD">
        <w:rPr>
          <w:rFonts w:ascii="Calibri" w:hAnsi="Calibri" w:cs="Calibri"/>
          <w:noProof/>
          <w:szCs w:val="24"/>
        </w:rPr>
        <w:tab/>
        <w:t xml:space="preserve">le Polain de Waroux, Y., Baumann, M., Gasparri, N.I., Gavier-Pizarro, G., Godar, J., Kuemmerle, T., Müller, R., Vázquez, F., Volante, J.N., and Meyfroidt, P. (2018). Rents, Actors, and the Expansion of Commodity Frontiers in the Gran Chaco. Ann. Am. Assoc. Geogr. </w:t>
      </w:r>
      <w:r w:rsidRPr="00E273DD">
        <w:rPr>
          <w:rFonts w:ascii="Calibri" w:hAnsi="Calibri" w:cs="Calibri"/>
          <w:i/>
          <w:iCs/>
          <w:noProof/>
          <w:szCs w:val="24"/>
        </w:rPr>
        <w:t>108</w:t>
      </w:r>
      <w:r w:rsidRPr="00E273DD">
        <w:rPr>
          <w:rFonts w:ascii="Calibri" w:hAnsi="Calibri" w:cs="Calibri"/>
          <w:noProof/>
          <w:szCs w:val="24"/>
        </w:rPr>
        <w:t>, 204–225.</w:t>
      </w:r>
    </w:p>
    <w:p w14:paraId="3723E0FF"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19.</w:t>
      </w:r>
      <w:r w:rsidRPr="00E273DD">
        <w:rPr>
          <w:rFonts w:ascii="Calibri" w:hAnsi="Calibri" w:cs="Calibri"/>
          <w:noProof/>
          <w:szCs w:val="24"/>
        </w:rPr>
        <w:tab/>
        <w:t xml:space="preserve">de Janvry, A., Fafchamps, M., and Sadoulet, E. (1991). Peasant Household Behaviour with Missing Markets: Some Paradoxes Explained. Econ. J. </w:t>
      </w:r>
      <w:r w:rsidRPr="00E273DD">
        <w:rPr>
          <w:rFonts w:ascii="Calibri" w:hAnsi="Calibri" w:cs="Calibri"/>
          <w:i/>
          <w:iCs/>
          <w:noProof/>
          <w:szCs w:val="24"/>
        </w:rPr>
        <w:t>101</w:t>
      </w:r>
      <w:r w:rsidRPr="00E273DD">
        <w:rPr>
          <w:rFonts w:ascii="Calibri" w:hAnsi="Calibri" w:cs="Calibri"/>
          <w:noProof/>
          <w:szCs w:val="24"/>
        </w:rPr>
        <w:t>, 1400–1417.</w:t>
      </w:r>
    </w:p>
    <w:p w14:paraId="767B79B0"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20.</w:t>
      </w:r>
      <w:r w:rsidRPr="00E273DD">
        <w:rPr>
          <w:rFonts w:ascii="Calibri" w:hAnsi="Calibri" w:cs="Calibri"/>
          <w:noProof/>
          <w:szCs w:val="24"/>
        </w:rPr>
        <w:tab/>
        <w:t xml:space="preserve">Meyfroidt, P., Roy Chowdhury, R., de Bremond, A., Ellis, E.C., Erb, K.H., Filatova, T., Garrett, R.D., Grove, J.M., Heinimann, A., Kuemmerle, T., et al. (2018). Middle-range theories of land system change. Glob. Environ. Chang. </w:t>
      </w:r>
      <w:r w:rsidRPr="00E273DD">
        <w:rPr>
          <w:rFonts w:ascii="Calibri" w:hAnsi="Calibri" w:cs="Calibri"/>
          <w:i/>
          <w:iCs/>
          <w:noProof/>
          <w:szCs w:val="24"/>
        </w:rPr>
        <w:t>53</w:t>
      </w:r>
      <w:r w:rsidRPr="00E273DD">
        <w:rPr>
          <w:rFonts w:ascii="Calibri" w:hAnsi="Calibri" w:cs="Calibri"/>
          <w:noProof/>
          <w:szCs w:val="24"/>
        </w:rPr>
        <w:t>, 52–67.</w:t>
      </w:r>
    </w:p>
    <w:p w14:paraId="79F85A15"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21.</w:t>
      </w:r>
      <w:r w:rsidRPr="00E273DD">
        <w:rPr>
          <w:rFonts w:ascii="Calibri" w:hAnsi="Calibri" w:cs="Calibri"/>
          <w:noProof/>
          <w:szCs w:val="24"/>
        </w:rPr>
        <w:tab/>
        <w:t xml:space="preserve">Lambin, E.F., and Meyfroidt, P. (2011). Global land use change, economic globalization, and the looming land scarcity. Proc. Natl. Acad. Sci. U. S. A. </w:t>
      </w:r>
      <w:r w:rsidRPr="00E273DD">
        <w:rPr>
          <w:rFonts w:ascii="Calibri" w:hAnsi="Calibri" w:cs="Calibri"/>
          <w:i/>
          <w:iCs/>
          <w:noProof/>
          <w:szCs w:val="24"/>
        </w:rPr>
        <w:t>108</w:t>
      </w:r>
      <w:r w:rsidRPr="00E273DD">
        <w:rPr>
          <w:rFonts w:ascii="Calibri" w:hAnsi="Calibri" w:cs="Calibri"/>
          <w:noProof/>
          <w:szCs w:val="24"/>
        </w:rPr>
        <w:t>, 3465–72.</w:t>
      </w:r>
    </w:p>
    <w:p w14:paraId="47A4CF4A"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22.</w:t>
      </w:r>
      <w:r w:rsidRPr="00E273DD">
        <w:rPr>
          <w:rFonts w:ascii="Calibri" w:hAnsi="Calibri" w:cs="Calibri"/>
          <w:noProof/>
          <w:szCs w:val="24"/>
        </w:rPr>
        <w:tab/>
        <w:t xml:space="preserve">Hertel, T.W., Baldos, U.L.C., and van der Mensbrugghe, D. (2016). Predicting Long-Term Food Demand, Cropland Use, and Prices. Annu. Rev. Resour. Econ. </w:t>
      </w:r>
      <w:r w:rsidRPr="00E273DD">
        <w:rPr>
          <w:rFonts w:ascii="Calibri" w:hAnsi="Calibri" w:cs="Calibri"/>
          <w:i/>
          <w:iCs/>
          <w:noProof/>
          <w:szCs w:val="24"/>
        </w:rPr>
        <w:t>8</w:t>
      </w:r>
      <w:r w:rsidRPr="00E273DD">
        <w:rPr>
          <w:rFonts w:ascii="Calibri" w:hAnsi="Calibri" w:cs="Calibri"/>
          <w:noProof/>
          <w:szCs w:val="24"/>
        </w:rPr>
        <w:t>, 417–441.</w:t>
      </w:r>
    </w:p>
    <w:p w14:paraId="18B126DF"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23.</w:t>
      </w:r>
      <w:r w:rsidRPr="00E273DD">
        <w:rPr>
          <w:rFonts w:ascii="Calibri" w:hAnsi="Calibri" w:cs="Calibri"/>
          <w:noProof/>
          <w:szCs w:val="24"/>
        </w:rPr>
        <w:tab/>
        <w:t xml:space="preserve">Verburg, P.H., Alexander, P., Evans, T., Magliocca, N.R., Malek, Z., Rounsevell, M. DA, and van Vliet, J. (2019). Beyond land cover change: towards a new generation of land use models. Curr. Opin. Environ. Sustain. </w:t>
      </w:r>
      <w:r w:rsidRPr="00E273DD">
        <w:rPr>
          <w:rFonts w:ascii="Calibri" w:hAnsi="Calibri" w:cs="Calibri"/>
          <w:i/>
          <w:iCs/>
          <w:noProof/>
          <w:szCs w:val="24"/>
        </w:rPr>
        <w:t>38</w:t>
      </w:r>
      <w:r w:rsidRPr="00E273DD">
        <w:rPr>
          <w:rFonts w:ascii="Calibri" w:hAnsi="Calibri" w:cs="Calibri"/>
          <w:noProof/>
          <w:szCs w:val="24"/>
        </w:rPr>
        <w:t>, 77–85.</w:t>
      </w:r>
    </w:p>
    <w:p w14:paraId="5F2CFC72"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24.</w:t>
      </w:r>
      <w:r w:rsidRPr="00E273DD">
        <w:rPr>
          <w:rFonts w:ascii="Calibri" w:hAnsi="Calibri" w:cs="Calibri"/>
          <w:noProof/>
          <w:szCs w:val="24"/>
        </w:rPr>
        <w:tab/>
        <w:t xml:space="preserve">Eitelberg, D.A., van Vliet, J., and Verburg, P.H. (2015). A review of global potentially available cropland estimates and their consequences for model-based assessments. Glob. Chang. Biol. </w:t>
      </w:r>
      <w:r w:rsidRPr="00E273DD">
        <w:rPr>
          <w:rFonts w:ascii="Calibri" w:hAnsi="Calibri" w:cs="Calibri"/>
          <w:i/>
          <w:iCs/>
          <w:noProof/>
          <w:szCs w:val="24"/>
        </w:rPr>
        <w:t>21</w:t>
      </w:r>
      <w:r w:rsidRPr="00E273DD">
        <w:rPr>
          <w:rFonts w:ascii="Calibri" w:hAnsi="Calibri" w:cs="Calibri"/>
          <w:noProof/>
          <w:szCs w:val="24"/>
        </w:rPr>
        <w:t>, 1236–1248.</w:t>
      </w:r>
    </w:p>
    <w:p w14:paraId="5BDD8D89"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25.</w:t>
      </w:r>
      <w:r w:rsidRPr="00E273DD">
        <w:rPr>
          <w:rFonts w:ascii="Calibri" w:hAnsi="Calibri" w:cs="Calibri"/>
          <w:noProof/>
          <w:szCs w:val="24"/>
        </w:rPr>
        <w:tab/>
        <w:t xml:space="preserve">Hansen, M.C., Potapov, P. V., Moore, R., Hancher, M., Turubanova, S.A., Tyukavina, A., Thau, D., Stehman, S. V., Goetz, S.J., Loveland, T.R., et al. (2013). High-Resolution Global Maps of 21st-Century Forest Cover Change. Science (80-. ). </w:t>
      </w:r>
      <w:r w:rsidRPr="00E273DD">
        <w:rPr>
          <w:rFonts w:ascii="Calibri" w:hAnsi="Calibri" w:cs="Calibri"/>
          <w:i/>
          <w:iCs/>
          <w:noProof/>
          <w:szCs w:val="24"/>
        </w:rPr>
        <w:t>342</w:t>
      </w:r>
      <w:r w:rsidRPr="00E273DD">
        <w:rPr>
          <w:rFonts w:ascii="Calibri" w:hAnsi="Calibri" w:cs="Calibri"/>
          <w:noProof/>
          <w:szCs w:val="24"/>
        </w:rPr>
        <w:t>, 850–853.</w:t>
      </w:r>
    </w:p>
    <w:p w14:paraId="5D8B9EBA"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26.</w:t>
      </w:r>
      <w:r w:rsidRPr="00E273DD">
        <w:rPr>
          <w:rFonts w:ascii="Calibri" w:hAnsi="Calibri" w:cs="Calibri"/>
          <w:noProof/>
          <w:szCs w:val="24"/>
        </w:rPr>
        <w:tab/>
        <w:t xml:space="preserve">Defourny, P., Kirches, G., Brockmann, C., Boettcher, M., Peters, M., Bontemps, S., Lamarche, </w:t>
      </w:r>
      <w:r w:rsidRPr="00E273DD">
        <w:rPr>
          <w:rFonts w:ascii="Calibri" w:hAnsi="Calibri" w:cs="Calibri"/>
          <w:noProof/>
          <w:szCs w:val="24"/>
        </w:rPr>
        <w:lastRenderedPageBreak/>
        <w:t>C., Schlerf, M., and Santoro, M. (2016). Land cover CCI product user guide version 2.</w:t>
      </w:r>
    </w:p>
    <w:p w14:paraId="50553D3B"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27.</w:t>
      </w:r>
      <w:r w:rsidRPr="00E273DD">
        <w:rPr>
          <w:rFonts w:ascii="Calibri" w:hAnsi="Calibri" w:cs="Calibri"/>
          <w:noProof/>
          <w:szCs w:val="24"/>
        </w:rPr>
        <w:tab/>
        <w:t xml:space="preserve">Curtis, P.G., Slay, C.M., Harris, N.L., Tyukavina, A., and Hansen, M.C. (2018). Classifying drivers of global forest loss. Science (80-. ). </w:t>
      </w:r>
      <w:r w:rsidRPr="00E273DD">
        <w:rPr>
          <w:rFonts w:ascii="Calibri" w:hAnsi="Calibri" w:cs="Calibri"/>
          <w:i/>
          <w:iCs/>
          <w:noProof/>
          <w:szCs w:val="24"/>
        </w:rPr>
        <w:t>361</w:t>
      </w:r>
      <w:r w:rsidRPr="00E273DD">
        <w:rPr>
          <w:rFonts w:ascii="Calibri" w:hAnsi="Calibri" w:cs="Calibri"/>
          <w:noProof/>
          <w:szCs w:val="24"/>
        </w:rPr>
        <w:t>, 1108–1111.</w:t>
      </w:r>
    </w:p>
    <w:p w14:paraId="711ADD58"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28.</w:t>
      </w:r>
      <w:r w:rsidRPr="00E273DD">
        <w:rPr>
          <w:rFonts w:ascii="Calibri" w:hAnsi="Calibri" w:cs="Calibri"/>
          <w:noProof/>
          <w:szCs w:val="24"/>
        </w:rPr>
        <w:tab/>
        <w:t xml:space="preserve">Hertel, T.W., West, T.A.P., Börner, J., and Villoria, N.B. (2019). A review of global-local-global linkages in economic land-use/cover change models. Environ. Res. Lett. </w:t>
      </w:r>
      <w:r w:rsidRPr="00E273DD">
        <w:rPr>
          <w:rFonts w:ascii="Calibri" w:hAnsi="Calibri" w:cs="Calibri"/>
          <w:i/>
          <w:iCs/>
          <w:noProof/>
          <w:szCs w:val="24"/>
        </w:rPr>
        <w:t>14</w:t>
      </w:r>
      <w:r w:rsidRPr="00E273DD">
        <w:rPr>
          <w:rFonts w:ascii="Calibri" w:hAnsi="Calibri" w:cs="Calibri"/>
          <w:noProof/>
          <w:szCs w:val="24"/>
        </w:rPr>
        <w:t>, 053003.</w:t>
      </w:r>
    </w:p>
    <w:p w14:paraId="2EAA5BCD"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29.</w:t>
      </w:r>
      <w:r w:rsidRPr="00E273DD">
        <w:rPr>
          <w:rFonts w:ascii="Calibri" w:hAnsi="Calibri" w:cs="Calibri"/>
          <w:noProof/>
          <w:szCs w:val="24"/>
        </w:rPr>
        <w:tab/>
        <w:t xml:space="preserve">Levinson, F.J., Barney, J., Bassett, L., and Schultink, W. (2007). Utilization of positive deviance analysis in evaluating community-based nutrition programs: An application to the Dular program in Bihar, India. Food Nutr. Bull. </w:t>
      </w:r>
      <w:r w:rsidRPr="00E273DD">
        <w:rPr>
          <w:rFonts w:ascii="Calibri" w:hAnsi="Calibri" w:cs="Calibri"/>
          <w:i/>
          <w:iCs/>
          <w:noProof/>
          <w:szCs w:val="24"/>
        </w:rPr>
        <w:t>28</w:t>
      </w:r>
      <w:r w:rsidRPr="00E273DD">
        <w:rPr>
          <w:rFonts w:ascii="Calibri" w:hAnsi="Calibri" w:cs="Calibri"/>
          <w:noProof/>
          <w:szCs w:val="24"/>
        </w:rPr>
        <w:t>, 259–265.</w:t>
      </w:r>
    </w:p>
    <w:p w14:paraId="5890916D"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30.</w:t>
      </w:r>
      <w:r w:rsidRPr="00E273DD">
        <w:rPr>
          <w:rFonts w:ascii="Calibri" w:hAnsi="Calibri" w:cs="Calibri"/>
          <w:noProof/>
          <w:szCs w:val="24"/>
        </w:rPr>
        <w:tab/>
        <w:t xml:space="preserve">Cinner, J.E., Huchery, C., MacNeil, M.A., Graham, N.A.J., McClanahan, T.R., Maina, J., Maire, E., Kittinger, J.N., Hicks, C.C., Mora, C., et al. (2016). Bright spots among the world’s coral reefs. Nature </w:t>
      </w:r>
      <w:r w:rsidRPr="00E273DD">
        <w:rPr>
          <w:rFonts w:ascii="Calibri" w:hAnsi="Calibri" w:cs="Calibri"/>
          <w:i/>
          <w:iCs/>
          <w:noProof/>
          <w:szCs w:val="24"/>
        </w:rPr>
        <w:t>535</w:t>
      </w:r>
      <w:r w:rsidRPr="00E273DD">
        <w:rPr>
          <w:rFonts w:ascii="Calibri" w:hAnsi="Calibri" w:cs="Calibri"/>
          <w:noProof/>
          <w:szCs w:val="24"/>
        </w:rPr>
        <w:t>, 416–419.</w:t>
      </w:r>
    </w:p>
    <w:p w14:paraId="3D27E727"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31.</w:t>
      </w:r>
      <w:r w:rsidRPr="00E273DD">
        <w:rPr>
          <w:rFonts w:ascii="Calibri" w:hAnsi="Calibri" w:cs="Calibri"/>
          <w:noProof/>
          <w:szCs w:val="24"/>
        </w:rPr>
        <w:tab/>
        <w:t xml:space="preserve">Frei, B., Renard, D., Mitchell, M.G.E., Seufert, V., Chaplin-Kramer, R., Rhemtulla, J.M., and Bennett, E.M. (2018). Bright spots in agricultural landscapes: Identifying areas exceeding expectations for multifunctionality and biodiversity. J. Appl. Ecol. </w:t>
      </w:r>
      <w:r w:rsidRPr="00E273DD">
        <w:rPr>
          <w:rFonts w:ascii="Calibri" w:hAnsi="Calibri" w:cs="Calibri"/>
          <w:i/>
          <w:iCs/>
          <w:noProof/>
          <w:szCs w:val="24"/>
        </w:rPr>
        <w:t>55</w:t>
      </w:r>
      <w:r w:rsidRPr="00E273DD">
        <w:rPr>
          <w:rFonts w:ascii="Calibri" w:hAnsi="Calibri" w:cs="Calibri"/>
          <w:noProof/>
          <w:szCs w:val="24"/>
        </w:rPr>
        <w:t>, 2731–2743.</w:t>
      </w:r>
    </w:p>
    <w:p w14:paraId="3EDB93DE"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32.</w:t>
      </w:r>
      <w:r w:rsidRPr="00E273DD">
        <w:rPr>
          <w:rFonts w:ascii="Calibri" w:hAnsi="Calibri" w:cs="Calibri"/>
          <w:noProof/>
          <w:szCs w:val="24"/>
        </w:rPr>
        <w:tab/>
        <w:t xml:space="preserve">Alexander, P., Rabin, S., Anthoni, P., Henry, R., Pugh, T.A.M., Rounsevell, M.D.A., and Arneth, A. (2018). Adaptation of global land use and management intensity to changes in climate and atmospheric carbon dioxide. Glob. Chang. Biol. </w:t>
      </w:r>
      <w:r w:rsidRPr="00E273DD">
        <w:rPr>
          <w:rFonts w:ascii="Calibri" w:hAnsi="Calibri" w:cs="Calibri"/>
          <w:i/>
          <w:iCs/>
          <w:noProof/>
          <w:szCs w:val="24"/>
        </w:rPr>
        <w:t>24</w:t>
      </w:r>
      <w:r w:rsidRPr="00E273DD">
        <w:rPr>
          <w:rFonts w:ascii="Calibri" w:hAnsi="Calibri" w:cs="Calibri"/>
          <w:noProof/>
          <w:szCs w:val="24"/>
        </w:rPr>
        <w:t>, 2791–2809.</w:t>
      </w:r>
    </w:p>
    <w:p w14:paraId="08C4772E"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33.</w:t>
      </w:r>
      <w:r w:rsidRPr="00E273DD">
        <w:rPr>
          <w:rFonts w:ascii="Calibri" w:hAnsi="Calibri" w:cs="Calibri"/>
          <w:noProof/>
          <w:szCs w:val="24"/>
        </w:rPr>
        <w:tab/>
        <w:t xml:space="preserve">Graesser, J., Ramankutty, N., and Coomes, O.T. (2018). Increasing expansion of large-scale crop production onto deforested land in sub-Andean South America. Environ. Res. Lett. </w:t>
      </w:r>
      <w:r w:rsidRPr="00E273DD">
        <w:rPr>
          <w:rFonts w:ascii="Calibri" w:hAnsi="Calibri" w:cs="Calibri"/>
          <w:i/>
          <w:iCs/>
          <w:noProof/>
          <w:szCs w:val="24"/>
        </w:rPr>
        <w:t>13</w:t>
      </w:r>
      <w:r w:rsidRPr="00E273DD">
        <w:rPr>
          <w:rFonts w:ascii="Calibri" w:hAnsi="Calibri" w:cs="Calibri"/>
          <w:noProof/>
          <w:szCs w:val="24"/>
        </w:rPr>
        <w:t>.</w:t>
      </w:r>
    </w:p>
    <w:p w14:paraId="741CD6C8"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34.</w:t>
      </w:r>
      <w:r w:rsidRPr="00E273DD">
        <w:rPr>
          <w:rFonts w:ascii="Calibri" w:hAnsi="Calibri" w:cs="Calibri"/>
          <w:noProof/>
          <w:szCs w:val="24"/>
        </w:rPr>
        <w:tab/>
        <w:t xml:space="preserve">Ordway, E.M., Naylor, R.L., Nkongho, R.N., and Lambin, E.F. (2019). Oil palm expansion and deforestation in Southwest Cameroon associated with proliferation of informal mills. Nat. Commun. </w:t>
      </w:r>
      <w:r w:rsidRPr="00E273DD">
        <w:rPr>
          <w:rFonts w:ascii="Calibri" w:hAnsi="Calibri" w:cs="Calibri"/>
          <w:i/>
          <w:iCs/>
          <w:noProof/>
          <w:szCs w:val="24"/>
        </w:rPr>
        <w:t>10</w:t>
      </w:r>
      <w:r w:rsidRPr="00E273DD">
        <w:rPr>
          <w:rFonts w:ascii="Calibri" w:hAnsi="Calibri" w:cs="Calibri"/>
          <w:noProof/>
          <w:szCs w:val="24"/>
        </w:rPr>
        <w:t>, 1–11.</w:t>
      </w:r>
    </w:p>
    <w:p w14:paraId="1168A3E8"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35.</w:t>
      </w:r>
      <w:r w:rsidRPr="00E273DD">
        <w:rPr>
          <w:rFonts w:ascii="Calibri" w:hAnsi="Calibri" w:cs="Calibri"/>
          <w:noProof/>
          <w:szCs w:val="24"/>
        </w:rPr>
        <w:tab/>
        <w:t xml:space="preserve">Ricciardi, V., Ramankutty, N., Mehrabi, Z., Jarvis, L., and Chookolingo, B. (2018). How much of the world’s food do smallholders produce? Glob. Food Sec. </w:t>
      </w:r>
      <w:r w:rsidRPr="00E273DD">
        <w:rPr>
          <w:rFonts w:ascii="Calibri" w:hAnsi="Calibri" w:cs="Calibri"/>
          <w:i/>
          <w:iCs/>
          <w:noProof/>
          <w:szCs w:val="24"/>
        </w:rPr>
        <w:t>17</w:t>
      </w:r>
      <w:r w:rsidRPr="00E273DD">
        <w:rPr>
          <w:rFonts w:ascii="Calibri" w:hAnsi="Calibri" w:cs="Calibri"/>
          <w:noProof/>
          <w:szCs w:val="24"/>
        </w:rPr>
        <w:t>, 64–72.</w:t>
      </w:r>
    </w:p>
    <w:p w14:paraId="7664A876"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36.</w:t>
      </w:r>
      <w:r w:rsidRPr="00E273DD">
        <w:rPr>
          <w:rFonts w:ascii="Calibri" w:hAnsi="Calibri" w:cs="Calibri"/>
          <w:noProof/>
          <w:szCs w:val="24"/>
        </w:rPr>
        <w:tab/>
        <w:t xml:space="preserve">Meyfroidt, P., Schierhorn, F., Prishchepov, A. V., Müller, D., and Kuemmerle, T. (2016). Drivers, constraints and trade-offs associated with recultivating abandoned cropland in Russia, Ukraine and Kazakhstan. Glob. Environ. Chang. </w:t>
      </w:r>
      <w:r w:rsidRPr="00E273DD">
        <w:rPr>
          <w:rFonts w:ascii="Calibri" w:hAnsi="Calibri" w:cs="Calibri"/>
          <w:i/>
          <w:iCs/>
          <w:noProof/>
          <w:szCs w:val="24"/>
        </w:rPr>
        <w:t>37</w:t>
      </w:r>
      <w:r w:rsidRPr="00E273DD">
        <w:rPr>
          <w:rFonts w:ascii="Calibri" w:hAnsi="Calibri" w:cs="Calibri"/>
          <w:noProof/>
          <w:szCs w:val="24"/>
        </w:rPr>
        <w:t>, 1–15.</w:t>
      </w:r>
    </w:p>
    <w:p w14:paraId="0E9FA504"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37.</w:t>
      </w:r>
      <w:r w:rsidRPr="00E273DD">
        <w:rPr>
          <w:rFonts w:ascii="Calibri" w:hAnsi="Calibri" w:cs="Calibri"/>
          <w:noProof/>
          <w:szCs w:val="24"/>
        </w:rPr>
        <w:tab/>
        <w:t xml:space="preserve">Kraemer, R., Prishchepov, A. V., Müller, D., Kuemmerle, T., Radeloff, V.C., Dara, A., Terekhov, A., and Frühauf, M. (2015). Long-term agricultural land-cover change and potential for cropland expansion in the former Virgin Lands area of Kazakhstan. Environ. Res. Lett. </w:t>
      </w:r>
      <w:r w:rsidRPr="00E273DD">
        <w:rPr>
          <w:rFonts w:ascii="Calibri" w:hAnsi="Calibri" w:cs="Calibri"/>
          <w:i/>
          <w:iCs/>
          <w:noProof/>
          <w:szCs w:val="24"/>
        </w:rPr>
        <w:t>10</w:t>
      </w:r>
      <w:r w:rsidRPr="00E273DD">
        <w:rPr>
          <w:rFonts w:ascii="Calibri" w:hAnsi="Calibri" w:cs="Calibri"/>
          <w:noProof/>
          <w:szCs w:val="24"/>
        </w:rPr>
        <w:t>, 054012.</w:t>
      </w:r>
    </w:p>
    <w:p w14:paraId="1D8A3E88"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38.</w:t>
      </w:r>
      <w:r w:rsidRPr="00E273DD">
        <w:rPr>
          <w:rFonts w:ascii="Calibri" w:hAnsi="Calibri" w:cs="Calibri"/>
          <w:noProof/>
          <w:szCs w:val="24"/>
        </w:rPr>
        <w:tab/>
        <w:t xml:space="preserve">Dara, A., Baumann, M., Kuemmerle, T., Pflugmacher, D., Rabe, A., Griffiths, P., Hölzel, N., Kamp, J., Freitag, M., and Hostert, P. (2018). Mapping the timing of cropland abandonment and recultivation in northern Kazakhstan using annual Landsat time series. Remote Sens. Environ. </w:t>
      </w:r>
      <w:r w:rsidRPr="00E273DD">
        <w:rPr>
          <w:rFonts w:ascii="Calibri" w:hAnsi="Calibri" w:cs="Calibri"/>
          <w:i/>
          <w:iCs/>
          <w:noProof/>
          <w:szCs w:val="24"/>
        </w:rPr>
        <w:t>213</w:t>
      </w:r>
      <w:r w:rsidRPr="00E273DD">
        <w:rPr>
          <w:rFonts w:ascii="Calibri" w:hAnsi="Calibri" w:cs="Calibri"/>
          <w:noProof/>
          <w:szCs w:val="24"/>
        </w:rPr>
        <w:t>, 49–60.</w:t>
      </w:r>
    </w:p>
    <w:p w14:paraId="5B8DA419"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39.</w:t>
      </w:r>
      <w:r w:rsidRPr="00E273DD">
        <w:rPr>
          <w:rFonts w:ascii="Calibri" w:hAnsi="Calibri" w:cs="Calibri"/>
          <w:noProof/>
          <w:szCs w:val="24"/>
        </w:rPr>
        <w:tab/>
        <w:t xml:space="preserve">Song, X.P., Hansen, M.C., Stehman, S. V., Potapov, P. V., Tyukavina, A., Vermote, E.F., and Townshend, J.R. (2018). Global land change from 1982 to 2016. Nature </w:t>
      </w:r>
      <w:r w:rsidRPr="00E273DD">
        <w:rPr>
          <w:rFonts w:ascii="Calibri" w:hAnsi="Calibri" w:cs="Calibri"/>
          <w:i/>
          <w:iCs/>
          <w:noProof/>
          <w:szCs w:val="24"/>
        </w:rPr>
        <w:t>560</w:t>
      </w:r>
      <w:r w:rsidRPr="00E273DD">
        <w:rPr>
          <w:rFonts w:ascii="Calibri" w:hAnsi="Calibri" w:cs="Calibri"/>
          <w:noProof/>
          <w:szCs w:val="24"/>
        </w:rPr>
        <w:t>, 639–643.</w:t>
      </w:r>
    </w:p>
    <w:p w14:paraId="63DD31DD"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40.</w:t>
      </w:r>
      <w:r w:rsidRPr="00E273DD">
        <w:rPr>
          <w:rFonts w:ascii="Calibri" w:hAnsi="Calibri" w:cs="Calibri"/>
          <w:noProof/>
          <w:szCs w:val="24"/>
        </w:rPr>
        <w:tab/>
        <w:t xml:space="preserve">Garrett, R.D., Lambin, E.F., and Naylor, R.L. (2013). The new economic geography of land use change: Supply chain configurations and land use in the Brazilian Amazon. Land use policy </w:t>
      </w:r>
      <w:r w:rsidRPr="00E273DD">
        <w:rPr>
          <w:rFonts w:ascii="Calibri" w:hAnsi="Calibri" w:cs="Calibri"/>
          <w:i/>
          <w:iCs/>
          <w:noProof/>
          <w:szCs w:val="24"/>
        </w:rPr>
        <w:t>34</w:t>
      </w:r>
      <w:r w:rsidRPr="00E273DD">
        <w:rPr>
          <w:rFonts w:ascii="Calibri" w:hAnsi="Calibri" w:cs="Calibri"/>
          <w:noProof/>
          <w:szCs w:val="24"/>
        </w:rPr>
        <w:t>, 265–275.</w:t>
      </w:r>
    </w:p>
    <w:p w14:paraId="37CEE2DF"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41.</w:t>
      </w:r>
      <w:r w:rsidRPr="00E273DD">
        <w:rPr>
          <w:rFonts w:ascii="Calibri" w:hAnsi="Calibri" w:cs="Calibri"/>
          <w:noProof/>
          <w:szCs w:val="24"/>
        </w:rPr>
        <w:tab/>
        <w:t xml:space="preserve">Lesiv, M., Laso Bayas, J.C., See, L., Duerauer, M., Dahlia, D., Durando, N., Hazarika, R., Kumar Sahariah, P., Vakolyuk, M., Blyshchyk, V., et al. (2019). Estimating the global distribution of field size using crowdsourcing. Glob. Chang. Biol. </w:t>
      </w:r>
      <w:r w:rsidRPr="00E273DD">
        <w:rPr>
          <w:rFonts w:ascii="Calibri" w:hAnsi="Calibri" w:cs="Calibri"/>
          <w:i/>
          <w:iCs/>
          <w:noProof/>
          <w:szCs w:val="24"/>
        </w:rPr>
        <w:t>25</w:t>
      </w:r>
      <w:r w:rsidRPr="00E273DD">
        <w:rPr>
          <w:rFonts w:ascii="Calibri" w:hAnsi="Calibri" w:cs="Calibri"/>
          <w:noProof/>
          <w:szCs w:val="24"/>
        </w:rPr>
        <w:t>, 174–186.</w:t>
      </w:r>
    </w:p>
    <w:p w14:paraId="16E25AF5"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lastRenderedPageBreak/>
        <w:t>42.</w:t>
      </w:r>
      <w:r w:rsidRPr="00E273DD">
        <w:rPr>
          <w:rFonts w:ascii="Calibri" w:hAnsi="Calibri" w:cs="Calibri"/>
          <w:noProof/>
          <w:szCs w:val="24"/>
        </w:rPr>
        <w:tab/>
        <w:t xml:space="preserve">Villoria, N.B., and Liu, J. (2018). Using spatially explicit data to improve our understanding of land supply responses: An application to the cropland effects of global sustainable irrigation in the Americas. Land use policy </w:t>
      </w:r>
      <w:r w:rsidRPr="00E273DD">
        <w:rPr>
          <w:rFonts w:ascii="Calibri" w:hAnsi="Calibri" w:cs="Calibri"/>
          <w:i/>
          <w:iCs/>
          <w:noProof/>
          <w:szCs w:val="24"/>
        </w:rPr>
        <w:t>75</w:t>
      </w:r>
      <w:r w:rsidRPr="00E273DD">
        <w:rPr>
          <w:rFonts w:ascii="Calibri" w:hAnsi="Calibri" w:cs="Calibri"/>
          <w:noProof/>
          <w:szCs w:val="24"/>
        </w:rPr>
        <w:t>, 411–419.</w:t>
      </w:r>
    </w:p>
    <w:p w14:paraId="04C82999"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43.</w:t>
      </w:r>
      <w:r w:rsidRPr="00E273DD">
        <w:rPr>
          <w:rFonts w:ascii="Calibri" w:hAnsi="Calibri" w:cs="Calibri"/>
          <w:noProof/>
          <w:szCs w:val="24"/>
        </w:rPr>
        <w:tab/>
        <w:t xml:space="preserve">Chen, B., Kennedy, C.M., and Xu, B. (2019). Effective moratoria on land acquisitions reduce tropical deforestation: evidence from Indonesia. Environ. Res. Lett. </w:t>
      </w:r>
      <w:r w:rsidRPr="00E273DD">
        <w:rPr>
          <w:rFonts w:ascii="Calibri" w:hAnsi="Calibri" w:cs="Calibri"/>
          <w:i/>
          <w:iCs/>
          <w:noProof/>
          <w:szCs w:val="24"/>
        </w:rPr>
        <w:t>14</w:t>
      </w:r>
      <w:r w:rsidRPr="00E273DD">
        <w:rPr>
          <w:rFonts w:ascii="Calibri" w:hAnsi="Calibri" w:cs="Calibri"/>
          <w:noProof/>
          <w:szCs w:val="24"/>
        </w:rPr>
        <w:t>, 044009.</w:t>
      </w:r>
    </w:p>
    <w:p w14:paraId="0DF075BA"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44.</w:t>
      </w:r>
      <w:r w:rsidRPr="00E273DD">
        <w:rPr>
          <w:rFonts w:ascii="Calibri" w:hAnsi="Calibri" w:cs="Calibri"/>
          <w:noProof/>
          <w:szCs w:val="24"/>
        </w:rPr>
        <w:tab/>
        <w:t xml:space="preserve">Fritz, S., See, L., Mccallum, I., You, L., Bun, A., Moltchanova, E., Duerauer, M., Albrecht, F., Schill, C., Perger, C., et al. (2015). Mapping global cropland and field size. Glob. Chang. Biol. </w:t>
      </w:r>
      <w:r w:rsidRPr="00E273DD">
        <w:rPr>
          <w:rFonts w:ascii="Calibri" w:hAnsi="Calibri" w:cs="Calibri"/>
          <w:i/>
          <w:iCs/>
          <w:noProof/>
          <w:szCs w:val="24"/>
        </w:rPr>
        <w:t>21</w:t>
      </w:r>
      <w:r w:rsidRPr="00E273DD">
        <w:rPr>
          <w:rFonts w:ascii="Calibri" w:hAnsi="Calibri" w:cs="Calibri"/>
          <w:noProof/>
          <w:szCs w:val="24"/>
        </w:rPr>
        <w:t>, 1980–1992.</w:t>
      </w:r>
    </w:p>
    <w:p w14:paraId="5CE11B50"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45.</w:t>
      </w:r>
      <w:r w:rsidRPr="00E273DD">
        <w:rPr>
          <w:rFonts w:ascii="Calibri" w:hAnsi="Calibri" w:cs="Calibri"/>
          <w:noProof/>
          <w:szCs w:val="24"/>
        </w:rPr>
        <w:tab/>
        <w:t xml:space="preserve">Meyfroidt, P. (2018). Trade-offs between environment and livelihoods: Bridging the global land use and food security discussions. Glob. Food Sec. </w:t>
      </w:r>
      <w:r w:rsidRPr="00E273DD">
        <w:rPr>
          <w:rFonts w:ascii="Calibri" w:hAnsi="Calibri" w:cs="Calibri"/>
          <w:i/>
          <w:iCs/>
          <w:noProof/>
          <w:szCs w:val="24"/>
        </w:rPr>
        <w:t>16</w:t>
      </w:r>
      <w:r w:rsidRPr="00E273DD">
        <w:rPr>
          <w:rFonts w:ascii="Calibri" w:hAnsi="Calibri" w:cs="Calibri"/>
          <w:noProof/>
          <w:szCs w:val="24"/>
        </w:rPr>
        <w:t>, 9–16.</w:t>
      </w:r>
    </w:p>
    <w:p w14:paraId="42E1B57D"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46.</w:t>
      </w:r>
      <w:r w:rsidRPr="00E273DD">
        <w:rPr>
          <w:rFonts w:ascii="Calibri" w:hAnsi="Calibri" w:cs="Calibri"/>
          <w:noProof/>
          <w:szCs w:val="24"/>
        </w:rPr>
        <w:tab/>
        <w:t xml:space="preserve">le Polain de Waroux, Y., Garrett, R.D., Heilmayr, R., and Lambin, E.F. (2016). Land-use policies and corporate investments in agriculture in the Gran Chaco and Chiquitano. Proc. Natl. Acad. Sci. </w:t>
      </w:r>
      <w:r w:rsidRPr="00E273DD">
        <w:rPr>
          <w:rFonts w:ascii="Calibri" w:hAnsi="Calibri" w:cs="Calibri"/>
          <w:i/>
          <w:iCs/>
          <w:noProof/>
          <w:szCs w:val="24"/>
        </w:rPr>
        <w:t>113</w:t>
      </w:r>
      <w:r w:rsidRPr="00E273DD">
        <w:rPr>
          <w:rFonts w:ascii="Calibri" w:hAnsi="Calibri" w:cs="Calibri"/>
          <w:noProof/>
          <w:szCs w:val="24"/>
        </w:rPr>
        <w:t>, 4021–4026.</w:t>
      </w:r>
    </w:p>
    <w:p w14:paraId="67FC45B0"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47.</w:t>
      </w:r>
      <w:r w:rsidRPr="00E273DD">
        <w:rPr>
          <w:rFonts w:ascii="Calibri" w:hAnsi="Calibri" w:cs="Calibri"/>
          <w:noProof/>
          <w:szCs w:val="24"/>
        </w:rPr>
        <w:tab/>
        <w:t xml:space="preserve">Weiss, D.J., Nelson, A., Gibson, H.S., Temperley, W., Peedell, S., Lieber, A., Hancher, M., Poyart, E., Belchior, S., Fullman, N., et al. (2018). A global map of travel time to cities to assess inequalities in accessibility in 2015. Nature </w:t>
      </w:r>
      <w:r w:rsidRPr="00E273DD">
        <w:rPr>
          <w:rFonts w:ascii="Calibri" w:hAnsi="Calibri" w:cs="Calibri"/>
          <w:i/>
          <w:iCs/>
          <w:noProof/>
          <w:szCs w:val="24"/>
        </w:rPr>
        <w:t>553</w:t>
      </w:r>
      <w:r w:rsidRPr="00E273DD">
        <w:rPr>
          <w:rFonts w:ascii="Calibri" w:hAnsi="Calibri" w:cs="Calibri"/>
          <w:noProof/>
          <w:szCs w:val="24"/>
        </w:rPr>
        <w:t>, 333–336.</w:t>
      </w:r>
    </w:p>
    <w:p w14:paraId="540A6381"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48.</w:t>
      </w:r>
      <w:r w:rsidRPr="00E273DD">
        <w:rPr>
          <w:rFonts w:ascii="Calibri" w:hAnsi="Calibri" w:cs="Calibri"/>
          <w:noProof/>
          <w:szCs w:val="24"/>
        </w:rPr>
        <w:tab/>
        <w:t xml:space="preserve">Fehlenberg, V., Baumann, M., Gasparri, N.I., Piquer-Rodriguez, M., Gavier-Pizarro, G., and Kuemmerle, T. (2017). The role of soybean production as an underlying driver of deforestation in the South American Chaco. Glob. Environ. Chang. </w:t>
      </w:r>
      <w:r w:rsidRPr="00E273DD">
        <w:rPr>
          <w:rFonts w:ascii="Calibri" w:hAnsi="Calibri" w:cs="Calibri"/>
          <w:i/>
          <w:iCs/>
          <w:noProof/>
          <w:szCs w:val="24"/>
        </w:rPr>
        <w:t>45</w:t>
      </w:r>
      <w:r w:rsidRPr="00E273DD">
        <w:rPr>
          <w:rFonts w:ascii="Calibri" w:hAnsi="Calibri" w:cs="Calibri"/>
          <w:noProof/>
          <w:szCs w:val="24"/>
        </w:rPr>
        <w:t>, 24–34.</w:t>
      </w:r>
    </w:p>
    <w:p w14:paraId="2D981B4A"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49.</w:t>
      </w:r>
      <w:r w:rsidRPr="00E273DD">
        <w:rPr>
          <w:rFonts w:ascii="Calibri" w:hAnsi="Calibri" w:cs="Calibri"/>
          <w:noProof/>
          <w:szCs w:val="24"/>
        </w:rPr>
        <w:tab/>
        <w:t>Sulla-Menashe, D., and Friedl, M.A. (2018). User Guide to Collection 6 MODIS Land Cover (MCD12Q1 and MCD12C1) Product. 1–18.</w:t>
      </w:r>
    </w:p>
    <w:p w14:paraId="3F5BAE0A"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50.</w:t>
      </w:r>
      <w:r w:rsidRPr="00E273DD">
        <w:rPr>
          <w:rFonts w:ascii="Calibri" w:hAnsi="Calibri" w:cs="Calibri"/>
          <w:noProof/>
          <w:szCs w:val="24"/>
        </w:rPr>
        <w:tab/>
        <w:t xml:space="preserve">Pérez-Hoyos, A., Rembold, F., Kerdiles, H., and Gallego, J. (2017). Comparison of global land cover datasets for cropland monitoring. Remote Sens. </w:t>
      </w:r>
      <w:r w:rsidRPr="00E273DD">
        <w:rPr>
          <w:rFonts w:ascii="Calibri" w:hAnsi="Calibri" w:cs="Calibri"/>
          <w:i/>
          <w:iCs/>
          <w:noProof/>
          <w:szCs w:val="24"/>
        </w:rPr>
        <w:t>9</w:t>
      </w:r>
      <w:r w:rsidRPr="00E273DD">
        <w:rPr>
          <w:rFonts w:ascii="Calibri" w:hAnsi="Calibri" w:cs="Calibri"/>
          <w:noProof/>
          <w:szCs w:val="24"/>
        </w:rPr>
        <w:t>.</w:t>
      </w:r>
    </w:p>
    <w:p w14:paraId="3B308C67"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51.</w:t>
      </w:r>
      <w:r w:rsidRPr="00E273DD">
        <w:rPr>
          <w:rFonts w:ascii="Calibri" w:hAnsi="Calibri" w:cs="Calibri"/>
          <w:noProof/>
          <w:szCs w:val="24"/>
        </w:rPr>
        <w:tab/>
        <w:t>Boserup, E. (1965). The Conditions of Agricultural Growth: The Economics of Agrarian Societies (Allen &amp; Unwin).</w:t>
      </w:r>
    </w:p>
    <w:p w14:paraId="50870BEE"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52.</w:t>
      </w:r>
      <w:r w:rsidRPr="00E273DD">
        <w:rPr>
          <w:rFonts w:ascii="Calibri" w:hAnsi="Calibri" w:cs="Calibri"/>
          <w:noProof/>
          <w:szCs w:val="24"/>
        </w:rPr>
        <w:tab/>
        <w:t xml:space="preserve">Verburg, P.H., Ellis, E.C., and Letourneau, A. (2011). A global assessment of market accessibility and market influence for global environmental change studies. Environ. Res. Lett. </w:t>
      </w:r>
      <w:r w:rsidRPr="00E273DD">
        <w:rPr>
          <w:rFonts w:ascii="Calibri" w:hAnsi="Calibri" w:cs="Calibri"/>
          <w:i/>
          <w:iCs/>
          <w:noProof/>
          <w:szCs w:val="24"/>
        </w:rPr>
        <w:t>6</w:t>
      </w:r>
      <w:r w:rsidRPr="00E273DD">
        <w:rPr>
          <w:rFonts w:ascii="Calibri" w:hAnsi="Calibri" w:cs="Calibri"/>
          <w:noProof/>
          <w:szCs w:val="24"/>
        </w:rPr>
        <w:t>, 034019.</w:t>
      </w:r>
    </w:p>
    <w:p w14:paraId="67E1925C"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53.</w:t>
      </w:r>
      <w:r w:rsidRPr="00E273DD">
        <w:rPr>
          <w:rFonts w:ascii="Calibri" w:hAnsi="Calibri" w:cs="Calibri"/>
          <w:noProof/>
          <w:szCs w:val="24"/>
        </w:rPr>
        <w:tab/>
        <w:t xml:space="preserve">Rosenzweig, C., Elliott, J., Deryng, D., Ruane, A.C., Müller, C., Arneth, A., Boote, K.J., Folberth, C., Glotter, M., Khabarov, N., et al. (2014). Assessing agricultural risks of climate change in the 21st century in a global gridded crop model intercomparison. Proc. Natl. Acad. Sci. </w:t>
      </w:r>
      <w:r w:rsidRPr="00E273DD">
        <w:rPr>
          <w:rFonts w:ascii="Calibri" w:hAnsi="Calibri" w:cs="Calibri"/>
          <w:i/>
          <w:iCs/>
          <w:noProof/>
          <w:szCs w:val="24"/>
        </w:rPr>
        <w:t>111</w:t>
      </w:r>
      <w:r w:rsidRPr="00E273DD">
        <w:rPr>
          <w:rFonts w:ascii="Calibri" w:hAnsi="Calibri" w:cs="Calibri"/>
          <w:noProof/>
          <w:szCs w:val="24"/>
        </w:rPr>
        <w:t>, 3268–3273.</w:t>
      </w:r>
    </w:p>
    <w:p w14:paraId="53B8B8A6"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54.</w:t>
      </w:r>
      <w:r w:rsidRPr="00E273DD">
        <w:rPr>
          <w:rFonts w:ascii="Calibri" w:hAnsi="Calibri" w:cs="Calibri"/>
          <w:noProof/>
          <w:szCs w:val="24"/>
        </w:rPr>
        <w:tab/>
        <w:t xml:space="preserve">Hof, C., Voskamp, A., Biber, M.F., Böhning-Gaese, K., Engelhardt, E.K., Niamir, A., Willis, S.G., and Hickler, T. (2018). Bioenergy cropland expansion may offset positive effects of climate change mitigation for global vertebrate diversity. Proc. Natl. Acad. Sci. </w:t>
      </w:r>
      <w:r w:rsidRPr="00E273DD">
        <w:rPr>
          <w:rFonts w:ascii="Calibri" w:hAnsi="Calibri" w:cs="Calibri"/>
          <w:i/>
          <w:iCs/>
          <w:noProof/>
          <w:szCs w:val="24"/>
        </w:rPr>
        <w:t>115</w:t>
      </w:r>
      <w:r w:rsidRPr="00E273DD">
        <w:rPr>
          <w:rFonts w:ascii="Calibri" w:hAnsi="Calibri" w:cs="Calibri"/>
          <w:noProof/>
          <w:szCs w:val="24"/>
        </w:rPr>
        <w:t>, 13294–13299.</w:t>
      </w:r>
    </w:p>
    <w:p w14:paraId="7090A15A"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55.</w:t>
      </w:r>
      <w:r w:rsidRPr="00E273DD">
        <w:rPr>
          <w:rFonts w:ascii="Calibri" w:hAnsi="Calibri" w:cs="Calibri"/>
          <w:noProof/>
          <w:szCs w:val="24"/>
        </w:rPr>
        <w:tab/>
        <w:t>Eigenbrod, Felix; Beckmann, Michael; Dunnett, Seb; Graham, Laura; Holland, Robert; Meyfroidt, Patrick; Seppelt, Ralf; Song, Xiao-Peng; Spake, Rebecca; Václavík, Tomáš; Verburg, P. (2020). Identifying agricultural frontiers for modelling global cropland expansion - code and data. Mendeley Data. http://dx.doi.org/10.17632/rtgdj2jmk6.1.</w:t>
      </w:r>
    </w:p>
    <w:p w14:paraId="778AECDB"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56.</w:t>
      </w:r>
      <w:r w:rsidRPr="00E273DD">
        <w:rPr>
          <w:rFonts w:ascii="Calibri" w:hAnsi="Calibri" w:cs="Calibri"/>
          <w:noProof/>
          <w:szCs w:val="24"/>
        </w:rPr>
        <w:tab/>
        <w:t xml:space="preserve">Oldekop, J.A., Sims, K.R.E., Whittingham, M.J., and Agrawal, A. (2018). An upside to globalization: International outmigration drives reforestation in Nepal. Glob. Environ. Chang. </w:t>
      </w:r>
      <w:r w:rsidRPr="00E273DD">
        <w:rPr>
          <w:rFonts w:ascii="Calibri" w:hAnsi="Calibri" w:cs="Calibri"/>
          <w:i/>
          <w:iCs/>
          <w:noProof/>
          <w:szCs w:val="24"/>
        </w:rPr>
        <w:t>52</w:t>
      </w:r>
      <w:r w:rsidRPr="00E273DD">
        <w:rPr>
          <w:rFonts w:ascii="Calibri" w:hAnsi="Calibri" w:cs="Calibri"/>
          <w:noProof/>
          <w:szCs w:val="24"/>
        </w:rPr>
        <w:t>, 66–74.</w:t>
      </w:r>
    </w:p>
    <w:p w14:paraId="27AD94CE"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57.</w:t>
      </w:r>
      <w:r w:rsidRPr="00E273DD">
        <w:rPr>
          <w:rFonts w:ascii="Calibri" w:hAnsi="Calibri" w:cs="Calibri"/>
          <w:noProof/>
          <w:szCs w:val="24"/>
        </w:rPr>
        <w:tab/>
        <w:t xml:space="preserve">Kuemmerle, T., Erb, K., Meyfroidt, P., Müller, D., Verburg, P.H., Estel, S., Haberl, H., Hostert, </w:t>
      </w:r>
      <w:r w:rsidRPr="00E273DD">
        <w:rPr>
          <w:rFonts w:ascii="Calibri" w:hAnsi="Calibri" w:cs="Calibri"/>
          <w:noProof/>
          <w:szCs w:val="24"/>
        </w:rPr>
        <w:lastRenderedPageBreak/>
        <w:t xml:space="preserve">P., Jepsen, M.R., Kastner, T., et al. (2013). Challenges and opportunities in mapping land use intensity globally. Curr. Opin. Environ. Sustain. </w:t>
      </w:r>
      <w:r w:rsidRPr="00E273DD">
        <w:rPr>
          <w:rFonts w:ascii="Calibri" w:hAnsi="Calibri" w:cs="Calibri"/>
          <w:i/>
          <w:iCs/>
          <w:noProof/>
          <w:szCs w:val="24"/>
        </w:rPr>
        <w:t>5</w:t>
      </w:r>
      <w:r w:rsidRPr="00E273DD">
        <w:rPr>
          <w:rFonts w:ascii="Calibri" w:hAnsi="Calibri" w:cs="Calibri"/>
          <w:noProof/>
          <w:szCs w:val="24"/>
        </w:rPr>
        <w:t>, 484–493.</w:t>
      </w:r>
    </w:p>
    <w:p w14:paraId="4932776E"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58.</w:t>
      </w:r>
      <w:r w:rsidRPr="00E273DD">
        <w:rPr>
          <w:rFonts w:ascii="Calibri" w:hAnsi="Calibri" w:cs="Calibri"/>
          <w:noProof/>
          <w:szCs w:val="24"/>
        </w:rPr>
        <w:tab/>
        <w:t>Fischer, G., Nachtergaele, F., Prieler, S., Velthuizen, H.T. van, Verelst, L., and Wiberg, D. (2008). Global Agro-ecological Zones :Model documentation. Food Agric. Organ. United Nations, 179.</w:t>
      </w:r>
    </w:p>
    <w:p w14:paraId="301C9393"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59.</w:t>
      </w:r>
      <w:r w:rsidRPr="00E273DD">
        <w:rPr>
          <w:rFonts w:ascii="Calibri" w:hAnsi="Calibri" w:cs="Calibri"/>
          <w:noProof/>
          <w:szCs w:val="24"/>
        </w:rPr>
        <w:tab/>
        <w:t>Gridded Population of the World, Version 3 (GPWv3): Population Density Grid, Future Estimates (2005).</w:t>
      </w:r>
    </w:p>
    <w:p w14:paraId="5356355C"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60.</w:t>
      </w:r>
      <w:r w:rsidRPr="00E273DD">
        <w:rPr>
          <w:rFonts w:ascii="Calibri" w:hAnsi="Calibri" w:cs="Calibri"/>
          <w:noProof/>
          <w:szCs w:val="24"/>
        </w:rPr>
        <w:tab/>
        <w:t xml:space="preserve">Kummu, M., Taka, M., and Guillaume, J.H.A. (2018). Gridded global datasets for Gross Domestic Product and Human Development Index over 1990-2015. Sci. Data </w:t>
      </w:r>
      <w:r w:rsidRPr="00E273DD">
        <w:rPr>
          <w:rFonts w:ascii="Calibri" w:hAnsi="Calibri" w:cs="Calibri"/>
          <w:i/>
          <w:iCs/>
          <w:noProof/>
          <w:szCs w:val="24"/>
        </w:rPr>
        <w:t>5</w:t>
      </w:r>
      <w:r w:rsidRPr="00E273DD">
        <w:rPr>
          <w:rFonts w:ascii="Calibri" w:hAnsi="Calibri" w:cs="Calibri"/>
          <w:noProof/>
          <w:szCs w:val="24"/>
        </w:rPr>
        <w:t>, 1–15.</w:t>
      </w:r>
    </w:p>
    <w:p w14:paraId="2D49E4C9"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61.</w:t>
      </w:r>
      <w:r w:rsidRPr="00E273DD">
        <w:rPr>
          <w:rFonts w:ascii="Calibri" w:hAnsi="Calibri" w:cs="Calibri"/>
          <w:noProof/>
          <w:szCs w:val="24"/>
        </w:rPr>
        <w:tab/>
        <w:t>Ricardo, D. (1817). The Principles of Political Economy and Taxation (John Murray).</w:t>
      </w:r>
    </w:p>
    <w:p w14:paraId="06DACF1C"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62.</w:t>
      </w:r>
      <w:r w:rsidRPr="00E273DD">
        <w:rPr>
          <w:rFonts w:ascii="Calibri" w:hAnsi="Calibri" w:cs="Calibri"/>
          <w:noProof/>
          <w:szCs w:val="24"/>
        </w:rPr>
        <w:tab/>
        <w:t>von Thunen, J. (1966). The Isolated State (Pergamon).</w:t>
      </w:r>
    </w:p>
    <w:p w14:paraId="134821B8"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63.</w:t>
      </w:r>
      <w:r w:rsidRPr="00E273DD">
        <w:rPr>
          <w:rFonts w:ascii="Calibri" w:hAnsi="Calibri" w:cs="Calibri"/>
          <w:noProof/>
          <w:szCs w:val="24"/>
        </w:rPr>
        <w:tab/>
        <w:t xml:space="preserve">Angelsen, A. (2010). Policies for reduced deforestation and their impact on agricultural production. Proc. Natl. Acad. Sci. </w:t>
      </w:r>
      <w:r w:rsidRPr="00E273DD">
        <w:rPr>
          <w:rFonts w:ascii="Calibri" w:hAnsi="Calibri" w:cs="Calibri"/>
          <w:i/>
          <w:iCs/>
          <w:noProof/>
          <w:szCs w:val="24"/>
        </w:rPr>
        <w:t>107</w:t>
      </w:r>
      <w:r w:rsidRPr="00E273DD">
        <w:rPr>
          <w:rFonts w:ascii="Calibri" w:hAnsi="Calibri" w:cs="Calibri"/>
          <w:noProof/>
          <w:szCs w:val="24"/>
        </w:rPr>
        <w:t>, 19639–19644.</w:t>
      </w:r>
    </w:p>
    <w:p w14:paraId="51423A54"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64.</w:t>
      </w:r>
      <w:r w:rsidRPr="00E273DD">
        <w:rPr>
          <w:rFonts w:ascii="Calibri" w:hAnsi="Calibri" w:cs="Calibri"/>
          <w:noProof/>
          <w:szCs w:val="24"/>
        </w:rPr>
        <w:tab/>
        <w:t>Boserup, E. (1965). The Conditions of Agricultural Growth: The Economics of Agrarian Change under Population Pressure (Allen &amp; Unwin).</w:t>
      </w:r>
    </w:p>
    <w:p w14:paraId="74C481FA"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65.</w:t>
      </w:r>
      <w:r w:rsidRPr="00E273DD">
        <w:rPr>
          <w:rFonts w:ascii="Calibri" w:hAnsi="Calibri" w:cs="Calibri"/>
          <w:noProof/>
          <w:szCs w:val="24"/>
        </w:rPr>
        <w:tab/>
        <w:t xml:space="preserve">Levers, C., Schneider, M., Prishchepov, A. V., Estel, S., and Kuemmerle, T. (2018). Spatial variation in determinants of agricultural land abandonment in Europe. Sci. Total Environ. </w:t>
      </w:r>
      <w:r w:rsidRPr="00E273DD">
        <w:rPr>
          <w:rFonts w:ascii="Calibri" w:hAnsi="Calibri" w:cs="Calibri"/>
          <w:i/>
          <w:iCs/>
          <w:noProof/>
          <w:szCs w:val="24"/>
        </w:rPr>
        <w:t>644</w:t>
      </w:r>
      <w:r w:rsidRPr="00E273DD">
        <w:rPr>
          <w:rFonts w:ascii="Calibri" w:hAnsi="Calibri" w:cs="Calibri"/>
          <w:noProof/>
          <w:szCs w:val="24"/>
        </w:rPr>
        <w:t>, 95–111.</w:t>
      </w:r>
    </w:p>
    <w:p w14:paraId="31BB4F61"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66.</w:t>
      </w:r>
      <w:r w:rsidRPr="00E273DD">
        <w:rPr>
          <w:rFonts w:ascii="Calibri" w:hAnsi="Calibri" w:cs="Calibri"/>
          <w:noProof/>
          <w:szCs w:val="24"/>
        </w:rPr>
        <w:tab/>
        <w:t xml:space="preserve">van Asselen, S., and Verburg, P.H. (2012). A Land System representation for global assessments and land-use modeling. Glob. Chang. Biol. </w:t>
      </w:r>
      <w:r w:rsidRPr="00E273DD">
        <w:rPr>
          <w:rFonts w:ascii="Calibri" w:hAnsi="Calibri" w:cs="Calibri"/>
          <w:i/>
          <w:iCs/>
          <w:noProof/>
          <w:szCs w:val="24"/>
        </w:rPr>
        <w:t>18</w:t>
      </w:r>
      <w:r w:rsidRPr="00E273DD">
        <w:rPr>
          <w:rFonts w:ascii="Calibri" w:hAnsi="Calibri" w:cs="Calibri"/>
          <w:noProof/>
          <w:szCs w:val="24"/>
        </w:rPr>
        <w:t>, 3125–3148.</w:t>
      </w:r>
    </w:p>
    <w:p w14:paraId="79E103F1"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67.</w:t>
      </w:r>
      <w:r w:rsidRPr="00E273DD">
        <w:rPr>
          <w:rFonts w:ascii="Calibri" w:hAnsi="Calibri" w:cs="Calibri"/>
          <w:noProof/>
          <w:szCs w:val="24"/>
        </w:rPr>
        <w:tab/>
        <w:t xml:space="preserve">Sandel, B., and Svenning, J.C. (2013). Human impacts drive a global topographic signature in tree cover. Nat. Commun. </w:t>
      </w:r>
      <w:r w:rsidRPr="00E273DD">
        <w:rPr>
          <w:rFonts w:ascii="Calibri" w:hAnsi="Calibri" w:cs="Calibri"/>
          <w:i/>
          <w:iCs/>
          <w:noProof/>
          <w:szCs w:val="24"/>
        </w:rPr>
        <w:t>4</w:t>
      </w:r>
      <w:r w:rsidRPr="00E273DD">
        <w:rPr>
          <w:rFonts w:ascii="Calibri" w:hAnsi="Calibri" w:cs="Calibri"/>
          <w:noProof/>
          <w:szCs w:val="24"/>
        </w:rPr>
        <w:t>, 1–7.</w:t>
      </w:r>
    </w:p>
    <w:p w14:paraId="48612E3C"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68.</w:t>
      </w:r>
      <w:r w:rsidRPr="00E273DD">
        <w:rPr>
          <w:rFonts w:ascii="Calibri" w:hAnsi="Calibri" w:cs="Calibri"/>
          <w:noProof/>
          <w:szCs w:val="24"/>
        </w:rPr>
        <w:tab/>
        <w:t>FAO-AQUASTAT (2016). Food Agric. Organ. United Nations (FAO). AQUASTAT Database. http://www.fao.org/nr/water/aquastat/data/query/index.html?lang=en.</w:t>
      </w:r>
    </w:p>
    <w:p w14:paraId="53378D09"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69.</w:t>
      </w:r>
      <w:r w:rsidRPr="00E273DD">
        <w:rPr>
          <w:rFonts w:ascii="Calibri" w:hAnsi="Calibri" w:cs="Calibri"/>
          <w:noProof/>
          <w:szCs w:val="24"/>
        </w:rPr>
        <w:tab/>
        <w:t>Bingham, H.C., Deguignet, M., Lewis, E., Stewart, J., Juffe-Bignoli, D., MacSharry, B., Milam, A., and Kingston, N. (2019). User Manual for the World Database on Protected Areas and world database on other effective area-based conservation measures: 1.6.</w:t>
      </w:r>
    </w:p>
    <w:p w14:paraId="152A78ED"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70.</w:t>
      </w:r>
      <w:r w:rsidRPr="00E273DD">
        <w:rPr>
          <w:rFonts w:ascii="Calibri" w:hAnsi="Calibri" w:cs="Calibri"/>
          <w:noProof/>
          <w:szCs w:val="24"/>
        </w:rPr>
        <w:tab/>
        <w:t xml:space="preserve">Dalal, D.K., and Zickar, M.J. (2012). Some Common Myths About Centering Predictor Variables in Moderated Multiple Regression and Polynomial Regression. Organ. Res. Methods </w:t>
      </w:r>
      <w:r w:rsidRPr="00E273DD">
        <w:rPr>
          <w:rFonts w:ascii="Calibri" w:hAnsi="Calibri" w:cs="Calibri"/>
          <w:i/>
          <w:iCs/>
          <w:noProof/>
          <w:szCs w:val="24"/>
        </w:rPr>
        <w:t>15</w:t>
      </w:r>
      <w:r w:rsidRPr="00E273DD">
        <w:rPr>
          <w:rFonts w:ascii="Calibri" w:hAnsi="Calibri" w:cs="Calibri"/>
          <w:noProof/>
          <w:szCs w:val="24"/>
        </w:rPr>
        <w:t>, 339–362.</w:t>
      </w:r>
    </w:p>
    <w:p w14:paraId="196DC9BB"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71.</w:t>
      </w:r>
      <w:r w:rsidRPr="00E273DD">
        <w:rPr>
          <w:rFonts w:ascii="Calibri" w:hAnsi="Calibri" w:cs="Calibri"/>
          <w:noProof/>
          <w:szCs w:val="24"/>
        </w:rPr>
        <w:tab/>
        <w:t xml:space="preserve">Eigenbrod, F., Anderson, B.J., Armsworth, P.R., Heinemeyer, A., Jackson, S.F., Parnell, M., Thomas, C.D., and Gaston, K.J. (2009). Ecosystem service benefits of contrasting conservation strategies in a human-dominated region. Proc. R. Soc. B Biol. Sci. </w:t>
      </w:r>
      <w:r w:rsidRPr="00E273DD">
        <w:rPr>
          <w:rFonts w:ascii="Calibri" w:hAnsi="Calibri" w:cs="Calibri"/>
          <w:i/>
          <w:iCs/>
          <w:noProof/>
          <w:szCs w:val="24"/>
        </w:rPr>
        <w:t>276</w:t>
      </w:r>
      <w:r w:rsidRPr="00E273DD">
        <w:rPr>
          <w:rFonts w:ascii="Calibri" w:hAnsi="Calibri" w:cs="Calibri"/>
          <w:noProof/>
          <w:szCs w:val="24"/>
        </w:rPr>
        <w:t>, 2903–2911.</w:t>
      </w:r>
    </w:p>
    <w:p w14:paraId="23E0D62A"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72.</w:t>
      </w:r>
      <w:r w:rsidRPr="00E273DD">
        <w:rPr>
          <w:rFonts w:ascii="Calibri" w:hAnsi="Calibri" w:cs="Calibri"/>
          <w:noProof/>
          <w:szCs w:val="24"/>
        </w:rPr>
        <w:tab/>
        <w:t xml:space="preserve">Václavík, T., Lautenbach, S., Kuemmerle, T., and Seppelt, R. (2013). Mapping global land system archetypes. Glob. Environ. Chang. </w:t>
      </w:r>
      <w:r w:rsidRPr="00E273DD">
        <w:rPr>
          <w:rFonts w:ascii="Calibri" w:hAnsi="Calibri" w:cs="Calibri"/>
          <w:i/>
          <w:iCs/>
          <w:noProof/>
          <w:szCs w:val="24"/>
        </w:rPr>
        <w:t>23</w:t>
      </w:r>
      <w:r w:rsidRPr="00E273DD">
        <w:rPr>
          <w:rFonts w:ascii="Calibri" w:hAnsi="Calibri" w:cs="Calibri"/>
          <w:noProof/>
          <w:szCs w:val="24"/>
        </w:rPr>
        <w:t>, 1637–1647.</w:t>
      </w:r>
    </w:p>
    <w:p w14:paraId="0384CAD3"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73.</w:t>
      </w:r>
      <w:r w:rsidRPr="00E273DD">
        <w:rPr>
          <w:rFonts w:ascii="Calibri" w:hAnsi="Calibri" w:cs="Calibri"/>
          <w:noProof/>
          <w:szCs w:val="24"/>
        </w:rPr>
        <w:tab/>
        <w:t xml:space="preserve">Varma, V., and Bebber, D.P. (2019). Climate change impacts on banana yields around the world. Nat. Clim. Chang. </w:t>
      </w:r>
      <w:r w:rsidRPr="00E273DD">
        <w:rPr>
          <w:rFonts w:ascii="Calibri" w:hAnsi="Calibri" w:cs="Calibri"/>
          <w:i/>
          <w:iCs/>
          <w:noProof/>
          <w:szCs w:val="24"/>
        </w:rPr>
        <w:t>9</w:t>
      </w:r>
      <w:r w:rsidRPr="00E273DD">
        <w:rPr>
          <w:rFonts w:ascii="Calibri" w:hAnsi="Calibri" w:cs="Calibri"/>
          <w:noProof/>
          <w:szCs w:val="24"/>
        </w:rPr>
        <w:t>, 752–757.</w:t>
      </w:r>
    </w:p>
    <w:p w14:paraId="1865B1A8"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szCs w:val="24"/>
        </w:rPr>
      </w:pPr>
      <w:r w:rsidRPr="00E273DD">
        <w:rPr>
          <w:rFonts w:ascii="Calibri" w:hAnsi="Calibri" w:cs="Calibri"/>
          <w:noProof/>
          <w:szCs w:val="24"/>
        </w:rPr>
        <w:t>74.</w:t>
      </w:r>
      <w:r w:rsidRPr="00E273DD">
        <w:rPr>
          <w:rFonts w:ascii="Calibri" w:hAnsi="Calibri" w:cs="Calibri"/>
          <w:noProof/>
          <w:szCs w:val="24"/>
        </w:rPr>
        <w:tab/>
        <w:t xml:space="preserve">Freckleton, R.P. (2002). On the misuse of residuals in ecology: regression of residuals vs. multiple regression. J. Anim. Ecol. </w:t>
      </w:r>
      <w:r w:rsidRPr="00E273DD">
        <w:rPr>
          <w:rFonts w:ascii="Calibri" w:hAnsi="Calibri" w:cs="Calibri"/>
          <w:i/>
          <w:iCs/>
          <w:noProof/>
          <w:szCs w:val="24"/>
        </w:rPr>
        <w:t>71</w:t>
      </w:r>
      <w:r w:rsidRPr="00E273DD">
        <w:rPr>
          <w:rFonts w:ascii="Calibri" w:hAnsi="Calibri" w:cs="Calibri"/>
          <w:noProof/>
          <w:szCs w:val="24"/>
        </w:rPr>
        <w:t>, 542–545.</w:t>
      </w:r>
    </w:p>
    <w:p w14:paraId="105D4BEE" w14:textId="77777777" w:rsidR="00E273DD" w:rsidRPr="00E273DD" w:rsidRDefault="00E273DD" w:rsidP="00E273DD">
      <w:pPr>
        <w:widowControl w:val="0"/>
        <w:autoSpaceDE w:val="0"/>
        <w:autoSpaceDN w:val="0"/>
        <w:adjustRightInd w:val="0"/>
        <w:spacing w:line="240" w:lineRule="auto"/>
        <w:ind w:left="640" w:hanging="640"/>
        <w:rPr>
          <w:rFonts w:ascii="Calibri" w:hAnsi="Calibri" w:cs="Calibri"/>
          <w:noProof/>
        </w:rPr>
      </w:pPr>
      <w:r w:rsidRPr="00E273DD">
        <w:rPr>
          <w:rFonts w:ascii="Calibri" w:hAnsi="Calibri" w:cs="Calibri"/>
          <w:noProof/>
          <w:szCs w:val="24"/>
        </w:rPr>
        <w:t>75.</w:t>
      </w:r>
      <w:r w:rsidRPr="00E273DD">
        <w:rPr>
          <w:rFonts w:ascii="Calibri" w:hAnsi="Calibri" w:cs="Calibri"/>
          <w:noProof/>
          <w:szCs w:val="24"/>
        </w:rPr>
        <w:tab/>
        <w:t>R Core Team (2019). R: A language and environment for statistical computing.</w:t>
      </w:r>
    </w:p>
    <w:p w14:paraId="372D09D1" w14:textId="7B1211F3" w:rsidR="006006DF" w:rsidRDefault="00C03B20" w:rsidP="00C03B20">
      <w:pPr>
        <w:widowControl w:val="0"/>
        <w:spacing w:line="240" w:lineRule="auto"/>
        <w:rPr>
          <w:rFonts w:cs="Calibri"/>
          <w:szCs w:val="24"/>
        </w:rPr>
      </w:pPr>
      <w:r w:rsidRPr="00D72360">
        <w:rPr>
          <w:rFonts w:cs="Calibri"/>
          <w:szCs w:val="24"/>
        </w:rPr>
        <w:lastRenderedPageBreak/>
        <w:fldChar w:fldCharType="end"/>
      </w:r>
      <w:bookmarkEnd w:id="142"/>
      <w:bookmarkEnd w:id="143"/>
      <w:bookmarkEnd w:id="144"/>
    </w:p>
    <w:p w14:paraId="1D7D6999" w14:textId="77777777" w:rsidR="00492BF9" w:rsidRPr="00492BF9" w:rsidRDefault="00492BF9" w:rsidP="00492BF9">
      <w:pPr>
        <w:rPr>
          <w:i/>
          <w:iCs/>
        </w:rPr>
      </w:pPr>
      <w:r w:rsidRPr="00492BF9">
        <w:rPr>
          <w:b/>
          <w:bCs/>
        </w:rPr>
        <w:t xml:space="preserve">Fig 1: </w:t>
      </w:r>
      <w:r>
        <w:rPr>
          <w:b/>
          <w:bCs/>
        </w:rPr>
        <w:t>Explanatory power of s</w:t>
      </w:r>
      <w:r w:rsidRPr="00492BF9">
        <w:rPr>
          <w:b/>
          <w:bCs/>
        </w:rPr>
        <w:t xml:space="preserve">tandard theories </w:t>
      </w:r>
      <w:r>
        <w:rPr>
          <w:b/>
          <w:bCs/>
        </w:rPr>
        <w:t xml:space="preserve">for </w:t>
      </w:r>
      <w:r w:rsidRPr="00492BF9">
        <w:rPr>
          <w:b/>
          <w:bCs/>
        </w:rPr>
        <w:t xml:space="preserve">extent </w:t>
      </w:r>
      <w:r>
        <w:rPr>
          <w:b/>
          <w:bCs/>
        </w:rPr>
        <w:t xml:space="preserve">and </w:t>
      </w:r>
      <w:r w:rsidRPr="00492BF9">
        <w:rPr>
          <w:b/>
          <w:bCs/>
        </w:rPr>
        <w:t>expansion</w:t>
      </w:r>
      <w:r>
        <w:rPr>
          <w:i/>
          <w:iCs/>
        </w:rPr>
        <w:t>.</w:t>
      </w:r>
      <w:r w:rsidRPr="00D72360">
        <w:rPr>
          <w:i/>
          <w:iCs/>
        </w:rPr>
        <w:t xml:space="preserve"> </w:t>
      </w:r>
      <w:r w:rsidRPr="00D72360">
        <w:t>Comparison of the explanatory power of global datasets aligned with classical theories of cropland expansion (Table 1) for the global extent of cropland (1992) and recent expansion of cropland (2015) (Model 1; Experimental Procedures</w:t>
      </w:r>
      <w:r w:rsidRPr="00D72360">
        <w:rPr>
          <w:b/>
          <w:bCs/>
        </w:rPr>
        <w:t>).</w:t>
      </w:r>
      <w:r w:rsidRPr="00D72360">
        <w:rPr>
          <w:bCs/>
        </w:rPr>
        <w:t xml:space="preserve"> Average coefficients for all predictor variables in Model 1 and McFadden pseudo-R2 (± SD) of 10,000 balanced samples (each with 500 cropland and 500 non-cropland pixels) for three different binary thresholds (0.5%, 10% and 50%) of minimum levels of cropland per 5’ x 5’ pixel are shown (Experimental Procedures). Interactions between predictors are shown using “:”; e.g. Population density </w:t>
      </w:r>
      <w:proofErr w:type="gramStart"/>
      <w:r w:rsidRPr="00D72360">
        <w:rPr>
          <w:bCs/>
        </w:rPr>
        <w:t>1990:GDP</w:t>
      </w:r>
      <w:proofErr w:type="gramEnd"/>
      <w:r w:rsidRPr="00D72360">
        <w:rPr>
          <w:bCs/>
        </w:rPr>
        <w:t>.</w:t>
      </w:r>
    </w:p>
    <w:p w14:paraId="7B29F7E6" w14:textId="77777777" w:rsidR="001056C6" w:rsidRPr="00D72360" w:rsidRDefault="001056C6" w:rsidP="001056C6">
      <w:pPr>
        <w:spacing w:after="0" w:line="240" w:lineRule="auto"/>
        <w:rPr>
          <w:bCs/>
        </w:rPr>
      </w:pPr>
      <w:r w:rsidRPr="00D72360">
        <w:rPr>
          <w:b/>
          <w:bCs/>
        </w:rPr>
        <w:t xml:space="preserve">Fig 2 – </w:t>
      </w:r>
      <w:bookmarkStart w:id="145" w:name="_Hlk36041768"/>
      <w:bookmarkStart w:id="146" w:name="_Hlk37860390"/>
      <w:r>
        <w:rPr>
          <w:b/>
          <w:bCs/>
        </w:rPr>
        <w:t xml:space="preserve">Global overlaps of expansion and </w:t>
      </w:r>
      <w:proofErr w:type="spellStart"/>
      <w:r>
        <w:rPr>
          <w:b/>
          <w:bCs/>
        </w:rPr>
        <w:t>frontierness</w:t>
      </w:r>
      <w:proofErr w:type="spellEnd"/>
      <w:r>
        <w:rPr>
          <w:b/>
          <w:bCs/>
        </w:rPr>
        <w:t xml:space="preserve">. </w:t>
      </w:r>
      <w:r w:rsidRPr="00D72360">
        <w:t>The</w:t>
      </w:r>
      <w:r w:rsidRPr="00D72360">
        <w:rPr>
          <w:b/>
          <w:bCs/>
        </w:rPr>
        <w:t xml:space="preserve"> </w:t>
      </w:r>
      <w:r w:rsidRPr="00D72360">
        <w:rPr>
          <w:bCs/>
        </w:rPr>
        <w:t xml:space="preserve">overlap of recent cropland expansion (1992-2015) and high </w:t>
      </w:r>
      <w:proofErr w:type="spellStart"/>
      <w:r w:rsidRPr="00D72360">
        <w:rPr>
          <w:bCs/>
        </w:rPr>
        <w:t>frontierness</w:t>
      </w:r>
      <w:proofErr w:type="spellEnd"/>
      <w:r w:rsidRPr="00D72360">
        <w:rPr>
          <w:bCs/>
        </w:rPr>
        <w:t xml:space="preserve"> (&gt; 1 positive deviations) from global 1992 Null Models of cropland extent at the 0.5% (top panel) and 10% (bottom panel) threshold of minimum levels of cropland per 5’ x 5’ pixel (Experimental Procedures). Results using both thresholds are shown to highlight differences in the distribution of expansion frontiers and how these overlap with the &gt; 1 SD positive deviations. Global results are shown; close-ups from key cropland expansion frontiers (boxes) are shown in Fig 3. Results for the 50% expansion threshold are not shown here as they are too rare to visualize at the global scale. See Fig S2 in the SI for global distributions of extent and expansion of cropland at the &gt;0.5%, &gt;10% and &gt;50% binary expansion thresholds.</w:t>
      </w:r>
      <w:bookmarkEnd w:id="145"/>
    </w:p>
    <w:bookmarkEnd w:id="146"/>
    <w:p w14:paraId="14182606" w14:textId="77777777" w:rsidR="001056C6" w:rsidRPr="001056C6" w:rsidRDefault="001056C6" w:rsidP="001056C6">
      <w:pPr>
        <w:spacing w:after="0" w:line="240" w:lineRule="auto"/>
        <w:rPr>
          <w:b/>
        </w:rPr>
      </w:pPr>
      <w:r w:rsidRPr="00D72360">
        <w:rPr>
          <w:b/>
        </w:rPr>
        <w:t xml:space="preserve">                                                                                                        </w:t>
      </w:r>
      <w:bookmarkStart w:id="147" w:name="_Hlk36041974"/>
    </w:p>
    <w:p w14:paraId="6DCDE36F" w14:textId="7D776435" w:rsidR="00492BF9" w:rsidRDefault="001056C6" w:rsidP="001056C6">
      <w:pPr>
        <w:rPr>
          <w:b/>
        </w:rPr>
      </w:pPr>
      <w:r w:rsidRPr="00D72360">
        <w:rPr>
          <w:b/>
          <w:bCs/>
        </w:rPr>
        <w:t xml:space="preserve">Fig 3 – </w:t>
      </w:r>
      <w:r>
        <w:rPr>
          <w:b/>
          <w:bCs/>
        </w:rPr>
        <w:t xml:space="preserve">Overlaps of expansion and </w:t>
      </w:r>
      <w:proofErr w:type="spellStart"/>
      <w:r>
        <w:rPr>
          <w:b/>
          <w:bCs/>
        </w:rPr>
        <w:t>frontierness</w:t>
      </w:r>
      <w:proofErr w:type="spellEnd"/>
      <w:r>
        <w:rPr>
          <w:b/>
          <w:bCs/>
        </w:rPr>
        <w:t xml:space="preserve"> for key expansion frontiers. </w:t>
      </w:r>
      <w:r w:rsidRPr="00D72360">
        <w:t>The</w:t>
      </w:r>
      <w:r w:rsidRPr="00D72360">
        <w:rPr>
          <w:b/>
          <w:bCs/>
        </w:rPr>
        <w:t xml:space="preserve"> </w:t>
      </w:r>
      <w:r w:rsidRPr="00D72360">
        <w:rPr>
          <w:bCs/>
        </w:rPr>
        <w:t>overlap of recent cropland expansion (1992-2015) and large (&gt; 1 SD) positive deviations from global 1992 Null Models of cropland extent at the 0.5% (top panel) and 10% (bottom panel) threshold (Experimental Procedures) for key cropland expansion frontiers. The letters correspond to the locations of the regions on the global map (Fig 2).</w:t>
      </w:r>
      <w:bookmarkEnd w:id="147"/>
      <w:r w:rsidRPr="00D72360">
        <w:rPr>
          <w:bCs/>
        </w:rPr>
        <w:t xml:space="preserve">  </w:t>
      </w:r>
    </w:p>
    <w:p w14:paraId="6324D235" w14:textId="793127B9" w:rsidR="00216C8A" w:rsidRPr="00D72360" w:rsidRDefault="00216C8A" w:rsidP="00216C8A">
      <w:r w:rsidRPr="00D72360">
        <w:rPr>
          <w:b/>
        </w:rPr>
        <w:t>Table 1:  Independent global predictor variables and their theoretical justification for cropland expansion.</w:t>
      </w:r>
      <w:r w:rsidRPr="00D72360">
        <w:t xml:space="preserve"> These predictor variables were used to explain cropland extent in 1992 and expansion between 1992-2015 (Model 1</w:t>
      </w:r>
      <w:proofErr w:type="gramStart"/>
      <w:r w:rsidRPr="00D72360">
        <w:t>), and</w:t>
      </w:r>
      <w:proofErr w:type="gramEnd"/>
      <w:r w:rsidRPr="00D72360">
        <w:t xml:space="preserve"> construct the Null Model of current cropland extent. The * represents interaction terms between variables. Full details of the justification for these variables are in the Experimental Procedures. </w:t>
      </w:r>
    </w:p>
    <w:tbl>
      <w:tblPr>
        <w:tblStyle w:val="TableGrid"/>
        <w:tblW w:w="9016" w:type="dxa"/>
        <w:tblCellMar>
          <w:left w:w="113" w:type="dxa"/>
        </w:tblCellMar>
        <w:tblLook w:val="04A0" w:firstRow="1" w:lastRow="0" w:firstColumn="1" w:lastColumn="0" w:noHBand="0" w:noVBand="1"/>
      </w:tblPr>
      <w:tblGrid>
        <w:gridCol w:w="4536"/>
        <w:gridCol w:w="4480"/>
      </w:tblGrid>
      <w:tr w:rsidR="00216C8A" w:rsidRPr="00D72360" w14:paraId="5482698C" w14:textId="77777777" w:rsidTr="00492BF9">
        <w:tc>
          <w:tcPr>
            <w:tcW w:w="4535" w:type="dxa"/>
            <w:tcBorders>
              <w:left w:val="nil"/>
              <w:right w:val="nil"/>
            </w:tcBorders>
            <w:shd w:val="clear" w:color="auto" w:fill="auto"/>
          </w:tcPr>
          <w:p w14:paraId="16A1382A" w14:textId="77777777" w:rsidR="00216C8A" w:rsidRPr="00D72360" w:rsidRDefault="00216C8A" w:rsidP="00492BF9">
            <w:pPr>
              <w:spacing w:after="120" w:line="240" w:lineRule="auto"/>
              <w:rPr>
                <w:b/>
              </w:rPr>
            </w:pPr>
            <w:r w:rsidRPr="00D72360">
              <w:rPr>
                <w:b/>
              </w:rPr>
              <w:t>Variable</w:t>
            </w:r>
          </w:p>
        </w:tc>
        <w:tc>
          <w:tcPr>
            <w:tcW w:w="4480" w:type="dxa"/>
            <w:tcBorders>
              <w:left w:val="nil"/>
              <w:right w:val="nil"/>
            </w:tcBorders>
            <w:shd w:val="clear" w:color="auto" w:fill="auto"/>
          </w:tcPr>
          <w:p w14:paraId="41F44EDE" w14:textId="77777777" w:rsidR="00216C8A" w:rsidRPr="00D72360" w:rsidRDefault="00216C8A" w:rsidP="00492BF9">
            <w:pPr>
              <w:spacing w:after="120" w:line="240" w:lineRule="auto"/>
              <w:rPr>
                <w:b/>
              </w:rPr>
            </w:pPr>
            <w:r w:rsidRPr="00D72360">
              <w:rPr>
                <w:b/>
              </w:rPr>
              <w:t>Theoretical justification</w:t>
            </w:r>
          </w:p>
        </w:tc>
      </w:tr>
      <w:tr w:rsidR="00216C8A" w:rsidRPr="00D72360" w14:paraId="653C6C70" w14:textId="77777777" w:rsidTr="00492BF9">
        <w:tc>
          <w:tcPr>
            <w:tcW w:w="4535" w:type="dxa"/>
            <w:tcBorders>
              <w:left w:val="nil"/>
              <w:bottom w:val="nil"/>
              <w:right w:val="nil"/>
            </w:tcBorders>
            <w:shd w:val="clear" w:color="auto" w:fill="auto"/>
          </w:tcPr>
          <w:p w14:paraId="2A1803F7" w14:textId="257C98AB" w:rsidR="00216C8A" w:rsidRPr="00D72360" w:rsidRDefault="00216C8A" w:rsidP="00492BF9">
            <w:pPr>
              <w:spacing w:after="120" w:line="240" w:lineRule="auto"/>
            </w:pPr>
            <w:r w:rsidRPr="00D72360">
              <w:t>Bioclimatic suitability</w:t>
            </w:r>
            <w:r w:rsidRPr="00D72360">
              <w:fldChar w:fldCharType="begin" w:fldLock="1"/>
            </w:r>
            <w:r w:rsidR="00E273DD">
              <w:instrText>ADDIN CSL_CITATION {"citationItems":[{"id":"ITEM-1","itemData":{"abstract":"Note that the citation is for the data. The report has since been updated, but the citation should stay the same: http://www.fao.org/nr/land/soils/harmonized-world-soil-database/global-terrain-slope-and-aspect-data/en/","author":[{"dropping-particle":"","family":"Fischer","given":"G.","non-dropping-particle":"","parse-names":false,"suffix":""},{"dropping-particle":"","family":"Nachtergaele","given":"F.","non-dropping-particle":"","parse-names":false,"suffix":""},{"dropping-particle":"","family":"Prieler","given":"S.","non-dropping-particle":"","parse-names":false,"suffix":""},{"dropping-particle":"van","family":"Velthuizen","given":"H.T.","non-dropping-particle":"","parse-names":false,"suffix":""},{"dropping-particle":"","family":"Verelst","given":"L.","non-dropping-particle":"","parse-names":false,"suffix":""},{"dropping-particle":"","family":"Wiberg","given":"D.","non-dropping-particle":"","parse-names":false,"suffix":""}],"container-title":"Food and Agriculture Organization of the United Nations","id":"ITEM-1","issued":{"date-parts":[["2008"]]},"page":"179","title":"Global Agro-ecological Zones :Model documentation","type":"article-journal"},"uris":["http://www.mendeley.com/documents/?uuid=2fde4743-0ab3-47d9-9af7-988cfacb9738"]}],"mendeley":{"formattedCitation":"&lt;sup&gt;58&lt;/sup&gt;","plainTextFormattedCitation":"58","previouslyFormattedCitation":"&lt;sup&gt;58&lt;/sup&gt;"},"properties":{"noteIndex":0},"schema":"https://github.com/citation-style-language/schema/raw/master/csl-citation.json"}</w:instrText>
            </w:r>
            <w:r w:rsidRPr="00D72360">
              <w:fldChar w:fldCharType="separate"/>
            </w:r>
            <w:r w:rsidR="00A9492F" w:rsidRPr="00A9492F">
              <w:rPr>
                <w:noProof/>
                <w:vertAlign w:val="superscript"/>
              </w:rPr>
              <w:t>58</w:t>
            </w:r>
            <w:r w:rsidRPr="00D72360">
              <w:fldChar w:fldCharType="end"/>
            </w:r>
          </w:p>
        </w:tc>
        <w:tc>
          <w:tcPr>
            <w:tcW w:w="4480" w:type="dxa"/>
            <w:tcBorders>
              <w:left w:val="nil"/>
              <w:bottom w:val="nil"/>
              <w:right w:val="nil"/>
            </w:tcBorders>
            <w:shd w:val="clear" w:color="auto" w:fill="auto"/>
          </w:tcPr>
          <w:p w14:paraId="765CE7FB" w14:textId="01C91BBC" w:rsidR="00216C8A" w:rsidRPr="00D72360" w:rsidRDefault="00216C8A" w:rsidP="00492BF9">
            <w:pPr>
              <w:spacing w:after="120" w:line="240" w:lineRule="auto"/>
            </w:pPr>
            <w:r w:rsidRPr="00D72360">
              <w:t xml:space="preserve">Ricardian land rent theory </w:t>
            </w:r>
            <w:r w:rsidRPr="00D72360">
              <w:fldChar w:fldCharType="begin" w:fldLock="1"/>
            </w:r>
            <w:r w:rsidR="00E273DD">
              <w:instrText>ADDIN CSL_CITATION {"citationItems":[{"id":"ITEM-1","itemData":{"author":[{"dropping-particle":"","family":"Ricardo","given":"David","non-dropping-particle":"","parse-names":false,"suffix":""}],"id":"ITEM-1","issued":{"date-parts":[["1817"]]},"publisher":"John Murray","publisher-place":"London","title":"The Principles of Political Economy and Taxation","type":"book"},"uris":["http://www.mendeley.com/documents/?uuid=d7613671-c179-48e2-ba42-9df8633f5c6b"]}],"mendeley":{"formattedCitation":"&lt;sup&gt;61&lt;/sup&gt;","plainTextFormattedCitation":"61","previouslyFormattedCitation":"&lt;sup&gt;61&lt;/sup&gt;"},"properties":{"noteIndex":0},"schema":"https://github.com/citation-style-language/schema/raw/master/csl-citation.json"}</w:instrText>
            </w:r>
            <w:r w:rsidRPr="00D72360">
              <w:fldChar w:fldCharType="separate"/>
            </w:r>
            <w:bookmarkStart w:id="148" w:name="__Fieldmark__5040_3027855847"/>
            <w:r w:rsidR="00A9492F" w:rsidRPr="00A9492F">
              <w:rPr>
                <w:noProof/>
                <w:vertAlign w:val="superscript"/>
              </w:rPr>
              <w:t>61</w:t>
            </w:r>
            <w:r w:rsidRPr="00D72360">
              <w:fldChar w:fldCharType="end"/>
            </w:r>
            <w:bookmarkEnd w:id="148"/>
          </w:p>
        </w:tc>
      </w:tr>
      <w:tr w:rsidR="00216C8A" w:rsidRPr="00D72360" w14:paraId="36DE35AF" w14:textId="77777777" w:rsidTr="00492BF9">
        <w:tc>
          <w:tcPr>
            <w:tcW w:w="4535" w:type="dxa"/>
            <w:tcBorders>
              <w:top w:val="nil"/>
              <w:left w:val="nil"/>
              <w:bottom w:val="nil"/>
              <w:right w:val="nil"/>
            </w:tcBorders>
            <w:shd w:val="clear" w:color="auto" w:fill="auto"/>
          </w:tcPr>
          <w:p w14:paraId="5A18E006" w14:textId="14A4FE3B" w:rsidR="00216C8A" w:rsidRPr="00D72360" w:rsidRDefault="00216C8A" w:rsidP="00492BF9">
            <w:pPr>
              <w:spacing w:after="120" w:line="240" w:lineRule="auto"/>
            </w:pPr>
            <w:r w:rsidRPr="00D72360">
              <w:t>Steepness</w:t>
            </w:r>
            <w:r w:rsidRPr="00D72360">
              <w:fldChar w:fldCharType="begin" w:fldLock="1"/>
            </w:r>
            <w:r w:rsidR="00E273DD">
              <w:instrText>ADDIN CSL_CITATION {"citationItems":[{"id":"ITEM-1","itemData":{"abstract":"Note that the citation is for the data. The report has since been updated, but the citation should stay the same: http://www.fao.org/nr/land/soils/harmonized-world-soil-database/global-terrain-slope-and-aspect-data/en/","author":[{"dropping-particle":"","family":"Fischer","given":"G.","non-dropping-particle":"","parse-names":false,"suffix":""},{"dropping-particle":"","family":"Nachtergaele","given":"F.","non-dropping-particle":"","parse-names":false,"suffix":""},{"dropping-particle":"","family":"Prieler","given":"S.","non-dropping-particle":"","parse-names":false,"suffix":""},{"dropping-particle":"van","family":"Velthuizen","given":"H.T.","non-dropping-particle":"","parse-names":false,"suffix":""},{"dropping-particle":"","family":"Verelst","given":"L.","non-dropping-particle":"","parse-names":false,"suffix":""},{"dropping-particle":"","family":"Wiberg","given":"D.","non-dropping-particle":"","parse-names":false,"suffix":""}],"container-title":"Food and Agriculture Organization of the United Nations","id":"ITEM-1","issued":{"date-parts":[["2008"]]},"page":"179","title":"Global Agro-ecological Zones :Model documentation","type":"article-journal"},"uris":["http://www.mendeley.com/documents/?uuid=2fde4743-0ab3-47d9-9af7-988cfacb9738"]}],"mendeley":{"formattedCitation":"&lt;sup&gt;58&lt;/sup&gt;","plainTextFormattedCitation":"58","previouslyFormattedCitation":"&lt;sup&gt;58&lt;/sup&gt;"},"properties":{"noteIndex":0},"schema":"https://github.com/citation-style-language/schema/raw/master/csl-citation.json"}</w:instrText>
            </w:r>
            <w:r w:rsidRPr="00D72360">
              <w:fldChar w:fldCharType="separate"/>
            </w:r>
            <w:r w:rsidR="00A9492F" w:rsidRPr="00A9492F">
              <w:rPr>
                <w:noProof/>
                <w:vertAlign w:val="superscript"/>
              </w:rPr>
              <w:t>58</w:t>
            </w:r>
            <w:r w:rsidRPr="00D72360">
              <w:fldChar w:fldCharType="end"/>
            </w:r>
          </w:p>
        </w:tc>
        <w:tc>
          <w:tcPr>
            <w:tcW w:w="4480" w:type="dxa"/>
            <w:tcBorders>
              <w:top w:val="nil"/>
              <w:left w:val="nil"/>
              <w:bottom w:val="nil"/>
              <w:right w:val="nil"/>
            </w:tcBorders>
            <w:shd w:val="clear" w:color="auto" w:fill="auto"/>
          </w:tcPr>
          <w:p w14:paraId="07573022" w14:textId="44646A08" w:rsidR="00216C8A" w:rsidRPr="00D72360" w:rsidRDefault="00216C8A" w:rsidP="00492BF9">
            <w:pPr>
              <w:spacing w:after="120" w:line="240" w:lineRule="auto"/>
            </w:pPr>
            <w:r w:rsidRPr="00D72360">
              <w:t xml:space="preserve">Ricardian land rent theory </w:t>
            </w:r>
            <w:r w:rsidRPr="00D72360">
              <w:fldChar w:fldCharType="begin" w:fldLock="1"/>
            </w:r>
            <w:r w:rsidR="00E273DD">
              <w:instrText>ADDIN CSL_CITATION {"citationItems":[{"id":"ITEM-1","itemData":{"author":[{"dropping-particle":"","family":"Ricardo","given":"David","non-dropping-particle":"","parse-names":false,"suffix":""}],"id":"ITEM-1","issued":{"date-parts":[["1817"]]},"publisher":"John Murray","publisher-place":"London","title":"The Principles of Political Economy and Taxation","type":"book"},"uris":["http://www.mendeley.com/documents/?uuid=d7613671-c179-48e2-ba42-9df8633f5c6b"]}],"mendeley":{"formattedCitation":"&lt;sup&gt;61&lt;/sup&gt;","plainTextFormattedCitation":"61","previouslyFormattedCitation":"&lt;sup&gt;61&lt;/sup&gt;"},"properties":{"noteIndex":0},"schema":"https://github.com/citation-style-language/schema/raw/master/csl-citation.json"}</w:instrText>
            </w:r>
            <w:r w:rsidRPr="00D72360">
              <w:fldChar w:fldCharType="separate"/>
            </w:r>
            <w:bookmarkStart w:id="149" w:name="__Fieldmark__5048_3027855847"/>
            <w:r w:rsidR="00A9492F" w:rsidRPr="00A9492F">
              <w:rPr>
                <w:noProof/>
                <w:vertAlign w:val="superscript"/>
              </w:rPr>
              <w:t>61</w:t>
            </w:r>
            <w:r w:rsidRPr="00D72360">
              <w:fldChar w:fldCharType="end"/>
            </w:r>
            <w:bookmarkEnd w:id="149"/>
          </w:p>
        </w:tc>
      </w:tr>
      <w:tr w:rsidR="00216C8A" w:rsidRPr="00D72360" w14:paraId="388C561D" w14:textId="77777777" w:rsidTr="00492BF9">
        <w:tc>
          <w:tcPr>
            <w:tcW w:w="4535" w:type="dxa"/>
            <w:tcBorders>
              <w:top w:val="nil"/>
              <w:left w:val="nil"/>
              <w:bottom w:val="nil"/>
              <w:right w:val="nil"/>
            </w:tcBorders>
            <w:shd w:val="clear" w:color="auto" w:fill="auto"/>
          </w:tcPr>
          <w:p w14:paraId="05BE504C" w14:textId="41B437D5" w:rsidR="00216C8A" w:rsidRPr="00D72360" w:rsidRDefault="00216C8A" w:rsidP="00492BF9">
            <w:pPr>
              <w:spacing w:after="120" w:line="240" w:lineRule="auto"/>
            </w:pPr>
            <w:r w:rsidRPr="00D72360">
              <w:t>Access (distance to markets)</w:t>
            </w:r>
            <w:r w:rsidRPr="00D72360">
              <w:fldChar w:fldCharType="begin" w:fldLock="1"/>
            </w:r>
            <w:r w:rsidR="00D24611">
              <w:instrText>ADDIN CSL_CITATION {"citationItems":[{"id":"ITEM-1","itemData":{"DOI":"10.1088/1748-9326/6/3/034019","ISBN":"1748-9326","ISSN":"1748-9326","abstract":"Markets influence the global patterns of urbanization, deforestation, agriculture and other land use systems. Yet market influence is rarely incorporated into spatially explicit global studies of environmental change, largely because consistent global data are lacking below the national level. Here we present the first high spatial resolution gridded data depicting market influence globally. The data jointly represent variations in both market strength and accessibility based on three market influence indices derived from an index of accessibility to market locations and national level gross domestic product (purchasing power parity). These indices show strong correspondence with human population density while also revealing several distinct and useful relationships with other global environmental patterns. As market influence grows, the need for high resolution global data on market influence and its dynamics will become increasingly important to understanding and forecasting global environmental change.","author":[{"dropping-particle":"","family":"Verburg","given":"Peter H.","non-dropping-particle":"","parse-names":false,"suffix":""},{"dropping-particle":"","family":"Ellis","given":"Erle C.","non-dropping-particle":"","parse-names":false,"suffix":""},{"dropping-particle":"","family":"Letourneau","given":"Aurelien","non-dropping-particle":"","parse-names":false,"suffix":""}],"container-title":"Environmental Research Letters","id":"ITEM-1","issue":"3","issued":{"date-parts":[["2011","7","1"]]},"page":"034019","title":"A global assessment of market accessibility and market influence for global environmental change studies","type":"article-journal","volume":"6"},"uris":["http://www.mendeley.com/documents/?uuid=8badd825-def1-472f-8657-d00c16f39f47"]}],"mendeley":{"formattedCitation":"&lt;sup&gt;52&lt;/sup&gt;","plainTextFormattedCitation":"52","previouslyFormattedCitation":"&lt;sup&gt;52&lt;/sup&gt;"},"properties":{"noteIndex":0},"schema":"https://github.com/citation-style-language/schema/raw/master/csl-citation.json"}</w:instrText>
            </w:r>
            <w:r w:rsidRPr="00D72360">
              <w:fldChar w:fldCharType="separate"/>
            </w:r>
            <w:r w:rsidR="00D24611" w:rsidRPr="00D24611">
              <w:rPr>
                <w:noProof/>
                <w:vertAlign w:val="superscript"/>
              </w:rPr>
              <w:t>52</w:t>
            </w:r>
            <w:r w:rsidRPr="00D72360">
              <w:fldChar w:fldCharType="end"/>
            </w:r>
            <w:r w:rsidRPr="00D72360">
              <w:t xml:space="preserve"> </w:t>
            </w:r>
          </w:p>
        </w:tc>
        <w:tc>
          <w:tcPr>
            <w:tcW w:w="4480" w:type="dxa"/>
            <w:tcBorders>
              <w:top w:val="nil"/>
              <w:left w:val="nil"/>
              <w:bottom w:val="nil"/>
              <w:right w:val="nil"/>
            </w:tcBorders>
            <w:shd w:val="clear" w:color="auto" w:fill="auto"/>
          </w:tcPr>
          <w:p w14:paraId="711B1F4A" w14:textId="1F3662AE" w:rsidR="00216C8A" w:rsidRPr="00D72360" w:rsidRDefault="00216C8A" w:rsidP="00492BF9">
            <w:pPr>
              <w:spacing w:after="120" w:line="240" w:lineRule="auto"/>
            </w:pPr>
            <w:r w:rsidRPr="00D72360">
              <w:t xml:space="preserve">von </w:t>
            </w:r>
            <w:proofErr w:type="spellStart"/>
            <w:r w:rsidRPr="00D72360">
              <w:t>Thünen’s</w:t>
            </w:r>
            <w:proofErr w:type="spellEnd"/>
            <w:r w:rsidRPr="00D72360">
              <w:t xml:space="preserve"> location theory </w:t>
            </w:r>
            <w:r w:rsidRPr="00D72360">
              <w:fldChar w:fldCharType="begin" w:fldLock="1"/>
            </w:r>
            <w:r w:rsidR="00E273DD">
              <w:instrText>ADDIN CSL_CITATION {"citationItems":[{"id":"ITEM-1","itemData":{"author":[{"dropping-particle":"","family":"Thunen","given":"JH","non-dropping-particle":"von","parse-names":false,"suffix":""}],"id":"ITEM-1","issued":{"date-parts":[["1966"]]},"publisher":"Pergamon","publisher-place":"New York","title":"The Isolated State","type":"book"},"uris":["http://www.mendeley.com/documents/?uuid=35dbe835-5d99-4832-b15c-4f83bf03595f"]}],"mendeley":{"formattedCitation":"&lt;sup&gt;62&lt;/sup&gt;","plainTextFormattedCitation":"62","previouslyFormattedCitation":"&lt;sup&gt;62&lt;/sup&gt;"},"properties":{"noteIndex":0},"schema":"https://github.com/citation-style-language/schema/raw/master/csl-citation.json"}</w:instrText>
            </w:r>
            <w:r w:rsidRPr="00D72360">
              <w:fldChar w:fldCharType="separate"/>
            </w:r>
            <w:bookmarkStart w:id="150" w:name="__Fieldmark__5057_3027855847"/>
            <w:r w:rsidR="00A9492F" w:rsidRPr="00A9492F">
              <w:rPr>
                <w:noProof/>
                <w:vertAlign w:val="superscript"/>
              </w:rPr>
              <w:t>62</w:t>
            </w:r>
            <w:r w:rsidRPr="00D72360">
              <w:fldChar w:fldCharType="end"/>
            </w:r>
            <w:bookmarkEnd w:id="150"/>
          </w:p>
        </w:tc>
      </w:tr>
      <w:tr w:rsidR="00216C8A" w:rsidRPr="00D72360" w14:paraId="0D2E6738" w14:textId="77777777" w:rsidTr="00492BF9">
        <w:tc>
          <w:tcPr>
            <w:tcW w:w="4535" w:type="dxa"/>
            <w:tcBorders>
              <w:top w:val="nil"/>
              <w:left w:val="nil"/>
              <w:bottom w:val="nil"/>
              <w:right w:val="nil"/>
            </w:tcBorders>
            <w:shd w:val="clear" w:color="auto" w:fill="auto"/>
          </w:tcPr>
          <w:p w14:paraId="7AD076AA" w14:textId="77777777" w:rsidR="00216C8A" w:rsidRPr="00D72360" w:rsidRDefault="00216C8A" w:rsidP="00492BF9">
            <w:pPr>
              <w:spacing w:after="120" w:line="240" w:lineRule="auto"/>
            </w:pPr>
            <w:r w:rsidRPr="00D72360">
              <w:t>Bioclimatic suitability * Access OR Steepness * Access</w:t>
            </w:r>
          </w:p>
        </w:tc>
        <w:tc>
          <w:tcPr>
            <w:tcW w:w="4480" w:type="dxa"/>
            <w:tcBorders>
              <w:top w:val="nil"/>
              <w:left w:val="nil"/>
              <w:bottom w:val="nil"/>
              <w:right w:val="nil"/>
            </w:tcBorders>
            <w:shd w:val="clear" w:color="auto" w:fill="auto"/>
          </w:tcPr>
          <w:p w14:paraId="2A6559AF" w14:textId="77777777" w:rsidR="00216C8A" w:rsidRPr="00D72360" w:rsidRDefault="00216C8A" w:rsidP="00492BF9">
            <w:pPr>
              <w:spacing w:after="120" w:line="240" w:lineRule="auto"/>
            </w:pPr>
            <w:r w:rsidRPr="00D72360">
              <w:t>Interactions between land rent theory and location theory (i.e. steep land is more valuable near markets)</w:t>
            </w:r>
          </w:p>
        </w:tc>
      </w:tr>
      <w:tr w:rsidR="00216C8A" w:rsidRPr="00D72360" w14:paraId="2C41126D" w14:textId="77777777" w:rsidTr="00492BF9">
        <w:tc>
          <w:tcPr>
            <w:tcW w:w="4535" w:type="dxa"/>
            <w:tcBorders>
              <w:top w:val="nil"/>
              <w:left w:val="nil"/>
              <w:bottom w:val="nil"/>
              <w:right w:val="nil"/>
            </w:tcBorders>
            <w:shd w:val="clear" w:color="auto" w:fill="auto"/>
          </w:tcPr>
          <w:p w14:paraId="483A7E40" w14:textId="1B553B73" w:rsidR="00216C8A" w:rsidRPr="00D72360" w:rsidRDefault="00216C8A" w:rsidP="00492BF9">
            <w:pPr>
              <w:spacing w:after="120" w:line="240" w:lineRule="auto"/>
            </w:pPr>
            <w:r w:rsidRPr="00D72360">
              <w:t>Population Density (1990)</w:t>
            </w:r>
            <w:r w:rsidRPr="00D72360">
              <w:fldChar w:fldCharType="begin" w:fldLock="1"/>
            </w:r>
            <w:r w:rsidR="00E273DD">
              <w:instrText>ADDIN CSL_CITATION {"citationItems":[{"id":"ITEM-1","itemData":{"DOI":"http://dx.doi.org/10.7927/H4ST7MRB","id":"ITEM-1","issued":{"date-parts":[["2005"]]},"publisher":"NASA Socioeconomic Data and Applications Center (SEDAC)","title":"Gridded Population of the World, Version 3 (GPWv3): Population Density Grid, Future Estimates","type":"article"},"uris":["http://www.mendeley.com/documents/?uuid=571fe342-3ec5-4f58-965e-189ccef2048f"]}],"mendeley":{"formattedCitation":"&lt;sup&gt;59&lt;/sup&gt;","plainTextFormattedCitation":"59","previouslyFormattedCitation":"&lt;sup&gt;59&lt;/sup&gt;"},"properties":{"noteIndex":0},"schema":"https://github.com/citation-style-language/schema/raw/master/csl-citation.json"}</w:instrText>
            </w:r>
            <w:r w:rsidRPr="00D72360">
              <w:fldChar w:fldCharType="separate"/>
            </w:r>
            <w:r w:rsidR="00A9492F" w:rsidRPr="00A9492F">
              <w:rPr>
                <w:noProof/>
                <w:vertAlign w:val="superscript"/>
              </w:rPr>
              <w:t>59</w:t>
            </w:r>
            <w:r w:rsidRPr="00D72360">
              <w:fldChar w:fldCharType="end"/>
            </w:r>
          </w:p>
        </w:tc>
        <w:tc>
          <w:tcPr>
            <w:tcW w:w="4480" w:type="dxa"/>
            <w:tcBorders>
              <w:top w:val="nil"/>
              <w:left w:val="nil"/>
              <w:bottom w:val="nil"/>
              <w:right w:val="nil"/>
            </w:tcBorders>
            <w:shd w:val="clear" w:color="auto" w:fill="auto"/>
          </w:tcPr>
          <w:p w14:paraId="070A2BDB" w14:textId="08266181" w:rsidR="00216C8A" w:rsidRPr="00D72360" w:rsidRDefault="00216C8A" w:rsidP="00492BF9">
            <w:pPr>
              <w:spacing w:after="120" w:line="240" w:lineRule="auto"/>
            </w:pPr>
            <w:r w:rsidRPr="00D72360">
              <w:t xml:space="preserve">Induced intensification </w:t>
            </w:r>
            <w:r w:rsidRPr="00D72360">
              <w:fldChar w:fldCharType="begin" w:fldLock="1"/>
            </w:r>
            <w:r w:rsidR="00D24611">
              <w:instrText>ADDIN CSL_CITATION {"citationItems":[{"id":"ITEM-1","itemData":{"author":[{"dropping-particle":"","family":"Boserup","given":"Esther","non-dropping-particle":"","parse-names":false,"suffix":""}],"id":"ITEM-1","issued":{"date-parts":[["1965"]]},"publisher":"Allen &amp; Unwin","publisher-place":"London","title":"The Conditions of Agricultural Growth: The Economics of Agrarian Change under Population Pressure","type":"book"},"uris":["http://www.mendeley.com/documents/?uuid=9bc8aafa-44ff-4690-9537-4ca997bf7687"]}],"mendeley":{"formattedCitation":"&lt;sup&gt;64&lt;/sup&gt;","plainTextFormattedCitation":"64","previouslyFormattedCitation":"&lt;sup&gt;64&lt;/sup&gt;"},"properties":{"noteIndex":0},"schema":"https://github.com/citation-style-language/schema/raw/master/csl-citation.json"}</w:instrText>
            </w:r>
            <w:r w:rsidRPr="00D72360">
              <w:fldChar w:fldCharType="separate"/>
            </w:r>
            <w:bookmarkStart w:id="151" w:name="__Fieldmark__5074_3027855847"/>
            <w:r w:rsidR="00D24611" w:rsidRPr="00D24611">
              <w:rPr>
                <w:noProof/>
                <w:vertAlign w:val="superscript"/>
              </w:rPr>
              <w:t>64</w:t>
            </w:r>
            <w:r w:rsidRPr="00D72360">
              <w:fldChar w:fldCharType="end"/>
            </w:r>
            <w:bookmarkEnd w:id="151"/>
          </w:p>
        </w:tc>
      </w:tr>
      <w:tr w:rsidR="00216C8A" w:rsidRPr="00D72360" w14:paraId="2FF75821" w14:textId="77777777" w:rsidTr="00492BF9">
        <w:tc>
          <w:tcPr>
            <w:tcW w:w="4535" w:type="dxa"/>
            <w:tcBorders>
              <w:top w:val="nil"/>
              <w:left w:val="nil"/>
              <w:bottom w:val="nil"/>
              <w:right w:val="nil"/>
            </w:tcBorders>
            <w:shd w:val="clear" w:color="auto" w:fill="auto"/>
          </w:tcPr>
          <w:p w14:paraId="576CBD55" w14:textId="4F943301" w:rsidR="00216C8A" w:rsidRPr="00D72360" w:rsidRDefault="00216C8A" w:rsidP="00492BF9">
            <w:pPr>
              <w:spacing w:after="120" w:line="240" w:lineRule="auto"/>
            </w:pPr>
            <w:r w:rsidRPr="00D72360">
              <w:t>GDP (1992)</w:t>
            </w:r>
            <w:r w:rsidRPr="00D72360">
              <w:fldChar w:fldCharType="begin" w:fldLock="1"/>
            </w:r>
            <w:r w:rsidR="00E273DD">
              <w:instrText>ADDIN CSL_CITATION {"citationItems":[{"id":"ITEM-1","itemData":{"DOI":"10.1038/sdata.2018.4","ISSN":"20524463","abstract":"Gridded global datasets for Gross Domestic Product and Human Development Index over 1990–2015","author":[{"dropping-particle":"","family":"Kummu","given":"Matti","non-dropping-particle":"","parse-names":false,"suffix":""},{"dropping-particle":"","family":"Taka","given":"Maija","non-dropping-particle":"","parse-names":false,"suffix":""},{"dropping-particle":"","family":"Guillaume","given":"Joseph H.A.","non-dropping-particle":"","parse-names":false,"suffix":""}],"container-title":"Scientific Data","id":"ITEM-1","issued":{"date-parts":[["2018"]]},"page":"1-15","title":"Gridded global datasets for Gross Domestic Product and Human Development Index over 1990-2015","type":"article-journal","volume":"5"},"uris":["http://www.mendeley.com/documents/?uuid=4e31057d-1c07-47db-9015-ef8a79be6c88"]}],"mendeley":{"formattedCitation":"&lt;sup&gt;60&lt;/sup&gt;","plainTextFormattedCitation":"60","previouslyFormattedCitation":"&lt;sup&gt;60&lt;/sup&gt;"},"properties":{"noteIndex":0},"schema":"https://github.com/citation-style-language/schema/raw/master/csl-citation.json"}</w:instrText>
            </w:r>
            <w:r w:rsidRPr="00D72360">
              <w:fldChar w:fldCharType="separate"/>
            </w:r>
            <w:r w:rsidR="00A9492F" w:rsidRPr="00A9492F">
              <w:rPr>
                <w:noProof/>
                <w:vertAlign w:val="superscript"/>
              </w:rPr>
              <w:t>60</w:t>
            </w:r>
            <w:r w:rsidRPr="00D72360">
              <w:fldChar w:fldCharType="end"/>
            </w:r>
          </w:p>
        </w:tc>
        <w:tc>
          <w:tcPr>
            <w:tcW w:w="4480" w:type="dxa"/>
            <w:tcBorders>
              <w:top w:val="nil"/>
              <w:left w:val="nil"/>
              <w:bottom w:val="nil"/>
              <w:right w:val="nil"/>
            </w:tcBorders>
            <w:shd w:val="clear" w:color="auto" w:fill="auto"/>
          </w:tcPr>
          <w:p w14:paraId="01A848A3" w14:textId="77777777" w:rsidR="00216C8A" w:rsidRPr="00D72360" w:rsidRDefault="00216C8A" w:rsidP="00492BF9">
            <w:pPr>
              <w:spacing w:after="120" w:line="240" w:lineRule="auto"/>
            </w:pPr>
            <w:r w:rsidRPr="00D72360">
              <w:t xml:space="preserve">Market demands for agriculture </w:t>
            </w:r>
            <w:r w:rsidRPr="00D72360">
              <w:fldChar w:fldCharType="begin" w:fldLock="1"/>
            </w:r>
            <w:r w:rsidRPr="00D72360">
              <w:instrText>ADDIN CSL_CITATION {"citationItems":[{"id":"ITEM-1","itemData":{"DOI":"10.1016/j.gloenvcha.2018.08.006","ISBN":"0959-3780","ISSN":"09593780","abstract":"Changes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Change","id":"ITEM-1","issue":"March","issued":{"date-parts":[["2018"]]},"page":"52-67","publisher":"Elsevier Ltd","title":"Middle-range theories of land system change","type":"article-journal","volume":"53"},"uris":["http://www.mendeley.com/documents/?uuid=fad42dec-a48c-4bba-b8ed-3518b8a70e4b"]}],"mendeley":{"formattedCitation":"&lt;sup&gt;20&lt;/sup&gt;","plainTextFormattedCitation":"20","previouslyFormattedCitation":"&lt;sup&gt;20&lt;/sup&gt;"},"properties":{"noteIndex":0},"schema":"https://github.com/citation-style-language/schema/raw/master/csl-citation.json"}</w:instrText>
            </w:r>
            <w:r w:rsidRPr="00D72360">
              <w:fldChar w:fldCharType="separate"/>
            </w:r>
            <w:bookmarkStart w:id="152" w:name="__Fieldmark__5083_3027855847"/>
            <w:r w:rsidRPr="00D72360">
              <w:rPr>
                <w:noProof/>
                <w:vertAlign w:val="superscript"/>
              </w:rPr>
              <w:t>20</w:t>
            </w:r>
            <w:r w:rsidRPr="00D72360">
              <w:fldChar w:fldCharType="end"/>
            </w:r>
            <w:bookmarkEnd w:id="152"/>
          </w:p>
        </w:tc>
      </w:tr>
      <w:tr w:rsidR="00216C8A" w:rsidRPr="00D72360" w14:paraId="55D0B503" w14:textId="77777777" w:rsidTr="00492BF9">
        <w:tc>
          <w:tcPr>
            <w:tcW w:w="4535" w:type="dxa"/>
            <w:tcBorders>
              <w:top w:val="nil"/>
              <w:left w:val="nil"/>
              <w:bottom w:val="nil"/>
              <w:right w:val="nil"/>
            </w:tcBorders>
            <w:shd w:val="clear" w:color="auto" w:fill="auto"/>
          </w:tcPr>
          <w:p w14:paraId="3EFCA555" w14:textId="77777777" w:rsidR="00216C8A" w:rsidRPr="00D72360" w:rsidRDefault="00216C8A" w:rsidP="00492BF9">
            <w:pPr>
              <w:spacing w:after="120" w:line="240" w:lineRule="auto"/>
            </w:pPr>
            <w:r w:rsidRPr="00D72360">
              <w:t>Population Density * bioclimatic suitability OR Steepness OR Access OR GDP</w:t>
            </w:r>
          </w:p>
        </w:tc>
        <w:tc>
          <w:tcPr>
            <w:tcW w:w="4480" w:type="dxa"/>
            <w:tcBorders>
              <w:top w:val="nil"/>
              <w:left w:val="nil"/>
              <w:bottom w:val="nil"/>
              <w:right w:val="nil"/>
            </w:tcBorders>
            <w:shd w:val="clear" w:color="auto" w:fill="auto"/>
          </w:tcPr>
          <w:p w14:paraId="7D5F8DD2" w14:textId="77777777" w:rsidR="00216C8A" w:rsidRPr="00D72360" w:rsidRDefault="00216C8A" w:rsidP="00492BF9">
            <w:pPr>
              <w:spacing w:after="120" w:line="240" w:lineRule="auto"/>
            </w:pPr>
            <w:r w:rsidRPr="00D72360">
              <w:t>Interactions between induced intensification, land rent theory and between induced intensification and location theory or market vs subsistence demands for agriculture</w:t>
            </w:r>
          </w:p>
        </w:tc>
      </w:tr>
      <w:tr w:rsidR="00216C8A" w:rsidRPr="00D72360" w14:paraId="3854B060" w14:textId="77777777" w:rsidTr="00492BF9">
        <w:tc>
          <w:tcPr>
            <w:tcW w:w="4535" w:type="dxa"/>
            <w:tcBorders>
              <w:top w:val="nil"/>
              <w:left w:val="nil"/>
              <w:right w:val="nil"/>
            </w:tcBorders>
            <w:shd w:val="clear" w:color="auto" w:fill="auto"/>
          </w:tcPr>
          <w:p w14:paraId="42BD1A84" w14:textId="77777777" w:rsidR="00216C8A" w:rsidRPr="00D72360" w:rsidRDefault="00216C8A" w:rsidP="00492BF9">
            <w:pPr>
              <w:spacing w:after="120" w:line="240" w:lineRule="auto"/>
            </w:pPr>
            <w:r w:rsidRPr="00D72360">
              <w:t>GDP * Access OR Steepness OR Biophysical constraints</w:t>
            </w:r>
          </w:p>
        </w:tc>
        <w:tc>
          <w:tcPr>
            <w:tcW w:w="4480" w:type="dxa"/>
            <w:tcBorders>
              <w:top w:val="nil"/>
              <w:left w:val="nil"/>
              <w:right w:val="nil"/>
            </w:tcBorders>
            <w:shd w:val="clear" w:color="auto" w:fill="auto"/>
          </w:tcPr>
          <w:p w14:paraId="6BAF1F67" w14:textId="77777777" w:rsidR="00216C8A" w:rsidRPr="00D72360" w:rsidRDefault="00216C8A" w:rsidP="00492BF9">
            <w:pPr>
              <w:spacing w:after="120" w:line="240" w:lineRule="auto"/>
            </w:pPr>
            <w:r w:rsidRPr="00D72360">
              <w:t xml:space="preserve">Interactions between subsistence and market demands on agriculture </w:t>
            </w:r>
            <w:r w:rsidRPr="00D72360">
              <w:fldChar w:fldCharType="begin" w:fldLock="1"/>
            </w:r>
            <w:r w:rsidRPr="00D72360">
              <w:instrText>ADDIN CSL_CITATION {"citationItems":[{"id":"ITEM-1","itemData":{"DOI":"10.1016/j.gloenvcha.2018.08.006","ISBN":"0959-3780","ISSN":"09593780","abstract":"Changes in land systems generate many sustainability challenges. Identifying more sustainable land-use alternatives requires solid theoretical foundations on the causes of land-use/cover changes. Land system science is a maturing field that has produced a wealth of methodological innovations and empirical observations on land-cover and land-use change, from patterns and processes to causes. We take stock of this knowledge by reviewing and synthesizing the theories that explain the causal mechanisms of land-use change, including systemic linkages between distant land-use changes, with a focus on agriculture and forestry processes. We first review theories explaining changes in land-use extent, such as agricultural expansion, deforestation, frontier development, and land abandonment, and changes in land-use intensity, such as agricultural intensification and disintensification. We then synthesize theories of higher-level land system change processes, focusing on: (i) land-use spillovers, including land sparing and rebound effects with intensification, leakage, indirect land-use change, and land-use displacement, and (ii) land-use transitions, defined as structural non-linear changes in land systems, including forest transitions. Theories focusing on the causes of land system changes span theoretically and epistemologically disparate knowledge domains and build from deductive, abductive, and inductive approaches. A grand, integrated theory of land system change remains elusive. Yet, we show that middle-range theories – defined here as contextual generalizations that describe chains of causal mechanisms explaining a well-bounded range of phenomena, as well as the conditions that trigger, enable, or prevent these causal chains –, provide a path towards generalized knowledge of land systems. This knowledge can support progress towards sustainable social-ecological systems.","author":[{"dropping-particle":"","family":"Meyfroidt","given":"P.","non-dropping-particle":"","parse-names":false,"suffix":""},{"dropping-particle":"","family":"Roy Chowdhury","given":"R.","non-dropping-particle":"","parse-names":false,"suffix":""},{"dropping-particle":"","family":"Bremond","given":"A.","non-dropping-particle":"de","parse-names":false,"suffix":""},{"dropping-particle":"","family":"Ellis","given":"E. C.","non-dropping-particle":"","parse-names":false,"suffix":""},{"dropping-particle":"","family":"Erb","given":"K. H.","non-dropping-particle":"","parse-names":false,"suffix":""},{"dropping-particle":"","family":"Filatova","given":"T.","non-dropping-particle":"","parse-names":false,"suffix":""},{"dropping-particle":"","family":"Garrett","given":"R. D.","non-dropping-particle":"","parse-names":false,"suffix":""},{"dropping-particle":"","family":"Grove","given":"J. M.","non-dropping-particle":"","parse-names":false,"suffix":""},{"dropping-particle":"","family":"Heinimann","given":"A.","non-dropping-particle":"","parse-names":false,"suffix":""},{"dropping-particle":"","family":"Kuemmerle","given":"T.","non-dropping-particle":"","parse-names":false,"suffix":""},{"dropping-particle":"","family":"Kull","given":"C. A.","non-dropping-particle":"","parse-names":false,"suffix":""},{"dropping-particle":"","family":"Lambin","given":"E. F.","non-dropping-particle":"","parse-names":false,"suffix":""},{"dropping-particle":"","family":"Landon","given":"Y.","non-dropping-particle":"","parse-names":false,"suffix":""},{"dropping-particle":"","family":"Polain de Waroux","given":"Y.","non-dropping-particle":"le","parse-names":false,"suffix":""},{"dropping-particle":"","family":"Messerli","given":"P.","non-dropping-particle":"","parse-names":false,"suffix":""},{"dropping-particle":"","family":"Müller","given":"D.","non-dropping-particle":"","parse-names":false,"suffix":""},{"dropping-particle":"","family":"Nielsen","given":"J.","non-dropping-particle":"","parse-names":false,"suffix":""},{"dropping-particle":"","family":"Peterson","given":"G. D.","non-dropping-particle":"","parse-names":false,"suffix":""},{"dropping-particle":"","family":"Rodriguez García","given":"V.","non-dropping-particle":"","parse-names":false,"suffix":""},{"dropping-particle":"","family":"Schlüter","given":"M.","non-dropping-particle":"","parse-names":false,"suffix":""},{"dropping-particle":"","family":"Turner","given":"B. L.","non-dropping-particle":"","parse-names":false,"suffix":""},{"dropping-particle":"","family":"Verburg","given":"P. H.","non-dropping-particle":"","parse-names":false,"suffix":""}],"container-title":"Global Environmental Change","id":"ITEM-1","issue":"March","issued":{"date-parts":[["2018"]]},"page":"52-67","publisher":"Elsevier Ltd","title":"Middle-range theories of land system change","type":"article-journal","volume":"53"},"uris":["http://www.mendeley.com/documents/?uuid=fad42dec-a48c-4bba-b8ed-3518b8a70e4b"]}],"mendeley":{"formattedCitation":"&lt;sup&gt;20&lt;/sup&gt;","plainTextFormattedCitation":"20","previouslyFormattedCitation":"&lt;sup&gt;20&lt;/sup&gt;"},"properties":{"noteIndex":0},"schema":"https://github.com/citation-style-language/schema/raw/master/csl-citation.json"}</w:instrText>
            </w:r>
            <w:r w:rsidRPr="00D72360">
              <w:fldChar w:fldCharType="separate"/>
            </w:r>
            <w:bookmarkStart w:id="153" w:name="__Fieldmark__5092_3027855847"/>
            <w:r w:rsidRPr="00D72360">
              <w:rPr>
                <w:noProof/>
                <w:vertAlign w:val="superscript"/>
              </w:rPr>
              <w:t>20</w:t>
            </w:r>
            <w:r w:rsidRPr="00D72360">
              <w:fldChar w:fldCharType="end"/>
            </w:r>
            <w:bookmarkEnd w:id="153"/>
          </w:p>
        </w:tc>
      </w:tr>
    </w:tbl>
    <w:p w14:paraId="23FF1364" w14:textId="77777777" w:rsidR="00216C8A" w:rsidRPr="00D72360" w:rsidRDefault="00216C8A" w:rsidP="00216C8A">
      <w:pPr>
        <w:spacing w:after="0" w:line="240" w:lineRule="auto"/>
        <w:rPr>
          <w:b/>
        </w:rPr>
      </w:pPr>
    </w:p>
    <w:p w14:paraId="62E1EB28" w14:textId="520F906B" w:rsidR="00216C8A" w:rsidRPr="00D72360" w:rsidRDefault="00216C8A" w:rsidP="00216C8A">
      <w:pPr>
        <w:spacing w:after="0" w:line="240" w:lineRule="auto"/>
      </w:pPr>
      <w:r w:rsidRPr="00D72360">
        <w:rPr>
          <w:b/>
          <w:bCs/>
        </w:rPr>
        <w:t xml:space="preserve">Table 2: Proportional overlap of expansion of cropland between 1992 and 2015 </w:t>
      </w:r>
      <w:bookmarkStart w:id="154" w:name="_Hlk37151167"/>
      <w:r w:rsidRPr="00D72360">
        <w:rPr>
          <w:b/>
          <w:bCs/>
        </w:rPr>
        <w:t>and deviations from the global ‘null’ model of cropland extent in 1992 (Experimental Procedures; Null Model).</w:t>
      </w:r>
      <w:r w:rsidRPr="00D72360">
        <w:rPr>
          <w:bCs/>
        </w:rPr>
        <w:t xml:space="preserve"> The predictor variables in the Null Model are the same as in Model 1 (Table 1), but the Null Model uses all data globally; Model 1 uses balanced samples of 500 presences and absences (Experimental Procedures).  ‘Positive Deviance’ and ‘Negative Deviance’ refer to 2 or 1 or more positive (or negative) standard deviations (2SD and 1SD) from the Null Model.   Ratios &gt; 1 indicate over-representation; ratios &lt; 1 indicate under-representation (more or less overlap of cropland and a given deviation threshold than would be expected if both are equally common across the land area they cover </w:t>
      </w:r>
      <w:r w:rsidRPr="00D72360">
        <w:fldChar w:fldCharType="begin" w:fldLock="1"/>
      </w:r>
      <w:r w:rsidR="00E273DD">
        <w:instrText>ADDIN CSL_CITATION {"citationItems":[{"id":"ITEM-1","itemData":{"DOI":"10.1098/rspb.2009.0528","ISSN":"0962-8452","author":[{"dropping-particle":"","family":"Eigenbrod","given":"Felix","non-dropping-particle":"","parse-names":false,"suffix":""},{"dropping-particle":"","family":"Anderson","given":"Barbara J","non-dropping-particle":"","parse-names":false,"suffix":""},{"dropping-particle":"","family":"Armsworth","given":"Paul R","non-dropping-particle":"","parse-names":false,"suffix":""},{"dropping-particle":"","family":"Heinemeyer","given":"Andreas","non-dropping-particle":"","parse-names":false,"suffix":""},{"dropping-particle":"","family":"Jackson","given":"Sarah F","non-dropping-particle":"","parse-names":false,"suffix":""},{"dropping-particle":"","family":"Parnell","given":"Mark","non-dropping-particle":"","parse-names":false,"suffix":""},{"dropping-particle":"","family":"Thomas","given":"Chris D","non-dropping-particle":"","parse-names":false,"suffix":""},{"dropping-particle":"","family":"Gaston","given":"Kevin J","non-dropping-particle":"","parse-names":false,"suffix":""}],"container-title":"Proceedings of the Royal Society B: Biological Sciences","id":"ITEM-1","issue":"1669","issued":{"date-parts":[["2009","8","22"]]},"page":"2903-2911","title":"Ecosystem service benefits of contrasting conservation strategies in a human-dominated region","type":"article-journal","volume":"276"},"uris":["http://www.mendeley.com/documents/?uuid=c14a17c6-bec8-45a9-8a05-a2cb3f3cf5ed"]}],"mendeley":{"formattedCitation":"&lt;sup&gt;71&lt;/sup&gt;","plainTextFormattedCitation":"71","previouslyFormattedCitation":"&lt;sup&gt;71&lt;/sup&gt;"},"properties":{"noteIndex":0},"schema":"https://github.com/citation-style-language/schema/raw/master/csl-citation.json"}</w:instrText>
      </w:r>
      <w:r w:rsidRPr="00D72360">
        <w:fldChar w:fldCharType="separate"/>
      </w:r>
      <w:bookmarkStart w:id="155" w:name="__Fieldmark__5220_3027855847"/>
      <w:r w:rsidR="00A9492F" w:rsidRPr="00A9492F">
        <w:rPr>
          <w:bCs/>
          <w:noProof/>
          <w:vertAlign w:val="superscript"/>
        </w:rPr>
        <w:t>71</w:t>
      </w:r>
      <w:r w:rsidRPr="00D72360">
        <w:fldChar w:fldCharType="end"/>
      </w:r>
      <w:bookmarkEnd w:id="155"/>
      <w:r w:rsidRPr="00D72360">
        <w:t>)</w:t>
      </w:r>
      <w:r w:rsidRPr="00D72360">
        <w:rPr>
          <w:bCs/>
        </w:rPr>
        <w:t>.</w:t>
      </w:r>
    </w:p>
    <w:bookmarkEnd w:id="154"/>
    <w:tbl>
      <w:tblPr>
        <w:tblW w:w="7088" w:type="dxa"/>
        <w:tblLook w:val="04A0" w:firstRow="1" w:lastRow="0" w:firstColumn="1" w:lastColumn="0" w:noHBand="0" w:noVBand="1"/>
      </w:tblPr>
      <w:tblGrid>
        <w:gridCol w:w="2553"/>
        <w:gridCol w:w="1417"/>
        <w:gridCol w:w="1418"/>
        <w:gridCol w:w="1700"/>
      </w:tblGrid>
      <w:tr w:rsidR="00216C8A" w:rsidRPr="00D72360" w14:paraId="67BEB3DD" w14:textId="77777777" w:rsidTr="00492BF9">
        <w:trPr>
          <w:trHeight w:val="290"/>
        </w:trPr>
        <w:tc>
          <w:tcPr>
            <w:tcW w:w="2552" w:type="dxa"/>
            <w:tcBorders>
              <w:top w:val="single" w:sz="4" w:space="0" w:color="auto"/>
            </w:tcBorders>
            <w:shd w:val="clear" w:color="auto" w:fill="auto"/>
            <w:vAlign w:val="bottom"/>
          </w:tcPr>
          <w:p w14:paraId="10074D07" w14:textId="77777777" w:rsidR="00216C8A" w:rsidRPr="00D72360" w:rsidRDefault="00216C8A" w:rsidP="00492BF9">
            <w:pPr>
              <w:spacing w:after="0" w:line="240" w:lineRule="auto"/>
              <w:jc w:val="center"/>
              <w:rPr>
                <w:rFonts w:ascii="Times New Roman" w:eastAsia="Times New Roman" w:hAnsi="Times New Roman" w:cs="Times New Roman"/>
                <w:sz w:val="24"/>
                <w:szCs w:val="24"/>
                <w:lang w:eastAsia="en-GB"/>
              </w:rPr>
            </w:pPr>
          </w:p>
        </w:tc>
        <w:tc>
          <w:tcPr>
            <w:tcW w:w="4535" w:type="dxa"/>
            <w:gridSpan w:val="3"/>
            <w:tcBorders>
              <w:top w:val="single" w:sz="4" w:space="0" w:color="auto"/>
            </w:tcBorders>
            <w:shd w:val="clear" w:color="auto" w:fill="auto"/>
            <w:vAlign w:val="bottom"/>
          </w:tcPr>
          <w:p w14:paraId="0322C3D0" w14:textId="77777777" w:rsidR="00216C8A" w:rsidRPr="00D72360" w:rsidRDefault="00216C8A" w:rsidP="00492BF9">
            <w:pPr>
              <w:spacing w:after="0" w:line="240" w:lineRule="auto"/>
              <w:jc w:val="center"/>
              <w:rPr>
                <w:rFonts w:ascii="Calibri" w:eastAsia="Times New Roman" w:hAnsi="Calibri" w:cs="Calibri"/>
                <w:b/>
                <w:color w:val="000000"/>
                <w:lang w:eastAsia="en-GB"/>
              </w:rPr>
            </w:pPr>
            <w:r w:rsidRPr="00D72360">
              <w:rPr>
                <w:rFonts w:eastAsia="Times New Roman" w:cs="Calibri"/>
                <w:b/>
                <w:color w:val="000000"/>
                <w:lang w:eastAsia="en-GB"/>
              </w:rPr>
              <w:t>Expansion of cropland 1992-2015</w:t>
            </w:r>
          </w:p>
        </w:tc>
      </w:tr>
      <w:tr w:rsidR="00216C8A" w:rsidRPr="00D72360" w14:paraId="7C546E39" w14:textId="77777777" w:rsidTr="00492BF9">
        <w:trPr>
          <w:trHeight w:val="290"/>
        </w:trPr>
        <w:tc>
          <w:tcPr>
            <w:tcW w:w="2552" w:type="dxa"/>
            <w:tcBorders>
              <w:bottom w:val="single" w:sz="4" w:space="0" w:color="000000"/>
            </w:tcBorders>
            <w:shd w:val="clear" w:color="auto" w:fill="auto"/>
            <w:vAlign w:val="bottom"/>
          </w:tcPr>
          <w:p w14:paraId="1A07130F" w14:textId="77777777" w:rsidR="00216C8A" w:rsidRPr="00D72360" w:rsidRDefault="00216C8A" w:rsidP="00492BF9">
            <w:pPr>
              <w:spacing w:after="0" w:line="240" w:lineRule="auto"/>
              <w:rPr>
                <w:rFonts w:ascii="Calibri" w:eastAsia="Times New Roman" w:hAnsi="Calibri" w:cs="Calibri"/>
                <w:color w:val="000000"/>
                <w:lang w:eastAsia="en-GB"/>
              </w:rPr>
            </w:pPr>
            <w:r w:rsidRPr="00D72360">
              <w:rPr>
                <w:rFonts w:eastAsia="Times New Roman" w:cs="Calibri"/>
                <w:color w:val="000000"/>
                <w:lang w:eastAsia="en-GB"/>
              </w:rPr>
              <w:t> </w:t>
            </w:r>
          </w:p>
        </w:tc>
        <w:tc>
          <w:tcPr>
            <w:tcW w:w="1417" w:type="dxa"/>
            <w:tcBorders>
              <w:bottom w:val="single" w:sz="4" w:space="0" w:color="000000"/>
            </w:tcBorders>
            <w:shd w:val="clear" w:color="auto" w:fill="auto"/>
            <w:vAlign w:val="bottom"/>
          </w:tcPr>
          <w:p w14:paraId="1C72F4E7" w14:textId="77777777" w:rsidR="00216C8A" w:rsidRPr="00D72360" w:rsidRDefault="00216C8A" w:rsidP="00492BF9">
            <w:pPr>
              <w:spacing w:after="0" w:line="240" w:lineRule="auto"/>
              <w:jc w:val="center"/>
              <w:rPr>
                <w:rFonts w:ascii="Calibri" w:eastAsia="Times New Roman" w:hAnsi="Calibri" w:cs="Calibri"/>
                <w:b/>
                <w:color w:val="000000"/>
                <w:lang w:eastAsia="en-GB"/>
              </w:rPr>
            </w:pPr>
            <w:r w:rsidRPr="00D72360">
              <w:rPr>
                <w:rFonts w:eastAsia="Times New Roman" w:cs="Calibri"/>
                <w:b/>
                <w:color w:val="000000"/>
                <w:lang w:eastAsia="en-GB"/>
              </w:rPr>
              <w:t>0.5% crop</w:t>
            </w:r>
          </w:p>
        </w:tc>
        <w:tc>
          <w:tcPr>
            <w:tcW w:w="1418" w:type="dxa"/>
            <w:tcBorders>
              <w:bottom w:val="single" w:sz="4" w:space="0" w:color="000000"/>
            </w:tcBorders>
            <w:shd w:val="clear" w:color="auto" w:fill="auto"/>
            <w:vAlign w:val="bottom"/>
          </w:tcPr>
          <w:p w14:paraId="0129FC37" w14:textId="77777777" w:rsidR="00216C8A" w:rsidRPr="00D72360" w:rsidRDefault="00216C8A" w:rsidP="00492BF9">
            <w:pPr>
              <w:spacing w:after="0" w:line="240" w:lineRule="auto"/>
              <w:jc w:val="center"/>
              <w:rPr>
                <w:rFonts w:ascii="Calibri" w:eastAsia="Times New Roman" w:hAnsi="Calibri" w:cs="Calibri"/>
                <w:b/>
                <w:color w:val="000000"/>
                <w:lang w:eastAsia="en-GB"/>
              </w:rPr>
            </w:pPr>
            <w:r w:rsidRPr="00D72360">
              <w:rPr>
                <w:rFonts w:eastAsia="Times New Roman" w:cs="Calibri"/>
                <w:b/>
                <w:color w:val="000000"/>
                <w:lang w:eastAsia="en-GB"/>
              </w:rPr>
              <w:t>10% crop</w:t>
            </w:r>
          </w:p>
        </w:tc>
        <w:tc>
          <w:tcPr>
            <w:tcW w:w="1700" w:type="dxa"/>
            <w:tcBorders>
              <w:bottom w:val="single" w:sz="4" w:space="0" w:color="000000"/>
            </w:tcBorders>
            <w:shd w:val="clear" w:color="auto" w:fill="auto"/>
            <w:vAlign w:val="bottom"/>
          </w:tcPr>
          <w:p w14:paraId="42BD8998" w14:textId="77777777" w:rsidR="00216C8A" w:rsidRPr="00D72360" w:rsidRDefault="00216C8A" w:rsidP="00492BF9">
            <w:pPr>
              <w:spacing w:after="0" w:line="240" w:lineRule="auto"/>
              <w:jc w:val="center"/>
              <w:rPr>
                <w:rFonts w:ascii="Calibri" w:eastAsia="Times New Roman" w:hAnsi="Calibri" w:cs="Calibri"/>
                <w:b/>
                <w:color w:val="000000"/>
                <w:lang w:eastAsia="en-GB"/>
              </w:rPr>
            </w:pPr>
            <w:r w:rsidRPr="00D72360">
              <w:rPr>
                <w:rFonts w:eastAsia="Times New Roman" w:cs="Calibri"/>
                <w:b/>
                <w:color w:val="000000"/>
                <w:lang w:eastAsia="en-GB"/>
              </w:rPr>
              <w:t>50% crop</w:t>
            </w:r>
          </w:p>
        </w:tc>
      </w:tr>
      <w:tr w:rsidR="00216C8A" w:rsidRPr="00D72360" w14:paraId="694EA926" w14:textId="77777777" w:rsidTr="00492BF9">
        <w:trPr>
          <w:trHeight w:val="290"/>
        </w:trPr>
        <w:tc>
          <w:tcPr>
            <w:tcW w:w="2552" w:type="dxa"/>
            <w:tcBorders>
              <w:top w:val="single" w:sz="4" w:space="0" w:color="000000"/>
            </w:tcBorders>
            <w:shd w:val="clear" w:color="auto" w:fill="auto"/>
            <w:vAlign w:val="bottom"/>
          </w:tcPr>
          <w:p w14:paraId="4E157C7D" w14:textId="77777777" w:rsidR="00216C8A" w:rsidRPr="00D72360" w:rsidRDefault="00216C8A" w:rsidP="00492BF9">
            <w:pPr>
              <w:spacing w:after="0" w:line="240" w:lineRule="auto"/>
              <w:rPr>
                <w:rFonts w:ascii="Calibri" w:eastAsia="Times New Roman" w:hAnsi="Calibri" w:cs="Calibri"/>
                <w:color w:val="000000"/>
                <w:lang w:eastAsia="en-GB"/>
              </w:rPr>
            </w:pPr>
            <w:r w:rsidRPr="00D72360">
              <w:rPr>
                <w:rFonts w:eastAsia="Times New Roman" w:cs="Calibri"/>
                <w:color w:val="000000"/>
                <w:lang w:eastAsia="en-GB"/>
              </w:rPr>
              <w:t>Positive Deviance 2SD</w:t>
            </w:r>
          </w:p>
        </w:tc>
        <w:tc>
          <w:tcPr>
            <w:tcW w:w="1417" w:type="dxa"/>
            <w:tcBorders>
              <w:top w:val="single" w:sz="4" w:space="0" w:color="000000"/>
            </w:tcBorders>
            <w:shd w:val="clear" w:color="auto" w:fill="auto"/>
            <w:vAlign w:val="bottom"/>
          </w:tcPr>
          <w:p w14:paraId="2955A3F3"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1.35</w:t>
            </w:r>
          </w:p>
        </w:tc>
        <w:tc>
          <w:tcPr>
            <w:tcW w:w="1418" w:type="dxa"/>
            <w:tcBorders>
              <w:top w:val="single" w:sz="4" w:space="0" w:color="000000"/>
            </w:tcBorders>
            <w:shd w:val="clear" w:color="auto" w:fill="auto"/>
            <w:vAlign w:val="bottom"/>
          </w:tcPr>
          <w:p w14:paraId="557F6144"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3.05</w:t>
            </w:r>
          </w:p>
        </w:tc>
        <w:tc>
          <w:tcPr>
            <w:tcW w:w="1700" w:type="dxa"/>
            <w:tcBorders>
              <w:top w:val="single" w:sz="4" w:space="0" w:color="000000"/>
            </w:tcBorders>
            <w:shd w:val="clear" w:color="auto" w:fill="auto"/>
            <w:vAlign w:val="bottom"/>
          </w:tcPr>
          <w:p w14:paraId="12C34C31"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0.03</w:t>
            </w:r>
          </w:p>
        </w:tc>
      </w:tr>
      <w:tr w:rsidR="00216C8A" w:rsidRPr="00D72360" w14:paraId="69437E65" w14:textId="77777777" w:rsidTr="00492BF9">
        <w:trPr>
          <w:trHeight w:val="290"/>
        </w:trPr>
        <w:tc>
          <w:tcPr>
            <w:tcW w:w="2552" w:type="dxa"/>
            <w:shd w:val="clear" w:color="auto" w:fill="auto"/>
            <w:vAlign w:val="bottom"/>
          </w:tcPr>
          <w:p w14:paraId="09BBFD3C" w14:textId="77777777" w:rsidR="00216C8A" w:rsidRPr="00D72360" w:rsidRDefault="00216C8A" w:rsidP="00492BF9">
            <w:pPr>
              <w:spacing w:after="0" w:line="240" w:lineRule="auto"/>
              <w:rPr>
                <w:rFonts w:ascii="Calibri" w:eastAsia="Times New Roman" w:hAnsi="Calibri" w:cs="Calibri"/>
                <w:color w:val="000000"/>
                <w:lang w:eastAsia="en-GB"/>
              </w:rPr>
            </w:pPr>
            <w:r w:rsidRPr="00D72360">
              <w:rPr>
                <w:rFonts w:eastAsia="Times New Roman" w:cs="Calibri"/>
                <w:color w:val="000000"/>
                <w:lang w:eastAsia="en-GB"/>
              </w:rPr>
              <w:t>Positive Deviance 1SD</w:t>
            </w:r>
          </w:p>
        </w:tc>
        <w:tc>
          <w:tcPr>
            <w:tcW w:w="1417" w:type="dxa"/>
            <w:shd w:val="clear" w:color="auto" w:fill="auto"/>
            <w:vAlign w:val="bottom"/>
          </w:tcPr>
          <w:p w14:paraId="0BEEA5E4"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1.53</w:t>
            </w:r>
          </w:p>
        </w:tc>
        <w:tc>
          <w:tcPr>
            <w:tcW w:w="1418" w:type="dxa"/>
            <w:shd w:val="clear" w:color="auto" w:fill="auto"/>
            <w:vAlign w:val="bottom"/>
          </w:tcPr>
          <w:p w14:paraId="5D5ECD0E"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2.58</w:t>
            </w:r>
          </w:p>
        </w:tc>
        <w:tc>
          <w:tcPr>
            <w:tcW w:w="1700" w:type="dxa"/>
            <w:shd w:val="clear" w:color="auto" w:fill="auto"/>
            <w:vAlign w:val="bottom"/>
          </w:tcPr>
          <w:p w14:paraId="18ED78E4"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0.03</w:t>
            </w:r>
          </w:p>
        </w:tc>
      </w:tr>
      <w:tr w:rsidR="00216C8A" w:rsidRPr="00D72360" w14:paraId="1DD9FD1D" w14:textId="77777777" w:rsidTr="00492BF9">
        <w:trPr>
          <w:trHeight w:val="290"/>
        </w:trPr>
        <w:tc>
          <w:tcPr>
            <w:tcW w:w="2552" w:type="dxa"/>
            <w:shd w:val="clear" w:color="auto" w:fill="auto"/>
            <w:vAlign w:val="bottom"/>
          </w:tcPr>
          <w:p w14:paraId="5D54D20A" w14:textId="77777777" w:rsidR="00216C8A" w:rsidRPr="00D72360" w:rsidRDefault="00216C8A" w:rsidP="00492BF9">
            <w:pPr>
              <w:spacing w:after="0" w:line="240" w:lineRule="auto"/>
              <w:rPr>
                <w:rFonts w:ascii="Calibri" w:eastAsia="Times New Roman" w:hAnsi="Calibri" w:cs="Calibri"/>
                <w:color w:val="000000"/>
                <w:lang w:eastAsia="en-GB"/>
              </w:rPr>
            </w:pPr>
            <w:r w:rsidRPr="00D72360">
              <w:rPr>
                <w:rFonts w:eastAsia="Times New Roman" w:cs="Calibri"/>
                <w:color w:val="000000"/>
                <w:lang w:eastAsia="en-GB"/>
              </w:rPr>
              <w:t>Negative Deviance 2SD</w:t>
            </w:r>
          </w:p>
        </w:tc>
        <w:tc>
          <w:tcPr>
            <w:tcW w:w="1417" w:type="dxa"/>
            <w:shd w:val="clear" w:color="auto" w:fill="auto"/>
            <w:vAlign w:val="bottom"/>
          </w:tcPr>
          <w:p w14:paraId="1A0AB24F"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0.41</w:t>
            </w:r>
          </w:p>
        </w:tc>
        <w:tc>
          <w:tcPr>
            <w:tcW w:w="1418" w:type="dxa"/>
            <w:shd w:val="clear" w:color="auto" w:fill="auto"/>
            <w:vAlign w:val="bottom"/>
          </w:tcPr>
          <w:p w14:paraId="27675106"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0.39</w:t>
            </w:r>
          </w:p>
        </w:tc>
        <w:tc>
          <w:tcPr>
            <w:tcW w:w="1700" w:type="dxa"/>
            <w:shd w:val="clear" w:color="auto" w:fill="auto"/>
            <w:vAlign w:val="bottom"/>
          </w:tcPr>
          <w:p w14:paraId="419C223B"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2.41</w:t>
            </w:r>
          </w:p>
        </w:tc>
      </w:tr>
      <w:tr w:rsidR="00216C8A" w:rsidRPr="00D72360" w14:paraId="1C94677F" w14:textId="77777777" w:rsidTr="00492BF9">
        <w:trPr>
          <w:trHeight w:val="290"/>
        </w:trPr>
        <w:tc>
          <w:tcPr>
            <w:tcW w:w="2552" w:type="dxa"/>
            <w:tcBorders>
              <w:bottom w:val="single" w:sz="4" w:space="0" w:color="000000"/>
            </w:tcBorders>
            <w:shd w:val="clear" w:color="auto" w:fill="auto"/>
            <w:vAlign w:val="bottom"/>
          </w:tcPr>
          <w:p w14:paraId="4ED0068B" w14:textId="77777777" w:rsidR="00216C8A" w:rsidRPr="00D72360" w:rsidRDefault="00216C8A" w:rsidP="00492BF9">
            <w:pPr>
              <w:spacing w:after="0" w:line="240" w:lineRule="auto"/>
              <w:rPr>
                <w:rFonts w:ascii="Calibri" w:eastAsia="Times New Roman" w:hAnsi="Calibri" w:cs="Calibri"/>
                <w:color w:val="000000"/>
                <w:lang w:eastAsia="en-GB"/>
              </w:rPr>
            </w:pPr>
            <w:r w:rsidRPr="00D72360">
              <w:rPr>
                <w:rFonts w:eastAsia="Times New Roman" w:cs="Calibri"/>
                <w:color w:val="000000"/>
                <w:lang w:eastAsia="en-GB"/>
              </w:rPr>
              <w:t>Negative Deviance 1SD</w:t>
            </w:r>
          </w:p>
        </w:tc>
        <w:tc>
          <w:tcPr>
            <w:tcW w:w="1417" w:type="dxa"/>
            <w:tcBorders>
              <w:bottom w:val="single" w:sz="4" w:space="0" w:color="000000"/>
            </w:tcBorders>
            <w:shd w:val="clear" w:color="auto" w:fill="auto"/>
            <w:vAlign w:val="bottom"/>
          </w:tcPr>
          <w:p w14:paraId="1D97E780"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0.34</w:t>
            </w:r>
          </w:p>
        </w:tc>
        <w:tc>
          <w:tcPr>
            <w:tcW w:w="1418" w:type="dxa"/>
            <w:tcBorders>
              <w:bottom w:val="single" w:sz="4" w:space="0" w:color="000000"/>
            </w:tcBorders>
            <w:shd w:val="clear" w:color="auto" w:fill="auto"/>
            <w:vAlign w:val="bottom"/>
          </w:tcPr>
          <w:p w14:paraId="6798EDA4"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0.43</w:t>
            </w:r>
          </w:p>
        </w:tc>
        <w:tc>
          <w:tcPr>
            <w:tcW w:w="1700" w:type="dxa"/>
            <w:tcBorders>
              <w:bottom w:val="single" w:sz="4" w:space="0" w:color="000000"/>
            </w:tcBorders>
            <w:shd w:val="clear" w:color="auto" w:fill="auto"/>
            <w:vAlign w:val="bottom"/>
          </w:tcPr>
          <w:p w14:paraId="70E1AC1A" w14:textId="77777777" w:rsidR="00216C8A" w:rsidRPr="00D72360" w:rsidRDefault="00216C8A" w:rsidP="00492BF9">
            <w:pPr>
              <w:spacing w:after="0" w:line="240" w:lineRule="auto"/>
              <w:jc w:val="center"/>
              <w:rPr>
                <w:rFonts w:ascii="Calibri" w:eastAsia="Times New Roman" w:hAnsi="Calibri" w:cs="Calibri"/>
                <w:lang w:eastAsia="en-GB"/>
              </w:rPr>
            </w:pPr>
            <w:r w:rsidRPr="00D72360">
              <w:rPr>
                <w:rFonts w:eastAsia="Times New Roman" w:cs="Calibri"/>
                <w:lang w:eastAsia="en-GB"/>
              </w:rPr>
              <w:t>3.40</w:t>
            </w:r>
          </w:p>
        </w:tc>
      </w:tr>
    </w:tbl>
    <w:p w14:paraId="045324F8" w14:textId="4196845F" w:rsidR="00216C8A" w:rsidRDefault="00216C8A" w:rsidP="00216C8A">
      <w:pPr>
        <w:spacing w:after="0" w:line="240" w:lineRule="auto"/>
        <w:rPr>
          <w:b/>
        </w:rPr>
      </w:pPr>
    </w:p>
    <w:p w14:paraId="621482C3" w14:textId="77777777" w:rsidR="001056C6" w:rsidRPr="00D72360" w:rsidRDefault="001056C6" w:rsidP="001056C6">
      <w:pPr>
        <w:rPr>
          <w:bCs/>
        </w:rPr>
      </w:pPr>
      <w:r w:rsidRPr="00D72360">
        <w:rPr>
          <w:b/>
          <w:bCs/>
        </w:rPr>
        <w:t xml:space="preserve">Table 3: Average </w:t>
      </w:r>
      <w:r>
        <w:rPr>
          <w:b/>
          <w:bCs/>
        </w:rPr>
        <w:t>predictive</w:t>
      </w:r>
      <w:r w:rsidRPr="00D72360">
        <w:rPr>
          <w:b/>
          <w:bCs/>
        </w:rPr>
        <w:t xml:space="preserve"> power (McFadden pseudo-R</w:t>
      </w:r>
      <w:r w:rsidRPr="00D72360">
        <w:rPr>
          <w:b/>
          <w:bCs/>
          <w:vertAlign w:val="superscript"/>
        </w:rPr>
        <w:t>2</w:t>
      </w:r>
      <w:r w:rsidRPr="00D72360">
        <w:rPr>
          <w:b/>
          <w:bCs/>
        </w:rPr>
        <w:t xml:space="preserve">) of models with and without </w:t>
      </w:r>
      <w:proofErr w:type="spellStart"/>
      <w:r w:rsidRPr="00D72360">
        <w:rPr>
          <w:b/>
          <w:bCs/>
        </w:rPr>
        <w:t>frontierness</w:t>
      </w:r>
      <w:proofErr w:type="spellEnd"/>
      <w:r w:rsidRPr="00D72360">
        <w:rPr>
          <w:b/>
          <w:bCs/>
        </w:rPr>
        <w:t xml:space="preserve"> for recent (1992 to 2015) expansion of cropland. </w:t>
      </w:r>
      <w:r w:rsidRPr="00D72360">
        <w:rPr>
          <w:bCs/>
        </w:rPr>
        <w:t xml:space="preserve">Model 2 includes all independent predictors of expansion aligned with classical theories of expansion (that is all predictors in Model 1 and the Null Model; outlined in Table 1), as well as the percentage of cropland in 1992 as a predictor, and its interaction with bioclimatic suitability, access, population density in 1990 and GDP in 1992. The inclusion of existing cropland is a standard practice in global models predicting land use change. Model 3 includes all terms in Model 2, as well as </w:t>
      </w:r>
      <w:proofErr w:type="spellStart"/>
      <w:r w:rsidRPr="00D72360">
        <w:rPr>
          <w:bCs/>
        </w:rPr>
        <w:t>frontierness</w:t>
      </w:r>
      <w:proofErr w:type="spellEnd"/>
      <w:r w:rsidRPr="00D72360">
        <w:rPr>
          <w:bCs/>
        </w:rPr>
        <w:t xml:space="preserve">, and the interaction of </w:t>
      </w:r>
      <w:proofErr w:type="spellStart"/>
      <w:r w:rsidRPr="00D72360">
        <w:rPr>
          <w:bCs/>
        </w:rPr>
        <w:t>frontierness</w:t>
      </w:r>
      <w:proofErr w:type="spellEnd"/>
      <w:r w:rsidRPr="00D72360">
        <w:rPr>
          <w:bCs/>
        </w:rPr>
        <w:t xml:space="preserve"> and cropland in 1992 (Experimental Procedures). Results are averages of 1000 balanced subsamples of expansion for each model (Experimental Procedures). Full model results are given in the SI for Model 2 (Table S3) and Model 3 (Table S4).   </w:t>
      </w:r>
    </w:p>
    <w:tbl>
      <w:tblPr>
        <w:tblW w:w="6571"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531"/>
        <w:gridCol w:w="2020"/>
        <w:gridCol w:w="2020"/>
      </w:tblGrid>
      <w:tr w:rsidR="001056C6" w:rsidRPr="00D72360" w14:paraId="5175AEEA" w14:textId="77777777" w:rsidTr="00A05360">
        <w:trPr>
          <w:trHeight w:val="956"/>
        </w:trPr>
        <w:tc>
          <w:tcPr>
            <w:tcW w:w="2531" w:type="dxa"/>
            <w:tcBorders>
              <w:top w:val="single" w:sz="4" w:space="0" w:color="000000"/>
              <w:bottom w:val="single" w:sz="4" w:space="0" w:color="auto"/>
            </w:tcBorders>
            <w:shd w:val="clear" w:color="auto" w:fill="auto"/>
            <w:vAlign w:val="center"/>
          </w:tcPr>
          <w:p w14:paraId="47E96209"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Expansion threshold</w:t>
            </w:r>
          </w:p>
        </w:tc>
        <w:tc>
          <w:tcPr>
            <w:tcW w:w="2020" w:type="dxa"/>
            <w:tcBorders>
              <w:top w:val="single" w:sz="4" w:space="0" w:color="000000"/>
              <w:bottom w:val="single" w:sz="4" w:space="0" w:color="auto"/>
            </w:tcBorders>
            <w:shd w:val="clear" w:color="auto" w:fill="auto"/>
            <w:vAlign w:val="center"/>
          </w:tcPr>
          <w:p w14:paraId="5F62BC06"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 xml:space="preserve">Existing predictors (Model 2) </w:t>
            </w:r>
          </w:p>
        </w:tc>
        <w:tc>
          <w:tcPr>
            <w:tcW w:w="2020" w:type="dxa"/>
            <w:tcBorders>
              <w:top w:val="single" w:sz="4" w:space="0" w:color="000000"/>
              <w:bottom w:val="single" w:sz="4" w:space="0" w:color="auto"/>
            </w:tcBorders>
            <w:shd w:val="clear" w:color="auto" w:fill="auto"/>
            <w:vAlign w:val="center"/>
          </w:tcPr>
          <w:p w14:paraId="69D41A54" w14:textId="77777777" w:rsidR="001056C6" w:rsidRPr="00D72360" w:rsidRDefault="001056C6" w:rsidP="00A05360">
            <w:pPr>
              <w:spacing w:after="0" w:line="240" w:lineRule="auto"/>
              <w:jc w:val="center"/>
              <w:rPr>
                <w:rFonts w:ascii="Calibri" w:hAnsi="Calibri"/>
                <w:color w:val="000000"/>
              </w:rPr>
            </w:pPr>
            <w:proofErr w:type="spellStart"/>
            <w:r w:rsidRPr="00D72360">
              <w:rPr>
                <w:color w:val="000000"/>
              </w:rPr>
              <w:t>Frontierness</w:t>
            </w:r>
            <w:proofErr w:type="spellEnd"/>
            <w:r w:rsidRPr="00D72360">
              <w:rPr>
                <w:color w:val="000000"/>
              </w:rPr>
              <w:t xml:space="preserve"> + existing predictors</w:t>
            </w:r>
          </w:p>
          <w:p w14:paraId="0902F4CA" w14:textId="77777777" w:rsidR="001056C6" w:rsidRPr="00D72360" w:rsidRDefault="001056C6" w:rsidP="00A05360">
            <w:pPr>
              <w:spacing w:after="0" w:line="240" w:lineRule="auto"/>
              <w:jc w:val="center"/>
            </w:pPr>
            <w:r w:rsidRPr="00D72360">
              <w:rPr>
                <w:color w:val="000000"/>
              </w:rPr>
              <w:t>(Model 3)</w:t>
            </w:r>
          </w:p>
        </w:tc>
      </w:tr>
      <w:tr w:rsidR="001056C6" w:rsidRPr="00D72360" w14:paraId="5A60A23C" w14:textId="77777777" w:rsidTr="00A05360">
        <w:trPr>
          <w:trHeight w:val="360"/>
        </w:trPr>
        <w:tc>
          <w:tcPr>
            <w:tcW w:w="2531" w:type="dxa"/>
            <w:tcBorders>
              <w:top w:val="single" w:sz="4" w:space="0" w:color="auto"/>
              <w:bottom w:val="nil"/>
            </w:tcBorders>
            <w:shd w:val="clear" w:color="auto" w:fill="auto"/>
            <w:vAlign w:val="center"/>
          </w:tcPr>
          <w:p w14:paraId="2AC4366E"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0.5% cropland</w:t>
            </w:r>
          </w:p>
        </w:tc>
        <w:tc>
          <w:tcPr>
            <w:tcW w:w="2020" w:type="dxa"/>
            <w:tcBorders>
              <w:top w:val="single" w:sz="4" w:space="0" w:color="auto"/>
              <w:bottom w:val="nil"/>
            </w:tcBorders>
            <w:shd w:val="clear" w:color="auto" w:fill="auto"/>
            <w:vAlign w:val="bottom"/>
          </w:tcPr>
          <w:p w14:paraId="4468D142"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0.12</w:t>
            </w:r>
          </w:p>
        </w:tc>
        <w:tc>
          <w:tcPr>
            <w:tcW w:w="2020" w:type="dxa"/>
            <w:tcBorders>
              <w:top w:val="single" w:sz="4" w:space="0" w:color="auto"/>
              <w:bottom w:val="nil"/>
            </w:tcBorders>
            <w:shd w:val="clear" w:color="auto" w:fill="auto"/>
            <w:vAlign w:val="bottom"/>
          </w:tcPr>
          <w:p w14:paraId="0430ACC5"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0.20</w:t>
            </w:r>
          </w:p>
        </w:tc>
      </w:tr>
      <w:tr w:rsidR="001056C6" w:rsidRPr="00D72360" w14:paraId="014C6011" w14:textId="77777777" w:rsidTr="00A05360">
        <w:trPr>
          <w:trHeight w:val="360"/>
        </w:trPr>
        <w:tc>
          <w:tcPr>
            <w:tcW w:w="2531" w:type="dxa"/>
            <w:tcBorders>
              <w:top w:val="nil"/>
              <w:bottom w:val="nil"/>
            </w:tcBorders>
            <w:shd w:val="clear" w:color="auto" w:fill="auto"/>
            <w:vAlign w:val="center"/>
          </w:tcPr>
          <w:p w14:paraId="483CB921"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10% cropland</w:t>
            </w:r>
          </w:p>
        </w:tc>
        <w:tc>
          <w:tcPr>
            <w:tcW w:w="2020" w:type="dxa"/>
            <w:tcBorders>
              <w:top w:val="nil"/>
              <w:bottom w:val="nil"/>
            </w:tcBorders>
            <w:shd w:val="clear" w:color="auto" w:fill="auto"/>
            <w:vAlign w:val="bottom"/>
          </w:tcPr>
          <w:p w14:paraId="5C96FEF4"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0.23</w:t>
            </w:r>
          </w:p>
        </w:tc>
        <w:tc>
          <w:tcPr>
            <w:tcW w:w="2020" w:type="dxa"/>
            <w:tcBorders>
              <w:top w:val="nil"/>
              <w:bottom w:val="nil"/>
            </w:tcBorders>
            <w:shd w:val="clear" w:color="auto" w:fill="auto"/>
            <w:vAlign w:val="bottom"/>
          </w:tcPr>
          <w:p w14:paraId="27BFB9EC"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0.31</w:t>
            </w:r>
          </w:p>
        </w:tc>
      </w:tr>
      <w:tr w:rsidR="001056C6" w:rsidRPr="00D72360" w14:paraId="4213654D" w14:textId="77777777" w:rsidTr="00A05360">
        <w:trPr>
          <w:trHeight w:val="360"/>
        </w:trPr>
        <w:tc>
          <w:tcPr>
            <w:tcW w:w="2531" w:type="dxa"/>
            <w:tcBorders>
              <w:top w:val="nil"/>
              <w:bottom w:val="single" w:sz="4" w:space="0" w:color="auto"/>
            </w:tcBorders>
            <w:shd w:val="clear" w:color="auto" w:fill="auto"/>
            <w:vAlign w:val="center"/>
          </w:tcPr>
          <w:p w14:paraId="6A0E0AAB"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50% cropland</w:t>
            </w:r>
          </w:p>
        </w:tc>
        <w:tc>
          <w:tcPr>
            <w:tcW w:w="2020" w:type="dxa"/>
            <w:tcBorders>
              <w:top w:val="nil"/>
              <w:bottom w:val="single" w:sz="4" w:space="0" w:color="auto"/>
            </w:tcBorders>
            <w:shd w:val="clear" w:color="auto" w:fill="auto"/>
            <w:vAlign w:val="bottom"/>
          </w:tcPr>
          <w:p w14:paraId="37BC3F8E"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0.41</w:t>
            </w:r>
          </w:p>
        </w:tc>
        <w:tc>
          <w:tcPr>
            <w:tcW w:w="2020" w:type="dxa"/>
            <w:tcBorders>
              <w:top w:val="nil"/>
              <w:bottom w:val="single" w:sz="4" w:space="0" w:color="auto"/>
            </w:tcBorders>
            <w:shd w:val="clear" w:color="auto" w:fill="auto"/>
            <w:vAlign w:val="bottom"/>
          </w:tcPr>
          <w:p w14:paraId="4BDEEC13" w14:textId="77777777" w:rsidR="001056C6" w:rsidRPr="00D72360" w:rsidRDefault="001056C6" w:rsidP="00A05360">
            <w:pPr>
              <w:spacing w:after="0" w:line="240" w:lineRule="auto"/>
              <w:jc w:val="center"/>
              <w:rPr>
                <w:rFonts w:ascii="Calibri" w:eastAsia="Times New Roman" w:hAnsi="Calibri" w:cs="Calibri"/>
                <w:color w:val="000000"/>
                <w:lang w:eastAsia="en-GB"/>
              </w:rPr>
            </w:pPr>
            <w:r w:rsidRPr="00D72360">
              <w:rPr>
                <w:color w:val="000000"/>
              </w:rPr>
              <w:t>0.41</w:t>
            </w:r>
          </w:p>
        </w:tc>
      </w:tr>
    </w:tbl>
    <w:p w14:paraId="7D2210FD" w14:textId="77777777" w:rsidR="001056C6" w:rsidRPr="00D72360" w:rsidRDefault="001056C6" w:rsidP="001056C6">
      <w:pPr>
        <w:rPr>
          <w:b/>
          <w:bCs/>
        </w:rPr>
      </w:pPr>
    </w:p>
    <w:p w14:paraId="46611298" w14:textId="77777777" w:rsidR="001056C6" w:rsidRPr="00D72360" w:rsidRDefault="001056C6" w:rsidP="00216C8A">
      <w:pPr>
        <w:spacing w:after="0" w:line="240" w:lineRule="auto"/>
        <w:rPr>
          <w:b/>
        </w:rPr>
      </w:pPr>
    </w:p>
    <w:p w14:paraId="0B97A5DE" w14:textId="77777777" w:rsidR="00216C8A" w:rsidRPr="00D72360" w:rsidRDefault="00216C8A" w:rsidP="00216C8A">
      <w:pPr>
        <w:rPr>
          <w:bCs/>
        </w:rPr>
      </w:pPr>
      <w:r w:rsidRPr="00D72360">
        <w:rPr>
          <w:bCs/>
        </w:rPr>
        <w:br w:type="page"/>
      </w:r>
    </w:p>
    <w:p w14:paraId="7F478737" w14:textId="25474B5F" w:rsidR="00216C8A" w:rsidRDefault="00E66369" w:rsidP="00C03B20">
      <w:pPr>
        <w:widowControl w:val="0"/>
        <w:spacing w:line="240" w:lineRule="auto"/>
      </w:pPr>
      <w:r>
        <w:lastRenderedPageBreak/>
        <w:t>Figures</w:t>
      </w:r>
    </w:p>
    <w:p w14:paraId="726B752E" w14:textId="4BEFE2AC" w:rsidR="00E66369" w:rsidRDefault="00E66369" w:rsidP="00C03B20">
      <w:pPr>
        <w:widowControl w:val="0"/>
        <w:spacing w:line="240" w:lineRule="auto"/>
      </w:pPr>
      <w:r>
        <w:rPr>
          <w:noProof/>
        </w:rPr>
        <w:drawing>
          <wp:inline distT="0" distB="0" distL="0" distR="0" wp14:anchorId="4CD7ACB0" wp14:editId="07287BAC">
            <wp:extent cx="5731510" cy="3582670"/>
            <wp:effectExtent l="0" t="0" r="254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582670"/>
                    </a:xfrm>
                    <a:prstGeom prst="rect">
                      <a:avLst/>
                    </a:prstGeom>
                  </pic:spPr>
                </pic:pic>
              </a:graphicData>
            </a:graphic>
          </wp:inline>
        </w:drawing>
      </w:r>
    </w:p>
    <w:p w14:paraId="3B2341B8" w14:textId="1A5B2652" w:rsidR="00E66369" w:rsidRDefault="00E66369" w:rsidP="00C03B20">
      <w:pPr>
        <w:widowControl w:val="0"/>
        <w:spacing w:line="240" w:lineRule="auto"/>
      </w:pPr>
      <w:r>
        <w:t>Figure 1</w:t>
      </w:r>
    </w:p>
    <w:p w14:paraId="2BD8E163" w14:textId="4B8B3009" w:rsidR="00E66369" w:rsidRDefault="00E66369" w:rsidP="00C03B20">
      <w:pPr>
        <w:widowControl w:val="0"/>
        <w:spacing w:line="240" w:lineRule="auto"/>
      </w:pPr>
      <w:r>
        <w:rPr>
          <w:noProof/>
        </w:rPr>
        <w:lastRenderedPageBreak/>
        <w:drawing>
          <wp:inline distT="0" distB="0" distL="0" distR="0" wp14:anchorId="35BE9C11" wp14:editId="1513BB9A">
            <wp:extent cx="5731510" cy="5915025"/>
            <wp:effectExtent l="0" t="0" r="2540" b="952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915025"/>
                    </a:xfrm>
                    <a:prstGeom prst="rect">
                      <a:avLst/>
                    </a:prstGeom>
                  </pic:spPr>
                </pic:pic>
              </a:graphicData>
            </a:graphic>
          </wp:inline>
        </w:drawing>
      </w:r>
    </w:p>
    <w:p w14:paraId="35D9E2CB" w14:textId="4D3658D4" w:rsidR="00E66369" w:rsidRDefault="00E66369" w:rsidP="00C03B20">
      <w:pPr>
        <w:widowControl w:val="0"/>
        <w:spacing w:line="240" w:lineRule="auto"/>
      </w:pPr>
      <w:r>
        <w:t>Figure 2</w:t>
      </w:r>
    </w:p>
    <w:p w14:paraId="350381B3" w14:textId="24EA76F5" w:rsidR="00E66369" w:rsidRDefault="00E66369" w:rsidP="00C03B20">
      <w:pPr>
        <w:widowControl w:val="0"/>
        <w:spacing w:line="240" w:lineRule="auto"/>
      </w:pPr>
      <w:r>
        <w:rPr>
          <w:noProof/>
        </w:rPr>
        <w:lastRenderedPageBreak/>
        <w:drawing>
          <wp:inline distT="0" distB="0" distL="0" distR="0" wp14:anchorId="51E255F7" wp14:editId="513F42E5">
            <wp:extent cx="5731510" cy="5915025"/>
            <wp:effectExtent l="0" t="0" r="2540" b="9525"/>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915025"/>
                    </a:xfrm>
                    <a:prstGeom prst="rect">
                      <a:avLst/>
                    </a:prstGeom>
                  </pic:spPr>
                </pic:pic>
              </a:graphicData>
            </a:graphic>
          </wp:inline>
        </w:drawing>
      </w:r>
    </w:p>
    <w:p w14:paraId="38FAA2EB" w14:textId="031E0CFE" w:rsidR="00E66369" w:rsidRDefault="00E66369" w:rsidP="00C03B20">
      <w:pPr>
        <w:widowControl w:val="0"/>
        <w:spacing w:line="240" w:lineRule="auto"/>
      </w:pPr>
      <w:r>
        <w:t>Figure 3</w:t>
      </w:r>
    </w:p>
    <w:p w14:paraId="32E52824" w14:textId="532AA15A" w:rsidR="00E66369" w:rsidRDefault="00E66369" w:rsidP="00C03B20">
      <w:pPr>
        <w:widowControl w:val="0"/>
        <w:spacing w:line="240" w:lineRule="auto"/>
      </w:pPr>
      <w:r>
        <w:br w:type="page"/>
      </w:r>
    </w:p>
    <w:p w14:paraId="7B210828" w14:textId="77777777" w:rsidR="00E66369" w:rsidRPr="00A82881" w:rsidRDefault="00E66369" w:rsidP="00E66369">
      <w:pPr>
        <w:rPr>
          <w:rFonts w:cstheme="minorHAnsi"/>
          <w:b/>
          <w:bCs/>
        </w:rPr>
      </w:pPr>
      <w:r>
        <w:rPr>
          <w:b/>
        </w:rPr>
        <w:lastRenderedPageBreak/>
        <w:t>Suppl</w:t>
      </w:r>
      <w:bookmarkStart w:id="156" w:name="_GoBack"/>
      <w:bookmarkEnd w:id="156"/>
      <w:r>
        <w:rPr>
          <w:b/>
        </w:rPr>
        <w:t xml:space="preserve">ementary Information </w:t>
      </w:r>
    </w:p>
    <w:p w14:paraId="3D42DCB2" w14:textId="77777777" w:rsidR="00E66369" w:rsidRDefault="00E66369" w:rsidP="00E66369">
      <w:pPr>
        <w:pStyle w:val="ListParagraph"/>
      </w:pPr>
      <w:r>
        <w:t>-Supplementary Figures</w:t>
      </w:r>
    </w:p>
    <w:p w14:paraId="49195D60" w14:textId="77777777" w:rsidR="00E66369" w:rsidRDefault="00E66369" w:rsidP="00E66369">
      <w:pPr>
        <w:pStyle w:val="ListParagraph"/>
      </w:pPr>
      <w:r>
        <w:t>-Supplementary Experimental Procedures</w:t>
      </w:r>
    </w:p>
    <w:p w14:paraId="6D1FF501" w14:textId="77777777" w:rsidR="00E66369" w:rsidRDefault="00E66369" w:rsidP="00E66369">
      <w:pPr>
        <w:pStyle w:val="ListParagraph"/>
      </w:pPr>
      <w:r>
        <w:t xml:space="preserve">-Supplementary Tables </w:t>
      </w:r>
    </w:p>
    <w:p w14:paraId="7E070BFD" w14:textId="77777777" w:rsidR="00E66369" w:rsidRDefault="00E66369" w:rsidP="00E66369">
      <w:pPr>
        <w:pStyle w:val="ListParagraph"/>
      </w:pPr>
      <w:r>
        <w:t>-Supplementary References</w:t>
      </w:r>
    </w:p>
    <w:p w14:paraId="6F63E703" w14:textId="77777777" w:rsidR="00E66369" w:rsidRDefault="00E66369" w:rsidP="00E66369">
      <w:pPr>
        <w:rPr>
          <w:b/>
          <w:u w:val="single"/>
        </w:rPr>
      </w:pPr>
      <w:r>
        <w:rPr>
          <w:b/>
          <w:u w:val="single"/>
        </w:rPr>
        <w:t>Supplementary Figures</w:t>
      </w:r>
    </w:p>
    <w:p w14:paraId="66A252E7" w14:textId="77777777" w:rsidR="00E66369" w:rsidRDefault="00E66369" w:rsidP="00E66369">
      <w:pPr>
        <w:spacing w:after="0" w:line="240" w:lineRule="auto"/>
        <w:rPr>
          <w:b/>
          <w:u w:val="single"/>
        </w:rPr>
      </w:pPr>
      <w:r>
        <w:rPr>
          <w:noProof/>
          <w:lang w:val="en-US" w:eastAsia="en-US"/>
        </w:rPr>
        <w:drawing>
          <wp:inline distT="0" distB="6350" distL="0" distR="2540" wp14:anchorId="5C8AC60E" wp14:editId="52DCE006">
            <wp:extent cx="5731510" cy="35369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5"/>
                    <a:stretch>
                      <a:fillRect/>
                    </a:stretch>
                  </pic:blipFill>
                  <pic:spPr bwMode="auto">
                    <a:xfrm>
                      <a:off x="0" y="0"/>
                      <a:ext cx="5731510" cy="3536950"/>
                    </a:xfrm>
                    <a:prstGeom prst="rect">
                      <a:avLst/>
                    </a:prstGeom>
                  </pic:spPr>
                </pic:pic>
              </a:graphicData>
            </a:graphic>
          </wp:inline>
        </w:drawing>
      </w:r>
    </w:p>
    <w:p w14:paraId="7C5348A6" w14:textId="77777777" w:rsidR="00E66369" w:rsidRDefault="00E66369" w:rsidP="00E66369">
      <w:pPr>
        <w:spacing w:after="0" w:line="240" w:lineRule="auto"/>
      </w:pPr>
      <w:r>
        <w:rPr>
          <w:b/>
        </w:rPr>
        <w:t xml:space="preserve">Fig S1 Relationship between the percentage of </w:t>
      </w:r>
      <w:proofErr w:type="spellStart"/>
      <w:r>
        <w:rPr>
          <w:b/>
        </w:rPr>
        <w:t>bioclimatically</w:t>
      </w:r>
      <w:proofErr w:type="spellEnd"/>
      <w:r>
        <w:rPr>
          <w:b/>
        </w:rPr>
        <w:t xml:space="preserve"> suitable land area for cropland and the threshold of the percentage of cropland per 5’ x 5’ arc minute grid cell (</w:t>
      </w:r>
      <w:proofErr w:type="spellStart"/>
      <w:r>
        <w:rPr>
          <w:b/>
        </w:rPr>
        <w:t>Crop_threshold</w:t>
      </w:r>
      <w:proofErr w:type="spellEnd"/>
      <w:r>
        <w:rPr>
          <w:b/>
        </w:rPr>
        <w:t>) for recent expansion (1992 to 2015; left) and cropland extent in 1992; right).</w:t>
      </w:r>
      <w:r>
        <w:rPr>
          <w:b/>
          <w:u w:val="single"/>
        </w:rPr>
        <w:t xml:space="preserve"> </w:t>
      </w:r>
      <w:r>
        <w:t xml:space="preserve">The value near 0 is for a threshold of 0.005 (0.5%) cropland per grid cell.  In total, 0.45% of expansion at the 0.5% threshold is also above the 50% cropland threshold; 13.6% of expansion at the 0.5% threshold is also above the 10% cropland threshold. Cropland is based on ESA CCI data and excludes mosaic land cove classes (Methods).  </w:t>
      </w:r>
    </w:p>
    <w:p w14:paraId="2216F541" w14:textId="77777777" w:rsidR="00E66369" w:rsidRDefault="00E66369" w:rsidP="00E66369">
      <w:pPr>
        <w:spacing w:after="0" w:line="240" w:lineRule="auto"/>
        <w:rPr>
          <w:b/>
          <w:u w:val="single"/>
        </w:rPr>
      </w:pPr>
    </w:p>
    <w:p w14:paraId="65CB7648" w14:textId="77777777" w:rsidR="00E66369" w:rsidRDefault="00E66369" w:rsidP="00E66369">
      <w:pPr>
        <w:spacing w:after="0" w:line="240" w:lineRule="auto"/>
        <w:rPr>
          <w:b/>
          <w:u w:val="single"/>
        </w:rPr>
      </w:pPr>
    </w:p>
    <w:p w14:paraId="4985A6C9" w14:textId="77777777" w:rsidR="00E66369" w:rsidRDefault="00E66369" w:rsidP="00E66369"/>
    <w:p w14:paraId="275C45D0" w14:textId="77777777" w:rsidR="00E66369" w:rsidRDefault="00E66369" w:rsidP="00E66369">
      <w:r>
        <w:rPr>
          <w:noProof/>
          <w:lang w:val="en-US" w:eastAsia="en-US"/>
        </w:rPr>
        <w:lastRenderedPageBreak/>
        <w:drawing>
          <wp:inline distT="0" distB="8890" distL="0" distR="0" wp14:anchorId="7E8B3751" wp14:editId="3DD62945">
            <wp:extent cx="5524500" cy="340106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16"/>
                    <a:srcRect l="1216" t="2009" r="2394"/>
                    <a:stretch>
                      <a:fillRect/>
                    </a:stretch>
                  </pic:blipFill>
                  <pic:spPr bwMode="auto">
                    <a:xfrm>
                      <a:off x="0" y="0"/>
                      <a:ext cx="5524500" cy="3401060"/>
                    </a:xfrm>
                    <a:prstGeom prst="rect">
                      <a:avLst/>
                    </a:prstGeom>
                  </pic:spPr>
                </pic:pic>
              </a:graphicData>
            </a:graphic>
          </wp:inline>
        </w:drawing>
      </w:r>
    </w:p>
    <w:p w14:paraId="19EEF968" w14:textId="77777777" w:rsidR="00E66369" w:rsidRDefault="00E66369" w:rsidP="00E66369">
      <w:r>
        <w:rPr>
          <w:noProof/>
          <w:lang w:val="en-US" w:eastAsia="en-US"/>
        </w:rPr>
        <w:drawing>
          <wp:inline distT="0" distB="0" distL="0" distR="6350" wp14:anchorId="5BFA05DF" wp14:editId="21C012A2">
            <wp:extent cx="5461000" cy="337566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7"/>
                    <a:srcRect l="1657" t="2737" r="3058"/>
                    <a:stretch>
                      <a:fillRect/>
                    </a:stretch>
                  </pic:blipFill>
                  <pic:spPr bwMode="auto">
                    <a:xfrm>
                      <a:off x="0" y="0"/>
                      <a:ext cx="5461000" cy="3375660"/>
                    </a:xfrm>
                    <a:prstGeom prst="rect">
                      <a:avLst/>
                    </a:prstGeom>
                  </pic:spPr>
                </pic:pic>
              </a:graphicData>
            </a:graphic>
          </wp:inline>
        </w:drawing>
      </w:r>
    </w:p>
    <w:p w14:paraId="7FE2D123" w14:textId="77777777" w:rsidR="00E66369" w:rsidRDefault="00E66369" w:rsidP="00E66369">
      <w:r>
        <w:rPr>
          <w:noProof/>
          <w:lang w:val="en-US" w:eastAsia="en-US"/>
        </w:rPr>
        <w:lastRenderedPageBreak/>
        <w:drawing>
          <wp:inline distT="0" distB="8890" distL="0" distR="0" wp14:anchorId="6097836D" wp14:editId="2F99DDBE">
            <wp:extent cx="5473700" cy="340106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8"/>
                    <a:srcRect l="1328" t="2009" r="3173"/>
                    <a:stretch>
                      <a:fillRect/>
                    </a:stretch>
                  </pic:blipFill>
                  <pic:spPr bwMode="auto">
                    <a:xfrm>
                      <a:off x="0" y="0"/>
                      <a:ext cx="5473700" cy="3401060"/>
                    </a:xfrm>
                    <a:prstGeom prst="rect">
                      <a:avLst/>
                    </a:prstGeom>
                  </pic:spPr>
                </pic:pic>
              </a:graphicData>
            </a:graphic>
          </wp:inline>
        </w:drawing>
      </w:r>
    </w:p>
    <w:p w14:paraId="3B7E1B0F" w14:textId="77777777" w:rsidR="00E66369" w:rsidRDefault="00E66369" w:rsidP="00E66369">
      <w:r>
        <w:rPr>
          <w:noProof/>
          <w:lang w:val="en-US" w:eastAsia="en-US"/>
        </w:rPr>
        <w:drawing>
          <wp:inline distT="0" distB="0" distL="0" distR="0" wp14:anchorId="3CDC8024" wp14:editId="722CAECE">
            <wp:extent cx="5473700" cy="341376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9"/>
                    <a:srcRect l="1216" t="1645" r="3279"/>
                    <a:stretch>
                      <a:fillRect/>
                    </a:stretch>
                  </pic:blipFill>
                  <pic:spPr bwMode="auto">
                    <a:xfrm>
                      <a:off x="0" y="0"/>
                      <a:ext cx="5473700" cy="3413760"/>
                    </a:xfrm>
                    <a:prstGeom prst="rect">
                      <a:avLst/>
                    </a:prstGeom>
                  </pic:spPr>
                </pic:pic>
              </a:graphicData>
            </a:graphic>
          </wp:inline>
        </w:drawing>
      </w:r>
    </w:p>
    <w:p w14:paraId="6FE0E54A" w14:textId="77777777" w:rsidR="00E66369" w:rsidRDefault="00E66369" w:rsidP="00E66369">
      <w:pPr>
        <w:spacing w:after="0" w:line="240" w:lineRule="auto"/>
      </w:pPr>
      <w:r>
        <w:t xml:space="preserve"> </w:t>
      </w:r>
      <w:r>
        <w:rPr>
          <w:b/>
        </w:rPr>
        <w:t xml:space="preserve">Fig. S2 Distribution of the global extent (in 1992) and recent expansion (1992-2015) of cropland in terms of percentage per 5’ x 5’ pixel, and at different binary thresholds of cropland per pixel (&gt;0.5%; &gt;10% and &gt;50%). </w:t>
      </w:r>
      <w:r>
        <w:t xml:space="preserve">In all cases, only cropland within the bioclimatic envelope (Methods) for rain-fed agriculture is shown, as this was data used in the analysis. Cropland is based on ESA CCI data and excludes mosaic land cove classes (Methods).  Note that expansion events at the 50% threshold are extremely rare (~1300 pixels globally), making it difficult to distinguish them in a global map. </w:t>
      </w:r>
    </w:p>
    <w:p w14:paraId="21C935BB" w14:textId="77777777" w:rsidR="00E66369" w:rsidRDefault="00E66369" w:rsidP="00E66369">
      <w:pPr>
        <w:spacing w:after="0" w:line="240" w:lineRule="auto"/>
      </w:pPr>
    </w:p>
    <w:p w14:paraId="3F1F0580" w14:textId="77777777" w:rsidR="00E66369" w:rsidRDefault="00E66369" w:rsidP="00E66369">
      <w:pPr>
        <w:spacing w:after="0" w:line="240" w:lineRule="auto"/>
      </w:pPr>
      <w:r w:rsidRPr="00527E21">
        <w:rPr>
          <w:noProof/>
        </w:rPr>
        <w:lastRenderedPageBreak/>
        <w:drawing>
          <wp:inline distT="0" distB="0" distL="0" distR="0" wp14:anchorId="373B0AD9" wp14:editId="6F1C03F7">
            <wp:extent cx="6028619" cy="4718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732" t="4668" r="10370" b="1615"/>
                    <a:stretch/>
                  </pic:blipFill>
                  <pic:spPr bwMode="auto">
                    <a:xfrm>
                      <a:off x="0" y="0"/>
                      <a:ext cx="6034609" cy="4722737"/>
                    </a:xfrm>
                    <a:prstGeom prst="rect">
                      <a:avLst/>
                    </a:prstGeom>
                    <a:ln>
                      <a:noFill/>
                    </a:ln>
                    <a:extLst>
                      <a:ext uri="{53640926-AAD7-44D8-BBD7-CCE9431645EC}">
                        <a14:shadowObscured xmlns:a14="http://schemas.microsoft.com/office/drawing/2010/main"/>
                      </a:ext>
                    </a:extLst>
                  </pic:spPr>
                </pic:pic>
              </a:graphicData>
            </a:graphic>
          </wp:inline>
        </w:drawing>
      </w:r>
    </w:p>
    <w:p w14:paraId="2422CCAE" w14:textId="77777777" w:rsidR="00E66369" w:rsidRDefault="00E66369" w:rsidP="00E66369">
      <w:pPr>
        <w:spacing w:after="0" w:line="240" w:lineRule="auto"/>
        <w:rPr>
          <w:bCs/>
        </w:rPr>
      </w:pPr>
      <w:r w:rsidRPr="00AF1186">
        <w:rPr>
          <w:b/>
        </w:rPr>
        <w:t xml:space="preserve">Fig S3 – Distributions of percentage cropland per 5’ x 5’ pixel in 2001 as measured by the ESA CCI (top) and MODIS 6 (bottom) data. </w:t>
      </w:r>
      <w:r>
        <w:rPr>
          <w:bCs/>
        </w:rPr>
        <w:t xml:space="preserve">In both cases, mosaic land cover classes are excluded in the calculations of the distribution of cropland. </w:t>
      </w:r>
      <w:r w:rsidRPr="00AF1186">
        <w:rPr>
          <w:bCs/>
        </w:rPr>
        <w:t xml:space="preserve">See Supplementary Methods for details on dataset creation. </w:t>
      </w:r>
    </w:p>
    <w:p w14:paraId="6612E622" w14:textId="77777777" w:rsidR="00E66369" w:rsidRDefault="00E66369" w:rsidP="00E66369">
      <w:pPr>
        <w:spacing w:after="0" w:line="240" w:lineRule="auto"/>
        <w:rPr>
          <w:bCs/>
        </w:rPr>
      </w:pPr>
    </w:p>
    <w:p w14:paraId="7E1385A8" w14:textId="77777777" w:rsidR="00E66369" w:rsidRDefault="00E66369" w:rsidP="00E66369">
      <w:pPr>
        <w:spacing w:after="0" w:line="240" w:lineRule="auto"/>
        <w:rPr>
          <w:bCs/>
        </w:rPr>
      </w:pPr>
      <w:r w:rsidRPr="00715E3D">
        <w:rPr>
          <w:noProof/>
        </w:rPr>
        <w:lastRenderedPageBreak/>
        <w:drawing>
          <wp:inline distT="0" distB="0" distL="0" distR="0" wp14:anchorId="20D11278" wp14:editId="0FBE4343">
            <wp:extent cx="4895850" cy="38334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070" t="5206" r="12918" b="2154"/>
                    <a:stretch/>
                  </pic:blipFill>
                  <pic:spPr bwMode="auto">
                    <a:xfrm>
                      <a:off x="0" y="0"/>
                      <a:ext cx="4911384" cy="3845636"/>
                    </a:xfrm>
                    <a:prstGeom prst="rect">
                      <a:avLst/>
                    </a:prstGeom>
                    <a:ln>
                      <a:noFill/>
                    </a:ln>
                    <a:extLst>
                      <a:ext uri="{53640926-AAD7-44D8-BBD7-CCE9431645EC}">
                        <a14:shadowObscured xmlns:a14="http://schemas.microsoft.com/office/drawing/2010/main"/>
                      </a:ext>
                    </a:extLst>
                  </pic:spPr>
                </pic:pic>
              </a:graphicData>
            </a:graphic>
          </wp:inline>
        </w:drawing>
      </w:r>
    </w:p>
    <w:p w14:paraId="4DFB8008" w14:textId="77777777" w:rsidR="00E66369" w:rsidRDefault="00E66369" w:rsidP="00E66369">
      <w:pPr>
        <w:spacing w:after="0" w:line="240" w:lineRule="auto"/>
        <w:rPr>
          <w:bCs/>
        </w:rPr>
      </w:pPr>
    </w:p>
    <w:p w14:paraId="446B9271" w14:textId="77777777" w:rsidR="00E66369" w:rsidRDefault="00E66369" w:rsidP="00E66369">
      <w:pPr>
        <w:spacing w:after="0" w:line="240" w:lineRule="auto"/>
        <w:rPr>
          <w:bCs/>
        </w:rPr>
      </w:pPr>
      <w:r w:rsidRPr="00715E3D">
        <w:rPr>
          <w:noProof/>
        </w:rPr>
        <w:drawing>
          <wp:inline distT="0" distB="0" distL="0" distR="0" wp14:anchorId="112727A0" wp14:editId="2627E724">
            <wp:extent cx="4475826" cy="358744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627" t="5027" r="13251"/>
                    <a:stretch/>
                  </pic:blipFill>
                  <pic:spPr bwMode="auto">
                    <a:xfrm>
                      <a:off x="0" y="0"/>
                      <a:ext cx="4492963" cy="3601178"/>
                    </a:xfrm>
                    <a:prstGeom prst="rect">
                      <a:avLst/>
                    </a:prstGeom>
                    <a:ln>
                      <a:noFill/>
                    </a:ln>
                    <a:extLst>
                      <a:ext uri="{53640926-AAD7-44D8-BBD7-CCE9431645EC}">
                        <a14:shadowObscured xmlns:a14="http://schemas.microsoft.com/office/drawing/2010/main"/>
                      </a:ext>
                    </a:extLst>
                  </pic:spPr>
                </pic:pic>
              </a:graphicData>
            </a:graphic>
          </wp:inline>
        </w:drawing>
      </w:r>
    </w:p>
    <w:p w14:paraId="6DDDC33A" w14:textId="77777777" w:rsidR="00E66369" w:rsidRDefault="00E66369" w:rsidP="00E66369">
      <w:pPr>
        <w:spacing w:after="0" w:line="240" w:lineRule="auto"/>
      </w:pPr>
      <w:r>
        <w:rPr>
          <w:b/>
        </w:rPr>
        <w:t xml:space="preserve">Fig S4: Distribution of expansion (2001-2015) of cropland as measured using the ESA CCI and MODIS 6 land cover products at different binary thresholds of cropland per 5’ x 5’ pixel (&gt;0.5% and &gt;10%). </w:t>
      </w:r>
      <w:r>
        <w:t xml:space="preserve">In all cases, only cropland within the bioclimatic envelope (Methods) for rain-fed agriculture is shown, as this was data used in the analysis.  </w:t>
      </w:r>
      <w:r>
        <w:rPr>
          <w:bCs/>
        </w:rPr>
        <w:t xml:space="preserve">In both cases, mosaic land cover classes are excluded in the calculations of the distribution of cropland. </w:t>
      </w:r>
      <w:r>
        <w:t xml:space="preserve">See Supplementary Methods for detailed methods. </w:t>
      </w:r>
    </w:p>
    <w:p w14:paraId="6F978187" w14:textId="77777777" w:rsidR="00E66369" w:rsidRDefault="00E66369" w:rsidP="00E66369">
      <w:pPr>
        <w:spacing w:after="0" w:line="240" w:lineRule="auto"/>
        <w:rPr>
          <w:b/>
          <w:u w:val="single"/>
        </w:rPr>
      </w:pPr>
      <w:r>
        <w:rPr>
          <w:b/>
          <w:u w:val="single"/>
        </w:rPr>
        <w:br w:type="page"/>
      </w:r>
    </w:p>
    <w:p w14:paraId="225102D1" w14:textId="77777777" w:rsidR="00E66369" w:rsidRDefault="00E66369" w:rsidP="00E66369">
      <w:pPr>
        <w:spacing w:after="0" w:line="240" w:lineRule="auto"/>
        <w:rPr>
          <w:b/>
          <w:u w:val="single"/>
        </w:rPr>
      </w:pPr>
      <w:r>
        <w:rPr>
          <w:b/>
          <w:u w:val="single"/>
        </w:rPr>
        <w:lastRenderedPageBreak/>
        <w:t>Supplementary Experimental Procedures</w:t>
      </w:r>
    </w:p>
    <w:p w14:paraId="18E5DFA0" w14:textId="77777777" w:rsidR="00E66369" w:rsidRDefault="00E66369" w:rsidP="00E66369">
      <w:pPr>
        <w:rPr>
          <w:bCs/>
        </w:rPr>
      </w:pPr>
    </w:p>
    <w:p w14:paraId="45C0AC7B" w14:textId="77777777" w:rsidR="00E66369" w:rsidRDefault="00E66369" w:rsidP="00E66369">
      <w:pPr>
        <w:rPr>
          <w:u w:val="single"/>
        </w:rPr>
      </w:pPr>
      <w:r>
        <w:rPr>
          <w:u w:val="single"/>
        </w:rPr>
        <w:t xml:space="preserve">Post-hoc proportional overlap of expansion and other socio-economic variables. </w:t>
      </w:r>
    </w:p>
    <w:p w14:paraId="0BA5BCBC" w14:textId="77777777" w:rsidR="00E66369" w:rsidRDefault="00E66369" w:rsidP="00E66369">
      <w:r>
        <w:t xml:space="preserve">We undertook post-hoc analyses of the proportional overlaps of recent cropland expansion and </w:t>
      </w:r>
      <w:proofErr w:type="gramStart"/>
      <w:r>
        <w:t>a number of</w:t>
      </w:r>
      <w:proofErr w:type="gramEnd"/>
      <w:r>
        <w:t xml:space="preserve"> additional socio-economic variables. This enabled us to better understand what is driving this expansion (Table S6). These were:  1) change in HDI and 2) change in  GDP between 1992 and 2015; </w:t>
      </w:r>
      <w:r>
        <w:fldChar w:fldCharType="begin" w:fldLock="1"/>
      </w:r>
      <w:r>
        <w:instrText>ADDIN CSL_CITATION {"citationItems":[{"id":"ITEM-1","itemData":{"DOI":"10.1038/sdata.2018.4","ISSN":"20524463","abstract":"Gridded global datasets for Gross Domestic Product and Human Development Index over 1990–2015","author":[{"dropping-particle":"","family":"Kummu","given":"Matti","non-dropping-particle":"","parse-names":false,"suffix":""},{"dropping-particle":"","family":"Taka","given":"Maija","non-dropping-particle":"","parse-names":false,"suffix":""},{"dropping-particle":"","family":"Guillaume","given":"Joseph H.A.","non-dropping-particle":"","parse-names":false,"suffix":""}],"container-title":"Scientific Data","id":"ITEM-1","issued":{"date-parts":[["2018"]]},"page":"1-15","title":"Gridded global datasets for Gross Domestic Product and Human Development Index over 1990-2015","type":"article-journal","volume":"5"},"uris":["http://www.mendeley.com/documents/?uuid=09ae6276-eb88-4a44-a478-0deb8bf707db"]}],"mendeley":{"formattedCitation":"&lt;sup&gt;1&lt;/sup&gt;","plainTextFormattedCitation":"1","previouslyFormattedCitation":"&lt;sup&gt;1&lt;/sup&gt;"},"properties":{"noteIndex":0},"schema":"https://github.com/citation-style-language/schema/raw/master/csl-citation.json"}</w:instrText>
      </w:r>
      <w:r>
        <w:fldChar w:fldCharType="separate"/>
      </w:r>
      <w:bookmarkStart w:id="157" w:name="__Fieldmark__6796_3027855847"/>
      <w:bookmarkStart w:id="158" w:name="__Fieldmark__2175_531043149"/>
      <w:r w:rsidRPr="004303B2">
        <w:rPr>
          <w:noProof/>
          <w:vertAlign w:val="superscript"/>
        </w:rPr>
        <w:t>1</w:t>
      </w:r>
      <w:r>
        <w:fldChar w:fldCharType="end"/>
      </w:r>
      <w:bookmarkEnd w:id="157"/>
      <w:bookmarkEnd w:id="158"/>
      <w:r>
        <w:t>; 3) change in human population between 1990 and 2015</w:t>
      </w:r>
      <w:r>
        <w:fldChar w:fldCharType="begin" w:fldLock="1"/>
      </w:r>
      <w:r>
        <w:instrText>ADDIN CSL_CITATION {"citationItems":[{"id":"ITEM-1","itemData":{"DOI":"http://dx.doi.org/10.7927/H4ST7MRB","id":"ITEM-1","issued":{"date-parts":[["2005"]]},"publisher":"NASA Socioeconomic Data and Applications Center (SEDAC)","title":"Gridded Population of the World, Version 3 (GPWv3): Population Density Grid, Future Estimates","type":"article"},"uris":["http://www.mendeley.com/documents/?uuid=571fe342-3ec5-4f58-965e-189ccef2048f"]}],"mendeley":{"formattedCitation":"&lt;sup&gt;2&lt;/sup&gt;","plainTextFormattedCitation":"2","previouslyFormattedCitation":"&lt;sup&gt;2&lt;/sup&gt;"},"properties":{"noteIndex":0},"schema":"https://github.com/citation-style-language/schema/raw/master/csl-citation.json"}</w:instrText>
      </w:r>
      <w:r>
        <w:fldChar w:fldCharType="separate"/>
      </w:r>
      <w:bookmarkStart w:id="159" w:name="__Fieldmark__6803_3027855847"/>
      <w:r w:rsidRPr="004303B2">
        <w:rPr>
          <w:noProof/>
          <w:vertAlign w:val="superscript"/>
        </w:rPr>
        <w:t>2</w:t>
      </w:r>
      <w:r>
        <w:fldChar w:fldCharType="end"/>
      </w:r>
      <w:bookmarkEnd w:id="159"/>
      <w:r>
        <w:t>, 4) the largest and 5) smallest quartiles of field size)</w:t>
      </w:r>
      <w:r>
        <w:fldChar w:fldCharType="begin" w:fldLock="1"/>
      </w:r>
      <w:r>
        <w:instrText>ADDIN CSL_CITATION {"citationItems":[{"id":"ITEM-1","itemData":{"DOI":"10.1111/gcb.14492","ISSN":"13652486","abstract":"© 2018 The Authors. Global Change Biology Published by John Wiley  &amp;  Sons Ltd. There is an increasing evidence that smallholder farms contribute substantially to food production globally, yet spatially explicit data on agricultural field sizes are currently lacking. Automated field size delineation using remote sensing or the estimation of average farm size at subnational level using census data are two approaches that have been used. However, both have limitations, for example, automatic field size delineation using remote sensing has not yet been implemented at a global scale while the spatial resolution is very coarse when using census data. This paper demonstrates a unique approach to quantifying and mapping agricultural field size globally using crowdsourcing. A campaign was run in June 2017, where participants were asked to visually interpret very high resolution satellite imagery from Google Maps and Bing using the Geo-Wiki application. During the campaign, participants collected field size data for 130 K unique locations around the globe. Using this sample, we have produced the most accurate global field size map to date and estimated the percentage of different field sizes, ranging from very small to very large, in agricultural areas at global, continental, and national levels. The results show that smallholder farms occupy up to 40% of agricultural areas globally, which means that, potentially, there are many more smallholder farms in comparison with the two different current global estimates of 12% and 24%. The global field size map and the crowdsourced data set are openly available and can be used for integrated assessment modeling, comparative studies of agricultural dynamics across different contexts, for training and validation of remote sensing field size delineation, and potential contributions to the Sustainable Development Goal of Ending hunger, achieve food security and improved nutrition and promote sustainable agriculture.","author":[{"dropping-particle":"","family":"Lesiv","given":"Myroslava","non-dropping-particle":"","parse-names":false,"suffix":""},{"dropping-particle":"","family":"Laso Bayas","given":"Juan Carlos","non-dropping-particle":"","parse-names":false,"suffix":""},{"dropping-particle":"","family":"See","given":"Linda","non-dropping-particle":"","parse-names":false,"suffix":""},{"dropping-particle":"","family":"Duerauer","given":"Martina","non-dropping-particle":"","parse-names":false,"suffix":""},{"dropping-particle":"","family":"Dahlia","given":"Domian","non-dropping-particle":"","parse-names":false,"suffix":""},{"dropping-particle":"","family":"Durando","given":"Neal","non-dropping-particle":"","parse-names":false,"suffix":""},{"dropping-particle":"","family":"Hazarika","given":"Rubul","non-dropping-particle":"","parse-names":false,"suffix":""},{"dropping-particle":"","family":"Kumar Sahariah","given":"Parag","non-dropping-particle":"","parse-names":false,"suffix":""},{"dropping-particle":"","family":"Vakolyuk","given":"Mar'yana","non-dropping-particle":"","parse-names":false,"suffix":""},{"dropping-particle":"","family":"Blyshchyk","given":"Volodymyr","non-dropping-particle":"","parse-names":false,"suffix":""},{"dropping-particle":"","family":"Bilous","given":"Andrii","non-dropping-particle":"","parse-names":false,"suffix":""},{"dropping-particle":"","family":"Perez-Hoyos","given":"Ana","non-dropping-particle":"","parse-names":false,"suffix":""},{"dropping-particle":"","family":"Gengler","given":"Sarah","non-dropping-particle":"","parse-names":false,"suffix":""},{"dropping-particle":"","family":"Prestele","given":"Reinhard","non-dropping-particle":"","parse-names":false,"suffix":""},{"dropping-particle":"","family":"Bilous","given":"Svitlana","non-dropping-particle":"","parse-names":false,"suffix":""},{"dropping-particle":"","family":"Akhtar","given":"Ibrar ul Hassan","non-dropping-particle":"","parse-names":false,"suffix":""},{"dropping-particle":"","family":"Singha","given":"Kuleswar","non-dropping-particle":"","parse-names":false,"suffix":""},{"dropping-particle":"","family":"Choudhury","given":"Sochin Boro","non-dropping-particle":"","parse-names":false,"suffix":""},{"dropping-particle":"","family":"Chetri","given":"Tilok","non-dropping-particle":"","parse-names":false,"suffix":""},{"dropping-particle":"","family":"Malek","given":"Žiga","non-dropping-particle":"","parse-names":false,"suffix":""},{"dropping-particle":"","family":"Bungnamei","given":"Khangsembou","non-dropping-particle":"","parse-names":false,"suffix":""},{"dropping-particle":"","family":"Saikia","given":"Anup","non-dropping-particle":"","parse-names":false,"suffix":""},{"dropping-particle":"","family":"Sahariah","given":"Dhrubajyoti","non-dropping-particle":"","parse-names":false,"suffix":""},{"dropping-particle":"","family":"Narzary","given":"William","non-dropping-particle":"","parse-names":false,"suffix":""},{"dropping-particle":"","family":"Danylo","given":"Olha","non-dropping-particle":"","parse-names":false,"suffix":""},{"dropping-particle":"","family":"Sturn","given":"Tobias","non-dropping-particle":"","parse-names":false,"suffix":""},{"dropping-particle":"","family":"Karner","given":"Mathias","non-dropping-particle":"","parse-names":false,"suffix":""},{"dropping-particle":"","family":"McCallum","given":"Ian","non-dropping-particle":"","parse-names":false,"suffix":""},{"dropping-particle":"","family":"Schepaschenko","given":"Dmitry","non-dropping-particle":"","parse-names":false,"suffix":""},{"dropping-particle":"","family":"Moltchanova","given":"Elena","non-dropping-particle":"","parse-names":false,"suffix":""},{"dropping-particle":"","family":"Fraisl","given":"Dilek","non-dropping-particle":"","parse-names":false,"suffix":""},{"dropping-particle":"","family":"Moorthy","given":"Inian","non-dropping-particle":"","parse-names":false,"suffix":""},{"dropping-particle":"","family":"Fritz","given":"Steffen","non-dropping-particle":"","parse-names":false,"suffix":""}],"container-title":"Global Change Biology","id":"ITEM-1","issue":"1","issued":{"date-parts":[["2019"]]},"page":"174-186","title":"Estimating the global distribution of field size using crowdsourcing","type":"article-journal","volume":"25"},"uris":["http://www.mendeley.com/documents/?uuid=7838b332-bd1c-4bee-9b36-438fdf6da133"]}],"mendeley":{"formattedCitation":"&lt;sup&gt;3&lt;/sup&gt;","plainTextFormattedCitation":"3","previouslyFormattedCitation":"&lt;sup&gt;3&lt;/sup&gt;"},"properties":{"noteIndex":0},"schema":"https://github.com/citation-style-language/schema/raw/master/csl-citation.json"}</w:instrText>
      </w:r>
      <w:r>
        <w:fldChar w:fldCharType="separate"/>
      </w:r>
      <w:bookmarkStart w:id="160" w:name="__Fieldmark__6808_3027855847"/>
      <w:bookmarkStart w:id="161" w:name="__Fieldmark__2184_531043149"/>
      <w:r w:rsidRPr="004303B2">
        <w:rPr>
          <w:noProof/>
          <w:vertAlign w:val="superscript"/>
        </w:rPr>
        <w:t>3</w:t>
      </w:r>
      <w:r>
        <w:fldChar w:fldCharType="end"/>
      </w:r>
      <w:bookmarkEnd w:id="160"/>
      <w:bookmarkEnd w:id="161"/>
      <w:r>
        <w:t>; 6) percentage irrigated area (</w:t>
      </w:r>
      <w:r>
        <w:fldChar w:fldCharType="begin" w:fldLock="1"/>
      </w:r>
      <w:r>
        <w:instrText>ADDIN CSL_CITATION {"citationItems":[{"id":"ITEM-1","itemData":{"URL":"http://www.fao.org/nr/water/aquastat/data/query/index.html?lang=en","container-title":"Food and Agriculture Organization of the United Nations (FAO). AQUASTAT Database.","id":"ITEM-1","issued":{"date-parts":[["2016"]]},"title":"FAO-AQUASTAT","type":"webpage"},"uris":["http://www.mendeley.com/documents/?uuid=f91f5cfc-12bc-424b-94c8-0f96205748a4"]}],"mendeley":{"formattedCitation":"&lt;sup&gt;4&lt;/sup&gt;","plainTextFormattedCitation":"4","previouslyFormattedCitation":"&lt;sup&gt;4&lt;/sup&gt;"},"properties":{"noteIndex":0},"schema":"https://github.com/citation-style-language/schema/raw/master/csl-citation.json"}</w:instrText>
      </w:r>
      <w:r>
        <w:fldChar w:fldCharType="separate"/>
      </w:r>
      <w:bookmarkStart w:id="162" w:name="__Fieldmark__6815_3027855847"/>
      <w:r w:rsidRPr="004303B2">
        <w:rPr>
          <w:noProof/>
          <w:vertAlign w:val="superscript"/>
        </w:rPr>
        <w:t>4</w:t>
      </w:r>
      <w:r>
        <w:fldChar w:fldCharType="end"/>
      </w:r>
      <w:bookmarkEnd w:id="162"/>
      <w:r>
        <w:t xml:space="preserve">; locations where deforestation between 2003 and 2015 was classified as primarily caused by 7) commercial agriculture and 8) subsistence agriculture </w:t>
      </w:r>
      <w:r>
        <w:fldChar w:fldCharType="begin" w:fldLock="1"/>
      </w:r>
      <w:r>
        <w:instrText>ADDIN CSL_CITATION {"citationItems":[{"id":"ITEM-1","itemData":{"DOI":"10.1126/science.aau3445","ISBN":"0036-8075","ISSN":"10959203","PMID":"30213911","abstract":"&lt;p&gt;Global maps of forest loss depict the scale and magnitude of forest disturbance, yet companies, governments, and nongovernmental organizations need to distinguish permanent conversion (i.e., deforestation) from temporary loss from forestry or wildfire. Using satellite imagery, we developed a forest loss classification model to determine a spatial attribution of forest disturbance to the dominant drivers of land cover and land use change over the period 2001 to 2015. Our results indicate that 27% of global forest loss can be attributed to deforestation through permanent land use change for commodity production. The remaining areas maintained the same land use over 15 years; in those areas, loss was attributed to forestry (26%), shifting agriculture (24%), and wildfire (23%). Despite corporate commitments, the rate of commodity-driven deforestation has not declined. To end deforestation, companies must eliminate 5 million hectares of conversion from supply chains each year.&lt;/p&gt;","author":[{"dropping-particle":"","family":"Curtis","given":"Philip G.","non-dropping-particle":"","parse-names":false,"suffix":""},{"dropping-particle":"","family":"Slay","given":"Christy M.","non-dropping-particle":"","parse-names":false,"suffix":""},{"dropping-particle":"","family":"Harris","given":"Nancy L.","non-dropping-particle":"","parse-names":false,"suffix":""},{"dropping-particle":"","family":"Tyukavina","given":"Alexandra","non-dropping-particle":"","parse-names":false,"suffix":""},{"dropping-particle":"","family":"Hansen","given":"Matthew C.","non-dropping-particle":"","parse-names":false,"suffix":""}],"container-title":"Science","id":"ITEM-1","issue":"6407","issued":{"date-parts":[["2018"]]},"page":"1108-1111","title":"Classifying drivers of global forest loss","type":"article-journal","volume":"361"},"uris":["http://www.mendeley.com/documents/?uuid=77c8a595-c12a-4e14-9968-e13cdc6abd58"]}],"mendeley":{"formattedCitation":"&lt;sup&gt;5&lt;/sup&gt;","plainTextFormattedCitation":"5","previouslyFormattedCitation":"&lt;sup&gt;5&lt;/sup&gt;"},"properties":{"noteIndex":0},"schema":"https://github.com/citation-style-language/schema/raw/master/csl-citation.json"}</w:instrText>
      </w:r>
      <w:r>
        <w:fldChar w:fldCharType="separate"/>
      </w:r>
      <w:bookmarkStart w:id="163" w:name="__Fieldmark__6822_3027855847"/>
      <w:bookmarkStart w:id="164" w:name="__Fieldmark__2195_531043149"/>
      <w:r w:rsidRPr="004303B2">
        <w:rPr>
          <w:noProof/>
          <w:vertAlign w:val="superscript"/>
        </w:rPr>
        <w:t>5</w:t>
      </w:r>
      <w:r>
        <w:fldChar w:fldCharType="end"/>
      </w:r>
      <w:bookmarkEnd w:id="163"/>
      <w:bookmarkEnd w:id="164"/>
      <w:r>
        <w:t>; and distributions of 9) oil palm and 10) soy</w:t>
      </w:r>
      <w:r>
        <w:fldChar w:fldCharType="begin" w:fldLock="1"/>
      </w:r>
      <w:r>
        <w:instrText>ADDIN CSL_CITATION {"citationItems":[{"id":"ITEM-1","itemData":{"DOI":"10.1016/j.agsy.2014.01.002","ISSN":"0308521X","abstract":"We describe a new crop allocation model that adds further methodological and data enhancements to the available crop downscaling modeling. The model comprises the estimates of crop area, yield and production for 20 major crops under four rainfed and irrigated production systems across a global 5. arc minute grid. The new model builds on prior work by the authors (and published in this journal) in developing regional downscaled databases for Latin America and the Caribbean (LAC) and sub-Saharan Africa (SSA) and encompasses notions of comparative advantage and potential economic worth as factors influencing the geographic distribution of crop production. This is done through a downscaling approach that accounts for spatial variation in the biophysical conditions influencing the productivity of individual crops within the cropland extent, and that uses crop prices to weigh the gross revenue potential of alternate crops when considering how to prioritize the allocation of specific crops to individual grid cells. The proposed methodology also allows for the inclusion of partial, existing sources of evidence and feedback on local crop distribution patterns through the use of spatial allocation priors that are then subjected to an entropy-based optimization procedure that imposes a range of consistency and aggregation constraints. We compare the global datasets and summarize factors that give rise to systematic differences amongst them and how such differences might influence the fitness for purpose of each dataset. We conclude with some recommendations on priorities for further work in improving the reliability, utility and periodic repeatability of generating crop production distribution data. © 2014 Elsevier Ltd.","author":[{"dropping-particle":"","family":"You","given":"Liangzhi","non-dropping-particle":"","parse-names":false,"suffix":""},{"dropping-particle":"","family":"Wood","given":"Stanley","non-dropping-particle":"","parse-names":false,"suffix":""},{"dropping-particle":"","family":"Wood-Sichra","given":"Ulrike","non-dropping-particle":"","parse-names":false,"suffix":""},{"dropping-particle":"","family":"Wu","given":"Wenbin","non-dropping-particle":"","parse-names":false,"suffix":""}],"container-title":"Agricultural Systems","id":"ITEM-1","issued":{"date-parts":[["2014"]]},"page":"53-60","publisher":"Elsevier Ltd","title":"Generating global crop distribution maps: From census to grid","type":"article-journal","volume":"127"},"uris":["http://www.mendeley.com/documents/?uuid=64aa62e0-ec75-4432-aae1-952d615a11ef"]}],"mendeley":{"formattedCitation":"&lt;sup&gt;6&lt;/sup&gt;","plainTextFormattedCitation":"6","previouslyFormattedCitation":"&lt;sup&gt;6&lt;/sup&gt;"},"properties":{"noteIndex":0},"schema":"https://github.com/citation-style-language/schema/raw/master/csl-citation.json"}</w:instrText>
      </w:r>
      <w:r>
        <w:fldChar w:fldCharType="separate"/>
      </w:r>
      <w:bookmarkStart w:id="165" w:name="__Fieldmark__6829_3027855847"/>
      <w:r w:rsidRPr="004303B2">
        <w:rPr>
          <w:noProof/>
          <w:vertAlign w:val="superscript"/>
        </w:rPr>
        <w:t>6</w:t>
      </w:r>
      <w:r>
        <w:fldChar w:fldCharType="end"/>
      </w:r>
      <w:bookmarkEnd w:id="165"/>
      <w:r>
        <w:t>. These analyses were carried out post-hoc, and only via overlap analyses, as none of these datasets are suitable for predictive modelling of cropland expansion. This because socio-economic change data (so change in HDI, GDP and populations) is only relevant for explaining changes that have already occurred, not prediction into the future, while the field size, irrigated area, deforestation, and oil palm and soybean datasets all include cropland data within them, and hence would introduce circularity in statistical testing. Moreover, the cropland data used in the above datasets comes from multiple years between 1992 and 2015. As such, the results of these overlaps should be viewed with considerable caution. However, comparing the overlaps between the different threshold of cropland expansion (0.5%, 10% and 50%) does provide some additional insights of whether expansion at different thresholds is driven mainly by corporate actors (associated with very large fields dominated by cash crops such as soy and oil palm) or smallholders</w:t>
      </w:r>
      <w:r>
        <w:fldChar w:fldCharType="begin" w:fldLock="1"/>
      </w:r>
      <w:r>
        <w:instrText>ADDIN CSL_CITATION {"citationItems":[{"id":"ITEM-1","itemData":{"DOI":"10.1016/j.worlddev.2017.05.034","ISSN":"18735991","abstract":"In response to the extensive loss of forests caused by soy and cattle expansion in South America, several countries have increased their legal restrictions on deforestation, and stepped up their enforcement. In addition, in the Brazilian Amazon, new private agreements were initiated in 2006 and 2009 to limit the purchase of soy and cattle linked with deforestation. One concern is that such policies, because they are spatially heterogeneous or focus on a subset of relevant actors, might generate negative spillovers in the form of leakage of agricultural activities and deforestation to less-regulated areas, and/or a redistribution of non-compliant product sales to non-participants. In this study, we use panel data on soy and beef production and trade in agricultural frontiers of South America to examine how changes in deforestation regulations in South America have altered soy and cattle expansion and exports in this region, and to understand how these changes, if they have occurred, influence the overall effectiveness of deforestation regulations. We find no evidence of a change in soy or pasture area expansion patterns due to changes in regulations, except within the Amazon biome where pasture expansion slowed in response to more stringent regulations and coincided with pasture intensification. We do find, however, a decrease in beef imports from biomes with more stringent deforestation regulations. While this decrease may indicate the existence of leakage to countries outside the study area, it is likely offset by pasture intensification, continued opportunities for deforestation, and increasing domestic consumption from these biomes. These results point to the potential role of substitution effects between local and international consumer markets, and between different actors, in diminishing the overall effectiveness of deforestation regulations.","author":[{"dropping-particle":"","family":"Polain de Waroux","given":"Yann","non-dropping-particle":"le","parse-names":false,"suffix":""},{"dropping-particle":"","family":"Garrett","given":"Rachael D.","non-dropping-particle":"","parse-names":false,"suffix":""},{"dropping-particle":"","family":"Graesser","given":"Jordan","non-dropping-particle":"","parse-names":false,"suffix":""},{"dropping-particle":"","family":"Nolte","given":"Christoph","non-dropping-particle":"","parse-names":false,"suffix":""},{"dropping-particle":"","family":"White","given":"Christopher","non-dropping-particle":"","parse-names":false,"suffix":""},{"dropping-particle":"","family":"Lambin","given":"Eric F.","non-dropping-particle":"","parse-names":false,"suffix":""}],"container-title":"World Development","id":"ITEM-1","issued":{"date-parts":[["2019"]]},"page":"188-202","publisher":"The Authors","title":"The Restructuring of South American Soy and Beef Production and Trade Under Changing Environmental Regulations","type":"article-journal","volume":"121"},"uris":["http://www.mendeley.com/documents/?uuid=60b2d3d0-df7a-4528-b9c3-6b540637f4eb"]},{"id":"ITEM-2","itemData":{"DOI":"10.1080/24694452.2017.1360761","ISSN":"24694460","abstract":"© 2018 by American Association of Geographers. Theories of frontier expansion in the last four decades have been mostly shaped by studies of state-driven smallholder colonization. Modern-day agricultural frontiers, however, are increasingly driven by capitalized corporate agriculture operating with little direct government intervention. The expansion of contemporary frontiers has been explained by the existence of spatially heterogeneous “abnormal” rents, which can be caused by cheap land and labor, technological innovation, lack of regulations, and a variety of other incentives. Here, we argue that understanding the dynamics of these frontiers requires considering the differential ability of actors to capture such rents, which depends on their access to production factors and their information, preferences, and agency. We propose a new conceptual framework drawing on neoclassical economics and political economy, which we apply to the South American Gran Chaco, a hot spot of deforestation for soy and cattle production. We divide the region into a set of distinct frontiers based on satellite data, field interviews, and expert knowledge, to review the drivers and actors of agricultural expansion in these frontiers. We show that frontier expansion in the Chaco responded to the rents created by new agricultural technologies, infrastructure, and rising producer prices but that the frontier dynamics were strongly influenced by actors' abilities to capture or influence these rents. Our findings thus highlight that understanding contemporary commodity frontiers requires analyzing the novel ways by which the agency of particular groups of actors shapes land-use outcomes.","author":[{"dropping-particle":"","family":"Polain de Waroux","given":"Yann","non-dropping-particle":"le","parse-names":false,"suffix":""},{"dropping-particle":"","family":"Baumann","given":"Matthias","non-dropping-particle":"","parse-names":false,"suffix":""},{"dropping-particle":"","family":"Gasparri","given":"Nestor Ignacio","non-dropping-particle":"","parse-names":false,"suffix":""},{"dropping-particle":"","family":"Gavier-Pizarro","given":"Gregorio","non-dropping-particle":"","parse-names":false,"suffix":""},{"dropping-particle":"","family":"Godar","given":"Javier","non-dropping-particle":"","parse-names":false,"suffix":""},{"dropping-particle":"","family":"Kuemmerle","given":"Tobias","non-dropping-particle":"","parse-names":false,"suffix":""},{"dropping-particle":"","family":"Müller","given":"Robert","non-dropping-particle":"","parse-names":false,"suffix":""},{"dropping-particle":"","family":"Vázquez","given":"Fabricio","non-dropping-particle":"","parse-names":false,"suffix":""},{"dropping-particle":"","family":"Volante","given":"José Norberto","non-dropping-particle":"","parse-names":false,"suffix":""},{"dropping-particle":"","family":"Meyfroidt","given":"Patrick","non-dropping-particle":"","parse-names":false,"suffix":""}],"container-title":"Annals of the American Association of Geographers","id":"ITEM-2","issue":"1","issued":{"date-parts":[["2018"]]},"page":"204-225","title":"Rents, Actors, and the Expansion of Commodity Frontiers in the Gran Chaco","type":"article-journal","volume":"108"},"uris":["http://www.mendeley.com/documents/?uuid=379ada45-598d-4129-a197-be6be0079f1b"]}],"mendeley":{"formattedCitation":"&lt;sup&gt;7,8&lt;/sup&gt;","plainTextFormattedCitation":"7,8","previouslyFormattedCitation":"&lt;sup&gt;7,8&lt;/sup&gt;"},"properties":{"noteIndex":0},"schema":"https://github.com/citation-style-language/schema/raw/master/csl-citation.json"}</w:instrText>
      </w:r>
      <w:r>
        <w:fldChar w:fldCharType="separate"/>
      </w:r>
      <w:bookmarkStart w:id="166" w:name="__Fieldmark__6836_3027855847"/>
      <w:r w:rsidRPr="004303B2">
        <w:rPr>
          <w:noProof/>
          <w:vertAlign w:val="superscript"/>
        </w:rPr>
        <w:t>7,8</w:t>
      </w:r>
      <w:r>
        <w:fldChar w:fldCharType="end"/>
      </w:r>
      <w:bookmarkEnd w:id="166"/>
      <w:r>
        <w:t xml:space="preserve">. Variables that had more of their summed total value overlapping with cropland expansion at a given threshold than expected for the area of the cropland have values &gt; 1; Variables that are under-represented by a given cropland expansion dataset have values below 1.  This is the same method as used for cropland expansion and deviations from the Null Model (Methods). Results are shown in Table S8. </w:t>
      </w:r>
    </w:p>
    <w:p w14:paraId="704627CC" w14:textId="77777777" w:rsidR="00E66369" w:rsidRDefault="00E66369" w:rsidP="00E66369">
      <w:pPr>
        <w:rPr>
          <w:u w:val="single"/>
        </w:rPr>
      </w:pPr>
      <w:r>
        <w:br w:type="page"/>
      </w:r>
    </w:p>
    <w:p w14:paraId="4E71C375" w14:textId="77777777" w:rsidR="00E66369" w:rsidRDefault="00E66369" w:rsidP="00E66369">
      <w:pPr>
        <w:rPr>
          <w:u w:val="single"/>
        </w:rPr>
      </w:pPr>
      <w:r>
        <w:rPr>
          <w:u w:val="single"/>
        </w:rPr>
        <w:lastRenderedPageBreak/>
        <w:t xml:space="preserve">Post-hoc proportional overlap of forest to short vegetation transitions between 1982 and 1992 and 1992 and 2015 and areas of high positive deviance from the null model </w:t>
      </w:r>
    </w:p>
    <w:p w14:paraId="7D642D33" w14:textId="77777777" w:rsidR="00E66369" w:rsidRDefault="00E66369" w:rsidP="00E66369">
      <w:r>
        <w:t xml:space="preserve">To better understand what the </w:t>
      </w:r>
      <w:proofErr w:type="spellStart"/>
      <w:r>
        <w:t>frontierness</w:t>
      </w:r>
      <w:proofErr w:type="spellEnd"/>
      <w:r>
        <w:t xml:space="preserve"> proxy (deviations from the global Null Model of cropland extent in 1992; Methods) is measuring, we conducted additional post-hoc analyses using a recent long-term time-series of vegetation changes (1982-2016) measured using AVHRR data</w:t>
      </w:r>
      <w:r>
        <w:fldChar w:fldCharType="begin" w:fldLock="1"/>
      </w:r>
      <w:r>
        <w:instrText>ADDIN CSL_CITATION {"citationItems":[{"id":"ITEM-1","itemData":{"DOI":"10.1038/s41586-018-0411-9","ISSN":"14764687","abstract":"Land change is a cause and consequence of global environmental change 1,2 . Changes in land use and land cover considerably alter the Earth’s energy balance and biogeochemical cycles, which contributes to climate change and—in turn—affects land surface properties and the provision of ecosystem services 1–4 . However, quantification of global land change is lacking. Here we analyse 35 years’ worth of satellite data and provide a comprehensive record of global land-change dynamics during the period 1982–2016. We show that—contrary to the prevailing view that forest area has declined globally 5 —tree cover has increased by 2.24 million km 2 (+7.1% relative to the 1982 level). This overall net gain is the result of a net loss in the tropics being outweighed by a net gain in the extratropics. Global bare ground cover has decreased by 1.16 million km 2 (−3.1%), most notably in agricultural regions in Asia. Of all land changes, 60% are associated with direct human activities and 40% with indirect drivers such as climate change. Land-use change exhibits regional dominance, including tropical deforestation and agricultural expansion, temperate reforestation or afforestation, cropland intensification and urbanization. Consistently across all climate domains, montane systems have gained tree cover and many arid and semi-arid ecosystems have lost vegetation cover. The mapped land changes and the driver attributions reflect a human-dominated Earth system. The dataset we developed may be used to improve the modelling of land-use changes, biogeochemical cycles and vegetation–climate interactions to advance our understanding of global environmental change 1–4,6 .","author":[{"dropping-particle":"","family":"Song","given":"Xiao Peng","non-dropping-particle":"","parse-names":false,"suffix":""},{"dropping-particle":"","family":"Hansen","given":"Matthew C","non-dropping-particle":"","parse-names":false,"suffix":""},{"dropping-particle":"V.","family":"Stehman","given":"Stephen","non-dropping-particle":"","parse-names":false,"suffix":""},{"dropping-particle":"V.","family":"Potapov","given":"Peter","non-dropping-particle":"","parse-names":false,"suffix":""},{"dropping-particle":"","family":"Tyukavina","given":"Alexandra","non-dropping-particle":"","parse-names":false,"suffix":""},{"dropping-particle":"","family":"Vermote","given":"Eric F","non-dropping-particle":"","parse-names":false,"suffix":""},{"dropping-particle":"","family":"Townshend","given":"John R","non-dropping-particle":"","parse-names":false,"suffix":""}],"container-title":"Nature","id":"ITEM-1","issue":"7720","issued":{"date-parts":[["2018","8","8"]]},"page":"639-643","publisher":"Springer US","title":"Global land change from 1982 to 2016","type":"article","volume":"560"},"uris":["http://www.mendeley.com/documents/?uuid=a04d6a29-019d-48a3-be33-017b7016a380"]}],"mendeley":{"formattedCitation":"&lt;sup&gt;9&lt;/sup&gt;","plainTextFormattedCitation":"9","previouslyFormattedCitation":"&lt;sup&gt;9&lt;/sup&gt;"},"properties":{"noteIndex":0},"schema":"https://github.com/citation-style-language/schema/raw/master/csl-citation.json"}</w:instrText>
      </w:r>
      <w:r>
        <w:fldChar w:fldCharType="separate"/>
      </w:r>
      <w:bookmarkStart w:id="167" w:name="__Fieldmark__6852_3027855847"/>
      <w:r w:rsidRPr="004303B2">
        <w:rPr>
          <w:noProof/>
          <w:vertAlign w:val="superscript"/>
        </w:rPr>
        <w:t>9</w:t>
      </w:r>
      <w:r>
        <w:fldChar w:fldCharType="end"/>
      </w:r>
      <w:bookmarkEnd w:id="167"/>
      <w:r>
        <w:t>. Specifically, we looked at the proportional overlap of transitions from forests to short vegetation between 1982 and 1992 and areas of high deviation (+1 and +2 SD, respectively) using the proportional overlap method outlined above. Our hypothesis is that if these deviations represent recent expansion frontiers, these areas of deforestation would be disproportionately overrepresented by these areas of high deviation. However, the AVHRR data is not directly comparable to the ESA CCI dataset we use for recent land use change. The AVHRR-based forest-to-short vegetation transition represents deforestation for both cropland and pasture expansion</w:t>
      </w:r>
      <w:r>
        <w:fldChar w:fldCharType="begin" w:fldLock="1"/>
      </w:r>
      <w:r>
        <w:instrText>ADDIN CSL_CITATION {"citationItems":[{"id":"ITEM-1","itemData":{"DOI":"10.1038/s41586-018-0411-9","ISSN":"14764687","abstract":"Land change is a cause and consequence of global environmental change 1,2 . Changes in land use and land cover considerably alter the Earth’s energy balance and biogeochemical cycles, which contributes to climate change and—in turn—affects land surface properties and the provision of ecosystem services 1–4 . However, quantification of global land change is lacking. Here we analyse 35 years’ worth of satellite data and provide a comprehensive record of global land-change dynamics during the period 1982–2016. We show that—contrary to the prevailing view that forest area has declined globally 5 —tree cover has increased by 2.24 million km 2 (+7.1% relative to the 1982 level). This overall net gain is the result of a net loss in the tropics being outweighed by a net gain in the extratropics. Global bare ground cover has decreased by 1.16 million km 2 (−3.1%), most notably in agricultural regions in Asia. Of all land changes, 60% are associated with direct human activities and 40% with indirect drivers such as climate change. Land-use change exhibits regional dominance, including tropical deforestation and agricultural expansion, temperate reforestation or afforestation, cropland intensification and urbanization. Consistently across all climate domains, montane systems have gained tree cover and many arid and semi-arid ecosystems have lost vegetation cover. The mapped land changes and the driver attributions reflect a human-dominated Earth system. The dataset we developed may be used to improve the modelling of land-use changes, biogeochemical cycles and vegetation–climate interactions to advance our understanding of global environmental change 1–4,6 .","author":[{"dropping-particle":"","family":"Song","given":"Xiao Peng","non-dropping-particle":"","parse-names":false,"suffix":""},{"dropping-particle":"","family":"Hansen","given":"Matthew C","non-dropping-particle":"","parse-names":false,"suffix":""},{"dropping-particle":"V.","family":"Stehman","given":"Stephen","non-dropping-particle":"","parse-names":false,"suffix":""},{"dropping-particle":"V.","family":"Potapov","given":"Peter","non-dropping-particle":"","parse-names":false,"suffix":""},{"dropping-particle":"","family":"Tyukavina","given":"Alexandra","non-dropping-particle":"","parse-names":false,"suffix":""},{"dropping-particle":"","family":"Vermote","given":"Eric F","non-dropping-particle":"","parse-names":false,"suffix":""},{"dropping-particle":"","family":"Townshend","given":"John R","non-dropping-particle":"","parse-names":false,"suffix":""}],"container-title":"Nature","id":"ITEM-1","issue":"7720","issued":{"date-parts":[["2018","8","8"]]},"page":"639-643","publisher":"Springer US","title":"Global land change from 1982 to 2016","type":"article","volume":"560"},"uris":["http://www.mendeley.com/documents/?uuid=a04d6a29-019d-48a3-be33-017b7016a380"]}],"mendeley":{"formattedCitation":"&lt;sup&gt;9&lt;/sup&gt;","plainTextFormattedCitation":"9","previouslyFormattedCitation":"&lt;sup&gt;9&lt;/sup&gt;"},"properties":{"noteIndex":0},"schema":"https://github.com/citation-style-language/schema/raw/master/csl-citation.json"}</w:instrText>
      </w:r>
      <w:r>
        <w:fldChar w:fldCharType="separate"/>
      </w:r>
      <w:bookmarkStart w:id="168" w:name="__Fieldmark__6864_3027855847"/>
      <w:r w:rsidRPr="004303B2">
        <w:rPr>
          <w:noProof/>
          <w:vertAlign w:val="superscript"/>
        </w:rPr>
        <w:t>9</w:t>
      </w:r>
      <w:r>
        <w:fldChar w:fldCharType="end"/>
      </w:r>
      <w:bookmarkEnd w:id="168"/>
      <w:r>
        <w:t xml:space="preserve">. This can lead to major discrepancies between the approaches. For example, post-2000, new croplands in tropical South America were mostly converted from pasture </w:t>
      </w:r>
      <w:r>
        <w:fldChar w:fldCharType="begin" w:fldLock="1"/>
      </w:r>
      <w:r>
        <w:instrText>ADDIN CSL_CITATION {"citationItems":[{"id":"ITEM-1","itemData":{"DOI":"10.1073/pnas.1810301115","ISSN":"10916490","abstract":"Brazil has become a global leader in the production of commodity row crops such as soybean, sugarcane, cotton, and corn. Here, we report an increase in Brazilian cropland extent from 26.0 Mha in 2000 to 46.1 Mha in 2014. The states of Maranhão, Tocantins, Piauí, Bahia (collectively MATOPIBA), Mato Grosso, Mato Grosso do Sul, and Pará all more than doubled in cropland extent. The states of Goiás, Minas Gerais, and São Paulo each experienced &gt;50% increases. The vast majority of expansion, 79%, occurred on repurposed pasture lands, and 20% was from the conversion of natural vegetation. Area of converted Cerrado savannas was nearly 2.5 times that of Amazon forests, and accounted for more than half of new cropland in MATOPIBA. Spatiotemporal dynamics of cropland expansion reflect market conditions, land use policies, and other factors. Continued extensification of cropland across Brazil is possible and may be likely under current conditions, with attendant benefits for and challenges to development.","author":[{"dropping-particle":"","family":"Zalles","given":"Viviana","non-dropping-particle":"","parse-names":false,"suffix":""},{"dropping-particle":"","family":"Hansen","given":"Matthew C.","non-dropping-particle":"","parse-names":false,"suffix":""},{"dropping-particle":"V.","family":"Potapov","given":"Peter","non-dropping-particle":"","parse-names":false,"suffix":""},{"dropping-particle":"V.","family":"Stehman","given":"Stephen","non-dropping-particle":"","parse-names":false,"suffix":""},{"dropping-particle":"","family":"Tyukavina","given":"Alexandra","non-dropping-particle":"","parse-names":false,"suffix":""},{"dropping-particle":"","family":"Pickens","given":"Amy","non-dropping-particle":"","parse-names":false,"suffix":""},{"dropping-particle":"","family":"Song","given":"Xiao Peng","non-dropping-particle":"","parse-names":false,"suffix":""},{"dropping-particle":"","family":"Adusei","given":"Bernard","non-dropping-particle":"","parse-names":false,"suffix":""},{"dropping-particle":"","family":"Okpa","given":"Chima","non-dropping-particle":"","parse-names":false,"suffix":""},{"dropping-particle":"","family":"Aguilar","given":"Ricardo","non-dropping-particle":"","parse-names":false,"suffix":""},{"dropping-particle":"","family":"John","given":"Nicholas","non-dropping-particle":"","parse-names":false,"suffix":""},{"dropping-particle":"","family":"Chavez","given":"Selena","non-dropping-particle":"","parse-names":false,"suffix":""}],"container-title":"Proceedings of the National Academy of Sciences of the United States of America","id":"ITEM-1","issue":"2","issued":{"date-parts":[["2019"]]},"page":"428-435","title":"Near doubling of Brazil’s intensive row crop area since 2000","type":"article-journal","volume":"116"},"uris":["http://www.mendeley.com/documents/?uuid=dc29432b-175f-4c42-b6e4-857bc8b67ef3"]}],"mendeley":{"formattedCitation":"&lt;sup&gt;10&lt;/sup&gt;","plainTextFormattedCitation":"10","previouslyFormattedCitation":"&lt;sup&gt;10&lt;/sup&gt;"},"properties":{"noteIndex":0},"schema":"https://github.com/citation-style-language/schema/raw/master/csl-citation.json"}</w:instrText>
      </w:r>
      <w:r>
        <w:fldChar w:fldCharType="separate"/>
      </w:r>
      <w:bookmarkStart w:id="169" w:name="__Fieldmark__6884_3027855847"/>
      <w:r w:rsidRPr="004303B2">
        <w:rPr>
          <w:noProof/>
          <w:vertAlign w:val="superscript"/>
        </w:rPr>
        <w:t>10</w:t>
      </w:r>
      <w:r>
        <w:fldChar w:fldCharType="end"/>
      </w:r>
      <w:bookmarkEnd w:id="169"/>
      <w:r>
        <w:t xml:space="preserve">. Indeed, the global Spearman correlation between non-zero shifts from forest to short vegetation and the ESA CCI derived percentage increase in cropland at the 5’ resolution is only 0.18.  We therefore also quantified the proportional overlap of the AVHRR data between 1992 and 2015, thereby enabling us to make a like-to-like comparison of how well areas of high deviation from the 1992 Null model overlap with deforestation frontiers before and after 1992.  </w:t>
      </w:r>
    </w:p>
    <w:p w14:paraId="07270B98" w14:textId="77777777" w:rsidR="00E66369" w:rsidRDefault="00E66369" w:rsidP="00E66369">
      <w:r>
        <w:t>As breaking the 1982 to 2016 time series used in Song et al into two separate time slices reduces the sample size for per-pixel trend analyses, we ran the 1982-1992 and 1992-2015 analyses at 0.08</w:t>
      </w:r>
      <w:r>
        <w:rPr>
          <w:rFonts w:cstheme="minorHAnsi"/>
        </w:rPr>
        <w:t>°</w:t>
      </w:r>
      <w:r>
        <w:t>, rather than 0.05</w:t>
      </w:r>
      <w:r>
        <w:rPr>
          <w:rFonts w:cstheme="minorHAnsi"/>
        </w:rPr>
        <w:t xml:space="preserve">° in the original analysis. Specifically, we first resampled the annual tree cover (TC) and short vegetation (SV) layers from 0.05° to 0.04° using bilinear resampling and aggregated them from 0.04° to 0.08° – taking the mean value of each 2 x 2 window. We tested non-parametric trends with the aggregated data, separately for TC and SV, following </w:t>
      </w:r>
      <w:r>
        <w:fldChar w:fldCharType="begin" w:fldLock="1"/>
      </w:r>
      <w:r>
        <w:instrText>ADDIN CSL_CITATION {"citationItems":[{"id":"ITEM-1","itemData":{"DOI":"10.1038/s41586-018-0411-9","ISSN":"14764687","abstract":"Land change is a cause and consequence of global environmental change 1,2 . Changes in land use and land cover considerably alter the Earth’s energy balance and biogeochemical cycles, which contributes to climate change and—in turn—affects land surface properties and the provision of ecosystem services 1–4 . However, quantification of global land change is lacking. Here we analyse 35 years’ worth of satellite data and provide a comprehensive record of global land-change dynamics during the period 1982–2016. We show that—contrary to the prevailing view that forest area has declined globally 5 —tree cover has increased by 2.24 million km 2 (+7.1% relative to the 1982 level). This overall net gain is the result of a net loss in the tropics being outweighed by a net gain in the extratropics. Global bare ground cover has decreased by 1.16 million km 2 (−3.1%), most notably in agricultural regions in Asia. Of all land changes, 60% are associated with direct human activities and 40% with indirect drivers such as climate change. Land-use change exhibits regional dominance, including tropical deforestation and agricultural expansion, temperate reforestation or afforestation, cropland intensification and urbanization. Consistently across all climate domains, montane systems have gained tree cover and many arid and semi-arid ecosystems have lost vegetation cover. The mapped land changes and the driver attributions reflect a human-dominated Earth system. The dataset we developed may be used to improve the modelling of land-use changes, biogeochemical cycles and vegetation–climate interactions to advance our understanding of global environmental change 1–4,6 .","author":[{"dropping-particle":"","family":"Song","given":"Xiao Peng","non-dropping-particle":"","parse-names":false,"suffix":""},{"dropping-particle":"","family":"Hansen","given":"Matthew C","non-dropping-particle":"","parse-names":false,"suffix":""},{"dropping-particle":"V.","family":"Stehman","given":"Stephen","non-dropping-particle":"","parse-names":false,"suffix":""},{"dropping-particle":"V.","family":"Potapov","given":"Peter","non-dropping-particle":"","parse-names":false,"suffix":""},{"dropping-particle":"","family":"Tyukavina","given":"Alexandra","non-dropping-particle":"","parse-names":false,"suffix":""},{"dropping-particle":"","family":"Vermote","given":"Eric F","non-dropping-particle":"","parse-names":false,"suffix":""},{"dropping-particle":"","family":"Townshend","given":"John R","non-dropping-particle":"","parse-names":false,"suffix":""}],"container-title":"Nature","id":"ITEM-1","issue":"7720","issued":{"date-parts":[["2018","8","8"]]},"page":"639-643","publisher":"Springer US","title":"Global land change from 1982 to 2016","type":"article","volume":"560"},"uris":["http://www.mendeley.com/documents/?uuid=a04d6a29-019d-48a3-be33-017b7016a380"]}],"mendeley":{"formattedCitation":"&lt;sup&gt;9&lt;/sup&gt;","plainTextFormattedCitation":"9","previouslyFormattedCitation":"&lt;sup&gt;9&lt;/sup&gt;"},"properties":{"noteIndex":0},"schema":"https://github.com/citation-style-language/schema/raw/master/csl-citation.json"}</w:instrText>
      </w:r>
      <w:r>
        <w:fldChar w:fldCharType="separate"/>
      </w:r>
      <w:bookmarkStart w:id="170" w:name="__Fieldmark__6940_3027855847"/>
      <w:r w:rsidRPr="004303B2">
        <w:rPr>
          <w:rFonts w:cstheme="minorHAnsi"/>
          <w:noProof/>
          <w:vertAlign w:val="superscript"/>
        </w:rPr>
        <w:t>9</w:t>
      </w:r>
      <w:r>
        <w:fldChar w:fldCharType="end"/>
      </w:r>
      <w:bookmarkEnd w:id="170"/>
      <w:r>
        <w:rPr>
          <w:rFonts w:cstheme="minorHAnsi"/>
        </w:rPr>
        <w:t xml:space="preserve">. Then, a TC-to-SV transition was identified such that TC showed a statistically significant decreasing trend (p&lt;0.05) and SV showed a statistically significant increasing trend (p&lt;0.05). We computed the Theil-Sen slopes for TC change and SV </w:t>
      </w:r>
      <w:proofErr w:type="gramStart"/>
      <w:r>
        <w:rPr>
          <w:rFonts w:cstheme="minorHAnsi"/>
        </w:rPr>
        <w:t>change, and</w:t>
      </w:r>
      <w:proofErr w:type="gramEnd"/>
      <w:r>
        <w:rPr>
          <w:rFonts w:cstheme="minorHAnsi"/>
        </w:rPr>
        <w:t xml:space="preserve"> took the smaller of the two as the annualized TC-to-SV change. We then converted it to total percentage change over the length of the specific time period. This was carried out separately for 1982-1992 and 1992-2015. Results are shown in Table S9. </w:t>
      </w:r>
    </w:p>
    <w:p w14:paraId="7FF488AD" w14:textId="77777777" w:rsidR="00E66369" w:rsidRPr="00D4445A" w:rsidRDefault="00E66369" w:rsidP="00E66369">
      <w:r w:rsidRPr="00AF1186">
        <w:rPr>
          <w:u w:val="single"/>
        </w:rPr>
        <w:t>Sensitivity testing of results to the assumptions of the ESA CCI crop map</w:t>
      </w:r>
      <w:r w:rsidRPr="00D4445A">
        <w:t xml:space="preserve"> </w:t>
      </w:r>
    </w:p>
    <w:p w14:paraId="632C5978" w14:textId="77777777" w:rsidR="00E66369" w:rsidRDefault="00E66369" w:rsidP="00E66369">
      <w:r>
        <w:t xml:space="preserve">In the main analysis, we excluding mosaic land cover classes. This could have disproportionately affected smallholder systems, and hence smallholder expansion driven frontiers.  We therefore re-ran our analyses to include cropland represented by mosaic land cover classes, as well as the 100% cropland (10, 11, and 12) land cover classes. The two mosaic land cover classes in the ESA CCI dataset are 30 (&gt;50% cropland) and 40 (&lt;50% cropland). In absence of additional data, we assumed class 30 was 75% cropland, and class 40 25% cropland. Results are shown in Table S5 (‘extent’) and Table S6 (‘expansion’). </w:t>
      </w:r>
    </w:p>
    <w:p w14:paraId="37713DEA" w14:textId="77777777" w:rsidR="00E66369" w:rsidRDefault="00E66369" w:rsidP="00E66369">
      <w:r>
        <w:t>As land cover products vary enormously in their estimates of cropland</w:t>
      </w:r>
      <w:r>
        <w:fldChar w:fldCharType="begin" w:fldLock="1"/>
      </w:r>
      <w:r>
        <w:instrText>ADDIN CSL_CITATION {"citationItems":[{"id":"ITEM-1","itemData":{"DOI":"10.3390/rs9111118","ISBN":"3903327867","ISSN":"20724292","abstract":"Accurate and reliable information on the spatial distribution of major crops is needed for detecting possible production deficits with the aim of preventing food security crises and anticipating response planning. In this paper, we compared some of the most widely used global land cover datasets to examine their comparative advantages for cropland monitoring. Cropland class areas are compared for the following datasets: FAO-GLCshare (FAO Global Land Cover Network), Geowiki IIASA-Hybrid (Hybrid global land cover map from the International Institute of Applied System Analysis), GLC2000 (Global Land Cover 2000), GLCNMO2008 (Global Land Cover by National Mapping Organizations), GlobCover, Globeland30, LC-CCI (Land Cover Climate Change Initiative) 2010 and 2015, and MODISLC (MODIS Land Cover product). The methodology involves: (1) highlighting discrepancies in the extent and spatial distribution of cropland, (2) comparing the areas with FAO agricultural statistics at the country level, and (3) providing accuracy assessment through freely available reference datasets. Recommendations for crop monitoring at the country level are based on a priority ranking derived from the results obtained from analyses 2 and 3. Our results revealed that cropland information varies substantially among the analyzed land cover datasets. FAO-GLCshare and Globeland30 generally provided adequate results to monitor cropland areas, whereas LC-CCI2010 and GLC2000 are less unsuitable due to large overestimations in the former and out of date information and low accuracy in the latter. The recently launched LC-CCI datasets (i.e., LC-CCI2015) show a higher potential for cropland monitoring uses than the previous version (i.e., LC-CCI2010).","author":[{"dropping-particle":"","family":"Pérez-Hoyos","given":"Ana","non-dropping-particle":"","parse-names":false,"suffix":""},{"dropping-particle":"","family":"Rembold","given":"Felix","non-dropping-particle":"","parse-names":false,"suffix":""},{"dropping-particle":"","family":"Kerdiles","given":"Hervé","non-dropping-particle":"","parse-names":false,"suffix":""},{"dropping-particle":"","family":"Gallego","given":"Javier","non-dropping-particle":"","parse-names":false,"suffix":""}],"container-title":"Remote Sensing","id":"ITEM-1","issue":"11","issued":{"date-parts":[["2017"]]},"title":"Comparison of global land cover datasets for cropland monitoring","type":"article-journal","volume":"9"},"uris":["http://www.mendeley.com/documents/?uuid=0b13b0fd-3744-4a4c-ab8e-f57679874513"]}],"mendeley":{"formattedCitation":"&lt;sup&gt;11&lt;/sup&gt;","plainTextFormattedCitation":"11","previouslyFormattedCitation":"&lt;sup&gt;11&lt;/sup&gt;"},"properties":{"noteIndex":0},"schema":"https://github.com/citation-style-language/schema/raw/master/csl-citation.json"}</w:instrText>
      </w:r>
      <w:r>
        <w:fldChar w:fldCharType="separate"/>
      </w:r>
      <w:r w:rsidRPr="00CD54F8">
        <w:rPr>
          <w:noProof/>
          <w:vertAlign w:val="superscript"/>
        </w:rPr>
        <w:t>11</w:t>
      </w:r>
      <w:r>
        <w:fldChar w:fldCharType="end"/>
      </w:r>
      <w:r>
        <w:t>, we  also re-ran all ‘extent’ and ‘expansion’ models for both the ESA CCI dataset (used in the main analysis), and the MODIS 6 land cover product</w:t>
      </w:r>
      <w:r>
        <w:fldChar w:fldCharType="begin" w:fldLock="1"/>
      </w:r>
      <w:r>
        <w:instrText>ADDIN CSL_CITATION {"citationItems":[{"id":"ITEM-1","itemData":{"DOI":"https://doi.org/10.5067/MODIS/MCD12C1.006","ISBN":"6371007.181","abstract":"The MODIS Land Cover Type Product (MCD12Q1) provides a suite of science data sets (SDSs) that map global land cover at 500 meter spatial resolution at annual time step for six different land cover legends. The maps were created from classifications of spectro-temporal features derived of data from the Moderate Resolution Imaging Spectroradiometer (MODIS). This user guide provides the following information related to the C6 product: 1. An overview of the MCD12Q1 algorithm, with references to published literature where more details can be found.","author":[{"dropping-particle":"","family":"Sulla-Menashe","given":"Damien","non-dropping-particle":"","parse-names":false,"suffix":""},{"dropping-particle":"","family":"Friedl","given":"Mark A","non-dropping-particle":"","parse-names":false,"suffix":""}],"id":"ITEM-1","issue":"Figure 1","issued":{"date-parts":[["2018"]]},"page":"1-18","title":"User Guide to Collection 6 MODIS Land Cover (MCD12Q1 and MCD12C1) Product","type":"article-journal"},"uris":["http://www.mendeley.com/documents/?uuid=14d7c2cb-984b-46e9-9e6b-74f7105821b1"]}],"mendeley":{"formattedCitation":"&lt;sup&gt;12&lt;/sup&gt;","plainTextFormattedCitation":"12","previouslyFormattedCitation":"&lt;sup&gt;12&lt;/sup&gt;"},"properties":{"noteIndex":0},"schema":"https://github.com/citation-style-language/schema/raw/master/csl-citation.json"}</w:instrText>
      </w:r>
      <w:r>
        <w:fldChar w:fldCharType="separate"/>
      </w:r>
      <w:r w:rsidRPr="00CD54F8">
        <w:rPr>
          <w:noProof/>
          <w:vertAlign w:val="superscript"/>
        </w:rPr>
        <w:t>12</w:t>
      </w:r>
      <w:r>
        <w:fldChar w:fldCharType="end"/>
      </w:r>
      <w:r>
        <w:t xml:space="preserve"> over the period (2001-2015) for which time series are available for both datasets. We only considered ‘pure’ cropland classes (100% cropland; classes, 10, 11, and 20 for ESA CCI; class 12 for MODIS 6 to align with the main analysis (distributions shown in Fig S3). We also followed the same method for calculating cropland change as for the main analysis (distributions shown in Fig S4). Specifically, we calculated the increase in cropland between 2001 and 2015 at the 300 x 300 m resolution (for the ESA CCI data) or 500 x 500 m resolution (MODIS 6 data) by </w:t>
      </w:r>
      <w:r>
        <w:lastRenderedPageBreak/>
        <w:t>identifying pixels classified as cropland as outlined above in 2015, but not classified as cropland in 2001. We then calculated the percentage cropland cover (for 2001) and change in cropland cover (2001 to 2015) per 5’ x 5’ arcminute pixel (approximately 10 km x 10 km at the equator), using the ESA CCI 150 x 150 m resolution water mask (resampled for the MODIS data).  We then calculated the land available for crops in 2001 using the same methods as before (though run at 500 x 500 m resolution for the MODIS data), but used world protected area database from 2001 instead of 1992</w:t>
      </w:r>
      <w:r>
        <w:fldChar w:fldCharType="begin" w:fldLock="1"/>
      </w:r>
      <w:r>
        <w:instrText>ADDIN CSL_CITATION {"citationItems":[{"id":"ITEM-1","itemData":{"author":[{"dropping-particle":"","family":"Bingham","given":"Heather C","non-dropping-particle":"","parse-names":false,"suffix":""},{"dropping-particle":"","family":"Deguignet","given":"Marine","non-dropping-particle":"","parse-names":false,"suffix":""},{"dropping-particle":"","family":"Lewis","given":"Edward","non-dropping-particle":"","parse-names":false,"suffix":""},{"dropping-particle":"","family":"Stewart","given":"Jessica","non-dropping-particle":"","parse-names":false,"suffix":""},{"dropping-particle":"","family":"Juffe-Bignoli","given":"Diego","non-dropping-particle":"","parse-names":false,"suffix":""},{"dropping-particle":"","family":"MacSharry","given":"Brian","non-dropping-particle":"","parse-names":false,"suffix":""},{"dropping-particle":"","family":"Milam","given":"Amy","non-dropping-particle":"","parse-names":false,"suffix":""},{"dropping-particle":"","family":"Kingston","given":"Naomi","non-dropping-particle":"","parse-names":false,"suffix":""}],"id":"ITEM-1","issued":{"date-parts":[["2019"]]},"title":"User Manual for the World Database on Protected Areas and world database on other effective area-based conservation measures: 1.6","type":"report"},"uris":["http://www.mendeley.com/documents/?uuid=dbc50110-17a0-316d-975b-a19327fde277"]}],"mendeley":{"formattedCitation":"&lt;sup&gt;13&lt;/sup&gt;","plainTextFormattedCitation":"13","previouslyFormattedCitation":"&lt;sup&gt;13&lt;/sup&gt;"},"properties":{"noteIndex":0},"schema":"https://github.com/citation-style-language/schema/raw/master/csl-citation.json"}</w:instrText>
      </w:r>
      <w:r>
        <w:fldChar w:fldCharType="separate"/>
      </w:r>
      <w:r w:rsidRPr="00AF1186">
        <w:rPr>
          <w:noProof/>
          <w:vertAlign w:val="superscript"/>
        </w:rPr>
        <w:t>13</w:t>
      </w:r>
      <w:r>
        <w:fldChar w:fldCharType="end"/>
      </w:r>
      <w:r>
        <w:t xml:space="preserve"> to exclude protected areas within these calculations. We then re-ran all ‘extent’ (Model 1) and ‘expansion’ (Model 2 and Model 3) analyses, using the same equations by updated key predictors to align as closely as possible to 2001 (as opposed to 1992 in the base analysis). Specifically, instead of using population density in 1990</w:t>
      </w:r>
      <w:r>
        <w:fldChar w:fldCharType="begin" w:fldLock="1"/>
      </w:r>
      <w:r>
        <w:instrText>ADDIN CSL_CITATION {"citationItems":[{"id":"ITEM-1","itemData":{"DOI":"http://dx.doi.org/10.7927/H4ST7MRB","id":"ITEM-1","issued":{"date-parts":[["2005"]]},"publisher":"NASA Socioeconomic Data and Applications Center (SEDAC)","title":"Gridded Population of the World, Version 3 (GPWv3): Population Density Grid, Future Estimates","type":"article"},"uris":["http://www.mendeley.com/documents/?uuid=571fe342-3ec5-4f58-965e-189ccef2048f"]}],"mendeley":{"formattedCitation":"&lt;sup&gt;2&lt;/sup&gt;","plainTextFormattedCitation":"2","previouslyFormattedCitation":"&lt;sup&gt;2&lt;/sup&gt;"},"properties":{"noteIndex":0},"schema":"https://github.com/citation-style-language/schema/raw/master/csl-citation.json"}</w:instrText>
      </w:r>
      <w:r>
        <w:fldChar w:fldCharType="separate"/>
      </w:r>
      <w:r w:rsidRPr="00276B57">
        <w:rPr>
          <w:noProof/>
          <w:vertAlign w:val="superscript"/>
        </w:rPr>
        <w:t>2</w:t>
      </w:r>
      <w:r>
        <w:fldChar w:fldCharType="end"/>
      </w:r>
      <w:r>
        <w:t>, we used population density in 2000</w:t>
      </w:r>
      <w:r>
        <w:fldChar w:fldCharType="begin" w:fldLock="1"/>
      </w:r>
      <w:r>
        <w:instrText>ADDIN CSL_CITATION {"citationItems":[{"id":"ITEM-1","itemData":{"DOI":"10.1080/23754931.2015.1014272","ISSN":"2375494X","abstract":"Global gridded population data are increasingly being applied to a broad range of fields. This article presents improvements made in the fourth version of the Gridded Population of the World (GPWv4) data set. GPWv4 is a minimally modeled data set that uses uniform distribution to disaggregate census data from their native input units into a thirty arc-second global grid. Due to an increase in freely accessible census data from the 2010 round of censuses, eighty-seven countries are gridded at a higher administrative level than in the previous version, with a more than fivefold increase in the total number of census units outside of the United States. The resultant decrease in unit size has greatly improved the data set accuracy. Additionally, version 4 has expanded to include grids of age, sex, and urban–rural status. Obtaining high-resolution census data and matching census geography remains a priority for improving global gridded population data sets.","author":[{"dropping-particle":"","family":"Doxsey-Whitfield","given":"Erin","non-dropping-particle":"","parse-names":false,"suffix":""},{"dropping-particle":"","family":"MacManus","given":"Kytt","non-dropping-particle":"","parse-names":false,"suffix":""},{"dropping-particle":"","family":"Adamo","given":"Susana B.","non-dropping-particle":"","parse-names":false,"suffix":""},{"dropping-particle":"","family":"Pistolesi","given":"Linda","non-dropping-particle":"","parse-names":false,"suffix":""},{"dropping-particle":"","family":"Squires","given":"John","non-dropping-particle":"","parse-names":false,"suffix":""},{"dropping-particle":"","family":"Borkovska","given":"Olena","non-dropping-particle":"","parse-names":false,"suffix":""},{"dropping-particle":"","family":"Baptista","given":"Sandra R.","non-dropping-particle":"","parse-names":false,"suffix":""}],"container-title":"Papers in Applied Geography","id":"ITEM-1","issue":"3","issued":{"date-parts":[["2015"]]},"page":"226-234","title":"Taking Advantage of the Improved Availability of Census Data: A First Look at the Gridded Population of the World, Version 4","type":"article-journal","volume":"1"},"uris":["http://www.mendeley.com/documents/?uuid=85ac14b6-6fcb-4615-a1f5-cd4124182582"]}],"mendeley":{"formattedCitation":"&lt;sup&gt;14&lt;/sup&gt;","plainTextFormattedCitation":"14","previouslyFormattedCitation":"&lt;sup&gt;14&lt;/sup&gt;"},"properties":{"noteIndex":0},"schema":"https://github.com/citation-style-language/schema/raw/master/csl-citation.json"}</w:instrText>
      </w:r>
      <w:r>
        <w:fldChar w:fldCharType="separate"/>
      </w:r>
      <w:r w:rsidRPr="00AF1186">
        <w:rPr>
          <w:noProof/>
          <w:vertAlign w:val="superscript"/>
        </w:rPr>
        <w:t>14</w:t>
      </w:r>
      <w:r>
        <w:fldChar w:fldCharType="end"/>
      </w:r>
      <w:r>
        <w:t>; GDP in 2001 instead of 1992</w:t>
      </w:r>
      <w:r>
        <w:fldChar w:fldCharType="begin" w:fldLock="1"/>
      </w:r>
      <w:r>
        <w:instrText>ADDIN CSL_CITATION {"citationItems":[{"id":"ITEM-1","itemData":{"DOI":"10.1038/sdata.2018.4","ISSN":"20524463","abstract":"Gridded global datasets for Gross Domestic Product and Human Development Index over 1990–2015","author":[{"dropping-particle":"","family":"Kummu","given":"Matti","non-dropping-particle":"","parse-names":false,"suffix":""},{"dropping-particle":"","family":"Taka","given":"Maija","non-dropping-particle":"","parse-names":false,"suffix":""},{"dropping-particle":"","family":"Guillaume","given":"Joseph H.A.","non-dropping-particle":"","parse-names":false,"suffix":""}],"container-title":"Scientific Data","id":"ITEM-1","issued":{"date-parts":[["2018"]]},"page":"1-15","title":"Gridded global datasets for Gross Domestic Product and Human Development Index over 1990-2015","type":"article-journal","volume":"5"},"uris":["http://www.mendeley.com/documents/?uuid=09ae6276-eb88-4a44-a478-0deb8bf707db"]}],"mendeley":{"formattedCitation":"&lt;sup&gt;1&lt;/sup&gt;","plainTextFormattedCitation":"1","previouslyFormattedCitation":"&lt;sup&gt;1&lt;/sup&gt;"},"properties":{"noteIndex":0},"schema":"https://github.com/citation-style-language/schema/raw/master/csl-citation.json"}</w:instrText>
      </w:r>
      <w:r>
        <w:fldChar w:fldCharType="separate"/>
      </w:r>
      <w:r w:rsidRPr="00276B57">
        <w:rPr>
          <w:noProof/>
          <w:vertAlign w:val="superscript"/>
        </w:rPr>
        <w:t>1</w:t>
      </w:r>
      <w:r>
        <w:fldChar w:fldCharType="end"/>
      </w:r>
      <w:r>
        <w:t xml:space="preserve">. </w:t>
      </w:r>
      <w:proofErr w:type="spellStart"/>
      <w:r>
        <w:t>Frontierness</w:t>
      </w:r>
      <w:proofErr w:type="spellEnd"/>
      <w:r>
        <w:t xml:space="preserve"> in the ‘expansion’ analysis was always based on the deviations from the corresponding ‘extent’ analysis (e.g. </w:t>
      </w:r>
      <w:proofErr w:type="spellStart"/>
      <w:r>
        <w:t>frontierness</w:t>
      </w:r>
      <w:proofErr w:type="spellEnd"/>
      <w:r>
        <w:t xml:space="preserve"> in the ‘expansion’ analysis using MODIS data for 2001-2015 was based on the ‘extent’ analysis based on MODIS data for 2001). </w:t>
      </w:r>
    </w:p>
    <w:p w14:paraId="0E611460" w14:textId="77777777" w:rsidR="00E66369" w:rsidRPr="00AF1186" w:rsidRDefault="00E66369" w:rsidP="00E66369">
      <w:r>
        <w:t xml:space="preserve">Finally, we checked to see if our results were robust to potential noise in the specific endpoint we used (2015). Specifically, we re-ran our main ‘expansion’ analysis for the years 1992-2013, rather than 1992-2015 (Table S5). </w:t>
      </w:r>
    </w:p>
    <w:p w14:paraId="3D575C99" w14:textId="77777777" w:rsidR="00E66369" w:rsidRDefault="00E66369" w:rsidP="00E66369">
      <w:pPr>
        <w:rPr>
          <w:u w:val="single"/>
        </w:rPr>
      </w:pPr>
      <w:r>
        <w:rPr>
          <w:u w:val="single"/>
        </w:rPr>
        <w:t xml:space="preserve">Creation of geospatial files of </w:t>
      </w:r>
      <w:proofErr w:type="spellStart"/>
      <w:r>
        <w:rPr>
          <w:u w:val="single"/>
        </w:rPr>
        <w:t>frontierness</w:t>
      </w:r>
      <w:proofErr w:type="spellEnd"/>
      <w:r>
        <w:rPr>
          <w:u w:val="single"/>
        </w:rPr>
        <w:t xml:space="preserve"> for 1992 and 2015</w:t>
      </w:r>
    </w:p>
    <w:p w14:paraId="5B883C7C" w14:textId="77777777" w:rsidR="00E66369" w:rsidRDefault="00E66369" w:rsidP="00E66369">
      <w:pPr>
        <w:rPr>
          <w:i/>
        </w:rPr>
      </w:pPr>
      <w:r>
        <w:t>We provide global 5’ x 5’ resolution geospatial files (.</w:t>
      </w:r>
      <w:proofErr w:type="spellStart"/>
      <w:r>
        <w:t>tif</w:t>
      </w:r>
      <w:proofErr w:type="spellEnd"/>
      <w:r>
        <w:t xml:space="preserve">) of </w:t>
      </w:r>
      <w:proofErr w:type="spellStart"/>
      <w:r>
        <w:t>frontierness</w:t>
      </w:r>
      <w:proofErr w:type="spellEnd"/>
      <w:r>
        <w:t xml:space="preserve"> for 1992 and 2015, based on the main analysis (ESA CCI data; mosaic land cover classes excluded). Values for both files are standardized between 0 and 1, exclude areas that are not </w:t>
      </w:r>
      <w:proofErr w:type="spellStart"/>
      <w:r>
        <w:t>bioclimatically</w:t>
      </w:r>
      <w:proofErr w:type="spellEnd"/>
      <w:r>
        <w:t xml:space="preserve"> suitable (Methods), and are in geographic projection. The 1992 file is the standardized deviations from the global Null Model, as described in the Methods. Note Population Density is from 1990: </w:t>
      </w:r>
    </w:p>
    <w:p w14:paraId="14855843" w14:textId="77777777" w:rsidR="00E66369" w:rsidRDefault="00E66369" w:rsidP="00E66369">
      <m:oMathPara>
        <m:oMath>
          <m:r>
            <m:rPr>
              <m:sty m:val="p"/>
            </m:rPr>
            <w:rPr>
              <w:rFonts w:ascii="Cambria Math" w:hAnsi="Cambria Math"/>
            </w:rPr>
            <m:t>Cropland∈1992</m:t>
          </m:r>
          <m:d>
            <m:dPr>
              <m:ctrlPr>
                <w:rPr>
                  <w:rFonts w:ascii="Cambria Math" w:hAnsi="Cambria Math"/>
                </w:rPr>
              </m:ctrlPr>
            </m:dPr>
            <m:e>
              <m:r>
                <m:rPr>
                  <m:sty m:val="p"/>
                </m:rPr>
                <w:rPr>
                  <w:rFonts w:ascii="Cambria Math" w:hAnsi="Cambria Math"/>
                </w:rPr>
                <m:t>globally</m:t>
              </m:r>
            </m:e>
          </m:d>
          <m:r>
            <m:rPr>
              <m:sty m:val="p"/>
            </m:rPr>
            <w:rPr>
              <w:rFonts w:ascii="Cambria Math" w:hAnsi="Cambria Math"/>
            </w:rPr>
            <m:t xml:space="preserve"> Bioclimaticsuitability+Access+Steepness+Populationdensity+GDP1992+Bioclimaticsuitability*Access+Steepness*Access+Bioclimaticsuitability*Populationdensity+Steepness*Populationdensity+GPD1992*Acccess+GDP1992*Steeepness+GDP1992*Bioclimaticsuitability+GDP1992*Populationdensity</m:t>
          </m:r>
        </m:oMath>
      </m:oMathPara>
    </w:p>
    <w:p w14:paraId="5A97B571" w14:textId="77777777" w:rsidR="00E66369" w:rsidRDefault="00E66369" w:rsidP="00E66369">
      <w:r>
        <w:t xml:space="preserve">  The 2015 file is identical in structure, but with the 2015 cropland data as the response, and updated datasets where these are available (GDP for </w:t>
      </w:r>
      <w:proofErr w:type="gramStart"/>
      <w:r>
        <w:t>2015  and</w:t>
      </w:r>
      <w:proofErr w:type="gramEnd"/>
      <w:r>
        <w:t xml:space="preserve"> Population Density for 2015). The 2015 GDP data comes from </w:t>
      </w:r>
      <w:r>
        <w:fldChar w:fldCharType="begin" w:fldLock="1"/>
      </w:r>
      <w:r>
        <w:instrText>ADDIN CSL_CITATION {"citationItems":[{"id":"ITEM-1","itemData":{"DOI":"10.1038/sdata.2018.4","ISSN":"20524463","abstract":"Gridded global datasets for Gross Domestic Product and Human Development Index over 1990–2015","author":[{"dropping-particle":"","family":"Kummu","given":"Matti","non-dropping-particle":"","parse-names":false,"suffix":""},{"dropping-particle":"","family":"Taka","given":"Maija","non-dropping-particle":"","parse-names":false,"suffix":""},{"dropping-particle":"","family":"Guillaume","given":"Joseph H.A.","non-dropping-particle":"","parse-names":false,"suffix":""}],"container-title":"Scientific Data","id":"ITEM-1","issued":{"date-parts":[["2018"]]},"page":"1-15","title":"Gridded global datasets for Gross Domestic Product and Human Development Index over 1990-2015","type":"article-journal","volume":"5"},"uris":["http://www.mendeley.com/documents/?uuid=4e31057d-1c07-47db-9015-ef8a79be6c88"]}],"mendeley":{"formattedCitation":"&lt;sup&gt;1&lt;/sup&gt;","plainTextFormattedCitation":"1","previouslyFormattedCitation":"&lt;sup&gt;1&lt;/sup&gt;"},"properties":{"noteIndex":0},"schema":"https://github.com/citation-style-language/schema/raw/master/csl-citation.json"}</w:instrText>
      </w:r>
      <w:r>
        <w:fldChar w:fldCharType="separate"/>
      </w:r>
      <w:bookmarkStart w:id="171" w:name="__Fieldmark__6987_3027855847"/>
      <w:r w:rsidRPr="004303B2">
        <w:rPr>
          <w:noProof/>
          <w:vertAlign w:val="superscript"/>
        </w:rPr>
        <w:t>1</w:t>
      </w:r>
      <w:r>
        <w:fldChar w:fldCharType="end"/>
      </w:r>
      <w:bookmarkEnd w:id="171"/>
      <w:r>
        <w:t xml:space="preserve"> (the same as the 1992 GDP data), while the Population Density data for 2015 comes from SEDAC v4 </w:t>
      </w:r>
      <w:r>
        <w:fldChar w:fldCharType="begin" w:fldLock="1"/>
      </w:r>
      <w:r>
        <w:instrText>ADDIN CSL_CITATION {"citationItems":[{"id":"ITEM-1","itemData":{"DOI":"10.1080/23754931.2015.1014272","ISSN":"2375494X","abstract":"Global gridded population data are increasingly being applied to a broad range of fields. This article presents improvements made in the fourth version of the Gridded Population of the World (GPWv4) data set. GPWv4 is a minimally modeled data set that uses uniform distribution to disaggregate census data from their native input units into a thirty arc-second global grid. Due to an increase in freely accessible census data from the 2010 round of censuses, eighty-seven countries are gridded at a higher administrative level than in the previous version, with a more than fivefold increase in the total number of census units outside of the United States. The resultant decrease in unit size has greatly improved the data set accuracy. Additionally, version 4 has expanded to include grids of age, sex, and urban–rural status. Obtaining high-resolution census data and matching census geography remains a priority for improving global gridded population data sets.","author":[{"dropping-particle":"","family":"Doxsey-Whitfield","given":"Erin","non-dropping-particle":"","parse-names":false,"suffix":""},{"dropping-particle":"","family":"MacManus","given":"Kytt","non-dropping-particle":"","parse-names":false,"suffix":""},{"dropping-particle":"","family":"Adamo","given":"Susana B.","non-dropping-particle":"","parse-names":false,"suffix":""},{"dropping-particle":"","family":"Pistolesi","given":"Linda","non-dropping-particle":"","parse-names":false,"suffix":""},{"dropping-particle":"","family":"Squires","given":"John","non-dropping-particle":"","parse-names":false,"suffix":""},{"dropping-particle":"","family":"Borkovska","given":"Olena","non-dropping-particle":"","parse-names":false,"suffix":""},{"dropping-particle":"","family":"Baptista","given":"Sandra R.","non-dropping-particle":"","parse-names":false,"suffix":""}],"container-title":"Papers in Applied Geography","id":"ITEM-1","issue":"3","issued":{"date-parts":[["2015"]]},"page":"226-234","title":"Taking Advantage of the Improved Availability of Census Data: A First Look at the Gridded Population of the World, Version 4","type":"article-journal","volume":"1"},"uris":["http://www.mendeley.com/documents/?uuid=85ac14b6-6fcb-4615-a1f5-cd4124182582"]}],"mendeley":{"formattedCitation":"&lt;sup&gt;14&lt;/sup&gt;","plainTextFormattedCitation":"14","previouslyFormattedCitation":"&lt;sup&gt;14&lt;/sup&gt;"},"properties":{"noteIndex":0},"schema":"https://github.com/citation-style-language/schema/raw/master/csl-citation.json"}</w:instrText>
      </w:r>
      <w:r>
        <w:fldChar w:fldCharType="separate"/>
      </w:r>
      <w:bookmarkStart w:id="172" w:name="__Fieldmark__6993_3027855847"/>
      <w:r w:rsidRPr="00AF1186">
        <w:rPr>
          <w:noProof/>
          <w:vertAlign w:val="superscript"/>
        </w:rPr>
        <w:t>14</w:t>
      </w:r>
      <w:r>
        <w:fldChar w:fldCharType="end"/>
      </w:r>
      <w:bookmarkEnd w:id="172"/>
      <w:r>
        <w:t xml:space="preserve"> (as opposed to SEDAC v3 for the 1990 data</w:t>
      </w:r>
      <w:r>
        <w:fldChar w:fldCharType="begin" w:fldLock="1"/>
      </w:r>
      <w:r>
        <w:instrText>ADDIN CSL_CITATION {"citationItems":[{"id":"ITEM-1","itemData":{"DOI":"http://dx.doi.org/10.7927/H4ST7MRB","id":"ITEM-1","issued":{"date-parts":[["2005"]]},"publisher":"NASA Socioeconomic Data and Applications Center (SEDAC)","title":"Gridded Population of the World, Version 3 (GPWv3): Population Density Grid, Future Estimates","type":"article"},"uris":["http://www.mendeley.com/documents/?uuid=571fe342-3ec5-4f58-965e-189ccef2048f"]}],"mendeley":{"formattedCitation":"&lt;sup&gt;2&lt;/sup&gt;","plainTextFormattedCitation":"2","previouslyFormattedCitation":"&lt;sup&gt;2&lt;/sup&gt;"},"properties":{"noteIndex":0},"schema":"https://github.com/citation-style-language/schema/raw/master/csl-citation.json"}</w:instrText>
      </w:r>
      <w:r>
        <w:fldChar w:fldCharType="separate"/>
      </w:r>
      <w:bookmarkStart w:id="173" w:name="__Fieldmark__6999_3027855847"/>
      <w:r w:rsidRPr="004303B2">
        <w:rPr>
          <w:noProof/>
          <w:vertAlign w:val="superscript"/>
        </w:rPr>
        <w:t>2</w:t>
      </w:r>
      <w:r>
        <w:fldChar w:fldCharType="end"/>
      </w:r>
      <w:bookmarkEnd w:id="173"/>
      <w:r>
        <w:t xml:space="preserve">). </w:t>
      </w:r>
    </w:p>
    <w:p w14:paraId="0918853F" w14:textId="77777777" w:rsidR="00E66369" w:rsidRDefault="00E66369" w:rsidP="00E66369">
      <w:pPr>
        <w:sectPr w:rsidR="00E66369">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0" w:footer="708" w:gutter="0"/>
          <w:cols w:space="720"/>
          <w:formProt w:val="0"/>
          <w:docGrid w:linePitch="360" w:charSpace="8192"/>
        </w:sectPr>
      </w:pPr>
    </w:p>
    <w:p w14:paraId="0CBC8986" w14:textId="77777777" w:rsidR="00E66369" w:rsidRDefault="00E66369" w:rsidP="00E66369">
      <w:pPr>
        <w:rPr>
          <w:b/>
          <w:u w:val="single"/>
        </w:rPr>
      </w:pPr>
      <w:r>
        <w:rPr>
          <w:b/>
          <w:u w:val="single"/>
        </w:rPr>
        <w:lastRenderedPageBreak/>
        <w:t>Supplementary Tables</w:t>
      </w:r>
    </w:p>
    <w:p w14:paraId="37F47FAB" w14:textId="77777777" w:rsidR="00E66369" w:rsidRDefault="00E66369" w:rsidP="00E66369">
      <w:r>
        <w:rPr>
          <w:b/>
        </w:rPr>
        <w:t xml:space="preserve">Table S1 – Model </w:t>
      </w:r>
      <w:proofErr w:type="gramStart"/>
      <w:r>
        <w:rPr>
          <w:b/>
        </w:rPr>
        <w:t>coefficients  and</w:t>
      </w:r>
      <w:proofErr w:type="gramEnd"/>
      <w:r>
        <w:rPr>
          <w:b/>
        </w:rPr>
        <w:t xml:space="preserve"> McFadden pseudo-R</w:t>
      </w:r>
      <w:r>
        <w:rPr>
          <w:b/>
          <w:vertAlign w:val="superscript"/>
        </w:rPr>
        <w:t xml:space="preserve">2 </w:t>
      </w:r>
      <w:r>
        <w:rPr>
          <w:b/>
        </w:rPr>
        <w:t xml:space="preserve"> of the Null Model (Methods) of global cropland extent in 1992. </w:t>
      </w:r>
      <w:r>
        <w:t xml:space="preserve">The deviations from this model form the basis of the </w:t>
      </w:r>
      <w:proofErr w:type="spellStart"/>
      <w:r>
        <w:t>frontierness</w:t>
      </w:r>
      <w:proofErr w:type="spellEnd"/>
      <w:r>
        <w:t xml:space="preserve"> proxy. </w:t>
      </w:r>
    </w:p>
    <w:tbl>
      <w:tblPr>
        <w:tblW w:w="11380" w:type="dxa"/>
        <w:tblBorders>
          <w:bottom w:val="single" w:sz="4" w:space="0" w:color="000000"/>
          <w:insideH w:val="single" w:sz="4" w:space="0" w:color="000000"/>
        </w:tblBorders>
        <w:tblLook w:val="04A0" w:firstRow="1" w:lastRow="0" w:firstColumn="1" w:lastColumn="0" w:noHBand="0" w:noVBand="1"/>
      </w:tblPr>
      <w:tblGrid>
        <w:gridCol w:w="4661"/>
        <w:gridCol w:w="2280"/>
        <w:gridCol w:w="2220"/>
        <w:gridCol w:w="2219"/>
      </w:tblGrid>
      <w:tr w:rsidR="00E66369" w14:paraId="73B4F7E0" w14:textId="77777777" w:rsidTr="00534C40">
        <w:trPr>
          <w:trHeight w:val="290"/>
        </w:trPr>
        <w:tc>
          <w:tcPr>
            <w:tcW w:w="4660" w:type="dxa"/>
            <w:tcBorders>
              <w:top w:val="single" w:sz="4" w:space="0" w:color="auto"/>
              <w:bottom w:val="single" w:sz="4" w:space="0" w:color="000000"/>
            </w:tcBorders>
            <w:shd w:val="clear" w:color="auto" w:fill="auto"/>
            <w:vAlign w:val="bottom"/>
          </w:tcPr>
          <w:p w14:paraId="39D2A07C" w14:textId="77777777" w:rsidR="00E66369" w:rsidRDefault="00E66369" w:rsidP="00534C40">
            <w:pPr>
              <w:spacing w:after="0" w:line="240" w:lineRule="auto"/>
              <w:jc w:val="center"/>
              <w:rPr>
                <w:rFonts w:ascii="Calibri" w:eastAsia="Times New Roman" w:hAnsi="Calibri" w:cs="Calibri"/>
                <w:b/>
                <w:color w:val="000000"/>
                <w:lang w:eastAsia="en-GB"/>
              </w:rPr>
            </w:pPr>
            <w:r>
              <w:rPr>
                <w:rFonts w:eastAsia="Times New Roman" w:cs="Calibri"/>
                <w:b/>
                <w:color w:val="000000"/>
                <w:lang w:eastAsia="en-GB"/>
              </w:rPr>
              <w:t>Mean ± SE</w:t>
            </w:r>
          </w:p>
        </w:tc>
        <w:tc>
          <w:tcPr>
            <w:tcW w:w="2280" w:type="dxa"/>
            <w:tcBorders>
              <w:top w:val="single" w:sz="4" w:space="0" w:color="auto"/>
              <w:bottom w:val="single" w:sz="4" w:space="0" w:color="000000"/>
            </w:tcBorders>
            <w:shd w:val="clear" w:color="auto" w:fill="auto"/>
            <w:vAlign w:val="bottom"/>
          </w:tcPr>
          <w:p w14:paraId="606374F6" w14:textId="77777777" w:rsidR="00E66369" w:rsidRDefault="00E66369" w:rsidP="00534C40">
            <w:pPr>
              <w:spacing w:after="0" w:line="240" w:lineRule="auto"/>
              <w:jc w:val="center"/>
              <w:rPr>
                <w:rFonts w:ascii="Calibri" w:eastAsia="Times New Roman" w:hAnsi="Calibri" w:cs="Calibri"/>
                <w:b/>
                <w:bCs/>
                <w:color w:val="000000"/>
                <w:lang w:eastAsia="en-GB"/>
              </w:rPr>
            </w:pPr>
            <w:r>
              <w:rPr>
                <w:rFonts w:eastAsia="Times New Roman" w:cs="Calibri"/>
                <w:b/>
                <w:bCs/>
                <w:color w:val="000000"/>
                <w:lang w:eastAsia="en-GB"/>
              </w:rPr>
              <w:t>&gt; 0.5% cropland in 1992</w:t>
            </w:r>
          </w:p>
        </w:tc>
        <w:tc>
          <w:tcPr>
            <w:tcW w:w="2220" w:type="dxa"/>
            <w:tcBorders>
              <w:top w:val="single" w:sz="4" w:space="0" w:color="auto"/>
              <w:bottom w:val="single" w:sz="4" w:space="0" w:color="000000"/>
            </w:tcBorders>
            <w:shd w:val="clear" w:color="auto" w:fill="auto"/>
            <w:vAlign w:val="bottom"/>
          </w:tcPr>
          <w:p w14:paraId="628AD8E2" w14:textId="77777777" w:rsidR="00E66369" w:rsidRDefault="00E66369" w:rsidP="00534C40">
            <w:pPr>
              <w:spacing w:after="0" w:line="240" w:lineRule="auto"/>
              <w:jc w:val="center"/>
              <w:rPr>
                <w:rFonts w:ascii="Calibri" w:eastAsia="Times New Roman" w:hAnsi="Calibri" w:cs="Calibri"/>
                <w:b/>
                <w:bCs/>
                <w:color w:val="000000"/>
                <w:lang w:eastAsia="en-GB"/>
              </w:rPr>
            </w:pPr>
            <w:r>
              <w:rPr>
                <w:rFonts w:eastAsia="Times New Roman" w:cs="Calibri"/>
                <w:b/>
                <w:bCs/>
                <w:color w:val="000000"/>
                <w:lang w:eastAsia="en-GB"/>
              </w:rPr>
              <w:t>&gt; 10% cropland in 1992</w:t>
            </w:r>
          </w:p>
        </w:tc>
        <w:tc>
          <w:tcPr>
            <w:tcW w:w="2219" w:type="dxa"/>
            <w:tcBorders>
              <w:top w:val="single" w:sz="4" w:space="0" w:color="auto"/>
              <w:bottom w:val="single" w:sz="4" w:space="0" w:color="000000"/>
            </w:tcBorders>
            <w:shd w:val="clear" w:color="auto" w:fill="auto"/>
            <w:vAlign w:val="bottom"/>
          </w:tcPr>
          <w:p w14:paraId="03AF35F0" w14:textId="77777777" w:rsidR="00E66369" w:rsidRDefault="00E66369" w:rsidP="00534C40">
            <w:pPr>
              <w:spacing w:after="0" w:line="240" w:lineRule="auto"/>
              <w:jc w:val="center"/>
              <w:rPr>
                <w:rFonts w:ascii="Calibri" w:eastAsia="Times New Roman" w:hAnsi="Calibri" w:cs="Calibri"/>
                <w:b/>
                <w:bCs/>
                <w:color w:val="000000"/>
                <w:lang w:eastAsia="en-GB"/>
              </w:rPr>
            </w:pPr>
            <w:r>
              <w:rPr>
                <w:rFonts w:eastAsia="Times New Roman" w:cs="Calibri"/>
                <w:b/>
                <w:bCs/>
                <w:color w:val="000000"/>
                <w:lang w:eastAsia="en-GB"/>
              </w:rPr>
              <w:t>&gt; 50% cropland in 1992</w:t>
            </w:r>
          </w:p>
        </w:tc>
      </w:tr>
      <w:tr w:rsidR="00E66369" w14:paraId="4E991F87" w14:textId="77777777" w:rsidTr="00534C40">
        <w:trPr>
          <w:trHeight w:val="290"/>
        </w:trPr>
        <w:tc>
          <w:tcPr>
            <w:tcW w:w="4660" w:type="dxa"/>
            <w:tcBorders>
              <w:top w:val="single" w:sz="4" w:space="0" w:color="000000"/>
            </w:tcBorders>
            <w:shd w:val="clear" w:color="auto" w:fill="auto"/>
            <w:vAlign w:val="bottom"/>
          </w:tcPr>
          <w:p w14:paraId="0096355B"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Intercept</w:t>
            </w:r>
          </w:p>
        </w:tc>
        <w:tc>
          <w:tcPr>
            <w:tcW w:w="2280" w:type="dxa"/>
            <w:tcBorders>
              <w:top w:val="single" w:sz="4" w:space="0" w:color="000000"/>
            </w:tcBorders>
            <w:shd w:val="clear" w:color="auto" w:fill="auto"/>
            <w:vAlign w:val="bottom"/>
          </w:tcPr>
          <w:p w14:paraId="1D89839B"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0.495±0.003</w:t>
            </w:r>
          </w:p>
        </w:tc>
        <w:tc>
          <w:tcPr>
            <w:tcW w:w="2220" w:type="dxa"/>
            <w:tcBorders>
              <w:top w:val="single" w:sz="4" w:space="0" w:color="000000"/>
            </w:tcBorders>
            <w:shd w:val="clear" w:color="auto" w:fill="auto"/>
            <w:vAlign w:val="bottom"/>
          </w:tcPr>
          <w:p w14:paraId="3F8A96D8"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0.003±-0.894</w:t>
            </w:r>
          </w:p>
        </w:tc>
        <w:tc>
          <w:tcPr>
            <w:tcW w:w="2219" w:type="dxa"/>
            <w:tcBorders>
              <w:top w:val="single" w:sz="4" w:space="0" w:color="000000"/>
            </w:tcBorders>
            <w:shd w:val="clear" w:color="auto" w:fill="auto"/>
            <w:vAlign w:val="bottom"/>
          </w:tcPr>
          <w:p w14:paraId="42C9B107"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-0.894±0.003</w:t>
            </w:r>
          </w:p>
        </w:tc>
      </w:tr>
      <w:tr w:rsidR="00E66369" w14:paraId="7FAD3C85" w14:textId="77777777" w:rsidTr="00534C40">
        <w:trPr>
          <w:trHeight w:val="290"/>
        </w:trPr>
        <w:tc>
          <w:tcPr>
            <w:tcW w:w="4660" w:type="dxa"/>
            <w:shd w:val="clear" w:color="auto" w:fill="auto"/>
            <w:vAlign w:val="bottom"/>
          </w:tcPr>
          <w:p w14:paraId="635B4A8B"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Bioclimatic suitability</w:t>
            </w:r>
          </w:p>
        </w:tc>
        <w:tc>
          <w:tcPr>
            <w:tcW w:w="2280" w:type="dxa"/>
            <w:shd w:val="clear" w:color="auto" w:fill="auto"/>
            <w:vAlign w:val="bottom"/>
          </w:tcPr>
          <w:p w14:paraId="4047A1CB"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0.06±0.003</w:t>
            </w:r>
          </w:p>
        </w:tc>
        <w:tc>
          <w:tcPr>
            <w:tcW w:w="2220" w:type="dxa"/>
            <w:shd w:val="clear" w:color="auto" w:fill="auto"/>
            <w:vAlign w:val="bottom"/>
          </w:tcPr>
          <w:p w14:paraId="1716C6C9"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0.003±0.112</w:t>
            </w:r>
          </w:p>
        </w:tc>
        <w:tc>
          <w:tcPr>
            <w:tcW w:w="2219" w:type="dxa"/>
            <w:shd w:val="clear" w:color="auto" w:fill="auto"/>
            <w:vAlign w:val="bottom"/>
          </w:tcPr>
          <w:p w14:paraId="5FD4BEEC"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0.112±0.003</w:t>
            </w:r>
          </w:p>
        </w:tc>
      </w:tr>
      <w:tr w:rsidR="00E66369" w14:paraId="01484169" w14:textId="77777777" w:rsidTr="00534C40">
        <w:trPr>
          <w:trHeight w:val="290"/>
        </w:trPr>
        <w:tc>
          <w:tcPr>
            <w:tcW w:w="4660" w:type="dxa"/>
            <w:shd w:val="clear" w:color="auto" w:fill="auto"/>
            <w:vAlign w:val="bottom"/>
          </w:tcPr>
          <w:p w14:paraId="33F7C3E3"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Market access</w:t>
            </w:r>
          </w:p>
        </w:tc>
        <w:tc>
          <w:tcPr>
            <w:tcW w:w="2280" w:type="dxa"/>
            <w:shd w:val="clear" w:color="auto" w:fill="auto"/>
            <w:vAlign w:val="bottom"/>
          </w:tcPr>
          <w:p w14:paraId="4322A1D3"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0.622±0.005</w:t>
            </w:r>
          </w:p>
        </w:tc>
        <w:tc>
          <w:tcPr>
            <w:tcW w:w="2220" w:type="dxa"/>
            <w:shd w:val="clear" w:color="auto" w:fill="auto"/>
            <w:vAlign w:val="bottom"/>
          </w:tcPr>
          <w:p w14:paraId="22A6E4A2"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0.005±0.375</w:t>
            </w:r>
          </w:p>
        </w:tc>
        <w:tc>
          <w:tcPr>
            <w:tcW w:w="2219" w:type="dxa"/>
            <w:shd w:val="clear" w:color="auto" w:fill="auto"/>
            <w:vAlign w:val="bottom"/>
          </w:tcPr>
          <w:p w14:paraId="779DF18A"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0.375±0.003</w:t>
            </w:r>
          </w:p>
        </w:tc>
      </w:tr>
      <w:tr w:rsidR="00E66369" w14:paraId="13B29752" w14:textId="77777777" w:rsidTr="00534C40">
        <w:trPr>
          <w:trHeight w:val="290"/>
        </w:trPr>
        <w:tc>
          <w:tcPr>
            <w:tcW w:w="4660" w:type="dxa"/>
            <w:shd w:val="clear" w:color="auto" w:fill="auto"/>
            <w:vAlign w:val="bottom"/>
          </w:tcPr>
          <w:p w14:paraId="4C01F970"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Steepness</w:t>
            </w:r>
          </w:p>
        </w:tc>
        <w:tc>
          <w:tcPr>
            <w:tcW w:w="2280" w:type="dxa"/>
            <w:shd w:val="clear" w:color="auto" w:fill="auto"/>
            <w:vAlign w:val="bottom"/>
          </w:tcPr>
          <w:p w14:paraId="02CB228C"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-0.355±0.003</w:t>
            </w:r>
          </w:p>
        </w:tc>
        <w:tc>
          <w:tcPr>
            <w:tcW w:w="2220" w:type="dxa"/>
            <w:shd w:val="clear" w:color="auto" w:fill="auto"/>
            <w:vAlign w:val="bottom"/>
          </w:tcPr>
          <w:p w14:paraId="45F9002B"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0.003±-0.733</w:t>
            </w:r>
          </w:p>
        </w:tc>
        <w:tc>
          <w:tcPr>
            <w:tcW w:w="2219" w:type="dxa"/>
            <w:shd w:val="clear" w:color="auto" w:fill="auto"/>
            <w:vAlign w:val="bottom"/>
          </w:tcPr>
          <w:p w14:paraId="7C884B02"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-0.733±0.004</w:t>
            </w:r>
          </w:p>
        </w:tc>
      </w:tr>
      <w:tr w:rsidR="00E66369" w14:paraId="4586D97D" w14:textId="77777777" w:rsidTr="00534C40">
        <w:trPr>
          <w:trHeight w:val="290"/>
        </w:trPr>
        <w:tc>
          <w:tcPr>
            <w:tcW w:w="4660" w:type="dxa"/>
            <w:shd w:val="clear" w:color="auto" w:fill="auto"/>
            <w:vAlign w:val="bottom"/>
          </w:tcPr>
          <w:p w14:paraId="4563E78D"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Population Density 1990</w:t>
            </w:r>
          </w:p>
        </w:tc>
        <w:tc>
          <w:tcPr>
            <w:tcW w:w="2280" w:type="dxa"/>
            <w:shd w:val="clear" w:color="auto" w:fill="auto"/>
            <w:vAlign w:val="bottom"/>
          </w:tcPr>
          <w:p w14:paraId="24B6DFFF"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1.597±0.004</w:t>
            </w:r>
          </w:p>
        </w:tc>
        <w:tc>
          <w:tcPr>
            <w:tcW w:w="2220" w:type="dxa"/>
            <w:shd w:val="clear" w:color="auto" w:fill="auto"/>
            <w:vAlign w:val="bottom"/>
          </w:tcPr>
          <w:p w14:paraId="16BBEFF6"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0.004±1.571</w:t>
            </w:r>
          </w:p>
        </w:tc>
        <w:tc>
          <w:tcPr>
            <w:tcW w:w="2219" w:type="dxa"/>
            <w:shd w:val="clear" w:color="auto" w:fill="auto"/>
            <w:vAlign w:val="bottom"/>
          </w:tcPr>
          <w:p w14:paraId="42F17E4B"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1.571±0.005</w:t>
            </w:r>
          </w:p>
        </w:tc>
      </w:tr>
      <w:tr w:rsidR="00E66369" w14:paraId="0D5A3EDE" w14:textId="77777777" w:rsidTr="00534C40">
        <w:trPr>
          <w:trHeight w:val="290"/>
        </w:trPr>
        <w:tc>
          <w:tcPr>
            <w:tcW w:w="4660" w:type="dxa"/>
            <w:shd w:val="clear" w:color="auto" w:fill="auto"/>
            <w:vAlign w:val="bottom"/>
          </w:tcPr>
          <w:p w14:paraId="61526CDF"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GDP 1992</w:t>
            </w:r>
          </w:p>
        </w:tc>
        <w:tc>
          <w:tcPr>
            <w:tcW w:w="2280" w:type="dxa"/>
            <w:shd w:val="clear" w:color="auto" w:fill="auto"/>
            <w:vAlign w:val="bottom"/>
          </w:tcPr>
          <w:p w14:paraId="32278666"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0.011±0.003</w:t>
            </w:r>
          </w:p>
        </w:tc>
        <w:tc>
          <w:tcPr>
            <w:tcW w:w="2220" w:type="dxa"/>
            <w:shd w:val="clear" w:color="auto" w:fill="auto"/>
            <w:vAlign w:val="bottom"/>
          </w:tcPr>
          <w:p w14:paraId="315BB34C"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0.003±0.14</w:t>
            </w:r>
          </w:p>
        </w:tc>
        <w:tc>
          <w:tcPr>
            <w:tcW w:w="2219" w:type="dxa"/>
            <w:shd w:val="clear" w:color="auto" w:fill="auto"/>
            <w:vAlign w:val="bottom"/>
          </w:tcPr>
          <w:p w14:paraId="25FA45F3"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0.14±0.003</w:t>
            </w:r>
          </w:p>
        </w:tc>
      </w:tr>
      <w:tr w:rsidR="00E66369" w14:paraId="0A3F2A92" w14:textId="77777777" w:rsidTr="00534C40">
        <w:trPr>
          <w:trHeight w:val="290"/>
        </w:trPr>
        <w:tc>
          <w:tcPr>
            <w:tcW w:w="4660" w:type="dxa"/>
            <w:shd w:val="clear" w:color="auto" w:fill="auto"/>
            <w:vAlign w:val="bottom"/>
          </w:tcPr>
          <w:p w14:paraId="5A2A77FB"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Bioclimatic suitability * Market Access</w:t>
            </w:r>
          </w:p>
        </w:tc>
        <w:tc>
          <w:tcPr>
            <w:tcW w:w="2280" w:type="dxa"/>
            <w:shd w:val="clear" w:color="auto" w:fill="auto"/>
            <w:vAlign w:val="bottom"/>
          </w:tcPr>
          <w:p w14:paraId="2A49ADE7"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-0.171±0.004</w:t>
            </w:r>
          </w:p>
        </w:tc>
        <w:tc>
          <w:tcPr>
            <w:tcW w:w="2220" w:type="dxa"/>
            <w:shd w:val="clear" w:color="auto" w:fill="auto"/>
            <w:vAlign w:val="bottom"/>
          </w:tcPr>
          <w:p w14:paraId="67A148F6"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0.004±-0.124</w:t>
            </w:r>
          </w:p>
        </w:tc>
        <w:tc>
          <w:tcPr>
            <w:tcW w:w="2219" w:type="dxa"/>
            <w:shd w:val="clear" w:color="auto" w:fill="auto"/>
            <w:vAlign w:val="bottom"/>
          </w:tcPr>
          <w:p w14:paraId="31790199"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-0.124±0.003</w:t>
            </w:r>
          </w:p>
        </w:tc>
      </w:tr>
      <w:tr w:rsidR="00E66369" w14:paraId="16B96B52" w14:textId="77777777" w:rsidTr="00534C40">
        <w:trPr>
          <w:trHeight w:val="290"/>
        </w:trPr>
        <w:tc>
          <w:tcPr>
            <w:tcW w:w="4660" w:type="dxa"/>
            <w:shd w:val="clear" w:color="auto" w:fill="auto"/>
            <w:vAlign w:val="bottom"/>
          </w:tcPr>
          <w:p w14:paraId="3450CA4D"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Steepness * Market Access</w:t>
            </w:r>
          </w:p>
        </w:tc>
        <w:tc>
          <w:tcPr>
            <w:tcW w:w="2280" w:type="dxa"/>
            <w:shd w:val="clear" w:color="auto" w:fill="auto"/>
            <w:vAlign w:val="bottom"/>
          </w:tcPr>
          <w:p w14:paraId="1A6DCCB5"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-0.179±0.004</w:t>
            </w:r>
          </w:p>
        </w:tc>
        <w:tc>
          <w:tcPr>
            <w:tcW w:w="2220" w:type="dxa"/>
            <w:shd w:val="clear" w:color="auto" w:fill="auto"/>
            <w:vAlign w:val="bottom"/>
          </w:tcPr>
          <w:p w14:paraId="01530257"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0.004±-0.149</w:t>
            </w:r>
          </w:p>
        </w:tc>
        <w:tc>
          <w:tcPr>
            <w:tcW w:w="2219" w:type="dxa"/>
            <w:shd w:val="clear" w:color="auto" w:fill="auto"/>
            <w:vAlign w:val="bottom"/>
          </w:tcPr>
          <w:p w14:paraId="688D7B20"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-0.149±0.003</w:t>
            </w:r>
          </w:p>
        </w:tc>
      </w:tr>
      <w:tr w:rsidR="00E66369" w14:paraId="58CEF918" w14:textId="77777777" w:rsidTr="00534C40">
        <w:trPr>
          <w:trHeight w:val="290"/>
        </w:trPr>
        <w:tc>
          <w:tcPr>
            <w:tcW w:w="4660" w:type="dxa"/>
            <w:shd w:val="clear" w:color="auto" w:fill="auto"/>
            <w:vAlign w:val="bottom"/>
          </w:tcPr>
          <w:p w14:paraId="6256EEEC"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Bioclimatic suitability * Population Density 1990</w:t>
            </w:r>
          </w:p>
        </w:tc>
        <w:tc>
          <w:tcPr>
            <w:tcW w:w="2280" w:type="dxa"/>
            <w:shd w:val="clear" w:color="auto" w:fill="auto"/>
            <w:vAlign w:val="bottom"/>
          </w:tcPr>
          <w:p w14:paraId="3C18AE2C"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-0.02±0.004</w:t>
            </w:r>
          </w:p>
        </w:tc>
        <w:tc>
          <w:tcPr>
            <w:tcW w:w="2220" w:type="dxa"/>
            <w:shd w:val="clear" w:color="auto" w:fill="auto"/>
            <w:vAlign w:val="bottom"/>
          </w:tcPr>
          <w:p w14:paraId="19DEB10B"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0.004±-0.137</w:t>
            </w:r>
          </w:p>
        </w:tc>
        <w:tc>
          <w:tcPr>
            <w:tcW w:w="2219" w:type="dxa"/>
            <w:shd w:val="clear" w:color="auto" w:fill="auto"/>
            <w:vAlign w:val="bottom"/>
          </w:tcPr>
          <w:p w14:paraId="0F3AAB6C"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-0.137±0.004</w:t>
            </w:r>
          </w:p>
        </w:tc>
      </w:tr>
      <w:tr w:rsidR="00E66369" w14:paraId="74062441" w14:textId="77777777" w:rsidTr="00534C40">
        <w:trPr>
          <w:trHeight w:val="290"/>
        </w:trPr>
        <w:tc>
          <w:tcPr>
            <w:tcW w:w="4660" w:type="dxa"/>
            <w:shd w:val="clear" w:color="auto" w:fill="auto"/>
            <w:vAlign w:val="bottom"/>
          </w:tcPr>
          <w:p w14:paraId="1736E3AA"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Steepness * Population Density 1990</w:t>
            </w:r>
          </w:p>
        </w:tc>
        <w:tc>
          <w:tcPr>
            <w:tcW w:w="2280" w:type="dxa"/>
            <w:shd w:val="clear" w:color="auto" w:fill="auto"/>
            <w:vAlign w:val="bottom"/>
          </w:tcPr>
          <w:p w14:paraId="2FC8B159"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-0.069±0.004</w:t>
            </w:r>
          </w:p>
        </w:tc>
        <w:tc>
          <w:tcPr>
            <w:tcW w:w="2220" w:type="dxa"/>
            <w:shd w:val="clear" w:color="auto" w:fill="auto"/>
            <w:vAlign w:val="bottom"/>
          </w:tcPr>
          <w:p w14:paraId="41486CD6"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0.004±0.044</w:t>
            </w:r>
          </w:p>
        </w:tc>
        <w:tc>
          <w:tcPr>
            <w:tcW w:w="2219" w:type="dxa"/>
            <w:shd w:val="clear" w:color="auto" w:fill="auto"/>
            <w:vAlign w:val="bottom"/>
          </w:tcPr>
          <w:p w14:paraId="12842EDA"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0.044±0.005</w:t>
            </w:r>
          </w:p>
        </w:tc>
      </w:tr>
      <w:tr w:rsidR="00E66369" w14:paraId="50C2652F" w14:textId="77777777" w:rsidTr="00534C40">
        <w:trPr>
          <w:trHeight w:val="290"/>
        </w:trPr>
        <w:tc>
          <w:tcPr>
            <w:tcW w:w="4660" w:type="dxa"/>
            <w:shd w:val="clear" w:color="auto" w:fill="auto"/>
            <w:vAlign w:val="bottom"/>
          </w:tcPr>
          <w:p w14:paraId="2AA9C142"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Market Access * GDP 1992</w:t>
            </w:r>
          </w:p>
        </w:tc>
        <w:tc>
          <w:tcPr>
            <w:tcW w:w="2280" w:type="dxa"/>
            <w:shd w:val="clear" w:color="auto" w:fill="auto"/>
            <w:vAlign w:val="bottom"/>
          </w:tcPr>
          <w:p w14:paraId="4D67CD54"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-0.239±0.004</w:t>
            </w:r>
          </w:p>
        </w:tc>
        <w:tc>
          <w:tcPr>
            <w:tcW w:w="2220" w:type="dxa"/>
            <w:shd w:val="clear" w:color="auto" w:fill="auto"/>
            <w:vAlign w:val="bottom"/>
          </w:tcPr>
          <w:p w14:paraId="223CECE1"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0.004±-0.174</w:t>
            </w:r>
          </w:p>
        </w:tc>
        <w:tc>
          <w:tcPr>
            <w:tcW w:w="2219" w:type="dxa"/>
            <w:shd w:val="clear" w:color="auto" w:fill="auto"/>
            <w:vAlign w:val="bottom"/>
          </w:tcPr>
          <w:p w14:paraId="165833A8"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-0.174±0.003</w:t>
            </w:r>
          </w:p>
        </w:tc>
      </w:tr>
      <w:tr w:rsidR="00E66369" w14:paraId="7D532641" w14:textId="77777777" w:rsidTr="00534C40">
        <w:trPr>
          <w:trHeight w:val="290"/>
        </w:trPr>
        <w:tc>
          <w:tcPr>
            <w:tcW w:w="4660" w:type="dxa"/>
            <w:shd w:val="clear" w:color="auto" w:fill="auto"/>
            <w:vAlign w:val="bottom"/>
          </w:tcPr>
          <w:p w14:paraId="4CB09BE8"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Steepness * GDP1992</w:t>
            </w:r>
          </w:p>
        </w:tc>
        <w:tc>
          <w:tcPr>
            <w:tcW w:w="2280" w:type="dxa"/>
            <w:shd w:val="clear" w:color="auto" w:fill="auto"/>
            <w:vAlign w:val="bottom"/>
          </w:tcPr>
          <w:p w14:paraId="2E59F956"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-0.053±0.003</w:t>
            </w:r>
          </w:p>
        </w:tc>
        <w:tc>
          <w:tcPr>
            <w:tcW w:w="2220" w:type="dxa"/>
            <w:shd w:val="clear" w:color="auto" w:fill="auto"/>
            <w:vAlign w:val="bottom"/>
          </w:tcPr>
          <w:p w14:paraId="4CBF1ADA"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0.003±-0.028</w:t>
            </w:r>
          </w:p>
        </w:tc>
        <w:tc>
          <w:tcPr>
            <w:tcW w:w="2219" w:type="dxa"/>
            <w:shd w:val="clear" w:color="auto" w:fill="auto"/>
            <w:vAlign w:val="bottom"/>
          </w:tcPr>
          <w:p w14:paraId="5A760964"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-0.028±0.004</w:t>
            </w:r>
          </w:p>
        </w:tc>
      </w:tr>
      <w:tr w:rsidR="00E66369" w14:paraId="1D7A4823" w14:textId="77777777" w:rsidTr="00534C40">
        <w:trPr>
          <w:trHeight w:val="290"/>
        </w:trPr>
        <w:tc>
          <w:tcPr>
            <w:tcW w:w="4660" w:type="dxa"/>
            <w:shd w:val="clear" w:color="auto" w:fill="auto"/>
            <w:vAlign w:val="bottom"/>
          </w:tcPr>
          <w:p w14:paraId="79EF7F26"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Bioclimatic suitability * GDP1992</w:t>
            </w:r>
          </w:p>
        </w:tc>
        <w:tc>
          <w:tcPr>
            <w:tcW w:w="2280" w:type="dxa"/>
            <w:shd w:val="clear" w:color="auto" w:fill="auto"/>
            <w:vAlign w:val="bottom"/>
          </w:tcPr>
          <w:p w14:paraId="73EDD89A"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0.138±0.003</w:t>
            </w:r>
          </w:p>
        </w:tc>
        <w:tc>
          <w:tcPr>
            <w:tcW w:w="2220" w:type="dxa"/>
            <w:shd w:val="clear" w:color="auto" w:fill="auto"/>
            <w:vAlign w:val="bottom"/>
          </w:tcPr>
          <w:p w14:paraId="069B7945"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0.003±0.107</w:t>
            </w:r>
          </w:p>
        </w:tc>
        <w:tc>
          <w:tcPr>
            <w:tcW w:w="2219" w:type="dxa"/>
            <w:shd w:val="clear" w:color="auto" w:fill="auto"/>
            <w:vAlign w:val="bottom"/>
          </w:tcPr>
          <w:p w14:paraId="15880025"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0.107±0.003</w:t>
            </w:r>
          </w:p>
        </w:tc>
      </w:tr>
      <w:tr w:rsidR="00E66369" w14:paraId="2598EE0F" w14:textId="77777777" w:rsidTr="00534C40">
        <w:trPr>
          <w:trHeight w:val="290"/>
        </w:trPr>
        <w:tc>
          <w:tcPr>
            <w:tcW w:w="4660" w:type="dxa"/>
            <w:shd w:val="clear" w:color="auto" w:fill="auto"/>
            <w:vAlign w:val="bottom"/>
          </w:tcPr>
          <w:p w14:paraId="772E1F22"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Population Density 1990 * GDP 1992</w:t>
            </w:r>
          </w:p>
        </w:tc>
        <w:tc>
          <w:tcPr>
            <w:tcW w:w="2280" w:type="dxa"/>
            <w:shd w:val="clear" w:color="auto" w:fill="auto"/>
            <w:vAlign w:val="bottom"/>
          </w:tcPr>
          <w:p w14:paraId="3F6D52F0"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-0.266±0.004</w:t>
            </w:r>
          </w:p>
        </w:tc>
        <w:tc>
          <w:tcPr>
            <w:tcW w:w="2220" w:type="dxa"/>
            <w:shd w:val="clear" w:color="auto" w:fill="auto"/>
            <w:vAlign w:val="bottom"/>
          </w:tcPr>
          <w:p w14:paraId="60139721"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0.004±-0.423</w:t>
            </w:r>
          </w:p>
        </w:tc>
        <w:tc>
          <w:tcPr>
            <w:tcW w:w="2219" w:type="dxa"/>
            <w:shd w:val="clear" w:color="auto" w:fill="auto"/>
            <w:vAlign w:val="bottom"/>
          </w:tcPr>
          <w:p w14:paraId="6A99B3F0"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-0.423±0.004</w:t>
            </w:r>
          </w:p>
        </w:tc>
      </w:tr>
      <w:tr w:rsidR="00E66369" w14:paraId="19FA57DF" w14:textId="77777777" w:rsidTr="00534C40">
        <w:trPr>
          <w:trHeight w:val="290"/>
        </w:trPr>
        <w:tc>
          <w:tcPr>
            <w:tcW w:w="4660" w:type="dxa"/>
            <w:shd w:val="clear" w:color="auto" w:fill="auto"/>
            <w:vAlign w:val="bottom"/>
          </w:tcPr>
          <w:p w14:paraId="76F17031"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McFadden Pseudo-R</w:t>
            </w:r>
            <w:r>
              <w:rPr>
                <w:rFonts w:eastAsia="Times New Roman" w:cs="Calibri"/>
                <w:color w:val="000000"/>
                <w:vertAlign w:val="superscript"/>
                <w:lang w:eastAsia="en-GB"/>
              </w:rPr>
              <w:t>2</w:t>
            </w:r>
          </w:p>
        </w:tc>
        <w:tc>
          <w:tcPr>
            <w:tcW w:w="2280" w:type="dxa"/>
            <w:shd w:val="clear" w:color="auto" w:fill="auto"/>
            <w:vAlign w:val="bottom"/>
          </w:tcPr>
          <w:p w14:paraId="2769F13A"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0.307±0.307</w:t>
            </w:r>
          </w:p>
        </w:tc>
        <w:tc>
          <w:tcPr>
            <w:tcW w:w="2220" w:type="dxa"/>
            <w:shd w:val="clear" w:color="auto" w:fill="auto"/>
            <w:vAlign w:val="bottom"/>
          </w:tcPr>
          <w:p w14:paraId="2658076D"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0.307±0.288</w:t>
            </w:r>
          </w:p>
        </w:tc>
        <w:tc>
          <w:tcPr>
            <w:tcW w:w="2219" w:type="dxa"/>
            <w:shd w:val="clear" w:color="auto" w:fill="auto"/>
            <w:vAlign w:val="bottom"/>
          </w:tcPr>
          <w:p w14:paraId="1A21B3C5" w14:textId="77777777" w:rsidR="00E66369" w:rsidRDefault="00E66369" w:rsidP="00534C40">
            <w:pPr>
              <w:spacing w:after="0" w:line="240" w:lineRule="auto"/>
              <w:jc w:val="center"/>
              <w:rPr>
                <w:rFonts w:ascii="Calibri" w:eastAsia="Times New Roman" w:hAnsi="Calibri" w:cs="Calibri"/>
                <w:color w:val="333333"/>
                <w:lang w:eastAsia="en-GB"/>
              </w:rPr>
            </w:pPr>
            <w:r>
              <w:rPr>
                <w:rFonts w:eastAsia="Times New Roman" w:cs="Calibri"/>
                <w:color w:val="333333"/>
                <w:lang w:eastAsia="en-GB"/>
              </w:rPr>
              <w:t>0.288±0.288</w:t>
            </w:r>
          </w:p>
        </w:tc>
      </w:tr>
    </w:tbl>
    <w:p w14:paraId="3409CE8B" w14:textId="77777777" w:rsidR="00E66369" w:rsidRDefault="00E66369" w:rsidP="00E66369">
      <w:pPr>
        <w:rPr>
          <w:b/>
        </w:rPr>
      </w:pPr>
    </w:p>
    <w:p w14:paraId="77457DBD" w14:textId="77777777" w:rsidR="00E66369" w:rsidRDefault="00E66369" w:rsidP="00E66369">
      <w:pPr>
        <w:rPr>
          <w:b/>
        </w:rPr>
      </w:pPr>
      <w:r>
        <w:br w:type="page"/>
      </w:r>
    </w:p>
    <w:p w14:paraId="3FF5B44C" w14:textId="77777777" w:rsidR="00E66369" w:rsidRPr="00A72CCF" w:rsidRDefault="00E66369" w:rsidP="00E66369">
      <w:pPr>
        <w:spacing w:after="0" w:line="240" w:lineRule="auto"/>
      </w:pPr>
      <w:r>
        <w:rPr>
          <w:b/>
        </w:rPr>
        <w:lastRenderedPageBreak/>
        <w:t xml:space="preserve">Table S2 – </w:t>
      </w:r>
      <w:r>
        <w:rPr>
          <w:bCs/>
        </w:rPr>
        <w:t xml:space="preserve">Proportional overlap of expansion of variables potentially associated with frontier conditions, </w:t>
      </w:r>
      <w:r w:rsidRPr="00A72CCF">
        <w:t>and deviations from the global ‘null’ model of cropland extent in 1992 (Experimental Procedures; Null Model).</w:t>
      </w:r>
      <w:r w:rsidRPr="00777A2A">
        <w:t xml:space="preserve"> The predictor variables in the Null Mode</w:t>
      </w:r>
      <w:r>
        <w:rPr>
          <w:bCs/>
        </w:rPr>
        <w:t xml:space="preserve">l are the same as in Model 1 (Table 1), but the Null Model uses all data globally; Model 1 uses balanced samples of 500 presences and absences (Experimental Procedures).  ‘Positive Deviance’ and ‘Negative Deviance’ refer to 2 or 1 or more positive (or negative) standard deviations (2SD and 1SD) from the Null Model.   Ratios &gt; 1 indicate over-representation; ratios &lt; 1 indicate under-representation (more or less overlap of given variable and a given deviation threshold than would be expected if both are equally common across the land area they cover </w:t>
      </w:r>
      <w:r>
        <w:fldChar w:fldCharType="begin" w:fldLock="1"/>
      </w:r>
      <w:r>
        <w:instrText>ADDIN CSL_CITATION {"citationItems":[{"id":"ITEM-1","itemData":{"DOI":"10.1098/rspb.2009.0528","ISSN":"0962-8452","author":[{"dropping-particle":"","family":"Eigenbrod","given":"Felix","non-dropping-particle":"","parse-names":false,"suffix":""},{"dropping-particle":"","family":"Anderson","given":"Barbara J","non-dropping-particle":"","parse-names":false,"suffix":""},{"dropping-particle":"","family":"Armsworth","given":"Paul R","non-dropping-particle":"","parse-names":false,"suffix":""},{"dropping-particle":"","family":"Heinemeyer","given":"Andreas","non-dropping-particle":"","parse-names":false,"suffix":""},{"dropping-particle":"","family":"Jackson","given":"Sarah F","non-dropping-particle":"","parse-names":false,"suffix":""},{"dropping-particle":"","family":"Parnell","given":"Mark","non-dropping-particle":"","parse-names":false,"suffix":""},{"dropping-particle":"","family":"Thomas","given":"Chris D","non-dropping-particle":"","parse-names":false,"suffix":""},{"dropping-particle":"","family":"Gaston","given":"Kevin J","non-dropping-particle":"","parse-names":false,"suffix":""}],"container-title":"Proceedings of the Royal Society B: Biological Sciences","id":"ITEM-1","issue":"1669","issued":{"date-parts":[["2009","8","22"]]},"page":"2903-2911","title":"Ecosystem service benefits of contrasting conservation strategies in a human-dominated region","type":"article-journal","volume":"276"},"uris":["http://www.mendeley.com/documents/?uuid=c14a17c6-bec8-45a9-8a05-a2cb3f3cf5ed"]}],"mendeley":{"formattedCitation":"&lt;sup&gt;15&lt;/sup&gt;","plainTextFormattedCitation":"15","previouslyFormattedCitation":"&lt;sup&gt;15&lt;/sup&gt;"},"properties":{"noteIndex":0},"schema":"https://github.com/citation-style-language/schema/raw/master/csl-citation.json"}</w:instrText>
      </w:r>
      <w:r>
        <w:fldChar w:fldCharType="separate"/>
      </w:r>
      <w:r w:rsidRPr="00276B57">
        <w:rPr>
          <w:bCs/>
          <w:noProof/>
          <w:vertAlign w:val="superscript"/>
        </w:rPr>
        <w:t>15</w:t>
      </w:r>
      <w:r>
        <w:fldChar w:fldCharType="end"/>
      </w:r>
      <w:r>
        <w:rPr>
          <w:bCs/>
        </w:rPr>
        <w:t>.</w:t>
      </w:r>
    </w:p>
    <w:tbl>
      <w:tblPr>
        <w:tblW w:w="12840" w:type="dxa"/>
        <w:tblLook w:val="04A0" w:firstRow="1" w:lastRow="0" w:firstColumn="1" w:lastColumn="0" w:noHBand="0" w:noVBand="1"/>
      </w:tblPr>
      <w:tblGrid>
        <w:gridCol w:w="1109"/>
        <w:gridCol w:w="3120"/>
        <w:gridCol w:w="2140"/>
        <w:gridCol w:w="2140"/>
        <w:gridCol w:w="2240"/>
        <w:gridCol w:w="2240"/>
      </w:tblGrid>
      <w:tr w:rsidR="00E66369" w:rsidRPr="00FF4EF9" w14:paraId="1DD860D1" w14:textId="77777777" w:rsidTr="00534C40">
        <w:trPr>
          <w:trHeight w:val="380"/>
        </w:trPr>
        <w:tc>
          <w:tcPr>
            <w:tcW w:w="960" w:type="dxa"/>
            <w:tcBorders>
              <w:top w:val="nil"/>
              <w:left w:val="nil"/>
              <w:bottom w:val="single" w:sz="4" w:space="0" w:color="auto"/>
              <w:right w:val="nil"/>
            </w:tcBorders>
            <w:shd w:val="clear" w:color="auto" w:fill="auto"/>
            <w:noWrap/>
            <w:vAlign w:val="bottom"/>
            <w:hideMark/>
          </w:tcPr>
          <w:p w14:paraId="50128C2B"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Threshold</w:t>
            </w:r>
          </w:p>
        </w:tc>
        <w:tc>
          <w:tcPr>
            <w:tcW w:w="3120" w:type="dxa"/>
            <w:tcBorders>
              <w:top w:val="nil"/>
              <w:left w:val="nil"/>
              <w:bottom w:val="single" w:sz="4" w:space="0" w:color="auto"/>
              <w:right w:val="nil"/>
            </w:tcBorders>
            <w:shd w:val="clear" w:color="auto" w:fill="auto"/>
            <w:noWrap/>
            <w:vAlign w:val="bottom"/>
            <w:hideMark/>
          </w:tcPr>
          <w:p w14:paraId="72982F2D"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Variable</w:t>
            </w:r>
          </w:p>
        </w:tc>
        <w:tc>
          <w:tcPr>
            <w:tcW w:w="2140" w:type="dxa"/>
            <w:tcBorders>
              <w:top w:val="nil"/>
              <w:left w:val="nil"/>
              <w:bottom w:val="single" w:sz="4" w:space="0" w:color="auto"/>
              <w:right w:val="nil"/>
            </w:tcBorders>
            <w:shd w:val="clear" w:color="auto" w:fill="auto"/>
            <w:noWrap/>
            <w:vAlign w:val="bottom"/>
            <w:hideMark/>
          </w:tcPr>
          <w:p w14:paraId="5356BE38"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Positive Deviance 2 SD</w:t>
            </w:r>
          </w:p>
        </w:tc>
        <w:tc>
          <w:tcPr>
            <w:tcW w:w="2140" w:type="dxa"/>
            <w:tcBorders>
              <w:top w:val="nil"/>
              <w:left w:val="nil"/>
              <w:bottom w:val="single" w:sz="4" w:space="0" w:color="auto"/>
              <w:right w:val="nil"/>
            </w:tcBorders>
            <w:shd w:val="clear" w:color="auto" w:fill="auto"/>
            <w:noWrap/>
            <w:vAlign w:val="bottom"/>
            <w:hideMark/>
          </w:tcPr>
          <w:p w14:paraId="41CC4156"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Positive Deviance 1 SD</w:t>
            </w:r>
          </w:p>
        </w:tc>
        <w:tc>
          <w:tcPr>
            <w:tcW w:w="2240" w:type="dxa"/>
            <w:tcBorders>
              <w:top w:val="nil"/>
              <w:left w:val="nil"/>
              <w:bottom w:val="single" w:sz="4" w:space="0" w:color="auto"/>
              <w:right w:val="nil"/>
            </w:tcBorders>
            <w:shd w:val="clear" w:color="auto" w:fill="auto"/>
            <w:noWrap/>
            <w:vAlign w:val="bottom"/>
            <w:hideMark/>
          </w:tcPr>
          <w:p w14:paraId="53F355A9"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Negative Deviance 2 SD</w:t>
            </w:r>
          </w:p>
        </w:tc>
        <w:tc>
          <w:tcPr>
            <w:tcW w:w="2240" w:type="dxa"/>
            <w:tcBorders>
              <w:top w:val="nil"/>
              <w:left w:val="nil"/>
              <w:bottom w:val="single" w:sz="4" w:space="0" w:color="auto"/>
              <w:right w:val="nil"/>
            </w:tcBorders>
            <w:shd w:val="clear" w:color="auto" w:fill="auto"/>
            <w:noWrap/>
            <w:vAlign w:val="bottom"/>
            <w:hideMark/>
          </w:tcPr>
          <w:p w14:paraId="392A10EF"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Negative Deviance 1 SD</w:t>
            </w:r>
          </w:p>
        </w:tc>
      </w:tr>
      <w:tr w:rsidR="00E66369" w:rsidRPr="00FF4EF9" w14:paraId="016CA8E2" w14:textId="77777777" w:rsidTr="00534C40">
        <w:trPr>
          <w:trHeight w:val="290"/>
        </w:trPr>
        <w:tc>
          <w:tcPr>
            <w:tcW w:w="960" w:type="dxa"/>
            <w:tcBorders>
              <w:top w:val="nil"/>
              <w:left w:val="nil"/>
              <w:bottom w:val="nil"/>
              <w:right w:val="nil"/>
            </w:tcBorders>
            <w:shd w:val="clear" w:color="auto" w:fill="auto"/>
            <w:noWrap/>
            <w:vAlign w:val="bottom"/>
            <w:hideMark/>
          </w:tcPr>
          <w:p w14:paraId="1106EA0D"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0.5%</w:t>
            </w:r>
          </w:p>
        </w:tc>
        <w:tc>
          <w:tcPr>
            <w:tcW w:w="3120" w:type="dxa"/>
            <w:tcBorders>
              <w:top w:val="nil"/>
              <w:left w:val="nil"/>
              <w:bottom w:val="nil"/>
              <w:right w:val="nil"/>
            </w:tcBorders>
            <w:shd w:val="clear" w:color="auto" w:fill="auto"/>
            <w:noWrap/>
            <w:vAlign w:val="bottom"/>
            <w:hideMark/>
          </w:tcPr>
          <w:p w14:paraId="514DAA12"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Largest quartile of field sizes</w:t>
            </w:r>
          </w:p>
        </w:tc>
        <w:tc>
          <w:tcPr>
            <w:tcW w:w="2140" w:type="dxa"/>
            <w:tcBorders>
              <w:top w:val="nil"/>
              <w:left w:val="nil"/>
              <w:bottom w:val="nil"/>
              <w:right w:val="nil"/>
            </w:tcBorders>
            <w:shd w:val="clear" w:color="000000" w:fill="BDD7EE"/>
            <w:noWrap/>
            <w:vAlign w:val="bottom"/>
            <w:hideMark/>
          </w:tcPr>
          <w:p w14:paraId="2B825AF8"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1.82</w:t>
            </w:r>
          </w:p>
        </w:tc>
        <w:tc>
          <w:tcPr>
            <w:tcW w:w="2140" w:type="dxa"/>
            <w:tcBorders>
              <w:top w:val="nil"/>
              <w:left w:val="nil"/>
              <w:bottom w:val="nil"/>
              <w:right w:val="nil"/>
            </w:tcBorders>
            <w:shd w:val="clear" w:color="000000" w:fill="FF9999"/>
            <w:noWrap/>
            <w:vAlign w:val="bottom"/>
            <w:hideMark/>
          </w:tcPr>
          <w:p w14:paraId="42E89B2F"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2.32</w:t>
            </w:r>
          </w:p>
        </w:tc>
        <w:tc>
          <w:tcPr>
            <w:tcW w:w="2240" w:type="dxa"/>
            <w:tcBorders>
              <w:top w:val="nil"/>
              <w:left w:val="nil"/>
              <w:bottom w:val="nil"/>
              <w:right w:val="nil"/>
            </w:tcBorders>
            <w:shd w:val="clear" w:color="auto" w:fill="auto"/>
            <w:noWrap/>
            <w:vAlign w:val="bottom"/>
            <w:hideMark/>
          </w:tcPr>
          <w:p w14:paraId="709631AA"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0.38</w:t>
            </w:r>
          </w:p>
        </w:tc>
        <w:tc>
          <w:tcPr>
            <w:tcW w:w="2240" w:type="dxa"/>
            <w:tcBorders>
              <w:top w:val="nil"/>
              <w:left w:val="nil"/>
              <w:bottom w:val="nil"/>
              <w:right w:val="nil"/>
            </w:tcBorders>
            <w:shd w:val="clear" w:color="auto" w:fill="auto"/>
            <w:noWrap/>
            <w:vAlign w:val="bottom"/>
            <w:hideMark/>
          </w:tcPr>
          <w:p w14:paraId="4CFC2D8F"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0.38</w:t>
            </w:r>
          </w:p>
        </w:tc>
      </w:tr>
      <w:tr w:rsidR="00E66369" w:rsidRPr="00FF4EF9" w14:paraId="5D355F47" w14:textId="77777777" w:rsidTr="00534C40">
        <w:trPr>
          <w:trHeight w:val="290"/>
        </w:trPr>
        <w:tc>
          <w:tcPr>
            <w:tcW w:w="960" w:type="dxa"/>
            <w:tcBorders>
              <w:top w:val="nil"/>
              <w:left w:val="nil"/>
              <w:bottom w:val="nil"/>
              <w:right w:val="nil"/>
            </w:tcBorders>
            <w:shd w:val="clear" w:color="auto" w:fill="auto"/>
            <w:noWrap/>
            <w:vAlign w:val="bottom"/>
            <w:hideMark/>
          </w:tcPr>
          <w:p w14:paraId="4097A916"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0.5%</w:t>
            </w:r>
          </w:p>
        </w:tc>
        <w:tc>
          <w:tcPr>
            <w:tcW w:w="3120" w:type="dxa"/>
            <w:tcBorders>
              <w:top w:val="nil"/>
              <w:left w:val="nil"/>
              <w:bottom w:val="nil"/>
              <w:right w:val="nil"/>
            </w:tcBorders>
            <w:shd w:val="clear" w:color="auto" w:fill="auto"/>
            <w:noWrap/>
            <w:vAlign w:val="bottom"/>
            <w:hideMark/>
          </w:tcPr>
          <w:p w14:paraId="153E99AC"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Smallest quartile of field sizes</w:t>
            </w:r>
          </w:p>
        </w:tc>
        <w:tc>
          <w:tcPr>
            <w:tcW w:w="2140" w:type="dxa"/>
            <w:tcBorders>
              <w:top w:val="nil"/>
              <w:left w:val="nil"/>
              <w:bottom w:val="nil"/>
              <w:right w:val="nil"/>
            </w:tcBorders>
            <w:shd w:val="clear" w:color="auto" w:fill="auto"/>
            <w:noWrap/>
            <w:vAlign w:val="bottom"/>
            <w:hideMark/>
          </w:tcPr>
          <w:p w14:paraId="1D9A10E9"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0.05</w:t>
            </w:r>
          </w:p>
        </w:tc>
        <w:tc>
          <w:tcPr>
            <w:tcW w:w="2140" w:type="dxa"/>
            <w:tcBorders>
              <w:top w:val="nil"/>
              <w:left w:val="nil"/>
              <w:bottom w:val="nil"/>
              <w:right w:val="nil"/>
            </w:tcBorders>
            <w:shd w:val="clear" w:color="auto" w:fill="auto"/>
            <w:noWrap/>
            <w:vAlign w:val="bottom"/>
            <w:hideMark/>
          </w:tcPr>
          <w:p w14:paraId="3A8781AD"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0.40</w:t>
            </w:r>
          </w:p>
        </w:tc>
        <w:tc>
          <w:tcPr>
            <w:tcW w:w="2240" w:type="dxa"/>
            <w:tcBorders>
              <w:top w:val="nil"/>
              <w:left w:val="nil"/>
              <w:bottom w:val="nil"/>
              <w:right w:val="nil"/>
            </w:tcBorders>
            <w:shd w:val="clear" w:color="000000" w:fill="BDD7EE"/>
            <w:noWrap/>
            <w:vAlign w:val="bottom"/>
            <w:hideMark/>
          </w:tcPr>
          <w:p w14:paraId="7B86AB2D"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1.70</w:t>
            </w:r>
          </w:p>
        </w:tc>
        <w:tc>
          <w:tcPr>
            <w:tcW w:w="2240" w:type="dxa"/>
            <w:tcBorders>
              <w:top w:val="nil"/>
              <w:left w:val="nil"/>
              <w:bottom w:val="nil"/>
              <w:right w:val="nil"/>
            </w:tcBorders>
            <w:shd w:val="clear" w:color="auto" w:fill="auto"/>
            <w:noWrap/>
            <w:vAlign w:val="bottom"/>
            <w:hideMark/>
          </w:tcPr>
          <w:p w14:paraId="7861DBAC"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0.83</w:t>
            </w:r>
          </w:p>
        </w:tc>
      </w:tr>
      <w:tr w:rsidR="00E66369" w:rsidRPr="00FF4EF9" w14:paraId="7FACBB4D" w14:textId="77777777" w:rsidTr="00534C40">
        <w:trPr>
          <w:trHeight w:val="290"/>
        </w:trPr>
        <w:tc>
          <w:tcPr>
            <w:tcW w:w="960" w:type="dxa"/>
            <w:tcBorders>
              <w:top w:val="nil"/>
              <w:left w:val="nil"/>
              <w:bottom w:val="nil"/>
              <w:right w:val="nil"/>
            </w:tcBorders>
            <w:shd w:val="clear" w:color="auto" w:fill="auto"/>
            <w:noWrap/>
            <w:vAlign w:val="bottom"/>
            <w:hideMark/>
          </w:tcPr>
          <w:p w14:paraId="63950221"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0.5%</w:t>
            </w:r>
          </w:p>
        </w:tc>
        <w:tc>
          <w:tcPr>
            <w:tcW w:w="3120" w:type="dxa"/>
            <w:tcBorders>
              <w:top w:val="nil"/>
              <w:left w:val="nil"/>
              <w:bottom w:val="nil"/>
              <w:right w:val="nil"/>
            </w:tcBorders>
            <w:shd w:val="clear" w:color="auto" w:fill="auto"/>
            <w:noWrap/>
            <w:vAlign w:val="bottom"/>
            <w:hideMark/>
          </w:tcPr>
          <w:p w14:paraId="667F95EF"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HDI in 1992</w:t>
            </w:r>
          </w:p>
        </w:tc>
        <w:tc>
          <w:tcPr>
            <w:tcW w:w="2140" w:type="dxa"/>
            <w:tcBorders>
              <w:top w:val="nil"/>
              <w:left w:val="nil"/>
              <w:bottom w:val="nil"/>
              <w:right w:val="nil"/>
            </w:tcBorders>
            <w:shd w:val="clear" w:color="000000" w:fill="BDD7EE"/>
            <w:noWrap/>
            <w:vAlign w:val="bottom"/>
            <w:hideMark/>
          </w:tcPr>
          <w:p w14:paraId="47A7EBE2"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1.22</w:t>
            </w:r>
          </w:p>
        </w:tc>
        <w:tc>
          <w:tcPr>
            <w:tcW w:w="2140" w:type="dxa"/>
            <w:tcBorders>
              <w:top w:val="nil"/>
              <w:left w:val="nil"/>
              <w:bottom w:val="nil"/>
              <w:right w:val="nil"/>
            </w:tcBorders>
            <w:shd w:val="clear" w:color="000000" w:fill="BDD7EE"/>
            <w:noWrap/>
            <w:vAlign w:val="bottom"/>
            <w:hideMark/>
          </w:tcPr>
          <w:p w14:paraId="101112D3"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1.05</w:t>
            </w:r>
          </w:p>
        </w:tc>
        <w:tc>
          <w:tcPr>
            <w:tcW w:w="2240" w:type="dxa"/>
            <w:tcBorders>
              <w:top w:val="nil"/>
              <w:left w:val="nil"/>
              <w:bottom w:val="nil"/>
              <w:right w:val="nil"/>
            </w:tcBorders>
            <w:shd w:val="clear" w:color="000000" w:fill="BDD7EE"/>
            <w:noWrap/>
            <w:vAlign w:val="bottom"/>
            <w:hideMark/>
          </w:tcPr>
          <w:p w14:paraId="7A0BD455"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1.03</w:t>
            </w:r>
          </w:p>
        </w:tc>
        <w:tc>
          <w:tcPr>
            <w:tcW w:w="2240" w:type="dxa"/>
            <w:tcBorders>
              <w:top w:val="nil"/>
              <w:left w:val="nil"/>
              <w:bottom w:val="nil"/>
              <w:right w:val="nil"/>
            </w:tcBorders>
            <w:shd w:val="clear" w:color="auto" w:fill="auto"/>
            <w:noWrap/>
            <w:vAlign w:val="bottom"/>
            <w:hideMark/>
          </w:tcPr>
          <w:p w14:paraId="32DDBD1C"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0.88</w:t>
            </w:r>
          </w:p>
        </w:tc>
      </w:tr>
      <w:tr w:rsidR="00E66369" w:rsidRPr="00FF4EF9" w14:paraId="4D683714" w14:textId="77777777" w:rsidTr="00534C40">
        <w:trPr>
          <w:trHeight w:val="290"/>
        </w:trPr>
        <w:tc>
          <w:tcPr>
            <w:tcW w:w="960" w:type="dxa"/>
            <w:tcBorders>
              <w:top w:val="nil"/>
              <w:left w:val="nil"/>
              <w:bottom w:val="nil"/>
              <w:right w:val="nil"/>
            </w:tcBorders>
            <w:shd w:val="clear" w:color="auto" w:fill="auto"/>
            <w:noWrap/>
            <w:vAlign w:val="bottom"/>
            <w:hideMark/>
          </w:tcPr>
          <w:p w14:paraId="209A7AE7"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0.5%</w:t>
            </w:r>
          </w:p>
        </w:tc>
        <w:tc>
          <w:tcPr>
            <w:tcW w:w="3120" w:type="dxa"/>
            <w:tcBorders>
              <w:top w:val="nil"/>
              <w:left w:val="nil"/>
              <w:bottom w:val="nil"/>
              <w:right w:val="nil"/>
            </w:tcBorders>
            <w:shd w:val="clear" w:color="auto" w:fill="auto"/>
            <w:noWrap/>
            <w:vAlign w:val="bottom"/>
            <w:hideMark/>
          </w:tcPr>
          <w:p w14:paraId="6169A231"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Political stability</w:t>
            </w:r>
          </w:p>
        </w:tc>
        <w:tc>
          <w:tcPr>
            <w:tcW w:w="2140" w:type="dxa"/>
            <w:tcBorders>
              <w:top w:val="nil"/>
              <w:left w:val="nil"/>
              <w:bottom w:val="nil"/>
              <w:right w:val="nil"/>
            </w:tcBorders>
            <w:shd w:val="clear" w:color="000000" w:fill="BDD7EE"/>
            <w:noWrap/>
            <w:vAlign w:val="bottom"/>
            <w:hideMark/>
          </w:tcPr>
          <w:p w14:paraId="2C802D6F"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1.18</w:t>
            </w:r>
          </w:p>
        </w:tc>
        <w:tc>
          <w:tcPr>
            <w:tcW w:w="2140" w:type="dxa"/>
            <w:tcBorders>
              <w:top w:val="nil"/>
              <w:left w:val="nil"/>
              <w:bottom w:val="nil"/>
              <w:right w:val="nil"/>
            </w:tcBorders>
            <w:shd w:val="clear" w:color="000000" w:fill="BDD7EE"/>
            <w:noWrap/>
            <w:vAlign w:val="bottom"/>
            <w:hideMark/>
          </w:tcPr>
          <w:p w14:paraId="4C5BC9EC"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1.05</w:t>
            </w:r>
          </w:p>
        </w:tc>
        <w:tc>
          <w:tcPr>
            <w:tcW w:w="2240" w:type="dxa"/>
            <w:tcBorders>
              <w:top w:val="nil"/>
              <w:left w:val="nil"/>
              <w:bottom w:val="nil"/>
              <w:right w:val="nil"/>
            </w:tcBorders>
            <w:shd w:val="clear" w:color="auto" w:fill="auto"/>
            <w:noWrap/>
            <w:vAlign w:val="bottom"/>
            <w:hideMark/>
          </w:tcPr>
          <w:p w14:paraId="785E5153"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0.98</w:t>
            </w:r>
          </w:p>
        </w:tc>
        <w:tc>
          <w:tcPr>
            <w:tcW w:w="2240" w:type="dxa"/>
            <w:tcBorders>
              <w:top w:val="nil"/>
              <w:left w:val="nil"/>
              <w:bottom w:val="nil"/>
              <w:right w:val="nil"/>
            </w:tcBorders>
            <w:shd w:val="clear" w:color="auto" w:fill="auto"/>
            <w:noWrap/>
            <w:vAlign w:val="bottom"/>
            <w:hideMark/>
          </w:tcPr>
          <w:p w14:paraId="5562E140"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0.91</w:t>
            </w:r>
          </w:p>
        </w:tc>
      </w:tr>
      <w:tr w:rsidR="00E66369" w:rsidRPr="00FF4EF9" w14:paraId="438E1D11" w14:textId="77777777" w:rsidTr="00534C40">
        <w:trPr>
          <w:trHeight w:val="290"/>
        </w:trPr>
        <w:tc>
          <w:tcPr>
            <w:tcW w:w="960" w:type="dxa"/>
            <w:tcBorders>
              <w:top w:val="nil"/>
              <w:left w:val="nil"/>
              <w:bottom w:val="single" w:sz="4" w:space="0" w:color="auto"/>
              <w:right w:val="nil"/>
            </w:tcBorders>
            <w:shd w:val="clear" w:color="auto" w:fill="auto"/>
            <w:noWrap/>
            <w:vAlign w:val="bottom"/>
            <w:hideMark/>
          </w:tcPr>
          <w:p w14:paraId="3215EA82"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0.5%</w:t>
            </w:r>
          </w:p>
        </w:tc>
        <w:tc>
          <w:tcPr>
            <w:tcW w:w="3120" w:type="dxa"/>
            <w:tcBorders>
              <w:top w:val="nil"/>
              <w:left w:val="nil"/>
              <w:bottom w:val="single" w:sz="4" w:space="0" w:color="auto"/>
              <w:right w:val="nil"/>
            </w:tcBorders>
            <w:shd w:val="clear" w:color="auto" w:fill="auto"/>
            <w:noWrap/>
            <w:vAlign w:val="bottom"/>
            <w:hideMark/>
          </w:tcPr>
          <w:p w14:paraId="0DD25AD1"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Soil constraints</w:t>
            </w:r>
          </w:p>
        </w:tc>
        <w:tc>
          <w:tcPr>
            <w:tcW w:w="2140" w:type="dxa"/>
            <w:tcBorders>
              <w:top w:val="nil"/>
              <w:left w:val="nil"/>
              <w:bottom w:val="single" w:sz="4" w:space="0" w:color="auto"/>
              <w:right w:val="nil"/>
            </w:tcBorders>
            <w:shd w:val="clear" w:color="000000" w:fill="BDD7EE"/>
            <w:noWrap/>
            <w:vAlign w:val="bottom"/>
            <w:hideMark/>
          </w:tcPr>
          <w:p w14:paraId="59F2B261"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1.25</w:t>
            </w:r>
          </w:p>
        </w:tc>
        <w:tc>
          <w:tcPr>
            <w:tcW w:w="2140" w:type="dxa"/>
            <w:tcBorders>
              <w:top w:val="nil"/>
              <w:left w:val="nil"/>
              <w:bottom w:val="single" w:sz="4" w:space="0" w:color="auto"/>
              <w:right w:val="nil"/>
            </w:tcBorders>
            <w:shd w:val="clear" w:color="000000" w:fill="BDD7EE"/>
            <w:noWrap/>
            <w:vAlign w:val="bottom"/>
            <w:hideMark/>
          </w:tcPr>
          <w:p w14:paraId="4EB224C1"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1.10</w:t>
            </w:r>
          </w:p>
        </w:tc>
        <w:tc>
          <w:tcPr>
            <w:tcW w:w="2240" w:type="dxa"/>
            <w:tcBorders>
              <w:top w:val="nil"/>
              <w:left w:val="nil"/>
              <w:bottom w:val="single" w:sz="4" w:space="0" w:color="auto"/>
              <w:right w:val="nil"/>
            </w:tcBorders>
            <w:shd w:val="clear" w:color="auto" w:fill="auto"/>
            <w:noWrap/>
            <w:vAlign w:val="bottom"/>
            <w:hideMark/>
          </w:tcPr>
          <w:p w14:paraId="2338E113"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0.17</w:t>
            </w:r>
          </w:p>
        </w:tc>
        <w:tc>
          <w:tcPr>
            <w:tcW w:w="2240" w:type="dxa"/>
            <w:tcBorders>
              <w:top w:val="nil"/>
              <w:left w:val="nil"/>
              <w:bottom w:val="single" w:sz="4" w:space="0" w:color="auto"/>
              <w:right w:val="nil"/>
            </w:tcBorders>
            <w:shd w:val="clear" w:color="auto" w:fill="auto"/>
            <w:noWrap/>
            <w:vAlign w:val="bottom"/>
            <w:hideMark/>
          </w:tcPr>
          <w:p w14:paraId="581F4B06"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0.07</w:t>
            </w:r>
          </w:p>
        </w:tc>
      </w:tr>
      <w:tr w:rsidR="00E66369" w:rsidRPr="00FF4EF9" w14:paraId="195681FC" w14:textId="77777777" w:rsidTr="00534C40">
        <w:trPr>
          <w:trHeight w:val="510"/>
        </w:trPr>
        <w:tc>
          <w:tcPr>
            <w:tcW w:w="960" w:type="dxa"/>
            <w:tcBorders>
              <w:top w:val="nil"/>
              <w:left w:val="nil"/>
              <w:bottom w:val="nil"/>
              <w:right w:val="nil"/>
            </w:tcBorders>
            <w:shd w:val="clear" w:color="auto" w:fill="auto"/>
            <w:noWrap/>
            <w:vAlign w:val="bottom"/>
            <w:hideMark/>
          </w:tcPr>
          <w:p w14:paraId="3DFDE0A1"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10%</w:t>
            </w:r>
          </w:p>
        </w:tc>
        <w:tc>
          <w:tcPr>
            <w:tcW w:w="3120" w:type="dxa"/>
            <w:tcBorders>
              <w:top w:val="nil"/>
              <w:left w:val="nil"/>
              <w:bottom w:val="nil"/>
              <w:right w:val="nil"/>
            </w:tcBorders>
            <w:shd w:val="clear" w:color="auto" w:fill="auto"/>
            <w:noWrap/>
            <w:vAlign w:val="bottom"/>
            <w:hideMark/>
          </w:tcPr>
          <w:p w14:paraId="4F9F56F4"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Largest quartile of field sizes</w:t>
            </w:r>
          </w:p>
        </w:tc>
        <w:tc>
          <w:tcPr>
            <w:tcW w:w="2140" w:type="dxa"/>
            <w:tcBorders>
              <w:top w:val="nil"/>
              <w:left w:val="nil"/>
              <w:bottom w:val="nil"/>
              <w:right w:val="nil"/>
            </w:tcBorders>
            <w:shd w:val="clear" w:color="000000" w:fill="FF9999"/>
            <w:noWrap/>
            <w:vAlign w:val="bottom"/>
            <w:hideMark/>
          </w:tcPr>
          <w:p w14:paraId="2ED7C002"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3.16</w:t>
            </w:r>
          </w:p>
        </w:tc>
        <w:tc>
          <w:tcPr>
            <w:tcW w:w="2140" w:type="dxa"/>
            <w:tcBorders>
              <w:top w:val="nil"/>
              <w:left w:val="nil"/>
              <w:bottom w:val="nil"/>
              <w:right w:val="nil"/>
            </w:tcBorders>
            <w:shd w:val="clear" w:color="000000" w:fill="FF9999"/>
            <w:noWrap/>
            <w:vAlign w:val="bottom"/>
            <w:hideMark/>
          </w:tcPr>
          <w:p w14:paraId="25EDDFC0"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2.56</w:t>
            </w:r>
          </w:p>
        </w:tc>
        <w:tc>
          <w:tcPr>
            <w:tcW w:w="2240" w:type="dxa"/>
            <w:tcBorders>
              <w:top w:val="nil"/>
              <w:left w:val="nil"/>
              <w:bottom w:val="nil"/>
              <w:right w:val="nil"/>
            </w:tcBorders>
            <w:shd w:val="clear" w:color="auto" w:fill="auto"/>
            <w:noWrap/>
            <w:vAlign w:val="bottom"/>
            <w:hideMark/>
          </w:tcPr>
          <w:p w14:paraId="31AD861E"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0.52</w:t>
            </w:r>
          </w:p>
        </w:tc>
        <w:tc>
          <w:tcPr>
            <w:tcW w:w="2240" w:type="dxa"/>
            <w:tcBorders>
              <w:top w:val="nil"/>
              <w:left w:val="nil"/>
              <w:bottom w:val="nil"/>
              <w:right w:val="nil"/>
            </w:tcBorders>
            <w:shd w:val="clear" w:color="auto" w:fill="auto"/>
            <w:noWrap/>
            <w:vAlign w:val="bottom"/>
            <w:hideMark/>
          </w:tcPr>
          <w:p w14:paraId="68FEFDAB"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0.62</w:t>
            </w:r>
          </w:p>
        </w:tc>
      </w:tr>
      <w:tr w:rsidR="00E66369" w:rsidRPr="00FF4EF9" w14:paraId="61827C27" w14:textId="77777777" w:rsidTr="00534C40">
        <w:trPr>
          <w:trHeight w:val="290"/>
        </w:trPr>
        <w:tc>
          <w:tcPr>
            <w:tcW w:w="960" w:type="dxa"/>
            <w:tcBorders>
              <w:top w:val="nil"/>
              <w:left w:val="nil"/>
              <w:bottom w:val="nil"/>
              <w:right w:val="nil"/>
            </w:tcBorders>
            <w:shd w:val="clear" w:color="auto" w:fill="auto"/>
            <w:noWrap/>
            <w:vAlign w:val="bottom"/>
            <w:hideMark/>
          </w:tcPr>
          <w:p w14:paraId="26C55380"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10%</w:t>
            </w:r>
          </w:p>
        </w:tc>
        <w:tc>
          <w:tcPr>
            <w:tcW w:w="3120" w:type="dxa"/>
            <w:tcBorders>
              <w:top w:val="nil"/>
              <w:left w:val="nil"/>
              <w:bottom w:val="nil"/>
              <w:right w:val="nil"/>
            </w:tcBorders>
            <w:shd w:val="clear" w:color="auto" w:fill="auto"/>
            <w:noWrap/>
            <w:vAlign w:val="bottom"/>
            <w:hideMark/>
          </w:tcPr>
          <w:p w14:paraId="7B211CC1"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Smallest quartile of field sizes</w:t>
            </w:r>
          </w:p>
        </w:tc>
        <w:tc>
          <w:tcPr>
            <w:tcW w:w="2140" w:type="dxa"/>
            <w:tcBorders>
              <w:top w:val="nil"/>
              <w:left w:val="nil"/>
              <w:bottom w:val="nil"/>
              <w:right w:val="nil"/>
            </w:tcBorders>
            <w:shd w:val="clear" w:color="auto" w:fill="auto"/>
            <w:noWrap/>
            <w:vAlign w:val="bottom"/>
            <w:hideMark/>
          </w:tcPr>
          <w:p w14:paraId="40590E5A"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0.26</w:t>
            </w:r>
          </w:p>
        </w:tc>
        <w:tc>
          <w:tcPr>
            <w:tcW w:w="2140" w:type="dxa"/>
            <w:tcBorders>
              <w:top w:val="nil"/>
              <w:left w:val="nil"/>
              <w:bottom w:val="nil"/>
              <w:right w:val="nil"/>
            </w:tcBorders>
            <w:shd w:val="clear" w:color="auto" w:fill="auto"/>
            <w:noWrap/>
            <w:vAlign w:val="bottom"/>
            <w:hideMark/>
          </w:tcPr>
          <w:p w14:paraId="33885E73"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0.99</w:t>
            </w:r>
          </w:p>
        </w:tc>
        <w:tc>
          <w:tcPr>
            <w:tcW w:w="2240" w:type="dxa"/>
            <w:tcBorders>
              <w:top w:val="nil"/>
              <w:left w:val="nil"/>
              <w:bottom w:val="nil"/>
              <w:right w:val="nil"/>
            </w:tcBorders>
            <w:shd w:val="clear" w:color="000000" w:fill="FF9999"/>
            <w:noWrap/>
            <w:vAlign w:val="bottom"/>
            <w:hideMark/>
          </w:tcPr>
          <w:p w14:paraId="119C2DC2"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2.14</w:t>
            </w:r>
          </w:p>
        </w:tc>
        <w:tc>
          <w:tcPr>
            <w:tcW w:w="2240" w:type="dxa"/>
            <w:tcBorders>
              <w:top w:val="nil"/>
              <w:left w:val="nil"/>
              <w:bottom w:val="nil"/>
              <w:right w:val="nil"/>
            </w:tcBorders>
            <w:shd w:val="clear" w:color="000000" w:fill="BDD7EE"/>
            <w:noWrap/>
            <w:vAlign w:val="bottom"/>
            <w:hideMark/>
          </w:tcPr>
          <w:p w14:paraId="2F9425FF"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1.55</w:t>
            </w:r>
          </w:p>
        </w:tc>
      </w:tr>
      <w:tr w:rsidR="00E66369" w:rsidRPr="00FF4EF9" w14:paraId="15407CE0" w14:textId="77777777" w:rsidTr="00534C40">
        <w:trPr>
          <w:trHeight w:val="290"/>
        </w:trPr>
        <w:tc>
          <w:tcPr>
            <w:tcW w:w="960" w:type="dxa"/>
            <w:tcBorders>
              <w:top w:val="nil"/>
              <w:left w:val="nil"/>
              <w:bottom w:val="nil"/>
              <w:right w:val="nil"/>
            </w:tcBorders>
            <w:shd w:val="clear" w:color="auto" w:fill="auto"/>
            <w:noWrap/>
            <w:vAlign w:val="bottom"/>
            <w:hideMark/>
          </w:tcPr>
          <w:p w14:paraId="65E1E02C"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10%</w:t>
            </w:r>
          </w:p>
        </w:tc>
        <w:tc>
          <w:tcPr>
            <w:tcW w:w="3120" w:type="dxa"/>
            <w:tcBorders>
              <w:top w:val="nil"/>
              <w:left w:val="nil"/>
              <w:bottom w:val="nil"/>
              <w:right w:val="nil"/>
            </w:tcBorders>
            <w:shd w:val="clear" w:color="auto" w:fill="auto"/>
            <w:noWrap/>
            <w:vAlign w:val="bottom"/>
            <w:hideMark/>
          </w:tcPr>
          <w:p w14:paraId="2561E96E"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HDI in 1992</w:t>
            </w:r>
          </w:p>
        </w:tc>
        <w:tc>
          <w:tcPr>
            <w:tcW w:w="2140" w:type="dxa"/>
            <w:tcBorders>
              <w:top w:val="nil"/>
              <w:left w:val="nil"/>
              <w:bottom w:val="nil"/>
              <w:right w:val="nil"/>
            </w:tcBorders>
            <w:shd w:val="clear" w:color="000000" w:fill="BDD7EE"/>
            <w:noWrap/>
            <w:vAlign w:val="bottom"/>
            <w:hideMark/>
          </w:tcPr>
          <w:p w14:paraId="3844D496"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1.16</w:t>
            </w:r>
          </w:p>
        </w:tc>
        <w:tc>
          <w:tcPr>
            <w:tcW w:w="2140" w:type="dxa"/>
            <w:tcBorders>
              <w:top w:val="nil"/>
              <w:left w:val="nil"/>
              <w:bottom w:val="nil"/>
              <w:right w:val="nil"/>
            </w:tcBorders>
            <w:shd w:val="clear" w:color="000000" w:fill="BDD7EE"/>
            <w:noWrap/>
            <w:vAlign w:val="bottom"/>
            <w:hideMark/>
          </w:tcPr>
          <w:p w14:paraId="439C5E1A"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1.04</w:t>
            </w:r>
          </w:p>
        </w:tc>
        <w:tc>
          <w:tcPr>
            <w:tcW w:w="2240" w:type="dxa"/>
            <w:tcBorders>
              <w:top w:val="nil"/>
              <w:left w:val="nil"/>
              <w:bottom w:val="nil"/>
              <w:right w:val="nil"/>
            </w:tcBorders>
            <w:shd w:val="clear" w:color="auto" w:fill="auto"/>
            <w:noWrap/>
            <w:vAlign w:val="bottom"/>
            <w:hideMark/>
          </w:tcPr>
          <w:p w14:paraId="60D2DC97"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0.94</w:t>
            </w:r>
          </w:p>
        </w:tc>
        <w:tc>
          <w:tcPr>
            <w:tcW w:w="2240" w:type="dxa"/>
            <w:tcBorders>
              <w:top w:val="nil"/>
              <w:left w:val="nil"/>
              <w:bottom w:val="nil"/>
              <w:right w:val="nil"/>
            </w:tcBorders>
            <w:shd w:val="clear" w:color="auto" w:fill="auto"/>
            <w:noWrap/>
            <w:vAlign w:val="bottom"/>
            <w:hideMark/>
          </w:tcPr>
          <w:p w14:paraId="14658232"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0.95</w:t>
            </w:r>
          </w:p>
        </w:tc>
      </w:tr>
      <w:tr w:rsidR="00E66369" w:rsidRPr="00FF4EF9" w14:paraId="6DCC7272" w14:textId="77777777" w:rsidTr="00534C40">
        <w:trPr>
          <w:trHeight w:val="290"/>
        </w:trPr>
        <w:tc>
          <w:tcPr>
            <w:tcW w:w="960" w:type="dxa"/>
            <w:tcBorders>
              <w:top w:val="nil"/>
              <w:left w:val="nil"/>
              <w:bottom w:val="nil"/>
              <w:right w:val="nil"/>
            </w:tcBorders>
            <w:shd w:val="clear" w:color="auto" w:fill="auto"/>
            <w:noWrap/>
            <w:vAlign w:val="bottom"/>
            <w:hideMark/>
          </w:tcPr>
          <w:p w14:paraId="66036681"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10%</w:t>
            </w:r>
          </w:p>
        </w:tc>
        <w:tc>
          <w:tcPr>
            <w:tcW w:w="3120" w:type="dxa"/>
            <w:tcBorders>
              <w:top w:val="nil"/>
              <w:left w:val="nil"/>
              <w:bottom w:val="nil"/>
              <w:right w:val="nil"/>
            </w:tcBorders>
            <w:shd w:val="clear" w:color="auto" w:fill="auto"/>
            <w:noWrap/>
            <w:vAlign w:val="bottom"/>
            <w:hideMark/>
          </w:tcPr>
          <w:p w14:paraId="2B80477E"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Political stability</w:t>
            </w:r>
          </w:p>
        </w:tc>
        <w:tc>
          <w:tcPr>
            <w:tcW w:w="2140" w:type="dxa"/>
            <w:tcBorders>
              <w:top w:val="nil"/>
              <w:left w:val="nil"/>
              <w:bottom w:val="nil"/>
              <w:right w:val="nil"/>
            </w:tcBorders>
            <w:shd w:val="clear" w:color="000000" w:fill="BDD7EE"/>
            <w:noWrap/>
            <w:vAlign w:val="bottom"/>
            <w:hideMark/>
          </w:tcPr>
          <w:p w14:paraId="73438470"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1.14</w:t>
            </w:r>
          </w:p>
        </w:tc>
        <w:tc>
          <w:tcPr>
            <w:tcW w:w="2140" w:type="dxa"/>
            <w:tcBorders>
              <w:top w:val="nil"/>
              <w:left w:val="nil"/>
              <w:bottom w:val="nil"/>
              <w:right w:val="nil"/>
            </w:tcBorders>
            <w:shd w:val="clear" w:color="000000" w:fill="BDD7EE"/>
            <w:noWrap/>
            <w:vAlign w:val="bottom"/>
            <w:hideMark/>
          </w:tcPr>
          <w:p w14:paraId="003CAA76"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1.02</w:t>
            </w:r>
          </w:p>
        </w:tc>
        <w:tc>
          <w:tcPr>
            <w:tcW w:w="2240" w:type="dxa"/>
            <w:tcBorders>
              <w:top w:val="nil"/>
              <w:left w:val="nil"/>
              <w:bottom w:val="nil"/>
              <w:right w:val="nil"/>
            </w:tcBorders>
            <w:shd w:val="clear" w:color="auto" w:fill="auto"/>
            <w:noWrap/>
            <w:vAlign w:val="bottom"/>
            <w:hideMark/>
          </w:tcPr>
          <w:p w14:paraId="32642864"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0.94</w:t>
            </w:r>
          </w:p>
        </w:tc>
        <w:tc>
          <w:tcPr>
            <w:tcW w:w="2240" w:type="dxa"/>
            <w:tcBorders>
              <w:top w:val="nil"/>
              <w:left w:val="nil"/>
              <w:bottom w:val="nil"/>
              <w:right w:val="nil"/>
            </w:tcBorders>
            <w:shd w:val="clear" w:color="auto" w:fill="auto"/>
            <w:noWrap/>
            <w:vAlign w:val="bottom"/>
            <w:hideMark/>
          </w:tcPr>
          <w:p w14:paraId="476E4EA9"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0.96</w:t>
            </w:r>
          </w:p>
        </w:tc>
      </w:tr>
      <w:tr w:rsidR="00E66369" w:rsidRPr="00FF4EF9" w14:paraId="154BAC5E" w14:textId="77777777" w:rsidTr="00534C40">
        <w:trPr>
          <w:trHeight w:val="290"/>
        </w:trPr>
        <w:tc>
          <w:tcPr>
            <w:tcW w:w="960" w:type="dxa"/>
            <w:tcBorders>
              <w:top w:val="nil"/>
              <w:left w:val="nil"/>
              <w:bottom w:val="single" w:sz="4" w:space="0" w:color="auto"/>
              <w:right w:val="nil"/>
            </w:tcBorders>
            <w:shd w:val="clear" w:color="auto" w:fill="auto"/>
            <w:noWrap/>
            <w:vAlign w:val="bottom"/>
            <w:hideMark/>
          </w:tcPr>
          <w:p w14:paraId="574F8370"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10%</w:t>
            </w:r>
          </w:p>
        </w:tc>
        <w:tc>
          <w:tcPr>
            <w:tcW w:w="3120" w:type="dxa"/>
            <w:tcBorders>
              <w:top w:val="nil"/>
              <w:left w:val="nil"/>
              <w:bottom w:val="single" w:sz="4" w:space="0" w:color="auto"/>
              <w:right w:val="nil"/>
            </w:tcBorders>
            <w:shd w:val="clear" w:color="auto" w:fill="auto"/>
            <w:noWrap/>
            <w:vAlign w:val="bottom"/>
            <w:hideMark/>
          </w:tcPr>
          <w:p w14:paraId="20723BA0"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Soil constraints</w:t>
            </w:r>
          </w:p>
        </w:tc>
        <w:tc>
          <w:tcPr>
            <w:tcW w:w="2140" w:type="dxa"/>
            <w:tcBorders>
              <w:top w:val="nil"/>
              <w:left w:val="nil"/>
              <w:bottom w:val="single" w:sz="4" w:space="0" w:color="auto"/>
              <w:right w:val="nil"/>
            </w:tcBorders>
            <w:shd w:val="clear" w:color="000000" w:fill="BDD7EE"/>
            <w:noWrap/>
            <w:vAlign w:val="bottom"/>
            <w:hideMark/>
          </w:tcPr>
          <w:p w14:paraId="59663E18"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1.12</w:t>
            </w:r>
          </w:p>
        </w:tc>
        <w:tc>
          <w:tcPr>
            <w:tcW w:w="2140" w:type="dxa"/>
            <w:tcBorders>
              <w:top w:val="nil"/>
              <w:left w:val="nil"/>
              <w:bottom w:val="single" w:sz="4" w:space="0" w:color="auto"/>
              <w:right w:val="nil"/>
            </w:tcBorders>
            <w:shd w:val="clear" w:color="000000" w:fill="BDD7EE"/>
            <w:noWrap/>
            <w:vAlign w:val="bottom"/>
            <w:hideMark/>
          </w:tcPr>
          <w:p w14:paraId="4268F7CF"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1.26</w:t>
            </w:r>
          </w:p>
        </w:tc>
        <w:tc>
          <w:tcPr>
            <w:tcW w:w="2240" w:type="dxa"/>
            <w:tcBorders>
              <w:top w:val="nil"/>
              <w:left w:val="nil"/>
              <w:bottom w:val="single" w:sz="4" w:space="0" w:color="auto"/>
              <w:right w:val="nil"/>
            </w:tcBorders>
            <w:shd w:val="clear" w:color="000000" w:fill="BDD7EE"/>
            <w:noWrap/>
            <w:vAlign w:val="bottom"/>
            <w:hideMark/>
          </w:tcPr>
          <w:p w14:paraId="4FF798EA"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1.05</w:t>
            </w:r>
          </w:p>
        </w:tc>
        <w:tc>
          <w:tcPr>
            <w:tcW w:w="2240" w:type="dxa"/>
            <w:tcBorders>
              <w:top w:val="nil"/>
              <w:left w:val="nil"/>
              <w:bottom w:val="single" w:sz="4" w:space="0" w:color="auto"/>
              <w:right w:val="nil"/>
            </w:tcBorders>
            <w:shd w:val="clear" w:color="auto" w:fill="auto"/>
            <w:noWrap/>
            <w:vAlign w:val="bottom"/>
            <w:hideMark/>
          </w:tcPr>
          <w:p w14:paraId="68B2253E"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0.97</w:t>
            </w:r>
          </w:p>
        </w:tc>
      </w:tr>
      <w:tr w:rsidR="00E66369" w:rsidRPr="00FF4EF9" w14:paraId="038A604D" w14:textId="77777777" w:rsidTr="00534C40">
        <w:trPr>
          <w:trHeight w:val="500"/>
        </w:trPr>
        <w:tc>
          <w:tcPr>
            <w:tcW w:w="960" w:type="dxa"/>
            <w:tcBorders>
              <w:top w:val="nil"/>
              <w:left w:val="nil"/>
              <w:bottom w:val="nil"/>
              <w:right w:val="nil"/>
            </w:tcBorders>
            <w:shd w:val="clear" w:color="auto" w:fill="auto"/>
            <w:noWrap/>
            <w:vAlign w:val="bottom"/>
            <w:hideMark/>
          </w:tcPr>
          <w:p w14:paraId="13205AC2"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50%</w:t>
            </w:r>
          </w:p>
        </w:tc>
        <w:tc>
          <w:tcPr>
            <w:tcW w:w="3120" w:type="dxa"/>
            <w:tcBorders>
              <w:top w:val="nil"/>
              <w:left w:val="nil"/>
              <w:bottom w:val="nil"/>
              <w:right w:val="nil"/>
            </w:tcBorders>
            <w:shd w:val="clear" w:color="auto" w:fill="auto"/>
            <w:noWrap/>
            <w:vAlign w:val="bottom"/>
            <w:hideMark/>
          </w:tcPr>
          <w:p w14:paraId="5B467853"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Largest quartile of field sizes</w:t>
            </w:r>
          </w:p>
        </w:tc>
        <w:tc>
          <w:tcPr>
            <w:tcW w:w="2140" w:type="dxa"/>
            <w:tcBorders>
              <w:top w:val="nil"/>
              <w:left w:val="nil"/>
              <w:bottom w:val="nil"/>
              <w:right w:val="nil"/>
            </w:tcBorders>
            <w:shd w:val="clear" w:color="000000" w:fill="FF9999"/>
            <w:noWrap/>
            <w:vAlign w:val="bottom"/>
            <w:hideMark/>
          </w:tcPr>
          <w:p w14:paraId="3982FCAB"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3.53</w:t>
            </w:r>
          </w:p>
        </w:tc>
        <w:tc>
          <w:tcPr>
            <w:tcW w:w="2140" w:type="dxa"/>
            <w:tcBorders>
              <w:top w:val="nil"/>
              <w:left w:val="nil"/>
              <w:bottom w:val="nil"/>
              <w:right w:val="nil"/>
            </w:tcBorders>
            <w:shd w:val="clear" w:color="000000" w:fill="FF9999"/>
            <w:noWrap/>
            <w:vAlign w:val="bottom"/>
            <w:hideMark/>
          </w:tcPr>
          <w:p w14:paraId="7123F0E7"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2.76</w:t>
            </w:r>
          </w:p>
        </w:tc>
        <w:tc>
          <w:tcPr>
            <w:tcW w:w="2240" w:type="dxa"/>
            <w:tcBorders>
              <w:top w:val="nil"/>
              <w:left w:val="nil"/>
              <w:bottom w:val="nil"/>
              <w:right w:val="nil"/>
            </w:tcBorders>
            <w:shd w:val="clear" w:color="auto" w:fill="auto"/>
            <w:noWrap/>
            <w:vAlign w:val="bottom"/>
            <w:hideMark/>
          </w:tcPr>
          <w:p w14:paraId="0ADDC462"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0.58</w:t>
            </w:r>
          </w:p>
        </w:tc>
        <w:tc>
          <w:tcPr>
            <w:tcW w:w="2240" w:type="dxa"/>
            <w:tcBorders>
              <w:top w:val="nil"/>
              <w:left w:val="nil"/>
              <w:bottom w:val="nil"/>
              <w:right w:val="nil"/>
            </w:tcBorders>
            <w:shd w:val="clear" w:color="auto" w:fill="auto"/>
            <w:noWrap/>
            <w:vAlign w:val="bottom"/>
            <w:hideMark/>
          </w:tcPr>
          <w:p w14:paraId="78C39DD1"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0.71</w:t>
            </w:r>
          </w:p>
        </w:tc>
      </w:tr>
      <w:tr w:rsidR="00E66369" w:rsidRPr="00FF4EF9" w14:paraId="7864208B" w14:textId="77777777" w:rsidTr="00534C40">
        <w:trPr>
          <w:trHeight w:val="290"/>
        </w:trPr>
        <w:tc>
          <w:tcPr>
            <w:tcW w:w="960" w:type="dxa"/>
            <w:tcBorders>
              <w:top w:val="nil"/>
              <w:left w:val="nil"/>
              <w:bottom w:val="nil"/>
              <w:right w:val="nil"/>
            </w:tcBorders>
            <w:shd w:val="clear" w:color="auto" w:fill="auto"/>
            <w:noWrap/>
            <w:vAlign w:val="bottom"/>
            <w:hideMark/>
          </w:tcPr>
          <w:p w14:paraId="6E9D29BC"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50%</w:t>
            </w:r>
          </w:p>
        </w:tc>
        <w:tc>
          <w:tcPr>
            <w:tcW w:w="3120" w:type="dxa"/>
            <w:tcBorders>
              <w:top w:val="nil"/>
              <w:left w:val="nil"/>
              <w:bottom w:val="nil"/>
              <w:right w:val="nil"/>
            </w:tcBorders>
            <w:shd w:val="clear" w:color="auto" w:fill="auto"/>
            <w:noWrap/>
            <w:vAlign w:val="bottom"/>
            <w:hideMark/>
          </w:tcPr>
          <w:p w14:paraId="1E57013E"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Smallest quartile of field sizes</w:t>
            </w:r>
          </w:p>
        </w:tc>
        <w:tc>
          <w:tcPr>
            <w:tcW w:w="2140" w:type="dxa"/>
            <w:tcBorders>
              <w:top w:val="nil"/>
              <w:left w:val="nil"/>
              <w:bottom w:val="nil"/>
              <w:right w:val="nil"/>
            </w:tcBorders>
            <w:shd w:val="clear" w:color="auto" w:fill="auto"/>
            <w:noWrap/>
            <w:vAlign w:val="bottom"/>
            <w:hideMark/>
          </w:tcPr>
          <w:p w14:paraId="0AD76964"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0.73</w:t>
            </w:r>
          </w:p>
        </w:tc>
        <w:tc>
          <w:tcPr>
            <w:tcW w:w="2140" w:type="dxa"/>
            <w:tcBorders>
              <w:top w:val="nil"/>
              <w:left w:val="nil"/>
              <w:bottom w:val="nil"/>
              <w:right w:val="nil"/>
            </w:tcBorders>
            <w:shd w:val="clear" w:color="000000" w:fill="BDD7EE"/>
            <w:noWrap/>
            <w:vAlign w:val="bottom"/>
            <w:hideMark/>
          </w:tcPr>
          <w:p w14:paraId="04F2C7D8"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1.15</w:t>
            </w:r>
          </w:p>
        </w:tc>
        <w:tc>
          <w:tcPr>
            <w:tcW w:w="2240" w:type="dxa"/>
            <w:tcBorders>
              <w:top w:val="nil"/>
              <w:left w:val="nil"/>
              <w:bottom w:val="nil"/>
              <w:right w:val="nil"/>
            </w:tcBorders>
            <w:shd w:val="clear" w:color="000000" w:fill="FF9999"/>
            <w:noWrap/>
            <w:vAlign w:val="bottom"/>
            <w:hideMark/>
          </w:tcPr>
          <w:p w14:paraId="70E96AE1"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2.83</w:t>
            </w:r>
          </w:p>
        </w:tc>
        <w:tc>
          <w:tcPr>
            <w:tcW w:w="2240" w:type="dxa"/>
            <w:tcBorders>
              <w:top w:val="nil"/>
              <w:left w:val="nil"/>
              <w:bottom w:val="nil"/>
              <w:right w:val="nil"/>
            </w:tcBorders>
            <w:shd w:val="clear" w:color="000000" w:fill="FF9999"/>
            <w:noWrap/>
            <w:vAlign w:val="bottom"/>
            <w:hideMark/>
          </w:tcPr>
          <w:p w14:paraId="45B62988"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2.03</w:t>
            </w:r>
          </w:p>
        </w:tc>
      </w:tr>
      <w:tr w:rsidR="00E66369" w:rsidRPr="00FF4EF9" w14:paraId="01EBE6F9" w14:textId="77777777" w:rsidTr="00534C40">
        <w:trPr>
          <w:trHeight w:val="290"/>
        </w:trPr>
        <w:tc>
          <w:tcPr>
            <w:tcW w:w="960" w:type="dxa"/>
            <w:tcBorders>
              <w:top w:val="nil"/>
              <w:left w:val="nil"/>
              <w:bottom w:val="nil"/>
              <w:right w:val="nil"/>
            </w:tcBorders>
            <w:shd w:val="clear" w:color="auto" w:fill="auto"/>
            <w:noWrap/>
            <w:vAlign w:val="bottom"/>
            <w:hideMark/>
          </w:tcPr>
          <w:p w14:paraId="3441620B"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50%</w:t>
            </w:r>
          </w:p>
        </w:tc>
        <w:tc>
          <w:tcPr>
            <w:tcW w:w="3120" w:type="dxa"/>
            <w:tcBorders>
              <w:top w:val="nil"/>
              <w:left w:val="nil"/>
              <w:bottom w:val="nil"/>
              <w:right w:val="nil"/>
            </w:tcBorders>
            <w:shd w:val="clear" w:color="auto" w:fill="auto"/>
            <w:noWrap/>
            <w:vAlign w:val="bottom"/>
            <w:hideMark/>
          </w:tcPr>
          <w:p w14:paraId="4B5B090D"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HDI in 1992</w:t>
            </w:r>
          </w:p>
        </w:tc>
        <w:tc>
          <w:tcPr>
            <w:tcW w:w="2140" w:type="dxa"/>
            <w:tcBorders>
              <w:top w:val="nil"/>
              <w:left w:val="nil"/>
              <w:bottom w:val="nil"/>
              <w:right w:val="nil"/>
            </w:tcBorders>
            <w:shd w:val="clear" w:color="000000" w:fill="BDD7EE"/>
            <w:noWrap/>
            <w:vAlign w:val="bottom"/>
            <w:hideMark/>
          </w:tcPr>
          <w:p w14:paraId="7E771561"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1.15</w:t>
            </w:r>
          </w:p>
        </w:tc>
        <w:tc>
          <w:tcPr>
            <w:tcW w:w="2140" w:type="dxa"/>
            <w:tcBorders>
              <w:top w:val="nil"/>
              <w:left w:val="nil"/>
              <w:bottom w:val="nil"/>
              <w:right w:val="nil"/>
            </w:tcBorders>
            <w:shd w:val="clear" w:color="000000" w:fill="BDD7EE"/>
            <w:noWrap/>
            <w:vAlign w:val="bottom"/>
            <w:hideMark/>
          </w:tcPr>
          <w:p w14:paraId="397C2C64"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1.08</w:t>
            </w:r>
          </w:p>
        </w:tc>
        <w:tc>
          <w:tcPr>
            <w:tcW w:w="2240" w:type="dxa"/>
            <w:tcBorders>
              <w:top w:val="nil"/>
              <w:left w:val="nil"/>
              <w:bottom w:val="nil"/>
              <w:right w:val="nil"/>
            </w:tcBorders>
            <w:shd w:val="clear" w:color="auto" w:fill="auto"/>
            <w:noWrap/>
            <w:vAlign w:val="bottom"/>
            <w:hideMark/>
          </w:tcPr>
          <w:p w14:paraId="6BBFBF6F"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0.87</w:t>
            </w:r>
          </w:p>
        </w:tc>
        <w:tc>
          <w:tcPr>
            <w:tcW w:w="2240" w:type="dxa"/>
            <w:tcBorders>
              <w:top w:val="nil"/>
              <w:left w:val="nil"/>
              <w:bottom w:val="nil"/>
              <w:right w:val="nil"/>
            </w:tcBorders>
            <w:shd w:val="clear" w:color="auto" w:fill="auto"/>
            <w:noWrap/>
            <w:vAlign w:val="bottom"/>
            <w:hideMark/>
          </w:tcPr>
          <w:p w14:paraId="361FEDA0"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0.98</w:t>
            </w:r>
          </w:p>
        </w:tc>
      </w:tr>
      <w:tr w:rsidR="00E66369" w:rsidRPr="00FF4EF9" w14:paraId="58E7131A" w14:textId="77777777" w:rsidTr="00534C40">
        <w:trPr>
          <w:trHeight w:val="290"/>
        </w:trPr>
        <w:tc>
          <w:tcPr>
            <w:tcW w:w="960" w:type="dxa"/>
            <w:tcBorders>
              <w:top w:val="nil"/>
              <w:left w:val="nil"/>
              <w:bottom w:val="nil"/>
              <w:right w:val="nil"/>
            </w:tcBorders>
            <w:shd w:val="clear" w:color="auto" w:fill="auto"/>
            <w:noWrap/>
            <w:vAlign w:val="bottom"/>
            <w:hideMark/>
          </w:tcPr>
          <w:p w14:paraId="52089BBF"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50%</w:t>
            </w:r>
          </w:p>
        </w:tc>
        <w:tc>
          <w:tcPr>
            <w:tcW w:w="3120" w:type="dxa"/>
            <w:tcBorders>
              <w:top w:val="nil"/>
              <w:left w:val="nil"/>
              <w:bottom w:val="nil"/>
              <w:right w:val="nil"/>
            </w:tcBorders>
            <w:shd w:val="clear" w:color="auto" w:fill="auto"/>
            <w:noWrap/>
            <w:vAlign w:val="bottom"/>
            <w:hideMark/>
          </w:tcPr>
          <w:p w14:paraId="2F4BDE8F"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Political stability</w:t>
            </w:r>
          </w:p>
        </w:tc>
        <w:tc>
          <w:tcPr>
            <w:tcW w:w="2140" w:type="dxa"/>
            <w:tcBorders>
              <w:top w:val="nil"/>
              <w:left w:val="nil"/>
              <w:bottom w:val="nil"/>
              <w:right w:val="nil"/>
            </w:tcBorders>
            <w:shd w:val="clear" w:color="000000" w:fill="BDD7EE"/>
            <w:noWrap/>
            <w:vAlign w:val="bottom"/>
            <w:hideMark/>
          </w:tcPr>
          <w:p w14:paraId="0CA5DB36"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1.11</w:t>
            </w:r>
          </w:p>
        </w:tc>
        <w:tc>
          <w:tcPr>
            <w:tcW w:w="2140" w:type="dxa"/>
            <w:tcBorders>
              <w:top w:val="nil"/>
              <w:left w:val="nil"/>
              <w:bottom w:val="nil"/>
              <w:right w:val="nil"/>
            </w:tcBorders>
            <w:shd w:val="clear" w:color="000000" w:fill="BDD7EE"/>
            <w:noWrap/>
            <w:vAlign w:val="bottom"/>
            <w:hideMark/>
          </w:tcPr>
          <w:p w14:paraId="51D75020"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1.03</w:t>
            </w:r>
          </w:p>
        </w:tc>
        <w:tc>
          <w:tcPr>
            <w:tcW w:w="2240" w:type="dxa"/>
            <w:tcBorders>
              <w:top w:val="nil"/>
              <w:left w:val="nil"/>
              <w:bottom w:val="nil"/>
              <w:right w:val="nil"/>
            </w:tcBorders>
            <w:shd w:val="clear" w:color="auto" w:fill="auto"/>
            <w:noWrap/>
            <w:vAlign w:val="bottom"/>
            <w:hideMark/>
          </w:tcPr>
          <w:p w14:paraId="4C29CD97"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0.89</w:t>
            </w:r>
          </w:p>
        </w:tc>
        <w:tc>
          <w:tcPr>
            <w:tcW w:w="2240" w:type="dxa"/>
            <w:tcBorders>
              <w:top w:val="nil"/>
              <w:left w:val="nil"/>
              <w:bottom w:val="nil"/>
              <w:right w:val="nil"/>
            </w:tcBorders>
            <w:shd w:val="clear" w:color="auto" w:fill="auto"/>
            <w:noWrap/>
            <w:vAlign w:val="bottom"/>
            <w:hideMark/>
          </w:tcPr>
          <w:p w14:paraId="7AC0FE42"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0.98</w:t>
            </w:r>
          </w:p>
        </w:tc>
      </w:tr>
      <w:tr w:rsidR="00E66369" w:rsidRPr="00FF4EF9" w14:paraId="1F6FD939" w14:textId="77777777" w:rsidTr="00534C40">
        <w:trPr>
          <w:trHeight w:val="290"/>
        </w:trPr>
        <w:tc>
          <w:tcPr>
            <w:tcW w:w="960" w:type="dxa"/>
            <w:tcBorders>
              <w:top w:val="nil"/>
              <w:left w:val="nil"/>
              <w:bottom w:val="single" w:sz="4" w:space="0" w:color="auto"/>
              <w:right w:val="nil"/>
            </w:tcBorders>
            <w:shd w:val="clear" w:color="auto" w:fill="auto"/>
            <w:noWrap/>
            <w:vAlign w:val="bottom"/>
            <w:hideMark/>
          </w:tcPr>
          <w:p w14:paraId="33D4A04B" w14:textId="77777777" w:rsidR="00E66369" w:rsidRPr="00FF4EF9" w:rsidRDefault="00E66369" w:rsidP="00534C40">
            <w:pPr>
              <w:spacing w:after="0" w:line="240" w:lineRule="auto"/>
              <w:jc w:val="center"/>
              <w:rPr>
                <w:rFonts w:ascii="Calibri" w:eastAsia="Times New Roman" w:hAnsi="Calibri" w:cs="Calibri"/>
                <w:color w:val="000000"/>
                <w:lang w:eastAsia="en-GB"/>
              </w:rPr>
            </w:pPr>
            <w:r w:rsidRPr="00FF4EF9">
              <w:rPr>
                <w:rFonts w:ascii="Calibri" w:eastAsia="Times New Roman" w:hAnsi="Calibri" w:cs="Calibri"/>
                <w:color w:val="000000"/>
                <w:lang w:eastAsia="en-GB"/>
              </w:rPr>
              <w:t>50%</w:t>
            </w:r>
          </w:p>
        </w:tc>
        <w:tc>
          <w:tcPr>
            <w:tcW w:w="3120" w:type="dxa"/>
            <w:tcBorders>
              <w:top w:val="nil"/>
              <w:left w:val="nil"/>
              <w:bottom w:val="single" w:sz="4" w:space="0" w:color="auto"/>
              <w:right w:val="nil"/>
            </w:tcBorders>
            <w:shd w:val="clear" w:color="auto" w:fill="auto"/>
            <w:noWrap/>
            <w:vAlign w:val="bottom"/>
            <w:hideMark/>
          </w:tcPr>
          <w:p w14:paraId="7F161A89" w14:textId="77777777" w:rsidR="00E66369" w:rsidRPr="00FF4EF9" w:rsidRDefault="00E66369" w:rsidP="00534C40">
            <w:pPr>
              <w:spacing w:after="0" w:line="240" w:lineRule="auto"/>
              <w:rPr>
                <w:rFonts w:ascii="Calibri" w:eastAsia="Times New Roman" w:hAnsi="Calibri" w:cs="Calibri"/>
                <w:color w:val="000000"/>
                <w:lang w:eastAsia="en-GB"/>
              </w:rPr>
            </w:pPr>
            <w:r w:rsidRPr="00FF4EF9">
              <w:rPr>
                <w:rFonts w:ascii="Calibri" w:eastAsia="Times New Roman" w:hAnsi="Calibri" w:cs="Calibri"/>
                <w:color w:val="000000"/>
                <w:lang w:eastAsia="en-GB"/>
              </w:rPr>
              <w:t>Soil constraints</w:t>
            </w:r>
          </w:p>
        </w:tc>
        <w:tc>
          <w:tcPr>
            <w:tcW w:w="2140" w:type="dxa"/>
            <w:tcBorders>
              <w:top w:val="nil"/>
              <w:left w:val="nil"/>
              <w:bottom w:val="single" w:sz="4" w:space="0" w:color="auto"/>
              <w:right w:val="nil"/>
            </w:tcBorders>
            <w:shd w:val="clear" w:color="000000" w:fill="BDD7EE"/>
            <w:noWrap/>
            <w:vAlign w:val="bottom"/>
            <w:hideMark/>
          </w:tcPr>
          <w:p w14:paraId="0E04E9F1"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1.36</w:t>
            </w:r>
          </w:p>
        </w:tc>
        <w:tc>
          <w:tcPr>
            <w:tcW w:w="2140" w:type="dxa"/>
            <w:tcBorders>
              <w:top w:val="nil"/>
              <w:left w:val="nil"/>
              <w:bottom w:val="single" w:sz="4" w:space="0" w:color="auto"/>
              <w:right w:val="nil"/>
            </w:tcBorders>
            <w:shd w:val="clear" w:color="000000" w:fill="BDD7EE"/>
            <w:noWrap/>
            <w:vAlign w:val="bottom"/>
            <w:hideMark/>
          </w:tcPr>
          <w:p w14:paraId="6D8F72E1"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1.47</w:t>
            </w:r>
          </w:p>
        </w:tc>
        <w:tc>
          <w:tcPr>
            <w:tcW w:w="2240" w:type="dxa"/>
            <w:tcBorders>
              <w:top w:val="nil"/>
              <w:left w:val="nil"/>
              <w:bottom w:val="single" w:sz="4" w:space="0" w:color="auto"/>
              <w:right w:val="nil"/>
            </w:tcBorders>
            <w:shd w:val="clear" w:color="000000" w:fill="BDD7EE"/>
            <w:noWrap/>
            <w:vAlign w:val="bottom"/>
            <w:hideMark/>
          </w:tcPr>
          <w:p w14:paraId="333701A6"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1.17</w:t>
            </w:r>
          </w:p>
        </w:tc>
        <w:tc>
          <w:tcPr>
            <w:tcW w:w="2240" w:type="dxa"/>
            <w:tcBorders>
              <w:top w:val="nil"/>
              <w:left w:val="nil"/>
              <w:bottom w:val="single" w:sz="4" w:space="0" w:color="auto"/>
              <w:right w:val="nil"/>
            </w:tcBorders>
            <w:shd w:val="clear" w:color="000000" w:fill="BDD7EE"/>
            <w:noWrap/>
            <w:vAlign w:val="bottom"/>
            <w:hideMark/>
          </w:tcPr>
          <w:p w14:paraId="604703F6" w14:textId="77777777" w:rsidR="00E66369" w:rsidRPr="00FF4EF9" w:rsidRDefault="00E66369" w:rsidP="00534C40">
            <w:pPr>
              <w:spacing w:after="0" w:line="240" w:lineRule="auto"/>
              <w:jc w:val="center"/>
              <w:rPr>
                <w:rFonts w:ascii="Calibri" w:eastAsia="Times New Roman" w:hAnsi="Calibri" w:cs="Calibri"/>
                <w:b/>
                <w:bCs/>
                <w:color w:val="000000"/>
                <w:lang w:eastAsia="en-GB"/>
              </w:rPr>
            </w:pPr>
            <w:r w:rsidRPr="00FF4EF9">
              <w:rPr>
                <w:rFonts w:ascii="Calibri" w:eastAsia="Times New Roman" w:hAnsi="Calibri" w:cs="Calibri"/>
                <w:b/>
                <w:bCs/>
                <w:color w:val="000000"/>
                <w:lang w:eastAsia="en-GB"/>
              </w:rPr>
              <w:t>1.06</w:t>
            </w:r>
          </w:p>
        </w:tc>
      </w:tr>
    </w:tbl>
    <w:p w14:paraId="20ED25EB" w14:textId="77777777" w:rsidR="00E66369" w:rsidRDefault="00E66369" w:rsidP="00E66369">
      <w:pPr>
        <w:rPr>
          <w:b/>
        </w:rPr>
      </w:pPr>
    </w:p>
    <w:p w14:paraId="44D4636A" w14:textId="77777777" w:rsidR="00E66369" w:rsidRDefault="00E66369" w:rsidP="00E66369">
      <w:pPr>
        <w:rPr>
          <w:b/>
        </w:rPr>
      </w:pPr>
    </w:p>
    <w:p w14:paraId="22F6B872" w14:textId="77777777" w:rsidR="00E66369" w:rsidRDefault="00E66369" w:rsidP="00E66369">
      <w:pPr>
        <w:rPr>
          <w:b/>
        </w:rPr>
      </w:pPr>
    </w:p>
    <w:p w14:paraId="6E0EA635" w14:textId="77777777" w:rsidR="00E66369" w:rsidRDefault="00E66369" w:rsidP="00E66369">
      <w:pPr>
        <w:rPr>
          <w:b/>
        </w:rPr>
      </w:pPr>
    </w:p>
    <w:p w14:paraId="430B3351" w14:textId="77777777" w:rsidR="00E66369" w:rsidRDefault="00E66369" w:rsidP="00E66369">
      <w:pPr>
        <w:rPr>
          <w:b/>
        </w:rPr>
      </w:pPr>
      <w:r>
        <w:rPr>
          <w:b/>
        </w:rPr>
        <w:lastRenderedPageBreak/>
        <w:t xml:space="preserve">Table S3 – Average model </w:t>
      </w:r>
      <w:proofErr w:type="gramStart"/>
      <w:r>
        <w:rPr>
          <w:b/>
        </w:rPr>
        <w:t>coefficients  and</w:t>
      </w:r>
      <w:proofErr w:type="gramEnd"/>
      <w:r>
        <w:rPr>
          <w:b/>
        </w:rPr>
        <w:t xml:space="preserve"> McFadden pseudo-R</w:t>
      </w:r>
      <w:r>
        <w:rPr>
          <w:b/>
          <w:vertAlign w:val="superscript"/>
        </w:rPr>
        <w:t xml:space="preserve">2 </w:t>
      </w:r>
      <w:r>
        <w:rPr>
          <w:b/>
        </w:rPr>
        <w:t xml:space="preserve"> (</w:t>
      </w:r>
      <w:r>
        <w:rPr>
          <w:rFonts w:cstheme="minorHAnsi"/>
          <w:b/>
        </w:rPr>
        <w:t>±</w:t>
      </w:r>
      <w:r>
        <w:rPr>
          <w:b/>
        </w:rPr>
        <w:t xml:space="preserve"> SD) of 10,000 balanced samples of expansion (1992-2015) of Model 2 (‘existing predictors’); Methods.</w:t>
      </w:r>
    </w:p>
    <w:p w14:paraId="1FBC9234" w14:textId="77777777" w:rsidR="00E66369" w:rsidRDefault="00E66369" w:rsidP="00E66369">
      <w:pPr>
        <w:rPr>
          <w:b/>
        </w:rPr>
      </w:pPr>
      <w:r>
        <w:rPr>
          <w:noProof/>
          <w:lang w:val="en-US" w:eastAsia="en-US"/>
        </w:rPr>
        <w:drawing>
          <wp:inline distT="0" distB="0" distL="0" distR="7620" wp14:anchorId="63DB0487" wp14:editId="64498E93">
            <wp:extent cx="9365615" cy="4975225"/>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pic:cNvPicPr>
                      <a:picLocks noChangeAspect="1" noChangeArrowheads="1"/>
                    </pic:cNvPicPr>
                  </pic:nvPicPr>
                  <pic:blipFill>
                    <a:blip r:embed="rId29"/>
                    <a:srcRect l="-570" t="4332" r="10283" b="10393"/>
                    <a:stretch>
                      <a:fillRect/>
                    </a:stretch>
                  </pic:blipFill>
                  <pic:spPr bwMode="auto">
                    <a:xfrm>
                      <a:off x="0" y="0"/>
                      <a:ext cx="9365615" cy="4975225"/>
                    </a:xfrm>
                    <a:prstGeom prst="rect">
                      <a:avLst/>
                    </a:prstGeom>
                  </pic:spPr>
                </pic:pic>
              </a:graphicData>
            </a:graphic>
          </wp:inline>
        </w:drawing>
      </w:r>
    </w:p>
    <w:p w14:paraId="20419E53" w14:textId="77777777" w:rsidR="00E66369" w:rsidRDefault="00E66369" w:rsidP="00E66369">
      <w:pPr>
        <w:rPr>
          <w:b/>
        </w:rPr>
      </w:pPr>
      <w:r>
        <w:rPr>
          <w:b/>
        </w:rPr>
        <w:lastRenderedPageBreak/>
        <w:t xml:space="preserve">Table S4 – Average model </w:t>
      </w:r>
      <w:proofErr w:type="gramStart"/>
      <w:r>
        <w:rPr>
          <w:b/>
        </w:rPr>
        <w:t>coefficients  and</w:t>
      </w:r>
      <w:proofErr w:type="gramEnd"/>
      <w:r>
        <w:rPr>
          <w:b/>
        </w:rPr>
        <w:t xml:space="preserve"> McFadden pseudo-R</w:t>
      </w:r>
      <w:r>
        <w:rPr>
          <w:b/>
          <w:vertAlign w:val="superscript"/>
        </w:rPr>
        <w:t xml:space="preserve">2 </w:t>
      </w:r>
      <w:r>
        <w:rPr>
          <w:b/>
        </w:rPr>
        <w:t xml:space="preserve"> (</w:t>
      </w:r>
      <w:r>
        <w:rPr>
          <w:rFonts w:cstheme="minorHAnsi"/>
          <w:b/>
        </w:rPr>
        <w:t>±</w:t>
      </w:r>
      <w:r>
        <w:rPr>
          <w:b/>
        </w:rPr>
        <w:t xml:space="preserve"> SD) of 10,000 balanced samples of expansion (1992-2015) of Model 3 (‘existing predictors + </w:t>
      </w:r>
      <w:proofErr w:type="spellStart"/>
      <w:r>
        <w:rPr>
          <w:b/>
        </w:rPr>
        <w:t>frontierness</w:t>
      </w:r>
      <w:proofErr w:type="spellEnd"/>
      <w:r>
        <w:rPr>
          <w:b/>
        </w:rPr>
        <w:t>’); Methods.</w:t>
      </w:r>
    </w:p>
    <w:p w14:paraId="106389EE" w14:textId="77777777" w:rsidR="00E66369" w:rsidRDefault="00E66369" w:rsidP="00E66369">
      <w:pPr>
        <w:rPr>
          <w:b/>
        </w:rPr>
        <w:sectPr w:rsidR="00E66369">
          <w:footerReference w:type="default" r:id="rId30"/>
          <w:pgSz w:w="16838" w:h="11906" w:orient="landscape"/>
          <w:pgMar w:top="1440" w:right="1440" w:bottom="1440" w:left="1440" w:header="0" w:footer="708" w:gutter="0"/>
          <w:cols w:space="720"/>
          <w:formProt w:val="0"/>
          <w:docGrid w:linePitch="360" w:charSpace="8192"/>
        </w:sectPr>
      </w:pPr>
      <w:r>
        <w:rPr>
          <w:b/>
        </w:rPr>
        <w:t xml:space="preserve"> </w:t>
      </w:r>
      <w:r>
        <w:rPr>
          <w:noProof/>
          <w:lang w:val="en-US" w:eastAsia="en-US"/>
        </w:rPr>
        <w:drawing>
          <wp:inline distT="0" distB="8255" distL="0" distR="0" wp14:anchorId="74EF8DF1" wp14:editId="25255003">
            <wp:extent cx="8632825" cy="4944745"/>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pic:cNvPicPr>
                      <a:picLocks noChangeAspect="1" noChangeArrowheads="1"/>
                    </pic:cNvPicPr>
                  </pic:nvPicPr>
                  <pic:blipFill>
                    <a:blip r:embed="rId31"/>
                    <a:srcRect l="811" t="4766" r="11527" b="5963"/>
                    <a:stretch>
                      <a:fillRect/>
                    </a:stretch>
                  </pic:blipFill>
                  <pic:spPr bwMode="auto">
                    <a:xfrm>
                      <a:off x="0" y="0"/>
                      <a:ext cx="8632825" cy="4944745"/>
                    </a:xfrm>
                    <a:prstGeom prst="rect">
                      <a:avLst/>
                    </a:prstGeom>
                  </pic:spPr>
                </pic:pic>
              </a:graphicData>
            </a:graphic>
          </wp:inline>
        </w:drawing>
      </w:r>
      <w:r>
        <w:t xml:space="preserve"> </w:t>
      </w:r>
      <w:r>
        <w:rPr>
          <w:noProof/>
          <w:lang w:val="en-US" w:eastAsia="en-US"/>
        </w:rPr>
        <w:drawing>
          <wp:inline distT="0" distB="6350" distL="0" distR="6350" wp14:anchorId="237B4780" wp14:editId="4B72CD1F">
            <wp:extent cx="8680450" cy="1841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2"/>
                    <a:srcRect t="91020" r="10956" b="5620"/>
                    <a:stretch>
                      <a:fillRect/>
                    </a:stretch>
                  </pic:blipFill>
                  <pic:spPr bwMode="auto">
                    <a:xfrm>
                      <a:off x="0" y="0"/>
                      <a:ext cx="8680450" cy="184150"/>
                    </a:xfrm>
                    <a:prstGeom prst="rect">
                      <a:avLst/>
                    </a:prstGeom>
                  </pic:spPr>
                </pic:pic>
              </a:graphicData>
            </a:graphic>
          </wp:inline>
        </w:drawing>
      </w:r>
    </w:p>
    <w:p w14:paraId="55AF36A4" w14:textId="77777777" w:rsidR="00E66369" w:rsidRDefault="00E66369" w:rsidP="00E66369">
      <w:pPr>
        <w:spacing w:after="0" w:line="240" w:lineRule="auto"/>
        <w:rPr>
          <w:bCs/>
        </w:rPr>
      </w:pPr>
      <w:r>
        <w:rPr>
          <w:b/>
          <w:bCs/>
        </w:rPr>
        <w:lastRenderedPageBreak/>
        <w:t>Table S5</w:t>
      </w:r>
      <w:r>
        <w:rPr>
          <w:bCs/>
        </w:rPr>
        <w:t>– Comparison of the overall model explanatory power (pseudo R</w:t>
      </w:r>
      <w:r>
        <w:rPr>
          <w:bCs/>
          <w:vertAlign w:val="superscript"/>
        </w:rPr>
        <w:t>2</w:t>
      </w:r>
      <w:r>
        <w:rPr>
          <w:bCs/>
        </w:rPr>
        <w:t xml:space="preserve">) of the main cropland classification (‘main’) for the ‘extent’ </w:t>
      </w:r>
      <w:proofErr w:type="gramStart"/>
      <w:r>
        <w:rPr>
          <w:bCs/>
        </w:rPr>
        <w:t>models  with</w:t>
      </w:r>
      <w:proofErr w:type="gramEnd"/>
      <w:r>
        <w:rPr>
          <w:bCs/>
        </w:rPr>
        <w:t xml:space="preserve"> cropland that includes mosaic land cover classes (‘mosaic’). See Supplementary Methods for Details. </w:t>
      </w:r>
    </w:p>
    <w:tbl>
      <w:tblPr>
        <w:tblW w:w="5560" w:type="dxa"/>
        <w:tblLook w:val="04A0" w:firstRow="1" w:lastRow="0" w:firstColumn="1" w:lastColumn="0" w:noHBand="0" w:noVBand="1"/>
      </w:tblPr>
      <w:tblGrid>
        <w:gridCol w:w="1140"/>
        <w:gridCol w:w="1128"/>
        <w:gridCol w:w="2332"/>
        <w:gridCol w:w="960"/>
      </w:tblGrid>
      <w:tr w:rsidR="00E66369" w:rsidRPr="00233DA9" w14:paraId="5E592975" w14:textId="77777777" w:rsidTr="00534C40">
        <w:trPr>
          <w:trHeight w:val="290"/>
        </w:trPr>
        <w:tc>
          <w:tcPr>
            <w:tcW w:w="1140" w:type="dxa"/>
            <w:tcBorders>
              <w:top w:val="single" w:sz="4" w:space="0" w:color="auto"/>
              <w:left w:val="nil"/>
              <w:bottom w:val="single" w:sz="4" w:space="0" w:color="auto"/>
              <w:right w:val="nil"/>
            </w:tcBorders>
            <w:shd w:val="clear" w:color="auto" w:fill="auto"/>
            <w:noWrap/>
            <w:vAlign w:val="bottom"/>
            <w:hideMark/>
          </w:tcPr>
          <w:p w14:paraId="3DD020D9" w14:textId="77777777" w:rsidR="00E66369" w:rsidRPr="00233DA9" w:rsidRDefault="00E66369" w:rsidP="00534C40">
            <w:pPr>
              <w:spacing w:after="0" w:line="240" w:lineRule="auto"/>
              <w:rPr>
                <w:rFonts w:ascii="Calibri" w:eastAsia="Times New Roman" w:hAnsi="Calibri" w:cs="Calibri"/>
                <w:color w:val="000000"/>
                <w:lang w:eastAsia="en-GB"/>
              </w:rPr>
            </w:pPr>
            <w:r w:rsidRPr="00233DA9">
              <w:rPr>
                <w:rFonts w:ascii="Calibri" w:eastAsia="Times New Roman" w:hAnsi="Calibri" w:cs="Calibri"/>
                <w:color w:val="000000"/>
                <w:lang w:eastAsia="en-GB"/>
              </w:rPr>
              <w:t>Model type</w:t>
            </w:r>
          </w:p>
        </w:tc>
        <w:tc>
          <w:tcPr>
            <w:tcW w:w="1128" w:type="dxa"/>
            <w:tcBorders>
              <w:top w:val="single" w:sz="4" w:space="0" w:color="auto"/>
              <w:left w:val="nil"/>
              <w:bottom w:val="single" w:sz="4" w:space="0" w:color="auto"/>
              <w:right w:val="nil"/>
            </w:tcBorders>
            <w:shd w:val="clear" w:color="auto" w:fill="auto"/>
            <w:noWrap/>
            <w:vAlign w:val="bottom"/>
            <w:hideMark/>
          </w:tcPr>
          <w:p w14:paraId="7488F48E"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Cropland Threshold</w:t>
            </w:r>
          </w:p>
        </w:tc>
        <w:tc>
          <w:tcPr>
            <w:tcW w:w="2332" w:type="dxa"/>
            <w:tcBorders>
              <w:top w:val="single" w:sz="4" w:space="0" w:color="auto"/>
              <w:left w:val="nil"/>
              <w:bottom w:val="single" w:sz="4" w:space="0" w:color="auto"/>
              <w:right w:val="nil"/>
            </w:tcBorders>
            <w:shd w:val="clear" w:color="auto" w:fill="auto"/>
            <w:noWrap/>
            <w:vAlign w:val="bottom"/>
            <w:hideMark/>
          </w:tcPr>
          <w:p w14:paraId="451ACF9D"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Main Analysis</w:t>
            </w:r>
          </w:p>
        </w:tc>
        <w:tc>
          <w:tcPr>
            <w:tcW w:w="960" w:type="dxa"/>
            <w:tcBorders>
              <w:top w:val="single" w:sz="4" w:space="0" w:color="auto"/>
              <w:left w:val="nil"/>
              <w:bottom w:val="single" w:sz="4" w:space="0" w:color="auto"/>
              <w:right w:val="nil"/>
            </w:tcBorders>
            <w:shd w:val="clear" w:color="auto" w:fill="auto"/>
            <w:noWrap/>
            <w:vAlign w:val="bottom"/>
            <w:hideMark/>
          </w:tcPr>
          <w:p w14:paraId="309BA6C2"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Mosaic</w:t>
            </w:r>
          </w:p>
        </w:tc>
      </w:tr>
      <w:tr w:rsidR="00E66369" w:rsidRPr="00233DA9" w14:paraId="4EFA7FEA" w14:textId="77777777" w:rsidTr="00534C40">
        <w:trPr>
          <w:trHeight w:val="290"/>
        </w:trPr>
        <w:tc>
          <w:tcPr>
            <w:tcW w:w="1140" w:type="dxa"/>
            <w:tcBorders>
              <w:top w:val="nil"/>
              <w:left w:val="nil"/>
              <w:bottom w:val="nil"/>
              <w:right w:val="nil"/>
            </w:tcBorders>
            <w:shd w:val="clear" w:color="auto" w:fill="auto"/>
            <w:noWrap/>
            <w:vAlign w:val="bottom"/>
            <w:hideMark/>
          </w:tcPr>
          <w:p w14:paraId="1D984433" w14:textId="77777777" w:rsidR="00E66369" w:rsidRPr="00233DA9" w:rsidRDefault="00E66369" w:rsidP="00534C40">
            <w:pPr>
              <w:spacing w:after="0" w:line="240" w:lineRule="auto"/>
              <w:rPr>
                <w:rFonts w:ascii="Calibri" w:eastAsia="Times New Roman" w:hAnsi="Calibri" w:cs="Calibri"/>
                <w:color w:val="000000"/>
                <w:lang w:eastAsia="en-GB"/>
              </w:rPr>
            </w:pPr>
            <w:r w:rsidRPr="00233DA9">
              <w:rPr>
                <w:rFonts w:ascii="Calibri" w:eastAsia="Times New Roman" w:hAnsi="Calibri" w:cs="Calibri"/>
                <w:color w:val="000000"/>
                <w:lang w:eastAsia="en-GB"/>
              </w:rPr>
              <w:t>Extent</w:t>
            </w:r>
          </w:p>
        </w:tc>
        <w:tc>
          <w:tcPr>
            <w:tcW w:w="1128" w:type="dxa"/>
            <w:tcBorders>
              <w:top w:val="nil"/>
              <w:left w:val="nil"/>
              <w:bottom w:val="nil"/>
              <w:right w:val="nil"/>
            </w:tcBorders>
            <w:shd w:val="clear" w:color="auto" w:fill="auto"/>
            <w:noWrap/>
            <w:vAlign w:val="center"/>
            <w:hideMark/>
          </w:tcPr>
          <w:p w14:paraId="757D1212"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0.005</w:t>
            </w:r>
          </w:p>
        </w:tc>
        <w:tc>
          <w:tcPr>
            <w:tcW w:w="2332" w:type="dxa"/>
            <w:tcBorders>
              <w:top w:val="nil"/>
              <w:left w:val="nil"/>
              <w:bottom w:val="nil"/>
              <w:right w:val="nil"/>
            </w:tcBorders>
            <w:shd w:val="clear" w:color="auto" w:fill="auto"/>
            <w:noWrap/>
            <w:vAlign w:val="center"/>
            <w:hideMark/>
          </w:tcPr>
          <w:p w14:paraId="5A2B298F"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0.32</w:t>
            </w:r>
          </w:p>
        </w:tc>
        <w:tc>
          <w:tcPr>
            <w:tcW w:w="960" w:type="dxa"/>
            <w:tcBorders>
              <w:top w:val="nil"/>
              <w:left w:val="nil"/>
              <w:bottom w:val="nil"/>
              <w:right w:val="nil"/>
            </w:tcBorders>
            <w:shd w:val="clear" w:color="auto" w:fill="auto"/>
            <w:noWrap/>
            <w:vAlign w:val="center"/>
            <w:hideMark/>
          </w:tcPr>
          <w:p w14:paraId="44E637E1"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0.34</w:t>
            </w:r>
          </w:p>
        </w:tc>
      </w:tr>
      <w:tr w:rsidR="00E66369" w:rsidRPr="00233DA9" w14:paraId="4FA29ED5" w14:textId="77777777" w:rsidTr="00534C40">
        <w:trPr>
          <w:trHeight w:val="290"/>
        </w:trPr>
        <w:tc>
          <w:tcPr>
            <w:tcW w:w="1140" w:type="dxa"/>
            <w:tcBorders>
              <w:top w:val="nil"/>
              <w:left w:val="nil"/>
              <w:bottom w:val="nil"/>
              <w:right w:val="nil"/>
            </w:tcBorders>
            <w:shd w:val="clear" w:color="auto" w:fill="auto"/>
            <w:noWrap/>
            <w:vAlign w:val="bottom"/>
            <w:hideMark/>
          </w:tcPr>
          <w:p w14:paraId="7B0A114A" w14:textId="77777777" w:rsidR="00E66369" w:rsidRPr="00233DA9" w:rsidRDefault="00E66369" w:rsidP="00534C40">
            <w:pPr>
              <w:spacing w:after="0" w:line="240" w:lineRule="auto"/>
              <w:rPr>
                <w:rFonts w:ascii="Calibri" w:eastAsia="Times New Roman" w:hAnsi="Calibri" w:cs="Calibri"/>
                <w:color w:val="000000"/>
                <w:lang w:eastAsia="en-GB"/>
              </w:rPr>
            </w:pPr>
            <w:r w:rsidRPr="00233DA9">
              <w:rPr>
                <w:rFonts w:ascii="Calibri" w:eastAsia="Times New Roman" w:hAnsi="Calibri" w:cs="Calibri"/>
                <w:color w:val="000000"/>
                <w:lang w:eastAsia="en-GB"/>
              </w:rPr>
              <w:t>Extent</w:t>
            </w:r>
          </w:p>
        </w:tc>
        <w:tc>
          <w:tcPr>
            <w:tcW w:w="1128" w:type="dxa"/>
            <w:tcBorders>
              <w:top w:val="nil"/>
              <w:left w:val="nil"/>
              <w:bottom w:val="nil"/>
              <w:right w:val="nil"/>
            </w:tcBorders>
            <w:shd w:val="clear" w:color="auto" w:fill="auto"/>
            <w:noWrap/>
            <w:vAlign w:val="center"/>
            <w:hideMark/>
          </w:tcPr>
          <w:p w14:paraId="4C46498E"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0.1</w:t>
            </w:r>
          </w:p>
        </w:tc>
        <w:tc>
          <w:tcPr>
            <w:tcW w:w="2332" w:type="dxa"/>
            <w:tcBorders>
              <w:top w:val="nil"/>
              <w:left w:val="nil"/>
              <w:bottom w:val="nil"/>
              <w:right w:val="nil"/>
            </w:tcBorders>
            <w:shd w:val="clear" w:color="auto" w:fill="auto"/>
            <w:noWrap/>
            <w:vAlign w:val="center"/>
            <w:hideMark/>
          </w:tcPr>
          <w:p w14:paraId="3F80A839"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0.30</w:t>
            </w:r>
          </w:p>
        </w:tc>
        <w:tc>
          <w:tcPr>
            <w:tcW w:w="960" w:type="dxa"/>
            <w:tcBorders>
              <w:top w:val="nil"/>
              <w:left w:val="nil"/>
              <w:bottom w:val="nil"/>
              <w:right w:val="nil"/>
            </w:tcBorders>
            <w:shd w:val="clear" w:color="auto" w:fill="auto"/>
            <w:noWrap/>
            <w:vAlign w:val="center"/>
            <w:hideMark/>
          </w:tcPr>
          <w:p w14:paraId="45C2722A"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0.32</w:t>
            </w:r>
          </w:p>
        </w:tc>
      </w:tr>
      <w:tr w:rsidR="00E66369" w:rsidRPr="00233DA9" w14:paraId="77D1AD80" w14:textId="77777777" w:rsidTr="00534C40">
        <w:trPr>
          <w:trHeight w:val="300"/>
        </w:trPr>
        <w:tc>
          <w:tcPr>
            <w:tcW w:w="1140" w:type="dxa"/>
            <w:tcBorders>
              <w:top w:val="nil"/>
              <w:left w:val="nil"/>
              <w:bottom w:val="single" w:sz="4" w:space="0" w:color="auto"/>
              <w:right w:val="nil"/>
            </w:tcBorders>
            <w:shd w:val="clear" w:color="auto" w:fill="auto"/>
            <w:noWrap/>
            <w:vAlign w:val="bottom"/>
            <w:hideMark/>
          </w:tcPr>
          <w:p w14:paraId="2CB42899" w14:textId="77777777" w:rsidR="00E66369" w:rsidRPr="00233DA9" w:rsidRDefault="00E66369" w:rsidP="00534C40">
            <w:pPr>
              <w:spacing w:after="0" w:line="240" w:lineRule="auto"/>
              <w:rPr>
                <w:rFonts w:ascii="Calibri" w:eastAsia="Times New Roman" w:hAnsi="Calibri" w:cs="Calibri"/>
                <w:color w:val="000000"/>
                <w:lang w:eastAsia="en-GB"/>
              </w:rPr>
            </w:pPr>
            <w:r w:rsidRPr="00233DA9">
              <w:rPr>
                <w:rFonts w:ascii="Calibri" w:eastAsia="Times New Roman" w:hAnsi="Calibri" w:cs="Calibri"/>
                <w:color w:val="000000"/>
                <w:lang w:eastAsia="en-GB"/>
              </w:rPr>
              <w:t>Extent</w:t>
            </w:r>
          </w:p>
        </w:tc>
        <w:tc>
          <w:tcPr>
            <w:tcW w:w="1128" w:type="dxa"/>
            <w:tcBorders>
              <w:top w:val="nil"/>
              <w:left w:val="nil"/>
              <w:bottom w:val="single" w:sz="4" w:space="0" w:color="auto"/>
              <w:right w:val="nil"/>
            </w:tcBorders>
            <w:shd w:val="clear" w:color="auto" w:fill="auto"/>
            <w:noWrap/>
            <w:vAlign w:val="center"/>
            <w:hideMark/>
          </w:tcPr>
          <w:p w14:paraId="1686398B"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0.5</w:t>
            </w:r>
          </w:p>
        </w:tc>
        <w:tc>
          <w:tcPr>
            <w:tcW w:w="2332" w:type="dxa"/>
            <w:tcBorders>
              <w:top w:val="nil"/>
              <w:left w:val="nil"/>
              <w:bottom w:val="single" w:sz="4" w:space="0" w:color="auto"/>
              <w:right w:val="nil"/>
            </w:tcBorders>
            <w:shd w:val="clear" w:color="auto" w:fill="auto"/>
            <w:noWrap/>
            <w:vAlign w:val="center"/>
            <w:hideMark/>
          </w:tcPr>
          <w:p w14:paraId="365A59AC"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0.33</w:t>
            </w:r>
          </w:p>
        </w:tc>
        <w:tc>
          <w:tcPr>
            <w:tcW w:w="960" w:type="dxa"/>
            <w:tcBorders>
              <w:top w:val="nil"/>
              <w:left w:val="nil"/>
              <w:bottom w:val="single" w:sz="4" w:space="0" w:color="auto"/>
              <w:right w:val="nil"/>
            </w:tcBorders>
            <w:shd w:val="clear" w:color="auto" w:fill="auto"/>
            <w:noWrap/>
            <w:vAlign w:val="center"/>
            <w:hideMark/>
          </w:tcPr>
          <w:p w14:paraId="432EDC99"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0.33</w:t>
            </w:r>
          </w:p>
        </w:tc>
      </w:tr>
    </w:tbl>
    <w:p w14:paraId="41F9F220" w14:textId="77777777" w:rsidR="00E66369" w:rsidRDefault="00E66369" w:rsidP="00E66369">
      <w:pPr>
        <w:spacing w:after="0" w:line="240" w:lineRule="auto"/>
        <w:rPr>
          <w:b/>
          <w:bCs/>
        </w:rPr>
      </w:pPr>
    </w:p>
    <w:p w14:paraId="2CCA7B62" w14:textId="77777777" w:rsidR="00E66369" w:rsidRDefault="00E66369" w:rsidP="00E66369">
      <w:pPr>
        <w:spacing w:after="0" w:line="240" w:lineRule="auto"/>
        <w:rPr>
          <w:bCs/>
        </w:rPr>
      </w:pPr>
      <w:r>
        <w:rPr>
          <w:b/>
          <w:bCs/>
        </w:rPr>
        <w:t>Table S6</w:t>
      </w:r>
      <w:r>
        <w:rPr>
          <w:bCs/>
        </w:rPr>
        <w:t xml:space="preserve"> – Comparisons of the overall model predictive power (pseudo R</w:t>
      </w:r>
      <w:r>
        <w:rPr>
          <w:bCs/>
          <w:vertAlign w:val="superscript"/>
        </w:rPr>
        <w:t>2</w:t>
      </w:r>
      <w:r>
        <w:rPr>
          <w:bCs/>
        </w:rPr>
        <w:t xml:space="preserve">) main cropland classification (‘main’) for the  ‘expansion’ models  with cropland that includes mosaic land cover classes (‘mosaic’), and cropland expansion up to 2013 (‘2013’), rather than up to 2015. See Supplementary Methods for Details. </w:t>
      </w:r>
    </w:p>
    <w:p w14:paraId="6EEC3C8F" w14:textId="77777777" w:rsidR="00E66369" w:rsidRDefault="00E66369" w:rsidP="00E66369">
      <w:pPr>
        <w:spacing w:after="0" w:line="240" w:lineRule="auto"/>
        <w:rPr>
          <w:bCs/>
        </w:rPr>
      </w:pPr>
    </w:p>
    <w:tbl>
      <w:tblPr>
        <w:tblW w:w="9214" w:type="dxa"/>
        <w:tblLook w:val="04A0" w:firstRow="1" w:lastRow="0" w:firstColumn="1" w:lastColumn="0" w:noHBand="0" w:noVBand="1"/>
      </w:tblPr>
      <w:tblGrid>
        <w:gridCol w:w="1140"/>
        <w:gridCol w:w="1270"/>
        <w:gridCol w:w="1559"/>
        <w:gridCol w:w="993"/>
        <w:gridCol w:w="708"/>
        <w:gridCol w:w="1560"/>
        <w:gridCol w:w="992"/>
        <w:gridCol w:w="992"/>
      </w:tblGrid>
      <w:tr w:rsidR="00E66369" w:rsidRPr="00233DA9" w14:paraId="48D7CB6C" w14:textId="77777777" w:rsidTr="00534C40">
        <w:trPr>
          <w:trHeight w:val="290"/>
        </w:trPr>
        <w:tc>
          <w:tcPr>
            <w:tcW w:w="1140" w:type="dxa"/>
            <w:tcBorders>
              <w:top w:val="single" w:sz="4" w:space="0" w:color="auto"/>
              <w:left w:val="nil"/>
              <w:bottom w:val="nil"/>
              <w:right w:val="nil"/>
            </w:tcBorders>
            <w:shd w:val="clear" w:color="auto" w:fill="auto"/>
            <w:noWrap/>
            <w:vAlign w:val="bottom"/>
            <w:hideMark/>
          </w:tcPr>
          <w:p w14:paraId="77DC319B" w14:textId="77777777" w:rsidR="00E66369" w:rsidRPr="00233DA9" w:rsidRDefault="00E66369" w:rsidP="00534C40">
            <w:pPr>
              <w:spacing w:after="0" w:line="240" w:lineRule="auto"/>
              <w:rPr>
                <w:rFonts w:ascii="Calibri" w:eastAsia="Times New Roman" w:hAnsi="Calibri" w:cs="Calibri"/>
                <w:color w:val="000000"/>
                <w:lang w:eastAsia="en-GB"/>
              </w:rPr>
            </w:pPr>
            <w:r w:rsidRPr="00233DA9">
              <w:rPr>
                <w:rFonts w:ascii="Calibri" w:eastAsia="Times New Roman" w:hAnsi="Calibri" w:cs="Calibri"/>
                <w:color w:val="000000"/>
                <w:lang w:eastAsia="en-GB"/>
              </w:rPr>
              <w:t> </w:t>
            </w:r>
          </w:p>
        </w:tc>
        <w:tc>
          <w:tcPr>
            <w:tcW w:w="1270" w:type="dxa"/>
            <w:tcBorders>
              <w:top w:val="single" w:sz="4" w:space="0" w:color="auto"/>
              <w:left w:val="nil"/>
              <w:bottom w:val="nil"/>
              <w:right w:val="nil"/>
            </w:tcBorders>
            <w:shd w:val="clear" w:color="auto" w:fill="auto"/>
            <w:noWrap/>
            <w:vAlign w:val="center"/>
            <w:hideMark/>
          </w:tcPr>
          <w:p w14:paraId="55680AA8"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 </w:t>
            </w:r>
          </w:p>
        </w:tc>
        <w:tc>
          <w:tcPr>
            <w:tcW w:w="3260" w:type="dxa"/>
            <w:gridSpan w:val="3"/>
            <w:tcBorders>
              <w:top w:val="single" w:sz="4" w:space="0" w:color="auto"/>
              <w:left w:val="nil"/>
              <w:bottom w:val="nil"/>
              <w:right w:val="nil"/>
            </w:tcBorders>
            <w:shd w:val="clear" w:color="auto" w:fill="auto"/>
            <w:noWrap/>
            <w:vAlign w:val="bottom"/>
            <w:hideMark/>
          </w:tcPr>
          <w:p w14:paraId="136DB8E8"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Model 2 (Cropland + null)</w:t>
            </w:r>
          </w:p>
          <w:p w14:paraId="735B6901" w14:textId="77777777" w:rsidR="00E66369" w:rsidRPr="00233DA9" w:rsidRDefault="00E66369" w:rsidP="00534C40">
            <w:pPr>
              <w:spacing w:after="0" w:line="240" w:lineRule="auto"/>
              <w:jc w:val="center"/>
              <w:rPr>
                <w:rFonts w:ascii="Calibri" w:eastAsia="Times New Roman" w:hAnsi="Calibri" w:cs="Calibri"/>
                <w:color w:val="000000"/>
                <w:lang w:eastAsia="en-GB"/>
              </w:rPr>
            </w:pPr>
          </w:p>
        </w:tc>
        <w:tc>
          <w:tcPr>
            <w:tcW w:w="3544" w:type="dxa"/>
            <w:gridSpan w:val="3"/>
            <w:tcBorders>
              <w:top w:val="single" w:sz="4" w:space="0" w:color="auto"/>
              <w:left w:val="nil"/>
              <w:bottom w:val="nil"/>
              <w:right w:val="nil"/>
            </w:tcBorders>
            <w:shd w:val="clear" w:color="auto" w:fill="auto"/>
            <w:noWrap/>
            <w:vAlign w:val="bottom"/>
            <w:hideMark/>
          </w:tcPr>
          <w:p w14:paraId="14D84B92"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 xml:space="preserve">Model 3 (Cropland + null + </w:t>
            </w:r>
            <w:proofErr w:type="spellStart"/>
            <w:r w:rsidRPr="00233DA9">
              <w:rPr>
                <w:rFonts w:ascii="Calibri" w:eastAsia="Times New Roman" w:hAnsi="Calibri" w:cs="Calibri"/>
                <w:color w:val="000000"/>
                <w:lang w:eastAsia="en-GB"/>
              </w:rPr>
              <w:t>frontierness</w:t>
            </w:r>
            <w:proofErr w:type="spellEnd"/>
            <w:r w:rsidRPr="00233DA9">
              <w:rPr>
                <w:rFonts w:ascii="Calibri" w:eastAsia="Times New Roman" w:hAnsi="Calibri" w:cs="Calibri"/>
                <w:color w:val="000000"/>
                <w:lang w:eastAsia="en-GB"/>
              </w:rPr>
              <w:t>)</w:t>
            </w:r>
          </w:p>
        </w:tc>
      </w:tr>
      <w:tr w:rsidR="00E66369" w:rsidRPr="00233DA9" w14:paraId="1C495FFA" w14:textId="77777777" w:rsidTr="00534C40">
        <w:trPr>
          <w:trHeight w:val="290"/>
        </w:trPr>
        <w:tc>
          <w:tcPr>
            <w:tcW w:w="1140" w:type="dxa"/>
            <w:tcBorders>
              <w:top w:val="nil"/>
              <w:left w:val="nil"/>
              <w:bottom w:val="single" w:sz="4" w:space="0" w:color="auto"/>
              <w:right w:val="nil"/>
            </w:tcBorders>
            <w:shd w:val="clear" w:color="auto" w:fill="auto"/>
            <w:noWrap/>
            <w:vAlign w:val="bottom"/>
            <w:hideMark/>
          </w:tcPr>
          <w:p w14:paraId="19A3CE98" w14:textId="77777777" w:rsidR="00E66369" w:rsidRPr="00233DA9" w:rsidRDefault="00E66369" w:rsidP="00534C40">
            <w:pPr>
              <w:spacing w:after="0" w:line="240" w:lineRule="auto"/>
              <w:rPr>
                <w:rFonts w:ascii="Calibri" w:eastAsia="Times New Roman" w:hAnsi="Calibri" w:cs="Calibri"/>
                <w:color w:val="000000"/>
                <w:lang w:eastAsia="en-GB"/>
              </w:rPr>
            </w:pPr>
            <w:r w:rsidRPr="00233DA9">
              <w:rPr>
                <w:rFonts w:ascii="Calibri" w:eastAsia="Times New Roman" w:hAnsi="Calibri" w:cs="Calibri"/>
                <w:color w:val="000000"/>
                <w:lang w:eastAsia="en-GB"/>
              </w:rPr>
              <w:t>Expansion</w:t>
            </w:r>
          </w:p>
        </w:tc>
        <w:tc>
          <w:tcPr>
            <w:tcW w:w="1270" w:type="dxa"/>
            <w:tcBorders>
              <w:top w:val="nil"/>
              <w:left w:val="nil"/>
              <w:bottom w:val="single" w:sz="4" w:space="0" w:color="auto"/>
              <w:right w:val="nil"/>
            </w:tcBorders>
            <w:shd w:val="clear" w:color="auto" w:fill="auto"/>
            <w:noWrap/>
            <w:vAlign w:val="bottom"/>
            <w:hideMark/>
          </w:tcPr>
          <w:p w14:paraId="3C396753" w14:textId="77777777" w:rsidR="00E66369" w:rsidRPr="00233DA9" w:rsidRDefault="00E66369" w:rsidP="00534C40">
            <w:pPr>
              <w:spacing w:after="0" w:line="240" w:lineRule="auto"/>
              <w:rPr>
                <w:rFonts w:ascii="Calibri" w:eastAsia="Times New Roman" w:hAnsi="Calibri" w:cs="Calibri"/>
                <w:color w:val="000000"/>
                <w:lang w:eastAsia="en-GB"/>
              </w:rPr>
            </w:pPr>
            <w:r w:rsidRPr="00233DA9">
              <w:rPr>
                <w:rFonts w:ascii="Calibri" w:eastAsia="Times New Roman" w:hAnsi="Calibri" w:cs="Calibri"/>
                <w:color w:val="000000"/>
                <w:lang w:eastAsia="en-GB"/>
              </w:rPr>
              <w:t>Cropland Threshold</w:t>
            </w:r>
          </w:p>
        </w:tc>
        <w:tc>
          <w:tcPr>
            <w:tcW w:w="1559" w:type="dxa"/>
            <w:tcBorders>
              <w:top w:val="nil"/>
              <w:left w:val="nil"/>
              <w:bottom w:val="single" w:sz="4" w:space="0" w:color="auto"/>
              <w:right w:val="nil"/>
            </w:tcBorders>
            <w:shd w:val="clear" w:color="auto" w:fill="auto"/>
            <w:noWrap/>
            <w:vAlign w:val="bottom"/>
            <w:hideMark/>
          </w:tcPr>
          <w:p w14:paraId="013DA749"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Main Analysis</w:t>
            </w:r>
          </w:p>
        </w:tc>
        <w:tc>
          <w:tcPr>
            <w:tcW w:w="993" w:type="dxa"/>
            <w:tcBorders>
              <w:top w:val="nil"/>
              <w:left w:val="nil"/>
              <w:bottom w:val="single" w:sz="4" w:space="0" w:color="auto"/>
              <w:right w:val="nil"/>
            </w:tcBorders>
            <w:shd w:val="clear" w:color="auto" w:fill="auto"/>
            <w:noWrap/>
            <w:vAlign w:val="bottom"/>
            <w:hideMark/>
          </w:tcPr>
          <w:p w14:paraId="35473D9D"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Mosaic</w:t>
            </w:r>
          </w:p>
        </w:tc>
        <w:tc>
          <w:tcPr>
            <w:tcW w:w="708" w:type="dxa"/>
            <w:tcBorders>
              <w:top w:val="nil"/>
              <w:left w:val="nil"/>
              <w:bottom w:val="single" w:sz="4" w:space="0" w:color="auto"/>
              <w:right w:val="nil"/>
            </w:tcBorders>
            <w:shd w:val="clear" w:color="auto" w:fill="auto"/>
            <w:noWrap/>
            <w:vAlign w:val="bottom"/>
            <w:hideMark/>
          </w:tcPr>
          <w:p w14:paraId="09137C51"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2013</w:t>
            </w:r>
          </w:p>
        </w:tc>
        <w:tc>
          <w:tcPr>
            <w:tcW w:w="1560" w:type="dxa"/>
            <w:tcBorders>
              <w:top w:val="nil"/>
              <w:left w:val="nil"/>
              <w:bottom w:val="single" w:sz="4" w:space="0" w:color="auto"/>
              <w:right w:val="nil"/>
            </w:tcBorders>
            <w:shd w:val="clear" w:color="auto" w:fill="auto"/>
            <w:noWrap/>
            <w:vAlign w:val="bottom"/>
            <w:hideMark/>
          </w:tcPr>
          <w:p w14:paraId="4B94EAF5"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Main Analysis</w:t>
            </w:r>
          </w:p>
        </w:tc>
        <w:tc>
          <w:tcPr>
            <w:tcW w:w="992" w:type="dxa"/>
            <w:tcBorders>
              <w:top w:val="nil"/>
              <w:left w:val="nil"/>
              <w:bottom w:val="single" w:sz="4" w:space="0" w:color="auto"/>
              <w:right w:val="nil"/>
            </w:tcBorders>
            <w:shd w:val="clear" w:color="auto" w:fill="auto"/>
            <w:noWrap/>
            <w:vAlign w:val="bottom"/>
            <w:hideMark/>
          </w:tcPr>
          <w:p w14:paraId="2B068BB0"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Mosaic</w:t>
            </w:r>
          </w:p>
        </w:tc>
        <w:tc>
          <w:tcPr>
            <w:tcW w:w="992" w:type="dxa"/>
            <w:tcBorders>
              <w:top w:val="nil"/>
              <w:left w:val="nil"/>
              <w:bottom w:val="single" w:sz="4" w:space="0" w:color="auto"/>
              <w:right w:val="nil"/>
            </w:tcBorders>
            <w:shd w:val="clear" w:color="auto" w:fill="auto"/>
            <w:noWrap/>
            <w:vAlign w:val="bottom"/>
            <w:hideMark/>
          </w:tcPr>
          <w:p w14:paraId="3529B674"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2013</w:t>
            </w:r>
          </w:p>
        </w:tc>
      </w:tr>
      <w:tr w:rsidR="00E66369" w:rsidRPr="00233DA9" w14:paraId="6B5B9C28" w14:textId="77777777" w:rsidTr="00534C40">
        <w:trPr>
          <w:trHeight w:val="290"/>
        </w:trPr>
        <w:tc>
          <w:tcPr>
            <w:tcW w:w="1140" w:type="dxa"/>
            <w:tcBorders>
              <w:top w:val="nil"/>
              <w:left w:val="nil"/>
              <w:bottom w:val="nil"/>
              <w:right w:val="nil"/>
            </w:tcBorders>
            <w:shd w:val="clear" w:color="auto" w:fill="auto"/>
            <w:noWrap/>
            <w:vAlign w:val="bottom"/>
            <w:hideMark/>
          </w:tcPr>
          <w:p w14:paraId="45F3B982" w14:textId="77777777" w:rsidR="00E66369" w:rsidRPr="00233DA9" w:rsidRDefault="00E66369" w:rsidP="00534C40">
            <w:pPr>
              <w:spacing w:after="0" w:line="240" w:lineRule="auto"/>
              <w:rPr>
                <w:rFonts w:ascii="Calibri" w:eastAsia="Times New Roman" w:hAnsi="Calibri" w:cs="Calibri"/>
                <w:color w:val="000000"/>
                <w:lang w:eastAsia="en-GB"/>
              </w:rPr>
            </w:pPr>
            <w:r w:rsidRPr="00233DA9">
              <w:rPr>
                <w:rFonts w:ascii="Calibri" w:eastAsia="Times New Roman" w:hAnsi="Calibri" w:cs="Calibri"/>
                <w:color w:val="000000"/>
                <w:lang w:eastAsia="en-GB"/>
              </w:rPr>
              <w:t>Expansion</w:t>
            </w:r>
          </w:p>
        </w:tc>
        <w:tc>
          <w:tcPr>
            <w:tcW w:w="1270" w:type="dxa"/>
            <w:tcBorders>
              <w:top w:val="nil"/>
              <w:left w:val="nil"/>
              <w:bottom w:val="nil"/>
              <w:right w:val="nil"/>
            </w:tcBorders>
            <w:shd w:val="clear" w:color="auto" w:fill="auto"/>
            <w:noWrap/>
            <w:vAlign w:val="center"/>
            <w:hideMark/>
          </w:tcPr>
          <w:p w14:paraId="32209934"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0.005</w:t>
            </w:r>
          </w:p>
        </w:tc>
        <w:tc>
          <w:tcPr>
            <w:tcW w:w="1559" w:type="dxa"/>
            <w:tcBorders>
              <w:top w:val="nil"/>
              <w:left w:val="nil"/>
              <w:bottom w:val="nil"/>
              <w:right w:val="nil"/>
            </w:tcBorders>
            <w:shd w:val="clear" w:color="auto" w:fill="auto"/>
            <w:noWrap/>
            <w:vAlign w:val="bottom"/>
            <w:hideMark/>
          </w:tcPr>
          <w:p w14:paraId="27A225BA"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0.12</w:t>
            </w:r>
          </w:p>
        </w:tc>
        <w:tc>
          <w:tcPr>
            <w:tcW w:w="993" w:type="dxa"/>
            <w:tcBorders>
              <w:top w:val="nil"/>
              <w:left w:val="nil"/>
              <w:bottom w:val="nil"/>
              <w:right w:val="nil"/>
            </w:tcBorders>
            <w:shd w:val="clear" w:color="auto" w:fill="auto"/>
            <w:noWrap/>
            <w:vAlign w:val="bottom"/>
            <w:hideMark/>
          </w:tcPr>
          <w:p w14:paraId="128E0F23"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0.11</w:t>
            </w:r>
          </w:p>
        </w:tc>
        <w:tc>
          <w:tcPr>
            <w:tcW w:w="708" w:type="dxa"/>
            <w:tcBorders>
              <w:top w:val="nil"/>
              <w:left w:val="nil"/>
              <w:bottom w:val="nil"/>
              <w:right w:val="nil"/>
            </w:tcBorders>
            <w:shd w:val="clear" w:color="auto" w:fill="auto"/>
            <w:noWrap/>
            <w:vAlign w:val="bottom"/>
            <w:hideMark/>
          </w:tcPr>
          <w:p w14:paraId="6EE77EE3"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0.12</w:t>
            </w:r>
          </w:p>
        </w:tc>
        <w:tc>
          <w:tcPr>
            <w:tcW w:w="1560" w:type="dxa"/>
            <w:tcBorders>
              <w:top w:val="nil"/>
              <w:left w:val="nil"/>
              <w:bottom w:val="nil"/>
              <w:right w:val="nil"/>
            </w:tcBorders>
            <w:shd w:val="clear" w:color="auto" w:fill="auto"/>
            <w:noWrap/>
            <w:vAlign w:val="bottom"/>
            <w:hideMark/>
          </w:tcPr>
          <w:p w14:paraId="41FBCE1D"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0.20</w:t>
            </w:r>
          </w:p>
        </w:tc>
        <w:tc>
          <w:tcPr>
            <w:tcW w:w="992" w:type="dxa"/>
            <w:tcBorders>
              <w:top w:val="nil"/>
              <w:left w:val="nil"/>
              <w:bottom w:val="nil"/>
              <w:right w:val="nil"/>
            </w:tcBorders>
            <w:shd w:val="clear" w:color="auto" w:fill="auto"/>
            <w:noWrap/>
            <w:vAlign w:val="bottom"/>
            <w:hideMark/>
          </w:tcPr>
          <w:p w14:paraId="741F0DEB"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0.20</w:t>
            </w:r>
          </w:p>
        </w:tc>
        <w:tc>
          <w:tcPr>
            <w:tcW w:w="992" w:type="dxa"/>
            <w:tcBorders>
              <w:top w:val="nil"/>
              <w:left w:val="nil"/>
              <w:bottom w:val="nil"/>
              <w:right w:val="nil"/>
            </w:tcBorders>
            <w:shd w:val="clear" w:color="auto" w:fill="auto"/>
            <w:noWrap/>
            <w:vAlign w:val="bottom"/>
            <w:hideMark/>
          </w:tcPr>
          <w:p w14:paraId="6665D2FA"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0.20</w:t>
            </w:r>
          </w:p>
        </w:tc>
      </w:tr>
      <w:tr w:rsidR="00E66369" w:rsidRPr="00233DA9" w14:paraId="25FB848D" w14:textId="77777777" w:rsidTr="00534C40">
        <w:trPr>
          <w:trHeight w:val="290"/>
        </w:trPr>
        <w:tc>
          <w:tcPr>
            <w:tcW w:w="1140" w:type="dxa"/>
            <w:tcBorders>
              <w:top w:val="nil"/>
              <w:left w:val="nil"/>
              <w:bottom w:val="nil"/>
              <w:right w:val="nil"/>
            </w:tcBorders>
            <w:shd w:val="clear" w:color="auto" w:fill="auto"/>
            <w:noWrap/>
            <w:vAlign w:val="bottom"/>
            <w:hideMark/>
          </w:tcPr>
          <w:p w14:paraId="3482947B" w14:textId="77777777" w:rsidR="00E66369" w:rsidRPr="00233DA9" w:rsidRDefault="00E66369" w:rsidP="00534C40">
            <w:pPr>
              <w:spacing w:after="0" w:line="240" w:lineRule="auto"/>
              <w:rPr>
                <w:rFonts w:ascii="Calibri" w:eastAsia="Times New Roman" w:hAnsi="Calibri" w:cs="Calibri"/>
                <w:color w:val="000000"/>
                <w:lang w:eastAsia="en-GB"/>
              </w:rPr>
            </w:pPr>
            <w:r w:rsidRPr="00233DA9">
              <w:rPr>
                <w:rFonts w:ascii="Calibri" w:eastAsia="Times New Roman" w:hAnsi="Calibri" w:cs="Calibri"/>
                <w:color w:val="000000"/>
                <w:lang w:eastAsia="en-GB"/>
              </w:rPr>
              <w:t>Expansion</w:t>
            </w:r>
          </w:p>
        </w:tc>
        <w:tc>
          <w:tcPr>
            <w:tcW w:w="1270" w:type="dxa"/>
            <w:tcBorders>
              <w:top w:val="nil"/>
              <w:left w:val="nil"/>
              <w:bottom w:val="nil"/>
              <w:right w:val="nil"/>
            </w:tcBorders>
            <w:shd w:val="clear" w:color="auto" w:fill="auto"/>
            <w:noWrap/>
            <w:vAlign w:val="center"/>
            <w:hideMark/>
          </w:tcPr>
          <w:p w14:paraId="10870688"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0.1</w:t>
            </w:r>
          </w:p>
        </w:tc>
        <w:tc>
          <w:tcPr>
            <w:tcW w:w="1559" w:type="dxa"/>
            <w:tcBorders>
              <w:top w:val="nil"/>
              <w:left w:val="nil"/>
              <w:bottom w:val="nil"/>
              <w:right w:val="nil"/>
            </w:tcBorders>
            <w:shd w:val="clear" w:color="auto" w:fill="auto"/>
            <w:noWrap/>
            <w:vAlign w:val="bottom"/>
            <w:hideMark/>
          </w:tcPr>
          <w:p w14:paraId="27124CB3"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0.23</w:t>
            </w:r>
          </w:p>
        </w:tc>
        <w:tc>
          <w:tcPr>
            <w:tcW w:w="993" w:type="dxa"/>
            <w:tcBorders>
              <w:top w:val="nil"/>
              <w:left w:val="nil"/>
              <w:bottom w:val="nil"/>
              <w:right w:val="nil"/>
            </w:tcBorders>
            <w:shd w:val="clear" w:color="auto" w:fill="auto"/>
            <w:noWrap/>
            <w:vAlign w:val="bottom"/>
            <w:hideMark/>
          </w:tcPr>
          <w:p w14:paraId="041538D6"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0.16</w:t>
            </w:r>
          </w:p>
        </w:tc>
        <w:tc>
          <w:tcPr>
            <w:tcW w:w="708" w:type="dxa"/>
            <w:tcBorders>
              <w:top w:val="nil"/>
              <w:left w:val="nil"/>
              <w:bottom w:val="nil"/>
              <w:right w:val="nil"/>
            </w:tcBorders>
            <w:shd w:val="clear" w:color="auto" w:fill="auto"/>
            <w:noWrap/>
            <w:vAlign w:val="bottom"/>
            <w:hideMark/>
          </w:tcPr>
          <w:p w14:paraId="3D3219FF"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0.23</w:t>
            </w:r>
          </w:p>
        </w:tc>
        <w:tc>
          <w:tcPr>
            <w:tcW w:w="1560" w:type="dxa"/>
            <w:tcBorders>
              <w:top w:val="nil"/>
              <w:left w:val="nil"/>
              <w:bottom w:val="nil"/>
              <w:right w:val="nil"/>
            </w:tcBorders>
            <w:shd w:val="clear" w:color="auto" w:fill="auto"/>
            <w:noWrap/>
            <w:vAlign w:val="bottom"/>
            <w:hideMark/>
          </w:tcPr>
          <w:p w14:paraId="461C2494"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0.31</w:t>
            </w:r>
          </w:p>
        </w:tc>
        <w:tc>
          <w:tcPr>
            <w:tcW w:w="992" w:type="dxa"/>
            <w:tcBorders>
              <w:top w:val="nil"/>
              <w:left w:val="nil"/>
              <w:bottom w:val="nil"/>
              <w:right w:val="nil"/>
            </w:tcBorders>
            <w:shd w:val="clear" w:color="auto" w:fill="auto"/>
            <w:noWrap/>
            <w:vAlign w:val="bottom"/>
            <w:hideMark/>
          </w:tcPr>
          <w:p w14:paraId="40B40C8B"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0.32</w:t>
            </w:r>
          </w:p>
        </w:tc>
        <w:tc>
          <w:tcPr>
            <w:tcW w:w="992" w:type="dxa"/>
            <w:tcBorders>
              <w:top w:val="nil"/>
              <w:left w:val="nil"/>
              <w:bottom w:val="nil"/>
              <w:right w:val="nil"/>
            </w:tcBorders>
            <w:shd w:val="clear" w:color="auto" w:fill="auto"/>
            <w:noWrap/>
            <w:vAlign w:val="bottom"/>
            <w:hideMark/>
          </w:tcPr>
          <w:p w14:paraId="565214F9"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0.32</w:t>
            </w:r>
          </w:p>
        </w:tc>
      </w:tr>
      <w:tr w:rsidR="00E66369" w:rsidRPr="00233DA9" w14:paraId="365135EE" w14:textId="77777777" w:rsidTr="00534C40">
        <w:trPr>
          <w:trHeight w:val="290"/>
        </w:trPr>
        <w:tc>
          <w:tcPr>
            <w:tcW w:w="1140" w:type="dxa"/>
            <w:tcBorders>
              <w:top w:val="nil"/>
              <w:left w:val="nil"/>
              <w:bottom w:val="single" w:sz="4" w:space="0" w:color="auto"/>
              <w:right w:val="nil"/>
            </w:tcBorders>
            <w:shd w:val="clear" w:color="auto" w:fill="auto"/>
            <w:noWrap/>
            <w:vAlign w:val="bottom"/>
            <w:hideMark/>
          </w:tcPr>
          <w:p w14:paraId="3D18E4DF" w14:textId="77777777" w:rsidR="00E66369" w:rsidRPr="00233DA9" w:rsidRDefault="00E66369" w:rsidP="00534C40">
            <w:pPr>
              <w:spacing w:after="0" w:line="240" w:lineRule="auto"/>
              <w:rPr>
                <w:rFonts w:ascii="Calibri" w:eastAsia="Times New Roman" w:hAnsi="Calibri" w:cs="Calibri"/>
                <w:color w:val="000000"/>
                <w:lang w:eastAsia="en-GB"/>
              </w:rPr>
            </w:pPr>
            <w:r w:rsidRPr="00233DA9">
              <w:rPr>
                <w:rFonts w:ascii="Calibri" w:eastAsia="Times New Roman" w:hAnsi="Calibri" w:cs="Calibri"/>
                <w:color w:val="000000"/>
                <w:lang w:eastAsia="en-GB"/>
              </w:rPr>
              <w:t>Expansion</w:t>
            </w:r>
          </w:p>
        </w:tc>
        <w:tc>
          <w:tcPr>
            <w:tcW w:w="1270" w:type="dxa"/>
            <w:tcBorders>
              <w:top w:val="nil"/>
              <w:left w:val="nil"/>
              <w:bottom w:val="single" w:sz="4" w:space="0" w:color="auto"/>
              <w:right w:val="nil"/>
            </w:tcBorders>
            <w:shd w:val="clear" w:color="auto" w:fill="auto"/>
            <w:noWrap/>
            <w:vAlign w:val="center"/>
            <w:hideMark/>
          </w:tcPr>
          <w:p w14:paraId="7F111C12"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0.5</w:t>
            </w:r>
          </w:p>
        </w:tc>
        <w:tc>
          <w:tcPr>
            <w:tcW w:w="1559" w:type="dxa"/>
            <w:tcBorders>
              <w:top w:val="nil"/>
              <w:left w:val="nil"/>
              <w:bottom w:val="single" w:sz="4" w:space="0" w:color="auto"/>
              <w:right w:val="nil"/>
            </w:tcBorders>
            <w:shd w:val="clear" w:color="auto" w:fill="auto"/>
            <w:noWrap/>
            <w:vAlign w:val="bottom"/>
            <w:hideMark/>
          </w:tcPr>
          <w:p w14:paraId="4E6ECF4E"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0.41</w:t>
            </w:r>
          </w:p>
        </w:tc>
        <w:tc>
          <w:tcPr>
            <w:tcW w:w="993" w:type="dxa"/>
            <w:tcBorders>
              <w:top w:val="nil"/>
              <w:left w:val="nil"/>
              <w:bottom w:val="single" w:sz="4" w:space="0" w:color="auto"/>
              <w:right w:val="nil"/>
            </w:tcBorders>
            <w:shd w:val="clear" w:color="auto" w:fill="auto"/>
            <w:noWrap/>
            <w:vAlign w:val="bottom"/>
            <w:hideMark/>
          </w:tcPr>
          <w:p w14:paraId="0C13CB6A"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0.30</w:t>
            </w:r>
          </w:p>
        </w:tc>
        <w:tc>
          <w:tcPr>
            <w:tcW w:w="708" w:type="dxa"/>
            <w:tcBorders>
              <w:top w:val="nil"/>
              <w:left w:val="nil"/>
              <w:bottom w:val="single" w:sz="4" w:space="0" w:color="auto"/>
              <w:right w:val="nil"/>
            </w:tcBorders>
            <w:shd w:val="clear" w:color="auto" w:fill="auto"/>
            <w:noWrap/>
            <w:vAlign w:val="bottom"/>
            <w:hideMark/>
          </w:tcPr>
          <w:p w14:paraId="6E6F6072"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0.41</w:t>
            </w:r>
          </w:p>
        </w:tc>
        <w:tc>
          <w:tcPr>
            <w:tcW w:w="1560" w:type="dxa"/>
            <w:tcBorders>
              <w:top w:val="nil"/>
              <w:left w:val="nil"/>
              <w:bottom w:val="single" w:sz="4" w:space="0" w:color="auto"/>
              <w:right w:val="nil"/>
            </w:tcBorders>
            <w:shd w:val="clear" w:color="auto" w:fill="auto"/>
            <w:noWrap/>
            <w:vAlign w:val="bottom"/>
            <w:hideMark/>
          </w:tcPr>
          <w:p w14:paraId="41D3E56F"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0.41</w:t>
            </w:r>
          </w:p>
        </w:tc>
        <w:tc>
          <w:tcPr>
            <w:tcW w:w="992" w:type="dxa"/>
            <w:tcBorders>
              <w:top w:val="nil"/>
              <w:left w:val="nil"/>
              <w:bottom w:val="single" w:sz="4" w:space="0" w:color="auto"/>
              <w:right w:val="nil"/>
            </w:tcBorders>
            <w:shd w:val="clear" w:color="auto" w:fill="auto"/>
            <w:noWrap/>
            <w:vAlign w:val="bottom"/>
            <w:hideMark/>
          </w:tcPr>
          <w:p w14:paraId="79159C14"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0.41</w:t>
            </w:r>
          </w:p>
        </w:tc>
        <w:tc>
          <w:tcPr>
            <w:tcW w:w="992" w:type="dxa"/>
            <w:tcBorders>
              <w:top w:val="nil"/>
              <w:left w:val="nil"/>
              <w:bottom w:val="single" w:sz="4" w:space="0" w:color="auto"/>
              <w:right w:val="nil"/>
            </w:tcBorders>
            <w:shd w:val="clear" w:color="auto" w:fill="auto"/>
            <w:noWrap/>
            <w:vAlign w:val="bottom"/>
            <w:hideMark/>
          </w:tcPr>
          <w:p w14:paraId="4D11936A" w14:textId="77777777" w:rsidR="00E66369" w:rsidRPr="00233DA9" w:rsidRDefault="00E66369" w:rsidP="00534C40">
            <w:pPr>
              <w:spacing w:after="0" w:line="240" w:lineRule="auto"/>
              <w:jc w:val="center"/>
              <w:rPr>
                <w:rFonts w:ascii="Calibri" w:eastAsia="Times New Roman" w:hAnsi="Calibri" w:cs="Calibri"/>
                <w:color w:val="000000"/>
                <w:lang w:eastAsia="en-GB"/>
              </w:rPr>
            </w:pPr>
            <w:r w:rsidRPr="00233DA9">
              <w:rPr>
                <w:rFonts w:ascii="Calibri" w:eastAsia="Times New Roman" w:hAnsi="Calibri" w:cs="Calibri"/>
                <w:color w:val="000000"/>
                <w:lang w:eastAsia="en-GB"/>
              </w:rPr>
              <w:t>0.41</w:t>
            </w:r>
          </w:p>
        </w:tc>
      </w:tr>
    </w:tbl>
    <w:p w14:paraId="648EBEEE" w14:textId="77777777" w:rsidR="00E66369" w:rsidRDefault="00E66369" w:rsidP="00E66369">
      <w:pPr>
        <w:spacing w:after="0" w:line="240" w:lineRule="auto"/>
        <w:rPr>
          <w:b/>
          <w:bCs/>
        </w:rPr>
      </w:pPr>
    </w:p>
    <w:p w14:paraId="533F97A3" w14:textId="77777777" w:rsidR="00E66369" w:rsidRDefault="00E66369" w:rsidP="00E66369">
      <w:pPr>
        <w:spacing w:after="0" w:line="240" w:lineRule="auto"/>
        <w:rPr>
          <w:bCs/>
        </w:rPr>
      </w:pPr>
      <w:r>
        <w:rPr>
          <w:b/>
          <w:bCs/>
        </w:rPr>
        <w:t>Table S7</w:t>
      </w:r>
      <w:r>
        <w:rPr>
          <w:bCs/>
        </w:rPr>
        <w:t>– Comparison of the overall model explanatory power (pseudo R</w:t>
      </w:r>
      <w:r>
        <w:rPr>
          <w:bCs/>
          <w:vertAlign w:val="superscript"/>
        </w:rPr>
        <w:t>2</w:t>
      </w:r>
      <w:r>
        <w:rPr>
          <w:bCs/>
        </w:rPr>
        <w:t>) for ‘extent’ models for 2001, and predictive power (pseudo R</w:t>
      </w:r>
      <w:r>
        <w:rPr>
          <w:bCs/>
          <w:vertAlign w:val="superscript"/>
        </w:rPr>
        <w:t>2</w:t>
      </w:r>
      <w:r>
        <w:rPr>
          <w:bCs/>
        </w:rPr>
        <w:t xml:space="preserve">)  of the ‘expansion’ models (between 2001-2015) based on cropland as quantified by the ESA CCI data (‘ESA CCI’) and MODIS 6 data (‘MODIS’).   See Supplementary Methods for Details. </w:t>
      </w:r>
    </w:p>
    <w:p w14:paraId="49A926A0" w14:textId="77777777" w:rsidR="00E66369" w:rsidRDefault="00E66369" w:rsidP="00E66369">
      <w:pPr>
        <w:spacing w:after="0" w:line="240" w:lineRule="auto"/>
        <w:rPr>
          <w:b/>
          <w:bCs/>
        </w:rPr>
      </w:pPr>
    </w:p>
    <w:tbl>
      <w:tblPr>
        <w:tblW w:w="9800" w:type="dxa"/>
        <w:tblLook w:val="04A0" w:firstRow="1" w:lastRow="0" w:firstColumn="1" w:lastColumn="0" w:noHBand="0" w:noVBand="1"/>
      </w:tblPr>
      <w:tblGrid>
        <w:gridCol w:w="1860"/>
        <w:gridCol w:w="1379"/>
        <w:gridCol w:w="1281"/>
        <w:gridCol w:w="1462"/>
        <w:gridCol w:w="1358"/>
        <w:gridCol w:w="1275"/>
        <w:gridCol w:w="1185"/>
      </w:tblGrid>
      <w:tr w:rsidR="00E66369" w:rsidRPr="00097697" w14:paraId="146468FD" w14:textId="77777777" w:rsidTr="00534C40">
        <w:trPr>
          <w:trHeight w:val="290"/>
        </w:trPr>
        <w:tc>
          <w:tcPr>
            <w:tcW w:w="1860" w:type="dxa"/>
            <w:tcBorders>
              <w:top w:val="single" w:sz="4" w:space="0" w:color="auto"/>
              <w:left w:val="nil"/>
              <w:bottom w:val="nil"/>
              <w:right w:val="nil"/>
            </w:tcBorders>
            <w:shd w:val="clear" w:color="auto" w:fill="auto"/>
            <w:noWrap/>
            <w:vAlign w:val="center"/>
            <w:hideMark/>
          </w:tcPr>
          <w:p w14:paraId="793B9CDE"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 </w:t>
            </w:r>
          </w:p>
        </w:tc>
        <w:tc>
          <w:tcPr>
            <w:tcW w:w="2660" w:type="dxa"/>
            <w:gridSpan w:val="2"/>
            <w:tcBorders>
              <w:top w:val="single" w:sz="4" w:space="0" w:color="auto"/>
              <w:left w:val="nil"/>
              <w:bottom w:val="nil"/>
              <w:right w:val="nil"/>
            </w:tcBorders>
            <w:shd w:val="clear" w:color="auto" w:fill="auto"/>
            <w:noWrap/>
            <w:vAlign w:val="center"/>
            <w:hideMark/>
          </w:tcPr>
          <w:p w14:paraId="7EFDDB31" w14:textId="77777777" w:rsidR="00E66369" w:rsidRPr="00097697" w:rsidRDefault="00E66369" w:rsidP="00534C40">
            <w:pPr>
              <w:spacing w:after="0" w:line="240" w:lineRule="auto"/>
              <w:rPr>
                <w:rFonts w:ascii="Calibri" w:eastAsia="Times New Roman" w:hAnsi="Calibri" w:cs="Calibri"/>
                <w:color w:val="000000"/>
                <w:lang w:eastAsia="en-GB"/>
              </w:rPr>
            </w:pPr>
            <w:r w:rsidRPr="00097697">
              <w:rPr>
                <w:rFonts w:ascii="Calibri" w:eastAsia="Times New Roman" w:hAnsi="Calibri" w:cs="Calibri"/>
                <w:color w:val="000000"/>
                <w:lang w:eastAsia="en-GB"/>
              </w:rPr>
              <w:t>Extent Model (Model 1)</w:t>
            </w:r>
          </w:p>
        </w:tc>
        <w:tc>
          <w:tcPr>
            <w:tcW w:w="2820" w:type="dxa"/>
            <w:gridSpan w:val="2"/>
            <w:tcBorders>
              <w:top w:val="single" w:sz="4" w:space="0" w:color="auto"/>
              <w:left w:val="nil"/>
              <w:bottom w:val="nil"/>
              <w:right w:val="nil"/>
            </w:tcBorders>
            <w:shd w:val="clear" w:color="auto" w:fill="auto"/>
            <w:noWrap/>
            <w:vAlign w:val="bottom"/>
            <w:hideMark/>
          </w:tcPr>
          <w:p w14:paraId="6BCEF264" w14:textId="77777777" w:rsidR="00E66369" w:rsidRPr="00097697" w:rsidRDefault="00E66369" w:rsidP="00534C40">
            <w:pPr>
              <w:spacing w:after="0" w:line="240" w:lineRule="auto"/>
              <w:rPr>
                <w:rFonts w:ascii="Calibri" w:eastAsia="Times New Roman" w:hAnsi="Calibri" w:cs="Calibri"/>
                <w:color w:val="000000"/>
                <w:lang w:eastAsia="en-GB"/>
              </w:rPr>
            </w:pPr>
            <w:r w:rsidRPr="00097697">
              <w:rPr>
                <w:rFonts w:ascii="Calibri" w:eastAsia="Times New Roman" w:hAnsi="Calibri" w:cs="Calibri"/>
                <w:color w:val="000000"/>
                <w:lang w:eastAsia="en-GB"/>
              </w:rPr>
              <w:t>Model 2 (Cropland + null)</w:t>
            </w:r>
          </w:p>
        </w:tc>
        <w:tc>
          <w:tcPr>
            <w:tcW w:w="2460" w:type="dxa"/>
            <w:gridSpan w:val="2"/>
            <w:tcBorders>
              <w:top w:val="single" w:sz="4" w:space="0" w:color="auto"/>
              <w:left w:val="nil"/>
              <w:bottom w:val="nil"/>
              <w:right w:val="nil"/>
            </w:tcBorders>
            <w:shd w:val="clear" w:color="auto" w:fill="auto"/>
            <w:noWrap/>
            <w:vAlign w:val="bottom"/>
            <w:hideMark/>
          </w:tcPr>
          <w:p w14:paraId="7D35CF73" w14:textId="77777777" w:rsidR="00E66369" w:rsidRPr="00097697" w:rsidRDefault="00E66369" w:rsidP="00534C40">
            <w:pPr>
              <w:spacing w:after="0" w:line="240" w:lineRule="auto"/>
              <w:rPr>
                <w:rFonts w:ascii="Calibri" w:eastAsia="Times New Roman" w:hAnsi="Calibri" w:cs="Calibri"/>
                <w:color w:val="000000"/>
                <w:lang w:eastAsia="en-GB"/>
              </w:rPr>
            </w:pPr>
            <w:r w:rsidRPr="00097697">
              <w:rPr>
                <w:rFonts w:ascii="Calibri" w:eastAsia="Times New Roman" w:hAnsi="Calibri" w:cs="Calibri"/>
                <w:color w:val="000000"/>
                <w:lang w:eastAsia="en-GB"/>
              </w:rPr>
              <w:t xml:space="preserve">Model 3 (Cropland + null + </w:t>
            </w:r>
            <w:proofErr w:type="spellStart"/>
            <w:r w:rsidRPr="00097697">
              <w:rPr>
                <w:rFonts w:ascii="Calibri" w:eastAsia="Times New Roman" w:hAnsi="Calibri" w:cs="Calibri"/>
                <w:color w:val="000000"/>
                <w:lang w:eastAsia="en-GB"/>
              </w:rPr>
              <w:t>frontierness</w:t>
            </w:r>
            <w:proofErr w:type="spellEnd"/>
            <w:r w:rsidRPr="00097697">
              <w:rPr>
                <w:rFonts w:ascii="Calibri" w:eastAsia="Times New Roman" w:hAnsi="Calibri" w:cs="Calibri"/>
                <w:color w:val="000000"/>
                <w:lang w:eastAsia="en-GB"/>
              </w:rPr>
              <w:t>)</w:t>
            </w:r>
          </w:p>
        </w:tc>
      </w:tr>
      <w:tr w:rsidR="00E66369" w:rsidRPr="00097697" w14:paraId="37EFBB31" w14:textId="77777777" w:rsidTr="00534C40">
        <w:trPr>
          <w:trHeight w:val="290"/>
        </w:trPr>
        <w:tc>
          <w:tcPr>
            <w:tcW w:w="1860" w:type="dxa"/>
            <w:tcBorders>
              <w:top w:val="nil"/>
              <w:left w:val="nil"/>
              <w:bottom w:val="single" w:sz="4" w:space="0" w:color="auto"/>
              <w:right w:val="nil"/>
            </w:tcBorders>
            <w:shd w:val="clear" w:color="auto" w:fill="auto"/>
            <w:noWrap/>
            <w:vAlign w:val="bottom"/>
            <w:hideMark/>
          </w:tcPr>
          <w:p w14:paraId="6B1C6F46" w14:textId="77777777" w:rsidR="00E66369" w:rsidRPr="00097697" w:rsidRDefault="00E66369" w:rsidP="00534C40">
            <w:pPr>
              <w:spacing w:after="0" w:line="240" w:lineRule="auto"/>
              <w:rPr>
                <w:rFonts w:ascii="Calibri" w:eastAsia="Times New Roman" w:hAnsi="Calibri" w:cs="Calibri"/>
                <w:color w:val="000000"/>
                <w:lang w:eastAsia="en-GB"/>
              </w:rPr>
            </w:pPr>
            <w:r w:rsidRPr="00097697">
              <w:rPr>
                <w:rFonts w:ascii="Calibri" w:eastAsia="Times New Roman" w:hAnsi="Calibri" w:cs="Calibri"/>
                <w:color w:val="000000"/>
                <w:lang w:eastAsia="en-GB"/>
              </w:rPr>
              <w:t>Cropland Threshold</w:t>
            </w:r>
          </w:p>
        </w:tc>
        <w:tc>
          <w:tcPr>
            <w:tcW w:w="1379" w:type="dxa"/>
            <w:tcBorders>
              <w:top w:val="nil"/>
              <w:left w:val="nil"/>
              <w:bottom w:val="single" w:sz="4" w:space="0" w:color="auto"/>
              <w:right w:val="nil"/>
            </w:tcBorders>
            <w:shd w:val="clear" w:color="auto" w:fill="auto"/>
            <w:noWrap/>
            <w:vAlign w:val="bottom"/>
            <w:hideMark/>
          </w:tcPr>
          <w:p w14:paraId="3CE5C791"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ESA CCI</w:t>
            </w:r>
          </w:p>
        </w:tc>
        <w:tc>
          <w:tcPr>
            <w:tcW w:w="1281" w:type="dxa"/>
            <w:tcBorders>
              <w:top w:val="nil"/>
              <w:left w:val="nil"/>
              <w:bottom w:val="single" w:sz="4" w:space="0" w:color="auto"/>
              <w:right w:val="nil"/>
            </w:tcBorders>
            <w:shd w:val="clear" w:color="auto" w:fill="auto"/>
            <w:noWrap/>
            <w:vAlign w:val="bottom"/>
            <w:hideMark/>
          </w:tcPr>
          <w:p w14:paraId="5625D852"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MODIS</w:t>
            </w:r>
          </w:p>
        </w:tc>
        <w:tc>
          <w:tcPr>
            <w:tcW w:w="1462" w:type="dxa"/>
            <w:tcBorders>
              <w:top w:val="nil"/>
              <w:left w:val="nil"/>
              <w:bottom w:val="single" w:sz="4" w:space="0" w:color="auto"/>
              <w:right w:val="nil"/>
            </w:tcBorders>
            <w:shd w:val="clear" w:color="auto" w:fill="auto"/>
            <w:noWrap/>
            <w:vAlign w:val="bottom"/>
            <w:hideMark/>
          </w:tcPr>
          <w:p w14:paraId="04E8A90B"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ESA CCI</w:t>
            </w:r>
          </w:p>
        </w:tc>
        <w:tc>
          <w:tcPr>
            <w:tcW w:w="1358" w:type="dxa"/>
            <w:tcBorders>
              <w:top w:val="nil"/>
              <w:left w:val="nil"/>
              <w:bottom w:val="single" w:sz="4" w:space="0" w:color="auto"/>
              <w:right w:val="nil"/>
            </w:tcBorders>
            <w:shd w:val="clear" w:color="auto" w:fill="auto"/>
            <w:noWrap/>
            <w:vAlign w:val="bottom"/>
            <w:hideMark/>
          </w:tcPr>
          <w:p w14:paraId="6CA9CA02"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MODIS</w:t>
            </w:r>
          </w:p>
        </w:tc>
        <w:tc>
          <w:tcPr>
            <w:tcW w:w="1275" w:type="dxa"/>
            <w:tcBorders>
              <w:top w:val="nil"/>
              <w:left w:val="nil"/>
              <w:bottom w:val="single" w:sz="4" w:space="0" w:color="auto"/>
              <w:right w:val="nil"/>
            </w:tcBorders>
            <w:shd w:val="clear" w:color="auto" w:fill="auto"/>
            <w:noWrap/>
            <w:vAlign w:val="bottom"/>
            <w:hideMark/>
          </w:tcPr>
          <w:p w14:paraId="48B7A5B6"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ESA CCI</w:t>
            </w:r>
          </w:p>
        </w:tc>
        <w:tc>
          <w:tcPr>
            <w:tcW w:w="1185" w:type="dxa"/>
            <w:tcBorders>
              <w:top w:val="nil"/>
              <w:left w:val="nil"/>
              <w:bottom w:val="single" w:sz="4" w:space="0" w:color="auto"/>
              <w:right w:val="nil"/>
            </w:tcBorders>
            <w:shd w:val="clear" w:color="auto" w:fill="auto"/>
            <w:noWrap/>
            <w:vAlign w:val="bottom"/>
            <w:hideMark/>
          </w:tcPr>
          <w:p w14:paraId="485D220A"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MODIS</w:t>
            </w:r>
          </w:p>
        </w:tc>
      </w:tr>
      <w:tr w:rsidR="00E66369" w:rsidRPr="00097697" w14:paraId="278C76FB" w14:textId="77777777" w:rsidTr="00534C40">
        <w:trPr>
          <w:trHeight w:val="290"/>
        </w:trPr>
        <w:tc>
          <w:tcPr>
            <w:tcW w:w="1860" w:type="dxa"/>
            <w:tcBorders>
              <w:top w:val="nil"/>
              <w:left w:val="nil"/>
              <w:bottom w:val="nil"/>
              <w:right w:val="nil"/>
            </w:tcBorders>
            <w:shd w:val="clear" w:color="auto" w:fill="auto"/>
            <w:noWrap/>
            <w:vAlign w:val="center"/>
            <w:hideMark/>
          </w:tcPr>
          <w:p w14:paraId="02ED0D50"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0.005</w:t>
            </w:r>
          </w:p>
        </w:tc>
        <w:tc>
          <w:tcPr>
            <w:tcW w:w="1379" w:type="dxa"/>
            <w:tcBorders>
              <w:top w:val="nil"/>
              <w:left w:val="nil"/>
              <w:bottom w:val="nil"/>
              <w:right w:val="nil"/>
            </w:tcBorders>
            <w:shd w:val="clear" w:color="auto" w:fill="auto"/>
            <w:noWrap/>
            <w:vAlign w:val="center"/>
            <w:hideMark/>
          </w:tcPr>
          <w:p w14:paraId="5B24669D"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0.29</w:t>
            </w:r>
          </w:p>
        </w:tc>
        <w:tc>
          <w:tcPr>
            <w:tcW w:w="1281" w:type="dxa"/>
            <w:tcBorders>
              <w:top w:val="nil"/>
              <w:left w:val="nil"/>
              <w:bottom w:val="nil"/>
              <w:right w:val="nil"/>
            </w:tcBorders>
            <w:shd w:val="clear" w:color="auto" w:fill="auto"/>
            <w:noWrap/>
            <w:vAlign w:val="bottom"/>
            <w:hideMark/>
          </w:tcPr>
          <w:p w14:paraId="1E8189DA"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0.29</w:t>
            </w:r>
          </w:p>
        </w:tc>
        <w:tc>
          <w:tcPr>
            <w:tcW w:w="1462" w:type="dxa"/>
            <w:tcBorders>
              <w:top w:val="nil"/>
              <w:left w:val="nil"/>
              <w:bottom w:val="nil"/>
              <w:right w:val="nil"/>
            </w:tcBorders>
            <w:shd w:val="clear" w:color="auto" w:fill="auto"/>
            <w:noWrap/>
            <w:vAlign w:val="bottom"/>
            <w:hideMark/>
          </w:tcPr>
          <w:p w14:paraId="6A92417E"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0.09</w:t>
            </w:r>
          </w:p>
        </w:tc>
        <w:tc>
          <w:tcPr>
            <w:tcW w:w="1358" w:type="dxa"/>
            <w:tcBorders>
              <w:top w:val="nil"/>
              <w:left w:val="nil"/>
              <w:bottom w:val="nil"/>
              <w:right w:val="nil"/>
            </w:tcBorders>
            <w:shd w:val="clear" w:color="auto" w:fill="auto"/>
            <w:noWrap/>
            <w:vAlign w:val="bottom"/>
            <w:hideMark/>
          </w:tcPr>
          <w:p w14:paraId="07E75BB0"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0.35</w:t>
            </w:r>
          </w:p>
        </w:tc>
        <w:tc>
          <w:tcPr>
            <w:tcW w:w="1275" w:type="dxa"/>
            <w:tcBorders>
              <w:top w:val="nil"/>
              <w:left w:val="nil"/>
              <w:bottom w:val="nil"/>
              <w:right w:val="nil"/>
            </w:tcBorders>
            <w:shd w:val="clear" w:color="auto" w:fill="auto"/>
            <w:noWrap/>
            <w:vAlign w:val="bottom"/>
            <w:hideMark/>
          </w:tcPr>
          <w:p w14:paraId="51B52B67"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0.16</w:t>
            </w:r>
          </w:p>
        </w:tc>
        <w:tc>
          <w:tcPr>
            <w:tcW w:w="1185" w:type="dxa"/>
            <w:tcBorders>
              <w:top w:val="nil"/>
              <w:left w:val="nil"/>
              <w:bottom w:val="nil"/>
              <w:right w:val="nil"/>
            </w:tcBorders>
            <w:shd w:val="clear" w:color="auto" w:fill="auto"/>
            <w:noWrap/>
            <w:vAlign w:val="bottom"/>
            <w:hideMark/>
          </w:tcPr>
          <w:p w14:paraId="2E4EFEA9"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0.53</w:t>
            </w:r>
          </w:p>
        </w:tc>
      </w:tr>
      <w:tr w:rsidR="00E66369" w:rsidRPr="00097697" w14:paraId="649ABF0C" w14:textId="77777777" w:rsidTr="00534C40">
        <w:trPr>
          <w:trHeight w:val="290"/>
        </w:trPr>
        <w:tc>
          <w:tcPr>
            <w:tcW w:w="1860" w:type="dxa"/>
            <w:tcBorders>
              <w:top w:val="nil"/>
              <w:left w:val="nil"/>
              <w:bottom w:val="single" w:sz="4" w:space="0" w:color="auto"/>
              <w:right w:val="nil"/>
            </w:tcBorders>
            <w:shd w:val="clear" w:color="auto" w:fill="auto"/>
            <w:noWrap/>
            <w:vAlign w:val="center"/>
            <w:hideMark/>
          </w:tcPr>
          <w:p w14:paraId="52BD5000"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0.1</w:t>
            </w:r>
          </w:p>
        </w:tc>
        <w:tc>
          <w:tcPr>
            <w:tcW w:w="1379" w:type="dxa"/>
            <w:tcBorders>
              <w:top w:val="nil"/>
              <w:left w:val="nil"/>
              <w:bottom w:val="single" w:sz="4" w:space="0" w:color="auto"/>
              <w:right w:val="nil"/>
            </w:tcBorders>
            <w:shd w:val="clear" w:color="auto" w:fill="auto"/>
            <w:noWrap/>
            <w:vAlign w:val="bottom"/>
            <w:hideMark/>
          </w:tcPr>
          <w:p w14:paraId="43B30184"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0.28</w:t>
            </w:r>
          </w:p>
        </w:tc>
        <w:tc>
          <w:tcPr>
            <w:tcW w:w="1281" w:type="dxa"/>
            <w:tcBorders>
              <w:top w:val="nil"/>
              <w:left w:val="nil"/>
              <w:bottom w:val="single" w:sz="4" w:space="0" w:color="auto"/>
              <w:right w:val="nil"/>
            </w:tcBorders>
            <w:shd w:val="clear" w:color="auto" w:fill="auto"/>
            <w:noWrap/>
            <w:vAlign w:val="center"/>
            <w:hideMark/>
          </w:tcPr>
          <w:p w14:paraId="454E05E9"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0.29</w:t>
            </w:r>
          </w:p>
        </w:tc>
        <w:tc>
          <w:tcPr>
            <w:tcW w:w="1462" w:type="dxa"/>
            <w:tcBorders>
              <w:top w:val="nil"/>
              <w:left w:val="nil"/>
              <w:bottom w:val="single" w:sz="4" w:space="0" w:color="auto"/>
              <w:right w:val="nil"/>
            </w:tcBorders>
            <w:shd w:val="clear" w:color="auto" w:fill="auto"/>
            <w:noWrap/>
            <w:vAlign w:val="bottom"/>
            <w:hideMark/>
          </w:tcPr>
          <w:p w14:paraId="5D459721"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0.23</w:t>
            </w:r>
          </w:p>
        </w:tc>
        <w:tc>
          <w:tcPr>
            <w:tcW w:w="1358" w:type="dxa"/>
            <w:tcBorders>
              <w:top w:val="nil"/>
              <w:left w:val="nil"/>
              <w:bottom w:val="single" w:sz="4" w:space="0" w:color="auto"/>
              <w:right w:val="nil"/>
            </w:tcBorders>
            <w:shd w:val="clear" w:color="auto" w:fill="auto"/>
            <w:noWrap/>
            <w:vAlign w:val="bottom"/>
            <w:hideMark/>
          </w:tcPr>
          <w:p w14:paraId="51C3C4DF"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0.42</w:t>
            </w:r>
          </w:p>
        </w:tc>
        <w:tc>
          <w:tcPr>
            <w:tcW w:w="1275" w:type="dxa"/>
            <w:tcBorders>
              <w:top w:val="nil"/>
              <w:left w:val="nil"/>
              <w:bottom w:val="single" w:sz="4" w:space="0" w:color="auto"/>
              <w:right w:val="nil"/>
            </w:tcBorders>
            <w:shd w:val="clear" w:color="auto" w:fill="auto"/>
            <w:noWrap/>
            <w:vAlign w:val="bottom"/>
            <w:hideMark/>
          </w:tcPr>
          <w:p w14:paraId="5E6490D4"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0.29</w:t>
            </w:r>
          </w:p>
        </w:tc>
        <w:tc>
          <w:tcPr>
            <w:tcW w:w="1185" w:type="dxa"/>
            <w:tcBorders>
              <w:top w:val="nil"/>
              <w:left w:val="nil"/>
              <w:bottom w:val="single" w:sz="4" w:space="0" w:color="auto"/>
              <w:right w:val="nil"/>
            </w:tcBorders>
            <w:shd w:val="clear" w:color="auto" w:fill="auto"/>
            <w:noWrap/>
            <w:vAlign w:val="bottom"/>
            <w:hideMark/>
          </w:tcPr>
          <w:p w14:paraId="5314EB7B" w14:textId="77777777" w:rsidR="00E66369" w:rsidRPr="00097697" w:rsidRDefault="00E66369" w:rsidP="00534C40">
            <w:pPr>
              <w:spacing w:after="0" w:line="240" w:lineRule="auto"/>
              <w:jc w:val="center"/>
              <w:rPr>
                <w:rFonts w:ascii="Calibri" w:eastAsia="Times New Roman" w:hAnsi="Calibri" w:cs="Calibri"/>
                <w:color w:val="000000"/>
                <w:lang w:eastAsia="en-GB"/>
              </w:rPr>
            </w:pPr>
            <w:r w:rsidRPr="00097697">
              <w:rPr>
                <w:rFonts w:ascii="Calibri" w:eastAsia="Times New Roman" w:hAnsi="Calibri" w:cs="Calibri"/>
                <w:color w:val="000000"/>
                <w:lang w:eastAsia="en-GB"/>
              </w:rPr>
              <w:t>0.57</w:t>
            </w:r>
          </w:p>
        </w:tc>
      </w:tr>
    </w:tbl>
    <w:p w14:paraId="1FA028BF" w14:textId="77777777" w:rsidR="00E66369" w:rsidRDefault="00E66369" w:rsidP="00E66369">
      <w:pPr>
        <w:spacing w:after="0" w:line="240" w:lineRule="auto"/>
        <w:rPr>
          <w:b/>
          <w:bCs/>
        </w:rPr>
      </w:pPr>
    </w:p>
    <w:p w14:paraId="5E47E4C0" w14:textId="77777777" w:rsidR="00E66369" w:rsidRDefault="00E66369" w:rsidP="00E66369">
      <w:pPr>
        <w:spacing w:after="0" w:line="240" w:lineRule="auto"/>
        <w:rPr>
          <w:b/>
          <w:bCs/>
        </w:rPr>
      </w:pPr>
      <w:r>
        <w:rPr>
          <w:b/>
          <w:bCs/>
        </w:rPr>
        <w:br w:type="page"/>
      </w:r>
    </w:p>
    <w:p w14:paraId="071F90E4" w14:textId="77777777" w:rsidR="00E66369" w:rsidRDefault="00E66369" w:rsidP="00E66369">
      <w:pPr>
        <w:spacing w:after="0" w:line="240" w:lineRule="auto"/>
      </w:pPr>
      <w:r>
        <w:rPr>
          <w:b/>
          <w:bCs/>
        </w:rPr>
        <w:lastRenderedPageBreak/>
        <w:t>Table S8</w:t>
      </w:r>
      <w:r>
        <w:rPr>
          <w:bCs/>
        </w:rPr>
        <w:t xml:space="preserve"> – Proportional overlap of expansion of cropland between 1992 and 2015, and socio-economic variables of interest. Ratios &gt; 1 indicate over-representation; ratios &lt; 1 indicate under-representation (more or less overlap of cropland and a given variable than would be expected if both are equally common across the land area they cover)</w:t>
      </w:r>
      <w:r>
        <w:fldChar w:fldCharType="begin" w:fldLock="1"/>
      </w:r>
      <w:r>
        <w:instrText>ADDIN CSL_CITATION {"citationItems":[{"id":"ITEM-1","itemData":{"DOI":"10.1098/rspb.2009.0528","ISSN":"0962-8452","author":[{"dropping-particle":"","family":"Eigenbrod","given":"Felix","non-dropping-particle":"","parse-names":false,"suffix":""},{"dropping-particle":"","family":"Anderson","given":"Barbara J","non-dropping-particle":"","parse-names":false,"suffix":""},{"dropping-particle":"","family":"Armsworth","given":"Paul R","non-dropping-particle":"","parse-names":false,"suffix":""},{"dropping-particle":"","family":"Heinemeyer","given":"Andreas","non-dropping-particle":"","parse-names":false,"suffix":""},{"dropping-particle":"","family":"Jackson","given":"Sarah F","non-dropping-particle":"","parse-names":false,"suffix":""},{"dropping-particle":"","family":"Parnell","given":"Mark","non-dropping-particle":"","parse-names":false,"suffix":""},{"dropping-particle":"","family":"Thomas","given":"Chris D","non-dropping-particle":"","parse-names":false,"suffix":""},{"dropping-particle":"","family":"Gaston","given":"Kevin J","non-dropping-particle":"","parse-names":false,"suffix":""}],"container-title":"Proceedings of the Royal Society B: Biological Sciences","id":"ITEM-1","issue":"1669","issued":{"date-parts":[["2009","8","22"]]},"page":"2903-2911","title":"Ecosystem service benefits of contrasting conservation strategies in a human-dominated region","type":"article-journal","volume":"276"},"uris":["http://www.mendeley.com/documents/?uuid=c14a17c6-bec8-45a9-8a05-a2cb3f3cf5ed"]}],"mendeley":{"formattedCitation":"&lt;sup&gt;15&lt;/sup&gt;","plainTextFormattedCitation":"15","previouslyFormattedCitation":"&lt;sup&gt;15&lt;/sup&gt;"},"properties":{"noteIndex":0},"schema":"https://github.com/citation-style-language/schema/raw/master/csl-citation.json"}</w:instrText>
      </w:r>
      <w:r>
        <w:fldChar w:fldCharType="separate"/>
      </w:r>
      <w:bookmarkStart w:id="174" w:name="__Fieldmark__7276_3027855847"/>
      <w:bookmarkStart w:id="175" w:name="__Fieldmark__2587_531043149"/>
      <w:r w:rsidRPr="00276B57">
        <w:rPr>
          <w:bCs/>
          <w:noProof/>
          <w:vertAlign w:val="superscript"/>
        </w:rPr>
        <w:t>15</w:t>
      </w:r>
      <w:r>
        <w:fldChar w:fldCharType="end"/>
      </w:r>
      <w:bookmarkEnd w:id="174"/>
      <w:bookmarkEnd w:id="175"/>
      <w:r>
        <w:rPr>
          <w:bCs/>
        </w:rPr>
        <w:t xml:space="preserve">. Details on the variables are in the </w:t>
      </w:r>
      <w:proofErr w:type="spellStart"/>
      <w:r>
        <w:rPr>
          <w:bCs/>
        </w:rPr>
        <w:t>Suppplementary</w:t>
      </w:r>
      <w:proofErr w:type="spellEnd"/>
      <w:r>
        <w:rPr>
          <w:bCs/>
        </w:rPr>
        <w:t xml:space="preserve"> Methods. </w:t>
      </w:r>
    </w:p>
    <w:tbl>
      <w:tblPr>
        <w:tblW w:w="5720" w:type="dxa"/>
        <w:tblLook w:val="04A0" w:firstRow="1" w:lastRow="0" w:firstColumn="1" w:lastColumn="0" w:noHBand="0" w:noVBand="1"/>
      </w:tblPr>
      <w:tblGrid>
        <w:gridCol w:w="2901"/>
        <w:gridCol w:w="979"/>
        <w:gridCol w:w="920"/>
        <w:gridCol w:w="920"/>
      </w:tblGrid>
      <w:tr w:rsidR="00E66369" w14:paraId="6F1BF4D4" w14:textId="77777777" w:rsidTr="00534C40">
        <w:trPr>
          <w:trHeight w:val="290"/>
        </w:trPr>
        <w:tc>
          <w:tcPr>
            <w:tcW w:w="2901" w:type="dxa"/>
            <w:tcBorders>
              <w:top w:val="single" w:sz="4" w:space="0" w:color="auto"/>
            </w:tcBorders>
            <w:shd w:val="clear" w:color="auto" w:fill="auto"/>
            <w:vAlign w:val="bottom"/>
          </w:tcPr>
          <w:p w14:paraId="610626F6"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Variable</w:t>
            </w:r>
          </w:p>
        </w:tc>
        <w:tc>
          <w:tcPr>
            <w:tcW w:w="2819" w:type="dxa"/>
            <w:gridSpan w:val="3"/>
            <w:tcBorders>
              <w:top w:val="single" w:sz="4" w:space="0" w:color="auto"/>
            </w:tcBorders>
            <w:shd w:val="clear" w:color="auto" w:fill="auto"/>
            <w:vAlign w:val="bottom"/>
          </w:tcPr>
          <w:p w14:paraId="441184AF"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Expansion of cropland 1992-2015</w:t>
            </w:r>
          </w:p>
        </w:tc>
      </w:tr>
      <w:tr w:rsidR="00E66369" w14:paraId="275479BF" w14:textId="77777777" w:rsidTr="00534C40">
        <w:trPr>
          <w:trHeight w:val="290"/>
        </w:trPr>
        <w:tc>
          <w:tcPr>
            <w:tcW w:w="2901" w:type="dxa"/>
            <w:tcBorders>
              <w:bottom w:val="single" w:sz="4" w:space="0" w:color="auto"/>
            </w:tcBorders>
            <w:shd w:val="clear" w:color="auto" w:fill="auto"/>
            <w:vAlign w:val="bottom"/>
          </w:tcPr>
          <w:p w14:paraId="1E8C5F41"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w:t>
            </w:r>
          </w:p>
        </w:tc>
        <w:tc>
          <w:tcPr>
            <w:tcW w:w="979" w:type="dxa"/>
            <w:tcBorders>
              <w:bottom w:val="single" w:sz="4" w:space="0" w:color="auto"/>
            </w:tcBorders>
            <w:shd w:val="clear" w:color="auto" w:fill="auto"/>
            <w:vAlign w:val="bottom"/>
          </w:tcPr>
          <w:p w14:paraId="0A2F0C5F" w14:textId="77777777" w:rsidR="00E66369" w:rsidRDefault="00E66369" w:rsidP="00534C40">
            <w:pPr>
              <w:spacing w:after="0" w:line="240" w:lineRule="auto"/>
              <w:jc w:val="center"/>
              <w:rPr>
                <w:rFonts w:ascii="Calibri" w:eastAsia="Times New Roman" w:hAnsi="Calibri" w:cs="Calibri"/>
                <w:color w:val="000000"/>
                <w:lang w:eastAsia="en-GB"/>
              </w:rPr>
            </w:pPr>
            <w:r>
              <w:rPr>
                <w:rFonts w:eastAsia="Times New Roman" w:cs="Calibri"/>
                <w:color w:val="000000"/>
                <w:lang w:eastAsia="en-GB"/>
              </w:rPr>
              <w:t>0.5% crop</w:t>
            </w:r>
          </w:p>
        </w:tc>
        <w:tc>
          <w:tcPr>
            <w:tcW w:w="920" w:type="dxa"/>
            <w:tcBorders>
              <w:bottom w:val="single" w:sz="4" w:space="0" w:color="auto"/>
            </w:tcBorders>
            <w:shd w:val="clear" w:color="auto" w:fill="auto"/>
            <w:vAlign w:val="bottom"/>
          </w:tcPr>
          <w:p w14:paraId="49FA3E20" w14:textId="77777777" w:rsidR="00E66369" w:rsidRDefault="00E66369" w:rsidP="00534C40">
            <w:pPr>
              <w:spacing w:after="0" w:line="240" w:lineRule="auto"/>
              <w:jc w:val="center"/>
              <w:rPr>
                <w:rFonts w:ascii="Calibri" w:eastAsia="Times New Roman" w:hAnsi="Calibri" w:cs="Calibri"/>
                <w:color w:val="000000"/>
                <w:lang w:eastAsia="en-GB"/>
              </w:rPr>
            </w:pPr>
            <w:r>
              <w:rPr>
                <w:rFonts w:eastAsia="Times New Roman" w:cs="Calibri"/>
                <w:color w:val="000000"/>
                <w:lang w:eastAsia="en-GB"/>
              </w:rPr>
              <w:t>10% crop</w:t>
            </w:r>
          </w:p>
        </w:tc>
        <w:tc>
          <w:tcPr>
            <w:tcW w:w="920" w:type="dxa"/>
            <w:tcBorders>
              <w:bottom w:val="single" w:sz="4" w:space="0" w:color="auto"/>
            </w:tcBorders>
            <w:shd w:val="clear" w:color="auto" w:fill="auto"/>
            <w:vAlign w:val="bottom"/>
          </w:tcPr>
          <w:p w14:paraId="202E3282" w14:textId="77777777" w:rsidR="00E66369" w:rsidRDefault="00E66369" w:rsidP="00534C40">
            <w:pPr>
              <w:spacing w:after="0" w:line="240" w:lineRule="auto"/>
              <w:jc w:val="center"/>
              <w:rPr>
                <w:rFonts w:ascii="Calibri" w:eastAsia="Times New Roman" w:hAnsi="Calibri" w:cs="Calibri"/>
                <w:color w:val="000000"/>
                <w:lang w:eastAsia="en-GB"/>
              </w:rPr>
            </w:pPr>
            <w:r>
              <w:rPr>
                <w:rFonts w:eastAsia="Times New Roman" w:cs="Calibri"/>
                <w:color w:val="000000"/>
                <w:lang w:eastAsia="en-GB"/>
              </w:rPr>
              <w:t>50% crop</w:t>
            </w:r>
          </w:p>
        </w:tc>
      </w:tr>
      <w:tr w:rsidR="00E66369" w14:paraId="4AA4592B" w14:textId="77777777" w:rsidTr="00534C40">
        <w:trPr>
          <w:trHeight w:val="290"/>
        </w:trPr>
        <w:tc>
          <w:tcPr>
            <w:tcW w:w="2901" w:type="dxa"/>
            <w:tcBorders>
              <w:top w:val="single" w:sz="4" w:space="0" w:color="auto"/>
            </w:tcBorders>
            <w:shd w:val="clear" w:color="auto" w:fill="auto"/>
            <w:vAlign w:val="bottom"/>
          </w:tcPr>
          <w:p w14:paraId="6ECF6A07" w14:textId="77777777" w:rsidR="00E66369" w:rsidRDefault="00E66369" w:rsidP="00534C40">
            <w:pPr>
              <w:spacing w:after="0" w:line="240" w:lineRule="auto"/>
              <w:rPr>
                <w:rFonts w:ascii="Calibri" w:eastAsia="Times New Roman" w:hAnsi="Calibri" w:cs="Calibri"/>
                <w:color w:val="000000"/>
                <w:lang w:eastAsia="en-GB"/>
              </w:rPr>
            </w:pPr>
            <w:proofErr w:type="spellStart"/>
            <w:r>
              <w:rPr>
                <w:rFonts w:eastAsia="Times New Roman" w:cs="Calibri"/>
                <w:color w:val="000000"/>
                <w:lang w:eastAsia="en-GB"/>
              </w:rPr>
              <w:t>CurtisCommercial</w:t>
            </w:r>
            <w:proofErr w:type="spellEnd"/>
            <w:r>
              <w:rPr>
                <w:rFonts w:eastAsia="Times New Roman" w:cs="Calibri"/>
                <w:color w:val="000000"/>
                <w:lang w:eastAsia="en-GB"/>
              </w:rPr>
              <w:t xml:space="preserve"> Agriculture</w:t>
            </w:r>
          </w:p>
        </w:tc>
        <w:tc>
          <w:tcPr>
            <w:tcW w:w="979" w:type="dxa"/>
            <w:tcBorders>
              <w:top w:val="single" w:sz="4" w:space="0" w:color="auto"/>
            </w:tcBorders>
            <w:shd w:val="clear" w:color="auto" w:fill="auto"/>
            <w:vAlign w:val="bottom"/>
          </w:tcPr>
          <w:p w14:paraId="26237FFC"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1.87</w:t>
            </w:r>
          </w:p>
        </w:tc>
        <w:tc>
          <w:tcPr>
            <w:tcW w:w="920" w:type="dxa"/>
            <w:tcBorders>
              <w:top w:val="single" w:sz="4" w:space="0" w:color="auto"/>
            </w:tcBorders>
            <w:shd w:val="clear" w:color="auto" w:fill="auto"/>
            <w:vAlign w:val="bottom"/>
          </w:tcPr>
          <w:p w14:paraId="3AF1C0B0"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2.62</w:t>
            </w:r>
          </w:p>
        </w:tc>
        <w:tc>
          <w:tcPr>
            <w:tcW w:w="920" w:type="dxa"/>
            <w:tcBorders>
              <w:top w:val="single" w:sz="4" w:space="0" w:color="auto"/>
            </w:tcBorders>
            <w:shd w:val="clear" w:color="auto" w:fill="auto"/>
            <w:vAlign w:val="bottom"/>
          </w:tcPr>
          <w:p w14:paraId="6779E71E"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3.09</w:t>
            </w:r>
          </w:p>
        </w:tc>
      </w:tr>
      <w:tr w:rsidR="00E66369" w14:paraId="02E2363A" w14:textId="77777777" w:rsidTr="00534C40">
        <w:trPr>
          <w:trHeight w:val="290"/>
        </w:trPr>
        <w:tc>
          <w:tcPr>
            <w:tcW w:w="2901" w:type="dxa"/>
            <w:shd w:val="clear" w:color="auto" w:fill="auto"/>
            <w:vAlign w:val="bottom"/>
          </w:tcPr>
          <w:p w14:paraId="1DFD9659" w14:textId="77777777" w:rsidR="00E66369" w:rsidRDefault="00E66369" w:rsidP="00534C40">
            <w:pPr>
              <w:spacing w:after="0" w:line="240" w:lineRule="auto"/>
              <w:rPr>
                <w:rFonts w:ascii="Calibri" w:eastAsia="Times New Roman" w:hAnsi="Calibri" w:cs="Calibri"/>
                <w:color w:val="000000"/>
                <w:lang w:eastAsia="en-GB"/>
              </w:rPr>
            </w:pPr>
            <w:proofErr w:type="spellStart"/>
            <w:r>
              <w:rPr>
                <w:rFonts w:eastAsia="Times New Roman" w:cs="Calibri"/>
                <w:color w:val="000000"/>
                <w:lang w:eastAsia="en-GB"/>
              </w:rPr>
              <w:t>Curtis_Subsistence</w:t>
            </w:r>
            <w:proofErr w:type="spellEnd"/>
            <w:r>
              <w:rPr>
                <w:rFonts w:eastAsia="Times New Roman" w:cs="Calibri"/>
                <w:color w:val="000000"/>
                <w:lang w:eastAsia="en-GB"/>
              </w:rPr>
              <w:t xml:space="preserve"> Agriculture</w:t>
            </w:r>
          </w:p>
        </w:tc>
        <w:tc>
          <w:tcPr>
            <w:tcW w:w="979" w:type="dxa"/>
            <w:shd w:val="clear" w:color="auto" w:fill="auto"/>
            <w:vAlign w:val="bottom"/>
          </w:tcPr>
          <w:p w14:paraId="247D9200"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1.18</w:t>
            </w:r>
          </w:p>
        </w:tc>
        <w:tc>
          <w:tcPr>
            <w:tcW w:w="920" w:type="dxa"/>
            <w:shd w:val="clear" w:color="auto" w:fill="auto"/>
            <w:vAlign w:val="bottom"/>
          </w:tcPr>
          <w:p w14:paraId="0056D049"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1.27</w:t>
            </w:r>
          </w:p>
        </w:tc>
        <w:tc>
          <w:tcPr>
            <w:tcW w:w="920" w:type="dxa"/>
            <w:shd w:val="clear" w:color="auto" w:fill="auto"/>
            <w:vAlign w:val="bottom"/>
          </w:tcPr>
          <w:p w14:paraId="1D814289"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1.08</w:t>
            </w:r>
          </w:p>
        </w:tc>
      </w:tr>
      <w:tr w:rsidR="00E66369" w14:paraId="3BF76D65" w14:textId="77777777" w:rsidTr="00534C40">
        <w:trPr>
          <w:trHeight w:val="290"/>
        </w:trPr>
        <w:tc>
          <w:tcPr>
            <w:tcW w:w="2901" w:type="dxa"/>
            <w:shd w:val="clear" w:color="auto" w:fill="auto"/>
            <w:vAlign w:val="bottom"/>
          </w:tcPr>
          <w:p w14:paraId="3B46F044" w14:textId="77777777" w:rsidR="00E66369" w:rsidRDefault="00E66369" w:rsidP="00534C40">
            <w:pPr>
              <w:spacing w:after="0" w:line="240" w:lineRule="auto"/>
              <w:rPr>
                <w:rFonts w:ascii="Calibri" w:eastAsia="Times New Roman" w:hAnsi="Calibri" w:cs="Calibri"/>
                <w:color w:val="000000"/>
                <w:lang w:eastAsia="en-GB"/>
              </w:rPr>
            </w:pPr>
            <w:r w:rsidRPr="00B1639A">
              <w:rPr>
                <w:rFonts w:ascii="Calibri" w:eastAsia="Times New Roman" w:hAnsi="Calibri" w:cs="Calibri"/>
                <w:color w:val="000000"/>
                <w:lang w:eastAsia="en-GB"/>
              </w:rPr>
              <w:t>Largest quartile of field sizes</w:t>
            </w:r>
          </w:p>
        </w:tc>
        <w:tc>
          <w:tcPr>
            <w:tcW w:w="979" w:type="dxa"/>
            <w:shd w:val="clear" w:color="auto" w:fill="auto"/>
            <w:vAlign w:val="bottom"/>
          </w:tcPr>
          <w:p w14:paraId="2B7C2617"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1.33</w:t>
            </w:r>
          </w:p>
        </w:tc>
        <w:tc>
          <w:tcPr>
            <w:tcW w:w="920" w:type="dxa"/>
            <w:shd w:val="clear" w:color="auto" w:fill="auto"/>
            <w:vAlign w:val="bottom"/>
          </w:tcPr>
          <w:p w14:paraId="54CE127A"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1.72</w:t>
            </w:r>
          </w:p>
        </w:tc>
        <w:tc>
          <w:tcPr>
            <w:tcW w:w="920" w:type="dxa"/>
            <w:shd w:val="clear" w:color="auto" w:fill="auto"/>
            <w:vAlign w:val="bottom"/>
          </w:tcPr>
          <w:p w14:paraId="00A7AF29"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2.29</w:t>
            </w:r>
          </w:p>
        </w:tc>
      </w:tr>
      <w:tr w:rsidR="00E66369" w14:paraId="493B1D73" w14:textId="77777777" w:rsidTr="00534C40">
        <w:trPr>
          <w:trHeight w:val="290"/>
        </w:trPr>
        <w:tc>
          <w:tcPr>
            <w:tcW w:w="2901" w:type="dxa"/>
            <w:shd w:val="clear" w:color="auto" w:fill="auto"/>
            <w:vAlign w:val="bottom"/>
          </w:tcPr>
          <w:p w14:paraId="1E2C89B2" w14:textId="77777777" w:rsidR="00E66369" w:rsidRDefault="00E66369" w:rsidP="00534C40">
            <w:pPr>
              <w:spacing w:after="0" w:line="240" w:lineRule="auto"/>
              <w:rPr>
                <w:rFonts w:ascii="Calibri" w:eastAsia="Times New Roman" w:hAnsi="Calibri" w:cs="Calibri"/>
                <w:color w:val="000000"/>
                <w:lang w:eastAsia="en-GB"/>
              </w:rPr>
            </w:pPr>
            <w:r w:rsidRPr="00B1639A">
              <w:rPr>
                <w:rFonts w:ascii="Calibri" w:eastAsia="Times New Roman" w:hAnsi="Calibri" w:cs="Calibri"/>
                <w:color w:val="000000"/>
                <w:lang w:eastAsia="en-GB"/>
              </w:rPr>
              <w:t>Smallest quartile of field sizes</w:t>
            </w:r>
          </w:p>
        </w:tc>
        <w:tc>
          <w:tcPr>
            <w:tcW w:w="979" w:type="dxa"/>
            <w:shd w:val="clear" w:color="auto" w:fill="auto"/>
            <w:vAlign w:val="bottom"/>
          </w:tcPr>
          <w:p w14:paraId="2DAB33FA"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1.35</w:t>
            </w:r>
          </w:p>
        </w:tc>
        <w:tc>
          <w:tcPr>
            <w:tcW w:w="920" w:type="dxa"/>
            <w:shd w:val="clear" w:color="auto" w:fill="auto"/>
            <w:vAlign w:val="bottom"/>
          </w:tcPr>
          <w:p w14:paraId="1BF5CE25"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1.49</w:t>
            </w:r>
          </w:p>
        </w:tc>
        <w:tc>
          <w:tcPr>
            <w:tcW w:w="920" w:type="dxa"/>
            <w:shd w:val="clear" w:color="auto" w:fill="auto"/>
            <w:vAlign w:val="bottom"/>
          </w:tcPr>
          <w:p w14:paraId="3FF2307E"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1.28</w:t>
            </w:r>
          </w:p>
        </w:tc>
      </w:tr>
      <w:tr w:rsidR="00E66369" w14:paraId="2B613C09" w14:textId="77777777" w:rsidTr="00534C40">
        <w:trPr>
          <w:trHeight w:val="290"/>
        </w:trPr>
        <w:tc>
          <w:tcPr>
            <w:tcW w:w="2901" w:type="dxa"/>
            <w:shd w:val="clear" w:color="auto" w:fill="auto"/>
            <w:vAlign w:val="bottom"/>
          </w:tcPr>
          <w:p w14:paraId="7BE5B025"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GDP Changes 1992_2015</w:t>
            </w:r>
          </w:p>
        </w:tc>
        <w:tc>
          <w:tcPr>
            <w:tcW w:w="979" w:type="dxa"/>
            <w:shd w:val="clear" w:color="auto" w:fill="auto"/>
            <w:vAlign w:val="bottom"/>
          </w:tcPr>
          <w:p w14:paraId="35A386CF"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0.99</w:t>
            </w:r>
          </w:p>
        </w:tc>
        <w:tc>
          <w:tcPr>
            <w:tcW w:w="920" w:type="dxa"/>
            <w:shd w:val="clear" w:color="auto" w:fill="auto"/>
            <w:vAlign w:val="bottom"/>
          </w:tcPr>
          <w:p w14:paraId="5D778758"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1.01</w:t>
            </w:r>
          </w:p>
        </w:tc>
        <w:tc>
          <w:tcPr>
            <w:tcW w:w="920" w:type="dxa"/>
            <w:shd w:val="clear" w:color="auto" w:fill="auto"/>
            <w:vAlign w:val="bottom"/>
          </w:tcPr>
          <w:p w14:paraId="4D901422"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0.87</w:t>
            </w:r>
          </w:p>
        </w:tc>
      </w:tr>
      <w:tr w:rsidR="00E66369" w14:paraId="3F9D7F12" w14:textId="77777777" w:rsidTr="00534C40">
        <w:trPr>
          <w:trHeight w:val="290"/>
        </w:trPr>
        <w:tc>
          <w:tcPr>
            <w:tcW w:w="2901" w:type="dxa"/>
            <w:shd w:val="clear" w:color="auto" w:fill="auto"/>
            <w:vAlign w:val="bottom"/>
          </w:tcPr>
          <w:p w14:paraId="4C48FD63"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HDI Changes 1992_2015</w:t>
            </w:r>
          </w:p>
        </w:tc>
        <w:tc>
          <w:tcPr>
            <w:tcW w:w="979" w:type="dxa"/>
            <w:shd w:val="clear" w:color="auto" w:fill="auto"/>
            <w:vAlign w:val="bottom"/>
          </w:tcPr>
          <w:p w14:paraId="272D89D2"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0.99</w:t>
            </w:r>
          </w:p>
        </w:tc>
        <w:tc>
          <w:tcPr>
            <w:tcW w:w="920" w:type="dxa"/>
            <w:shd w:val="clear" w:color="auto" w:fill="auto"/>
            <w:vAlign w:val="bottom"/>
          </w:tcPr>
          <w:p w14:paraId="190D0260"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1.04</w:t>
            </w:r>
          </w:p>
        </w:tc>
        <w:tc>
          <w:tcPr>
            <w:tcW w:w="920" w:type="dxa"/>
            <w:shd w:val="clear" w:color="auto" w:fill="auto"/>
            <w:vAlign w:val="bottom"/>
          </w:tcPr>
          <w:p w14:paraId="2320E27C"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1.01</w:t>
            </w:r>
          </w:p>
        </w:tc>
      </w:tr>
      <w:tr w:rsidR="00E66369" w14:paraId="13B0266B" w14:textId="77777777" w:rsidTr="00534C40">
        <w:trPr>
          <w:trHeight w:val="290"/>
        </w:trPr>
        <w:tc>
          <w:tcPr>
            <w:tcW w:w="2901" w:type="dxa"/>
            <w:shd w:val="clear" w:color="auto" w:fill="auto"/>
            <w:vAlign w:val="bottom"/>
          </w:tcPr>
          <w:p w14:paraId="1820AF15"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Change in population density 1990_2015</w:t>
            </w:r>
          </w:p>
        </w:tc>
        <w:tc>
          <w:tcPr>
            <w:tcW w:w="979" w:type="dxa"/>
            <w:shd w:val="clear" w:color="auto" w:fill="auto"/>
            <w:vAlign w:val="bottom"/>
          </w:tcPr>
          <w:p w14:paraId="38E96E6E"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0.97</w:t>
            </w:r>
          </w:p>
        </w:tc>
        <w:tc>
          <w:tcPr>
            <w:tcW w:w="920" w:type="dxa"/>
            <w:shd w:val="clear" w:color="auto" w:fill="auto"/>
            <w:vAlign w:val="bottom"/>
          </w:tcPr>
          <w:p w14:paraId="6E3E3578"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0.97</w:t>
            </w:r>
          </w:p>
        </w:tc>
        <w:tc>
          <w:tcPr>
            <w:tcW w:w="920" w:type="dxa"/>
            <w:shd w:val="clear" w:color="auto" w:fill="auto"/>
            <w:vAlign w:val="bottom"/>
          </w:tcPr>
          <w:p w14:paraId="63962FAF"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0.94</w:t>
            </w:r>
          </w:p>
        </w:tc>
      </w:tr>
      <w:tr w:rsidR="00E66369" w14:paraId="79B15D36" w14:textId="77777777" w:rsidTr="00534C40">
        <w:trPr>
          <w:trHeight w:val="290"/>
        </w:trPr>
        <w:tc>
          <w:tcPr>
            <w:tcW w:w="2901" w:type="dxa"/>
            <w:shd w:val="clear" w:color="auto" w:fill="auto"/>
            <w:vAlign w:val="bottom"/>
          </w:tcPr>
          <w:p w14:paraId="67BE822D"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Irrigated areas</w:t>
            </w:r>
          </w:p>
        </w:tc>
        <w:tc>
          <w:tcPr>
            <w:tcW w:w="979" w:type="dxa"/>
            <w:shd w:val="clear" w:color="auto" w:fill="auto"/>
            <w:vAlign w:val="bottom"/>
          </w:tcPr>
          <w:p w14:paraId="1294F81A"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1.13</w:t>
            </w:r>
          </w:p>
        </w:tc>
        <w:tc>
          <w:tcPr>
            <w:tcW w:w="920" w:type="dxa"/>
            <w:shd w:val="clear" w:color="auto" w:fill="auto"/>
            <w:vAlign w:val="bottom"/>
          </w:tcPr>
          <w:p w14:paraId="77FECBAB"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1.36</w:t>
            </w:r>
          </w:p>
        </w:tc>
        <w:tc>
          <w:tcPr>
            <w:tcW w:w="920" w:type="dxa"/>
            <w:shd w:val="clear" w:color="auto" w:fill="auto"/>
            <w:vAlign w:val="bottom"/>
          </w:tcPr>
          <w:p w14:paraId="04D8513E"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0.85</w:t>
            </w:r>
          </w:p>
        </w:tc>
      </w:tr>
      <w:tr w:rsidR="00E66369" w14:paraId="084E4D5F" w14:textId="77777777" w:rsidTr="00534C40">
        <w:trPr>
          <w:trHeight w:val="290"/>
        </w:trPr>
        <w:tc>
          <w:tcPr>
            <w:tcW w:w="2901" w:type="dxa"/>
            <w:shd w:val="clear" w:color="auto" w:fill="auto"/>
            <w:vAlign w:val="bottom"/>
          </w:tcPr>
          <w:p w14:paraId="2451C878"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Oil palm cultivation</w:t>
            </w:r>
          </w:p>
        </w:tc>
        <w:tc>
          <w:tcPr>
            <w:tcW w:w="979" w:type="dxa"/>
            <w:shd w:val="clear" w:color="auto" w:fill="auto"/>
            <w:vAlign w:val="bottom"/>
          </w:tcPr>
          <w:p w14:paraId="70847424"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1.79</w:t>
            </w:r>
          </w:p>
        </w:tc>
        <w:tc>
          <w:tcPr>
            <w:tcW w:w="920" w:type="dxa"/>
            <w:shd w:val="clear" w:color="auto" w:fill="auto"/>
            <w:vAlign w:val="bottom"/>
          </w:tcPr>
          <w:p w14:paraId="24686D09"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1.86</w:t>
            </w:r>
          </w:p>
        </w:tc>
        <w:tc>
          <w:tcPr>
            <w:tcW w:w="920" w:type="dxa"/>
            <w:shd w:val="clear" w:color="auto" w:fill="auto"/>
            <w:vAlign w:val="bottom"/>
          </w:tcPr>
          <w:p w14:paraId="552BB1BC"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1.32</w:t>
            </w:r>
          </w:p>
        </w:tc>
      </w:tr>
      <w:tr w:rsidR="00E66369" w14:paraId="30F4809D" w14:textId="77777777" w:rsidTr="00534C40">
        <w:trPr>
          <w:trHeight w:val="290"/>
        </w:trPr>
        <w:tc>
          <w:tcPr>
            <w:tcW w:w="2901" w:type="dxa"/>
            <w:tcBorders>
              <w:bottom w:val="single" w:sz="4" w:space="0" w:color="auto"/>
            </w:tcBorders>
            <w:shd w:val="clear" w:color="auto" w:fill="auto"/>
            <w:vAlign w:val="bottom"/>
          </w:tcPr>
          <w:p w14:paraId="3EFAE158"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Soy cultivation</w:t>
            </w:r>
          </w:p>
        </w:tc>
        <w:tc>
          <w:tcPr>
            <w:tcW w:w="979" w:type="dxa"/>
            <w:tcBorders>
              <w:bottom w:val="single" w:sz="4" w:space="0" w:color="auto"/>
            </w:tcBorders>
            <w:shd w:val="clear" w:color="auto" w:fill="auto"/>
            <w:vAlign w:val="bottom"/>
          </w:tcPr>
          <w:p w14:paraId="39A3D0C6"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1.29</w:t>
            </w:r>
          </w:p>
        </w:tc>
        <w:tc>
          <w:tcPr>
            <w:tcW w:w="920" w:type="dxa"/>
            <w:tcBorders>
              <w:bottom w:val="single" w:sz="4" w:space="0" w:color="auto"/>
            </w:tcBorders>
            <w:shd w:val="clear" w:color="auto" w:fill="auto"/>
            <w:vAlign w:val="bottom"/>
          </w:tcPr>
          <w:p w14:paraId="5C8D13AB"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2.18</w:t>
            </w:r>
          </w:p>
        </w:tc>
        <w:tc>
          <w:tcPr>
            <w:tcW w:w="920" w:type="dxa"/>
            <w:tcBorders>
              <w:bottom w:val="single" w:sz="4" w:space="0" w:color="auto"/>
            </w:tcBorders>
            <w:shd w:val="clear" w:color="auto" w:fill="auto"/>
            <w:vAlign w:val="bottom"/>
          </w:tcPr>
          <w:p w14:paraId="2B387BDC" w14:textId="77777777" w:rsidR="00E66369" w:rsidRDefault="00E66369" w:rsidP="00534C40">
            <w:pPr>
              <w:spacing w:after="0" w:line="240" w:lineRule="auto"/>
              <w:jc w:val="center"/>
              <w:rPr>
                <w:rFonts w:ascii="Calibri" w:eastAsia="Times New Roman" w:hAnsi="Calibri" w:cs="Calibri"/>
                <w:color w:val="000000" w:themeColor="text1"/>
                <w:lang w:eastAsia="en-GB"/>
              </w:rPr>
            </w:pPr>
            <w:r>
              <w:rPr>
                <w:rFonts w:eastAsia="Times New Roman" w:cs="Calibri"/>
                <w:color w:val="000000" w:themeColor="text1"/>
                <w:lang w:eastAsia="en-GB"/>
              </w:rPr>
              <w:t>3.32</w:t>
            </w:r>
          </w:p>
        </w:tc>
      </w:tr>
    </w:tbl>
    <w:p w14:paraId="2EF6CAC6" w14:textId="77777777" w:rsidR="00E66369" w:rsidRDefault="00E66369" w:rsidP="00E66369">
      <w:pPr>
        <w:rPr>
          <w:bCs/>
        </w:rPr>
      </w:pPr>
    </w:p>
    <w:p w14:paraId="4CCDC933" w14:textId="77777777" w:rsidR="00E66369" w:rsidRDefault="00E66369" w:rsidP="00E66369">
      <w:pPr>
        <w:spacing w:after="0" w:line="240" w:lineRule="auto"/>
        <w:rPr>
          <w:bCs/>
        </w:rPr>
      </w:pPr>
      <w:r>
        <w:rPr>
          <w:b/>
          <w:bCs/>
        </w:rPr>
        <w:t xml:space="preserve">Table S9: Proportional overlap of shifts from forest to short vegetation (1982-1992 and 1992-2015) </w:t>
      </w:r>
      <w:proofErr w:type="gramStart"/>
      <w:r>
        <w:rPr>
          <w:b/>
          <w:bCs/>
        </w:rPr>
        <w:t>and  large</w:t>
      </w:r>
      <w:proofErr w:type="gramEnd"/>
      <w:r>
        <w:rPr>
          <w:b/>
          <w:bCs/>
        </w:rPr>
        <w:t xml:space="preserve"> positive deviations from the global ‘null’ model of cropland extent in 1992 (Methods; Null Model).</w:t>
      </w:r>
      <w:r>
        <w:rPr>
          <w:bCs/>
        </w:rPr>
        <w:t xml:space="preserve"> ‘Positive Deviances’ of 2 or more (or 1 or more) standard deviations are shown.   Ratios &gt; 1 indicate over-representation; ratios &lt; 1 indicate under-representation (more or less overlap of cropland and a given deviation threshold than would be expected if both are equally common across the land area they cover)</w:t>
      </w:r>
      <w:r>
        <w:fldChar w:fldCharType="begin" w:fldLock="1"/>
      </w:r>
      <w:r>
        <w:instrText>ADDIN CSL_CITATION {"citationItems":[{"id":"ITEM-1","itemData":{"DOI":"10.1098/rspb.2009.0528","ISSN":"0962-8452","author":[{"dropping-particle":"","family":"Eigenbrod","given":"Felix","non-dropping-particle":"","parse-names":false,"suffix":""},{"dropping-particle":"","family":"Anderson","given":"Barbara J","non-dropping-particle":"","parse-names":false,"suffix":""},{"dropping-particle":"","family":"Armsworth","given":"Paul R","non-dropping-particle":"","parse-names":false,"suffix":""},{"dropping-particle":"","family":"Heinemeyer","given":"Andreas","non-dropping-particle":"","parse-names":false,"suffix":""},{"dropping-particle":"","family":"Jackson","given":"Sarah F","non-dropping-particle":"","parse-names":false,"suffix":""},{"dropping-particle":"","family":"Parnell","given":"Mark","non-dropping-particle":"","parse-names":false,"suffix":""},{"dropping-particle":"","family":"Thomas","given":"Chris D","non-dropping-particle":"","parse-names":false,"suffix":""},{"dropping-particle":"","family":"Gaston","given":"Kevin J","non-dropping-particle":"","parse-names":false,"suffix":""}],"container-title":"Proceedings of the Royal Society B: Biological Sciences","id":"ITEM-1","issue":"1669","issued":{"date-parts":[["2009","8","22"]]},"page":"2903-2911","title":"Ecosystem service benefits of contrasting conservation strategies in a human-dominated region","type":"article-journal","volume":"276"},"uris":["http://www.mendeley.com/documents/?uuid=c14a17c6-bec8-45a9-8a05-a2cb3f3cf5ed"]}],"mendeley":{"formattedCitation":"&lt;sup&gt;15&lt;/sup&gt;","plainTextFormattedCitation":"15","previouslyFormattedCitation":"&lt;sup&gt;15&lt;/sup&gt;"},"properties":{"noteIndex":0},"schema":"https://github.com/citation-style-language/schema/raw/master/csl-citation.json"}</w:instrText>
      </w:r>
      <w:r>
        <w:fldChar w:fldCharType="separate"/>
      </w:r>
      <w:bookmarkStart w:id="176" w:name="__Fieldmark__7458_3027855847"/>
      <w:r w:rsidRPr="00276B57">
        <w:rPr>
          <w:bCs/>
          <w:noProof/>
          <w:vertAlign w:val="superscript"/>
        </w:rPr>
        <w:t>15</w:t>
      </w:r>
      <w:r>
        <w:fldChar w:fldCharType="end"/>
      </w:r>
      <w:bookmarkEnd w:id="176"/>
      <w:r>
        <w:rPr>
          <w:bCs/>
        </w:rPr>
        <w:t xml:space="preserve">. As the positive deviance analysis was conducted using separate Null Models for different percent cropland binary cut-offs (&gt;0.5%, &gt;10%; &gt;50%), separate overlaps were conducted for each </w:t>
      </w:r>
      <w:proofErr w:type="gramStart"/>
      <w:r>
        <w:rPr>
          <w:bCs/>
        </w:rPr>
        <w:t>thresholds</w:t>
      </w:r>
      <w:proofErr w:type="gramEnd"/>
      <w:r>
        <w:rPr>
          <w:bCs/>
        </w:rPr>
        <w:t xml:space="preserve">. The shifts from forest to short vegetation are measured using AVHRR data following </w:t>
      </w:r>
      <w:r>
        <w:fldChar w:fldCharType="begin" w:fldLock="1"/>
      </w:r>
      <w:r>
        <w:instrText>ADDIN CSL_CITATION {"citationItems":[{"id":"ITEM-1","itemData":{"DOI":"10.1038/s41586-018-0411-9","ISSN":"14764687","abstract":"Land change is a cause and consequence of global environmental change 1,2 . Changes in land use and land cover considerably alter the Earth’s energy balance and biogeochemical cycles, which contributes to climate change and—in turn—affects land surface properties and the provision of ecosystem services 1–4 . However, quantification of global land change is lacking. Here we analyse 35 years’ worth of satellite data and provide a comprehensive record of global land-change dynamics during the period 1982–2016. We show that—contrary to the prevailing view that forest area has declined globally 5 —tree cover has increased by 2.24 million km 2 (+7.1% relative to the 1982 level). This overall net gain is the result of a net loss in the tropics being outweighed by a net gain in the extratropics. Global bare ground cover has decreased by 1.16 million km 2 (−3.1%), most notably in agricultural regions in Asia. Of all land changes, 60% are associated with direct human activities and 40% with indirect drivers such as climate change. Land-use change exhibits regional dominance, including tropical deforestation and agricultural expansion, temperate reforestation or afforestation, cropland intensification and urbanization. Consistently across all climate domains, montane systems have gained tree cover and many arid and semi-arid ecosystems have lost vegetation cover. The mapped land changes and the driver attributions reflect a human-dominated Earth system. The dataset we developed may be used to improve the modelling of land-use changes, biogeochemical cycles and vegetation–climate interactions to advance our understanding of global environmental change 1–4,6 .","author":[{"dropping-particle":"","family":"Song","given":"Xiao Peng","non-dropping-particle":"","parse-names":false,"suffix":""},{"dropping-particle":"","family":"Hansen","given":"Matthew C","non-dropping-particle":"","parse-names":false,"suffix":""},{"dropping-particle":"V.","family":"Stehman","given":"Stephen","non-dropping-particle":"","parse-names":false,"suffix":""},{"dropping-particle":"V.","family":"Potapov","given":"Peter","non-dropping-particle":"","parse-names":false,"suffix":""},{"dropping-particle":"","family":"Tyukavina","given":"Alexandra","non-dropping-particle":"","parse-names":false,"suffix":""},{"dropping-particle":"","family":"Vermote","given":"Eric F","non-dropping-particle":"","parse-names":false,"suffix":""},{"dropping-particle":"","family":"Townshend","given":"John R","non-dropping-particle":"","parse-names":false,"suffix":""}],"container-title":"Nature","id":"ITEM-1","issue":"7720","issued":{"date-parts":[["2018","8","8"]]},"page":"639-643","publisher":"Springer US","title":"Global land change from 1982 to 2016","type":"article","volume":"560"},"uris":["http://www.mendeley.com/documents/?uuid=a04d6a29-019d-48a3-be33-017b7016a380"]}],"mendeley":{"formattedCitation":"&lt;sup&gt;9&lt;/sup&gt;","plainTextFormattedCitation":"9","previouslyFormattedCitation":"&lt;sup&gt;9&lt;/sup&gt;"},"properties":{"noteIndex":0},"schema":"https://github.com/citation-style-language/schema/raw/master/csl-citation.json"}</w:instrText>
      </w:r>
      <w:r>
        <w:fldChar w:fldCharType="separate"/>
      </w:r>
      <w:bookmarkStart w:id="177" w:name="__Fieldmark__7467_3027855847"/>
      <w:r w:rsidRPr="004303B2">
        <w:rPr>
          <w:bCs/>
          <w:noProof/>
          <w:vertAlign w:val="superscript"/>
        </w:rPr>
        <w:t>9</w:t>
      </w:r>
      <w:r>
        <w:fldChar w:fldCharType="end"/>
      </w:r>
      <w:bookmarkEnd w:id="177"/>
      <w:r>
        <w:rPr>
          <w:bCs/>
        </w:rPr>
        <w:t xml:space="preserve">; see Supplementary Methods for details.  </w:t>
      </w:r>
    </w:p>
    <w:p w14:paraId="0DAC7702" w14:textId="77777777" w:rsidR="00E66369" w:rsidRDefault="00E66369" w:rsidP="00E66369">
      <w:pPr>
        <w:spacing w:after="0" w:line="240" w:lineRule="auto"/>
      </w:pPr>
    </w:p>
    <w:tbl>
      <w:tblPr>
        <w:tblW w:w="9026" w:type="dxa"/>
        <w:tblLook w:val="04A0" w:firstRow="1" w:lastRow="0" w:firstColumn="1" w:lastColumn="0" w:noHBand="0" w:noVBand="1"/>
      </w:tblPr>
      <w:tblGrid>
        <w:gridCol w:w="2139"/>
        <w:gridCol w:w="1042"/>
        <w:gridCol w:w="1042"/>
        <w:gridCol w:w="1306"/>
        <w:gridCol w:w="1002"/>
        <w:gridCol w:w="1248"/>
        <w:gridCol w:w="1247"/>
      </w:tblGrid>
      <w:tr w:rsidR="00E66369" w14:paraId="581B908E" w14:textId="77777777" w:rsidTr="00534C40">
        <w:trPr>
          <w:trHeight w:val="290"/>
        </w:trPr>
        <w:tc>
          <w:tcPr>
            <w:tcW w:w="2139" w:type="dxa"/>
            <w:tcBorders>
              <w:top w:val="single" w:sz="4" w:space="0" w:color="auto"/>
            </w:tcBorders>
            <w:shd w:val="clear" w:color="auto" w:fill="auto"/>
            <w:vAlign w:val="bottom"/>
          </w:tcPr>
          <w:p w14:paraId="2C5E3429" w14:textId="77777777" w:rsidR="00E66369" w:rsidRDefault="00E66369" w:rsidP="00534C40">
            <w:pPr>
              <w:spacing w:after="0" w:line="240" w:lineRule="auto"/>
              <w:jc w:val="center"/>
              <w:rPr>
                <w:rFonts w:ascii="Times New Roman" w:eastAsia="Times New Roman" w:hAnsi="Times New Roman" w:cs="Times New Roman"/>
                <w:sz w:val="24"/>
                <w:szCs w:val="24"/>
                <w:lang w:eastAsia="en-GB"/>
              </w:rPr>
            </w:pPr>
          </w:p>
        </w:tc>
        <w:tc>
          <w:tcPr>
            <w:tcW w:w="3390" w:type="dxa"/>
            <w:gridSpan w:val="3"/>
            <w:tcBorders>
              <w:top w:val="single" w:sz="4" w:space="0" w:color="auto"/>
            </w:tcBorders>
          </w:tcPr>
          <w:p w14:paraId="3503D7B8" w14:textId="77777777" w:rsidR="00E66369" w:rsidRDefault="00E66369" w:rsidP="00534C40">
            <w:pPr>
              <w:spacing w:after="0" w:line="240" w:lineRule="auto"/>
              <w:jc w:val="center"/>
              <w:rPr>
                <w:rFonts w:eastAsia="Times New Roman" w:cs="Calibri"/>
                <w:b/>
                <w:color w:val="000000"/>
                <w:lang w:eastAsia="en-GB"/>
              </w:rPr>
            </w:pPr>
            <w:r>
              <w:rPr>
                <w:rFonts w:eastAsia="Times New Roman" w:cs="Calibri"/>
                <w:b/>
                <w:color w:val="000000"/>
                <w:lang w:eastAsia="en-GB"/>
              </w:rPr>
              <w:t>Forest to short veg 1982-1992</w:t>
            </w:r>
          </w:p>
        </w:tc>
        <w:tc>
          <w:tcPr>
            <w:tcW w:w="3497" w:type="dxa"/>
            <w:gridSpan w:val="3"/>
            <w:tcBorders>
              <w:top w:val="single" w:sz="4" w:space="0" w:color="auto"/>
            </w:tcBorders>
            <w:shd w:val="clear" w:color="auto" w:fill="auto"/>
            <w:vAlign w:val="bottom"/>
          </w:tcPr>
          <w:p w14:paraId="6F778AFA" w14:textId="77777777" w:rsidR="00E66369" w:rsidRDefault="00E66369" w:rsidP="00534C40">
            <w:pPr>
              <w:spacing w:after="0" w:line="240" w:lineRule="auto"/>
              <w:jc w:val="center"/>
              <w:rPr>
                <w:rFonts w:ascii="Calibri" w:eastAsia="Times New Roman" w:hAnsi="Calibri" w:cs="Calibri"/>
                <w:b/>
                <w:color w:val="000000"/>
                <w:lang w:eastAsia="en-GB"/>
              </w:rPr>
            </w:pPr>
            <w:r>
              <w:rPr>
                <w:rFonts w:eastAsia="Times New Roman" w:cs="Calibri"/>
                <w:b/>
                <w:color w:val="000000"/>
                <w:lang w:eastAsia="en-GB"/>
              </w:rPr>
              <w:t>Forest to short veg 1992-2015</w:t>
            </w:r>
          </w:p>
        </w:tc>
      </w:tr>
      <w:tr w:rsidR="00E66369" w14:paraId="5AEA8D5A" w14:textId="77777777" w:rsidTr="00534C40">
        <w:trPr>
          <w:trHeight w:val="290"/>
        </w:trPr>
        <w:tc>
          <w:tcPr>
            <w:tcW w:w="2139" w:type="dxa"/>
            <w:tcBorders>
              <w:bottom w:val="single" w:sz="4" w:space="0" w:color="000000"/>
            </w:tcBorders>
            <w:shd w:val="clear" w:color="auto" w:fill="auto"/>
            <w:vAlign w:val="bottom"/>
          </w:tcPr>
          <w:p w14:paraId="34857B9E"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 </w:t>
            </w:r>
          </w:p>
        </w:tc>
        <w:tc>
          <w:tcPr>
            <w:tcW w:w="1042" w:type="dxa"/>
            <w:tcBorders>
              <w:bottom w:val="single" w:sz="4" w:space="0" w:color="000000"/>
            </w:tcBorders>
            <w:vAlign w:val="bottom"/>
          </w:tcPr>
          <w:p w14:paraId="7FE422AD" w14:textId="77777777" w:rsidR="00E66369" w:rsidRPr="00A2695C" w:rsidRDefault="00E66369" w:rsidP="00534C40">
            <w:pPr>
              <w:spacing w:after="0" w:line="240" w:lineRule="auto"/>
              <w:jc w:val="center"/>
              <w:rPr>
                <w:rFonts w:eastAsia="Times New Roman" w:cs="Calibri"/>
                <w:color w:val="000000"/>
                <w:lang w:eastAsia="en-GB"/>
              </w:rPr>
            </w:pPr>
            <w:r w:rsidRPr="00A2695C">
              <w:rPr>
                <w:rFonts w:eastAsia="Times New Roman" w:cs="Calibri"/>
                <w:color w:val="000000"/>
                <w:lang w:eastAsia="en-GB"/>
              </w:rPr>
              <w:t>0.5% crop</w:t>
            </w:r>
          </w:p>
        </w:tc>
        <w:tc>
          <w:tcPr>
            <w:tcW w:w="1042" w:type="dxa"/>
            <w:tcBorders>
              <w:bottom w:val="single" w:sz="4" w:space="0" w:color="000000"/>
            </w:tcBorders>
            <w:vAlign w:val="bottom"/>
          </w:tcPr>
          <w:p w14:paraId="6E135595" w14:textId="77777777" w:rsidR="00E66369" w:rsidRPr="00A2695C" w:rsidRDefault="00E66369" w:rsidP="00534C40">
            <w:pPr>
              <w:spacing w:after="0" w:line="240" w:lineRule="auto"/>
              <w:jc w:val="center"/>
              <w:rPr>
                <w:rFonts w:eastAsia="Times New Roman" w:cs="Calibri"/>
                <w:color w:val="000000"/>
                <w:lang w:eastAsia="en-GB"/>
              </w:rPr>
            </w:pPr>
            <w:r w:rsidRPr="00A2695C">
              <w:rPr>
                <w:rFonts w:eastAsia="Times New Roman" w:cs="Calibri"/>
                <w:color w:val="000000"/>
                <w:lang w:eastAsia="en-GB"/>
              </w:rPr>
              <w:t>10% crop</w:t>
            </w:r>
          </w:p>
        </w:tc>
        <w:tc>
          <w:tcPr>
            <w:tcW w:w="1306" w:type="dxa"/>
            <w:tcBorders>
              <w:bottom w:val="single" w:sz="4" w:space="0" w:color="000000"/>
            </w:tcBorders>
            <w:vAlign w:val="bottom"/>
          </w:tcPr>
          <w:p w14:paraId="76C73661" w14:textId="77777777" w:rsidR="00E66369" w:rsidRPr="00A2695C" w:rsidRDefault="00E66369" w:rsidP="00534C40">
            <w:pPr>
              <w:spacing w:after="0" w:line="240" w:lineRule="auto"/>
              <w:jc w:val="center"/>
              <w:rPr>
                <w:rFonts w:eastAsia="Times New Roman" w:cs="Calibri"/>
                <w:color w:val="000000"/>
                <w:lang w:eastAsia="en-GB"/>
              </w:rPr>
            </w:pPr>
            <w:r w:rsidRPr="00A2695C">
              <w:rPr>
                <w:rFonts w:eastAsia="Times New Roman" w:cs="Calibri"/>
                <w:color w:val="000000"/>
                <w:lang w:eastAsia="en-GB"/>
              </w:rPr>
              <w:t>50% crop</w:t>
            </w:r>
          </w:p>
        </w:tc>
        <w:tc>
          <w:tcPr>
            <w:tcW w:w="1002" w:type="dxa"/>
            <w:tcBorders>
              <w:bottom w:val="single" w:sz="4" w:space="0" w:color="000000"/>
            </w:tcBorders>
            <w:shd w:val="clear" w:color="auto" w:fill="auto"/>
            <w:vAlign w:val="bottom"/>
          </w:tcPr>
          <w:p w14:paraId="537E0DD0" w14:textId="77777777" w:rsidR="00E66369" w:rsidRPr="00A2695C" w:rsidRDefault="00E66369" w:rsidP="00534C40">
            <w:pPr>
              <w:spacing w:after="0" w:line="240" w:lineRule="auto"/>
              <w:jc w:val="center"/>
              <w:rPr>
                <w:rFonts w:ascii="Calibri" w:eastAsia="Times New Roman" w:hAnsi="Calibri" w:cs="Calibri"/>
                <w:color w:val="000000"/>
                <w:lang w:eastAsia="en-GB"/>
              </w:rPr>
            </w:pPr>
            <w:r w:rsidRPr="00A2695C">
              <w:rPr>
                <w:rFonts w:eastAsia="Times New Roman" w:cs="Calibri"/>
                <w:color w:val="000000"/>
                <w:lang w:eastAsia="en-GB"/>
              </w:rPr>
              <w:t>0.5% crop</w:t>
            </w:r>
          </w:p>
        </w:tc>
        <w:tc>
          <w:tcPr>
            <w:tcW w:w="1248" w:type="dxa"/>
            <w:tcBorders>
              <w:bottom w:val="single" w:sz="4" w:space="0" w:color="000000"/>
            </w:tcBorders>
            <w:shd w:val="clear" w:color="auto" w:fill="auto"/>
            <w:vAlign w:val="bottom"/>
          </w:tcPr>
          <w:p w14:paraId="25E4D807" w14:textId="77777777" w:rsidR="00E66369" w:rsidRPr="00A2695C" w:rsidRDefault="00E66369" w:rsidP="00534C40">
            <w:pPr>
              <w:spacing w:after="0" w:line="240" w:lineRule="auto"/>
              <w:jc w:val="center"/>
              <w:rPr>
                <w:rFonts w:ascii="Calibri" w:eastAsia="Times New Roman" w:hAnsi="Calibri" w:cs="Calibri"/>
                <w:color w:val="000000"/>
                <w:lang w:eastAsia="en-GB"/>
              </w:rPr>
            </w:pPr>
            <w:r w:rsidRPr="00A2695C">
              <w:rPr>
                <w:rFonts w:eastAsia="Times New Roman" w:cs="Calibri"/>
                <w:color w:val="000000"/>
                <w:lang w:eastAsia="en-GB"/>
              </w:rPr>
              <w:t>10% crop</w:t>
            </w:r>
          </w:p>
        </w:tc>
        <w:tc>
          <w:tcPr>
            <w:tcW w:w="1247" w:type="dxa"/>
            <w:tcBorders>
              <w:bottom w:val="single" w:sz="4" w:space="0" w:color="000000"/>
            </w:tcBorders>
            <w:shd w:val="clear" w:color="auto" w:fill="auto"/>
            <w:vAlign w:val="bottom"/>
          </w:tcPr>
          <w:p w14:paraId="57405ADC" w14:textId="77777777" w:rsidR="00E66369" w:rsidRPr="00A2695C" w:rsidRDefault="00E66369" w:rsidP="00534C40">
            <w:pPr>
              <w:spacing w:after="0" w:line="240" w:lineRule="auto"/>
              <w:jc w:val="center"/>
              <w:rPr>
                <w:rFonts w:ascii="Calibri" w:eastAsia="Times New Roman" w:hAnsi="Calibri" w:cs="Calibri"/>
                <w:color w:val="000000"/>
                <w:lang w:eastAsia="en-GB"/>
              </w:rPr>
            </w:pPr>
            <w:r w:rsidRPr="00A2695C">
              <w:rPr>
                <w:rFonts w:eastAsia="Times New Roman" w:cs="Calibri"/>
                <w:color w:val="000000"/>
                <w:lang w:eastAsia="en-GB"/>
              </w:rPr>
              <w:t>50% crop</w:t>
            </w:r>
          </w:p>
        </w:tc>
      </w:tr>
      <w:tr w:rsidR="00E66369" w14:paraId="5D5E12E8" w14:textId="77777777" w:rsidTr="00534C40">
        <w:trPr>
          <w:trHeight w:val="290"/>
        </w:trPr>
        <w:tc>
          <w:tcPr>
            <w:tcW w:w="2139" w:type="dxa"/>
            <w:tcBorders>
              <w:top w:val="single" w:sz="4" w:space="0" w:color="000000"/>
            </w:tcBorders>
            <w:shd w:val="clear" w:color="auto" w:fill="auto"/>
            <w:vAlign w:val="bottom"/>
          </w:tcPr>
          <w:p w14:paraId="733D90F5"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Positive Deviance 2 SD</w:t>
            </w:r>
          </w:p>
        </w:tc>
        <w:tc>
          <w:tcPr>
            <w:tcW w:w="1042" w:type="dxa"/>
            <w:tcBorders>
              <w:top w:val="single" w:sz="4" w:space="0" w:color="000000"/>
            </w:tcBorders>
          </w:tcPr>
          <w:p w14:paraId="1BEEE9FD" w14:textId="77777777" w:rsidR="00E66369" w:rsidRDefault="00E66369" w:rsidP="00534C40">
            <w:pPr>
              <w:spacing w:after="0" w:line="240" w:lineRule="auto"/>
            </w:pPr>
            <w:r>
              <w:t>3.84</w:t>
            </w:r>
          </w:p>
        </w:tc>
        <w:tc>
          <w:tcPr>
            <w:tcW w:w="1042" w:type="dxa"/>
            <w:tcBorders>
              <w:top w:val="single" w:sz="4" w:space="0" w:color="000000"/>
            </w:tcBorders>
          </w:tcPr>
          <w:p w14:paraId="37934070" w14:textId="77777777" w:rsidR="00E66369" w:rsidRDefault="00E66369" w:rsidP="00534C40">
            <w:pPr>
              <w:spacing w:after="0" w:line="240" w:lineRule="auto"/>
            </w:pPr>
            <w:r>
              <w:t>3.12</w:t>
            </w:r>
          </w:p>
        </w:tc>
        <w:tc>
          <w:tcPr>
            <w:tcW w:w="1306" w:type="dxa"/>
            <w:tcBorders>
              <w:top w:val="single" w:sz="4" w:space="0" w:color="000000"/>
            </w:tcBorders>
          </w:tcPr>
          <w:p w14:paraId="271BE500" w14:textId="77777777" w:rsidR="00E66369" w:rsidRDefault="00E66369" w:rsidP="00534C40">
            <w:pPr>
              <w:spacing w:after="0" w:line="240" w:lineRule="auto"/>
            </w:pPr>
            <w:r>
              <w:t>1.84</w:t>
            </w:r>
          </w:p>
        </w:tc>
        <w:tc>
          <w:tcPr>
            <w:tcW w:w="1002" w:type="dxa"/>
            <w:tcBorders>
              <w:top w:val="single" w:sz="4" w:space="0" w:color="000000"/>
            </w:tcBorders>
            <w:shd w:val="clear" w:color="auto" w:fill="auto"/>
          </w:tcPr>
          <w:p w14:paraId="742D0272" w14:textId="77777777" w:rsidR="00E66369" w:rsidRDefault="00E66369" w:rsidP="00534C40">
            <w:pPr>
              <w:spacing w:after="0" w:line="240" w:lineRule="auto"/>
              <w:rPr>
                <w:rFonts w:ascii="Calibri" w:hAnsi="Calibri" w:cs="Calibri"/>
                <w:color w:val="000000"/>
              </w:rPr>
            </w:pPr>
            <w:r>
              <w:rPr>
                <w:rFonts w:ascii="Calibri" w:hAnsi="Calibri" w:cs="Calibri"/>
                <w:color w:val="000000"/>
              </w:rPr>
              <w:t>3.48</w:t>
            </w:r>
          </w:p>
        </w:tc>
        <w:tc>
          <w:tcPr>
            <w:tcW w:w="1248" w:type="dxa"/>
            <w:tcBorders>
              <w:top w:val="single" w:sz="4" w:space="0" w:color="000000"/>
            </w:tcBorders>
            <w:shd w:val="clear" w:color="auto" w:fill="auto"/>
          </w:tcPr>
          <w:p w14:paraId="7DC3BA42" w14:textId="77777777" w:rsidR="00E66369" w:rsidRDefault="00E66369" w:rsidP="00534C40">
            <w:pPr>
              <w:spacing w:after="0" w:line="240" w:lineRule="auto"/>
              <w:rPr>
                <w:rFonts w:ascii="Calibri" w:eastAsia="Times New Roman" w:hAnsi="Calibri" w:cs="Calibri"/>
                <w:lang w:eastAsia="en-GB"/>
              </w:rPr>
            </w:pPr>
            <w:r>
              <w:rPr>
                <w:rFonts w:ascii="Calibri" w:eastAsia="Times New Roman" w:hAnsi="Calibri" w:cs="Calibri"/>
                <w:lang w:eastAsia="en-GB"/>
              </w:rPr>
              <w:t>1.29</w:t>
            </w:r>
          </w:p>
        </w:tc>
        <w:tc>
          <w:tcPr>
            <w:tcW w:w="1247" w:type="dxa"/>
            <w:tcBorders>
              <w:top w:val="single" w:sz="4" w:space="0" w:color="000000"/>
            </w:tcBorders>
            <w:shd w:val="clear" w:color="auto" w:fill="auto"/>
          </w:tcPr>
          <w:p w14:paraId="58CD7714" w14:textId="77777777" w:rsidR="00E66369" w:rsidRDefault="00E66369" w:rsidP="00534C40">
            <w:pPr>
              <w:spacing w:after="0" w:line="240" w:lineRule="auto"/>
              <w:rPr>
                <w:rFonts w:ascii="Calibri" w:eastAsia="Times New Roman" w:hAnsi="Calibri" w:cs="Calibri"/>
                <w:lang w:eastAsia="en-GB"/>
              </w:rPr>
            </w:pPr>
            <w:r>
              <w:rPr>
                <w:rFonts w:ascii="Calibri" w:eastAsia="Times New Roman" w:hAnsi="Calibri" w:cs="Calibri"/>
                <w:lang w:eastAsia="en-GB"/>
              </w:rPr>
              <w:t>1.11</w:t>
            </w:r>
          </w:p>
        </w:tc>
      </w:tr>
      <w:tr w:rsidR="00E66369" w14:paraId="0C27178D" w14:textId="77777777" w:rsidTr="00534C40">
        <w:trPr>
          <w:trHeight w:val="290"/>
        </w:trPr>
        <w:tc>
          <w:tcPr>
            <w:tcW w:w="2139" w:type="dxa"/>
            <w:tcBorders>
              <w:bottom w:val="single" w:sz="4" w:space="0" w:color="auto"/>
            </w:tcBorders>
            <w:shd w:val="clear" w:color="auto" w:fill="auto"/>
            <w:vAlign w:val="bottom"/>
          </w:tcPr>
          <w:p w14:paraId="7D08238C" w14:textId="77777777" w:rsidR="00E66369" w:rsidRDefault="00E66369" w:rsidP="00534C40">
            <w:pPr>
              <w:spacing w:after="0" w:line="240" w:lineRule="auto"/>
              <w:rPr>
                <w:rFonts w:ascii="Calibri" w:eastAsia="Times New Roman" w:hAnsi="Calibri" w:cs="Calibri"/>
                <w:color w:val="000000"/>
                <w:lang w:eastAsia="en-GB"/>
              </w:rPr>
            </w:pPr>
            <w:r>
              <w:rPr>
                <w:rFonts w:eastAsia="Times New Roman" w:cs="Calibri"/>
                <w:color w:val="000000"/>
                <w:lang w:eastAsia="en-GB"/>
              </w:rPr>
              <w:t>Positive Deviance 1 SD</w:t>
            </w:r>
          </w:p>
        </w:tc>
        <w:tc>
          <w:tcPr>
            <w:tcW w:w="1042" w:type="dxa"/>
            <w:tcBorders>
              <w:bottom w:val="single" w:sz="4" w:space="0" w:color="auto"/>
            </w:tcBorders>
          </w:tcPr>
          <w:p w14:paraId="3C48A6D3" w14:textId="77777777" w:rsidR="00E66369" w:rsidRDefault="00E66369" w:rsidP="00534C40">
            <w:pPr>
              <w:spacing w:after="0" w:line="240" w:lineRule="auto"/>
            </w:pPr>
            <w:r>
              <w:t>1.79</w:t>
            </w:r>
          </w:p>
        </w:tc>
        <w:tc>
          <w:tcPr>
            <w:tcW w:w="1042" w:type="dxa"/>
            <w:tcBorders>
              <w:bottom w:val="single" w:sz="4" w:space="0" w:color="auto"/>
            </w:tcBorders>
          </w:tcPr>
          <w:p w14:paraId="4A34B4F5" w14:textId="77777777" w:rsidR="00E66369" w:rsidRDefault="00E66369" w:rsidP="00534C40">
            <w:pPr>
              <w:spacing w:after="0" w:line="240" w:lineRule="auto"/>
            </w:pPr>
            <w:r>
              <w:t>1.43</w:t>
            </w:r>
          </w:p>
        </w:tc>
        <w:tc>
          <w:tcPr>
            <w:tcW w:w="1306" w:type="dxa"/>
            <w:tcBorders>
              <w:bottom w:val="single" w:sz="4" w:space="0" w:color="auto"/>
            </w:tcBorders>
          </w:tcPr>
          <w:p w14:paraId="630EFFB5" w14:textId="77777777" w:rsidR="00E66369" w:rsidRDefault="00E66369" w:rsidP="00534C40">
            <w:pPr>
              <w:spacing w:after="0" w:line="240" w:lineRule="auto"/>
            </w:pPr>
            <w:r>
              <w:t>0.72</w:t>
            </w:r>
          </w:p>
        </w:tc>
        <w:tc>
          <w:tcPr>
            <w:tcW w:w="1002" w:type="dxa"/>
            <w:tcBorders>
              <w:bottom w:val="single" w:sz="4" w:space="0" w:color="auto"/>
            </w:tcBorders>
            <w:shd w:val="clear" w:color="auto" w:fill="auto"/>
          </w:tcPr>
          <w:p w14:paraId="5174A163" w14:textId="77777777" w:rsidR="00E66369" w:rsidRDefault="00E66369" w:rsidP="00534C40">
            <w:pPr>
              <w:spacing w:after="0" w:line="240" w:lineRule="auto"/>
              <w:rPr>
                <w:rFonts w:ascii="Calibri" w:eastAsia="Times New Roman" w:hAnsi="Calibri" w:cs="Calibri"/>
                <w:lang w:eastAsia="en-GB"/>
              </w:rPr>
            </w:pPr>
            <w:r>
              <w:rPr>
                <w:rFonts w:ascii="Calibri" w:eastAsia="Times New Roman" w:hAnsi="Calibri" w:cs="Calibri"/>
                <w:lang w:eastAsia="en-GB"/>
              </w:rPr>
              <w:t>1.51</w:t>
            </w:r>
          </w:p>
        </w:tc>
        <w:tc>
          <w:tcPr>
            <w:tcW w:w="1248" w:type="dxa"/>
            <w:tcBorders>
              <w:bottom w:val="single" w:sz="4" w:space="0" w:color="auto"/>
            </w:tcBorders>
            <w:shd w:val="clear" w:color="auto" w:fill="auto"/>
          </w:tcPr>
          <w:p w14:paraId="02603C9E" w14:textId="77777777" w:rsidR="00E66369" w:rsidRDefault="00E66369" w:rsidP="00534C40">
            <w:pPr>
              <w:spacing w:after="0" w:line="240" w:lineRule="auto"/>
              <w:rPr>
                <w:rFonts w:ascii="Calibri" w:eastAsia="Times New Roman" w:hAnsi="Calibri" w:cs="Calibri"/>
                <w:lang w:eastAsia="en-GB"/>
              </w:rPr>
            </w:pPr>
            <w:r>
              <w:rPr>
                <w:rFonts w:ascii="Calibri" w:eastAsia="Times New Roman" w:hAnsi="Calibri" w:cs="Calibri"/>
                <w:lang w:eastAsia="en-GB"/>
              </w:rPr>
              <w:t>0.85</w:t>
            </w:r>
          </w:p>
        </w:tc>
        <w:tc>
          <w:tcPr>
            <w:tcW w:w="1247" w:type="dxa"/>
            <w:tcBorders>
              <w:bottom w:val="single" w:sz="4" w:space="0" w:color="auto"/>
            </w:tcBorders>
            <w:shd w:val="clear" w:color="auto" w:fill="auto"/>
          </w:tcPr>
          <w:p w14:paraId="41023138" w14:textId="77777777" w:rsidR="00E66369" w:rsidRDefault="00E66369" w:rsidP="00534C40">
            <w:pPr>
              <w:spacing w:after="0" w:line="240" w:lineRule="auto"/>
              <w:rPr>
                <w:rFonts w:ascii="Calibri" w:eastAsia="Times New Roman" w:hAnsi="Calibri" w:cs="Calibri"/>
                <w:lang w:eastAsia="en-GB"/>
              </w:rPr>
            </w:pPr>
            <w:r>
              <w:rPr>
                <w:rFonts w:ascii="Calibri" w:eastAsia="Times New Roman" w:hAnsi="Calibri" w:cs="Calibri"/>
                <w:lang w:eastAsia="en-GB"/>
              </w:rPr>
              <w:t>0.26</w:t>
            </w:r>
          </w:p>
        </w:tc>
      </w:tr>
    </w:tbl>
    <w:p w14:paraId="52BF3D69" w14:textId="77777777" w:rsidR="00E66369" w:rsidRDefault="00E66369" w:rsidP="00E66369"/>
    <w:p w14:paraId="0DA3C009" w14:textId="77777777" w:rsidR="00E66369" w:rsidRPr="004303B2" w:rsidRDefault="00E66369" w:rsidP="00E66369">
      <w:pPr>
        <w:spacing w:after="0" w:line="240" w:lineRule="auto"/>
        <w:rPr>
          <w:b/>
        </w:rPr>
      </w:pPr>
      <w:r>
        <w:rPr>
          <w:b/>
        </w:rPr>
        <w:t xml:space="preserve">Supplementary </w:t>
      </w:r>
      <w:r w:rsidRPr="004303B2">
        <w:rPr>
          <w:b/>
        </w:rPr>
        <w:t>References</w:t>
      </w:r>
    </w:p>
    <w:p w14:paraId="5E0AD968"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Pr="000439B6">
        <w:rPr>
          <w:rFonts w:ascii="Calibri" w:hAnsi="Calibri" w:cs="Calibri"/>
          <w:noProof/>
          <w:szCs w:val="24"/>
        </w:rPr>
        <w:t>1.</w:t>
      </w:r>
      <w:r w:rsidRPr="000439B6">
        <w:rPr>
          <w:rFonts w:ascii="Calibri" w:hAnsi="Calibri" w:cs="Calibri"/>
          <w:noProof/>
          <w:szCs w:val="24"/>
        </w:rPr>
        <w:tab/>
        <w:t xml:space="preserve">Kummu, M., Taka, M., and Guillaume, J.H.A. (2018). Gridded global datasets for Gross Domestic Product and Human Development Index over 1990-2015. Sci. Data </w:t>
      </w:r>
      <w:r w:rsidRPr="000439B6">
        <w:rPr>
          <w:rFonts w:ascii="Calibri" w:hAnsi="Calibri" w:cs="Calibri"/>
          <w:i/>
          <w:iCs/>
          <w:noProof/>
          <w:szCs w:val="24"/>
        </w:rPr>
        <w:t>5</w:t>
      </w:r>
      <w:r w:rsidRPr="000439B6">
        <w:rPr>
          <w:rFonts w:ascii="Calibri" w:hAnsi="Calibri" w:cs="Calibri"/>
          <w:noProof/>
          <w:szCs w:val="24"/>
        </w:rPr>
        <w:t>, 1–15.</w:t>
      </w:r>
    </w:p>
    <w:p w14:paraId="61435733"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2.</w:t>
      </w:r>
      <w:r w:rsidRPr="000439B6">
        <w:rPr>
          <w:rFonts w:ascii="Calibri" w:hAnsi="Calibri" w:cs="Calibri"/>
          <w:noProof/>
          <w:szCs w:val="24"/>
        </w:rPr>
        <w:tab/>
        <w:t>Gridded Population of the World, Version 3 (GPWv3): Population Density Grid, Future Estimates (2005).</w:t>
      </w:r>
    </w:p>
    <w:p w14:paraId="6F75395C"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3.</w:t>
      </w:r>
      <w:r w:rsidRPr="000439B6">
        <w:rPr>
          <w:rFonts w:ascii="Calibri" w:hAnsi="Calibri" w:cs="Calibri"/>
          <w:noProof/>
          <w:szCs w:val="24"/>
        </w:rPr>
        <w:tab/>
        <w:t xml:space="preserve">Lesiv, M., Laso Bayas, J.C., See, L., Duerauer, M., Dahlia, D., Durando, N., Hazarika, R., Kumar Sahariah, P., Vakolyuk, M., Blyshchyk, V., et al. (2019). Estimating the global distribution of field size using crowdsourcing. Glob. Chang. Biol. </w:t>
      </w:r>
      <w:r w:rsidRPr="000439B6">
        <w:rPr>
          <w:rFonts w:ascii="Calibri" w:hAnsi="Calibri" w:cs="Calibri"/>
          <w:i/>
          <w:iCs/>
          <w:noProof/>
          <w:szCs w:val="24"/>
        </w:rPr>
        <w:t>25</w:t>
      </w:r>
      <w:r w:rsidRPr="000439B6">
        <w:rPr>
          <w:rFonts w:ascii="Calibri" w:hAnsi="Calibri" w:cs="Calibri"/>
          <w:noProof/>
          <w:szCs w:val="24"/>
        </w:rPr>
        <w:t>, 174–186.</w:t>
      </w:r>
    </w:p>
    <w:p w14:paraId="7F266598"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4.</w:t>
      </w:r>
      <w:r w:rsidRPr="000439B6">
        <w:rPr>
          <w:rFonts w:ascii="Calibri" w:hAnsi="Calibri" w:cs="Calibri"/>
          <w:noProof/>
          <w:szCs w:val="24"/>
        </w:rPr>
        <w:tab/>
        <w:t xml:space="preserve">FAO-AQUASTAT (2016). Food Agric. Organ. United Nations (FAO). AQUASTAT Database. </w:t>
      </w:r>
      <w:r w:rsidRPr="000439B6">
        <w:rPr>
          <w:rFonts w:ascii="Calibri" w:hAnsi="Calibri" w:cs="Calibri"/>
          <w:noProof/>
          <w:szCs w:val="24"/>
        </w:rPr>
        <w:lastRenderedPageBreak/>
        <w:t>http://www.fao.org/nr/water/aquastat/data/query/index.html?lang=en.</w:t>
      </w:r>
    </w:p>
    <w:p w14:paraId="7F147D10"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5.</w:t>
      </w:r>
      <w:r w:rsidRPr="000439B6">
        <w:rPr>
          <w:rFonts w:ascii="Calibri" w:hAnsi="Calibri" w:cs="Calibri"/>
          <w:noProof/>
          <w:szCs w:val="24"/>
        </w:rPr>
        <w:tab/>
        <w:t xml:space="preserve">Curtis, P.G., Slay, C.M., Harris, N.L., Tyukavina, A., and Hansen, M.C. (2018). Classifying drivers of global forest loss. Science (80-. ). </w:t>
      </w:r>
      <w:r w:rsidRPr="000439B6">
        <w:rPr>
          <w:rFonts w:ascii="Calibri" w:hAnsi="Calibri" w:cs="Calibri"/>
          <w:i/>
          <w:iCs/>
          <w:noProof/>
          <w:szCs w:val="24"/>
        </w:rPr>
        <w:t>361</w:t>
      </w:r>
      <w:r w:rsidRPr="000439B6">
        <w:rPr>
          <w:rFonts w:ascii="Calibri" w:hAnsi="Calibri" w:cs="Calibri"/>
          <w:noProof/>
          <w:szCs w:val="24"/>
        </w:rPr>
        <w:t>, 1108–1111.</w:t>
      </w:r>
    </w:p>
    <w:p w14:paraId="500ED0F6"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6.</w:t>
      </w:r>
      <w:r w:rsidRPr="000439B6">
        <w:rPr>
          <w:rFonts w:ascii="Calibri" w:hAnsi="Calibri" w:cs="Calibri"/>
          <w:noProof/>
          <w:szCs w:val="24"/>
        </w:rPr>
        <w:tab/>
        <w:t xml:space="preserve">You, L., Wood, S., Wood-Sichra, U., and Wu, W. (2014). Generating global crop distribution maps: From census to grid. Agric. Syst. </w:t>
      </w:r>
      <w:r w:rsidRPr="000439B6">
        <w:rPr>
          <w:rFonts w:ascii="Calibri" w:hAnsi="Calibri" w:cs="Calibri"/>
          <w:i/>
          <w:iCs/>
          <w:noProof/>
          <w:szCs w:val="24"/>
        </w:rPr>
        <w:t>127</w:t>
      </w:r>
      <w:r w:rsidRPr="000439B6">
        <w:rPr>
          <w:rFonts w:ascii="Calibri" w:hAnsi="Calibri" w:cs="Calibri"/>
          <w:noProof/>
          <w:szCs w:val="24"/>
        </w:rPr>
        <w:t>, 53–60.</w:t>
      </w:r>
    </w:p>
    <w:p w14:paraId="63735AD6"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7.</w:t>
      </w:r>
      <w:r w:rsidRPr="000439B6">
        <w:rPr>
          <w:rFonts w:ascii="Calibri" w:hAnsi="Calibri" w:cs="Calibri"/>
          <w:noProof/>
          <w:szCs w:val="24"/>
        </w:rPr>
        <w:tab/>
        <w:t xml:space="preserve">le Polain de Waroux, Y., Garrett, R.D., Graesser, J., Nolte, C., White, C., and Lambin, E.F. (2019). The Restructuring of South American Soy and Beef Production and Trade Under Changing Environmental Regulations. World Dev. </w:t>
      </w:r>
      <w:r w:rsidRPr="000439B6">
        <w:rPr>
          <w:rFonts w:ascii="Calibri" w:hAnsi="Calibri" w:cs="Calibri"/>
          <w:i/>
          <w:iCs/>
          <w:noProof/>
          <w:szCs w:val="24"/>
        </w:rPr>
        <w:t>121</w:t>
      </w:r>
      <w:r w:rsidRPr="000439B6">
        <w:rPr>
          <w:rFonts w:ascii="Calibri" w:hAnsi="Calibri" w:cs="Calibri"/>
          <w:noProof/>
          <w:szCs w:val="24"/>
        </w:rPr>
        <w:t>, 188–202.</w:t>
      </w:r>
    </w:p>
    <w:p w14:paraId="5B70AC0B"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8.</w:t>
      </w:r>
      <w:r w:rsidRPr="000439B6">
        <w:rPr>
          <w:rFonts w:ascii="Calibri" w:hAnsi="Calibri" w:cs="Calibri"/>
          <w:noProof/>
          <w:szCs w:val="24"/>
        </w:rPr>
        <w:tab/>
        <w:t xml:space="preserve">le Polain de Waroux, Y., Baumann, M., Gasparri, N.I., Gavier-Pizarro, G., Godar, J., Kuemmerle, T., Müller, R., Vázquez, F., Volante, J.N., and Meyfroidt, P. (2018). Rents, Actors, and the Expansion of Commodity Frontiers in the Gran Chaco. Ann. Am. Assoc. Geogr. </w:t>
      </w:r>
      <w:r w:rsidRPr="000439B6">
        <w:rPr>
          <w:rFonts w:ascii="Calibri" w:hAnsi="Calibri" w:cs="Calibri"/>
          <w:i/>
          <w:iCs/>
          <w:noProof/>
          <w:szCs w:val="24"/>
        </w:rPr>
        <w:t>108</w:t>
      </w:r>
      <w:r w:rsidRPr="000439B6">
        <w:rPr>
          <w:rFonts w:ascii="Calibri" w:hAnsi="Calibri" w:cs="Calibri"/>
          <w:noProof/>
          <w:szCs w:val="24"/>
        </w:rPr>
        <w:t>, 204–225.</w:t>
      </w:r>
    </w:p>
    <w:p w14:paraId="0C84F5D8"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9.</w:t>
      </w:r>
      <w:r w:rsidRPr="000439B6">
        <w:rPr>
          <w:rFonts w:ascii="Calibri" w:hAnsi="Calibri" w:cs="Calibri"/>
          <w:noProof/>
          <w:szCs w:val="24"/>
        </w:rPr>
        <w:tab/>
        <w:t xml:space="preserve">Song, X.P., Hansen, M.C., Stehman, S. V., Potapov, P. V., Tyukavina, A., Vermote, E.F., and Townshend, J.R. (2018). Global land change from 1982 to 2016. Nature </w:t>
      </w:r>
      <w:r w:rsidRPr="000439B6">
        <w:rPr>
          <w:rFonts w:ascii="Calibri" w:hAnsi="Calibri" w:cs="Calibri"/>
          <w:i/>
          <w:iCs/>
          <w:noProof/>
          <w:szCs w:val="24"/>
        </w:rPr>
        <w:t>560</w:t>
      </w:r>
      <w:r w:rsidRPr="000439B6">
        <w:rPr>
          <w:rFonts w:ascii="Calibri" w:hAnsi="Calibri" w:cs="Calibri"/>
          <w:noProof/>
          <w:szCs w:val="24"/>
        </w:rPr>
        <w:t>, 639–643.</w:t>
      </w:r>
    </w:p>
    <w:p w14:paraId="63D81CC2"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10.</w:t>
      </w:r>
      <w:r w:rsidRPr="000439B6">
        <w:rPr>
          <w:rFonts w:ascii="Calibri" w:hAnsi="Calibri" w:cs="Calibri"/>
          <w:noProof/>
          <w:szCs w:val="24"/>
        </w:rPr>
        <w:tab/>
        <w:t xml:space="preserve">Zalles, V., Hansen, M.C., Potapov, P. V., Stehman, S. V., Tyukavina, A., Pickens, A., Song, X.P., Adusei, B., Okpa, C., Aguilar, R., et al. (2019). Near doubling of Brazil’s intensive row crop area since 2000. Proc. Natl. Acad. Sci. U. S. A. </w:t>
      </w:r>
      <w:r w:rsidRPr="000439B6">
        <w:rPr>
          <w:rFonts w:ascii="Calibri" w:hAnsi="Calibri" w:cs="Calibri"/>
          <w:i/>
          <w:iCs/>
          <w:noProof/>
          <w:szCs w:val="24"/>
        </w:rPr>
        <w:t>116</w:t>
      </w:r>
      <w:r w:rsidRPr="000439B6">
        <w:rPr>
          <w:rFonts w:ascii="Calibri" w:hAnsi="Calibri" w:cs="Calibri"/>
          <w:noProof/>
          <w:szCs w:val="24"/>
        </w:rPr>
        <w:t>, 428–435.</w:t>
      </w:r>
    </w:p>
    <w:p w14:paraId="74D42EA4"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11.</w:t>
      </w:r>
      <w:r w:rsidRPr="000439B6">
        <w:rPr>
          <w:rFonts w:ascii="Calibri" w:hAnsi="Calibri" w:cs="Calibri"/>
          <w:noProof/>
          <w:szCs w:val="24"/>
        </w:rPr>
        <w:tab/>
        <w:t xml:space="preserve">Pérez-Hoyos, A., Rembold, F., Kerdiles, H., and Gallego, J. (2017). Comparison of global land cover datasets for cropland monitoring. Remote Sens. </w:t>
      </w:r>
      <w:r w:rsidRPr="000439B6">
        <w:rPr>
          <w:rFonts w:ascii="Calibri" w:hAnsi="Calibri" w:cs="Calibri"/>
          <w:i/>
          <w:iCs/>
          <w:noProof/>
          <w:szCs w:val="24"/>
        </w:rPr>
        <w:t>9</w:t>
      </w:r>
      <w:r w:rsidRPr="000439B6">
        <w:rPr>
          <w:rFonts w:ascii="Calibri" w:hAnsi="Calibri" w:cs="Calibri"/>
          <w:noProof/>
          <w:szCs w:val="24"/>
        </w:rPr>
        <w:t>.</w:t>
      </w:r>
    </w:p>
    <w:p w14:paraId="0B0E4690"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12.</w:t>
      </w:r>
      <w:r w:rsidRPr="000439B6">
        <w:rPr>
          <w:rFonts w:ascii="Calibri" w:hAnsi="Calibri" w:cs="Calibri"/>
          <w:noProof/>
          <w:szCs w:val="24"/>
        </w:rPr>
        <w:tab/>
        <w:t>Sulla-Menashe, D., and Friedl, M.A. (2018). User Guide to Collection 6 MODIS Land Cover (MCD12Q1 and MCD12C1) Product. 1–18.</w:t>
      </w:r>
    </w:p>
    <w:p w14:paraId="3DB5B4E4"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13.</w:t>
      </w:r>
      <w:r w:rsidRPr="000439B6">
        <w:rPr>
          <w:rFonts w:ascii="Calibri" w:hAnsi="Calibri" w:cs="Calibri"/>
          <w:noProof/>
          <w:szCs w:val="24"/>
        </w:rPr>
        <w:tab/>
        <w:t>Bingham, H.C., Deguignet, M., Lewis, E., Stewart, J., Juffe-Bignoli, D., MacSharry, B., Milam, A., and Kingston, N. (2019). User Manual for the World Database on Protected Areas and world database on other effective area-based conservation measures: 1.6.</w:t>
      </w:r>
    </w:p>
    <w:p w14:paraId="7EE9599A"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szCs w:val="24"/>
        </w:rPr>
      </w:pPr>
      <w:r w:rsidRPr="000439B6">
        <w:rPr>
          <w:rFonts w:ascii="Calibri" w:hAnsi="Calibri" w:cs="Calibri"/>
          <w:noProof/>
          <w:szCs w:val="24"/>
        </w:rPr>
        <w:t>14.</w:t>
      </w:r>
      <w:r w:rsidRPr="000439B6">
        <w:rPr>
          <w:rFonts w:ascii="Calibri" w:hAnsi="Calibri" w:cs="Calibri"/>
          <w:noProof/>
          <w:szCs w:val="24"/>
        </w:rPr>
        <w:tab/>
        <w:t xml:space="preserve">Doxsey-Whitfield, E., MacManus, K., Adamo, S.B., Pistolesi, L., Squires, J., Borkovska, O., and Baptista, S.R. (2015). Taking Advantage of the Improved Availability of Census Data: A First Look at the Gridded Population of the World, Version 4. Pap. Appl. Geogr. </w:t>
      </w:r>
      <w:r w:rsidRPr="000439B6">
        <w:rPr>
          <w:rFonts w:ascii="Calibri" w:hAnsi="Calibri" w:cs="Calibri"/>
          <w:i/>
          <w:iCs/>
          <w:noProof/>
          <w:szCs w:val="24"/>
        </w:rPr>
        <w:t>1</w:t>
      </w:r>
      <w:r w:rsidRPr="000439B6">
        <w:rPr>
          <w:rFonts w:ascii="Calibri" w:hAnsi="Calibri" w:cs="Calibri"/>
          <w:noProof/>
          <w:szCs w:val="24"/>
        </w:rPr>
        <w:t>, 226–234.</w:t>
      </w:r>
    </w:p>
    <w:p w14:paraId="591F73C9" w14:textId="77777777" w:rsidR="00E66369" w:rsidRPr="000439B6" w:rsidRDefault="00E66369" w:rsidP="00E66369">
      <w:pPr>
        <w:widowControl w:val="0"/>
        <w:autoSpaceDE w:val="0"/>
        <w:autoSpaceDN w:val="0"/>
        <w:adjustRightInd w:val="0"/>
        <w:spacing w:after="0" w:line="240" w:lineRule="auto"/>
        <w:ind w:left="640" w:hanging="640"/>
        <w:rPr>
          <w:rFonts w:ascii="Calibri" w:hAnsi="Calibri" w:cs="Calibri"/>
          <w:noProof/>
        </w:rPr>
      </w:pPr>
      <w:r w:rsidRPr="000439B6">
        <w:rPr>
          <w:rFonts w:ascii="Calibri" w:hAnsi="Calibri" w:cs="Calibri"/>
          <w:noProof/>
          <w:szCs w:val="24"/>
        </w:rPr>
        <w:t>15.</w:t>
      </w:r>
      <w:r w:rsidRPr="000439B6">
        <w:rPr>
          <w:rFonts w:ascii="Calibri" w:hAnsi="Calibri" w:cs="Calibri"/>
          <w:noProof/>
          <w:szCs w:val="24"/>
        </w:rPr>
        <w:tab/>
        <w:t xml:space="preserve">Eigenbrod, F., Anderson, B.J., Armsworth, P.R., Heinemeyer, A., Jackson, S.F., Parnell, M., Thomas, C.D., and Gaston, K.J. (2009). Ecosystem service benefits of contrasting conservation strategies in a human-dominated region. Proc. R. Soc. B Biol. Sci. </w:t>
      </w:r>
      <w:r w:rsidRPr="000439B6">
        <w:rPr>
          <w:rFonts w:ascii="Calibri" w:hAnsi="Calibri" w:cs="Calibri"/>
          <w:i/>
          <w:iCs/>
          <w:noProof/>
          <w:szCs w:val="24"/>
        </w:rPr>
        <w:t>276</w:t>
      </w:r>
      <w:r w:rsidRPr="000439B6">
        <w:rPr>
          <w:rFonts w:ascii="Calibri" w:hAnsi="Calibri" w:cs="Calibri"/>
          <w:noProof/>
          <w:szCs w:val="24"/>
        </w:rPr>
        <w:t>, 2903–2911.</w:t>
      </w:r>
    </w:p>
    <w:p w14:paraId="26A9D630" w14:textId="77777777" w:rsidR="00E66369" w:rsidRDefault="00E66369" w:rsidP="00E66369">
      <w:pPr>
        <w:spacing w:after="0" w:line="240" w:lineRule="auto"/>
      </w:pPr>
      <w:r>
        <w:fldChar w:fldCharType="end"/>
      </w:r>
    </w:p>
    <w:p w14:paraId="257CD2A3" w14:textId="77777777" w:rsidR="00E66369" w:rsidRPr="007804E7" w:rsidRDefault="00E66369" w:rsidP="00C03B20">
      <w:pPr>
        <w:widowControl w:val="0"/>
        <w:spacing w:line="240" w:lineRule="auto"/>
      </w:pPr>
    </w:p>
    <w:sectPr w:rsidR="00E66369" w:rsidRPr="007804E7" w:rsidSect="00E35C27">
      <w:footerReference w:type="default" r:id="rId33"/>
      <w:pgSz w:w="11906" w:h="16838"/>
      <w:pgMar w:top="1440" w:right="1440" w:bottom="1440" w:left="1440" w:header="0" w:footer="708" w:gutter="0"/>
      <w:lnNumType w:countBy="1" w:restart="continuous"/>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BC295F" w14:textId="77777777" w:rsidR="002600F8" w:rsidRDefault="002600F8">
      <w:pPr>
        <w:spacing w:after="0" w:line="240" w:lineRule="auto"/>
      </w:pPr>
      <w:r>
        <w:separator/>
      </w:r>
    </w:p>
  </w:endnote>
  <w:endnote w:type="continuationSeparator" w:id="0">
    <w:p w14:paraId="5D2464BE" w14:textId="77777777" w:rsidR="002600F8" w:rsidRDefault="00260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Lohit Devanagari">
    <w:altName w:val="Calibri"/>
    <w:panose1 w:val="00000000000000000000"/>
    <w:charset w:val="00"/>
    <w:family w:val="roman"/>
    <w:notTrueType/>
    <w:pitch w:val="default"/>
  </w:font>
  <w:font w:name="DejaVu San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AF2F" w14:textId="77777777" w:rsidR="00E66369" w:rsidRDefault="00E66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9C21" w14:textId="77777777" w:rsidR="00E66369" w:rsidRDefault="00E66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D93EC" w14:textId="77777777" w:rsidR="00E66369" w:rsidRDefault="00E663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298417"/>
      <w:docPartObj>
        <w:docPartGallery w:val="Page Numbers (Bottom of Page)"/>
        <w:docPartUnique/>
      </w:docPartObj>
    </w:sdtPr>
    <w:sdtContent>
      <w:p w14:paraId="6AEEDA7D" w14:textId="77777777" w:rsidR="00E66369" w:rsidRDefault="00E66369">
        <w:pPr>
          <w:pStyle w:val="Footer"/>
          <w:jc w:val="right"/>
        </w:pPr>
        <w:r>
          <w:fldChar w:fldCharType="begin"/>
        </w:r>
        <w:r>
          <w:instrText>PAGE</w:instrText>
        </w:r>
        <w:r>
          <w:fldChar w:fldCharType="separate"/>
        </w:r>
        <w:r>
          <w:rPr>
            <w:noProof/>
          </w:rPr>
          <w:t>27</w:t>
        </w:r>
        <w:r>
          <w:fldChar w:fldCharType="end"/>
        </w:r>
      </w:p>
      <w:p w14:paraId="6840E49E" w14:textId="77777777" w:rsidR="00E66369" w:rsidRDefault="00E66369">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905371"/>
      <w:docPartObj>
        <w:docPartGallery w:val="Page Numbers (Bottom of Page)"/>
        <w:docPartUnique/>
      </w:docPartObj>
    </w:sdtPr>
    <w:sdtEndPr/>
    <w:sdtContent>
      <w:p w14:paraId="55DAFB1F" w14:textId="09D1427E" w:rsidR="00A9492F" w:rsidRDefault="00A9492F">
        <w:pPr>
          <w:pStyle w:val="Footer"/>
          <w:jc w:val="right"/>
        </w:pPr>
        <w:r>
          <w:fldChar w:fldCharType="begin"/>
        </w:r>
        <w:r>
          <w:instrText>PAGE</w:instrText>
        </w:r>
        <w:r>
          <w:fldChar w:fldCharType="separate"/>
        </w:r>
        <w:r>
          <w:rPr>
            <w:noProof/>
          </w:rPr>
          <w:t>21</w:t>
        </w:r>
        <w:r>
          <w:fldChar w:fldCharType="end"/>
        </w:r>
      </w:p>
      <w:p w14:paraId="4CE0BC7D" w14:textId="77777777" w:rsidR="00A9492F" w:rsidRDefault="002600F8">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0530B" w14:textId="77777777" w:rsidR="002600F8" w:rsidRDefault="002600F8">
      <w:pPr>
        <w:spacing w:after="0" w:line="240" w:lineRule="auto"/>
      </w:pPr>
      <w:r>
        <w:separator/>
      </w:r>
    </w:p>
  </w:footnote>
  <w:footnote w:type="continuationSeparator" w:id="0">
    <w:p w14:paraId="2AA24860" w14:textId="77777777" w:rsidR="002600F8" w:rsidRDefault="00260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3ED04" w14:textId="77777777" w:rsidR="00E66369" w:rsidRDefault="00E66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E5378" w14:textId="77777777" w:rsidR="00E66369" w:rsidRDefault="00E663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0E558" w14:textId="77777777" w:rsidR="00E66369" w:rsidRDefault="00E66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A2696"/>
    <w:multiLevelType w:val="multilevel"/>
    <w:tmpl w:val="10FAA9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0512E08"/>
    <w:multiLevelType w:val="multilevel"/>
    <w:tmpl w:val="502C3F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7F3672"/>
    <w:multiLevelType w:val="multilevel"/>
    <w:tmpl w:val="0792D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de-DE"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55B"/>
    <w:rsid w:val="00007E63"/>
    <w:rsid w:val="00011059"/>
    <w:rsid w:val="00023D61"/>
    <w:rsid w:val="000271FA"/>
    <w:rsid w:val="0003493D"/>
    <w:rsid w:val="0006004C"/>
    <w:rsid w:val="00072F62"/>
    <w:rsid w:val="0007606A"/>
    <w:rsid w:val="000816CE"/>
    <w:rsid w:val="00087C23"/>
    <w:rsid w:val="000952FA"/>
    <w:rsid w:val="000956BF"/>
    <w:rsid w:val="00097A52"/>
    <w:rsid w:val="000A77AD"/>
    <w:rsid w:val="000B0635"/>
    <w:rsid w:val="000B1355"/>
    <w:rsid w:val="000E70F3"/>
    <w:rsid w:val="000F06B4"/>
    <w:rsid w:val="001056C6"/>
    <w:rsid w:val="0010617E"/>
    <w:rsid w:val="00106D33"/>
    <w:rsid w:val="001075E7"/>
    <w:rsid w:val="0011292B"/>
    <w:rsid w:val="00116880"/>
    <w:rsid w:val="001221A5"/>
    <w:rsid w:val="00126220"/>
    <w:rsid w:val="00127813"/>
    <w:rsid w:val="001309A8"/>
    <w:rsid w:val="00132863"/>
    <w:rsid w:val="0014448E"/>
    <w:rsid w:val="00165FF4"/>
    <w:rsid w:val="001665A4"/>
    <w:rsid w:val="00167BF7"/>
    <w:rsid w:val="00167C4A"/>
    <w:rsid w:val="00171F6B"/>
    <w:rsid w:val="001803C0"/>
    <w:rsid w:val="00181546"/>
    <w:rsid w:val="00187773"/>
    <w:rsid w:val="00192313"/>
    <w:rsid w:val="001B29E7"/>
    <w:rsid w:val="001B4C84"/>
    <w:rsid w:val="001C018C"/>
    <w:rsid w:val="001C0716"/>
    <w:rsid w:val="001C0E93"/>
    <w:rsid w:val="001C1632"/>
    <w:rsid w:val="001D551C"/>
    <w:rsid w:val="001E0E33"/>
    <w:rsid w:val="001E28E3"/>
    <w:rsid w:val="001E514E"/>
    <w:rsid w:val="001E61E1"/>
    <w:rsid w:val="001E623E"/>
    <w:rsid w:val="001E7970"/>
    <w:rsid w:val="001F5396"/>
    <w:rsid w:val="001F7266"/>
    <w:rsid w:val="00207637"/>
    <w:rsid w:val="002159D1"/>
    <w:rsid w:val="00216C8A"/>
    <w:rsid w:val="0024294F"/>
    <w:rsid w:val="00245D40"/>
    <w:rsid w:val="00256F89"/>
    <w:rsid w:val="002600F8"/>
    <w:rsid w:val="0026281C"/>
    <w:rsid w:val="002737F2"/>
    <w:rsid w:val="00275EB2"/>
    <w:rsid w:val="002811E4"/>
    <w:rsid w:val="00282E20"/>
    <w:rsid w:val="002838BC"/>
    <w:rsid w:val="002972D0"/>
    <w:rsid w:val="002A45A7"/>
    <w:rsid w:val="002B331C"/>
    <w:rsid w:val="002B3C30"/>
    <w:rsid w:val="002B3E75"/>
    <w:rsid w:val="002C59CD"/>
    <w:rsid w:val="002D049D"/>
    <w:rsid w:val="002F3099"/>
    <w:rsid w:val="00303C83"/>
    <w:rsid w:val="00321AE7"/>
    <w:rsid w:val="00326994"/>
    <w:rsid w:val="00333D70"/>
    <w:rsid w:val="003626E2"/>
    <w:rsid w:val="003642B1"/>
    <w:rsid w:val="003A2532"/>
    <w:rsid w:val="003C7BE2"/>
    <w:rsid w:val="003E090A"/>
    <w:rsid w:val="003E0B36"/>
    <w:rsid w:val="003E62D6"/>
    <w:rsid w:val="003F3E6B"/>
    <w:rsid w:val="00405A55"/>
    <w:rsid w:val="0040791F"/>
    <w:rsid w:val="004118A7"/>
    <w:rsid w:val="0041298A"/>
    <w:rsid w:val="004175D3"/>
    <w:rsid w:val="004267B0"/>
    <w:rsid w:val="00430C38"/>
    <w:rsid w:val="00432736"/>
    <w:rsid w:val="00440D58"/>
    <w:rsid w:val="0044213C"/>
    <w:rsid w:val="00443222"/>
    <w:rsid w:val="0044669D"/>
    <w:rsid w:val="00465170"/>
    <w:rsid w:val="00473096"/>
    <w:rsid w:val="00475942"/>
    <w:rsid w:val="00481868"/>
    <w:rsid w:val="00490F4E"/>
    <w:rsid w:val="00492BF9"/>
    <w:rsid w:val="00495C9A"/>
    <w:rsid w:val="004A17F3"/>
    <w:rsid w:val="004A2A1D"/>
    <w:rsid w:val="004B4BE8"/>
    <w:rsid w:val="004D51BD"/>
    <w:rsid w:val="004E34F0"/>
    <w:rsid w:val="004E5F4B"/>
    <w:rsid w:val="004F7EF3"/>
    <w:rsid w:val="005156AD"/>
    <w:rsid w:val="00544AEF"/>
    <w:rsid w:val="00552BF0"/>
    <w:rsid w:val="00563BD5"/>
    <w:rsid w:val="00563F7E"/>
    <w:rsid w:val="005803AB"/>
    <w:rsid w:val="00585506"/>
    <w:rsid w:val="005968C3"/>
    <w:rsid w:val="005B2A52"/>
    <w:rsid w:val="005B755B"/>
    <w:rsid w:val="005C3AA6"/>
    <w:rsid w:val="005D3F72"/>
    <w:rsid w:val="005F6946"/>
    <w:rsid w:val="006006DF"/>
    <w:rsid w:val="006044A0"/>
    <w:rsid w:val="0061551A"/>
    <w:rsid w:val="00620365"/>
    <w:rsid w:val="00641049"/>
    <w:rsid w:val="0064773B"/>
    <w:rsid w:val="00647E5D"/>
    <w:rsid w:val="00655EB0"/>
    <w:rsid w:val="00661F5D"/>
    <w:rsid w:val="00670890"/>
    <w:rsid w:val="00673E48"/>
    <w:rsid w:val="006767A7"/>
    <w:rsid w:val="0069225C"/>
    <w:rsid w:val="006A0A13"/>
    <w:rsid w:val="006A1683"/>
    <w:rsid w:val="006B08F2"/>
    <w:rsid w:val="006D08EA"/>
    <w:rsid w:val="006E3FE2"/>
    <w:rsid w:val="006F4A56"/>
    <w:rsid w:val="006F6B4C"/>
    <w:rsid w:val="007102DE"/>
    <w:rsid w:val="007205E2"/>
    <w:rsid w:val="00720724"/>
    <w:rsid w:val="00742B91"/>
    <w:rsid w:val="007446B2"/>
    <w:rsid w:val="0075694E"/>
    <w:rsid w:val="007613F8"/>
    <w:rsid w:val="0076430E"/>
    <w:rsid w:val="0077202A"/>
    <w:rsid w:val="007804E7"/>
    <w:rsid w:val="00785222"/>
    <w:rsid w:val="00787513"/>
    <w:rsid w:val="00795730"/>
    <w:rsid w:val="007C39A8"/>
    <w:rsid w:val="007C4E26"/>
    <w:rsid w:val="007E5EAF"/>
    <w:rsid w:val="007F0C27"/>
    <w:rsid w:val="007F1B3D"/>
    <w:rsid w:val="00810697"/>
    <w:rsid w:val="00811D66"/>
    <w:rsid w:val="0082037D"/>
    <w:rsid w:val="00821FC9"/>
    <w:rsid w:val="00827081"/>
    <w:rsid w:val="00831E61"/>
    <w:rsid w:val="00843B34"/>
    <w:rsid w:val="00844967"/>
    <w:rsid w:val="00850D11"/>
    <w:rsid w:val="0086242C"/>
    <w:rsid w:val="00865972"/>
    <w:rsid w:val="008A0479"/>
    <w:rsid w:val="008D19B5"/>
    <w:rsid w:val="008F0772"/>
    <w:rsid w:val="008F1A16"/>
    <w:rsid w:val="008F6BF2"/>
    <w:rsid w:val="0090126B"/>
    <w:rsid w:val="00903CA9"/>
    <w:rsid w:val="009220EA"/>
    <w:rsid w:val="009365EB"/>
    <w:rsid w:val="00943B37"/>
    <w:rsid w:val="00946F30"/>
    <w:rsid w:val="00950588"/>
    <w:rsid w:val="00955256"/>
    <w:rsid w:val="009760BC"/>
    <w:rsid w:val="009A4166"/>
    <w:rsid w:val="009D2CF1"/>
    <w:rsid w:val="009D630F"/>
    <w:rsid w:val="009E0F59"/>
    <w:rsid w:val="009F4C4F"/>
    <w:rsid w:val="009F7E38"/>
    <w:rsid w:val="00A05360"/>
    <w:rsid w:val="00A07753"/>
    <w:rsid w:val="00A22B59"/>
    <w:rsid w:val="00A3272B"/>
    <w:rsid w:val="00A41DC0"/>
    <w:rsid w:val="00A459AA"/>
    <w:rsid w:val="00A52181"/>
    <w:rsid w:val="00A81A76"/>
    <w:rsid w:val="00A92E9F"/>
    <w:rsid w:val="00A9492F"/>
    <w:rsid w:val="00AB0C8F"/>
    <w:rsid w:val="00AC2556"/>
    <w:rsid w:val="00AC3976"/>
    <w:rsid w:val="00AC5393"/>
    <w:rsid w:val="00AC7E5E"/>
    <w:rsid w:val="00AD0CAB"/>
    <w:rsid w:val="00AE21A9"/>
    <w:rsid w:val="00B30226"/>
    <w:rsid w:val="00B420C2"/>
    <w:rsid w:val="00B4492F"/>
    <w:rsid w:val="00B5211A"/>
    <w:rsid w:val="00B524A4"/>
    <w:rsid w:val="00BA622A"/>
    <w:rsid w:val="00BC0994"/>
    <w:rsid w:val="00BD2F91"/>
    <w:rsid w:val="00BD33EC"/>
    <w:rsid w:val="00BE1BE6"/>
    <w:rsid w:val="00BE5637"/>
    <w:rsid w:val="00BE7D47"/>
    <w:rsid w:val="00C03B20"/>
    <w:rsid w:val="00C15600"/>
    <w:rsid w:val="00C26E3D"/>
    <w:rsid w:val="00C307BE"/>
    <w:rsid w:val="00C40B09"/>
    <w:rsid w:val="00C42EDD"/>
    <w:rsid w:val="00C43A35"/>
    <w:rsid w:val="00C45C1D"/>
    <w:rsid w:val="00C52D3C"/>
    <w:rsid w:val="00C55F21"/>
    <w:rsid w:val="00C569FB"/>
    <w:rsid w:val="00C56F33"/>
    <w:rsid w:val="00C74335"/>
    <w:rsid w:val="00C800ED"/>
    <w:rsid w:val="00C83031"/>
    <w:rsid w:val="00C91002"/>
    <w:rsid w:val="00CA2533"/>
    <w:rsid w:val="00CB0BA5"/>
    <w:rsid w:val="00CC0D8F"/>
    <w:rsid w:val="00CE311E"/>
    <w:rsid w:val="00CF49A4"/>
    <w:rsid w:val="00D24611"/>
    <w:rsid w:val="00D32F70"/>
    <w:rsid w:val="00D34A88"/>
    <w:rsid w:val="00D41860"/>
    <w:rsid w:val="00D44E58"/>
    <w:rsid w:val="00D45FF0"/>
    <w:rsid w:val="00D51E4A"/>
    <w:rsid w:val="00D52C3A"/>
    <w:rsid w:val="00D53DC3"/>
    <w:rsid w:val="00D5601A"/>
    <w:rsid w:val="00D70E2D"/>
    <w:rsid w:val="00D72360"/>
    <w:rsid w:val="00D809DC"/>
    <w:rsid w:val="00D81B87"/>
    <w:rsid w:val="00DA1E6C"/>
    <w:rsid w:val="00DA6532"/>
    <w:rsid w:val="00DB06FF"/>
    <w:rsid w:val="00DC14F7"/>
    <w:rsid w:val="00DD5732"/>
    <w:rsid w:val="00DF0D20"/>
    <w:rsid w:val="00DF0FBC"/>
    <w:rsid w:val="00DF670B"/>
    <w:rsid w:val="00E0298F"/>
    <w:rsid w:val="00E04F26"/>
    <w:rsid w:val="00E273DD"/>
    <w:rsid w:val="00E35C27"/>
    <w:rsid w:val="00E66369"/>
    <w:rsid w:val="00E86D4C"/>
    <w:rsid w:val="00E876EB"/>
    <w:rsid w:val="00EA0593"/>
    <w:rsid w:val="00EB7C8D"/>
    <w:rsid w:val="00EC18E5"/>
    <w:rsid w:val="00ED5576"/>
    <w:rsid w:val="00ED6AF7"/>
    <w:rsid w:val="00F22AE6"/>
    <w:rsid w:val="00F44104"/>
    <w:rsid w:val="00F527D2"/>
    <w:rsid w:val="00F5654D"/>
    <w:rsid w:val="00FA0760"/>
    <w:rsid w:val="00FD1109"/>
    <w:rsid w:val="00FD4B77"/>
    <w:rsid w:val="00FF46DE"/>
    <w:rsid w:val="00FF6D5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06EC7"/>
  <w15:docId w15:val="{C86BD83A-D011-44D9-99AD-805EDEFF4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uiPriority w:val="9"/>
    <w:qFormat/>
    <w:rsid w:val="004003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240B96"/>
    <w:rPr>
      <w:sz w:val="16"/>
      <w:szCs w:val="16"/>
    </w:rPr>
  </w:style>
  <w:style w:type="character" w:customStyle="1" w:styleId="CommentTextChar">
    <w:name w:val="Comment Text Char"/>
    <w:basedOn w:val="DefaultParagraphFont"/>
    <w:link w:val="CommentText"/>
    <w:uiPriority w:val="99"/>
    <w:qFormat/>
    <w:rsid w:val="00240B96"/>
    <w:rPr>
      <w:sz w:val="20"/>
      <w:szCs w:val="20"/>
    </w:rPr>
  </w:style>
  <w:style w:type="character" w:customStyle="1" w:styleId="CommentSubjectChar">
    <w:name w:val="Comment Subject Char"/>
    <w:basedOn w:val="CommentTextChar"/>
    <w:link w:val="CommentSubject"/>
    <w:uiPriority w:val="99"/>
    <w:semiHidden/>
    <w:qFormat/>
    <w:rsid w:val="00240B96"/>
    <w:rPr>
      <w:b/>
      <w:bCs/>
      <w:sz w:val="20"/>
      <w:szCs w:val="20"/>
    </w:rPr>
  </w:style>
  <w:style w:type="character" w:customStyle="1" w:styleId="BalloonTextChar">
    <w:name w:val="Balloon Text Char"/>
    <w:basedOn w:val="DefaultParagraphFont"/>
    <w:link w:val="BalloonText"/>
    <w:uiPriority w:val="99"/>
    <w:semiHidden/>
    <w:qFormat/>
    <w:rsid w:val="00240B96"/>
    <w:rPr>
      <w:rFonts w:ascii="Segoe UI" w:hAnsi="Segoe UI" w:cs="Segoe UI"/>
      <w:sz w:val="18"/>
      <w:szCs w:val="18"/>
    </w:rPr>
  </w:style>
  <w:style w:type="character" w:customStyle="1" w:styleId="InternetLink">
    <w:name w:val="Internet Link"/>
    <w:basedOn w:val="DefaultParagraphFont"/>
    <w:uiPriority w:val="99"/>
    <w:unhideWhenUsed/>
    <w:rsid w:val="00C27886"/>
    <w:rPr>
      <w:color w:val="0563C1" w:themeColor="hyperlink"/>
      <w:u w:val="single"/>
    </w:rPr>
  </w:style>
  <w:style w:type="character" w:customStyle="1" w:styleId="HeaderChar">
    <w:name w:val="Header Char"/>
    <w:basedOn w:val="DefaultParagraphFont"/>
    <w:link w:val="Header"/>
    <w:uiPriority w:val="99"/>
    <w:qFormat/>
    <w:rsid w:val="00ED4B74"/>
  </w:style>
  <w:style w:type="character" w:customStyle="1" w:styleId="FooterChar">
    <w:name w:val="Footer Char"/>
    <w:basedOn w:val="DefaultParagraphFont"/>
    <w:link w:val="Footer"/>
    <w:uiPriority w:val="99"/>
    <w:qFormat/>
    <w:rsid w:val="00ED4B74"/>
  </w:style>
  <w:style w:type="character" w:customStyle="1" w:styleId="apple-converted-space">
    <w:name w:val="apple-converted-space"/>
    <w:basedOn w:val="DefaultParagraphFont"/>
    <w:qFormat/>
    <w:rsid w:val="00D32B5D"/>
  </w:style>
  <w:style w:type="character" w:customStyle="1" w:styleId="PeterVerburg">
    <w:name w:val="Peter Verburg"/>
    <w:semiHidden/>
    <w:qFormat/>
    <w:rsid w:val="00F015C7"/>
    <w:rPr>
      <w:rFonts w:ascii="Arial" w:hAnsi="Arial" w:cs="Arial"/>
      <w:color w:val="auto"/>
      <w:sz w:val="20"/>
      <w:szCs w:val="20"/>
    </w:rPr>
  </w:style>
  <w:style w:type="character" w:styleId="FollowedHyperlink">
    <w:name w:val="FollowedHyperlink"/>
    <w:basedOn w:val="DefaultParagraphFont"/>
    <w:uiPriority w:val="99"/>
    <w:semiHidden/>
    <w:unhideWhenUsed/>
    <w:qFormat/>
    <w:rsid w:val="00C53C89"/>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style>
  <w:style w:type="character" w:customStyle="1" w:styleId="HTMLPreformattedChar">
    <w:name w:val="HTML Preformatted Char"/>
    <w:basedOn w:val="DefaultParagraphFont"/>
    <w:link w:val="HTMLPreformatted"/>
    <w:uiPriority w:val="99"/>
    <w:qFormat/>
    <w:rsid w:val="00773522"/>
    <w:rPr>
      <w:rFonts w:ascii="Courier New" w:eastAsia="Times New Roman" w:hAnsi="Courier New" w:cs="Courier New"/>
      <w:sz w:val="20"/>
      <w:szCs w:val="20"/>
      <w:lang w:eastAsia="en-GB"/>
    </w:rPr>
  </w:style>
  <w:style w:type="character" w:customStyle="1" w:styleId="gnkrckgcgsb">
    <w:name w:val="gnkrckgcgsb"/>
    <w:basedOn w:val="DefaultParagraphFont"/>
    <w:qFormat/>
    <w:rsid w:val="00773522"/>
  </w:style>
  <w:style w:type="character" w:styleId="PlaceholderText">
    <w:name w:val="Placeholder Text"/>
    <w:basedOn w:val="DefaultParagraphFont"/>
    <w:uiPriority w:val="99"/>
    <w:semiHidden/>
    <w:qFormat/>
    <w:rsid w:val="007753D7"/>
    <w:rPr>
      <w:color w:val="808080"/>
    </w:rPr>
  </w:style>
  <w:style w:type="character" w:customStyle="1" w:styleId="berschrift1Zchn">
    <w:name w:val="Überschrift 1 Zchn"/>
    <w:basedOn w:val="DefaultParagraphFont"/>
    <w:uiPriority w:val="9"/>
    <w:qFormat/>
    <w:rsid w:val="00400329"/>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9A1AE0"/>
    <w:rPr>
      <w:i/>
      <w:iCs/>
    </w:rPr>
  </w:style>
  <w:style w:type="character" w:styleId="Strong">
    <w:name w:val="Strong"/>
    <w:basedOn w:val="DefaultParagraphFont"/>
    <w:uiPriority w:val="22"/>
    <w:qFormat/>
    <w:rsid w:val="00505212"/>
    <w:rPr>
      <w:b/>
      <w:bCs/>
    </w:rPr>
  </w:style>
  <w:style w:type="character" w:customStyle="1" w:styleId="articlecitationpages">
    <w:name w:val="articlecitation_pages"/>
    <w:basedOn w:val="DefaultParagraphFont"/>
    <w:qFormat/>
    <w:rsid w:val="00505212"/>
  </w:style>
  <w:style w:type="character" w:customStyle="1" w:styleId="pl-v">
    <w:name w:val="pl-v"/>
    <w:basedOn w:val="DefaultParagraphFont"/>
    <w:qFormat/>
    <w:rsid w:val="00BC5F7D"/>
  </w:style>
  <w:style w:type="character" w:customStyle="1" w:styleId="pl-k">
    <w:name w:val="pl-k"/>
    <w:basedOn w:val="DefaultParagraphFont"/>
    <w:qFormat/>
    <w:rsid w:val="00BC5F7D"/>
  </w:style>
  <w:style w:type="character" w:customStyle="1" w:styleId="pl-smi">
    <w:name w:val="pl-smi"/>
    <w:basedOn w:val="DefaultParagraphFont"/>
    <w:qFormat/>
    <w:rsid w:val="00BC5F7D"/>
  </w:style>
  <w:style w:type="character" w:customStyle="1" w:styleId="pl-c1">
    <w:name w:val="pl-c1"/>
    <w:basedOn w:val="DefaultParagraphFont"/>
    <w:qFormat/>
    <w:rsid w:val="00BC5F7D"/>
  </w:style>
  <w:style w:type="character" w:customStyle="1" w:styleId="UnresolvedMention1">
    <w:name w:val="Unresolved Mention1"/>
    <w:basedOn w:val="DefaultParagraphFont"/>
    <w:uiPriority w:val="99"/>
    <w:semiHidden/>
    <w:unhideWhenUsed/>
    <w:qFormat/>
    <w:rsid w:val="004940DC"/>
    <w:rPr>
      <w:color w:val="605E5C"/>
      <w:shd w:val="clear" w:color="auto" w:fill="E1DFDD"/>
    </w:rPr>
  </w:style>
  <w:style w:type="character" w:customStyle="1" w:styleId="ListLabel11">
    <w:name w:val="ListLabel 11"/>
    <w:qFormat/>
    <w:rPr>
      <w:i/>
    </w:rPr>
  </w:style>
  <w:style w:type="character" w:customStyle="1" w:styleId="ListLabel12">
    <w:name w:val="ListLabel 12"/>
    <w:qFormat/>
    <w:rPr>
      <w:rFonts w:eastAsia="SimSun" w:cs="Arial"/>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SimSun" w:cs="Calibri"/>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eastAsia="SimSun" w:cs="Calibri"/>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eastAsia="SimSun" w:cs="Arial"/>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eastAsia="SimSun" w:cs="Calibri"/>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CommentText">
    <w:name w:val="annotation text"/>
    <w:basedOn w:val="Normal"/>
    <w:link w:val="CommentTextChar"/>
    <w:uiPriority w:val="99"/>
    <w:unhideWhenUsed/>
    <w:qFormat/>
    <w:rsid w:val="00240B96"/>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240B96"/>
    <w:rPr>
      <w:b/>
      <w:bCs/>
    </w:rPr>
  </w:style>
  <w:style w:type="paragraph" w:styleId="BalloonText">
    <w:name w:val="Balloon Text"/>
    <w:basedOn w:val="Normal"/>
    <w:link w:val="BalloonTextChar"/>
    <w:uiPriority w:val="99"/>
    <w:semiHidden/>
    <w:unhideWhenUsed/>
    <w:qFormat/>
    <w:rsid w:val="00240B96"/>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ED4B74"/>
    <w:pPr>
      <w:tabs>
        <w:tab w:val="center" w:pos="4513"/>
        <w:tab w:val="right" w:pos="9026"/>
      </w:tabs>
      <w:spacing w:after="0" w:line="240" w:lineRule="auto"/>
    </w:pPr>
  </w:style>
  <w:style w:type="paragraph" w:styleId="Footer">
    <w:name w:val="footer"/>
    <w:basedOn w:val="Normal"/>
    <w:link w:val="FooterChar"/>
    <w:uiPriority w:val="99"/>
    <w:unhideWhenUsed/>
    <w:rsid w:val="00ED4B74"/>
    <w:pPr>
      <w:tabs>
        <w:tab w:val="center" w:pos="4513"/>
        <w:tab w:val="right" w:pos="9026"/>
      </w:tabs>
      <w:spacing w:after="0" w:line="240" w:lineRule="auto"/>
    </w:pPr>
  </w:style>
  <w:style w:type="paragraph" w:customStyle="1" w:styleId="xmsonormal">
    <w:name w:val="x_msonormal"/>
    <w:basedOn w:val="Normal"/>
    <w:uiPriority w:val="99"/>
    <w:qFormat/>
    <w:rsid w:val="00185292"/>
    <w:pPr>
      <w:spacing w:after="0" w:line="240" w:lineRule="auto"/>
    </w:pPr>
    <w:rPr>
      <w:rFonts w:ascii="Times New Roman" w:hAnsi="Times New Roman" w:cs="Times New Roman"/>
      <w:sz w:val="24"/>
      <w:szCs w:val="24"/>
    </w:rPr>
  </w:style>
  <w:style w:type="paragraph" w:styleId="Revision">
    <w:name w:val="Revision"/>
    <w:uiPriority w:val="99"/>
    <w:semiHidden/>
    <w:qFormat/>
    <w:rsid w:val="00E556AF"/>
  </w:style>
  <w:style w:type="paragraph" w:styleId="HTMLPreformatted">
    <w:name w:val="HTML Preformatted"/>
    <w:basedOn w:val="Normal"/>
    <w:link w:val="HTMLPreformattedChar"/>
    <w:uiPriority w:val="99"/>
    <w:unhideWhenUsed/>
    <w:qFormat/>
    <w:rsid w:val="00773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paragraph" w:styleId="ListParagraph">
    <w:name w:val="List Paragraph"/>
    <w:basedOn w:val="Normal"/>
    <w:uiPriority w:val="34"/>
    <w:qFormat/>
    <w:rsid w:val="00773522"/>
    <w:pPr>
      <w:ind w:left="720"/>
      <w:contextualSpacing/>
    </w:pPr>
    <w:rPr>
      <w:rFonts w:eastAsiaTheme="minorHAnsi"/>
      <w:lang w:eastAsia="en-US"/>
    </w:rPr>
  </w:style>
  <w:style w:type="paragraph" w:styleId="TOCHeading">
    <w:name w:val="TOC Heading"/>
    <w:basedOn w:val="Heading1"/>
    <w:uiPriority w:val="39"/>
    <w:unhideWhenUsed/>
    <w:qFormat/>
    <w:rsid w:val="00400329"/>
    <w:rPr>
      <w:lang w:val="en-US" w:eastAsia="en-US"/>
    </w:rPr>
  </w:style>
  <w:style w:type="table" w:styleId="TableGrid">
    <w:name w:val="Table Grid"/>
    <w:basedOn w:val="TableNormal"/>
    <w:uiPriority w:val="39"/>
    <w:rsid w:val="00116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0365"/>
    <w:rPr>
      <w:color w:val="0563C1" w:themeColor="hyperlink"/>
      <w:u w:val="single"/>
    </w:rPr>
  </w:style>
  <w:style w:type="character" w:customStyle="1" w:styleId="UnresolvedMention2">
    <w:name w:val="Unresolved Mention2"/>
    <w:basedOn w:val="DefaultParagraphFont"/>
    <w:uiPriority w:val="99"/>
    <w:semiHidden/>
    <w:unhideWhenUsed/>
    <w:rsid w:val="00620365"/>
    <w:rPr>
      <w:color w:val="605E5C"/>
      <w:shd w:val="clear" w:color="auto" w:fill="E1DFDD"/>
    </w:rPr>
  </w:style>
  <w:style w:type="paragraph" w:styleId="PlainText">
    <w:name w:val="Plain Text"/>
    <w:basedOn w:val="Normal"/>
    <w:link w:val="PlainTextChar"/>
    <w:uiPriority w:val="99"/>
    <w:unhideWhenUsed/>
    <w:rsid w:val="00FA0760"/>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FA0760"/>
    <w:rPr>
      <w:rFonts w:ascii="Calibri" w:eastAsiaTheme="minorHAnsi" w:hAnsi="Calibri"/>
      <w:szCs w:val="21"/>
      <w:lang w:eastAsia="en-US"/>
    </w:rPr>
  </w:style>
  <w:style w:type="character" w:styleId="LineNumber">
    <w:name w:val="line number"/>
    <w:basedOn w:val="DefaultParagraphFont"/>
    <w:uiPriority w:val="99"/>
    <w:semiHidden/>
    <w:unhideWhenUsed/>
    <w:rsid w:val="00E35C27"/>
  </w:style>
  <w:style w:type="character" w:styleId="UnresolvedMention">
    <w:name w:val="Unresolved Mention"/>
    <w:basedOn w:val="DefaultParagraphFont"/>
    <w:uiPriority w:val="99"/>
    <w:semiHidden/>
    <w:unhideWhenUsed/>
    <w:rsid w:val="00E04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102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p.earth" TargetMode="External"/><Relationship Id="rId24" Type="http://schemas.openxmlformats.org/officeDocument/2006/relationships/header" Target="header2.xm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dx.doi.org/10.17632/rtgdj2jmk6.1" TargetMode="Externa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f.eigenbrod@soton.ac.u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hyperlink" Target="mailto:f.eigenbrod@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B55D6-A940-42A5-9F32-92DC2D9DB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84481</Words>
  <Characters>481544</Characters>
  <Application>Microsoft Office Word</Application>
  <DocSecurity>0</DocSecurity>
  <Lines>4012</Lines>
  <Paragraphs>1129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Southampton</Company>
  <LinksUpToDate>false</LinksUpToDate>
  <CharactersWithSpaces>564896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Eigenbrod F.</dc:creator>
  <dc:description/>
  <cp:lastModifiedBy>Felix Eigenbrod</cp:lastModifiedBy>
  <cp:revision>3</cp:revision>
  <cp:lastPrinted>2019-03-04T09:04:00Z</cp:lastPrinted>
  <dcterms:created xsi:type="dcterms:W3CDTF">2020-09-25T08:36:00Z</dcterms:created>
  <dcterms:modified xsi:type="dcterms:W3CDTF">2020-09-25T08:40:00Z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University of Southampton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http://www.zotero.org/styles/one-earth</vt:lpwstr>
  </property>
  <property fmtid="{D5CDD505-2E9C-101B-9397-08002B2CF9AE}" pid="8" name="Mendeley Document_1">
    <vt:lpwstr>True</vt:lpwstr>
  </property>
  <property fmtid="{D5CDD505-2E9C-101B-9397-08002B2CF9AE}" pid="9" name="Mendeley Recent Style Id 0_1">
    <vt:lpwstr>http://www.zotero.org/styles/apa</vt:lpwstr>
  </property>
  <property fmtid="{D5CDD505-2E9C-101B-9397-08002B2CF9AE}" pid="10" name="Mendeley Recent Style Id 1_1">
    <vt:lpwstr>http://www.zotero.org/styles/chicago-author-date</vt:lpwstr>
  </property>
  <property fmtid="{D5CDD505-2E9C-101B-9397-08002B2CF9AE}" pid="11" name="Mendeley Recent Style Id 2_1">
    <vt:lpwstr>http://www.zotero.org/styles/harvard-cite-them-right</vt:lpwstr>
  </property>
  <property fmtid="{D5CDD505-2E9C-101B-9397-08002B2CF9AE}" pid="12" name="Mendeley Recent Style Id 3_1">
    <vt:lpwstr>http://www.zotero.org/styles/global-environmental-change</vt:lpwstr>
  </property>
  <property fmtid="{D5CDD505-2E9C-101B-9397-08002B2CF9AE}" pid="13" name="Mendeley Recent Style Id 4_1">
    <vt:lpwstr>http://www.zotero.org/styles/ieee</vt:lpwstr>
  </property>
  <property fmtid="{D5CDD505-2E9C-101B-9397-08002B2CF9AE}" pid="14" name="Mendeley Recent Style Id 5_1">
    <vt:lpwstr>http://www.zotero.org/styles/modern-humanities-research-association</vt:lpwstr>
  </property>
  <property fmtid="{D5CDD505-2E9C-101B-9397-08002B2CF9AE}" pid="15" name="Mendeley Recent Style Id 6_1">
    <vt:lpwstr>http://www.zotero.org/styles/modern-language-association</vt:lpwstr>
  </property>
  <property fmtid="{D5CDD505-2E9C-101B-9397-08002B2CF9AE}" pid="16" name="Mendeley Recent Style Id 7_1">
    <vt:lpwstr>http://www.zotero.org/styles/nature-communications</vt:lpwstr>
  </property>
  <property fmtid="{D5CDD505-2E9C-101B-9397-08002B2CF9AE}" pid="17" name="Mendeley Recent Style Id 8_1">
    <vt:lpwstr>http://www.zotero.org/styles/one-earth</vt:lpwstr>
  </property>
  <property fmtid="{D5CDD505-2E9C-101B-9397-08002B2CF9AE}" pid="18" name="Mendeley Recent Style Id 9_1">
    <vt:lpwstr>http://www.zotero.org/styles/pnas</vt:lpwstr>
  </property>
  <property fmtid="{D5CDD505-2E9C-101B-9397-08002B2CF9AE}" pid="19" name="Mendeley Recent Style Name 0_1">
    <vt:lpwstr>American Psychological Association 6th edition</vt:lpwstr>
  </property>
  <property fmtid="{D5CDD505-2E9C-101B-9397-08002B2CF9AE}" pid="20" name="Mendeley Recent Style Name 1_1">
    <vt:lpwstr>Chicago Manual of Style 17th edition (author-date)</vt:lpwstr>
  </property>
  <property fmtid="{D5CDD505-2E9C-101B-9397-08002B2CF9AE}" pid="21" name="Mendeley Recent Style Name 2_1">
    <vt:lpwstr>Cite Them Right 10th edition - Harvard</vt:lpwstr>
  </property>
  <property fmtid="{D5CDD505-2E9C-101B-9397-08002B2CF9AE}" pid="22" name="Mendeley Recent Style Name 3_1">
    <vt:lpwstr>Global Environmental Change</vt:lpwstr>
  </property>
  <property fmtid="{D5CDD505-2E9C-101B-9397-08002B2CF9AE}" pid="23" name="Mendeley Recent Style Name 4_1">
    <vt:lpwstr>IEEE</vt:lpwstr>
  </property>
  <property fmtid="{D5CDD505-2E9C-101B-9397-08002B2CF9AE}" pid="24" name="Mendeley Recent Style Name 5_1">
    <vt:lpwstr>Modern Humanities Research Association 3rd edition (note with bibliography)</vt:lpwstr>
  </property>
  <property fmtid="{D5CDD505-2E9C-101B-9397-08002B2CF9AE}" pid="25" name="Mendeley Recent Style Name 6_1">
    <vt:lpwstr>Modern Language Association 8th edition</vt:lpwstr>
  </property>
  <property fmtid="{D5CDD505-2E9C-101B-9397-08002B2CF9AE}" pid="26" name="Mendeley Recent Style Name 7_1">
    <vt:lpwstr>Nature Communications</vt:lpwstr>
  </property>
  <property fmtid="{D5CDD505-2E9C-101B-9397-08002B2CF9AE}" pid="27" name="Mendeley Recent Style Name 8_1">
    <vt:lpwstr>One Earth</vt:lpwstr>
  </property>
  <property fmtid="{D5CDD505-2E9C-101B-9397-08002B2CF9AE}" pid="28" name="Mendeley Recent Style Name 9_1">
    <vt:lpwstr>Proceedings of the National Academy of Sciences of the United States of America</vt:lpwstr>
  </property>
  <property fmtid="{D5CDD505-2E9C-101B-9397-08002B2CF9AE}" pid="29" name="Mendeley Unique User Id_1">
    <vt:lpwstr>00cd1da7-9552-3dec-965b-833920c60ac4</vt:lpwstr>
  </property>
  <property fmtid="{D5CDD505-2E9C-101B-9397-08002B2CF9AE}" pid="30" name="ScaleCrop">
    <vt:bool>false</vt:bool>
  </property>
  <property fmtid="{D5CDD505-2E9C-101B-9397-08002B2CF9AE}" pid="31" name="ShareDoc">
    <vt:bool>false</vt:bool>
  </property>
</Properties>
</file>