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720AB7" w14:textId="77777777" w:rsidR="00DF61F8" w:rsidRPr="00DF61F8" w:rsidRDefault="00DF61F8" w:rsidP="00DF61F8">
      <w:pPr>
        <w:spacing w:line="480" w:lineRule="auto"/>
        <w:rPr>
          <w:rFonts w:asciiTheme="majorHAnsi" w:eastAsiaTheme="majorEastAsia" w:hAnsiTheme="majorHAnsi" w:cstheme="majorBidi"/>
          <w:spacing w:val="-10"/>
          <w:kern w:val="28"/>
          <w:sz w:val="36"/>
          <w:szCs w:val="56"/>
        </w:rPr>
      </w:pPr>
      <w:bookmarkStart w:id="0" w:name="_GoBack"/>
      <w:bookmarkEnd w:id="0"/>
      <w:r w:rsidRPr="00DF61F8">
        <w:rPr>
          <w:rFonts w:asciiTheme="majorHAnsi" w:eastAsiaTheme="majorEastAsia" w:hAnsiTheme="majorHAnsi" w:cstheme="majorBidi"/>
          <w:spacing w:val="-10"/>
          <w:kern w:val="28"/>
          <w:sz w:val="36"/>
          <w:szCs w:val="56"/>
        </w:rPr>
        <w:t>Clinical characteristics, symptoms and outcomes of 1054 adults presenting to hospital with suspected COVID-19: a comparison of patients with and without SARS-CoV-2 infection</w:t>
      </w:r>
    </w:p>
    <w:p w14:paraId="279D8B1B" w14:textId="77777777" w:rsidR="00131DB9" w:rsidRDefault="00131DB9" w:rsidP="00131DB9">
      <w:pPr>
        <w:spacing w:line="480" w:lineRule="auto"/>
      </w:pPr>
      <w:r>
        <w:t xml:space="preserve">Nathan J </w:t>
      </w:r>
      <w:proofErr w:type="spellStart"/>
      <w:r>
        <w:t>Brendish</w:t>
      </w:r>
      <w:r>
        <w:rPr>
          <w:vertAlign w:val="superscript"/>
        </w:rPr>
        <w:t>a,b</w:t>
      </w:r>
      <w:proofErr w:type="spellEnd"/>
      <w:r>
        <w:t xml:space="preserve">*, Stephen </w:t>
      </w:r>
      <w:proofErr w:type="spellStart"/>
      <w:r>
        <w:t>Poole</w:t>
      </w:r>
      <w:r>
        <w:rPr>
          <w:vertAlign w:val="superscript"/>
        </w:rPr>
        <w:t>a</w:t>
      </w:r>
      <w:r w:rsidRPr="00A93BE0">
        <w:rPr>
          <w:vertAlign w:val="superscript"/>
        </w:rPr>
        <w:t>,</w:t>
      </w:r>
      <w:r>
        <w:rPr>
          <w:vertAlign w:val="superscript"/>
        </w:rPr>
        <w:t>b</w:t>
      </w:r>
      <w:r w:rsidRPr="00A93BE0">
        <w:rPr>
          <w:vertAlign w:val="superscript"/>
        </w:rPr>
        <w:t>,</w:t>
      </w:r>
      <w:r>
        <w:rPr>
          <w:vertAlign w:val="superscript"/>
        </w:rPr>
        <w:t>c</w:t>
      </w:r>
      <w:proofErr w:type="spellEnd"/>
      <w:r>
        <w:t xml:space="preserve">, Vasanth V </w:t>
      </w:r>
      <w:proofErr w:type="spellStart"/>
      <w:r>
        <w:t>Naidu</w:t>
      </w:r>
      <w:r>
        <w:rPr>
          <w:vertAlign w:val="superscript"/>
        </w:rPr>
        <w:t>b</w:t>
      </w:r>
      <w:proofErr w:type="spellEnd"/>
      <w:r>
        <w:t xml:space="preserve">, </w:t>
      </w:r>
      <w:r w:rsidRPr="0086380F">
        <w:t>Christopher</w:t>
      </w:r>
      <w:r>
        <w:t xml:space="preserve"> T</w:t>
      </w:r>
      <w:r w:rsidRPr="0086380F">
        <w:t xml:space="preserve"> </w:t>
      </w:r>
      <w:proofErr w:type="spellStart"/>
      <w:r w:rsidRPr="0086380F">
        <w:t>Mansbridge</w:t>
      </w:r>
      <w:r>
        <w:rPr>
          <w:vertAlign w:val="superscript"/>
        </w:rPr>
        <w:t>b</w:t>
      </w:r>
      <w:proofErr w:type="spellEnd"/>
      <w:r w:rsidRPr="0086380F">
        <w:t xml:space="preserve">, Nicholas </w:t>
      </w:r>
      <w:proofErr w:type="spellStart"/>
      <w:r w:rsidRPr="0086380F">
        <w:t>Norton</w:t>
      </w:r>
      <w:r>
        <w:rPr>
          <w:vertAlign w:val="superscript"/>
        </w:rPr>
        <w:t>b</w:t>
      </w:r>
      <w:proofErr w:type="spellEnd"/>
      <w:r w:rsidRPr="0086380F">
        <w:t>,</w:t>
      </w:r>
      <w:r>
        <w:t xml:space="preserve"> Florina </w:t>
      </w:r>
      <w:proofErr w:type="spellStart"/>
      <w:r>
        <w:t>Borca</w:t>
      </w:r>
      <w:r>
        <w:rPr>
          <w:vertAlign w:val="superscript"/>
        </w:rPr>
        <w:t>c</w:t>
      </w:r>
      <w:r w:rsidRPr="00E910A7">
        <w:rPr>
          <w:vertAlign w:val="superscript"/>
        </w:rPr>
        <w:t>,</w:t>
      </w:r>
      <w:r>
        <w:rPr>
          <w:vertAlign w:val="superscript"/>
        </w:rPr>
        <w:t>d</w:t>
      </w:r>
      <w:proofErr w:type="spellEnd"/>
      <w:r>
        <w:t xml:space="preserve">, Hang TT </w:t>
      </w:r>
      <w:proofErr w:type="spellStart"/>
      <w:r>
        <w:t>Phan</w:t>
      </w:r>
      <w:r>
        <w:rPr>
          <w:vertAlign w:val="superscript"/>
        </w:rPr>
        <w:t>c</w:t>
      </w:r>
      <w:r w:rsidRPr="00E910A7">
        <w:rPr>
          <w:vertAlign w:val="superscript"/>
        </w:rPr>
        <w:t>,</w:t>
      </w:r>
      <w:r>
        <w:rPr>
          <w:vertAlign w:val="superscript"/>
        </w:rPr>
        <w:t>d</w:t>
      </w:r>
      <w:proofErr w:type="spellEnd"/>
      <w:r>
        <w:t>,</w:t>
      </w:r>
      <w:r w:rsidRPr="0086380F">
        <w:t xml:space="preserve"> Helen </w:t>
      </w:r>
      <w:proofErr w:type="spellStart"/>
      <w:r w:rsidRPr="0086380F">
        <w:t>Wheeler</w:t>
      </w:r>
      <w:r>
        <w:rPr>
          <w:vertAlign w:val="superscript"/>
        </w:rPr>
        <w:t>c</w:t>
      </w:r>
      <w:proofErr w:type="spellEnd"/>
      <w:r w:rsidRPr="0086380F">
        <w:t>,</w:t>
      </w:r>
      <w:r>
        <w:t xml:space="preserve"> Matthew </w:t>
      </w:r>
      <w:proofErr w:type="spellStart"/>
      <w:r>
        <w:t>Harvey</w:t>
      </w:r>
      <w:r>
        <w:rPr>
          <w:vertAlign w:val="superscript"/>
        </w:rPr>
        <w:t>c</w:t>
      </w:r>
      <w:proofErr w:type="spellEnd"/>
      <w:r>
        <w:t>,</w:t>
      </w:r>
      <w:r w:rsidRPr="0086380F">
        <w:t xml:space="preserve"> Laura </w:t>
      </w:r>
      <w:proofErr w:type="spellStart"/>
      <w:r w:rsidRPr="0086380F">
        <w:t>Presland</w:t>
      </w:r>
      <w:r>
        <w:rPr>
          <w:vertAlign w:val="superscript"/>
        </w:rPr>
        <w:t>c</w:t>
      </w:r>
      <w:proofErr w:type="spellEnd"/>
      <w:r>
        <w:t xml:space="preserve"> and Tristan W </w:t>
      </w:r>
      <w:proofErr w:type="spellStart"/>
      <w:r>
        <w:t>Clark</w:t>
      </w:r>
      <w:r>
        <w:rPr>
          <w:vertAlign w:val="superscript"/>
        </w:rPr>
        <w:t>a,b,c,e</w:t>
      </w:r>
      <w:proofErr w:type="spellEnd"/>
    </w:p>
    <w:p w14:paraId="0C0EE5BD" w14:textId="7EFD9CA2" w:rsidR="00131DB9" w:rsidRDefault="00131DB9" w:rsidP="00131DB9">
      <w:pPr>
        <w:spacing w:line="480" w:lineRule="auto"/>
      </w:pPr>
      <w:r>
        <w:t>a. School of Clinical and Experimental Sciences, Faculty of Medicine, University of</w:t>
      </w:r>
      <w:r w:rsidR="001D4F5B">
        <w:t xml:space="preserve"> </w:t>
      </w:r>
      <w:r>
        <w:t>Southampton, Southampton, UK</w:t>
      </w:r>
    </w:p>
    <w:p w14:paraId="3290351D" w14:textId="77777777" w:rsidR="00131DB9" w:rsidRDefault="00131DB9" w:rsidP="00131DB9">
      <w:pPr>
        <w:spacing w:line="480" w:lineRule="auto"/>
      </w:pPr>
      <w:r>
        <w:t>b. Department of Infection, University Hospital Southampton NHS Foundation Trust,</w:t>
      </w:r>
    </w:p>
    <w:p w14:paraId="61526EE0" w14:textId="77777777" w:rsidR="00131DB9" w:rsidRDefault="00131DB9" w:rsidP="00131DB9">
      <w:pPr>
        <w:spacing w:line="480" w:lineRule="auto"/>
      </w:pPr>
      <w:r>
        <w:t>Southampton, UK</w:t>
      </w:r>
    </w:p>
    <w:p w14:paraId="3274834F" w14:textId="77777777" w:rsidR="00131DB9" w:rsidRDefault="00131DB9" w:rsidP="00131DB9">
      <w:pPr>
        <w:spacing w:line="480" w:lineRule="auto"/>
      </w:pPr>
      <w:r>
        <w:t>c. NIHR Southampton Biomedical Research Centre, University Hospital Southampton NHS</w:t>
      </w:r>
    </w:p>
    <w:p w14:paraId="3ADE31CF" w14:textId="77777777" w:rsidR="00131DB9" w:rsidRDefault="00131DB9" w:rsidP="00131DB9">
      <w:pPr>
        <w:spacing w:line="480" w:lineRule="auto"/>
      </w:pPr>
      <w:r>
        <w:t>Foundation Trust, Southampton, UK</w:t>
      </w:r>
    </w:p>
    <w:p w14:paraId="7929B04E" w14:textId="77777777" w:rsidR="00131DB9" w:rsidRDefault="00131DB9" w:rsidP="00131DB9">
      <w:pPr>
        <w:spacing w:line="480" w:lineRule="auto"/>
      </w:pPr>
      <w:r>
        <w:t>d. Clinical Informatics Research Unit, Faculty of Medicine, University of Southampton,</w:t>
      </w:r>
    </w:p>
    <w:p w14:paraId="4F5DA5EF" w14:textId="77777777" w:rsidR="00131DB9" w:rsidRDefault="00131DB9" w:rsidP="00131DB9">
      <w:pPr>
        <w:spacing w:line="480" w:lineRule="auto"/>
      </w:pPr>
      <w:r>
        <w:t>Southampton, UK</w:t>
      </w:r>
    </w:p>
    <w:p w14:paraId="56B39691" w14:textId="77777777" w:rsidR="00131DB9" w:rsidRDefault="00131DB9" w:rsidP="00131DB9">
      <w:pPr>
        <w:spacing w:line="480" w:lineRule="auto"/>
      </w:pPr>
      <w:r>
        <w:t>e. NIHR Post Doctoral Fellowship Programme, UK</w:t>
      </w:r>
    </w:p>
    <w:p w14:paraId="42A42339" w14:textId="77777777" w:rsidR="00131DB9" w:rsidRDefault="00131DB9" w:rsidP="00131DB9">
      <w:pPr>
        <w:spacing w:line="360" w:lineRule="auto"/>
      </w:pPr>
      <w:r>
        <w:t xml:space="preserve">* Corresponding author: </w:t>
      </w:r>
    </w:p>
    <w:p w14:paraId="2DE826C9" w14:textId="77777777" w:rsidR="00131DB9" w:rsidRDefault="00131DB9" w:rsidP="00131DB9">
      <w:pPr>
        <w:spacing w:line="360" w:lineRule="auto"/>
        <w:rPr>
          <w:rFonts w:ascii="Calibri" w:hAnsi="Calibri" w:cs="Calibri"/>
          <w:szCs w:val="24"/>
        </w:rPr>
      </w:pPr>
      <w:r>
        <w:t xml:space="preserve">Dr Nathan J Brendish BSc MBBS MRCP DMCC PhD, NIHR Clinical Lecturer in Infectious Diseases and General Internal Medicine. LF81, South Academic Block, University of Southampton, Southampton General Hospital, Tremona Road, Southampton SO16 6YD, UK. </w:t>
      </w:r>
      <w:r w:rsidRPr="003F30E0">
        <w:rPr>
          <w:rStyle w:val="Hyperlink"/>
        </w:rPr>
        <w:t>n.brendish@soton.ac.uk</w:t>
      </w:r>
      <w:r>
        <w:t xml:space="preserve"> </w:t>
      </w:r>
      <w:r w:rsidRPr="000F6B3E">
        <w:rPr>
          <w:rFonts w:ascii="Calibri" w:hAnsi="Calibri" w:cs="Calibri"/>
          <w:szCs w:val="24"/>
        </w:rPr>
        <w:t>0044(0)2381208560</w:t>
      </w:r>
    </w:p>
    <w:p w14:paraId="3E24C822" w14:textId="77777777" w:rsidR="00131DB9" w:rsidRPr="00131DB9" w:rsidRDefault="00131DB9" w:rsidP="00131DB9">
      <w:r w:rsidRPr="00131DB9">
        <w:t>Running title: Features of 1054 hospitalised adults tested for COVID-19</w:t>
      </w:r>
    </w:p>
    <w:p w14:paraId="65F3E958" w14:textId="77777777" w:rsidR="007244E0" w:rsidRDefault="00025725" w:rsidP="00131DB9">
      <w:pPr>
        <w:pStyle w:val="Heading1"/>
      </w:pPr>
      <w:r>
        <w:lastRenderedPageBreak/>
        <w:t>Abstract</w:t>
      </w:r>
    </w:p>
    <w:p w14:paraId="594BD060" w14:textId="77777777" w:rsidR="00B1708D" w:rsidRPr="001D7678" w:rsidRDefault="00D80243" w:rsidP="005E2925">
      <w:pPr>
        <w:pStyle w:val="Heading2"/>
      </w:pPr>
      <w:r>
        <w:t>Objectives</w:t>
      </w:r>
    </w:p>
    <w:p w14:paraId="4C85D2EF" w14:textId="487E5486" w:rsidR="00B1708D" w:rsidRDefault="00EB4A2C" w:rsidP="008010B5">
      <w:pPr>
        <w:spacing w:line="480" w:lineRule="auto"/>
      </w:pPr>
      <w:r>
        <w:t>Most</w:t>
      </w:r>
      <w:r w:rsidR="00D41A39">
        <w:t xml:space="preserve"> </w:t>
      </w:r>
      <w:r w:rsidR="0077652A">
        <w:t>reports describing</w:t>
      </w:r>
      <w:r w:rsidR="00D41A39">
        <w:t xml:space="preserve"> </w:t>
      </w:r>
      <w:r w:rsidR="007D0E25">
        <w:t xml:space="preserve">the characteristics of </w:t>
      </w:r>
      <w:r w:rsidR="00B1708D">
        <w:t xml:space="preserve">patients hospitalised with COVID-19 lack a comparator group. </w:t>
      </w:r>
      <w:r w:rsidR="005926A2">
        <w:t>We</w:t>
      </w:r>
      <w:r w:rsidR="00B1708D">
        <w:t xml:space="preserve"> </w:t>
      </w:r>
      <w:r w:rsidR="008B3CF1">
        <w:t>compared</w:t>
      </w:r>
      <w:r w:rsidR="00B1708D">
        <w:t xml:space="preserve"> </w:t>
      </w:r>
      <w:r w:rsidR="00721752">
        <w:t>clinical characteristics,</w:t>
      </w:r>
      <w:r w:rsidR="00B1708D">
        <w:t xml:space="preserve"> symptoms</w:t>
      </w:r>
      <w:r w:rsidR="00721752">
        <w:t>, and outcomes</w:t>
      </w:r>
      <w:r w:rsidR="00B1708D">
        <w:t xml:space="preserve"> of adults presenting to hospital </w:t>
      </w:r>
      <w:r w:rsidR="00F40D80">
        <w:t xml:space="preserve">during the </w:t>
      </w:r>
      <w:r w:rsidR="00CA120E">
        <w:t>p</w:t>
      </w:r>
      <w:r w:rsidR="00B349E9">
        <w:t xml:space="preserve">andemic </w:t>
      </w:r>
      <w:r w:rsidR="00F40D80">
        <w:t xml:space="preserve">first wave, </w:t>
      </w:r>
      <w:r w:rsidR="00B1708D">
        <w:t xml:space="preserve">who tested </w:t>
      </w:r>
      <w:r w:rsidR="005926A2">
        <w:t xml:space="preserve">positive and negative </w:t>
      </w:r>
      <w:r w:rsidR="00B1708D">
        <w:t>for SARS-CoV-2.</w:t>
      </w:r>
    </w:p>
    <w:p w14:paraId="44F9EF6B" w14:textId="77777777" w:rsidR="00B1708D" w:rsidRPr="001D7678" w:rsidRDefault="00B1708D" w:rsidP="005E2925">
      <w:pPr>
        <w:pStyle w:val="Heading2"/>
      </w:pPr>
      <w:r w:rsidRPr="001D7678">
        <w:t>Methods</w:t>
      </w:r>
    </w:p>
    <w:p w14:paraId="4362B87C" w14:textId="03C297D7" w:rsidR="00961D58" w:rsidRDefault="007D0E25" w:rsidP="008010B5">
      <w:pPr>
        <w:spacing w:line="480" w:lineRule="auto"/>
      </w:pPr>
      <w:r>
        <w:t>Detailed p</w:t>
      </w:r>
      <w:r w:rsidR="00B1708D">
        <w:t>atient da</w:t>
      </w:r>
      <w:r w:rsidR="004E6AE3">
        <w:t>ta</w:t>
      </w:r>
      <w:r w:rsidR="00602BA3">
        <w:t xml:space="preserve"> was </w:t>
      </w:r>
      <w:r>
        <w:t xml:space="preserve">obtained </w:t>
      </w:r>
      <w:r w:rsidR="004E6AE3">
        <w:t>fr</w:t>
      </w:r>
      <w:r w:rsidR="00602BA3">
        <w:t xml:space="preserve">om </w:t>
      </w:r>
      <w:r w:rsidR="000664D4">
        <w:t>a large</w:t>
      </w:r>
      <w:r w:rsidR="00961D58">
        <w:t xml:space="preserve">, controlled, non-randomised trial of </w:t>
      </w:r>
      <w:r w:rsidR="00EB4A2C">
        <w:t>molecular point-of-care testing</w:t>
      </w:r>
      <w:r w:rsidR="00961D58">
        <w:t xml:space="preserve"> v</w:t>
      </w:r>
      <w:r w:rsidR="00B349E9">
        <w:t>ersu</w:t>
      </w:r>
      <w:r w:rsidR="00961D58">
        <w:t>s laboratory</w:t>
      </w:r>
      <w:r w:rsidR="005926A2">
        <w:t xml:space="preserve"> </w:t>
      </w:r>
      <w:r w:rsidR="00CE2E14">
        <w:t>RT-</w:t>
      </w:r>
      <w:r w:rsidR="005926A2">
        <w:t>PCR</w:t>
      </w:r>
      <w:r w:rsidR="00961D58">
        <w:t xml:space="preserve"> for SARS-CoV-2 in adults presenting to a large UK hospital with suspected COVID-19</w:t>
      </w:r>
      <w:r w:rsidR="00FE4BCA">
        <w:t>.</w:t>
      </w:r>
    </w:p>
    <w:p w14:paraId="3D4C3401" w14:textId="77777777" w:rsidR="00B1708D" w:rsidRPr="001D7678" w:rsidRDefault="004E6AE3" w:rsidP="005E2925">
      <w:pPr>
        <w:pStyle w:val="Heading2"/>
      </w:pPr>
      <w:r w:rsidRPr="001D7678">
        <w:t>Results</w:t>
      </w:r>
    </w:p>
    <w:p w14:paraId="2F73E4BA" w14:textId="748AD5C6" w:rsidR="00EC6DF6" w:rsidRPr="00852D22" w:rsidRDefault="000160E4" w:rsidP="008010B5">
      <w:pPr>
        <w:spacing w:line="480" w:lineRule="auto"/>
        <w:rPr>
          <w:rFonts w:ascii="Calibri" w:eastAsia="Times New Roman" w:hAnsi="Calibri" w:cs="Times New Roman"/>
          <w:lang w:eastAsia="en-GB"/>
        </w:rPr>
      </w:pPr>
      <w:r>
        <w:t xml:space="preserve">1054 patients were included: </w:t>
      </w:r>
      <w:r w:rsidR="00B1708D">
        <w:t>352</w:t>
      </w:r>
      <w:r>
        <w:t xml:space="preserve"> (33.4%)</w:t>
      </w:r>
      <w:r w:rsidR="00B1708D">
        <w:t xml:space="preserve"> tested positive and 702</w:t>
      </w:r>
      <w:r>
        <w:t xml:space="preserve"> (66.6%)</w:t>
      </w:r>
      <w:r w:rsidR="0077652A">
        <w:t xml:space="preserve"> negative</w:t>
      </w:r>
      <w:r w:rsidR="004E6AE3">
        <w:t xml:space="preserve">. </w:t>
      </w:r>
      <w:r w:rsidR="00762058" w:rsidRPr="00762058">
        <w:t>13.4%</w:t>
      </w:r>
      <w:r w:rsidR="00774566">
        <w:t xml:space="preserve"> (47/352)</w:t>
      </w:r>
      <w:r w:rsidR="00A936F4">
        <w:t xml:space="preserve"> COVID-19-</w:t>
      </w:r>
      <w:r w:rsidR="00762058">
        <w:t xml:space="preserve">positive </w:t>
      </w:r>
      <w:r w:rsidR="00FE4BCA">
        <w:t>patients</w:t>
      </w:r>
      <w:r w:rsidR="00762058">
        <w:t xml:space="preserve"> had COPD versus 1</w:t>
      </w:r>
      <w:r w:rsidR="00762058" w:rsidRPr="00762058">
        <w:t>8.7%</w:t>
      </w:r>
      <w:r w:rsidR="00774566">
        <w:t xml:space="preserve"> (131/702)</w:t>
      </w:r>
      <w:r w:rsidR="00A936F4">
        <w:t xml:space="preserve"> </w:t>
      </w:r>
      <w:r w:rsidR="00FE4BCA">
        <w:t>of</w:t>
      </w:r>
      <w:r w:rsidR="00A936F4">
        <w:t xml:space="preserve"> COVID-19-</w:t>
      </w:r>
      <w:r w:rsidR="00762058">
        <w:t xml:space="preserve">negative </w:t>
      </w:r>
      <w:r w:rsidR="00FE4BCA">
        <w:t>patients</w:t>
      </w:r>
      <w:r w:rsidR="00762058">
        <w:t xml:space="preserve"> (</w:t>
      </w:r>
      <w:r w:rsidR="007D0E25">
        <w:t>difference</w:t>
      </w:r>
      <w:r w:rsidR="00852D22">
        <w:t>=</w:t>
      </w:r>
      <w:r w:rsidR="007D0E25">
        <w:t>5.3%</w:t>
      </w:r>
      <w:r w:rsidR="00852D22">
        <w:t xml:space="preserve"> </w:t>
      </w:r>
      <w:r w:rsidR="00CA120E">
        <w:t>[</w:t>
      </w:r>
      <w:r w:rsidR="007D0E25">
        <w:t xml:space="preserve">95%CI </w:t>
      </w:r>
      <w:r w:rsidR="00852D22">
        <w:rPr>
          <w:rFonts w:ascii="Calibri" w:eastAsia="Times New Roman" w:hAnsi="Calibri" w:cs="Times New Roman"/>
          <w:lang w:eastAsia="en-GB"/>
        </w:rPr>
        <w:t>-9.7% to -0.5%</w:t>
      </w:r>
      <w:r w:rsidR="00CA120E">
        <w:rPr>
          <w:rFonts w:ascii="Calibri" w:eastAsia="Times New Roman" w:hAnsi="Calibri" w:cs="Times New Roman"/>
          <w:lang w:eastAsia="en-GB"/>
        </w:rPr>
        <w:t>]</w:t>
      </w:r>
      <w:r w:rsidR="00852D22">
        <w:rPr>
          <w:rFonts w:ascii="Calibri" w:eastAsia="Times New Roman" w:hAnsi="Calibri" w:cs="Times New Roman"/>
          <w:lang w:eastAsia="en-GB"/>
        </w:rPr>
        <w:t xml:space="preserve">, </w:t>
      </w:r>
      <w:r w:rsidR="00762058">
        <w:t>p=</w:t>
      </w:r>
      <w:r w:rsidR="00762058" w:rsidRPr="00762058">
        <w:t>0.0297</w:t>
      </w:r>
      <w:r w:rsidR="00A936F4">
        <w:t>). 5.7%</w:t>
      </w:r>
      <w:r w:rsidR="00774566">
        <w:t xml:space="preserve"> (20/352)</w:t>
      </w:r>
      <w:r w:rsidR="00A936F4">
        <w:t xml:space="preserve"> of COVID-19-</w:t>
      </w:r>
      <w:r w:rsidR="00762058">
        <w:t xml:space="preserve">positive patients were smokers </w:t>
      </w:r>
      <w:r w:rsidR="00B349E9">
        <w:t xml:space="preserve">versus </w:t>
      </w:r>
      <w:r w:rsidR="00762058">
        <w:t>16.5%</w:t>
      </w:r>
      <w:r w:rsidR="00774566">
        <w:t xml:space="preserve"> (116/702)</w:t>
      </w:r>
      <w:r w:rsidR="00762058">
        <w:t xml:space="preserve"> of negative patients</w:t>
      </w:r>
      <w:r w:rsidR="007D0E25">
        <w:t xml:space="preserve"> </w:t>
      </w:r>
      <w:r w:rsidR="00852D22">
        <w:t xml:space="preserve">(difference=-10.8% </w:t>
      </w:r>
      <w:r w:rsidR="00CA120E">
        <w:t>[</w:t>
      </w:r>
      <w:r w:rsidR="00852D22">
        <w:t>-14.4% to -7.0%</w:t>
      </w:r>
      <w:r w:rsidR="00CA120E">
        <w:t>]</w:t>
      </w:r>
      <w:r w:rsidR="00774566">
        <w:t>,</w:t>
      </w:r>
      <w:r w:rsidR="00852D22">
        <w:t xml:space="preserve"> p=</w:t>
      </w:r>
      <w:r w:rsidR="00852D22" w:rsidRPr="00852D22">
        <w:t>0.0001</w:t>
      </w:r>
      <w:r w:rsidR="00A75CAA">
        <w:t>)</w:t>
      </w:r>
      <w:r w:rsidR="00762058">
        <w:t xml:space="preserve">. </w:t>
      </w:r>
      <w:r w:rsidR="0087083A">
        <w:t xml:space="preserve">70.5% </w:t>
      </w:r>
      <w:r w:rsidR="00774566">
        <w:t xml:space="preserve">(248/352) </w:t>
      </w:r>
      <w:r w:rsidR="0087083A">
        <w:t>of</w:t>
      </w:r>
      <w:r w:rsidR="00A936F4">
        <w:t xml:space="preserve"> COVID-19-</w:t>
      </w:r>
      <w:r w:rsidR="00C86491">
        <w:t xml:space="preserve">positive </w:t>
      </w:r>
      <w:r w:rsidR="0087083A">
        <w:t>patients</w:t>
      </w:r>
      <w:r w:rsidR="00C86491">
        <w:t xml:space="preserve"> were Wh</w:t>
      </w:r>
      <w:r w:rsidR="000664D4">
        <w:t xml:space="preserve">ite-British </w:t>
      </w:r>
      <w:r w:rsidR="00BA053F">
        <w:t>versus</w:t>
      </w:r>
      <w:r w:rsidR="000664D4">
        <w:t xml:space="preserve"> 85.5%</w:t>
      </w:r>
      <w:r w:rsidR="00774566">
        <w:t xml:space="preserve"> (600/702)</w:t>
      </w:r>
      <w:r w:rsidR="000664D4">
        <w:t xml:space="preserve"> of</w:t>
      </w:r>
      <w:r w:rsidR="00D13EC8">
        <w:t xml:space="preserve"> negative </w:t>
      </w:r>
      <w:r w:rsidR="0087083A">
        <w:t>patients</w:t>
      </w:r>
      <w:r w:rsidR="0098483E">
        <w:t xml:space="preserve"> (</w:t>
      </w:r>
      <w:r w:rsidR="00B349E9">
        <w:t>difference=</w:t>
      </w:r>
      <w:r w:rsidR="0000540B" w:rsidRPr="0000540B">
        <w:t xml:space="preserve">-15.0% </w:t>
      </w:r>
      <w:r w:rsidR="00CA120E">
        <w:t>[</w:t>
      </w:r>
      <w:r w:rsidR="0000540B" w:rsidRPr="0000540B">
        <w:t>-20.5% to -9.7%</w:t>
      </w:r>
      <w:r w:rsidR="00CA120E">
        <w:t>],</w:t>
      </w:r>
      <w:r w:rsidR="00774566">
        <w:t xml:space="preserve"> </w:t>
      </w:r>
      <w:r w:rsidR="0000540B">
        <w:t>p</w:t>
      </w:r>
      <w:r w:rsidR="0000540B" w:rsidRPr="0000540B">
        <w:t>&lt;0.0001</w:t>
      </w:r>
      <w:r w:rsidR="0098483E">
        <w:t xml:space="preserve">). </w:t>
      </w:r>
      <w:r w:rsidR="00A936F4">
        <w:t xml:space="preserve">20.9% </w:t>
      </w:r>
      <w:r w:rsidR="00774566">
        <w:t xml:space="preserve">(39/187) </w:t>
      </w:r>
      <w:r w:rsidR="00A936F4">
        <w:t>of COVID-19-</w:t>
      </w:r>
      <w:r w:rsidR="00F254DA">
        <w:t>positive patients were healthcare workers versus 5.2%</w:t>
      </w:r>
      <w:r w:rsidR="00774566">
        <w:t xml:space="preserve"> (15/287)</w:t>
      </w:r>
      <w:r w:rsidR="00F254DA">
        <w:t xml:space="preserve"> of negative patients</w:t>
      </w:r>
      <w:r w:rsidR="0000540B">
        <w:t xml:space="preserve"> </w:t>
      </w:r>
      <w:r w:rsidR="00CA120E">
        <w:t>(</w:t>
      </w:r>
      <w:r w:rsidR="0000540B">
        <w:t>p</w:t>
      </w:r>
      <w:r w:rsidR="0000540B" w:rsidRPr="0000540B">
        <w:t>&lt;0.0001</w:t>
      </w:r>
      <w:r w:rsidR="00F254DA">
        <w:t>).</w:t>
      </w:r>
    </w:p>
    <w:p w14:paraId="0C1A8FA9" w14:textId="00352C1E" w:rsidR="00C86491" w:rsidRDefault="00EC6DF6" w:rsidP="008010B5">
      <w:pPr>
        <w:spacing w:line="480" w:lineRule="auto"/>
      </w:pPr>
      <w:r>
        <w:t>Anosmia was reported in 33.1%</w:t>
      </w:r>
      <w:r w:rsidR="00774566">
        <w:t xml:space="preserve"> (47/142)</w:t>
      </w:r>
      <w:r>
        <w:t xml:space="preserve"> versus 8.8%</w:t>
      </w:r>
      <w:r w:rsidR="00774566">
        <w:t xml:space="preserve"> (</w:t>
      </w:r>
      <w:r w:rsidR="007D0408">
        <w:t>19</w:t>
      </w:r>
      <w:r w:rsidR="00774566">
        <w:t>/216</w:t>
      </w:r>
      <w:r w:rsidR="007D0408">
        <w:t>)</w:t>
      </w:r>
      <w:r>
        <w:t xml:space="preserve"> of COVID-19</w:t>
      </w:r>
      <w:r w:rsidR="00A936F4">
        <w:t>-</w:t>
      </w:r>
      <w:r w:rsidR="00C74DBE">
        <w:t>positive and</w:t>
      </w:r>
      <w:r>
        <w:t xml:space="preserve"> negative patients </w:t>
      </w:r>
      <w:r w:rsidR="00C74DBE">
        <w:t xml:space="preserve">respectively </w:t>
      </w:r>
      <w:r>
        <w:t xml:space="preserve">(p&lt;0.0001). </w:t>
      </w:r>
      <w:r w:rsidR="001B7999">
        <w:t>N</w:t>
      </w:r>
      <w:r w:rsidR="00EB4A2C">
        <w:t>on-SARS-CoV-2 respiratory virus</w:t>
      </w:r>
      <w:r w:rsidR="00B349E9">
        <w:t>es</w:t>
      </w:r>
      <w:r w:rsidR="00EB4A2C">
        <w:t xml:space="preserve"> or atypical bacteria </w:t>
      </w:r>
      <w:r w:rsidR="007D0E25">
        <w:t xml:space="preserve">were detected </w:t>
      </w:r>
      <w:r w:rsidR="00EB4A2C">
        <w:t xml:space="preserve">in </w:t>
      </w:r>
      <w:r w:rsidR="006B61B7">
        <w:t>2.5%</w:t>
      </w:r>
      <w:r w:rsidR="006B152F">
        <w:t xml:space="preserve"> (5/197)</w:t>
      </w:r>
      <w:r w:rsidR="006B61B7">
        <w:t xml:space="preserve"> of COVID-19 patients</w:t>
      </w:r>
      <w:r w:rsidR="00A936F4">
        <w:t xml:space="preserve"> versus 7.9%</w:t>
      </w:r>
      <w:r w:rsidR="006B152F">
        <w:t xml:space="preserve"> (24/302)</w:t>
      </w:r>
      <w:r w:rsidR="00A936F4">
        <w:t xml:space="preserve"> of COVID-19-</w:t>
      </w:r>
      <w:r w:rsidR="00EB4A2C">
        <w:t xml:space="preserve">negative patients (p=0.0109). </w:t>
      </w:r>
      <w:r w:rsidR="00EC46C4">
        <w:t xml:space="preserve"> </w:t>
      </w:r>
    </w:p>
    <w:p w14:paraId="720602EF" w14:textId="24500A66" w:rsidR="00D41A39" w:rsidRDefault="00B67F6A" w:rsidP="008010B5">
      <w:pPr>
        <w:spacing w:line="480" w:lineRule="auto"/>
      </w:pPr>
      <w:r>
        <w:t>H</w:t>
      </w:r>
      <w:r w:rsidR="003D63DF">
        <w:t>ospitalisation</w:t>
      </w:r>
      <w:r w:rsidR="009318F3">
        <w:t xml:space="preserve"> duration</w:t>
      </w:r>
      <w:r w:rsidR="003D63DF">
        <w:t xml:space="preserve"> and</w:t>
      </w:r>
      <w:r w:rsidR="00EC6DF6">
        <w:t xml:space="preserve"> </w:t>
      </w:r>
      <w:r w:rsidR="003D63DF">
        <w:t>30-</w:t>
      </w:r>
      <w:r w:rsidR="008E3510">
        <w:t>day</w:t>
      </w:r>
      <w:r w:rsidR="00A20C32">
        <w:t>-</w:t>
      </w:r>
      <w:r w:rsidR="008E3510">
        <w:t>mortality</w:t>
      </w:r>
      <w:r w:rsidR="003D63DF">
        <w:t xml:space="preserve"> </w:t>
      </w:r>
      <w:r w:rsidR="00EC6DF6">
        <w:t>were higher in C</w:t>
      </w:r>
      <w:r w:rsidR="00A936F4">
        <w:t>OVID-19</w:t>
      </w:r>
      <w:r w:rsidR="001B7999">
        <w:t xml:space="preserve"> p</w:t>
      </w:r>
      <w:r w:rsidR="00EC6DF6">
        <w:t>atients</w:t>
      </w:r>
      <w:r w:rsidR="00F40D80">
        <w:t xml:space="preserve"> and </w:t>
      </w:r>
      <w:r w:rsidR="00D75D16">
        <w:t>i</w:t>
      </w:r>
      <w:r w:rsidR="00EC46C4">
        <w:t xml:space="preserve">nvasive ventilation was more </w:t>
      </w:r>
      <w:r w:rsidR="000A51FE">
        <w:t>frequent</w:t>
      </w:r>
      <w:r w:rsidR="00EC46C4">
        <w:t xml:space="preserve"> (11.1</w:t>
      </w:r>
      <w:r w:rsidR="001D7678">
        <w:t xml:space="preserve">% vs </w:t>
      </w:r>
      <w:r w:rsidR="00EC46C4">
        <w:t>2.8</w:t>
      </w:r>
      <w:r w:rsidR="001D7678">
        <w:t>%</w:t>
      </w:r>
      <w:r w:rsidR="00EC46C4">
        <w:t xml:space="preserve">, p&lt;0.0001), and </w:t>
      </w:r>
      <w:r w:rsidR="00A94CA6">
        <w:t>longer (</w:t>
      </w:r>
      <w:r w:rsidR="00A449C2">
        <w:t>14</w:t>
      </w:r>
      <w:r w:rsidR="004D3BE0">
        <w:t>.5</w:t>
      </w:r>
      <w:r w:rsidR="00A449C2">
        <w:t xml:space="preserve"> </w:t>
      </w:r>
      <w:r w:rsidR="001D7678">
        <w:t>vs</w:t>
      </w:r>
      <w:r w:rsidR="00A449C2">
        <w:t xml:space="preserve"> 4.7</w:t>
      </w:r>
      <w:r w:rsidR="001D7678">
        <w:t xml:space="preserve"> days</w:t>
      </w:r>
      <w:r w:rsidR="00EC46C4">
        <w:t>, p=0.0015</w:t>
      </w:r>
      <w:r w:rsidR="001D7678">
        <w:t>)</w:t>
      </w:r>
      <w:r w:rsidR="00D75D16">
        <w:t>.</w:t>
      </w:r>
    </w:p>
    <w:p w14:paraId="6BAB8208" w14:textId="77777777" w:rsidR="00B1708D" w:rsidRDefault="00484906" w:rsidP="005E2925">
      <w:pPr>
        <w:pStyle w:val="Heading2"/>
      </w:pPr>
      <w:r>
        <w:lastRenderedPageBreak/>
        <w:t>Conclusion</w:t>
      </w:r>
      <w:r w:rsidR="00D80243">
        <w:t>s</w:t>
      </w:r>
    </w:p>
    <w:p w14:paraId="2DA86CCF" w14:textId="452D47C5" w:rsidR="00F40D80" w:rsidRPr="00F40D80" w:rsidRDefault="00F40D80" w:rsidP="00D75D16">
      <w:pPr>
        <w:spacing w:line="480" w:lineRule="auto"/>
      </w:pPr>
      <w:r>
        <w:t>There were substantial differences between patients with and with</w:t>
      </w:r>
      <w:r w:rsidR="00A20C32">
        <w:t>out</w:t>
      </w:r>
      <w:r>
        <w:t xml:space="preserve"> COVID-1</w:t>
      </w:r>
      <w:r w:rsidR="0000540B">
        <w:t xml:space="preserve">9 in </w:t>
      </w:r>
      <w:r w:rsidR="00CF1806">
        <w:t xml:space="preserve">terms of </w:t>
      </w:r>
      <w:r w:rsidR="0000540B">
        <w:t>ethnicity, health</w:t>
      </w:r>
      <w:r>
        <w:t xml:space="preserve">care </w:t>
      </w:r>
      <w:r w:rsidR="00A20C32">
        <w:t>wo</w:t>
      </w:r>
      <w:r>
        <w:t>rker</w:t>
      </w:r>
      <w:r w:rsidR="00B349E9">
        <w:t>-</w:t>
      </w:r>
      <w:r>
        <w:t>status,</w:t>
      </w:r>
      <w:r w:rsidR="00295CA4">
        <w:t xml:space="preserve"> comorbidities,</w:t>
      </w:r>
      <w:r w:rsidR="00A75CAA" w:rsidRPr="00A75CAA">
        <w:t xml:space="preserve"> </w:t>
      </w:r>
      <w:r w:rsidR="00A75CAA">
        <w:t xml:space="preserve">symptoms, </w:t>
      </w:r>
      <w:r>
        <w:t>and outcome</w:t>
      </w:r>
      <w:r w:rsidR="00295CA4">
        <w:t>s</w:t>
      </w:r>
      <w:r>
        <w:t>. These data</w:t>
      </w:r>
      <w:r w:rsidR="00117A15">
        <w:t xml:space="preserve"> can </w:t>
      </w:r>
      <w:r>
        <w:t xml:space="preserve">inform </w:t>
      </w:r>
      <w:r w:rsidR="00E45E79">
        <w:t>healthcare planning for</w:t>
      </w:r>
      <w:r w:rsidR="00D75D16">
        <w:t xml:space="preserve"> the next phase of the pandemic.</w:t>
      </w:r>
    </w:p>
    <w:p w14:paraId="426D1C2B" w14:textId="77777777" w:rsidR="00EC46C4" w:rsidRDefault="007244E0" w:rsidP="008010B5">
      <w:pPr>
        <w:spacing w:line="480" w:lineRule="auto"/>
        <w:rPr>
          <w:rStyle w:val="Heading2Char"/>
        </w:rPr>
      </w:pPr>
      <w:r w:rsidRPr="00EC46C4">
        <w:rPr>
          <w:rStyle w:val="Heading2Char"/>
        </w:rPr>
        <w:t>Keywords</w:t>
      </w:r>
      <w:r w:rsidR="00EC46C4">
        <w:rPr>
          <w:rStyle w:val="Heading2Char"/>
        </w:rPr>
        <w:t>:</w:t>
      </w:r>
    </w:p>
    <w:p w14:paraId="6EDE6639" w14:textId="34745704" w:rsidR="000160E4" w:rsidRPr="00DA59CB" w:rsidRDefault="007244E0" w:rsidP="008010B5">
      <w:pPr>
        <w:spacing w:line="480" w:lineRule="auto"/>
      </w:pPr>
      <w:r>
        <w:t xml:space="preserve">COVID-19, SARS-CoV-2, </w:t>
      </w:r>
      <w:r w:rsidR="007D0E25">
        <w:t xml:space="preserve">clinical </w:t>
      </w:r>
      <w:r w:rsidR="00F162CF">
        <w:t xml:space="preserve">characteristics, </w:t>
      </w:r>
      <w:r>
        <w:t xml:space="preserve">symptoms, </w:t>
      </w:r>
      <w:r w:rsidR="000160E4">
        <w:t>cohort</w:t>
      </w:r>
      <w:r w:rsidR="006E268A">
        <w:t>, outcomes</w:t>
      </w:r>
      <w:r w:rsidR="00873DA3">
        <w:t>, healthcare workers</w:t>
      </w:r>
      <w:r w:rsidR="00A27681">
        <w:t>, smokers, COPD</w:t>
      </w:r>
      <w:r w:rsidR="005F2374">
        <w:t>.</w:t>
      </w:r>
      <w:r w:rsidR="000160E4">
        <w:br w:type="page"/>
      </w:r>
    </w:p>
    <w:p w14:paraId="65049948" w14:textId="77777777" w:rsidR="007244E0" w:rsidRDefault="007244E0" w:rsidP="00131DB9">
      <w:pPr>
        <w:pStyle w:val="Heading1"/>
      </w:pPr>
      <w:r>
        <w:lastRenderedPageBreak/>
        <w:t>Introduction</w:t>
      </w:r>
    </w:p>
    <w:p w14:paraId="7C7953AB" w14:textId="4FA2C0DD" w:rsidR="001D1C2E" w:rsidRDefault="00800F46" w:rsidP="008010B5">
      <w:pPr>
        <w:spacing w:line="480" w:lineRule="auto"/>
      </w:pPr>
      <w:r>
        <w:t>The COVID-19 pandemic</w:t>
      </w:r>
      <w:r w:rsidR="00F433E8">
        <w:t xml:space="preserve"> caused by SARS-CoV-2</w:t>
      </w:r>
      <w:r>
        <w:t xml:space="preserve"> has </w:t>
      </w:r>
      <w:r w:rsidR="005E1AE4">
        <w:t>led to over 21</w:t>
      </w:r>
      <w:r>
        <w:t xml:space="preserve"> million cases</w:t>
      </w:r>
      <w:r w:rsidR="005D7C6E">
        <w:t xml:space="preserve"> and</w:t>
      </w:r>
      <w:r>
        <w:t xml:space="preserve"> over </w:t>
      </w:r>
      <w:r w:rsidR="005E1AE4">
        <w:t>700,000</w:t>
      </w:r>
      <w:r w:rsidR="00D966C6">
        <w:t xml:space="preserve"> deaths worldwide</w:t>
      </w:r>
      <w:r w:rsidR="00995A0F">
        <w:t xml:space="preserve"> </w:t>
      </w:r>
      <w:r w:rsidR="00995A0F">
        <w:rPr>
          <w:noProof/>
        </w:rPr>
        <w:t>[1]</w:t>
      </w:r>
      <w:r w:rsidR="00D966C6">
        <w:t>.</w:t>
      </w:r>
      <w:r w:rsidR="00A259DC">
        <w:t xml:space="preserve"> Over 130</w:t>
      </w:r>
      <w:r>
        <w:t>,000 patients have been admitted to hospitals in the UK with confirmed COVID-19</w:t>
      </w:r>
      <w:r w:rsidR="00D966C6">
        <w:t xml:space="preserve"> </w:t>
      </w:r>
      <w:r w:rsidR="00995A0F">
        <w:rPr>
          <w:noProof/>
        </w:rPr>
        <w:t>[2]</w:t>
      </w:r>
      <w:r w:rsidR="00D966C6">
        <w:t>.</w:t>
      </w:r>
    </w:p>
    <w:p w14:paraId="558BB244" w14:textId="7E3A3960" w:rsidR="00800F46" w:rsidRDefault="00F433E8" w:rsidP="008010B5">
      <w:pPr>
        <w:spacing w:line="480" w:lineRule="auto"/>
      </w:pPr>
      <w:r>
        <w:t>Large cohort</w:t>
      </w:r>
      <w:r w:rsidR="008235B0">
        <w:t xml:space="preserve"> studies</w:t>
      </w:r>
      <w:r>
        <w:t xml:space="preserve"> of patients</w:t>
      </w:r>
      <w:r w:rsidR="00A259DC">
        <w:t xml:space="preserve"> presenting to hospital with COVID-19</w:t>
      </w:r>
      <w:r>
        <w:t xml:space="preserve"> </w:t>
      </w:r>
      <w:r w:rsidR="00EA0DD3">
        <w:t xml:space="preserve">from </w:t>
      </w:r>
      <w:r w:rsidR="00550A22">
        <w:t xml:space="preserve">countries including </w:t>
      </w:r>
      <w:r w:rsidR="00EA0DD3">
        <w:t>the USA, China,</w:t>
      </w:r>
      <w:r w:rsidR="00B14181">
        <w:t xml:space="preserve"> Spain,</w:t>
      </w:r>
      <w:r w:rsidR="00EA0DD3">
        <w:t xml:space="preserve"> and </w:t>
      </w:r>
      <w:r w:rsidR="00B14181">
        <w:t xml:space="preserve">the </w:t>
      </w:r>
      <w:r w:rsidR="00EA0DD3">
        <w:t xml:space="preserve">UK, </w:t>
      </w:r>
      <w:r>
        <w:t>have improved our understanding of the disease</w:t>
      </w:r>
      <w:r w:rsidR="00D966C6">
        <w:t xml:space="preserve"> </w:t>
      </w:r>
      <w:r w:rsidR="00995A0F">
        <w:rPr>
          <w:noProof/>
        </w:rPr>
        <w:t>[3-9]</w:t>
      </w:r>
      <w:r w:rsidR="00D966C6">
        <w:t>.</w:t>
      </w:r>
      <w:r w:rsidR="0021267E">
        <w:t xml:space="preserve"> C</w:t>
      </w:r>
      <w:r w:rsidR="008235B0">
        <w:t>ohort studies</w:t>
      </w:r>
      <w:r>
        <w:t xml:space="preserve"> of hospitalised patients have shown that about a quarter of patients with severe COVID-19 die, and that risk factors such as age, obesity, male sex, and comorbidities </w:t>
      </w:r>
      <w:r w:rsidR="005D7C6E">
        <w:t>are associated with</w:t>
      </w:r>
      <w:r>
        <w:t xml:space="preserve"> adverse outcomes.</w:t>
      </w:r>
      <w:r w:rsidR="00EA0DD3">
        <w:t xml:space="preserve"> </w:t>
      </w:r>
    </w:p>
    <w:p w14:paraId="6B42D150" w14:textId="77777777" w:rsidR="00F433E8" w:rsidRDefault="009F02AD" w:rsidP="008010B5">
      <w:pPr>
        <w:spacing w:line="480" w:lineRule="auto"/>
      </w:pPr>
      <w:r>
        <w:t>However, published</w:t>
      </w:r>
      <w:r w:rsidR="00F433E8">
        <w:t xml:space="preserve"> cohorts of patients with severe COVID-19 have</w:t>
      </w:r>
      <w:r>
        <w:t xml:space="preserve"> typically</w:t>
      </w:r>
      <w:r w:rsidR="00F433E8">
        <w:t xml:space="preserve"> lacked a comparison or control group. This weakness means that clinical guidance, decision making, and pre-test risk stratification of patients with suspected COVID-19 is </w:t>
      </w:r>
      <w:r w:rsidR="00D2780E">
        <w:t>incomplete</w:t>
      </w:r>
      <w:r w:rsidR="00F433E8">
        <w:t>.</w:t>
      </w:r>
    </w:p>
    <w:p w14:paraId="7D64D881" w14:textId="792D3E90" w:rsidR="00D2780E" w:rsidRDefault="002F020F" w:rsidP="008010B5">
      <w:pPr>
        <w:spacing w:line="480" w:lineRule="auto"/>
      </w:pPr>
      <w:r>
        <w:t>We did</w:t>
      </w:r>
      <w:r w:rsidR="009F02AD">
        <w:t xml:space="preserve"> a large,</w:t>
      </w:r>
      <w:r w:rsidR="00D35912">
        <w:t xml:space="preserve"> non-randomised,</w:t>
      </w:r>
      <w:r w:rsidR="009F02AD">
        <w:t xml:space="preserve"> controlled trial of molecular point-of-care testing (mPOCT) for SARS-CoV-2 in adults presenting to hospital with suspected COVID-19</w:t>
      </w:r>
      <w:r w:rsidR="00D35912">
        <w:t xml:space="preserve"> (the CoV-19POC trial)</w:t>
      </w:r>
      <w:r w:rsidR="00D966C6">
        <w:t xml:space="preserve"> </w:t>
      </w:r>
      <w:r w:rsidR="00995A0F">
        <w:rPr>
          <w:noProof/>
        </w:rPr>
        <w:t>[10]</w:t>
      </w:r>
      <w:r w:rsidR="00D966C6">
        <w:t>.</w:t>
      </w:r>
      <w:r w:rsidR="00D2780E">
        <w:t xml:space="preserve"> </w:t>
      </w:r>
      <w:r w:rsidR="008235B0">
        <w:t>Within the CoV-19POC</w:t>
      </w:r>
      <w:r w:rsidR="00D2780E">
        <w:t xml:space="preserve"> </w:t>
      </w:r>
      <w:r w:rsidR="008235B0">
        <w:t xml:space="preserve">trial </w:t>
      </w:r>
      <w:r w:rsidR="00D2780E">
        <w:t>is</w:t>
      </w:r>
      <w:r w:rsidR="00D35912">
        <w:t xml:space="preserve"> a large cohort of patients: patients who have tested positive and patients who have tested negative for SARS-CoV-2.</w:t>
      </w:r>
    </w:p>
    <w:p w14:paraId="20D2C32D" w14:textId="37565C83" w:rsidR="00EB521A" w:rsidRPr="00EB521A" w:rsidRDefault="00815B99" w:rsidP="008010B5">
      <w:pPr>
        <w:spacing w:line="480" w:lineRule="auto"/>
      </w:pPr>
      <w:r>
        <w:t>The aim of th</w:t>
      </w:r>
      <w:r w:rsidR="008235B0">
        <w:t>e</w:t>
      </w:r>
      <w:r>
        <w:t xml:space="preserve"> study</w:t>
      </w:r>
      <w:r w:rsidR="008235B0">
        <w:t xml:space="preserve"> presented here</w:t>
      </w:r>
      <w:r>
        <w:t xml:space="preserve"> was to examine</w:t>
      </w:r>
      <w:r w:rsidR="00CA0D9D">
        <w:t xml:space="preserve"> and compare</w:t>
      </w:r>
      <w:r>
        <w:t xml:space="preserve"> the clinical characteristics, symptoms, and outcomes of adult patients presenting to hospital testing positive and negative for COVID-19</w:t>
      </w:r>
      <w:r w:rsidR="00800F46">
        <w:t xml:space="preserve">, using data collected </w:t>
      </w:r>
      <w:r w:rsidR="00773B67">
        <w:t>from</w:t>
      </w:r>
      <w:r w:rsidR="00800F46">
        <w:t xml:space="preserve"> a large clinical trial.</w:t>
      </w:r>
    </w:p>
    <w:p w14:paraId="509667FE" w14:textId="77777777" w:rsidR="007244E0" w:rsidRDefault="007244E0" w:rsidP="00131DB9">
      <w:pPr>
        <w:pStyle w:val="Heading1"/>
      </w:pPr>
      <w:r>
        <w:t>Methods</w:t>
      </w:r>
    </w:p>
    <w:p w14:paraId="35206287" w14:textId="24CC1173" w:rsidR="008107B1" w:rsidRDefault="008107B1" w:rsidP="008010B5">
      <w:pPr>
        <w:spacing w:line="480" w:lineRule="auto"/>
      </w:pPr>
      <w:r>
        <w:t xml:space="preserve">The CoV-19POC trial was a </w:t>
      </w:r>
      <w:r w:rsidRPr="008107B1">
        <w:t>prospective, interventional, non-randomised</w:t>
      </w:r>
      <w:r>
        <w:t xml:space="preserve"> study of mPOCT implementation. The </w:t>
      </w:r>
      <w:r w:rsidR="00583461">
        <w:t xml:space="preserve">CoV-19POC </w:t>
      </w:r>
      <w:r>
        <w:t>trial protocol is freely available</w:t>
      </w:r>
      <w:r w:rsidR="00D966C6">
        <w:t xml:space="preserve"> </w:t>
      </w:r>
      <w:r w:rsidR="00995A0F">
        <w:rPr>
          <w:noProof/>
        </w:rPr>
        <w:t>[11]</w:t>
      </w:r>
      <w:r w:rsidR="00D966C6">
        <w:t>.</w:t>
      </w:r>
      <w:r>
        <w:t xml:space="preserve"> The study reported here is a </w:t>
      </w:r>
      <w:r>
        <w:lastRenderedPageBreak/>
        <w:t xml:space="preserve">cohort study including all patients in the </w:t>
      </w:r>
      <w:r w:rsidR="00583461">
        <w:t>analysed</w:t>
      </w:r>
      <w:r>
        <w:t xml:space="preserve"> </w:t>
      </w:r>
      <w:r w:rsidR="00583461">
        <w:t>in</w:t>
      </w:r>
      <w:r>
        <w:t xml:space="preserve"> </w:t>
      </w:r>
      <w:r w:rsidR="00E9664F">
        <w:t xml:space="preserve">the </w:t>
      </w:r>
      <w:r>
        <w:t>CoV-19POC</w:t>
      </w:r>
      <w:r w:rsidR="00E9664F">
        <w:t xml:space="preserve"> trial</w:t>
      </w:r>
      <w:r>
        <w:t xml:space="preserve">. </w:t>
      </w:r>
      <w:r w:rsidR="00390E23">
        <w:t>The sample size is therefore based on a convenience sample.</w:t>
      </w:r>
    </w:p>
    <w:p w14:paraId="3670940F" w14:textId="7190A8FF" w:rsidR="005B7608" w:rsidRDefault="0029624B" w:rsidP="008010B5">
      <w:pPr>
        <w:spacing w:line="480" w:lineRule="auto"/>
      </w:pPr>
      <w:r>
        <w:t>The inclus</w:t>
      </w:r>
      <w:r w:rsidR="00091D5C">
        <w:t xml:space="preserve">ion criteria, in brief, </w:t>
      </w:r>
      <w:r>
        <w:t>were adults (≥18 years old), presenting to the Emergency Department or Acute Medicine Unit or other admissions area</w:t>
      </w:r>
      <w:r w:rsidR="00091D5C">
        <w:t xml:space="preserve"> of Southampton General Hospital, UK</w:t>
      </w:r>
      <w:r>
        <w:t xml:space="preserve">, with an acute respiratory illness or otherwise </w:t>
      </w:r>
      <w:r w:rsidR="00E9664F">
        <w:t xml:space="preserve">clinically </w:t>
      </w:r>
      <w:r>
        <w:t xml:space="preserve">suspected </w:t>
      </w:r>
      <w:r w:rsidR="00091D5C">
        <w:t xml:space="preserve">of having </w:t>
      </w:r>
      <w:r>
        <w:t>COVID-19</w:t>
      </w:r>
      <w:r w:rsidR="00C045B1">
        <w:t>.</w:t>
      </w:r>
      <w:r w:rsidR="00091D5C">
        <w:t xml:space="preserve"> </w:t>
      </w:r>
      <w:r w:rsidR="00C045B1">
        <w:t>Patients</w:t>
      </w:r>
      <w:r w:rsidR="00091D5C">
        <w:t xml:space="preserve"> were t</w:t>
      </w:r>
      <w:r w:rsidR="00E36D51">
        <w:t>ested with the</w:t>
      </w:r>
      <w:r w:rsidR="00091D5C">
        <w:t xml:space="preserve"> QIAstat-Dx</w:t>
      </w:r>
      <w:r w:rsidR="003C58A7">
        <w:t xml:space="preserve"> Respiratory</w:t>
      </w:r>
      <w:r w:rsidR="00091D5C">
        <w:t xml:space="preserve"> </w:t>
      </w:r>
      <w:r w:rsidR="003C58A7">
        <w:t xml:space="preserve">SARS-CoV-2 </w:t>
      </w:r>
      <w:r w:rsidR="00091D5C">
        <w:t>Panel</w:t>
      </w:r>
      <w:r w:rsidR="00452852">
        <w:t xml:space="preserve"> </w:t>
      </w:r>
      <w:r w:rsidR="00D72CC1">
        <w:t>(</w:t>
      </w:r>
      <w:r w:rsidR="00452852">
        <w:t>QIAGEN, Germany</w:t>
      </w:r>
      <w:r w:rsidR="00091D5C">
        <w:t>)</w:t>
      </w:r>
      <w:r w:rsidR="00D72CC1">
        <w:t xml:space="preserve"> as mPOCT</w:t>
      </w:r>
      <w:r w:rsidR="00091D5C">
        <w:t xml:space="preserve"> or on-site laboratory testing </w:t>
      </w:r>
      <w:r w:rsidR="00F172B8">
        <w:t>by</w:t>
      </w:r>
      <w:r w:rsidR="00091D5C">
        <w:t xml:space="preserve"> RT-PCR using the Public Health England recommended assay.</w:t>
      </w:r>
      <w:r w:rsidR="00A51AF7">
        <w:t xml:space="preserve"> The QIAstat-Dx </w:t>
      </w:r>
      <w:r w:rsidR="003C58A7">
        <w:t xml:space="preserve">Respiratory SARS-CoV-2 </w:t>
      </w:r>
      <w:r w:rsidR="00A51AF7">
        <w:t xml:space="preserve">Panel is a multiplex </w:t>
      </w:r>
      <w:r w:rsidR="005B7608">
        <w:t xml:space="preserve">PCR </w:t>
      </w:r>
      <w:r w:rsidR="00A51AF7">
        <w:t>panel that detects:</w:t>
      </w:r>
      <w:r w:rsidR="005B7608">
        <w:t xml:space="preserve"> SARS-CoV-2 (E and Orf1 genes)</w:t>
      </w:r>
      <w:r w:rsidR="00E36D51">
        <w:t>,</w:t>
      </w:r>
      <w:r w:rsidR="00A51AF7">
        <w:t xml:space="preserve"> </w:t>
      </w:r>
      <w:r w:rsidR="00E36D51">
        <w:t>i</w:t>
      </w:r>
      <w:r w:rsidR="00A51AF7">
        <w:t>nfluenza A</w:t>
      </w:r>
      <w:r w:rsidR="005B7608">
        <w:t xml:space="preserve"> (</w:t>
      </w:r>
      <w:r w:rsidR="00A51AF7">
        <w:t>H1N1/2009</w:t>
      </w:r>
      <w:r w:rsidR="005B7608">
        <w:t>,</w:t>
      </w:r>
      <w:r w:rsidR="00A51AF7">
        <w:t xml:space="preserve"> H1</w:t>
      </w:r>
      <w:r w:rsidR="005B7608">
        <w:t>, H3)</w:t>
      </w:r>
      <w:r w:rsidR="000D3EF5">
        <w:t>,</w:t>
      </w:r>
      <w:r w:rsidR="005B7608">
        <w:t xml:space="preserve"> </w:t>
      </w:r>
      <w:r w:rsidR="00E36D51">
        <w:t>i</w:t>
      </w:r>
      <w:r w:rsidR="00A51AF7">
        <w:t>nfluenza B</w:t>
      </w:r>
      <w:r w:rsidR="000D3EF5">
        <w:t>,</w:t>
      </w:r>
      <w:r w:rsidR="005B7608">
        <w:t xml:space="preserve"> </w:t>
      </w:r>
      <w:r w:rsidR="00E36D51">
        <w:t>c</w:t>
      </w:r>
      <w:r w:rsidR="00A51AF7">
        <w:t>oronavirus</w:t>
      </w:r>
      <w:r w:rsidR="000D3EF5">
        <w:t>es</w:t>
      </w:r>
      <w:r w:rsidR="00A51AF7">
        <w:t xml:space="preserve"> </w:t>
      </w:r>
      <w:r w:rsidR="000D3EF5">
        <w:t>(</w:t>
      </w:r>
      <w:r w:rsidR="00A51AF7">
        <w:t>229E</w:t>
      </w:r>
      <w:r w:rsidR="005B7608">
        <w:t xml:space="preserve">, HKU1, NL63, </w:t>
      </w:r>
      <w:r w:rsidR="000D3EF5">
        <w:t xml:space="preserve">and </w:t>
      </w:r>
      <w:r w:rsidR="00A51AF7">
        <w:t>OC43</w:t>
      </w:r>
      <w:r w:rsidR="000D3EF5">
        <w:t>),</w:t>
      </w:r>
      <w:r w:rsidR="005B7608">
        <w:t xml:space="preserve"> </w:t>
      </w:r>
      <w:r w:rsidR="00E36D51">
        <w:t>p</w:t>
      </w:r>
      <w:r w:rsidR="00A51AF7">
        <w:t>arainfluenza virus</w:t>
      </w:r>
      <w:r w:rsidR="000D3EF5">
        <w:t>es</w:t>
      </w:r>
      <w:r w:rsidR="00A51AF7">
        <w:t xml:space="preserve"> </w:t>
      </w:r>
      <w:r w:rsidR="000D3EF5">
        <w:t>(</w:t>
      </w:r>
      <w:r w:rsidR="00A51AF7">
        <w:t>1</w:t>
      </w:r>
      <w:r w:rsidR="005B7608">
        <w:t>,</w:t>
      </w:r>
      <w:r w:rsidR="000D3EF5">
        <w:t xml:space="preserve"> </w:t>
      </w:r>
      <w:r w:rsidR="005B7608">
        <w:t xml:space="preserve">2, </w:t>
      </w:r>
      <w:r w:rsidR="000D3EF5">
        <w:t>3, and</w:t>
      </w:r>
      <w:r w:rsidR="005B7608">
        <w:t xml:space="preserve"> </w:t>
      </w:r>
      <w:r w:rsidR="00A51AF7">
        <w:t>4</w:t>
      </w:r>
      <w:r w:rsidR="000D3EF5">
        <w:t>)</w:t>
      </w:r>
      <w:r w:rsidR="00CA120E">
        <w:t>,</w:t>
      </w:r>
      <w:r w:rsidR="000D3EF5">
        <w:t xml:space="preserve"> </w:t>
      </w:r>
      <w:r w:rsidR="00E36D51">
        <w:t>a</w:t>
      </w:r>
      <w:r w:rsidR="005B7608">
        <w:t>denovirus</w:t>
      </w:r>
      <w:r w:rsidR="000D3EF5">
        <w:t xml:space="preserve">, </w:t>
      </w:r>
      <w:r w:rsidR="00A701BA">
        <w:t>r</w:t>
      </w:r>
      <w:r w:rsidR="00A51AF7">
        <w:t xml:space="preserve">espiratory </w:t>
      </w:r>
      <w:r w:rsidR="00A701BA">
        <w:t>s</w:t>
      </w:r>
      <w:r w:rsidR="00A51AF7">
        <w:t xml:space="preserve">yncytial </w:t>
      </w:r>
      <w:r w:rsidR="00A701BA">
        <w:t>v</w:t>
      </w:r>
      <w:r w:rsidR="00A51AF7">
        <w:t>irus</w:t>
      </w:r>
      <w:r w:rsidR="000D3EF5">
        <w:t>,</w:t>
      </w:r>
      <w:r w:rsidR="005B7608">
        <w:t xml:space="preserve"> </w:t>
      </w:r>
      <w:r w:rsidR="00E36D51">
        <w:t>h</w:t>
      </w:r>
      <w:r w:rsidR="005B7608">
        <w:t xml:space="preserve">uman </w:t>
      </w:r>
      <w:r w:rsidR="00E36D51">
        <w:t>m</w:t>
      </w:r>
      <w:r w:rsidR="005B7608">
        <w:t>etapneumovirus</w:t>
      </w:r>
      <w:r w:rsidR="000D3EF5">
        <w:t>,</w:t>
      </w:r>
      <w:r w:rsidR="005B7608">
        <w:t xml:space="preserve"> </w:t>
      </w:r>
      <w:r w:rsidR="00E36D51">
        <w:t>b</w:t>
      </w:r>
      <w:r w:rsidR="00A51AF7">
        <w:t>ocavirus</w:t>
      </w:r>
      <w:r w:rsidR="005B7608">
        <w:t xml:space="preserve">, and </w:t>
      </w:r>
      <w:r w:rsidR="00E36D51">
        <w:t>r</w:t>
      </w:r>
      <w:r w:rsidR="00A51AF7">
        <w:t>hinovirus/</w:t>
      </w:r>
      <w:r w:rsidR="00E36D51">
        <w:t>e</w:t>
      </w:r>
      <w:r w:rsidR="00A51AF7">
        <w:t>nterovirus</w:t>
      </w:r>
      <w:r w:rsidR="00BB600E">
        <w:t xml:space="preserve"> plus </w:t>
      </w:r>
      <w:r w:rsidR="00BB600E">
        <w:rPr>
          <w:i/>
        </w:rPr>
        <w:t>Mycoplasma pneumoniae</w:t>
      </w:r>
      <w:r w:rsidR="00BB600E" w:rsidRPr="00BB600E">
        <w:t xml:space="preserve">, </w:t>
      </w:r>
      <w:r w:rsidR="00BB600E" w:rsidRPr="00BB600E">
        <w:rPr>
          <w:i/>
        </w:rPr>
        <w:t>Legionella pneumophila</w:t>
      </w:r>
      <w:r w:rsidR="00B9285C">
        <w:t xml:space="preserve">, and </w:t>
      </w:r>
      <w:r w:rsidR="00BB600E" w:rsidRPr="00BB600E">
        <w:rPr>
          <w:i/>
        </w:rPr>
        <w:t>Bordetella pertussis</w:t>
      </w:r>
      <w:r w:rsidR="00D966C6">
        <w:rPr>
          <w:i/>
        </w:rPr>
        <w:t xml:space="preserve"> </w:t>
      </w:r>
      <w:r w:rsidR="00995A0F">
        <w:rPr>
          <w:noProof/>
        </w:rPr>
        <w:t>[12, 13]</w:t>
      </w:r>
      <w:r w:rsidR="00D966C6">
        <w:t>.</w:t>
      </w:r>
      <w:r w:rsidR="008E2DFB">
        <w:t xml:space="preserve"> </w:t>
      </w:r>
    </w:p>
    <w:p w14:paraId="17ECD413" w14:textId="393BB2C3" w:rsidR="0029624B" w:rsidRDefault="008107B1" w:rsidP="008010B5">
      <w:pPr>
        <w:spacing w:line="480" w:lineRule="auto"/>
      </w:pPr>
      <w:r>
        <w:t xml:space="preserve">The study </w:t>
      </w:r>
      <w:r w:rsidR="003C58A7">
        <w:t>was</w:t>
      </w:r>
      <w:r>
        <w:t xml:space="preserve"> amended once to update the time period of the control group to be contemporaneous to the intervention group. The study was approved by Regional E</w:t>
      </w:r>
      <w:r w:rsidR="005D46D1">
        <w:t>thics Committee South Central -</w:t>
      </w:r>
      <w:r>
        <w:t>Hampshire A on 16</w:t>
      </w:r>
      <w:r w:rsidRPr="009C4E29">
        <w:rPr>
          <w:vertAlign w:val="superscript"/>
        </w:rPr>
        <w:t>th</w:t>
      </w:r>
      <w:r>
        <w:t xml:space="preserve"> March 2020 (reference 20/SC/0138)</w:t>
      </w:r>
      <w:r w:rsidR="00F172B8">
        <w:t xml:space="preserve">, and </w:t>
      </w:r>
      <w:r>
        <w:t>prospectively registered on an internati</w:t>
      </w:r>
      <w:r w:rsidR="00292467">
        <w:t>onal database (ISRCTN14966673).</w:t>
      </w:r>
    </w:p>
    <w:p w14:paraId="7390A175" w14:textId="5AF6E557" w:rsidR="00CA587A" w:rsidRDefault="006E268A" w:rsidP="008010B5">
      <w:pPr>
        <w:spacing w:line="480" w:lineRule="auto"/>
      </w:pPr>
      <w:r>
        <w:t xml:space="preserve">Patients who </w:t>
      </w:r>
      <w:r w:rsidR="000D3EF5">
        <w:t>received</w:t>
      </w:r>
      <w:r>
        <w:t xml:space="preserve"> </w:t>
      </w:r>
      <w:r w:rsidR="00490024">
        <w:t>mPOCT gave</w:t>
      </w:r>
      <w:r w:rsidR="00BB21CF">
        <w:t xml:space="preserve"> f</w:t>
      </w:r>
      <w:r>
        <w:t>ully informed written consent</w:t>
      </w:r>
      <w:r w:rsidR="003C58A7">
        <w:t xml:space="preserve"> and were asked detailed questions on their symptoms prior to mPOCT result. Questions about anosmia were added five days after the trial started</w:t>
      </w:r>
      <w:r w:rsidR="00E36D51">
        <w:t xml:space="preserve"> as supporting evidence emerged</w:t>
      </w:r>
      <w:r>
        <w:t>. Only r</w:t>
      </w:r>
      <w:r w:rsidR="00490024">
        <w:t>outinely collected data</w:t>
      </w:r>
      <w:r w:rsidR="00BB21CF">
        <w:t xml:space="preserve"> </w:t>
      </w:r>
      <w:r w:rsidR="00490024">
        <w:t xml:space="preserve">was used </w:t>
      </w:r>
      <w:r>
        <w:t>in</w:t>
      </w:r>
      <w:r w:rsidR="00490024">
        <w:t xml:space="preserve"> the </w:t>
      </w:r>
      <w:r>
        <w:t>RT-PCR</w:t>
      </w:r>
      <w:r w:rsidR="00490024">
        <w:t xml:space="preserve"> group.</w:t>
      </w:r>
      <w:r w:rsidR="00BB21CF">
        <w:t xml:space="preserve"> </w:t>
      </w:r>
      <w:r w:rsidR="00E9664F">
        <w:t>Retrospective outcomes data collection was completed from electronic medical records.</w:t>
      </w:r>
      <w:r w:rsidR="00E9664F" w:rsidRPr="00E9664F">
        <w:t xml:space="preserve"> </w:t>
      </w:r>
      <w:r w:rsidR="00E340AC">
        <w:t>Potential bias was reduced by prospective data collection where possible p</w:t>
      </w:r>
      <w:r w:rsidR="00F96552">
        <w:t>rior to mPOCT result</w:t>
      </w:r>
      <w:r w:rsidR="00E340AC">
        <w:t>, and by wide inclusion criteria</w:t>
      </w:r>
      <w:r w:rsidR="00F96552">
        <w:t xml:space="preserve"> with minimal exclusion criteria</w:t>
      </w:r>
      <w:r w:rsidR="00E340AC">
        <w:t xml:space="preserve">. </w:t>
      </w:r>
    </w:p>
    <w:p w14:paraId="0E8F0D6D" w14:textId="1D9A8EA3" w:rsidR="00CA587A" w:rsidRDefault="00B1753A" w:rsidP="008010B5">
      <w:pPr>
        <w:spacing w:line="480" w:lineRule="auto"/>
      </w:pPr>
      <w:r>
        <w:t>Patients with COVID-19, as defined by PCR positivity</w:t>
      </w:r>
      <w:r w:rsidR="00064B98">
        <w:t xml:space="preserve"> by either mPOCT or laboratory testing</w:t>
      </w:r>
      <w:r>
        <w:t xml:space="preserve"> were compared to those without COVID-19. </w:t>
      </w:r>
      <w:r w:rsidR="00CA587A" w:rsidRPr="00CA587A">
        <w:t>Statistical analyses were done with Prism version</w:t>
      </w:r>
      <w:r w:rsidR="00B7057B">
        <w:t xml:space="preserve"> 8.2.1</w:t>
      </w:r>
      <w:r w:rsidR="00CA587A" w:rsidRPr="00CA587A">
        <w:t xml:space="preserve"> (GraphPad Soft</w:t>
      </w:r>
      <w:r w:rsidR="00BF4D03">
        <w:t xml:space="preserve">ware, La Jolla, CA, USA). Categorical variables, summarised in counts and </w:t>
      </w:r>
      <w:r w:rsidR="00BF4D03">
        <w:lastRenderedPageBreak/>
        <w:t>percentages,</w:t>
      </w:r>
      <w:r w:rsidR="00CA587A" w:rsidRPr="00CA587A">
        <w:t xml:space="preserve"> were compared us</w:t>
      </w:r>
      <w:r w:rsidR="00D92416">
        <w:t xml:space="preserve">ing differences in proportions </w:t>
      </w:r>
      <w:r w:rsidR="00CA587A" w:rsidRPr="00CA587A">
        <w:t>using</w:t>
      </w:r>
      <w:r w:rsidR="003D6BED" w:rsidRPr="00CA587A">
        <w:t xml:space="preserve"> </w:t>
      </w:r>
      <w:r w:rsidR="004C55BA">
        <w:t xml:space="preserve">Chi-squared or </w:t>
      </w:r>
      <w:r w:rsidR="003D6BED" w:rsidRPr="00CA587A">
        <w:t>Fish</w:t>
      </w:r>
      <w:r w:rsidR="003D6BED">
        <w:t>er's exact test</w:t>
      </w:r>
      <w:r w:rsidR="00BF4D03">
        <w:t>.</w:t>
      </w:r>
      <w:r w:rsidR="00CA587A" w:rsidRPr="00CA587A">
        <w:t xml:space="preserve"> </w:t>
      </w:r>
      <w:r w:rsidR="00BF4D03">
        <w:t>Continuous variables, expressed as medians and interquartile ranges</w:t>
      </w:r>
      <w:r w:rsidR="007F2470">
        <w:t xml:space="preserve"> (IQR)</w:t>
      </w:r>
      <w:r w:rsidR="00BF4D03">
        <w:t>, were compared using the Mann-Whitney U test.</w:t>
      </w:r>
      <w:r w:rsidR="00E340AC" w:rsidRPr="00E340AC">
        <w:t xml:space="preserve"> </w:t>
      </w:r>
      <w:r w:rsidR="00193DA5">
        <w:t>Missing data w</w:t>
      </w:r>
      <w:r w:rsidR="00392BCD">
        <w:t>ere</w:t>
      </w:r>
      <w:r w:rsidR="00193DA5">
        <w:t xml:space="preserve"> &lt;2% in all analyses unless stated otherwise. </w:t>
      </w:r>
      <w:r w:rsidR="00E340AC">
        <w:t xml:space="preserve">This </w:t>
      </w:r>
      <w:r>
        <w:t xml:space="preserve">study is </w:t>
      </w:r>
      <w:r w:rsidR="00E340AC">
        <w:t>report</w:t>
      </w:r>
      <w:r>
        <w:t xml:space="preserve">ed according to </w:t>
      </w:r>
      <w:r w:rsidR="00E340AC">
        <w:t>the STROBE guideline.</w:t>
      </w:r>
    </w:p>
    <w:p w14:paraId="2102D542" w14:textId="77777777" w:rsidR="00EB521A" w:rsidRDefault="007244E0" w:rsidP="00131DB9">
      <w:pPr>
        <w:pStyle w:val="Heading1"/>
      </w:pPr>
      <w:r>
        <w:t>Results</w:t>
      </w:r>
    </w:p>
    <w:p w14:paraId="04BC0379" w14:textId="77777777" w:rsidR="00C14FC7" w:rsidRDefault="00C14FC7" w:rsidP="005E2925">
      <w:pPr>
        <w:pStyle w:val="Heading2"/>
      </w:pPr>
      <w:r>
        <w:t>Overall</w:t>
      </w:r>
    </w:p>
    <w:p w14:paraId="3BDDD8CD" w14:textId="742306CE" w:rsidR="00EB521A" w:rsidRDefault="007F2470" w:rsidP="008010B5">
      <w:pPr>
        <w:spacing w:line="480" w:lineRule="auto"/>
      </w:pPr>
      <w:r>
        <w:t xml:space="preserve">1054 adults presenting to hospital with acute respiratory illness or otherwise </w:t>
      </w:r>
      <w:r w:rsidR="00B21338">
        <w:t>suspected</w:t>
      </w:r>
      <w:r>
        <w:t xml:space="preserve"> of</w:t>
      </w:r>
      <w:r w:rsidR="00B21338">
        <w:t xml:space="preserve"> having</w:t>
      </w:r>
      <w:r>
        <w:t xml:space="preserve"> COVID-19 </w:t>
      </w:r>
      <w:r w:rsidR="00EB521A">
        <w:t xml:space="preserve">were tested for SARS-CoV-2 and included in this analysis: 352 </w:t>
      </w:r>
      <w:r w:rsidR="00985C9E">
        <w:t xml:space="preserve">(33.4%) </w:t>
      </w:r>
      <w:r w:rsidR="00EB521A">
        <w:t xml:space="preserve">tested </w:t>
      </w:r>
      <w:r w:rsidR="00B1753A">
        <w:t xml:space="preserve">PCR </w:t>
      </w:r>
      <w:r w:rsidR="00EB521A">
        <w:t>positive and 702</w:t>
      </w:r>
      <w:r w:rsidR="00985C9E">
        <w:t xml:space="preserve"> (66.6%)</w:t>
      </w:r>
      <w:r w:rsidR="00EB521A">
        <w:t xml:space="preserve"> tested </w:t>
      </w:r>
      <w:r w:rsidR="00B1753A">
        <w:t xml:space="preserve">PCR </w:t>
      </w:r>
      <w:r w:rsidR="00EB521A">
        <w:t>neg</w:t>
      </w:r>
      <w:r w:rsidR="002C1CD9">
        <w:t>ative for</w:t>
      </w:r>
      <w:r w:rsidR="00763CD7">
        <w:t xml:space="preserve"> </w:t>
      </w:r>
      <w:r w:rsidR="00064B98">
        <w:t>SARS-CoV-2</w:t>
      </w:r>
      <w:r w:rsidR="002C1CD9">
        <w:t>.</w:t>
      </w:r>
      <w:r w:rsidR="00A6198E">
        <w:t xml:space="preserve"> </w:t>
      </w:r>
      <w:r w:rsidR="007A4616">
        <w:t>The patients presented to hospital</w:t>
      </w:r>
      <w:r w:rsidR="0029624B">
        <w:t xml:space="preserve"> between 20</w:t>
      </w:r>
      <w:r w:rsidR="0029624B" w:rsidRPr="0029624B">
        <w:rPr>
          <w:vertAlign w:val="superscript"/>
        </w:rPr>
        <w:t>th</w:t>
      </w:r>
      <w:r w:rsidR="0029624B">
        <w:t xml:space="preserve"> March and 29</w:t>
      </w:r>
      <w:r w:rsidR="0029624B" w:rsidRPr="0029624B">
        <w:rPr>
          <w:vertAlign w:val="superscript"/>
        </w:rPr>
        <w:t>th</w:t>
      </w:r>
      <w:r w:rsidR="00BB600E">
        <w:t xml:space="preserve"> April 2020, corresponding to the peak of the first wave of </w:t>
      </w:r>
      <w:r w:rsidR="00064B98">
        <w:t>the pandemic</w:t>
      </w:r>
      <w:r w:rsidR="00BB600E">
        <w:t xml:space="preserve"> in the UK</w:t>
      </w:r>
      <w:r w:rsidR="00D966C6">
        <w:t xml:space="preserve"> </w:t>
      </w:r>
      <w:r w:rsidR="00995A0F">
        <w:rPr>
          <w:noProof/>
        </w:rPr>
        <w:t>[2]</w:t>
      </w:r>
      <w:r w:rsidR="00D966C6">
        <w:t>.</w:t>
      </w:r>
      <w:r>
        <w:t xml:space="preserve"> </w:t>
      </w:r>
    </w:p>
    <w:p w14:paraId="48D311E1" w14:textId="7EE1EFA3" w:rsidR="0015682D" w:rsidRDefault="0015682D" w:rsidP="005E2925">
      <w:pPr>
        <w:pStyle w:val="Heading2"/>
      </w:pPr>
      <w:r>
        <w:t xml:space="preserve">Demographics, comorbidities, and </w:t>
      </w:r>
      <w:r w:rsidR="00064B98">
        <w:t>presenting clinical</w:t>
      </w:r>
      <w:r w:rsidR="00336F13">
        <w:t xml:space="preserve"> and laboratory </w:t>
      </w:r>
      <w:r w:rsidR="00F40D80">
        <w:t xml:space="preserve">features </w:t>
      </w:r>
    </w:p>
    <w:p w14:paraId="6461C3AC" w14:textId="2D3CE9E0" w:rsidR="007A40B9" w:rsidRDefault="007F2470" w:rsidP="008010B5">
      <w:pPr>
        <w:spacing w:line="480" w:lineRule="auto"/>
      </w:pPr>
      <w:r>
        <w:t xml:space="preserve">The median age of COVID-19 positive patients was 68 years (IQR 50 to 80) versus 69 (52 to 81; </w:t>
      </w:r>
      <w:r w:rsidR="00E8546B">
        <w:t xml:space="preserve">difference of </w:t>
      </w:r>
      <w:r w:rsidR="00CA120E">
        <w:t>-1</w:t>
      </w:r>
      <w:r w:rsidR="00E8546B">
        <w:t xml:space="preserve"> </w:t>
      </w:r>
      <w:r w:rsidR="009831F4">
        <w:t>[</w:t>
      </w:r>
      <w:r w:rsidR="00E8546B">
        <w:t xml:space="preserve">95%CI </w:t>
      </w:r>
      <w:r w:rsidR="00CA120E">
        <w:t>-3</w:t>
      </w:r>
      <w:r w:rsidR="00E8546B">
        <w:t xml:space="preserve"> to </w:t>
      </w:r>
      <w:r w:rsidR="00CA120E">
        <w:t>2</w:t>
      </w:r>
      <w:r w:rsidR="009831F4">
        <w:t>],</w:t>
      </w:r>
      <w:r w:rsidR="00E8546B">
        <w:t xml:space="preserve"> </w:t>
      </w:r>
      <w:r>
        <w:t>p=0.4689). 57.4% (202/352) were male in the COVID-19 positive group versus 51.7% (363/702) in the COVID-19 negative group (</w:t>
      </w:r>
      <w:r w:rsidR="00CA120E">
        <w:t xml:space="preserve">difference of </w:t>
      </w:r>
      <w:r w:rsidR="00CA120E" w:rsidRPr="00010808">
        <w:rPr>
          <w:rFonts w:ascii="Calibri" w:eastAsia="Times New Roman" w:hAnsi="Calibri" w:cs="Times New Roman"/>
          <w:lang w:eastAsia="en-GB"/>
        </w:rPr>
        <w:t>5.7%</w:t>
      </w:r>
      <w:r w:rsidR="00CA120E">
        <w:rPr>
          <w:rFonts w:ascii="Calibri" w:eastAsia="Times New Roman" w:hAnsi="Calibri" w:cs="Times New Roman"/>
          <w:lang w:eastAsia="en-GB"/>
        </w:rPr>
        <w:t xml:space="preserve"> </w:t>
      </w:r>
      <w:r w:rsidR="009831F4">
        <w:rPr>
          <w:rFonts w:ascii="Calibri" w:eastAsia="Times New Roman" w:hAnsi="Calibri" w:cs="Times New Roman"/>
          <w:lang w:eastAsia="en-GB"/>
        </w:rPr>
        <w:t>[</w:t>
      </w:r>
      <w:r w:rsidR="00CA120E">
        <w:rPr>
          <w:rFonts w:ascii="Calibri" w:eastAsia="Times New Roman" w:hAnsi="Calibri" w:cs="Times New Roman"/>
          <w:lang w:eastAsia="en-GB"/>
        </w:rPr>
        <w:t>95%CI -0.7% to 11.9%</w:t>
      </w:r>
      <w:r w:rsidR="009831F4">
        <w:rPr>
          <w:rFonts w:ascii="Calibri" w:eastAsia="Times New Roman" w:hAnsi="Calibri" w:cs="Times New Roman"/>
          <w:lang w:eastAsia="en-GB"/>
        </w:rPr>
        <w:t>],</w:t>
      </w:r>
      <w:r w:rsidR="00CA120E">
        <w:t xml:space="preserve"> </w:t>
      </w:r>
      <w:r w:rsidR="007C03CA">
        <w:t>p=0.0887)</w:t>
      </w:r>
      <w:r w:rsidR="007A40B9">
        <w:t xml:space="preserve">. </w:t>
      </w:r>
      <w:r w:rsidR="00870E82">
        <w:t>Fewer</w:t>
      </w:r>
      <w:r w:rsidR="007A40B9">
        <w:t xml:space="preserve"> patients had COPD in the COVID-19 positive group </w:t>
      </w:r>
      <w:r w:rsidR="00331B38">
        <w:t>than</w:t>
      </w:r>
      <w:r w:rsidR="007A40B9">
        <w:t xml:space="preserve"> negative group (13.4% (47/352) vs </w:t>
      </w:r>
      <w:r w:rsidR="00870E82">
        <w:t>18.7% (131/702),</w:t>
      </w:r>
      <w:r w:rsidR="009831F4">
        <w:t xml:space="preserve"> difference of </w:t>
      </w:r>
      <w:r w:rsidR="009831F4" w:rsidRPr="00010808">
        <w:rPr>
          <w:rFonts w:ascii="Calibri" w:eastAsia="Times New Roman" w:hAnsi="Calibri" w:cs="Times New Roman"/>
          <w:lang w:eastAsia="en-GB"/>
        </w:rPr>
        <w:t>-5.3%</w:t>
      </w:r>
      <w:r w:rsidR="009831F4">
        <w:rPr>
          <w:rFonts w:ascii="Calibri" w:eastAsia="Times New Roman" w:hAnsi="Calibri" w:cs="Times New Roman"/>
          <w:lang w:eastAsia="en-GB"/>
        </w:rPr>
        <w:t xml:space="preserve"> [-9.7% to -0.5%],</w:t>
      </w:r>
      <w:r w:rsidR="00870E82">
        <w:t xml:space="preserve"> p=0.0297).</w:t>
      </w:r>
      <w:r w:rsidR="007A40B9">
        <w:t xml:space="preserve"> There were no significant differences in </w:t>
      </w:r>
      <w:r w:rsidR="00BD71B7">
        <w:t>a range of other</w:t>
      </w:r>
      <w:r w:rsidR="007A40B9">
        <w:t xml:space="preserve"> comorbidities</w:t>
      </w:r>
      <w:r w:rsidR="00870E82">
        <w:t xml:space="preserve"> including hypertension, cardiovascular disease, and diabetes (Table 1).</w:t>
      </w:r>
    </w:p>
    <w:p w14:paraId="2B7DBD9C" w14:textId="77777777" w:rsidR="00450E27" w:rsidRDefault="00450E27" w:rsidP="00450E27">
      <w:pPr>
        <w:spacing w:line="480" w:lineRule="auto"/>
      </w:pPr>
      <w:r>
        <w:t xml:space="preserve">5.7% (20/352) were current smokers in the COVID-19 positive group versus 16.5% (116/702) in the COVID-19 negative group (difference of </w:t>
      </w:r>
      <w:r w:rsidRPr="00C05355">
        <w:t xml:space="preserve">-10.8% </w:t>
      </w:r>
      <w:r>
        <w:t>[</w:t>
      </w:r>
      <w:r w:rsidRPr="00C05355">
        <w:t>-7.0% to -14.4%</w:t>
      </w:r>
      <w:r>
        <w:t xml:space="preserve">], p=0.0001; Table S1 in supplementary material). 53.7% (189/352) had never smoked in the COVID-19 positive group compared to 35.9% (252/702) in the COVID-19 negative group (difference of 17.8% [11.4% to 24.0%], p&lt;0.0001). </w:t>
      </w:r>
    </w:p>
    <w:p w14:paraId="4BC886AD" w14:textId="31CD622C" w:rsidR="00450E27" w:rsidRDefault="00450E27" w:rsidP="00450E27">
      <w:pPr>
        <w:spacing w:line="480" w:lineRule="auto"/>
      </w:pPr>
      <w:r>
        <w:lastRenderedPageBreak/>
        <w:t xml:space="preserve">Patients with COVID-19 were more frequently healthcare workers than patients who tested negative for COVID-19 (20.9% (39/187) vs 5.2% (15/287), difference of </w:t>
      </w:r>
      <w:r w:rsidRPr="00362651">
        <w:rPr>
          <w:rFonts w:ascii="Calibri" w:eastAsia="Times New Roman" w:hAnsi="Calibri" w:cs="Times New Roman"/>
          <w:color w:val="000000"/>
          <w:lang w:eastAsia="en-GB"/>
        </w:rPr>
        <w:t>15.6%</w:t>
      </w:r>
      <w:r>
        <w:rPr>
          <w:rFonts w:ascii="Calibri" w:eastAsia="Times New Roman" w:hAnsi="Calibri" w:cs="Times New Roman"/>
          <w:color w:val="000000"/>
          <w:lang w:eastAsia="en-GB"/>
        </w:rPr>
        <w:t xml:space="preserve"> [9.5% to 22.3%],</w:t>
      </w:r>
      <w:r>
        <w:t xml:space="preserve"> p&lt;0.0001).</w:t>
      </w:r>
    </w:p>
    <w:p w14:paraId="3221BBDC" w14:textId="55842654" w:rsidR="00450E27" w:rsidRDefault="00450E27" w:rsidP="008010B5">
      <w:pPr>
        <w:spacing w:line="480" w:lineRule="auto"/>
      </w:pPr>
      <w:r>
        <w:t>Fewer patients were of White-British ethnicity in the COVID-19 positive group than in the COVID-19 negative group (70.5% (248/352) vs 85.5%, p&lt;0.0001; Table 2). There were proportionally more COVID-19 positive patients of Indian (3.4% (12/352) vs 1.0% (7/702), p=</w:t>
      </w:r>
      <w:r w:rsidRPr="00153C1E">
        <w:t>0.0115</w:t>
      </w:r>
      <w:r>
        <w:t>), non-Indian/Pakistani/Bangladeshi/Chinese Asian (8.0% (28/352) vs 0.7% (5/702), p&lt;0.0001), and Black-African or Black-British-African (3.7% (13/352) vs 0.6% (4/702), p=0.0003) backgrounds than patients testing negative for COVID-19.</w:t>
      </w:r>
    </w:p>
    <w:p w14:paraId="165A6723" w14:textId="27B72397" w:rsidR="00450E27" w:rsidRDefault="00450E27" w:rsidP="00450E27">
      <w:pPr>
        <w:spacing w:line="480" w:lineRule="auto"/>
      </w:pPr>
      <w:r>
        <w:t xml:space="preserve">On the first set of observations (vital signs) at presentation to hospital, patients with COVID-19 had a higher proportion of fever (≥37.8°C) than patients without COVID-19 (31.8% (112/352) vs 15.4% (108/702); difference </w:t>
      </w:r>
      <w:r w:rsidRPr="009831F4">
        <w:t xml:space="preserve">16.4% </w:t>
      </w:r>
      <w:r>
        <w:t>[</w:t>
      </w:r>
      <w:r w:rsidRPr="009831F4">
        <w:t>10.1% to 22.1%</w:t>
      </w:r>
      <w:r>
        <w:t xml:space="preserve">], p&lt;0.0001). Patients with COVID-19 also had a </w:t>
      </w:r>
      <w:r w:rsidR="00A701BA">
        <w:t>higher</w:t>
      </w:r>
      <w:r>
        <w:t xml:space="preserve"> respiratory rate (</w:t>
      </w:r>
      <w:r w:rsidRPr="00106431">
        <w:t xml:space="preserve">24 </w:t>
      </w:r>
      <w:r>
        <w:t>[</w:t>
      </w:r>
      <w:r w:rsidRPr="00106431">
        <w:t>20 to</w:t>
      </w:r>
      <w:r>
        <w:t xml:space="preserve"> </w:t>
      </w:r>
      <w:r w:rsidRPr="00106431">
        <w:t>30</w:t>
      </w:r>
      <w:r>
        <w:t xml:space="preserve">] vs </w:t>
      </w:r>
      <w:r w:rsidRPr="00106431">
        <w:t xml:space="preserve">21 </w:t>
      </w:r>
      <w:r>
        <w:t>[</w:t>
      </w:r>
      <w:r w:rsidRPr="00106431">
        <w:t>18 to 26</w:t>
      </w:r>
      <w:r>
        <w:t xml:space="preserve">], difference of </w:t>
      </w:r>
      <w:r w:rsidRPr="00010808">
        <w:rPr>
          <w:rFonts w:ascii="Calibri" w:eastAsia="Times New Roman" w:hAnsi="Calibri" w:cs="Times New Roman"/>
          <w:lang w:eastAsia="en-GB"/>
        </w:rPr>
        <w:t>3</w:t>
      </w:r>
      <w:r>
        <w:rPr>
          <w:rFonts w:ascii="Calibri" w:eastAsia="Times New Roman" w:hAnsi="Calibri" w:cs="Times New Roman"/>
          <w:lang w:eastAsia="en-GB"/>
        </w:rPr>
        <w:t xml:space="preserve"> [2 to 4],</w:t>
      </w:r>
      <w:r>
        <w:t xml:space="preserve"> p</w:t>
      </w:r>
      <w:r w:rsidRPr="00106431">
        <w:t>&lt;0.0001</w:t>
      </w:r>
      <w:r>
        <w:t>) and slightly lower systolic blood pressure (</w:t>
      </w:r>
      <w:r w:rsidRPr="003C51DB">
        <w:t>130</w:t>
      </w:r>
      <w:r>
        <w:t>mmHg</w:t>
      </w:r>
      <w:r w:rsidRPr="003C51DB">
        <w:t xml:space="preserve"> </w:t>
      </w:r>
      <w:r>
        <w:t>[</w:t>
      </w:r>
      <w:r w:rsidRPr="003C51DB">
        <w:t>120 to 146</w:t>
      </w:r>
      <w:r>
        <w:t xml:space="preserve">] vs </w:t>
      </w:r>
      <w:r w:rsidRPr="003C51DB">
        <w:t>135</w:t>
      </w:r>
      <w:r>
        <w:t>mmHg</w:t>
      </w:r>
      <w:r w:rsidRPr="003C51DB">
        <w:t xml:space="preserve"> </w:t>
      </w:r>
      <w:r>
        <w:t>[</w:t>
      </w:r>
      <w:r w:rsidRPr="003C51DB">
        <w:t>120 to 154</w:t>
      </w:r>
      <w:r>
        <w:t xml:space="preserve">], difference of </w:t>
      </w:r>
      <w:r w:rsidRPr="00010808">
        <w:rPr>
          <w:rFonts w:ascii="Calibri" w:eastAsia="Times New Roman" w:hAnsi="Calibri" w:cs="Times New Roman"/>
          <w:lang w:eastAsia="en-GB"/>
        </w:rPr>
        <w:t>-5</w:t>
      </w:r>
      <w:r>
        <w:rPr>
          <w:rFonts w:ascii="Calibri" w:eastAsia="Times New Roman" w:hAnsi="Calibri" w:cs="Times New Roman"/>
          <w:lang w:eastAsia="en-GB"/>
        </w:rPr>
        <w:t>mmHg [-7 to 0],</w:t>
      </w:r>
      <w:r>
        <w:t xml:space="preserve"> p=</w:t>
      </w:r>
      <w:r w:rsidRPr="003C51DB">
        <w:t>0.0245</w:t>
      </w:r>
      <w:r>
        <w:t xml:space="preserve">) than patients who did not have COVID-19. Patients with COVID-19 were more frequently on supplemental oxygen (38.4% (135/352) vs </w:t>
      </w:r>
      <w:r w:rsidRPr="003C51DB">
        <w:t>22.2%</w:t>
      </w:r>
      <w:r>
        <w:t xml:space="preserve"> (156/702), difference of </w:t>
      </w:r>
      <w:r w:rsidRPr="00010808">
        <w:rPr>
          <w:rFonts w:ascii="Calibri" w:eastAsia="Times New Roman" w:hAnsi="Calibri" w:cs="Times New Roman"/>
          <w:lang w:eastAsia="en-GB"/>
        </w:rPr>
        <w:t>16.1%</w:t>
      </w:r>
      <w:r>
        <w:rPr>
          <w:rFonts w:ascii="Calibri" w:eastAsia="Times New Roman" w:hAnsi="Calibri" w:cs="Times New Roman"/>
          <w:lang w:eastAsia="en-GB"/>
        </w:rPr>
        <w:t xml:space="preserve"> [10.2% to 22.1%],</w:t>
      </w:r>
      <w:r>
        <w:t xml:space="preserve"> p</w:t>
      </w:r>
      <w:r w:rsidRPr="003C51DB">
        <w:t>&lt;0.0001</w:t>
      </w:r>
      <w:r>
        <w:t xml:space="preserve">) and had a higher National Early Warning Score 2 (NEWS2: a national severity scoring system; </w:t>
      </w:r>
      <w:r w:rsidRPr="00075823">
        <w:t xml:space="preserve">5 </w:t>
      </w:r>
      <w:r>
        <w:t>[</w:t>
      </w:r>
      <w:r w:rsidRPr="00075823">
        <w:t>3 to 7</w:t>
      </w:r>
      <w:r>
        <w:t xml:space="preserve">] vs </w:t>
      </w:r>
      <w:r w:rsidRPr="00075823">
        <w:t xml:space="preserve">4 </w:t>
      </w:r>
      <w:r>
        <w:t>[</w:t>
      </w:r>
      <w:r w:rsidRPr="00075823">
        <w:t>2 to 6</w:t>
      </w:r>
      <w:r>
        <w:t>], difference of 1 [1 to 2], p</w:t>
      </w:r>
      <w:r w:rsidRPr="00075823">
        <w:t>&lt;0.0001</w:t>
      </w:r>
      <w:r>
        <w:t>) than COVID-19 negative patients.</w:t>
      </w:r>
    </w:p>
    <w:p w14:paraId="2F6693A5" w14:textId="6285F1AA" w:rsidR="00A5390C" w:rsidRDefault="00A5390C" w:rsidP="008010B5">
      <w:pPr>
        <w:spacing w:line="480" w:lineRule="auto"/>
      </w:pPr>
      <w:r>
        <w:t>On patient</w:t>
      </w:r>
      <w:r w:rsidR="00322E6A">
        <w:t>s’ first</w:t>
      </w:r>
      <w:r>
        <w:t xml:space="preserve"> blood tests, COVID-19 </w:t>
      </w:r>
      <w:r w:rsidR="009247F4">
        <w:t>patients</w:t>
      </w:r>
      <w:r>
        <w:t xml:space="preserve"> had a higher median C-reactive protein (</w:t>
      </w:r>
      <w:r w:rsidRPr="00A5390C">
        <w:t xml:space="preserve">95 </w:t>
      </w:r>
      <w:r w:rsidR="00C05355">
        <w:t>[</w:t>
      </w:r>
      <w:r w:rsidRPr="00A5390C">
        <w:t>36 to 158</w:t>
      </w:r>
      <w:r w:rsidR="00C05355">
        <w:t>]</w:t>
      </w:r>
      <w:r>
        <w:t xml:space="preserve"> vs </w:t>
      </w:r>
      <w:r w:rsidRPr="00A5390C">
        <w:t xml:space="preserve">26 </w:t>
      </w:r>
      <w:r w:rsidR="00C05355">
        <w:t>[</w:t>
      </w:r>
      <w:r w:rsidRPr="00A5390C">
        <w:t>8 to 101.5</w:t>
      </w:r>
      <w:r w:rsidR="00C05355">
        <w:t>]</w:t>
      </w:r>
      <w:r>
        <w:t>, lower lymphocyte count (</w:t>
      </w:r>
      <w:r w:rsidRPr="00A5390C">
        <w:t>0.9</w:t>
      </w:r>
      <w:r w:rsidR="00412310">
        <w:t xml:space="preserve"> </w:t>
      </w:r>
      <w:r w:rsidR="009247F4">
        <w:t>x</w:t>
      </w:r>
      <w:r w:rsidR="00412310">
        <w:t>10</w:t>
      </w:r>
      <w:r w:rsidR="00412310" w:rsidRPr="00412310">
        <w:rPr>
          <w:vertAlign w:val="superscript"/>
        </w:rPr>
        <w:t>9</w:t>
      </w:r>
      <w:r w:rsidR="00412310">
        <w:t>/L</w:t>
      </w:r>
      <w:r w:rsidRPr="00A5390C">
        <w:t xml:space="preserve"> </w:t>
      </w:r>
      <w:r w:rsidR="00C05355">
        <w:t>[</w:t>
      </w:r>
      <w:r w:rsidRPr="00A5390C">
        <w:t>0.63 to 1.3</w:t>
      </w:r>
      <w:r w:rsidR="00C05355">
        <w:t>]</w:t>
      </w:r>
      <w:r>
        <w:t xml:space="preserve"> vs </w:t>
      </w:r>
      <w:r w:rsidRPr="00A5390C">
        <w:t>1.2</w:t>
      </w:r>
      <w:r w:rsidR="00412310">
        <w:t xml:space="preserve"> </w:t>
      </w:r>
      <w:r w:rsidR="005F4786">
        <w:t>x</w:t>
      </w:r>
      <w:r w:rsidR="00412310">
        <w:t>10</w:t>
      </w:r>
      <w:r w:rsidR="00412310" w:rsidRPr="00412310">
        <w:rPr>
          <w:vertAlign w:val="superscript"/>
        </w:rPr>
        <w:t>9</w:t>
      </w:r>
      <w:r w:rsidR="00412310">
        <w:t>/L</w:t>
      </w:r>
      <w:r w:rsidRPr="00A5390C">
        <w:t xml:space="preserve"> </w:t>
      </w:r>
      <w:r w:rsidR="00C05355">
        <w:t>[</w:t>
      </w:r>
      <w:r w:rsidRPr="00A5390C">
        <w:t>0.8 to 1.8</w:t>
      </w:r>
      <w:r w:rsidR="00C05355">
        <w:t>]</w:t>
      </w:r>
      <w:r>
        <w:t xml:space="preserve">, </w:t>
      </w:r>
      <w:r w:rsidR="009247F4">
        <w:t>a</w:t>
      </w:r>
      <w:r w:rsidR="00412310">
        <w:t>n</w:t>
      </w:r>
      <w:r w:rsidR="005F4786">
        <w:t>d lower neutrophil count (5.6 x</w:t>
      </w:r>
      <w:r w:rsidR="00412310">
        <w:t>10</w:t>
      </w:r>
      <w:r w:rsidR="00412310" w:rsidRPr="00412310">
        <w:rPr>
          <w:vertAlign w:val="superscript"/>
        </w:rPr>
        <w:t>9</w:t>
      </w:r>
      <w:r w:rsidR="00412310">
        <w:t xml:space="preserve">/L </w:t>
      </w:r>
      <w:r w:rsidR="00C05355">
        <w:t>[</w:t>
      </w:r>
      <w:r w:rsidR="00412310">
        <w:t>4.1 to 8.3</w:t>
      </w:r>
      <w:r w:rsidR="00C05355">
        <w:t>]</w:t>
      </w:r>
      <w:r w:rsidR="00412310">
        <w:t xml:space="preserve"> vs </w:t>
      </w:r>
      <w:r w:rsidR="00412310" w:rsidRPr="00412310">
        <w:t xml:space="preserve">8.0 </w:t>
      </w:r>
      <w:r w:rsidR="00412310">
        <w:t xml:space="preserve"> x10</w:t>
      </w:r>
      <w:r w:rsidR="00412310" w:rsidRPr="00412310">
        <w:rPr>
          <w:vertAlign w:val="superscript"/>
        </w:rPr>
        <w:t>9</w:t>
      </w:r>
      <w:r w:rsidR="00412310">
        <w:t xml:space="preserve">/L </w:t>
      </w:r>
      <w:r w:rsidR="00C05355">
        <w:t>[</w:t>
      </w:r>
      <w:r w:rsidR="00412310" w:rsidRPr="00412310">
        <w:t>5.3 to 12.0</w:t>
      </w:r>
      <w:r w:rsidR="00C05355">
        <w:t>]</w:t>
      </w:r>
      <w:r w:rsidR="009247F4">
        <w:t xml:space="preserve"> compared to COVID-19 negative patients (all p&lt;0.0001</w:t>
      </w:r>
      <w:r w:rsidR="00450E27">
        <w:t>; Table 1</w:t>
      </w:r>
      <w:r w:rsidR="009247F4">
        <w:t>)</w:t>
      </w:r>
      <w:r w:rsidR="00412310">
        <w:t>.</w:t>
      </w:r>
      <w:r w:rsidR="00D15907">
        <w:t xml:space="preserve"> Patients in the COVID-19 group more frequently had lymphopenia combined with a non-raised neutrophil count (59.7% (184/308) vs 29.0% (176/607), difference</w:t>
      </w:r>
      <w:r w:rsidR="00C05355">
        <w:t xml:space="preserve"> of </w:t>
      </w:r>
      <w:r w:rsidR="00D15907">
        <w:t>30.7%</w:t>
      </w:r>
      <w:r w:rsidR="00C05355">
        <w:t xml:space="preserve"> [24.0% to 37.1%], </w:t>
      </w:r>
      <w:r w:rsidR="00D15907">
        <w:t xml:space="preserve">p&lt;0.0001). </w:t>
      </w:r>
    </w:p>
    <w:p w14:paraId="2E7469A0" w14:textId="77777777" w:rsidR="00E60084" w:rsidRDefault="00E60084" w:rsidP="005E2925">
      <w:pPr>
        <w:pStyle w:val="Heading2"/>
      </w:pPr>
      <w:r>
        <w:lastRenderedPageBreak/>
        <w:t>Symptoms</w:t>
      </w:r>
    </w:p>
    <w:p w14:paraId="4304FD29" w14:textId="6C80FAED" w:rsidR="00E60084" w:rsidRPr="00E60084" w:rsidRDefault="00E60084" w:rsidP="008010B5">
      <w:pPr>
        <w:spacing w:line="480" w:lineRule="auto"/>
      </w:pPr>
      <w:r>
        <w:t>The</w:t>
      </w:r>
      <w:r w:rsidR="000A51FE">
        <w:t xml:space="preserve"> </w:t>
      </w:r>
      <w:r w:rsidR="00336F13">
        <w:t xml:space="preserve">median </w:t>
      </w:r>
      <w:r w:rsidR="000A51FE">
        <w:t>duration of symptoms prior to</w:t>
      </w:r>
      <w:r>
        <w:t xml:space="preserve"> </w:t>
      </w:r>
      <w:r w:rsidR="00AA1C31">
        <w:t xml:space="preserve">hospital </w:t>
      </w:r>
      <w:r>
        <w:t xml:space="preserve">presentation was longer in COVID-19 positive </w:t>
      </w:r>
      <w:r w:rsidR="001A7139">
        <w:t>patients</w:t>
      </w:r>
      <w:r>
        <w:t xml:space="preserve"> than COVID-19 negative </w:t>
      </w:r>
      <w:r w:rsidR="001A7139">
        <w:t>patients</w:t>
      </w:r>
      <w:r w:rsidR="00973136" w:rsidRPr="00164AD5">
        <w:t>,</w:t>
      </w:r>
      <w:r w:rsidR="003411E6" w:rsidRPr="00164AD5">
        <w:t xml:space="preserve"> </w:t>
      </w:r>
      <w:r w:rsidRPr="00164AD5">
        <w:t>5 days (2 to 9) vs 3 days (1 to 7)</w:t>
      </w:r>
      <w:r w:rsidR="00450E27" w:rsidRPr="00164AD5">
        <w:t>, difference of 2 [0 to 2]</w:t>
      </w:r>
      <w:r w:rsidRPr="00164AD5">
        <w:t>, p=0.0021)</w:t>
      </w:r>
      <w:r>
        <w:t xml:space="preserve"> (Table 1).</w:t>
      </w:r>
    </w:p>
    <w:p w14:paraId="533A8BAF" w14:textId="690A8793" w:rsidR="00963B93" w:rsidRDefault="001A7139" w:rsidP="008010B5">
      <w:pPr>
        <w:spacing w:line="480" w:lineRule="auto"/>
      </w:pPr>
      <w:r>
        <w:t>S</w:t>
      </w:r>
      <w:r w:rsidR="0015682D">
        <w:t xml:space="preserve">ore throat, </w:t>
      </w:r>
      <w:r w:rsidR="001F0C50">
        <w:t>c</w:t>
      </w:r>
      <w:r w:rsidR="0015682D">
        <w:t xml:space="preserve">ough, </w:t>
      </w:r>
      <w:r w:rsidR="001F0C50">
        <w:t>s</w:t>
      </w:r>
      <w:r w:rsidR="0015682D">
        <w:t xml:space="preserve">putum, </w:t>
      </w:r>
      <w:r w:rsidR="001F0C50">
        <w:t>f</w:t>
      </w:r>
      <w:r w:rsidR="0015682D">
        <w:t xml:space="preserve">ever, </w:t>
      </w:r>
      <w:r w:rsidR="001F0C50">
        <w:t>c</w:t>
      </w:r>
      <w:r w:rsidR="0015682D">
        <w:t xml:space="preserve">hills, </w:t>
      </w:r>
      <w:r w:rsidR="001F0C50">
        <w:t>f</w:t>
      </w:r>
      <w:r w:rsidR="0015682D">
        <w:t>atigue, reduce</w:t>
      </w:r>
      <w:r w:rsidR="001F0C50">
        <w:t>d</w:t>
      </w:r>
      <w:r w:rsidR="0015682D">
        <w:t xml:space="preserve"> appetite, headache, diarrhoea, </w:t>
      </w:r>
      <w:r w:rsidR="001F0C50">
        <w:t xml:space="preserve">and anosmia (Table </w:t>
      </w:r>
      <w:r w:rsidR="009E40B3">
        <w:t>3</w:t>
      </w:r>
      <w:r w:rsidR="001F0C50">
        <w:t>)</w:t>
      </w:r>
      <w:r>
        <w:t xml:space="preserve"> were more frequently reported in COVID-19 positive patients than in negative patients</w:t>
      </w:r>
      <w:r w:rsidR="001F0C50">
        <w:t>. Anosmia was found in 33.1%</w:t>
      </w:r>
      <w:r w:rsidR="00164AD5">
        <w:t xml:space="preserve"> (47/142)</w:t>
      </w:r>
      <w:r w:rsidR="001F0C50">
        <w:t xml:space="preserve"> of COVID-19 positive patients </w:t>
      </w:r>
      <w:r w:rsidR="005F4786">
        <w:t>versus</w:t>
      </w:r>
      <w:r w:rsidR="001F0C50">
        <w:t xml:space="preserve"> 8.8%</w:t>
      </w:r>
      <w:r w:rsidR="00164AD5">
        <w:t xml:space="preserve"> (19/216)</w:t>
      </w:r>
      <w:r w:rsidR="00963B93">
        <w:t xml:space="preserve"> of COVID-19 negative patients (</w:t>
      </w:r>
      <w:r w:rsidR="00164AD5">
        <w:t xml:space="preserve">difference of </w:t>
      </w:r>
      <w:r w:rsidR="00164AD5" w:rsidRPr="00164AD5">
        <w:t xml:space="preserve">24.3% </w:t>
      </w:r>
      <w:r w:rsidR="00164AD5">
        <w:t>[</w:t>
      </w:r>
      <w:r w:rsidR="00164AD5" w:rsidRPr="00164AD5">
        <w:t>15.8% to 33.0%</w:t>
      </w:r>
      <w:r w:rsidR="00164AD5">
        <w:t xml:space="preserve">], </w:t>
      </w:r>
      <w:r w:rsidR="00963B93">
        <w:t>p&lt;0.0001)</w:t>
      </w:r>
      <w:r w:rsidR="00164AD5">
        <w:t>. Ano</w:t>
      </w:r>
      <w:r w:rsidR="00963B93">
        <w:t>smia was the only s</w:t>
      </w:r>
      <w:r w:rsidR="001F0C50">
        <w:t xml:space="preserve">ymptom with &lt;10% prevalence in COVID-19 negative </w:t>
      </w:r>
      <w:r w:rsidR="00996656">
        <w:t>patients</w:t>
      </w:r>
      <w:r w:rsidR="00963B93">
        <w:t xml:space="preserve">. The </w:t>
      </w:r>
      <w:r w:rsidR="000A51FE">
        <w:t xml:space="preserve">pre-hospital </w:t>
      </w:r>
      <w:r w:rsidR="00963B93">
        <w:t>duration of reported fever, chills, fatigue, reduced appetite,</w:t>
      </w:r>
      <w:r w:rsidR="0073457D">
        <w:t xml:space="preserve"> and headache was longer in COVID-19 positive patients than in COVI</w:t>
      </w:r>
      <w:r w:rsidR="009E40B3">
        <w:t>D-19 negative patients</w:t>
      </w:r>
      <w:r w:rsidR="0073457D">
        <w:t xml:space="preserve">. </w:t>
      </w:r>
    </w:p>
    <w:p w14:paraId="080D9BC8" w14:textId="77777777" w:rsidR="0015682D" w:rsidRDefault="0015682D" w:rsidP="005E2925">
      <w:pPr>
        <w:pStyle w:val="Heading2"/>
      </w:pPr>
      <w:r>
        <w:t>Other respiratory viruses and atypical bacteria</w:t>
      </w:r>
    </w:p>
    <w:p w14:paraId="0D1E0E04" w14:textId="77F51D34" w:rsidR="00E8118D" w:rsidRPr="00E8118D" w:rsidRDefault="00B9285C" w:rsidP="008010B5">
      <w:pPr>
        <w:spacing w:line="480" w:lineRule="auto"/>
      </w:pPr>
      <w:r>
        <w:t xml:space="preserve">2.5% (5/197) of COVID-19 positive </w:t>
      </w:r>
      <w:r w:rsidR="005F4786">
        <w:t>patients</w:t>
      </w:r>
      <w:r>
        <w:t xml:space="preserve"> had co-detections with viruses or atypical bacteria alongside SARS-CoV-2 via mPOCT compared with 7.9% (24/302)</w:t>
      </w:r>
      <w:r w:rsidR="005F4786">
        <w:t xml:space="preserve"> of COVID-19 negative</w:t>
      </w:r>
      <w:r>
        <w:t xml:space="preserve"> patien</w:t>
      </w:r>
      <w:r w:rsidR="005F4786">
        <w:t>ts having any pathogen detected via mPOCT</w:t>
      </w:r>
      <w:r>
        <w:t xml:space="preserve"> (</w:t>
      </w:r>
      <w:r w:rsidR="00164AD5">
        <w:t>difference of -5.4% [</w:t>
      </w:r>
      <w:r w:rsidR="00164AD5" w:rsidRPr="00164AD5">
        <w:t>-5.4% (-9.3% to -1.3%)</w:t>
      </w:r>
      <w:r w:rsidR="00164AD5">
        <w:t xml:space="preserve">], </w:t>
      </w:r>
      <w:r>
        <w:t>p=0.0109;</w:t>
      </w:r>
      <w:r w:rsidR="00164AD5">
        <w:t xml:space="preserve"> </w:t>
      </w:r>
      <w:r>
        <w:t xml:space="preserve">Table </w:t>
      </w:r>
      <w:r w:rsidR="005F4786">
        <w:t xml:space="preserve">4). </w:t>
      </w:r>
      <w:r>
        <w:t xml:space="preserve">COVID-19 positive </w:t>
      </w:r>
      <w:r w:rsidR="005F4786">
        <w:t>patients</w:t>
      </w:r>
      <w:r>
        <w:t xml:space="preserve"> had no detections of rhinovirus com</w:t>
      </w:r>
      <w:r w:rsidR="005F4786">
        <w:t xml:space="preserve">pared with 12 detections in </w:t>
      </w:r>
      <w:r>
        <w:t xml:space="preserve">COVID-19 negative </w:t>
      </w:r>
      <w:r w:rsidR="005F4786">
        <w:t>patients</w:t>
      </w:r>
      <w:r>
        <w:t xml:space="preserve"> (0/1</w:t>
      </w:r>
      <w:r w:rsidR="003411E6">
        <w:t xml:space="preserve">97 vs 4.0% (12/302), </w:t>
      </w:r>
      <w:r w:rsidR="00164AD5">
        <w:t xml:space="preserve">difference of -4.0% [-9.3% to -1.3%], </w:t>
      </w:r>
      <w:r w:rsidR="003411E6">
        <w:t>p=0.0045).</w:t>
      </w:r>
    </w:p>
    <w:p w14:paraId="550C786F" w14:textId="77777777" w:rsidR="0015682D" w:rsidRDefault="0015682D" w:rsidP="005E2925">
      <w:pPr>
        <w:pStyle w:val="Heading2"/>
      </w:pPr>
      <w:r>
        <w:t>Clinical outcomes</w:t>
      </w:r>
    </w:p>
    <w:p w14:paraId="5A751104" w14:textId="569B2DDD" w:rsidR="00F67CB2" w:rsidRDefault="000E29B8" w:rsidP="008010B5">
      <w:pPr>
        <w:spacing w:line="480" w:lineRule="auto"/>
      </w:pPr>
      <w:r>
        <w:t>Patients with COVID-19 more frequently received antibiotics than patients who did not have COVID-19 (86% (303/352) vs 71.5% (502/702)</w:t>
      </w:r>
      <w:r w:rsidR="00164AD5">
        <w:t xml:space="preserve">, difference </w:t>
      </w:r>
      <w:r w:rsidR="00164AD5" w:rsidRPr="00362651">
        <w:rPr>
          <w:rFonts w:ascii="Calibri" w:eastAsia="Times New Roman" w:hAnsi="Calibri" w:cs="Times New Roman"/>
          <w:color w:val="000000"/>
          <w:lang w:eastAsia="en-GB"/>
        </w:rPr>
        <w:t>14.6%</w:t>
      </w:r>
      <w:r w:rsidR="00164AD5">
        <w:rPr>
          <w:rFonts w:ascii="Calibri" w:eastAsia="Times New Roman" w:hAnsi="Calibri" w:cs="Times New Roman"/>
          <w:color w:val="000000"/>
          <w:lang w:eastAsia="en-GB"/>
        </w:rPr>
        <w:t xml:space="preserve"> [9.4% to 19.3%],</w:t>
      </w:r>
      <w:r w:rsidR="00164AD5">
        <w:t xml:space="preserve"> </w:t>
      </w:r>
      <w:r>
        <w:t xml:space="preserve">p&lt;0.0001; Table </w:t>
      </w:r>
      <w:r w:rsidR="00164AD5">
        <w:t>5</w:t>
      </w:r>
      <w:r>
        <w:t xml:space="preserve">). COVID-19 positive </w:t>
      </w:r>
      <w:r w:rsidR="00984003">
        <w:t>patients</w:t>
      </w:r>
      <w:r>
        <w:t xml:space="preserve"> more frequently received supplementary oxygen than COVID-19 negative patients (</w:t>
      </w:r>
      <w:r w:rsidRPr="000E29B8">
        <w:t>71.3%</w:t>
      </w:r>
      <w:r>
        <w:t xml:space="preserve"> (251/352) vs </w:t>
      </w:r>
      <w:r w:rsidRPr="000E29B8">
        <w:t>40.9%</w:t>
      </w:r>
      <w:r>
        <w:t xml:space="preserve"> (</w:t>
      </w:r>
      <w:r w:rsidRPr="000E29B8">
        <w:t>287</w:t>
      </w:r>
      <w:r>
        <w:t>/702</w:t>
      </w:r>
      <w:r w:rsidRPr="000E29B8">
        <w:t>)</w:t>
      </w:r>
      <w:r>
        <w:t>,</w:t>
      </w:r>
      <w:r w:rsidR="00164AD5">
        <w:t xml:space="preserve"> difference of </w:t>
      </w:r>
      <w:r w:rsidR="00164AD5" w:rsidRPr="00362651">
        <w:rPr>
          <w:rFonts w:ascii="Calibri" w:eastAsia="Times New Roman" w:hAnsi="Calibri" w:cs="Times New Roman"/>
          <w:color w:val="000000"/>
          <w:lang w:eastAsia="en-GB"/>
        </w:rPr>
        <w:t>30.4%</w:t>
      </w:r>
      <w:r w:rsidR="00164AD5">
        <w:rPr>
          <w:rFonts w:ascii="Calibri" w:eastAsia="Times New Roman" w:hAnsi="Calibri" w:cs="Times New Roman"/>
          <w:color w:val="000000"/>
          <w:lang w:eastAsia="en-GB"/>
        </w:rPr>
        <w:t xml:space="preserve"> [24.3% to 36.2%],</w:t>
      </w:r>
      <w:r>
        <w:t xml:space="preserve"> p</w:t>
      </w:r>
      <w:r w:rsidRPr="000E29B8">
        <w:t>&lt;0.0001</w:t>
      </w:r>
      <w:r>
        <w:t>), and patients who received supplementa</w:t>
      </w:r>
      <w:r w:rsidR="00B50D01">
        <w:t>ry</w:t>
      </w:r>
      <w:r>
        <w:t xml:space="preserve"> oxygen had a longer duration of therapy (</w:t>
      </w:r>
      <w:r w:rsidRPr="000E29B8">
        <w:t xml:space="preserve">20.0 </w:t>
      </w:r>
      <w:r>
        <w:t xml:space="preserve">hours </w:t>
      </w:r>
      <w:r w:rsidR="00164AD5">
        <w:t>[</w:t>
      </w:r>
      <w:r w:rsidRPr="000E29B8">
        <w:t>9.0 to 67.0</w:t>
      </w:r>
      <w:r w:rsidR="00164AD5">
        <w:t>]</w:t>
      </w:r>
      <w:r>
        <w:t xml:space="preserve"> v</w:t>
      </w:r>
      <w:r w:rsidR="00164AD5">
        <w:t>ersu</w:t>
      </w:r>
      <w:r>
        <w:t xml:space="preserve">s </w:t>
      </w:r>
      <w:r w:rsidRPr="000E29B8">
        <w:t>9.8</w:t>
      </w:r>
      <w:r>
        <w:t xml:space="preserve"> hours</w:t>
      </w:r>
      <w:r w:rsidRPr="000E29B8">
        <w:t xml:space="preserve"> </w:t>
      </w:r>
      <w:r w:rsidR="00164AD5">
        <w:t>[</w:t>
      </w:r>
      <w:r w:rsidRPr="000E29B8">
        <w:t>3.0 to 30.0</w:t>
      </w:r>
      <w:r w:rsidR="00164AD5">
        <w:t>]</w:t>
      </w:r>
      <w:r>
        <w:t>,</w:t>
      </w:r>
      <w:r w:rsidR="00164AD5">
        <w:t xml:space="preserve"> difference of </w:t>
      </w:r>
      <w:r w:rsidR="009B084F" w:rsidRPr="00362651">
        <w:rPr>
          <w:rFonts w:ascii="Calibri" w:eastAsia="Times New Roman" w:hAnsi="Calibri" w:cs="Times New Roman"/>
          <w:color w:val="000000"/>
          <w:lang w:eastAsia="en-GB"/>
        </w:rPr>
        <w:t>10.2</w:t>
      </w:r>
      <w:r w:rsidR="009B084F">
        <w:rPr>
          <w:rFonts w:ascii="Calibri" w:eastAsia="Times New Roman" w:hAnsi="Calibri" w:cs="Times New Roman"/>
          <w:color w:val="000000"/>
          <w:lang w:eastAsia="en-GB"/>
        </w:rPr>
        <w:t xml:space="preserve"> [5.8 to 12.5],</w:t>
      </w:r>
      <w:r>
        <w:t xml:space="preserve"> p</w:t>
      </w:r>
      <w:r w:rsidRPr="000E29B8">
        <w:t>&lt;0.0001</w:t>
      </w:r>
      <w:r>
        <w:t xml:space="preserve">). Patients with COVID-19 were more likely to receive high flow nasal oxygen or non-invasive ventilation at any time during </w:t>
      </w:r>
      <w:r>
        <w:lastRenderedPageBreak/>
        <w:t>hospitalisation, and the duration</w:t>
      </w:r>
      <w:r w:rsidR="00F67CB2">
        <w:t xml:space="preserve"> of non-invasive ventilation </w:t>
      </w:r>
      <w:r>
        <w:t>was longer than patients who did not have COVID-19</w:t>
      </w:r>
      <w:r w:rsidR="00A70944">
        <w:t xml:space="preserve"> </w:t>
      </w:r>
      <w:r w:rsidR="009B084F">
        <w:t>(T</w:t>
      </w:r>
      <w:r w:rsidR="00A70944">
        <w:t>able</w:t>
      </w:r>
      <w:r w:rsidR="009B084F">
        <w:t xml:space="preserve"> 5)</w:t>
      </w:r>
      <w:r>
        <w:t xml:space="preserve">. COVID-19 </w:t>
      </w:r>
      <w:r w:rsidR="00BD71B7">
        <w:t>patients</w:t>
      </w:r>
      <w:r>
        <w:t xml:space="preserve"> were more frequently admitted to an intensive care unit </w:t>
      </w:r>
      <w:r w:rsidR="003411E6">
        <w:t xml:space="preserve">than </w:t>
      </w:r>
      <w:r>
        <w:t xml:space="preserve">COVID-19 negative </w:t>
      </w:r>
      <w:r w:rsidR="00BD71B7">
        <w:t>patients</w:t>
      </w:r>
      <w:r>
        <w:t xml:space="preserve"> (17.6% (62/352) vs </w:t>
      </w:r>
      <w:r w:rsidR="00F67CB2">
        <w:t>6.3% (44/702),</w:t>
      </w:r>
      <w:r w:rsidR="005D1793">
        <w:t xml:space="preserve"> difference of </w:t>
      </w:r>
      <w:r w:rsidR="005D1793" w:rsidRPr="00362651">
        <w:rPr>
          <w:rFonts w:ascii="Calibri" w:eastAsia="Times New Roman" w:hAnsi="Calibri" w:cs="Times New Roman"/>
          <w:color w:val="000000"/>
          <w:lang w:eastAsia="en-GB"/>
        </w:rPr>
        <w:t>11.3%</w:t>
      </w:r>
      <w:r w:rsidR="005D1793">
        <w:rPr>
          <w:rFonts w:ascii="Calibri" w:eastAsia="Times New Roman" w:hAnsi="Calibri" w:cs="Times New Roman"/>
          <w:color w:val="000000"/>
          <w:lang w:eastAsia="en-GB"/>
        </w:rPr>
        <w:t xml:space="preserve"> [7.2% to 15.9%],</w:t>
      </w:r>
      <w:r w:rsidR="00F67CB2">
        <w:t xml:space="preserve"> p&lt;0.0001). 11.1% (39/352) patients in the COVID-19 positive group underwent invasive ventilation</w:t>
      </w:r>
      <w:r w:rsidR="003411E6">
        <w:t xml:space="preserve"> </w:t>
      </w:r>
      <w:r w:rsidR="00F67CB2">
        <w:t>compared with 2.8% (20/702) in the COVID-19 negative group (</w:t>
      </w:r>
      <w:r w:rsidR="005D1793">
        <w:t xml:space="preserve">difference of </w:t>
      </w:r>
      <w:r w:rsidR="005D1793" w:rsidRPr="00362651">
        <w:rPr>
          <w:rFonts w:ascii="Calibri" w:eastAsia="Times New Roman" w:hAnsi="Calibri" w:cs="Times New Roman"/>
          <w:color w:val="000000"/>
          <w:lang w:eastAsia="en-GB"/>
        </w:rPr>
        <w:t>8.2%</w:t>
      </w:r>
      <w:r w:rsidR="005D1793">
        <w:rPr>
          <w:rFonts w:ascii="Calibri" w:eastAsia="Times New Roman" w:hAnsi="Calibri" w:cs="Times New Roman"/>
          <w:color w:val="000000"/>
          <w:lang w:eastAsia="en-GB"/>
        </w:rPr>
        <w:t xml:space="preserve"> [5.0% to 12.1%], </w:t>
      </w:r>
      <w:r w:rsidR="00F67CB2">
        <w:t>p&lt;0.0001)</w:t>
      </w:r>
      <w:r w:rsidR="009A0AC9">
        <w:t xml:space="preserve"> and the duration</w:t>
      </w:r>
      <w:r w:rsidR="00A70944">
        <w:t xml:space="preserve"> </w:t>
      </w:r>
      <w:r w:rsidR="004D3BE0">
        <w:t>was longer (14.5 vs 4.7 days,</w:t>
      </w:r>
      <w:r w:rsidR="005D1793">
        <w:t xml:space="preserve"> difference of</w:t>
      </w:r>
      <w:r w:rsidR="004D3BE0">
        <w:t xml:space="preserve"> </w:t>
      </w:r>
      <w:r w:rsidR="005D1793" w:rsidRPr="00362651">
        <w:rPr>
          <w:rFonts w:ascii="Calibri" w:eastAsia="Times New Roman" w:hAnsi="Calibri" w:cs="Times New Roman"/>
          <w:color w:val="000000"/>
          <w:lang w:eastAsia="en-GB"/>
        </w:rPr>
        <w:t>9.7</w:t>
      </w:r>
      <w:r w:rsidR="005D1793">
        <w:rPr>
          <w:rFonts w:ascii="Calibri" w:eastAsia="Times New Roman" w:hAnsi="Calibri" w:cs="Times New Roman"/>
          <w:color w:val="000000"/>
          <w:lang w:eastAsia="en-GB"/>
        </w:rPr>
        <w:t xml:space="preserve"> days [2.3 to 13.5], </w:t>
      </w:r>
      <w:r w:rsidR="004D3BE0">
        <w:t>p=0.0015).</w:t>
      </w:r>
      <w:r w:rsidR="00F67CB2">
        <w:t xml:space="preserve"> A higher proportion of patients with COVID-19 died </w:t>
      </w:r>
      <w:r w:rsidR="002D5D0D">
        <w:t>in hospital</w:t>
      </w:r>
      <w:r w:rsidR="00F67CB2">
        <w:t xml:space="preserve"> </w:t>
      </w:r>
      <w:r w:rsidR="002D5D0D">
        <w:t>up to 30 days from presentation</w:t>
      </w:r>
      <w:r w:rsidR="00F67CB2">
        <w:t xml:space="preserve"> compared with COVID-19 negative patients (21.3% (75/352) vs </w:t>
      </w:r>
      <w:r w:rsidR="002D5D0D">
        <w:t xml:space="preserve">8.7% (61/702), p&lt;0.0001). </w:t>
      </w:r>
      <w:r w:rsidR="00F67CB2">
        <w:t xml:space="preserve">Where patient data were available, more patients died within 30 days in any setting, but fewer patients were readmitted to hospital, in the COVID-19 group compared </w:t>
      </w:r>
      <w:r w:rsidR="00B50D01">
        <w:t>to</w:t>
      </w:r>
      <w:r w:rsidR="00F67CB2">
        <w:t xml:space="preserve"> the COVID-19 negative group.</w:t>
      </w:r>
      <w:r w:rsidR="002D5D0D">
        <w:t xml:space="preserve"> The </w:t>
      </w:r>
      <w:r w:rsidR="00757587">
        <w:t>hospitalisation duration</w:t>
      </w:r>
      <w:r w:rsidR="002D5D0D">
        <w:t xml:space="preserve"> </w:t>
      </w:r>
      <w:r w:rsidR="00757587">
        <w:t>of</w:t>
      </w:r>
      <w:r w:rsidR="002D5D0D">
        <w:t xml:space="preserve"> COVID-19</w:t>
      </w:r>
      <w:r w:rsidR="00757587">
        <w:t xml:space="preserve"> patients</w:t>
      </w:r>
      <w:r w:rsidR="002D5D0D">
        <w:t xml:space="preserve"> was almost twice tha</w:t>
      </w:r>
      <w:r w:rsidR="00B50D01">
        <w:t>t of</w:t>
      </w:r>
      <w:r w:rsidR="002D5D0D">
        <w:t xml:space="preserve"> patients who did not have COVID-19 (7.2 days</w:t>
      </w:r>
      <w:r w:rsidR="002D5D0D" w:rsidRPr="002D5D0D">
        <w:t xml:space="preserve"> (3.1 to 12.2)</w:t>
      </w:r>
      <w:r w:rsidR="002D5D0D">
        <w:t xml:space="preserve"> vs </w:t>
      </w:r>
      <w:r w:rsidR="002D5D0D" w:rsidRPr="002D5D0D">
        <w:t>3.7</w:t>
      </w:r>
      <w:r w:rsidR="002D5D0D">
        <w:t xml:space="preserve"> days</w:t>
      </w:r>
      <w:r w:rsidR="002D5D0D" w:rsidRPr="002D5D0D">
        <w:t xml:space="preserve"> (1.1 to 7.8)</w:t>
      </w:r>
      <w:r w:rsidR="002D5D0D">
        <w:t>,</w:t>
      </w:r>
      <w:r w:rsidR="005D1793">
        <w:t xml:space="preserve"> difference of 3.5 days [1.9 to 3.5],</w:t>
      </w:r>
      <w:r w:rsidR="002D5D0D">
        <w:t xml:space="preserve"> p</w:t>
      </w:r>
      <w:r w:rsidR="002D5D0D" w:rsidRPr="002D5D0D">
        <w:t>&lt;0.0001</w:t>
      </w:r>
      <w:r w:rsidR="002D5D0D">
        <w:t>).</w:t>
      </w:r>
    </w:p>
    <w:p w14:paraId="581AA65C" w14:textId="77777777" w:rsidR="009C4E29" w:rsidRDefault="007244E0" w:rsidP="00131DB9">
      <w:pPr>
        <w:pStyle w:val="Heading1"/>
      </w:pPr>
      <w:r>
        <w:t>Discussion</w:t>
      </w:r>
    </w:p>
    <w:p w14:paraId="116D0472" w14:textId="2FA59E0F" w:rsidR="00B370C9" w:rsidRDefault="00D93C91" w:rsidP="008010B5">
      <w:pPr>
        <w:spacing w:line="480" w:lineRule="auto"/>
      </w:pPr>
      <w:r>
        <w:t>This large study of adults presenting to hospital w</w:t>
      </w:r>
      <w:r w:rsidR="00CD7268">
        <w:t>ith suspected COVID-19 shows</w:t>
      </w:r>
      <w:r>
        <w:t xml:space="preserve"> that patients with COVID-19 have </w:t>
      </w:r>
      <w:r w:rsidR="00A70944">
        <w:t xml:space="preserve">substantial </w:t>
      </w:r>
      <w:r w:rsidR="00923C4E">
        <w:t xml:space="preserve">differences in </w:t>
      </w:r>
      <w:r w:rsidR="00973136">
        <w:t>ethnicity, health care worker status,</w:t>
      </w:r>
      <w:r w:rsidR="00A701BA">
        <w:t xml:space="preserve"> smoking status,</w:t>
      </w:r>
      <w:r w:rsidR="00973136">
        <w:t xml:space="preserve"> </w:t>
      </w:r>
      <w:r w:rsidR="00923C4E">
        <w:t>physiological markers including observations and blood tests,</w:t>
      </w:r>
      <w:r>
        <w:t xml:space="preserve"> </w:t>
      </w:r>
      <w:r w:rsidR="003411E6">
        <w:t>s</w:t>
      </w:r>
      <w:r w:rsidR="00431421">
        <w:t>ymptoms</w:t>
      </w:r>
      <w:r>
        <w:t>,</w:t>
      </w:r>
      <w:r w:rsidR="00973136">
        <w:t xml:space="preserve"> and outcomes</w:t>
      </w:r>
      <w:r>
        <w:t xml:space="preserve"> compared with patients</w:t>
      </w:r>
      <w:r w:rsidR="00A701BA">
        <w:t xml:space="preserve"> </w:t>
      </w:r>
      <w:r>
        <w:t xml:space="preserve">who did not have COVID-19. </w:t>
      </w:r>
      <w:r w:rsidR="00C36A8E">
        <w:t>There was</w:t>
      </w:r>
      <w:r w:rsidR="00AC151B">
        <w:t xml:space="preserve"> no difference in</w:t>
      </w:r>
      <w:r w:rsidR="00C36A8E">
        <w:t xml:space="preserve"> age, gender, and most</w:t>
      </w:r>
      <w:r w:rsidR="00AC151B">
        <w:t xml:space="preserve"> comorbidities between the two groups</w:t>
      </w:r>
      <w:r w:rsidR="00923C4E">
        <w:t>.</w:t>
      </w:r>
      <w:r w:rsidR="00051BE9">
        <w:t xml:space="preserve"> </w:t>
      </w:r>
    </w:p>
    <w:p w14:paraId="1E5047E8" w14:textId="7B7AEE12" w:rsidR="00C36A8E" w:rsidRDefault="00FA36AA" w:rsidP="008010B5">
      <w:pPr>
        <w:spacing w:line="480" w:lineRule="auto"/>
      </w:pPr>
      <w:r>
        <w:t>O</w:t>
      </w:r>
      <w:r w:rsidR="00051BE9">
        <w:t>ver a fifth of COVID-19 patient</w:t>
      </w:r>
      <w:r w:rsidR="00B370C9">
        <w:t>s</w:t>
      </w:r>
      <w:r>
        <w:t xml:space="preserve"> were healthcare workers</w:t>
      </w:r>
      <w:r w:rsidR="00B370C9">
        <w:t xml:space="preserve"> compared to less than six percent of COVID-19 negative patients, </w:t>
      </w:r>
      <w:r w:rsidR="00A701BA">
        <w:t>strengthening</w:t>
      </w:r>
      <w:r w:rsidR="00CE25CE">
        <w:t xml:space="preserve"> the concept that</w:t>
      </w:r>
      <w:r w:rsidR="00B370C9">
        <w:t xml:space="preserve"> </w:t>
      </w:r>
      <w:r w:rsidR="00CE25CE">
        <w:t>occupational</w:t>
      </w:r>
      <w:r w:rsidR="00B370C9">
        <w:t xml:space="preserve"> </w:t>
      </w:r>
      <w:r>
        <w:t>exposure is a</w:t>
      </w:r>
      <w:r w:rsidR="00B370C9">
        <w:t xml:space="preserve"> major risk factor in COVID-19</w:t>
      </w:r>
      <w:r w:rsidR="00CE25CE">
        <w:t xml:space="preserve"> acquisition</w:t>
      </w:r>
      <w:r w:rsidR="00172966">
        <w:t xml:space="preserve"> </w:t>
      </w:r>
      <w:r w:rsidR="00995A0F">
        <w:rPr>
          <w:noProof/>
        </w:rPr>
        <w:t>[14]</w:t>
      </w:r>
      <w:r w:rsidR="0047036E">
        <w:t>.</w:t>
      </w:r>
      <w:r w:rsidR="0047036E" w:rsidRPr="0047036E">
        <w:t xml:space="preserve"> </w:t>
      </w:r>
      <w:r w:rsidR="0047036E">
        <w:t xml:space="preserve">Most large cohorts of patients hospitalised with COVID-19 have not described the proportion of patients who are healthcare workers </w:t>
      </w:r>
      <w:r w:rsidR="00995A0F">
        <w:rPr>
          <w:noProof/>
        </w:rPr>
        <w:t>[3-9, 15]</w:t>
      </w:r>
      <w:r w:rsidR="00121EC6">
        <w:t>, therefore this is a major finding that impacts upon planning in healthcare systems</w:t>
      </w:r>
      <w:r w:rsidR="00696A1C">
        <w:t>.</w:t>
      </w:r>
    </w:p>
    <w:p w14:paraId="774BD78C" w14:textId="718F395F" w:rsidR="000E2CE5" w:rsidRDefault="00193DA5" w:rsidP="000E2CE5">
      <w:pPr>
        <w:spacing w:line="480" w:lineRule="auto"/>
      </w:pPr>
      <w:r>
        <w:lastRenderedPageBreak/>
        <w:t>The low</w:t>
      </w:r>
      <w:r w:rsidR="00A51FB8">
        <w:t>er</w:t>
      </w:r>
      <w:r>
        <w:t xml:space="preserve"> proportion of current smokers</w:t>
      </w:r>
      <w:r w:rsidR="00A51FB8">
        <w:t xml:space="preserve">, </w:t>
      </w:r>
      <w:r w:rsidR="00B90F5B">
        <w:t xml:space="preserve">and </w:t>
      </w:r>
      <w:r w:rsidR="00A51FB8">
        <w:t>higher pro</w:t>
      </w:r>
      <w:r w:rsidR="00FA36AA">
        <w:t>portion of never smokers, in</w:t>
      </w:r>
      <w:r>
        <w:t xml:space="preserve"> COVID-19</w:t>
      </w:r>
      <w:r w:rsidR="00A51FB8">
        <w:t xml:space="preserve"> positive </w:t>
      </w:r>
      <w:r w:rsidR="0047036E">
        <w:t>patients</w:t>
      </w:r>
      <w:r>
        <w:t xml:space="preserve"> compared to COVID-19</w:t>
      </w:r>
      <w:r w:rsidR="00A51FB8">
        <w:t xml:space="preserve"> negative </w:t>
      </w:r>
      <w:r w:rsidR="0047036E">
        <w:t>patients</w:t>
      </w:r>
      <w:r>
        <w:t xml:space="preserve"> is unexpected</w:t>
      </w:r>
      <w:r w:rsidR="00BA053F">
        <w:t>.</w:t>
      </w:r>
      <w:r w:rsidR="0090772D">
        <w:t xml:space="preserve"> </w:t>
      </w:r>
      <w:r w:rsidR="00BA053F">
        <w:t>A</w:t>
      </w:r>
      <w:r w:rsidR="0090772D">
        <w:t xml:space="preserve"> large UK study of hospitalised patien</w:t>
      </w:r>
      <w:r w:rsidR="00FA36AA">
        <w:t>ts with COVID-19 found only six-</w:t>
      </w:r>
      <w:r w:rsidR="0090772D">
        <w:t>percent of patients were current smokers</w:t>
      </w:r>
      <w:r w:rsidR="00D966C6">
        <w:t xml:space="preserve"> </w:t>
      </w:r>
      <w:r w:rsidR="00995A0F">
        <w:rPr>
          <w:noProof/>
        </w:rPr>
        <w:t>[3]</w:t>
      </w:r>
      <w:r w:rsidR="00D966C6">
        <w:t>.</w:t>
      </w:r>
      <w:r w:rsidR="00884A07">
        <w:t xml:space="preserve"> </w:t>
      </w:r>
      <w:r w:rsidR="00923C4E">
        <w:t xml:space="preserve">The lower proportion of patients with COPD in the COVID-19 positive </w:t>
      </w:r>
      <w:r w:rsidR="00F438A6">
        <w:t>group</w:t>
      </w:r>
      <w:r w:rsidR="00923C4E">
        <w:t xml:space="preserve"> </w:t>
      </w:r>
      <w:r w:rsidR="000722BC">
        <w:t>may</w:t>
      </w:r>
      <w:r w:rsidR="00973136">
        <w:t xml:space="preserve"> be </w:t>
      </w:r>
      <w:r w:rsidR="00625FC4">
        <w:t>linked</w:t>
      </w:r>
      <w:r w:rsidR="00923C4E">
        <w:t xml:space="preserve"> with smoking status. </w:t>
      </w:r>
      <w:r w:rsidR="00AC151B">
        <w:t>Conversely,</w:t>
      </w:r>
      <w:r w:rsidR="000722BC">
        <w:t xml:space="preserve"> </w:t>
      </w:r>
      <w:r w:rsidR="00696A1C">
        <w:t xml:space="preserve">in </w:t>
      </w:r>
      <w:r w:rsidR="000722BC">
        <w:t>other studies</w:t>
      </w:r>
      <w:r w:rsidR="00923C4E">
        <w:t xml:space="preserve"> </w:t>
      </w:r>
      <w:r w:rsidR="00AC151B">
        <w:t>current smokers appear at higher risk of worse outcomes than non-smokers</w:t>
      </w:r>
      <w:r w:rsidR="00D966C6">
        <w:t xml:space="preserve"> </w:t>
      </w:r>
      <w:r w:rsidR="00995A0F">
        <w:rPr>
          <w:noProof/>
        </w:rPr>
        <w:t>[16]</w:t>
      </w:r>
      <w:r w:rsidR="003C58A7">
        <w:t>,</w:t>
      </w:r>
      <w:r w:rsidR="000722BC">
        <w:t xml:space="preserve"> and </w:t>
      </w:r>
      <w:r w:rsidR="003C58A7">
        <w:t>exacerbations of COPD are associated with non-SARS-CoV-2</w:t>
      </w:r>
      <w:r w:rsidR="000722BC">
        <w:t xml:space="preserve"> respiratory virus infection</w:t>
      </w:r>
      <w:r w:rsidR="003C58A7">
        <w:t>s</w:t>
      </w:r>
      <w:r w:rsidR="00696A1C">
        <w:t xml:space="preserve"> </w:t>
      </w:r>
      <w:r w:rsidR="00995A0F">
        <w:rPr>
          <w:noProof/>
        </w:rPr>
        <w:t>[17, 18]</w:t>
      </w:r>
      <w:r w:rsidR="00696A1C">
        <w:t>.</w:t>
      </w:r>
      <w:r w:rsidR="000722BC">
        <w:t xml:space="preserve"> </w:t>
      </w:r>
    </w:p>
    <w:p w14:paraId="26D6D116" w14:textId="4537B5C8" w:rsidR="000E2CE5" w:rsidRDefault="000E2CE5" w:rsidP="000E2CE5">
      <w:pPr>
        <w:spacing w:line="480" w:lineRule="auto"/>
      </w:pPr>
      <w:r>
        <w:t>The notable proportion of non-White-British patients with COVID-19 compared with COVID-19 negative patients found in this study and others warrants urgent investigation</w:t>
      </w:r>
      <w:r w:rsidR="00F3066B">
        <w:t xml:space="preserve"> [19, 20]</w:t>
      </w:r>
      <w:r>
        <w:t>.</w:t>
      </w:r>
      <w:r w:rsidR="00DF17CA">
        <w:t xml:space="preserve"> </w:t>
      </w:r>
      <w:r w:rsidR="004526F3">
        <w:t>The COVID-19 group contains four times the proportion of non-white British people than a similar study in 2015/16 in the same hospital enrolling patients with acute respiratory illness and/or fever [</w:t>
      </w:r>
      <w:r w:rsidR="00F3066B">
        <w:t>21</w:t>
      </w:r>
      <w:r w:rsidR="004526F3">
        <w:t xml:space="preserve">]. </w:t>
      </w:r>
      <w:r>
        <w:t>There has been considerable pressure for a wide-reaching investigation into the higher incidence and mortality</w:t>
      </w:r>
      <w:r w:rsidR="003C2210">
        <w:t xml:space="preserve"> of COVID-19</w:t>
      </w:r>
      <w:r>
        <w:t xml:space="preserve"> in racially </w:t>
      </w:r>
      <w:proofErr w:type="spellStart"/>
      <w:r>
        <w:t>minoritised</w:t>
      </w:r>
      <w:proofErr w:type="spellEnd"/>
      <w:r>
        <w:t xml:space="preserve"> people </w:t>
      </w:r>
      <w:r w:rsidR="00995A0F">
        <w:rPr>
          <w:noProof/>
        </w:rPr>
        <w:t>[</w:t>
      </w:r>
      <w:r w:rsidR="003C2210">
        <w:rPr>
          <w:noProof/>
        </w:rPr>
        <w:t>20, 22</w:t>
      </w:r>
      <w:r w:rsidR="00995A0F">
        <w:rPr>
          <w:noProof/>
        </w:rPr>
        <w:t>]</w:t>
      </w:r>
      <w:r>
        <w:t>.</w:t>
      </w:r>
      <w:r w:rsidRPr="00B05D40">
        <w:t xml:space="preserve"> </w:t>
      </w:r>
    </w:p>
    <w:p w14:paraId="14537DD2" w14:textId="5A32558E" w:rsidR="00FA36AA" w:rsidRDefault="00FA36AA" w:rsidP="00FA36AA">
      <w:pPr>
        <w:spacing w:line="480" w:lineRule="auto"/>
      </w:pPr>
      <w:r>
        <w:t xml:space="preserve">Only about one-third of COVID-19 patients had a fever at presentation, reinforcing the finding that temperature screening is not meaningful in this setting </w:t>
      </w:r>
      <w:r w:rsidR="00995A0F">
        <w:rPr>
          <w:noProof/>
        </w:rPr>
        <w:t>[2</w:t>
      </w:r>
      <w:r w:rsidR="0086779C">
        <w:rPr>
          <w:noProof/>
        </w:rPr>
        <w:t>3</w:t>
      </w:r>
      <w:r w:rsidR="00995A0F">
        <w:rPr>
          <w:noProof/>
        </w:rPr>
        <w:t>]</w:t>
      </w:r>
      <w:r>
        <w:t>. Lymphopenia in the context of a non-raised neutrophil count was found in about 60% of COVID-19 positive patients compared to about a third of COVID-19 negative patients;</w:t>
      </w:r>
      <w:r w:rsidR="00332163">
        <w:t xml:space="preserve"> lymphopenia has been incorporated into outcome prediction models</w:t>
      </w:r>
      <w:r w:rsidR="00696A1C">
        <w:t xml:space="preserve"> </w:t>
      </w:r>
      <w:r w:rsidR="00995A0F">
        <w:rPr>
          <w:noProof/>
        </w:rPr>
        <w:t>[2</w:t>
      </w:r>
      <w:r w:rsidR="0086779C">
        <w:rPr>
          <w:noProof/>
        </w:rPr>
        <w:t>4</w:t>
      </w:r>
      <w:r w:rsidR="00995A0F">
        <w:rPr>
          <w:noProof/>
        </w:rPr>
        <w:t>]</w:t>
      </w:r>
      <w:r w:rsidR="000722BC">
        <w:t xml:space="preserve">, </w:t>
      </w:r>
      <w:r w:rsidR="00332163">
        <w:t>and</w:t>
      </w:r>
      <w:r>
        <w:t xml:space="preserve"> </w:t>
      </w:r>
      <w:r w:rsidR="000722BC">
        <w:t>l</w:t>
      </w:r>
      <w:r w:rsidR="00332163">
        <w:t xml:space="preserve">ymphopenia </w:t>
      </w:r>
      <w:r w:rsidR="000722BC">
        <w:t>with</w:t>
      </w:r>
      <w:r w:rsidR="00332163">
        <w:t xml:space="preserve"> normal neutrophil count</w:t>
      </w:r>
      <w:r>
        <w:t xml:space="preserve"> may contribute to future </w:t>
      </w:r>
      <w:r w:rsidR="000722BC">
        <w:t>prediction</w:t>
      </w:r>
      <w:r>
        <w:t xml:space="preserve"> tools</w:t>
      </w:r>
      <w:r w:rsidR="000722BC">
        <w:t xml:space="preserve"> in</w:t>
      </w:r>
      <w:r>
        <w:t xml:space="preserve"> COVID-19. </w:t>
      </w:r>
    </w:p>
    <w:p w14:paraId="620E99DC" w14:textId="4483037C" w:rsidR="00475894" w:rsidRDefault="00475894" w:rsidP="00FA36AA">
      <w:pPr>
        <w:spacing w:line="480" w:lineRule="auto"/>
      </w:pPr>
      <w:r w:rsidRPr="00475894">
        <w:t>Recently, a</w:t>
      </w:r>
      <w:r>
        <w:t>nosmia has been</w:t>
      </w:r>
      <w:r w:rsidRPr="00475894">
        <w:t xml:space="preserve"> reported as a symptom of COVID-19 but data in hospitalised patients is limited </w:t>
      </w:r>
      <w:r w:rsidR="00995A0F">
        <w:rPr>
          <w:noProof/>
        </w:rPr>
        <w:t>[2</w:t>
      </w:r>
      <w:r w:rsidR="0086779C">
        <w:rPr>
          <w:noProof/>
        </w:rPr>
        <w:t>5</w:t>
      </w:r>
      <w:r w:rsidR="00995A0F">
        <w:rPr>
          <w:noProof/>
        </w:rPr>
        <w:t>, 2</w:t>
      </w:r>
      <w:r w:rsidR="0086779C">
        <w:rPr>
          <w:noProof/>
        </w:rPr>
        <w:t>6</w:t>
      </w:r>
      <w:r w:rsidR="00995A0F">
        <w:rPr>
          <w:noProof/>
        </w:rPr>
        <w:t>]</w:t>
      </w:r>
      <w:r w:rsidRPr="00475894">
        <w:t>.</w:t>
      </w:r>
      <w:r w:rsidR="00BC65A2">
        <w:t xml:space="preserve"> This study shows that about a third of patients hospitalised with COVID-19 report anosmia, compared to less than 10% of comparable patients without COVID-19.</w:t>
      </w:r>
      <w:r w:rsidR="000E2CE5">
        <w:t xml:space="preserve"> This suggests that the change in UK</w:t>
      </w:r>
      <w:r w:rsidR="003C58A7">
        <w:t>-</w:t>
      </w:r>
      <w:r w:rsidR="000E2CE5">
        <w:t xml:space="preserve">national screening policy to include anosmia as symptom </w:t>
      </w:r>
      <w:r w:rsidR="00696A1C">
        <w:t>of potential COVID-19</w:t>
      </w:r>
      <w:r w:rsidR="000E2CE5">
        <w:t xml:space="preserve"> </w:t>
      </w:r>
      <w:r w:rsidR="00696A1C">
        <w:t>is also appropriate in</w:t>
      </w:r>
      <w:r w:rsidR="003C58A7">
        <w:t xml:space="preserve"> hospitalised adults</w:t>
      </w:r>
      <w:r w:rsidR="00696A1C">
        <w:t xml:space="preserve"> </w:t>
      </w:r>
      <w:r w:rsidR="00995A0F">
        <w:rPr>
          <w:noProof/>
        </w:rPr>
        <w:t>[2</w:t>
      </w:r>
      <w:r w:rsidR="0086779C">
        <w:rPr>
          <w:noProof/>
        </w:rPr>
        <w:t>7</w:t>
      </w:r>
      <w:r w:rsidR="00995A0F">
        <w:rPr>
          <w:noProof/>
        </w:rPr>
        <w:t>]</w:t>
      </w:r>
      <w:r w:rsidR="000E2CE5">
        <w:t>.</w:t>
      </w:r>
    </w:p>
    <w:p w14:paraId="340C2F55" w14:textId="6083ACD3" w:rsidR="00B45AA4" w:rsidRDefault="00B05D40" w:rsidP="008010B5">
      <w:pPr>
        <w:spacing w:line="480" w:lineRule="auto"/>
      </w:pPr>
      <w:r>
        <w:lastRenderedPageBreak/>
        <w:t xml:space="preserve">The viral co-infection rate was lower than other studies, although this may reflect the time period </w:t>
      </w:r>
      <w:r w:rsidR="00E45E79">
        <w:t xml:space="preserve">of the study in relation to usual seasonal respiratory virus activity locally and </w:t>
      </w:r>
      <w:r>
        <w:t xml:space="preserve">therefore lower rates of influenza and other seasonal viruses may be expected </w:t>
      </w:r>
      <w:r w:rsidR="00995A0F">
        <w:rPr>
          <w:noProof/>
        </w:rPr>
        <w:t>[2</w:t>
      </w:r>
      <w:r w:rsidR="0086779C">
        <w:rPr>
          <w:noProof/>
        </w:rPr>
        <w:t>8</w:t>
      </w:r>
      <w:r w:rsidR="00995A0F">
        <w:rPr>
          <w:noProof/>
        </w:rPr>
        <w:t>]</w:t>
      </w:r>
      <w:r>
        <w:t xml:space="preserve">. However, the lower rate of respiratory virus infection and the conspicuous absence of rhinovirus infection in COVID-19 positive versus negative </w:t>
      </w:r>
      <w:r w:rsidR="00E45E79">
        <w:t>patient’s</w:t>
      </w:r>
      <w:r>
        <w:t xml:space="preserve"> </w:t>
      </w:r>
      <w:r w:rsidR="00E45E79">
        <w:t>requires</w:t>
      </w:r>
      <w:r w:rsidR="00DB06F7">
        <w:t xml:space="preserve"> </w:t>
      </w:r>
      <w:r>
        <w:t>further investigation. Epidemiological and modelling observations of temporal patterns suggests that a peak in one respiratory virus circulation typically suppresses other respiratory virus circulation</w:t>
      </w:r>
      <w:r w:rsidR="0013479B">
        <w:t xml:space="preserve">, and </w:t>
      </w:r>
      <w:r w:rsidR="0013479B">
        <w:rPr>
          <w:i/>
        </w:rPr>
        <w:t xml:space="preserve">in vitro </w:t>
      </w:r>
      <w:r w:rsidR="004526F3">
        <w:t>innate immune response</w:t>
      </w:r>
      <w:r w:rsidR="0013479B">
        <w:t>s</w:t>
      </w:r>
      <w:r w:rsidR="004526F3">
        <w:t xml:space="preserve"> to </w:t>
      </w:r>
      <w:r w:rsidR="0013479B">
        <w:t>influenza or RSV</w:t>
      </w:r>
      <w:r w:rsidR="004526F3">
        <w:t xml:space="preserve"> </w:t>
      </w:r>
      <w:r w:rsidR="0013479B">
        <w:t>inhibit</w:t>
      </w:r>
      <w:r w:rsidR="00B52ED7">
        <w:t xml:space="preserve"> replication of </w:t>
      </w:r>
      <w:r w:rsidR="0013479B">
        <w:t>rhinovirus</w:t>
      </w:r>
      <w:r>
        <w:t xml:space="preserve">; this may be early evidence that SARS-CoV-2 exhibits similar viral interference with </w:t>
      </w:r>
      <w:r w:rsidR="0013479B">
        <w:t xml:space="preserve">rhinovirus and </w:t>
      </w:r>
      <w:r>
        <w:t xml:space="preserve">other respiratory viruses </w:t>
      </w:r>
      <w:r w:rsidR="00995A0F">
        <w:rPr>
          <w:noProof/>
        </w:rPr>
        <w:t>[2</w:t>
      </w:r>
      <w:r w:rsidR="0086779C">
        <w:rPr>
          <w:noProof/>
        </w:rPr>
        <w:t>9, 30</w:t>
      </w:r>
      <w:r w:rsidR="00995A0F">
        <w:rPr>
          <w:noProof/>
        </w:rPr>
        <w:t>]</w:t>
      </w:r>
      <w:r>
        <w:t xml:space="preserve">. </w:t>
      </w:r>
    </w:p>
    <w:p w14:paraId="52809137" w14:textId="6F64B2A8" w:rsidR="00216B5D" w:rsidRDefault="00B55760" w:rsidP="00216B5D">
      <w:pPr>
        <w:spacing w:line="480" w:lineRule="auto"/>
      </w:pPr>
      <w:r>
        <w:t xml:space="preserve">The comprehensively worse outcomes in COVID-19 patients versus comparable non-COVID-19 patients is an important finding, although COVID-19 positive patients had markers suggesting they were marginally more physiologically impaired at presentation to hospital. </w:t>
      </w:r>
      <w:r w:rsidR="00216B5D">
        <w:t xml:space="preserve">The duration of </w:t>
      </w:r>
      <w:r w:rsidR="00316191">
        <w:t>invasive</w:t>
      </w:r>
      <w:r w:rsidR="00216B5D">
        <w:t xml:space="preserve"> ventilation of COVID-19 patients in this cohort was around two weeks, compared to fewer than fi</w:t>
      </w:r>
      <w:r w:rsidR="00625FC4">
        <w:t>ve days for comparison patients</w:t>
      </w:r>
      <w:r w:rsidR="00FA36AA">
        <w:t>,</w:t>
      </w:r>
      <w:r w:rsidR="00625FC4">
        <w:t xml:space="preserve"> and hospital admission</w:t>
      </w:r>
      <w:r w:rsidR="00316191">
        <w:t xml:space="preserve"> duration</w:t>
      </w:r>
      <w:r w:rsidR="00625FC4">
        <w:t xml:space="preserve"> for COVID-19 </w:t>
      </w:r>
      <w:r w:rsidR="00216B5D">
        <w:t>patients</w:t>
      </w:r>
      <w:r w:rsidR="00625FC4">
        <w:t xml:space="preserve"> was</w:t>
      </w:r>
      <w:r w:rsidR="00216B5D">
        <w:t xml:space="preserve"> more than three days longer than comparable patients. The</w:t>
      </w:r>
      <w:r w:rsidR="00625FC4">
        <w:t>refore the</w:t>
      </w:r>
      <w:r w:rsidR="00216B5D">
        <w:t xml:space="preserve"> burden on hospital wards and</w:t>
      </w:r>
      <w:r w:rsidR="00625FC4">
        <w:t xml:space="preserve"> intensive care units of patient length of stay</w:t>
      </w:r>
      <w:r w:rsidR="00216B5D">
        <w:t xml:space="preserve"> is significant and future planning must incorporate provision for expanded COVID-19 ward capacity and prolonged-stay intensive care capacity.</w:t>
      </w:r>
      <w:r w:rsidR="00216B5D" w:rsidRPr="009C5A9E">
        <w:t xml:space="preserve"> </w:t>
      </w:r>
    </w:p>
    <w:p w14:paraId="767D6418" w14:textId="3C46B0D7" w:rsidR="007244E0" w:rsidRDefault="00D41A39" w:rsidP="008010B5">
      <w:pPr>
        <w:spacing w:line="480" w:lineRule="auto"/>
      </w:pPr>
      <w:r>
        <w:t xml:space="preserve">The key strength of this analysis of COVID-19 patients is </w:t>
      </w:r>
      <w:r w:rsidR="00316191">
        <w:t xml:space="preserve">the </w:t>
      </w:r>
      <w:r>
        <w:t xml:space="preserve">presence of a comparator group of patients who tested negative for </w:t>
      </w:r>
      <w:r w:rsidR="00316191">
        <w:t>SARS-CoV-2.</w:t>
      </w:r>
      <w:r w:rsidR="00456DBC">
        <w:t xml:space="preserve"> </w:t>
      </w:r>
      <w:r w:rsidR="00625FC4">
        <w:t xml:space="preserve">As </w:t>
      </w:r>
      <w:r w:rsidR="00B55760">
        <w:t>we used data</w:t>
      </w:r>
      <w:r w:rsidR="00625FC4">
        <w:t xml:space="preserve"> from a clinical trial, </w:t>
      </w:r>
      <w:r w:rsidR="008D18C3">
        <w:t>the</w:t>
      </w:r>
      <w:r w:rsidR="00E45E79">
        <w:t xml:space="preserve"> detail and</w:t>
      </w:r>
      <w:r w:rsidR="008D18C3">
        <w:t xml:space="preserve"> fidelity of data is high. </w:t>
      </w:r>
      <w:r w:rsidR="00B91B47">
        <w:t>We believe o</w:t>
      </w:r>
      <w:r w:rsidR="00456DBC">
        <w:t>ur report of both presence and duration of symptom</w:t>
      </w:r>
      <w:r w:rsidR="00B91B47">
        <w:t xml:space="preserve">s, including anosmia, with a comparison group in adults presenting to hospital, is novel. </w:t>
      </w:r>
      <w:r w:rsidR="003C5F33">
        <w:t xml:space="preserve">The broad inclusion </w:t>
      </w:r>
      <w:r w:rsidR="008D18C3">
        <w:t xml:space="preserve">criteria </w:t>
      </w:r>
      <w:r w:rsidR="00B55760">
        <w:t>of</w:t>
      </w:r>
      <w:r w:rsidR="008D18C3">
        <w:t xml:space="preserve"> </w:t>
      </w:r>
      <w:r w:rsidR="003C5F33">
        <w:t xml:space="preserve">adults presenting to a large UK teaching hospital with acute respiratory illness or otherwise suspected COVID-19 makes this study highly generalisable. </w:t>
      </w:r>
      <w:r w:rsidR="009B09F7">
        <w:t>The limitations of this study i</w:t>
      </w:r>
      <w:r w:rsidR="003411E6">
        <w:t>nclude that it is single-centre.</w:t>
      </w:r>
      <w:r w:rsidR="00C62626">
        <w:t xml:space="preserve"> </w:t>
      </w:r>
      <w:r w:rsidR="00E50B69">
        <w:t>It is possible that some patients categorised as COVID-19 negative may have had COVID-19 as</w:t>
      </w:r>
      <w:r w:rsidR="00152609">
        <w:t xml:space="preserve"> even testing with very accurate</w:t>
      </w:r>
      <w:r w:rsidR="00E50B69">
        <w:t xml:space="preserve"> RT-PCR </w:t>
      </w:r>
      <w:r w:rsidR="00152609">
        <w:t>assays</w:t>
      </w:r>
      <w:r w:rsidR="00C62626">
        <w:t xml:space="preserve"> for SARS-CoV-2</w:t>
      </w:r>
      <w:r w:rsidR="00E50B69">
        <w:t xml:space="preserve"> has </w:t>
      </w:r>
      <w:r w:rsidR="00C62626">
        <w:t>sub-</w:t>
      </w:r>
      <w:r w:rsidR="00C62626">
        <w:lastRenderedPageBreak/>
        <w:t>optimal sensitivity</w:t>
      </w:r>
      <w:r w:rsidR="00152609">
        <w:t xml:space="preserve"> on upper respiratory tract specimens</w:t>
      </w:r>
      <w:r w:rsidR="00C62626">
        <w:t xml:space="preserve"> [</w:t>
      </w:r>
      <w:r w:rsidR="0094384E">
        <w:t>31]</w:t>
      </w:r>
      <w:r w:rsidR="00EF064A">
        <w:t>, however RT-PCR</w:t>
      </w:r>
      <w:r w:rsidR="00152609">
        <w:t xml:space="preserve"> currently</w:t>
      </w:r>
      <w:r w:rsidR="00EF064A">
        <w:t xml:space="preserve"> remains the gold-standard</w:t>
      </w:r>
      <w:r w:rsidR="0094384E">
        <w:t xml:space="preserve">. </w:t>
      </w:r>
      <w:r w:rsidR="00281C85">
        <w:t>We do not have</w:t>
      </w:r>
      <w:r w:rsidR="00E50B69">
        <w:t xml:space="preserve"> individual patient</w:t>
      </w:r>
      <w:r w:rsidR="00281C85">
        <w:t xml:space="preserve"> data on </w:t>
      </w:r>
      <w:r w:rsidR="009A747F">
        <w:t xml:space="preserve">experimental </w:t>
      </w:r>
      <w:r w:rsidR="00152609">
        <w:t xml:space="preserve">trial </w:t>
      </w:r>
      <w:r w:rsidR="00281C85">
        <w:t xml:space="preserve">therapeutic interventions </w:t>
      </w:r>
      <w:r w:rsidR="00E50B69">
        <w:t xml:space="preserve">that </w:t>
      </w:r>
      <w:r w:rsidR="00281C85">
        <w:t>COVID-19 patients received</w:t>
      </w:r>
      <w:r w:rsidR="009A747F">
        <w:t>, which</w:t>
      </w:r>
      <w:r w:rsidR="00B93AD4">
        <w:t xml:space="preserve"> may have influenced</w:t>
      </w:r>
      <w:r w:rsidR="00281C85">
        <w:t xml:space="preserve"> clinical outcomes including mortality.</w:t>
      </w:r>
    </w:p>
    <w:p w14:paraId="4375D9E4" w14:textId="368A1011" w:rsidR="009C5A9E" w:rsidRDefault="009C5A9E" w:rsidP="008010B5">
      <w:pPr>
        <w:spacing w:line="480" w:lineRule="auto"/>
      </w:pPr>
      <w:r>
        <w:t xml:space="preserve">Despite the significant differences </w:t>
      </w:r>
      <w:r w:rsidR="009A0AC9">
        <w:t xml:space="preserve">found </w:t>
      </w:r>
      <w:r>
        <w:t>in characteristics and symptoms of adults presenting to hospital with suspected COVID-19</w:t>
      </w:r>
      <w:r w:rsidR="00F802A8">
        <w:t xml:space="preserve"> who </w:t>
      </w:r>
      <w:r w:rsidR="00E45E79">
        <w:t>are positive</w:t>
      </w:r>
      <w:r>
        <w:t xml:space="preserve"> and negative for the disease, no presenting feature </w:t>
      </w:r>
      <w:r w:rsidR="00216B5D">
        <w:t>appear</w:t>
      </w:r>
      <w:r w:rsidR="004075B4">
        <w:t>s</w:t>
      </w:r>
      <w:r w:rsidR="00216B5D">
        <w:t xml:space="preserve"> to </w:t>
      </w:r>
      <w:r>
        <w:t>reliably distinguish between which patients have COVID-19 and which do not. Th</w:t>
      </w:r>
      <w:r w:rsidR="00CD49C4">
        <w:t>e</w:t>
      </w:r>
      <w:r>
        <w:t xml:space="preserve"> </w:t>
      </w:r>
      <w:r w:rsidR="00CD49C4">
        <w:t xml:space="preserve">diagnostic </w:t>
      </w:r>
      <w:r>
        <w:t>uncertainty is compounded by long turnaround ti</w:t>
      </w:r>
      <w:r w:rsidR="004075B4">
        <w:t>mes of laboratory RT-PCR</w:t>
      </w:r>
      <w:r>
        <w:t xml:space="preserve"> for SARS-CoV-2, creating significant challenges in infection control and patient flow in hospitals. These challenges </w:t>
      </w:r>
      <w:r w:rsidR="00216B5D">
        <w:t>may</w:t>
      </w:r>
      <w:r>
        <w:t xml:space="preserve"> be addressed by implementing</w:t>
      </w:r>
      <w:r w:rsidR="00216B5D">
        <w:t xml:space="preserve"> molecular</w:t>
      </w:r>
      <w:r>
        <w:t xml:space="preserve"> point-of-care testing for </w:t>
      </w:r>
      <w:r w:rsidR="00F802A8">
        <w:t xml:space="preserve">SARS-CoV-2 </w:t>
      </w:r>
      <w:r w:rsidR="00995A0F">
        <w:rPr>
          <w:noProof/>
        </w:rPr>
        <w:t>[10]</w:t>
      </w:r>
      <w:r w:rsidR="00D966C6">
        <w:t>.</w:t>
      </w:r>
      <w:r>
        <w:t xml:space="preserve"> Even </w:t>
      </w:r>
      <w:r w:rsidR="00D966C6">
        <w:t>faster</w:t>
      </w:r>
      <w:r>
        <w:t xml:space="preserve">, finger-prick host response point-of-care testing </w:t>
      </w:r>
      <w:r w:rsidR="00F802A8">
        <w:t xml:space="preserve">also </w:t>
      </w:r>
      <w:r>
        <w:t>has the potenti</w:t>
      </w:r>
      <w:r w:rsidR="004075B4">
        <w:t xml:space="preserve">al to </w:t>
      </w:r>
      <w:r w:rsidR="00351E41">
        <w:t>st</w:t>
      </w:r>
      <w:r w:rsidR="00D966C6">
        <w:t xml:space="preserve">reamline </w:t>
      </w:r>
      <w:r w:rsidR="00F802A8">
        <w:t xml:space="preserve">triage and </w:t>
      </w:r>
      <w:r w:rsidR="00D966C6">
        <w:t xml:space="preserve">patient care decisions </w:t>
      </w:r>
      <w:r w:rsidR="00995A0F">
        <w:rPr>
          <w:noProof/>
        </w:rPr>
        <w:t>[</w:t>
      </w:r>
      <w:r w:rsidR="00B34E76">
        <w:rPr>
          <w:noProof/>
        </w:rPr>
        <w:t>32</w:t>
      </w:r>
      <w:r w:rsidR="00995A0F">
        <w:rPr>
          <w:noProof/>
        </w:rPr>
        <w:t>]</w:t>
      </w:r>
      <w:r w:rsidR="00D966C6">
        <w:t>.</w:t>
      </w:r>
    </w:p>
    <w:p w14:paraId="299D8F8B" w14:textId="77777777" w:rsidR="00131DB9" w:rsidRDefault="009C5A9E" w:rsidP="00131DB9">
      <w:pPr>
        <w:spacing w:line="480" w:lineRule="auto"/>
      </w:pPr>
      <w:r>
        <w:t xml:space="preserve">In conclusion, this study of adults presenting to hospital with suspected COVID-19 shows there are significant differences </w:t>
      </w:r>
      <w:r w:rsidR="00546BDA">
        <w:t xml:space="preserve">in </w:t>
      </w:r>
      <w:r>
        <w:t>the clinical characteristics</w:t>
      </w:r>
      <w:r w:rsidR="00F16325">
        <w:t>,</w:t>
      </w:r>
      <w:r>
        <w:t xml:space="preserve"> symptoms</w:t>
      </w:r>
      <w:r w:rsidR="00F16325">
        <w:t>, and clinical outcomes</w:t>
      </w:r>
      <w:r>
        <w:t xml:space="preserve"> of patients testing positive and negative</w:t>
      </w:r>
      <w:r w:rsidR="00B55760">
        <w:t xml:space="preserve"> for SARS-CoV-2 infection</w:t>
      </w:r>
      <w:r w:rsidR="00F16325">
        <w:t xml:space="preserve">. </w:t>
      </w:r>
      <w:r w:rsidR="00D945D7">
        <w:t>These data can be used to inform healthcare planning in preparation for the next phase of the pandemic.</w:t>
      </w:r>
    </w:p>
    <w:p w14:paraId="767C3EF4" w14:textId="0A9AC950" w:rsidR="00131DB9" w:rsidRPr="00131DB9" w:rsidRDefault="00131DB9" w:rsidP="00131DB9">
      <w:pPr>
        <w:pStyle w:val="Heading1"/>
      </w:pPr>
      <w:r w:rsidRPr="00131DB9">
        <w:t>Declaration of Competing Interest</w:t>
      </w:r>
      <w:r w:rsidR="00DF61F8">
        <w:t>s</w:t>
      </w:r>
    </w:p>
    <w:p w14:paraId="49244FD9" w14:textId="5491B430" w:rsidR="005E2925" w:rsidRDefault="005E2925" w:rsidP="00131DB9">
      <w:pPr>
        <w:spacing w:line="480" w:lineRule="auto"/>
      </w:pPr>
      <w:r>
        <w:t xml:space="preserve">TWC reports </w:t>
      </w:r>
      <w:r w:rsidR="00CF1806">
        <w:t>non-</w:t>
      </w:r>
      <w:r w:rsidR="00CF1806" w:rsidRPr="00CF1806">
        <w:t>financial support from Q</w:t>
      </w:r>
      <w:r w:rsidR="00984EEA">
        <w:t>IAGEN</w:t>
      </w:r>
      <w:r w:rsidR="00CF1806">
        <w:t xml:space="preserve"> in the form of discounted equipment and consumables for this work. He also reports </w:t>
      </w:r>
      <w:r>
        <w:t xml:space="preserve">personal fees from BioMerieux and BioFire LLC, non-financial support from BioMerieux and BioFire LLC, personal fees from </w:t>
      </w:r>
      <w:proofErr w:type="spellStart"/>
      <w:r>
        <w:t>Synairgen</w:t>
      </w:r>
      <w:proofErr w:type="spellEnd"/>
      <w:r>
        <w:t xml:space="preserve"> </w:t>
      </w:r>
      <w:r w:rsidR="005D70E8">
        <w:t>R</w:t>
      </w:r>
      <w:r>
        <w:t xml:space="preserve">esearch </w:t>
      </w:r>
      <w:r w:rsidR="005D70E8">
        <w:t>L</w:t>
      </w:r>
      <w:r>
        <w:t xml:space="preserve">td, Roche, </w:t>
      </w:r>
      <w:proofErr w:type="spellStart"/>
      <w:r>
        <w:t>Cidara</w:t>
      </w:r>
      <w:proofErr w:type="spellEnd"/>
      <w:r>
        <w:t xml:space="preserve"> therapeutics, Janssen, </w:t>
      </w:r>
      <w:r w:rsidR="00DB2481">
        <w:t xml:space="preserve">Planet Innovation and Randox diagnostics, </w:t>
      </w:r>
      <w:r>
        <w:t>and grants from NIHR, all outside this work. Other authors report no conflicts of interest.</w:t>
      </w:r>
    </w:p>
    <w:p w14:paraId="111810A0" w14:textId="77777777" w:rsidR="008010B5" w:rsidRDefault="008010B5" w:rsidP="00131DB9">
      <w:pPr>
        <w:pStyle w:val="Heading1"/>
      </w:pPr>
      <w:r>
        <w:lastRenderedPageBreak/>
        <w:t>Funding</w:t>
      </w:r>
    </w:p>
    <w:p w14:paraId="634286F7" w14:textId="77777777" w:rsidR="008010B5" w:rsidRDefault="00A169B8" w:rsidP="00131DB9">
      <w:pPr>
        <w:spacing w:line="480" w:lineRule="auto"/>
      </w:pPr>
      <w:r>
        <w:t>The CoV-19POC trial</w:t>
      </w:r>
      <w:r w:rsidR="008010B5">
        <w:t xml:space="preserve"> was </w:t>
      </w:r>
      <w:r w:rsidR="00292467">
        <w:t>funded</w:t>
      </w:r>
      <w:r w:rsidR="008010B5">
        <w:t xml:space="preserve"> by University of Southampton and University Hospital Southampton NHS Foundation Trust. NJB is supported by a National Institute of Health Research (NIHR) Clinical Lecturer post. TWC is supported by a NIHR Fellowship (</w:t>
      </w:r>
      <w:r w:rsidR="008010B5" w:rsidRPr="008010B5">
        <w:t>PDF 2016-09-061</w:t>
      </w:r>
      <w:r w:rsidR="008010B5">
        <w:t>).</w:t>
      </w:r>
      <w:r w:rsidR="009111FB">
        <w:t xml:space="preserve"> The views expressed in this publication are those of the author(s) and not necessarily those of the NHS, the NIHR or the Department of Health</w:t>
      </w:r>
      <w:r w:rsidR="0056750D">
        <w:t xml:space="preserve"> and Social Care</w:t>
      </w:r>
      <w:r w:rsidR="009111FB">
        <w:t>.</w:t>
      </w:r>
    </w:p>
    <w:p w14:paraId="0A409E74" w14:textId="77777777" w:rsidR="009111FB" w:rsidRDefault="009111FB" w:rsidP="00131DB9">
      <w:pPr>
        <w:pStyle w:val="Heading1"/>
      </w:pPr>
      <w:r>
        <w:t>Acknowledgements</w:t>
      </w:r>
    </w:p>
    <w:p w14:paraId="6C0B911E" w14:textId="42E52491" w:rsidR="009111FB" w:rsidRDefault="00ED68DC" w:rsidP="00131DB9">
      <w:pPr>
        <w:spacing w:line="480" w:lineRule="auto"/>
      </w:pPr>
      <w:r>
        <w:t>We</w:t>
      </w:r>
      <w:r w:rsidR="009111FB" w:rsidRPr="00924921">
        <w:t xml:space="preserve"> thank all the patients who kindly participated in this study and all the clinical staff at Southampton General Hospital who cared for them.</w:t>
      </w:r>
      <w:r w:rsidR="00763CD7">
        <w:t xml:space="preserve"> </w:t>
      </w:r>
      <w:r w:rsidR="008235B0">
        <w:t>The CoV-19POC study was</w:t>
      </w:r>
      <w:r w:rsidR="00763CD7">
        <w:t xml:space="preserve"> support</w:t>
      </w:r>
      <w:r w:rsidR="008235B0">
        <w:t>ed by the</w:t>
      </w:r>
      <w:r w:rsidR="00763CD7">
        <w:t xml:space="preserve"> NIHR Southampton Clinical Research Facility and NIHR Southampton Biomedical Research Centre, </w:t>
      </w:r>
      <w:r w:rsidR="008235B0">
        <w:t>both are</w:t>
      </w:r>
      <w:r w:rsidR="00763CD7">
        <w:t xml:space="preserve"> partnerships between University Hospital Southampton NHS Foundation Trust and the University of Southampton.</w:t>
      </w:r>
    </w:p>
    <w:p w14:paraId="12CB28F5" w14:textId="77777777" w:rsidR="00D41C5D" w:rsidRDefault="00D41C5D" w:rsidP="00131DB9">
      <w:pPr>
        <w:pStyle w:val="Heading1"/>
      </w:pPr>
      <w:r>
        <w:t>Author contributions</w:t>
      </w:r>
    </w:p>
    <w:p w14:paraId="16EEF8A0" w14:textId="77777777" w:rsidR="00D41C5D" w:rsidRPr="00D41C5D" w:rsidRDefault="00D41C5D" w:rsidP="00131DB9">
      <w:pPr>
        <w:spacing w:line="480" w:lineRule="auto"/>
      </w:pPr>
      <w:r>
        <w:t xml:space="preserve">NJB </w:t>
      </w:r>
      <w:r w:rsidR="005E2925">
        <w:t>conceptualised</w:t>
      </w:r>
      <w:r>
        <w:t xml:space="preserve"> this </w:t>
      </w:r>
      <w:r w:rsidR="00304C8B">
        <w:t xml:space="preserve">cohort </w:t>
      </w:r>
      <w:r>
        <w:t>study</w:t>
      </w:r>
      <w:r w:rsidR="008B3CF1">
        <w:t xml:space="preserve"> with TWC and SP</w:t>
      </w:r>
      <w:r>
        <w:t xml:space="preserve">. NJB </w:t>
      </w:r>
      <w:r w:rsidR="00793935">
        <w:t>analysed the data</w:t>
      </w:r>
      <w:r>
        <w:t xml:space="preserve"> and wrote the first</w:t>
      </w:r>
      <w:r w:rsidR="00C77593">
        <w:t xml:space="preserve"> manuscript </w:t>
      </w:r>
      <w:r>
        <w:t>draft.</w:t>
      </w:r>
      <w:r w:rsidR="00E97E7E">
        <w:t xml:space="preserve"> SP</w:t>
      </w:r>
      <w:r w:rsidR="00E9718A">
        <w:t>, TWC, and NJB</w:t>
      </w:r>
      <w:r w:rsidR="00E97E7E">
        <w:t xml:space="preserve"> </w:t>
      </w:r>
      <w:r w:rsidR="005E2925">
        <w:t>curated</w:t>
      </w:r>
      <w:r w:rsidR="00E97E7E">
        <w:t xml:space="preserve"> the data.</w:t>
      </w:r>
      <w:r>
        <w:t xml:space="preserve"> </w:t>
      </w:r>
      <w:r w:rsidR="00E97E7E">
        <w:t xml:space="preserve">NJB, SP, VN, CM, NN, FB, HP, HW, MH and LP recruited patients and/or collected data. </w:t>
      </w:r>
      <w:r>
        <w:t>TWC was chief investigator of</w:t>
      </w:r>
      <w:r w:rsidR="00E97E7E">
        <w:t xml:space="preserve"> the</w:t>
      </w:r>
      <w:r w:rsidR="00C77593">
        <w:t xml:space="preserve"> </w:t>
      </w:r>
      <w:r>
        <w:t xml:space="preserve">CoV-19POC </w:t>
      </w:r>
      <w:r w:rsidR="00E97E7E">
        <w:t>trial</w:t>
      </w:r>
      <w:r>
        <w:t>. All authors have</w:t>
      </w:r>
      <w:r w:rsidR="000830D3">
        <w:t xml:space="preserve"> contributed to and approved the final manuscript.</w:t>
      </w:r>
    </w:p>
    <w:p w14:paraId="68C4DFC0" w14:textId="77777777" w:rsidR="00A54184" w:rsidRDefault="006E0CC9" w:rsidP="00131DB9">
      <w:pPr>
        <w:pStyle w:val="Heading1"/>
      </w:pPr>
      <w:r>
        <w:t>References</w:t>
      </w:r>
      <w:r w:rsidR="00A54184">
        <w:t xml:space="preserve"> </w:t>
      </w:r>
    </w:p>
    <w:p w14:paraId="65A26890" w14:textId="391423F3" w:rsidR="00995A0F" w:rsidRPr="003F30E0" w:rsidRDefault="002726D8" w:rsidP="005E1AE4">
      <w:pPr>
        <w:pStyle w:val="EndNoteBibliography"/>
        <w:spacing w:after="0" w:line="480" w:lineRule="auto"/>
        <w:ind w:left="720" w:hanging="720"/>
      </w:pPr>
      <w:r>
        <w:t>[1]</w:t>
      </w:r>
      <w:r w:rsidR="00995A0F" w:rsidRPr="003F30E0">
        <w:tab/>
      </w:r>
      <w:r w:rsidR="005E1AE4">
        <w:t xml:space="preserve">World Health Organisation, Coronavirus disease (COVID-19) Situation Report – 209 16 August 2020. </w:t>
      </w:r>
      <w:r w:rsidR="00995A0F" w:rsidRPr="003F30E0">
        <w:t>https://www.who.int/docs/default-source/coronaviruse/situation-reports/20200709-covid-19-sitrep-171.pdf</w:t>
      </w:r>
      <w:r w:rsidR="00F86A35">
        <w:t xml:space="preserve"> [Last accessed </w:t>
      </w:r>
      <w:r w:rsidR="005E1AE4">
        <w:t>17 August</w:t>
      </w:r>
      <w:r w:rsidR="00F86A35">
        <w:t xml:space="preserve"> 2020].</w:t>
      </w:r>
    </w:p>
    <w:p w14:paraId="62FCD0BF" w14:textId="00D9649B" w:rsidR="00995A0F" w:rsidRPr="003F30E0" w:rsidRDefault="002726D8" w:rsidP="003F30E0">
      <w:pPr>
        <w:pStyle w:val="EndNoteBibliography"/>
        <w:spacing w:after="0" w:line="480" w:lineRule="auto"/>
        <w:ind w:left="720" w:hanging="720"/>
      </w:pPr>
      <w:r>
        <w:t>[2]</w:t>
      </w:r>
      <w:r w:rsidR="00995A0F" w:rsidRPr="003F30E0">
        <w:tab/>
      </w:r>
      <w:r w:rsidR="005E1AE4">
        <w:t xml:space="preserve">UK Government: </w:t>
      </w:r>
      <w:hyperlink r:id="rId8" w:history="1">
        <w:r w:rsidR="005E1AE4" w:rsidRPr="00936A96">
          <w:rPr>
            <w:rStyle w:val="Hyperlink"/>
          </w:rPr>
          <w:t>https://coronavirus.data.gov.uk/</w:t>
        </w:r>
      </w:hyperlink>
      <w:r w:rsidR="005E1AE4">
        <w:t xml:space="preserve"> [Last accessed 17 August 2020].</w:t>
      </w:r>
    </w:p>
    <w:p w14:paraId="358298BB" w14:textId="682329CD" w:rsidR="00995A0F" w:rsidRPr="003F30E0" w:rsidRDefault="002726D8" w:rsidP="003F30E0">
      <w:pPr>
        <w:pStyle w:val="EndNoteBibliography"/>
        <w:spacing w:after="0" w:line="480" w:lineRule="auto"/>
        <w:ind w:left="720" w:hanging="720"/>
      </w:pPr>
      <w:r>
        <w:lastRenderedPageBreak/>
        <w:t>[3]</w:t>
      </w:r>
      <w:r w:rsidR="00995A0F" w:rsidRPr="003F30E0">
        <w:tab/>
        <w:t xml:space="preserve">Docherty AB, Harrison EM, Green CA, Hardwick HE, Pius R, Norman L, </w:t>
      </w:r>
      <w:r w:rsidR="00995A0F" w:rsidRPr="003F30E0">
        <w:rPr>
          <w:i/>
        </w:rPr>
        <w:t>et al</w:t>
      </w:r>
      <w:r>
        <w:t>.</w:t>
      </w:r>
      <w:r w:rsidR="00995A0F" w:rsidRPr="003F30E0">
        <w:t xml:space="preserve"> Features of 20 133 UK patients in hospital with covid-19 using the ISARIC WHO Clinical Characterisation Protocol: prospective observational cohort study. </w:t>
      </w:r>
      <w:r w:rsidRPr="002726D8">
        <w:t>BMJ</w:t>
      </w:r>
      <w:r>
        <w:t xml:space="preserve"> 2020;</w:t>
      </w:r>
      <w:r w:rsidR="00995A0F" w:rsidRPr="003F30E0">
        <w:t xml:space="preserve"> 369:m1985.</w:t>
      </w:r>
    </w:p>
    <w:p w14:paraId="093A68ED" w14:textId="02F7B92A" w:rsidR="00995A0F" w:rsidRPr="003F30E0" w:rsidRDefault="002726D8" w:rsidP="003F30E0">
      <w:pPr>
        <w:pStyle w:val="EndNoteBibliography"/>
        <w:spacing w:after="0" w:line="480" w:lineRule="auto"/>
        <w:ind w:left="720" w:hanging="720"/>
      </w:pPr>
      <w:r>
        <w:t>[4]</w:t>
      </w:r>
      <w:r w:rsidR="00995A0F" w:rsidRPr="003F30E0">
        <w:tab/>
        <w:t xml:space="preserve">Suleyman G, Fadel RA, Malette KM, Hammond C, Abdulla H, Entz </w:t>
      </w:r>
      <w:r w:rsidR="00995A0F" w:rsidRPr="002726D8">
        <w:t>A et al</w:t>
      </w:r>
      <w:r w:rsidRPr="002726D8">
        <w:t>.</w:t>
      </w:r>
      <w:r w:rsidR="00995A0F" w:rsidRPr="002726D8">
        <w:t xml:space="preserve"> Clinical</w:t>
      </w:r>
      <w:r w:rsidR="00995A0F" w:rsidRPr="003F30E0">
        <w:t xml:space="preserve"> Characteristics and Morbidity Associated With Coronavirus Disease 2019 in a Series of Patients in Metropolitan Detroit</w:t>
      </w:r>
      <w:r>
        <w:t>. Jama Netw Open 2020;</w:t>
      </w:r>
      <w:r w:rsidR="00995A0F" w:rsidRPr="002726D8">
        <w:t xml:space="preserve"> 3</w:t>
      </w:r>
      <w:r w:rsidR="00995A0F" w:rsidRPr="003F30E0">
        <w:t>:e2012270.</w:t>
      </w:r>
    </w:p>
    <w:p w14:paraId="75B1C483" w14:textId="13831BC6" w:rsidR="00995A0F" w:rsidRPr="003F30E0" w:rsidRDefault="002726D8" w:rsidP="003F30E0">
      <w:pPr>
        <w:pStyle w:val="EndNoteBibliography"/>
        <w:spacing w:after="0" w:line="480" w:lineRule="auto"/>
        <w:ind w:left="720" w:hanging="720"/>
      </w:pPr>
      <w:r>
        <w:t>[5]</w:t>
      </w:r>
      <w:r w:rsidR="00995A0F" w:rsidRPr="003F30E0">
        <w:tab/>
        <w:t>Petrilli CM, Jones SA, Yang J, Rajagopalan H, O’Donnell L, Chernyak Y,</w:t>
      </w:r>
      <w:r>
        <w:t xml:space="preserve"> et al.</w:t>
      </w:r>
      <w:r w:rsidR="00995A0F" w:rsidRPr="003F30E0">
        <w:t xml:space="preserve"> Factors associated with hospital admission and critical illness among 5279 people with coronavirus disease 2019 in New York City: prospective cohort study. </w:t>
      </w:r>
      <w:r>
        <w:t>BMJ 2020;</w:t>
      </w:r>
      <w:r w:rsidR="00995A0F" w:rsidRPr="003F30E0">
        <w:t xml:space="preserve"> 369:m1966.</w:t>
      </w:r>
    </w:p>
    <w:p w14:paraId="2BEB6FD8" w14:textId="08BDCF4C" w:rsidR="00995A0F" w:rsidRPr="003F30E0" w:rsidRDefault="002726D8" w:rsidP="003F30E0">
      <w:pPr>
        <w:pStyle w:val="EndNoteBibliography"/>
        <w:spacing w:after="0" w:line="480" w:lineRule="auto"/>
        <w:ind w:left="720" w:hanging="720"/>
      </w:pPr>
      <w:r>
        <w:t>[6]</w:t>
      </w:r>
      <w:r w:rsidR="00995A0F" w:rsidRPr="003F30E0">
        <w:tab/>
        <w:t>Huang C, Wang Y, Li X, Ren L, Zhao J, Hu Y</w:t>
      </w:r>
      <w:r>
        <w:t xml:space="preserve"> et al.</w:t>
      </w:r>
      <w:r w:rsidR="00995A0F" w:rsidRPr="003F30E0">
        <w:t xml:space="preserve"> Clinical features of patients infected with 2019 novel coronavirus in Wuhan, China. </w:t>
      </w:r>
      <w:r w:rsidR="00995A0F" w:rsidRPr="002726D8">
        <w:t>Lancet</w:t>
      </w:r>
      <w:r w:rsidR="00995A0F" w:rsidRPr="003F30E0">
        <w:rPr>
          <w:i/>
        </w:rPr>
        <w:t xml:space="preserve"> </w:t>
      </w:r>
      <w:r w:rsidR="00995A0F" w:rsidRPr="003F30E0">
        <w:t>2020</w:t>
      </w:r>
      <w:r w:rsidR="00B56683">
        <w:t>;</w:t>
      </w:r>
      <w:r>
        <w:t xml:space="preserve"> 395</w:t>
      </w:r>
      <w:r w:rsidRPr="002726D8">
        <w:t>:497-506</w:t>
      </w:r>
      <w:r>
        <w:t>.</w:t>
      </w:r>
    </w:p>
    <w:p w14:paraId="70AB9F3F" w14:textId="70BA276F" w:rsidR="00995A0F" w:rsidRPr="003F30E0" w:rsidRDefault="002726D8" w:rsidP="003F30E0">
      <w:pPr>
        <w:pStyle w:val="EndNoteBibliography"/>
        <w:spacing w:after="0" w:line="480" w:lineRule="auto"/>
        <w:ind w:left="720" w:hanging="720"/>
      </w:pPr>
      <w:r>
        <w:t>[7]</w:t>
      </w:r>
      <w:r w:rsidR="00995A0F" w:rsidRPr="003F30E0">
        <w:tab/>
        <w:t>Argenziano MG, Bruce SL, Slater CL, Tiao JR, Baldwin MR, Barr RG</w:t>
      </w:r>
      <w:r>
        <w:t xml:space="preserve">, et al. </w:t>
      </w:r>
      <w:r w:rsidR="00995A0F" w:rsidRPr="003F30E0">
        <w:t xml:space="preserve">Characterization and clinical course of 1000 patients with coronavirus disease 2019 in New York: retrospective case series. </w:t>
      </w:r>
      <w:r>
        <w:t xml:space="preserve">BMJ </w:t>
      </w:r>
      <w:r w:rsidR="00B56683">
        <w:t>2020;</w:t>
      </w:r>
      <w:r w:rsidR="00995A0F" w:rsidRPr="003F30E0">
        <w:t xml:space="preserve"> 369:m1996.</w:t>
      </w:r>
    </w:p>
    <w:p w14:paraId="32833CD8" w14:textId="6D536EEE" w:rsidR="00995A0F" w:rsidRPr="003F30E0" w:rsidRDefault="00B56683" w:rsidP="003F30E0">
      <w:pPr>
        <w:pStyle w:val="EndNoteBibliography"/>
        <w:spacing w:after="0" w:line="480" w:lineRule="auto"/>
        <w:ind w:left="720" w:hanging="720"/>
      </w:pPr>
      <w:r>
        <w:t>[8]</w:t>
      </w:r>
      <w:r w:rsidR="00995A0F" w:rsidRPr="003F30E0">
        <w:tab/>
        <w:t>Berenguer J, Ryan P, Rodríguez-Baño J, Jarrín I, Carratalà J, Pachón J</w:t>
      </w:r>
      <w:r w:rsidR="002726D8">
        <w:t>, et al.</w:t>
      </w:r>
      <w:r w:rsidR="00995A0F" w:rsidRPr="003F30E0">
        <w:t xml:space="preserve"> Characteristics and predictors of death among 4,035 consecutively hospitalized patients with COVID-19 in Spain. </w:t>
      </w:r>
      <w:r w:rsidR="00995A0F" w:rsidRPr="002726D8">
        <w:t>Clin Microbiol Infec</w:t>
      </w:r>
      <w:r w:rsidR="002726D8">
        <w:t>t</w:t>
      </w:r>
      <w:r w:rsidR="00995A0F" w:rsidRPr="003F30E0">
        <w:rPr>
          <w:i/>
        </w:rPr>
        <w:t xml:space="preserve"> </w:t>
      </w:r>
      <w:r>
        <w:t>2020;</w:t>
      </w:r>
      <w:r w:rsidR="002726D8" w:rsidRPr="002726D8">
        <w:t xml:space="preserve"> </w:t>
      </w:r>
      <w:r w:rsidR="002726D8">
        <w:t>S1198-743X30431-6.</w:t>
      </w:r>
    </w:p>
    <w:p w14:paraId="12BFB53C" w14:textId="7B4C3B2C" w:rsidR="00995A0F" w:rsidRPr="003F30E0" w:rsidRDefault="00B56683" w:rsidP="003F30E0">
      <w:pPr>
        <w:pStyle w:val="EndNoteBibliography"/>
        <w:spacing w:after="0" w:line="480" w:lineRule="auto"/>
        <w:ind w:left="720" w:hanging="720"/>
      </w:pPr>
      <w:r>
        <w:t>[9]</w:t>
      </w:r>
      <w:r w:rsidR="00995A0F" w:rsidRPr="003F30E0">
        <w:tab/>
        <w:t xml:space="preserve">Wang X, Fang J, Zhu Y, Chen L, Ding F, Zhou R, Ge L, </w:t>
      </w:r>
      <w:r w:rsidR="002726D8">
        <w:t xml:space="preserve">et al. </w:t>
      </w:r>
      <w:r w:rsidR="00995A0F" w:rsidRPr="003F30E0">
        <w:t xml:space="preserve">Clinical characteristics of non-critically ill patients with novel coronavirus infection (COVID-19) in a Fangcang Hospital. </w:t>
      </w:r>
      <w:r w:rsidR="00995A0F" w:rsidRPr="002726D8">
        <w:t>Clin Microbiol Infec</w:t>
      </w:r>
      <w:r w:rsidR="002726D8" w:rsidRPr="002726D8">
        <w:t>t</w:t>
      </w:r>
      <w:r w:rsidR="00995A0F" w:rsidRPr="003F30E0">
        <w:rPr>
          <w:i/>
        </w:rPr>
        <w:t xml:space="preserve"> </w:t>
      </w:r>
      <w:r>
        <w:t>2020;</w:t>
      </w:r>
      <w:r w:rsidR="00995A0F" w:rsidRPr="003F30E0">
        <w:t xml:space="preserve"> 26(8):1063-1068.</w:t>
      </w:r>
    </w:p>
    <w:p w14:paraId="79FC8FB7" w14:textId="713C8163" w:rsidR="00995A0F" w:rsidRPr="00CA2986" w:rsidRDefault="00B56683" w:rsidP="003F30E0">
      <w:pPr>
        <w:pStyle w:val="EndNoteBibliography"/>
        <w:spacing w:after="0" w:line="480" w:lineRule="auto"/>
        <w:ind w:left="720" w:hanging="720"/>
      </w:pPr>
      <w:r>
        <w:t>[10]</w:t>
      </w:r>
      <w:r w:rsidR="00995A0F" w:rsidRPr="003F30E0">
        <w:tab/>
      </w:r>
      <w:r w:rsidR="00A10D6E">
        <w:t xml:space="preserve">Clark TW, Brendish NJ, Poole S, Naidu VV, Mansbridge CT, Norton N et al. </w:t>
      </w:r>
      <w:r w:rsidR="00A10D6E" w:rsidRPr="00A10D6E">
        <w:t>Clinical impact of molecular point-of-care testing for suspected COVID-19 in hospital: A prospective, interventional, non-randomised, controlled study (COV-19POC)</w:t>
      </w:r>
      <w:r w:rsidR="00A10D6E">
        <w:t xml:space="preserve">. Lancet Respir Med 2020. (in press) </w:t>
      </w:r>
    </w:p>
    <w:p w14:paraId="311733C3" w14:textId="1D3C1FFF" w:rsidR="00995A0F" w:rsidRPr="003F30E0" w:rsidRDefault="00B56683" w:rsidP="003F30E0">
      <w:pPr>
        <w:pStyle w:val="EndNoteBibliography"/>
        <w:spacing w:after="0" w:line="480" w:lineRule="auto"/>
        <w:ind w:left="720" w:hanging="720"/>
      </w:pPr>
      <w:r>
        <w:t>[11]</w:t>
      </w:r>
      <w:r w:rsidR="00995A0F" w:rsidRPr="003F30E0">
        <w:tab/>
        <w:t>Clark TW</w:t>
      </w:r>
      <w:r w:rsidR="002726D8">
        <w:t>,</w:t>
      </w:r>
      <w:r w:rsidR="00995A0F" w:rsidRPr="003F30E0">
        <w:t xml:space="preserve"> B</w:t>
      </w:r>
      <w:r w:rsidR="002726D8">
        <w:t xml:space="preserve">rendish </w:t>
      </w:r>
      <w:r w:rsidR="00995A0F" w:rsidRPr="003F30E0">
        <w:t>N</w:t>
      </w:r>
      <w:r w:rsidR="002726D8">
        <w:t>J</w:t>
      </w:r>
      <w:r>
        <w:t>.</w:t>
      </w:r>
      <w:r w:rsidR="00995A0F" w:rsidRPr="003F30E0">
        <w:t xml:space="preserve"> </w:t>
      </w:r>
      <w:r w:rsidRPr="00B56683">
        <w:t>Evaluating the clinical impact of routine molecular point-of-care testing for COVID-19 in adults presenting to hospital: A prospective, interventional, non-</w:t>
      </w:r>
      <w:r w:rsidRPr="00B56683">
        <w:lastRenderedPageBreak/>
        <w:t xml:space="preserve">randomised, controlled study (CoV-19POC) </w:t>
      </w:r>
      <w:r w:rsidR="00995A0F" w:rsidRPr="003F30E0">
        <w:t xml:space="preserve">[Protocol] </w:t>
      </w:r>
      <w:r>
        <w:t xml:space="preserve"> h</w:t>
      </w:r>
      <w:r w:rsidR="002726D8" w:rsidRPr="002726D8">
        <w:t>ttps://eprints.soton.ac.uk/439309/2/CoV_19POC_Protocol_v2_0_eprints.pdf</w:t>
      </w:r>
      <w:r w:rsidR="00995A0F" w:rsidRPr="003F30E0">
        <w:t>.</w:t>
      </w:r>
      <w:r w:rsidR="002726D8">
        <w:t xml:space="preserve"> [Last accessed </w:t>
      </w:r>
      <w:r>
        <w:t>17 August 2020].</w:t>
      </w:r>
    </w:p>
    <w:p w14:paraId="1E3134A9" w14:textId="38BEC6C4" w:rsidR="00995A0F" w:rsidRPr="003F30E0" w:rsidRDefault="00B56683" w:rsidP="00B56683">
      <w:pPr>
        <w:pStyle w:val="EndNoteBibliography"/>
        <w:spacing w:after="0" w:line="480" w:lineRule="auto"/>
        <w:ind w:left="720" w:hanging="720"/>
      </w:pPr>
      <w:r>
        <w:t>[12]</w:t>
      </w:r>
      <w:r w:rsidR="00995A0F" w:rsidRPr="003F30E0">
        <w:tab/>
        <w:t xml:space="preserve">Visseaux B, Hingrat Q, Collin G, Bouzid D, Lebourgeois S, Pluart D, </w:t>
      </w:r>
      <w:r>
        <w:t>et al.</w:t>
      </w:r>
      <w:r w:rsidR="00995A0F" w:rsidRPr="003F30E0">
        <w:t xml:space="preserve"> Evaluation of the QIAstat-Dx Respiratory SARS-CoV-2 Panel, the first rapid multiplex PCR commercial assay for SARS-CoV-2 detection</w:t>
      </w:r>
      <w:r w:rsidR="00995A0F" w:rsidRPr="00B56683">
        <w:t xml:space="preserve">. </w:t>
      </w:r>
      <w:r>
        <w:t>J Clin Microbiol. 2020; 58</w:t>
      </w:r>
      <w:r w:rsidRPr="00B56683">
        <w:t>:e00630-20.</w:t>
      </w:r>
    </w:p>
    <w:p w14:paraId="1FD8B4CB" w14:textId="46AB6890" w:rsidR="00995A0F" w:rsidRPr="00B56683" w:rsidRDefault="00B56683" w:rsidP="003F30E0">
      <w:pPr>
        <w:pStyle w:val="EndNoteBibliography"/>
        <w:spacing w:after="0" w:line="480" w:lineRule="auto"/>
        <w:ind w:left="720" w:hanging="720"/>
      </w:pPr>
      <w:r>
        <w:t>[13]</w:t>
      </w:r>
      <w:r w:rsidR="00995A0F" w:rsidRPr="003F30E0">
        <w:tab/>
        <w:t>Boers SA, Melchers WJG, Peters CJA, Toone</w:t>
      </w:r>
      <w:r>
        <w:t>n M, McHugh MP, Templeton KE, et al.</w:t>
      </w:r>
      <w:r w:rsidR="00995A0F" w:rsidRPr="003F30E0">
        <w:t xml:space="preserve"> Multicenter evaluation of the QIAstat-Dx® Respiratory Panel V2 for the detection of viral and bacterial respiratory pathogens. </w:t>
      </w:r>
      <w:r w:rsidRPr="00B56683">
        <w:t>J</w:t>
      </w:r>
      <w:r w:rsidRPr="00B56683">
        <w:rPr>
          <w:i/>
        </w:rPr>
        <w:t xml:space="preserve"> </w:t>
      </w:r>
      <w:r w:rsidRPr="00B56683">
        <w:t>Clin</w:t>
      </w:r>
      <w:r w:rsidRPr="00B56683">
        <w:rPr>
          <w:i/>
        </w:rPr>
        <w:t xml:space="preserve"> </w:t>
      </w:r>
      <w:r w:rsidRPr="00B56683">
        <w:t>Microbiol. 2020;</w:t>
      </w:r>
      <w:r>
        <w:t xml:space="preserve"> 58</w:t>
      </w:r>
      <w:r w:rsidRPr="00B56683">
        <w:t>:e01793-19.</w:t>
      </w:r>
    </w:p>
    <w:p w14:paraId="57E4298C" w14:textId="55143538" w:rsidR="00995A0F" w:rsidRPr="003F30E0" w:rsidRDefault="00B56683" w:rsidP="003F30E0">
      <w:pPr>
        <w:pStyle w:val="EndNoteBibliography"/>
        <w:spacing w:after="0" w:line="480" w:lineRule="auto"/>
        <w:ind w:left="720" w:hanging="720"/>
      </w:pPr>
      <w:r>
        <w:t>[14]</w:t>
      </w:r>
      <w:r w:rsidR="00995A0F" w:rsidRPr="003F30E0">
        <w:tab/>
        <w:t xml:space="preserve">Nguyen LH, Drew DA, Graham MS, Joshi AD, Guo C-G, Ma W, </w:t>
      </w:r>
      <w:r>
        <w:t xml:space="preserve">et al. </w:t>
      </w:r>
      <w:r w:rsidR="00995A0F" w:rsidRPr="003F30E0">
        <w:t xml:space="preserve">Risk of COVID-19 among front-line health-care workers and the general community: a prospective cohort study. </w:t>
      </w:r>
      <w:r w:rsidR="00995A0F" w:rsidRPr="00B56683">
        <w:t>Lancet Public Heal</w:t>
      </w:r>
      <w:r>
        <w:t>th</w:t>
      </w:r>
      <w:r w:rsidR="00995A0F" w:rsidRPr="003F30E0">
        <w:rPr>
          <w:i/>
        </w:rPr>
        <w:t xml:space="preserve"> </w:t>
      </w:r>
      <w:r>
        <w:t>2020; S2468-2667 30164-X.</w:t>
      </w:r>
    </w:p>
    <w:p w14:paraId="672F8BE6" w14:textId="3832F879" w:rsidR="00995A0F" w:rsidRPr="003F30E0" w:rsidRDefault="00B56683" w:rsidP="003F30E0">
      <w:pPr>
        <w:pStyle w:val="EndNoteBibliography"/>
        <w:spacing w:after="0" w:line="480" w:lineRule="auto"/>
        <w:ind w:left="720" w:hanging="720"/>
      </w:pPr>
      <w:r>
        <w:t>[15]</w:t>
      </w:r>
      <w:r w:rsidR="00995A0F" w:rsidRPr="003F30E0">
        <w:tab/>
        <w:t>Grasselli G, Zangrillo A, Zanella A, Antonelli M, Cabrini L, Castelli A</w:t>
      </w:r>
      <w:r>
        <w:t>, et al.</w:t>
      </w:r>
      <w:r w:rsidR="00995A0F" w:rsidRPr="003F30E0">
        <w:t xml:space="preserve"> Baseline Characteristics and Outcomes of 1591 Patients Infected With SARS-CoV-2 Admitted to ICUs</w:t>
      </w:r>
      <w:r>
        <w:t xml:space="preserve"> of the Lombardy Region, Italy. JAMA</w:t>
      </w:r>
      <w:r w:rsidR="00995A0F" w:rsidRPr="003F30E0">
        <w:rPr>
          <w:i/>
        </w:rPr>
        <w:t xml:space="preserve"> </w:t>
      </w:r>
      <w:r>
        <w:t>2020;</w:t>
      </w:r>
      <w:r w:rsidR="00995A0F" w:rsidRPr="003F30E0">
        <w:t xml:space="preserve"> 323:1574-1581.</w:t>
      </w:r>
    </w:p>
    <w:p w14:paraId="03C29C8F" w14:textId="013DDE0C" w:rsidR="00995A0F" w:rsidRPr="003F30E0" w:rsidRDefault="00B56683" w:rsidP="003F30E0">
      <w:pPr>
        <w:pStyle w:val="EndNoteBibliography"/>
        <w:spacing w:after="0" w:line="480" w:lineRule="auto"/>
        <w:ind w:left="720" w:hanging="720"/>
      </w:pPr>
      <w:r>
        <w:t>[16]</w:t>
      </w:r>
      <w:r w:rsidR="00995A0F" w:rsidRPr="003F30E0">
        <w:tab/>
        <w:t>Zheng Z, Peng F, Xu B, Zhao J, Liu H, Peng J</w:t>
      </w:r>
      <w:r>
        <w:t>, et al.</w:t>
      </w:r>
      <w:r w:rsidR="00995A0F" w:rsidRPr="003F30E0">
        <w:t xml:space="preserve"> Risk factors of critical &amp; mortal COVID-19 cases: A systematic literature review and meta-analysis. </w:t>
      </w:r>
      <w:r w:rsidR="00995A0F" w:rsidRPr="00B56683">
        <w:t>J Infect 2020</w:t>
      </w:r>
      <w:r>
        <w:t>; 81</w:t>
      </w:r>
      <w:r w:rsidRPr="00B56683">
        <w:t>:e16-e25.</w:t>
      </w:r>
    </w:p>
    <w:p w14:paraId="0D6CF43F" w14:textId="7B034525" w:rsidR="00995A0F" w:rsidRPr="003F30E0" w:rsidRDefault="00B56683" w:rsidP="003F30E0">
      <w:pPr>
        <w:pStyle w:val="EndNoteBibliography"/>
        <w:spacing w:after="0" w:line="480" w:lineRule="auto"/>
        <w:ind w:left="720" w:hanging="720"/>
      </w:pPr>
      <w:r>
        <w:t>[17]</w:t>
      </w:r>
      <w:r w:rsidR="00995A0F" w:rsidRPr="003F30E0">
        <w:tab/>
        <w:t>Clark TW, Medina M-J, Batham S, Cu</w:t>
      </w:r>
      <w:r>
        <w:t>rran MD, Parmar S, Nicholson KG.</w:t>
      </w:r>
      <w:r w:rsidR="00995A0F" w:rsidRPr="003F30E0">
        <w:t xml:space="preserve"> C-reactive protein level and microbial aetiology in patients hospitalised with acute exacerbation of COPD. </w:t>
      </w:r>
      <w:r w:rsidR="00995A0F" w:rsidRPr="00B56683">
        <w:t xml:space="preserve">Eur Respir J </w:t>
      </w:r>
      <w:r>
        <w:t>2015; 45</w:t>
      </w:r>
      <w:r w:rsidR="00995A0F" w:rsidRPr="003F30E0">
        <w:t>:76-86.</w:t>
      </w:r>
    </w:p>
    <w:p w14:paraId="74ED1D00" w14:textId="27B6FE12" w:rsidR="00995A0F" w:rsidRPr="003F30E0" w:rsidRDefault="00B56683" w:rsidP="003F30E0">
      <w:pPr>
        <w:pStyle w:val="EndNoteBibliography"/>
        <w:spacing w:after="0" w:line="480" w:lineRule="auto"/>
        <w:ind w:left="720" w:hanging="720"/>
      </w:pPr>
      <w:r>
        <w:t>[18]</w:t>
      </w:r>
      <w:r w:rsidR="00995A0F" w:rsidRPr="003F30E0">
        <w:tab/>
        <w:t>Clark TW, Medina M-</w:t>
      </w:r>
      <w:r w:rsidR="00380F84">
        <w:t>J</w:t>
      </w:r>
      <w:r w:rsidR="00995A0F" w:rsidRPr="003F30E0">
        <w:t>, Batham S, Cu</w:t>
      </w:r>
      <w:r>
        <w:t>rran MD, Parmar S, Nicholson KG.</w:t>
      </w:r>
      <w:r w:rsidR="00995A0F" w:rsidRPr="003F30E0">
        <w:t xml:space="preserve"> Adults hospitalised with acute respiratory illness rarely have detectable bacteria in the absence of COPD or pneumonia; viral infection predominates in a large prospective UK sample</w:t>
      </w:r>
      <w:r>
        <w:t>. J Infect</w:t>
      </w:r>
      <w:r w:rsidR="00995A0F" w:rsidRPr="003F30E0">
        <w:rPr>
          <w:i/>
        </w:rPr>
        <w:t xml:space="preserve"> </w:t>
      </w:r>
      <w:r>
        <w:t>2014;</w:t>
      </w:r>
      <w:r w:rsidR="00995A0F" w:rsidRPr="003F30E0">
        <w:t xml:space="preserve"> 69:507-515.</w:t>
      </w:r>
    </w:p>
    <w:p w14:paraId="59465C11" w14:textId="268FCEF2" w:rsidR="00995A0F" w:rsidRPr="003F30E0" w:rsidRDefault="00B56683" w:rsidP="003F30E0">
      <w:pPr>
        <w:pStyle w:val="EndNoteBibliography"/>
        <w:spacing w:after="0" w:line="480" w:lineRule="auto"/>
        <w:ind w:left="720" w:hanging="720"/>
      </w:pPr>
      <w:r>
        <w:t>[19]</w:t>
      </w:r>
      <w:r w:rsidR="00995A0F" w:rsidRPr="003F30E0">
        <w:tab/>
        <w:t xml:space="preserve">Pan D, Sze S, Minhas JS, Bangash MN, Pareek N, Divall P, </w:t>
      </w:r>
      <w:r w:rsidR="00124E43">
        <w:t>et al.</w:t>
      </w:r>
      <w:r w:rsidR="00995A0F" w:rsidRPr="003F30E0">
        <w:t xml:space="preserve"> The impact of ethnicity on clinical outcomes in COVID-19: A systematic review. </w:t>
      </w:r>
      <w:r w:rsidR="00995A0F" w:rsidRPr="00124E43">
        <w:t>EClinicalMedicine</w:t>
      </w:r>
      <w:r w:rsidR="00995A0F" w:rsidRPr="003F30E0">
        <w:rPr>
          <w:i/>
        </w:rPr>
        <w:t xml:space="preserve"> </w:t>
      </w:r>
      <w:r w:rsidR="00124E43">
        <w:t>2020; 23</w:t>
      </w:r>
      <w:r w:rsidR="00124E43" w:rsidRPr="00124E43">
        <w:t>:100404.</w:t>
      </w:r>
    </w:p>
    <w:p w14:paraId="0A1AD885" w14:textId="1374EEC0" w:rsidR="00995A0F" w:rsidRDefault="00B56683" w:rsidP="003F30E0">
      <w:pPr>
        <w:pStyle w:val="EndNoteBibliography"/>
        <w:spacing w:after="0" w:line="480" w:lineRule="auto"/>
        <w:ind w:left="720" w:hanging="720"/>
      </w:pPr>
      <w:r>
        <w:lastRenderedPageBreak/>
        <w:t>[20]</w:t>
      </w:r>
      <w:r w:rsidR="00995A0F" w:rsidRPr="003F30E0">
        <w:tab/>
        <w:t>Aldridge RW, Lewer D, Katikireddi SV, Mathur R, Pathak N, Burns R,</w:t>
      </w:r>
      <w:r w:rsidR="00124E43">
        <w:t xml:space="preserve"> et al.</w:t>
      </w:r>
      <w:r w:rsidR="00995A0F" w:rsidRPr="003F30E0">
        <w:t xml:space="preserve"> Black, Asian and Minority Ethnic groups in England are at increased risk of death from COVID-19: indirect standardisation of NHS mortality data. </w:t>
      </w:r>
      <w:r w:rsidR="00995A0F" w:rsidRPr="00124E43">
        <w:t>Wellcome Open Res</w:t>
      </w:r>
      <w:r w:rsidR="00995A0F" w:rsidRPr="003F30E0">
        <w:rPr>
          <w:i/>
        </w:rPr>
        <w:t xml:space="preserve"> </w:t>
      </w:r>
      <w:r w:rsidR="00995A0F" w:rsidRPr="003F30E0">
        <w:t>2020</w:t>
      </w:r>
      <w:r w:rsidR="00124E43">
        <w:t>;</w:t>
      </w:r>
      <w:r w:rsidR="00995A0F" w:rsidRPr="003F30E0">
        <w:t xml:space="preserve"> 5:88.</w:t>
      </w:r>
    </w:p>
    <w:p w14:paraId="348EF2C1" w14:textId="55801849" w:rsidR="00F3066B" w:rsidRPr="003F30E0" w:rsidRDefault="00F3066B" w:rsidP="00F3066B">
      <w:pPr>
        <w:pStyle w:val="EndNoteBibliography"/>
        <w:spacing w:after="0" w:line="480" w:lineRule="auto"/>
        <w:ind w:left="720" w:hanging="720"/>
      </w:pPr>
      <w:r>
        <w:t>[21]</w:t>
      </w:r>
      <w:r>
        <w:tab/>
        <w:t xml:space="preserve">Brendish NJ, Malachira AK, Armstrong L, Houghton R, Aitken S, Nyimbili E, et al. Routine molecular point-of-care testing for respiratory viruses in adults presenting to hospital with acute respiratory illness (ResPOC): a pragmatic, open-label, randomised controlled trial. </w:t>
      </w:r>
      <w:r w:rsidR="0094384E">
        <w:t>L</w:t>
      </w:r>
      <w:r>
        <w:t>ancet Respir Med 2017;5(5):401–11.</w:t>
      </w:r>
    </w:p>
    <w:p w14:paraId="3876FB66" w14:textId="393CB172" w:rsidR="00995A0F" w:rsidRPr="003F30E0" w:rsidRDefault="00B56683" w:rsidP="003F30E0">
      <w:pPr>
        <w:pStyle w:val="EndNoteBibliography"/>
        <w:spacing w:after="0" w:line="480" w:lineRule="auto"/>
        <w:ind w:left="720" w:hanging="720"/>
      </w:pPr>
      <w:r>
        <w:t>[2</w:t>
      </w:r>
      <w:r w:rsidR="0086779C">
        <w:t>2</w:t>
      </w:r>
      <w:r>
        <w:t>]</w:t>
      </w:r>
      <w:r w:rsidR="00995A0F" w:rsidRPr="003F30E0">
        <w:tab/>
        <w:t>Patel P, Hiam L, Sowemimo A, Devakumar D, McKee M</w:t>
      </w:r>
      <w:r w:rsidR="00124E43">
        <w:t>.</w:t>
      </w:r>
      <w:r w:rsidR="00995A0F" w:rsidRPr="003F30E0">
        <w:t xml:space="preserve"> Ethnicity and covid-19. </w:t>
      </w:r>
      <w:r w:rsidR="00124E43">
        <w:t xml:space="preserve">BMJ 2020; </w:t>
      </w:r>
      <w:r w:rsidR="00995A0F" w:rsidRPr="003F30E0">
        <w:t>369:m2282.</w:t>
      </w:r>
    </w:p>
    <w:p w14:paraId="0B40CA1D" w14:textId="68702D44" w:rsidR="00995A0F" w:rsidRPr="003F30E0" w:rsidRDefault="00B56683" w:rsidP="003F30E0">
      <w:pPr>
        <w:pStyle w:val="EndNoteBibliography"/>
        <w:spacing w:after="0" w:line="480" w:lineRule="auto"/>
        <w:ind w:left="720" w:hanging="720"/>
      </w:pPr>
      <w:r>
        <w:t>[2</w:t>
      </w:r>
      <w:r w:rsidR="0086779C">
        <w:t>3</w:t>
      </w:r>
      <w:r>
        <w:t>]</w:t>
      </w:r>
      <w:r w:rsidR="00995A0F" w:rsidRPr="003F30E0">
        <w:tab/>
        <w:t>Guan W-J, Ni Z-Y, Hu Y, Liang W-H, Ou C-Q, He J-X</w:t>
      </w:r>
      <w:r w:rsidR="00124E43">
        <w:t xml:space="preserve"> et al.</w:t>
      </w:r>
      <w:r w:rsidR="00995A0F" w:rsidRPr="003F30E0">
        <w:t xml:space="preserve"> Clinical Characteristics of Coronavirus Disease 2019 in China</w:t>
      </w:r>
      <w:r w:rsidR="00124E43">
        <w:t>. N</w:t>
      </w:r>
      <w:r w:rsidR="00995A0F" w:rsidRPr="00124E43">
        <w:t xml:space="preserve"> Engl J Med 2020</w:t>
      </w:r>
      <w:r w:rsidR="00124E43">
        <w:t>;</w:t>
      </w:r>
      <w:r w:rsidR="00995A0F" w:rsidRPr="003F30E0">
        <w:t xml:space="preserve"> 382:1708-1720.</w:t>
      </w:r>
    </w:p>
    <w:p w14:paraId="58132C5F" w14:textId="32857527" w:rsidR="00995A0F" w:rsidRPr="003F30E0" w:rsidRDefault="00B56683" w:rsidP="003F30E0">
      <w:pPr>
        <w:pStyle w:val="EndNoteBibliography"/>
        <w:spacing w:after="0" w:line="480" w:lineRule="auto"/>
        <w:ind w:left="720" w:hanging="720"/>
      </w:pPr>
      <w:r>
        <w:t>[2</w:t>
      </w:r>
      <w:r w:rsidR="0086779C">
        <w:t>4</w:t>
      </w:r>
      <w:r>
        <w:t>]</w:t>
      </w:r>
      <w:r w:rsidR="00995A0F" w:rsidRPr="003F30E0">
        <w:tab/>
        <w:t>Bartoletti M, Giannella M, Scudeller L, Te</w:t>
      </w:r>
      <w:r w:rsidR="00124E43">
        <w:t xml:space="preserve">deschi S, Rinaldi M, Bussini L, et al. </w:t>
      </w:r>
      <w:r w:rsidR="00995A0F" w:rsidRPr="003F30E0">
        <w:t xml:space="preserve">Development and validation of a prediction model for severe respiratory failure in hospitalized patients with SARS-Cov-2 infection: a multicenter cohort study (PREDI-CO study). </w:t>
      </w:r>
      <w:r w:rsidR="00995A0F" w:rsidRPr="00124E43">
        <w:t>Clin Microbiol Infec</w:t>
      </w:r>
      <w:r w:rsidR="00124E43">
        <w:t>t</w:t>
      </w:r>
      <w:r w:rsidR="00995A0F" w:rsidRPr="003F30E0">
        <w:rPr>
          <w:i/>
        </w:rPr>
        <w:t xml:space="preserve"> </w:t>
      </w:r>
      <w:r w:rsidR="00124E43">
        <w:t xml:space="preserve">2020; </w:t>
      </w:r>
      <w:r w:rsidR="00124E43" w:rsidRPr="00124E43">
        <w:t>S1198-743X(20)30479-1</w:t>
      </w:r>
      <w:r w:rsidR="00124E43">
        <w:t>.</w:t>
      </w:r>
    </w:p>
    <w:p w14:paraId="5C3E7331" w14:textId="44EC1EC7" w:rsidR="00995A0F" w:rsidRPr="003F30E0" w:rsidRDefault="00B56683" w:rsidP="003F30E0">
      <w:pPr>
        <w:pStyle w:val="EndNoteBibliography"/>
        <w:spacing w:after="0" w:line="480" w:lineRule="auto"/>
        <w:ind w:left="720" w:hanging="720"/>
      </w:pPr>
      <w:r>
        <w:t>[2</w:t>
      </w:r>
      <w:r w:rsidR="0086779C">
        <w:t>5</w:t>
      </w:r>
      <w:r>
        <w:t>]</w:t>
      </w:r>
      <w:r w:rsidR="00995A0F" w:rsidRPr="003F30E0">
        <w:tab/>
        <w:t xml:space="preserve">Ellul MA, Benjamin L, Singh B, Lant S, Michael BD, Easton A, </w:t>
      </w:r>
      <w:r w:rsidR="00124E43">
        <w:t>et al. Ne</w:t>
      </w:r>
      <w:r w:rsidR="00995A0F" w:rsidRPr="003F30E0">
        <w:t>urological associations of COVID-19</w:t>
      </w:r>
      <w:r w:rsidR="00124E43">
        <w:t>. Lancet Neurol</w:t>
      </w:r>
      <w:r w:rsidR="00995A0F" w:rsidRPr="00124E43">
        <w:t xml:space="preserve"> 2020</w:t>
      </w:r>
      <w:r w:rsidR="00124E43">
        <w:t>;</w:t>
      </w:r>
      <w:r w:rsidR="00124E43" w:rsidRPr="00124E43">
        <w:t xml:space="preserve"> S1474-442230221-0.</w:t>
      </w:r>
    </w:p>
    <w:p w14:paraId="45C49C58" w14:textId="31658851" w:rsidR="00995A0F" w:rsidRPr="003F30E0" w:rsidRDefault="00B56683" w:rsidP="003F30E0">
      <w:pPr>
        <w:pStyle w:val="EndNoteBibliography"/>
        <w:spacing w:after="0" w:line="480" w:lineRule="auto"/>
        <w:ind w:left="720" w:hanging="720"/>
      </w:pPr>
      <w:r>
        <w:t>[2</w:t>
      </w:r>
      <w:r w:rsidR="0086779C">
        <w:t>6</w:t>
      </w:r>
      <w:r>
        <w:t>]</w:t>
      </w:r>
      <w:r w:rsidR="00995A0F" w:rsidRPr="003F30E0">
        <w:tab/>
        <w:t>Lechien JR, Chiesa-Estomba CM, Hans S, Barillari MR, Jouffe L, Saussez S</w:t>
      </w:r>
      <w:r w:rsidR="00124E43">
        <w:t>.</w:t>
      </w:r>
      <w:r w:rsidR="00995A0F" w:rsidRPr="003F30E0">
        <w:t xml:space="preserve"> Loss of Smell and Taste in 2013 European Patients With Mild to Moderate COVID-19. </w:t>
      </w:r>
      <w:r w:rsidR="00995A0F" w:rsidRPr="00124E43">
        <w:t>Ann Intern Med</w:t>
      </w:r>
      <w:r w:rsidR="00995A0F" w:rsidRPr="003F30E0">
        <w:rPr>
          <w:i/>
        </w:rPr>
        <w:t xml:space="preserve"> </w:t>
      </w:r>
      <w:r w:rsidR="00124E43">
        <w:t>2020; 10.7326/M20-2428.</w:t>
      </w:r>
    </w:p>
    <w:p w14:paraId="1E4F692E" w14:textId="1F2B64F8" w:rsidR="00995A0F" w:rsidRPr="003F30E0" w:rsidRDefault="00B56683" w:rsidP="003F30E0">
      <w:pPr>
        <w:pStyle w:val="EndNoteBibliography"/>
        <w:spacing w:after="0" w:line="480" w:lineRule="auto"/>
        <w:ind w:left="720" w:hanging="720"/>
      </w:pPr>
      <w:r>
        <w:t>[2</w:t>
      </w:r>
      <w:r w:rsidR="0086779C">
        <w:t>7</w:t>
      </w:r>
      <w:r>
        <w:t>]</w:t>
      </w:r>
      <w:r w:rsidR="00995A0F" w:rsidRPr="003F30E0">
        <w:tab/>
      </w:r>
      <w:r w:rsidR="00124E43">
        <w:t xml:space="preserve">UK Government. </w:t>
      </w:r>
      <w:r w:rsidR="00995A0F" w:rsidRPr="003F30E0">
        <w:t>COVID-19: investigation and initial clinica</w:t>
      </w:r>
      <w:r w:rsidR="00124E43">
        <w:t xml:space="preserve">l management of possible cases </w:t>
      </w:r>
      <w:r w:rsidR="00124E43" w:rsidRPr="00124E43">
        <w:t>https://www.gov.uk/government/publications/wuhan-novel-coronavirus-initial-investigation-of-possible-cases/investigation-and-initial-clinical-management-of-possible-cases-of-wuhan-novel-coronavirus-wn-cov-infection</w:t>
      </w:r>
      <w:r w:rsidR="00124E43">
        <w:t>. [Last accessed 17 August 2020].</w:t>
      </w:r>
    </w:p>
    <w:p w14:paraId="20A5E953" w14:textId="5ECD33E4" w:rsidR="00995A0F" w:rsidRPr="003F30E0" w:rsidRDefault="00B56683" w:rsidP="003F30E0">
      <w:pPr>
        <w:pStyle w:val="EndNoteBibliography"/>
        <w:spacing w:after="0" w:line="480" w:lineRule="auto"/>
        <w:ind w:left="720" w:hanging="720"/>
      </w:pPr>
      <w:r>
        <w:t>[2</w:t>
      </w:r>
      <w:r w:rsidR="0086779C">
        <w:t>8</w:t>
      </w:r>
      <w:r>
        <w:t>]</w:t>
      </w:r>
      <w:r w:rsidR="00995A0F" w:rsidRPr="003F30E0">
        <w:tab/>
        <w:t>Lansbu</w:t>
      </w:r>
      <w:r w:rsidR="00124E43">
        <w:t xml:space="preserve">ry L, Lim B, </w:t>
      </w:r>
      <w:r w:rsidR="00124E43" w:rsidRPr="00124E43">
        <w:t>Baskaran V, Lim WS.</w:t>
      </w:r>
      <w:r w:rsidR="00995A0F" w:rsidRPr="00124E43">
        <w:t xml:space="preserve"> Co-infections in people with COVID-19: a systematic review and meta-analysis. </w:t>
      </w:r>
      <w:r w:rsidR="00124E43" w:rsidRPr="00124E43">
        <w:t>J Infect</w:t>
      </w:r>
      <w:r w:rsidR="00995A0F" w:rsidRPr="00124E43">
        <w:t xml:space="preserve"> </w:t>
      </w:r>
      <w:r w:rsidR="00124E43" w:rsidRPr="00124E43">
        <w:t>2020;</w:t>
      </w:r>
      <w:r w:rsidR="00124E43">
        <w:t xml:space="preserve"> </w:t>
      </w:r>
      <w:r w:rsidR="00124E43">
        <w:rPr>
          <w:rStyle w:val="cit"/>
        </w:rPr>
        <w:t>81:266-275.</w:t>
      </w:r>
    </w:p>
    <w:p w14:paraId="71316124" w14:textId="014C9BB5" w:rsidR="00995A0F" w:rsidRDefault="00B56683" w:rsidP="003F30E0">
      <w:pPr>
        <w:pStyle w:val="EndNoteBibliography"/>
        <w:spacing w:after="0" w:line="480" w:lineRule="auto"/>
        <w:ind w:left="720" w:hanging="720"/>
      </w:pPr>
      <w:r>
        <w:lastRenderedPageBreak/>
        <w:t>[2</w:t>
      </w:r>
      <w:r w:rsidR="0086779C">
        <w:t>9</w:t>
      </w:r>
      <w:r>
        <w:t>]</w:t>
      </w:r>
      <w:r w:rsidR="00995A0F" w:rsidRPr="003F30E0">
        <w:tab/>
        <w:t xml:space="preserve">Nickbakhsh S, Mair C, Matthews L, Reeve R, Johnson PCD, Thorburn F, </w:t>
      </w:r>
      <w:r w:rsidR="00124E43">
        <w:t>et al.</w:t>
      </w:r>
      <w:r w:rsidR="00995A0F" w:rsidRPr="003F30E0">
        <w:t xml:space="preserve"> Virus-virus interactions impact the population dynamics of influenza and the common cold</w:t>
      </w:r>
      <w:r w:rsidR="00995A0F" w:rsidRPr="00124E43">
        <w:t>. P Natl Acad Sci Usa 2019</w:t>
      </w:r>
      <w:r w:rsidR="00124E43">
        <w:t>; 116</w:t>
      </w:r>
      <w:r w:rsidR="00995A0F" w:rsidRPr="00124E43">
        <w:t>:27142-27150.</w:t>
      </w:r>
    </w:p>
    <w:p w14:paraId="4A489C61" w14:textId="6717E873" w:rsidR="0094384E" w:rsidRDefault="0094384E" w:rsidP="0094384E">
      <w:pPr>
        <w:pStyle w:val="EndNoteBibliography"/>
        <w:spacing w:after="0" w:line="480" w:lineRule="auto"/>
        <w:ind w:left="720" w:hanging="720"/>
      </w:pPr>
      <w:r>
        <w:t>[30]</w:t>
      </w:r>
      <w:r>
        <w:tab/>
        <w:t>Essaidi-Laziosi M, Geiser J, Huang S, Constant S, Kaiser L, Tapparel C. Interferon-Dependent and Respiratory Virus-Specific Interference in Dual Infections of Airway Epithelia. Sci Rep 2020;10:10246.</w:t>
      </w:r>
    </w:p>
    <w:p w14:paraId="76747D96" w14:textId="187CF9BE" w:rsidR="00010808" w:rsidRDefault="0094384E" w:rsidP="00124E43">
      <w:pPr>
        <w:pStyle w:val="EndNoteBibliography"/>
        <w:spacing w:line="480" w:lineRule="auto"/>
        <w:ind w:left="720" w:hanging="720"/>
        <w:sectPr w:rsidR="00010808" w:rsidSect="00CE29CF">
          <w:footerReference w:type="default" r:id="rId9"/>
          <w:endnotePr>
            <w:numFmt w:val="decimal"/>
          </w:endnotePr>
          <w:pgSz w:w="11906" w:h="16838"/>
          <w:pgMar w:top="1440" w:right="1440" w:bottom="1440" w:left="1440" w:header="708" w:footer="708" w:gutter="0"/>
          <w:lnNumType w:countBy="1" w:restart="continuous"/>
          <w:cols w:space="708"/>
          <w:docGrid w:linePitch="360"/>
        </w:sectPr>
      </w:pPr>
      <w:r>
        <w:t>[31]</w:t>
      </w:r>
      <w:r>
        <w:tab/>
        <w:t>Woloshin S, Patel N, Kesselheim AS. False Negative Tests for SARS-CoV-2 Infection - Challenges and Implications. N Engl J Med. 2020;383</w:t>
      </w:r>
      <w:r w:rsidRPr="0094384E">
        <w:t>:e38</w:t>
      </w:r>
      <w:r>
        <w:t>.</w:t>
      </w:r>
      <w:r w:rsidR="00B56683">
        <w:t>[</w:t>
      </w:r>
      <w:r w:rsidR="00B34E76">
        <w:t>32</w:t>
      </w:r>
      <w:r w:rsidR="00B56683">
        <w:t>]</w:t>
      </w:r>
      <w:r w:rsidR="00995A0F" w:rsidRPr="003F30E0">
        <w:tab/>
        <w:t xml:space="preserve">Clark TW, Brendish NJ, Poole S, Naidu VV, Mansbridge C, Norton N, </w:t>
      </w:r>
      <w:r w:rsidR="00124E43">
        <w:t xml:space="preserve">et al. </w:t>
      </w:r>
      <w:r w:rsidR="00995A0F" w:rsidRPr="003F30E0">
        <w:t>Diagnostic accuracy of the FebriDx host response point-of-care test in patients hospitalised with suspected COVID-19</w:t>
      </w:r>
      <w:r w:rsidR="00995A0F" w:rsidRPr="00124E43">
        <w:t>. J Infect 2020</w:t>
      </w:r>
      <w:r w:rsidR="00124E43">
        <w:t xml:space="preserve">; </w:t>
      </w:r>
      <w:r w:rsidR="00124E43" w:rsidRPr="00124E43">
        <w:t>S0163-4453(20)30432-1</w:t>
      </w:r>
      <w:r w:rsidR="00124E43">
        <w:t>.</w:t>
      </w:r>
    </w:p>
    <w:p w14:paraId="6E02DE99" w14:textId="3F2762E4" w:rsidR="0015682D" w:rsidRPr="00010808" w:rsidRDefault="00010808" w:rsidP="00131DB9">
      <w:pPr>
        <w:pStyle w:val="Heading1"/>
      </w:pPr>
      <w:r w:rsidRPr="00010808">
        <w:lastRenderedPageBreak/>
        <w:t xml:space="preserve">Table 1: Demographics, </w:t>
      </w:r>
      <w:r w:rsidR="003411E6" w:rsidRPr="00010808">
        <w:t>comorbidities,</w:t>
      </w:r>
      <w:r w:rsidR="00A02C28">
        <w:t xml:space="preserve"> and</w:t>
      </w:r>
      <w:r w:rsidR="003411E6">
        <w:t xml:space="preserve"> clinical</w:t>
      </w:r>
      <w:r w:rsidR="00F802A8">
        <w:t xml:space="preserve"> and laboratory features </w:t>
      </w:r>
      <w:r w:rsidRPr="00010808">
        <w:t>of patients testing positive and negative for COVID-19</w:t>
      </w:r>
    </w:p>
    <w:tbl>
      <w:tblPr>
        <w:tblW w:w="10466" w:type="dxa"/>
        <w:tblLook w:val="04A0" w:firstRow="1" w:lastRow="0" w:firstColumn="1" w:lastColumn="0" w:noHBand="0" w:noVBand="1"/>
      </w:tblPr>
      <w:tblGrid>
        <w:gridCol w:w="2759"/>
        <w:gridCol w:w="2036"/>
        <w:gridCol w:w="1973"/>
        <w:gridCol w:w="2446"/>
        <w:gridCol w:w="1252"/>
      </w:tblGrid>
      <w:tr w:rsidR="00010808" w:rsidRPr="00010808" w14:paraId="0766449B" w14:textId="77777777" w:rsidTr="00BC52E6">
        <w:trPr>
          <w:trHeight w:val="368"/>
        </w:trPr>
        <w:tc>
          <w:tcPr>
            <w:tcW w:w="2759" w:type="dxa"/>
            <w:tcBorders>
              <w:top w:val="nil"/>
              <w:left w:val="nil"/>
              <w:bottom w:val="nil"/>
              <w:right w:val="nil"/>
            </w:tcBorders>
            <w:shd w:val="clear" w:color="auto" w:fill="auto"/>
            <w:vAlign w:val="bottom"/>
            <w:hideMark/>
          </w:tcPr>
          <w:p w14:paraId="7F227E34" w14:textId="77777777" w:rsidR="00010808" w:rsidRPr="00010808" w:rsidRDefault="00010808" w:rsidP="00010808">
            <w:pPr>
              <w:spacing w:after="0" w:line="240" w:lineRule="auto"/>
              <w:rPr>
                <w:rFonts w:ascii="Times New Roman" w:eastAsia="Times New Roman" w:hAnsi="Times New Roman" w:cs="Times New Roman"/>
                <w:sz w:val="24"/>
                <w:szCs w:val="24"/>
                <w:lang w:eastAsia="en-GB"/>
              </w:rPr>
            </w:pPr>
          </w:p>
        </w:tc>
        <w:tc>
          <w:tcPr>
            <w:tcW w:w="2036" w:type="dxa"/>
            <w:tcBorders>
              <w:top w:val="nil"/>
              <w:left w:val="nil"/>
              <w:bottom w:val="nil"/>
              <w:right w:val="nil"/>
            </w:tcBorders>
            <w:shd w:val="clear" w:color="auto" w:fill="auto"/>
            <w:noWrap/>
            <w:vAlign w:val="bottom"/>
            <w:hideMark/>
          </w:tcPr>
          <w:p w14:paraId="69507D03" w14:textId="77777777" w:rsidR="00010808" w:rsidRPr="00010808" w:rsidRDefault="00010808" w:rsidP="00010808">
            <w:pPr>
              <w:spacing w:after="0" w:line="240" w:lineRule="auto"/>
              <w:rPr>
                <w:rFonts w:ascii="Calibri" w:eastAsia="Times New Roman" w:hAnsi="Calibri" w:cs="Times New Roman"/>
                <w:b/>
                <w:bCs/>
                <w:color w:val="000000"/>
                <w:lang w:eastAsia="en-GB"/>
              </w:rPr>
            </w:pPr>
            <w:r w:rsidRPr="00010808">
              <w:rPr>
                <w:rFonts w:ascii="Calibri" w:eastAsia="Times New Roman" w:hAnsi="Calibri" w:cs="Times New Roman"/>
                <w:b/>
                <w:bCs/>
                <w:color w:val="000000"/>
                <w:lang w:eastAsia="en-GB"/>
              </w:rPr>
              <w:t>COVID-19 positive</w:t>
            </w:r>
          </w:p>
        </w:tc>
        <w:tc>
          <w:tcPr>
            <w:tcW w:w="1973" w:type="dxa"/>
            <w:tcBorders>
              <w:top w:val="nil"/>
              <w:left w:val="nil"/>
              <w:bottom w:val="nil"/>
              <w:right w:val="nil"/>
            </w:tcBorders>
            <w:shd w:val="clear" w:color="auto" w:fill="auto"/>
            <w:noWrap/>
            <w:vAlign w:val="bottom"/>
            <w:hideMark/>
          </w:tcPr>
          <w:p w14:paraId="4FD8BA20" w14:textId="77777777" w:rsidR="00010808" w:rsidRPr="00010808" w:rsidRDefault="00010808" w:rsidP="00010808">
            <w:pPr>
              <w:spacing w:after="0" w:line="240" w:lineRule="auto"/>
              <w:rPr>
                <w:rFonts w:ascii="Calibri" w:eastAsia="Times New Roman" w:hAnsi="Calibri" w:cs="Times New Roman"/>
                <w:b/>
                <w:bCs/>
                <w:color w:val="000000"/>
                <w:lang w:eastAsia="en-GB"/>
              </w:rPr>
            </w:pPr>
            <w:r w:rsidRPr="00010808">
              <w:rPr>
                <w:rFonts w:ascii="Calibri" w:eastAsia="Times New Roman" w:hAnsi="Calibri" w:cs="Times New Roman"/>
                <w:b/>
                <w:bCs/>
                <w:color w:val="000000"/>
                <w:lang w:eastAsia="en-GB"/>
              </w:rPr>
              <w:t>COVID-19 negative</w:t>
            </w:r>
          </w:p>
        </w:tc>
        <w:tc>
          <w:tcPr>
            <w:tcW w:w="2446" w:type="dxa"/>
            <w:tcBorders>
              <w:top w:val="nil"/>
              <w:left w:val="nil"/>
              <w:bottom w:val="nil"/>
              <w:right w:val="nil"/>
            </w:tcBorders>
            <w:shd w:val="clear" w:color="auto" w:fill="auto"/>
            <w:noWrap/>
            <w:vAlign w:val="bottom"/>
            <w:hideMark/>
          </w:tcPr>
          <w:p w14:paraId="486935E4" w14:textId="77777777" w:rsidR="00010808" w:rsidRPr="00010808" w:rsidRDefault="00010808" w:rsidP="00010808">
            <w:pPr>
              <w:spacing w:after="0" w:line="240" w:lineRule="auto"/>
              <w:rPr>
                <w:rFonts w:ascii="Calibri" w:eastAsia="Times New Roman" w:hAnsi="Calibri" w:cs="Times New Roman"/>
                <w:b/>
                <w:bCs/>
                <w:color w:val="000000"/>
                <w:lang w:eastAsia="en-GB"/>
              </w:rPr>
            </w:pPr>
            <w:r w:rsidRPr="00010808">
              <w:rPr>
                <w:rFonts w:ascii="Calibri" w:eastAsia="Times New Roman" w:hAnsi="Calibri" w:cs="Times New Roman"/>
                <w:b/>
                <w:bCs/>
                <w:color w:val="000000"/>
                <w:lang w:eastAsia="en-GB"/>
              </w:rPr>
              <w:t>Difference</w:t>
            </w:r>
          </w:p>
        </w:tc>
        <w:tc>
          <w:tcPr>
            <w:tcW w:w="1252" w:type="dxa"/>
            <w:tcBorders>
              <w:top w:val="nil"/>
              <w:left w:val="nil"/>
              <w:bottom w:val="nil"/>
              <w:right w:val="nil"/>
            </w:tcBorders>
            <w:shd w:val="clear" w:color="auto" w:fill="auto"/>
            <w:noWrap/>
            <w:vAlign w:val="bottom"/>
            <w:hideMark/>
          </w:tcPr>
          <w:p w14:paraId="0745449F" w14:textId="77777777" w:rsidR="00010808" w:rsidRPr="00010808" w:rsidRDefault="00010808" w:rsidP="00010808">
            <w:pPr>
              <w:spacing w:after="0" w:line="240" w:lineRule="auto"/>
              <w:rPr>
                <w:rFonts w:ascii="Calibri" w:eastAsia="Times New Roman" w:hAnsi="Calibri" w:cs="Times New Roman"/>
                <w:b/>
                <w:bCs/>
                <w:color w:val="000000"/>
                <w:lang w:eastAsia="en-GB"/>
              </w:rPr>
            </w:pPr>
            <w:r w:rsidRPr="00010808">
              <w:rPr>
                <w:rFonts w:ascii="Calibri" w:eastAsia="Times New Roman" w:hAnsi="Calibri" w:cs="Times New Roman"/>
                <w:b/>
                <w:bCs/>
                <w:color w:val="000000"/>
                <w:lang w:eastAsia="en-GB"/>
              </w:rPr>
              <w:t>p value</w:t>
            </w:r>
          </w:p>
        </w:tc>
      </w:tr>
      <w:tr w:rsidR="00010808" w:rsidRPr="00010808" w14:paraId="775BD4EA" w14:textId="77777777" w:rsidTr="00BC52E6">
        <w:trPr>
          <w:trHeight w:val="368"/>
        </w:trPr>
        <w:tc>
          <w:tcPr>
            <w:tcW w:w="2759" w:type="dxa"/>
            <w:tcBorders>
              <w:top w:val="nil"/>
              <w:left w:val="nil"/>
              <w:bottom w:val="single" w:sz="4" w:space="0" w:color="auto"/>
              <w:right w:val="nil"/>
            </w:tcBorders>
            <w:shd w:val="clear" w:color="auto" w:fill="auto"/>
            <w:noWrap/>
            <w:vAlign w:val="bottom"/>
            <w:hideMark/>
          </w:tcPr>
          <w:p w14:paraId="7962B4AA" w14:textId="77777777" w:rsidR="00010808" w:rsidRPr="00010808" w:rsidRDefault="00010808" w:rsidP="00010808">
            <w:pPr>
              <w:spacing w:after="0" w:line="240" w:lineRule="auto"/>
              <w:rPr>
                <w:rFonts w:ascii="Calibri" w:eastAsia="Times New Roman" w:hAnsi="Calibri" w:cs="Times New Roman"/>
                <w:color w:val="000000"/>
                <w:lang w:eastAsia="en-GB"/>
              </w:rPr>
            </w:pPr>
            <w:r w:rsidRPr="00010808">
              <w:rPr>
                <w:rFonts w:ascii="Calibri" w:eastAsia="Times New Roman" w:hAnsi="Calibri" w:cs="Times New Roman"/>
                <w:color w:val="000000"/>
                <w:lang w:eastAsia="en-GB"/>
              </w:rPr>
              <w:t> </w:t>
            </w:r>
          </w:p>
        </w:tc>
        <w:tc>
          <w:tcPr>
            <w:tcW w:w="2036" w:type="dxa"/>
            <w:tcBorders>
              <w:top w:val="nil"/>
              <w:left w:val="nil"/>
              <w:bottom w:val="single" w:sz="4" w:space="0" w:color="auto"/>
              <w:right w:val="nil"/>
            </w:tcBorders>
            <w:shd w:val="clear" w:color="auto" w:fill="auto"/>
            <w:noWrap/>
            <w:vAlign w:val="bottom"/>
            <w:hideMark/>
          </w:tcPr>
          <w:p w14:paraId="5AB9CD1A" w14:textId="77777777" w:rsidR="00010808" w:rsidRPr="00010808" w:rsidRDefault="00010808" w:rsidP="00010808">
            <w:pPr>
              <w:spacing w:after="0" w:line="240" w:lineRule="auto"/>
              <w:rPr>
                <w:rFonts w:ascii="Calibri" w:eastAsia="Times New Roman" w:hAnsi="Calibri" w:cs="Times New Roman"/>
                <w:b/>
                <w:bCs/>
                <w:color w:val="000000"/>
                <w:lang w:eastAsia="en-GB"/>
              </w:rPr>
            </w:pPr>
            <w:r w:rsidRPr="00010808">
              <w:rPr>
                <w:rFonts w:ascii="Calibri" w:eastAsia="Times New Roman" w:hAnsi="Calibri" w:cs="Times New Roman"/>
                <w:b/>
                <w:bCs/>
                <w:color w:val="000000"/>
                <w:lang w:eastAsia="en-GB"/>
              </w:rPr>
              <w:t>(n=352)</w:t>
            </w:r>
          </w:p>
        </w:tc>
        <w:tc>
          <w:tcPr>
            <w:tcW w:w="1973" w:type="dxa"/>
            <w:tcBorders>
              <w:top w:val="nil"/>
              <w:left w:val="nil"/>
              <w:bottom w:val="single" w:sz="4" w:space="0" w:color="auto"/>
              <w:right w:val="nil"/>
            </w:tcBorders>
            <w:shd w:val="clear" w:color="auto" w:fill="auto"/>
            <w:noWrap/>
            <w:vAlign w:val="bottom"/>
            <w:hideMark/>
          </w:tcPr>
          <w:p w14:paraId="24FE354A" w14:textId="77777777" w:rsidR="00010808" w:rsidRPr="00010808" w:rsidRDefault="00010808" w:rsidP="00010808">
            <w:pPr>
              <w:spacing w:after="0" w:line="240" w:lineRule="auto"/>
              <w:rPr>
                <w:rFonts w:ascii="Calibri" w:eastAsia="Times New Roman" w:hAnsi="Calibri" w:cs="Times New Roman"/>
                <w:b/>
                <w:bCs/>
                <w:color w:val="000000"/>
                <w:lang w:eastAsia="en-GB"/>
              </w:rPr>
            </w:pPr>
            <w:r w:rsidRPr="00010808">
              <w:rPr>
                <w:rFonts w:ascii="Calibri" w:eastAsia="Times New Roman" w:hAnsi="Calibri" w:cs="Times New Roman"/>
                <w:b/>
                <w:bCs/>
                <w:color w:val="000000"/>
                <w:lang w:eastAsia="en-GB"/>
              </w:rPr>
              <w:t>(n=702)</w:t>
            </w:r>
          </w:p>
        </w:tc>
        <w:tc>
          <w:tcPr>
            <w:tcW w:w="2446" w:type="dxa"/>
            <w:tcBorders>
              <w:top w:val="nil"/>
              <w:left w:val="nil"/>
              <w:bottom w:val="single" w:sz="4" w:space="0" w:color="auto"/>
              <w:right w:val="nil"/>
            </w:tcBorders>
            <w:shd w:val="clear" w:color="auto" w:fill="auto"/>
            <w:noWrap/>
            <w:vAlign w:val="bottom"/>
            <w:hideMark/>
          </w:tcPr>
          <w:p w14:paraId="474F1F5D" w14:textId="77777777" w:rsidR="00010808" w:rsidRPr="00A17F0D" w:rsidRDefault="00010808" w:rsidP="00010808">
            <w:pPr>
              <w:spacing w:after="0" w:line="240" w:lineRule="auto"/>
              <w:rPr>
                <w:rFonts w:ascii="Calibri" w:eastAsia="Times New Roman" w:hAnsi="Calibri" w:cs="Times New Roman"/>
                <w:b/>
                <w:color w:val="000000"/>
                <w:lang w:eastAsia="en-GB"/>
              </w:rPr>
            </w:pPr>
            <w:r w:rsidRPr="00010808">
              <w:rPr>
                <w:rFonts w:ascii="Calibri" w:eastAsia="Times New Roman" w:hAnsi="Calibri" w:cs="Times New Roman"/>
                <w:color w:val="000000"/>
                <w:lang w:eastAsia="en-GB"/>
              </w:rPr>
              <w:t> </w:t>
            </w:r>
            <w:r w:rsidR="00A17F0D" w:rsidRPr="00A17F0D">
              <w:rPr>
                <w:rFonts w:ascii="Calibri" w:eastAsia="Times New Roman" w:hAnsi="Calibri" w:cs="Times New Roman"/>
                <w:b/>
                <w:color w:val="000000"/>
                <w:lang w:eastAsia="en-GB"/>
              </w:rPr>
              <w:t>(95% CI)</w:t>
            </w:r>
          </w:p>
        </w:tc>
        <w:tc>
          <w:tcPr>
            <w:tcW w:w="1252" w:type="dxa"/>
            <w:tcBorders>
              <w:top w:val="nil"/>
              <w:left w:val="nil"/>
              <w:bottom w:val="single" w:sz="4" w:space="0" w:color="auto"/>
              <w:right w:val="nil"/>
            </w:tcBorders>
            <w:shd w:val="clear" w:color="auto" w:fill="auto"/>
            <w:noWrap/>
            <w:vAlign w:val="bottom"/>
            <w:hideMark/>
          </w:tcPr>
          <w:p w14:paraId="41731790" w14:textId="77777777" w:rsidR="00010808" w:rsidRPr="00010808" w:rsidRDefault="00010808" w:rsidP="00010808">
            <w:pPr>
              <w:spacing w:after="0" w:line="240" w:lineRule="auto"/>
              <w:rPr>
                <w:rFonts w:ascii="Calibri" w:eastAsia="Times New Roman" w:hAnsi="Calibri" w:cs="Times New Roman"/>
                <w:color w:val="000000"/>
                <w:lang w:eastAsia="en-GB"/>
              </w:rPr>
            </w:pPr>
            <w:r w:rsidRPr="00010808">
              <w:rPr>
                <w:rFonts w:ascii="Calibri" w:eastAsia="Times New Roman" w:hAnsi="Calibri" w:cs="Times New Roman"/>
                <w:color w:val="000000"/>
                <w:lang w:eastAsia="en-GB"/>
              </w:rPr>
              <w:t> </w:t>
            </w:r>
          </w:p>
        </w:tc>
      </w:tr>
      <w:tr w:rsidR="00010808" w:rsidRPr="00010808" w14:paraId="7ED70CAB" w14:textId="77777777" w:rsidTr="00BC52E6">
        <w:trPr>
          <w:trHeight w:val="368"/>
        </w:trPr>
        <w:tc>
          <w:tcPr>
            <w:tcW w:w="2759" w:type="dxa"/>
            <w:tcBorders>
              <w:top w:val="nil"/>
              <w:left w:val="nil"/>
              <w:bottom w:val="nil"/>
              <w:right w:val="nil"/>
            </w:tcBorders>
            <w:shd w:val="clear" w:color="auto" w:fill="auto"/>
            <w:noWrap/>
            <w:vAlign w:val="bottom"/>
            <w:hideMark/>
          </w:tcPr>
          <w:p w14:paraId="1903FA8A" w14:textId="77777777" w:rsidR="00010808" w:rsidRPr="00010808" w:rsidRDefault="00010808" w:rsidP="00010808">
            <w:pPr>
              <w:spacing w:after="0" w:line="240" w:lineRule="auto"/>
              <w:rPr>
                <w:rFonts w:ascii="Calibri" w:eastAsia="Times New Roman" w:hAnsi="Calibri" w:cs="Times New Roman"/>
                <w:b/>
                <w:bCs/>
                <w:i/>
                <w:iCs/>
                <w:lang w:eastAsia="en-GB"/>
              </w:rPr>
            </w:pPr>
            <w:r w:rsidRPr="00010808">
              <w:rPr>
                <w:rFonts w:ascii="Calibri" w:eastAsia="Times New Roman" w:hAnsi="Calibri" w:cs="Times New Roman"/>
                <w:b/>
                <w:bCs/>
                <w:i/>
                <w:iCs/>
                <w:lang w:eastAsia="en-GB"/>
              </w:rPr>
              <w:t>Demographics</w:t>
            </w:r>
          </w:p>
        </w:tc>
        <w:tc>
          <w:tcPr>
            <w:tcW w:w="2036" w:type="dxa"/>
            <w:tcBorders>
              <w:top w:val="nil"/>
              <w:left w:val="nil"/>
              <w:bottom w:val="nil"/>
              <w:right w:val="nil"/>
            </w:tcBorders>
            <w:shd w:val="clear" w:color="auto" w:fill="auto"/>
            <w:noWrap/>
            <w:vAlign w:val="bottom"/>
            <w:hideMark/>
          </w:tcPr>
          <w:p w14:paraId="48AF3867" w14:textId="77777777" w:rsidR="00010808" w:rsidRPr="00010808" w:rsidRDefault="00010808" w:rsidP="00010808">
            <w:pPr>
              <w:spacing w:after="0" w:line="240" w:lineRule="auto"/>
              <w:rPr>
                <w:rFonts w:ascii="Calibri" w:eastAsia="Times New Roman" w:hAnsi="Calibri" w:cs="Times New Roman"/>
                <w:b/>
                <w:bCs/>
                <w:i/>
                <w:iCs/>
                <w:lang w:eastAsia="en-GB"/>
              </w:rPr>
            </w:pPr>
          </w:p>
        </w:tc>
        <w:tc>
          <w:tcPr>
            <w:tcW w:w="1973" w:type="dxa"/>
            <w:tcBorders>
              <w:top w:val="nil"/>
              <w:left w:val="nil"/>
              <w:bottom w:val="nil"/>
              <w:right w:val="nil"/>
            </w:tcBorders>
            <w:shd w:val="clear" w:color="auto" w:fill="auto"/>
            <w:noWrap/>
            <w:vAlign w:val="bottom"/>
            <w:hideMark/>
          </w:tcPr>
          <w:p w14:paraId="0513B112" w14:textId="77777777" w:rsidR="00010808" w:rsidRPr="00010808" w:rsidRDefault="00010808" w:rsidP="00010808">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auto" w:fill="auto"/>
            <w:noWrap/>
            <w:vAlign w:val="bottom"/>
            <w:hideMark/>
          </w:tcPr>
          <w:p w14:paraId="5F7CB75C" w14:textId="77777777" w:rsidR="00010808" w:rsidRPr="00010808" w:rsidRDefault="00010808" w:rsidP="00010808">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4E932AA0" w14:textId="77777777" w:rsidR="00010808" w:rsidRPr="00010808" w:rsidRDefault="00010808" w:rsidP="00010808">
            <w:pPr>
              <w:spacing w:after="0" w:line="240" w:lineRule="auto"/>
              <w:rPr>
                <w:rFonts w:ascii="Times New Roman" w:eastAsia="Times New Roman" w:hAnsi="Times New Roman" w:cs="Times New Roman"/>
                <w:sz w:val="20"/>
                <w:szCs w:val="20"/>
                <w:lang w:eastAsia="en-GB"/>
              </w:rPr>
            </w:pPr>
          </w:p>
        </w:tc>
      </w:tr>
      <w:tr w:rsidR="00010808" w:rsidRPr="00010808" w14:paraId="7D3758D2" w14:textId="77777777" w:rsidTr="00BC52E6">
        <w:trPr>
          <w:trHeight w:val="368"/>
        </w:trPr>
        <w:tc>
          <w:tcPr>
            <w:tcW w:w="2759" w:type="dxa"/>
            <w:tcBorders>
              <w:top w:val="nil"/>
              <w:left w:val="nil"/>
              <w:bottom w:val="nil"/>
              <w:right w:val="nil"/>
            </w:tcBorders>
            <w:shd w:val="clear" w:color="auto" w:fill="auto"/>
            <w:noWrap/>
            <w:vAlign w:val="bottom"/>
            <w:hideMark/>
          </w:tcPr>
          <w:p w14:paraId="1B0E067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Age (years)</w:t>
            </w:r>
          </w:p>
        </w:tc>
        <w:tc>
          <w:tcPr>
            <w:tcW w:w="2036" w:type="dxa"/>
            <w:tcBorders>
              <w:top w:val="nil"/>
              <w:left w:val="nil"/>
              <w:bottom w:val="nil"/>
              <w:right w:val="nil"/>
            </w:tcBorders>
            <w:shd w:val="clear" w:color="auto" w:fill="auto"/>
            <w:noWrap/>
            <w:vAlign w:val="bottom"/>
            <w:hideMark/>
          </w:tcPr>
          <w:p w14:paraId="0419DC85"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68 (50 to 80)</w:t>
            </w:r>
          </w:p>
        </w:tc>
        <w:tc>
          <w:tcPr>
            <w:tcW w:w="1973" w:type="dxa"/>
            <w:tcBorders>
              <w:top w:val="nil"/>
              <w:left w:val="nil"/>
              <w:bottom w:val="nil"/>
              <w:right w:val="nil"/>
            </w:tcBorders>
            <w:shd w:val="clear" w:color="auto" w:fill="auto"/>
            <w:noWrap/>
            <w:vAlign w:val="bottom"/>
            <w:hideMark/>
          </w:tcPr>
          <w:p w14:paraId="6F2D8805"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69 (52 to 81)</w:t>
            </w:r>
          </w:p>
        </w:tc>
        <w:tc>
          <w:tcPr>
            <w:tcW w:w="2446" w:type="dxa"/>
            <w:tcBorders>
              <w:top w:val="nil"/>
              <w:left w:val="nil"/>
              <w:bottom w:val="nil"/>
              <w:right w:val="nil"/>
            </w:tcBorders>
            <w:shd w:val="clear" w:color="auto" w:fill="auto"/>
            <w:noWrap/>
            <w:vAlign w:val="bottom"/>
            <w:hideMark/>
          </w:tcPr>
          <w:p w14:paraId="40C82060"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w:t>
            </w:r>
            <w:r w:rsidR="00A17F0D">
              <w:rPr>
                <w:rFonts w:ascii="Calibri" w:eastAsia="Times New Roman" w:hAnsi="Calibri" w:cs="Times New Roman"/>
                <w:lang w:eastAsia="en-GB"/>
              </w:rPr>
              <w:t xml:space="preserve"> (-3 to 2)</w:t>
            </w:r>
          </w:p>
        </w:tc>
        <w:tc>
          <w:tcPr>
            <w:tcW w:w="1252" w:type="dxa"/>
            <w:tcBorders>
              <w:top w:val="nil"/>
              <w:left w:val="nil"/>
              <w:bottom w:val="nil"/>
              <w:right w:val="nil"/>
            </w:tcBorders>
            <w:shd w:val="clear" w:color="auto" w:fill="auto"/>
            <w:noWrap/>
            <w:vAlign w:val="bottom"/>
            <w:hideMark/>
          </w:tcPr>
          <w:p w14:paraId="588EE6C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0.4689</w:t>
            </w:r>
          </w:p>
        </w:tc>
      </w:tr>
      <w:tr w:rsidR="00010808" w:rsidRPr="00010808" w14:paraId="2F1CFC5B" w14:textId="77777777" w:rsidTr="00BC52E6">
        <w:trPr>
          <w:trHeight w:val="368"/>
        </w:trPr>
        <w:tc>
          <w:tcPr>
            <w:tcW w:w="2759" w:type="dxa"/>
            <w:tcBorders>
              <w:top w:val="nil"/>
              <w:left w:val="nil"/>
              <w:bottom w:val="nil"/>
              <w:right w:val="nil"/>
            </w:tcBorders>
            <w:shd w:val="clear" w:color="auto" w:fill="auto"/>
            <w:noWrap/>
            <w:vAlign w:val="bottom"/>
            <w:hideMark/>
          </w:tcPr>
          <w:p w14:paraId="4F5760E8"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Male gender</w:t>
            </w:r>
          </w:p>
        </w:tc>
        <w:tc>
          <w:tcPr>
            <w:tcW w:w="2036" w:type="dxa"/>
            <w:tcBorders>
              <w:top w:val="nil"/>
              <w:left w:val="nil"/>
              <w:bottom w:val="nil"/>
              <w:right w:val="nil"/>
            </w:tcBorders>
            <w:shd w:val="clear" w:color="auto" w:fill="auto"/>
            <w:noWrap/>
            <w:vAlign w:val="bottom"/>
            <w:hideMark/>
          </w:tcPr>
          <w:p w14:paraId="662D7E6B"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202 (57.4%)</w:t>
            </w:r>
          </w:p>
        </w:tc>
        <w:tc>
          <w:tcPr>
            <w:tcW w:w="1973" w:type="dxa"/>
            <w:tcBorders>
              <w:top w:val="nil"/>
              <w:left w:val="nil"/>
              <w:bottom w:val="nil"/>
              <w:right w:val="nil"/>
            </w:tcBorders>
            <w:shd w:val="clear" w:color="auto" w:fill="auto"/>
            <w:noWrap/>
            <w:vAlign w:val="bottom"/>
            <w:hideMark/>
          </w:tcPr>
          <w:p w14:paraId="7A57BC6A"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363 (51.7%)</w:t>
            </w:r>
          </w:p>
        </w:tc>
        <w:tc>
          <w:tcPr>
            <w:tcW w:w="2446" w:type="dxa"/>
            <w:tcBorders>
              <w:top w:val="nil"/>
              <w:left w:val="nil"/>
              <w:bottom w:val="nil"/>
              <w:right w:val="nil"/>
            </w:tcBorders>
            <w:shd w:val="clear" w:color="auto" w:fill="auto"/>
            <w:noWrap/>
            <w:vAlign w:val="bottom"/>
            <w:hideMark/>
          </w:tcPr>
          <w:p w14:paraId="12E41DC8" w14:textId="77777777" w:rsidR="00010808" w:rsidRPr="00010808" w:rsidRDefault="00010808" w:rsidP="00010808">
            <w:pPr>
              <w:spacing w:after="0" w:line="240" w:lineRule="auto"/>
              <w:rPr>
                <w:rFonts w:ascii="Calibri" w:eastAsia="Times New Roman" w:hAnsi="Calibri" w:cs="Times New Roman"/>
                <w:lang w:eastAsia="en-GB"/>
              </w:rPr>
            </w:pPr>
            <w:bookmarkStart w:id="1" w:name="_Hlk48160401"/>
            <w:r w:rsidRPr="00010808">
              <w:rPr>
                <w:rFonts w:ascii="Calibri" w:eastAsia="Times New Roman" w:hAnsi="Calibri" w:cs="Times New Roman"/>
                <w:lang w:eastAsia="en-GB"/>
              </w:rPr>
              <w:t>5.7%</w:t>
            </w:r>
            <w:r w:rsidR="00652E9A">
              <w:rPr>
                <w:rFonts w:ascii="Calibri" w:eastAsia="Times New Roman" w:hAnsi="Calibri" w:cs="Times New Roman"/>
                <w:lang w:eastAsia="en-GB"/>
              </w:rPr>
              <w:t xml:space="preserve"> (-0.7% to 11.9%)</w:t>
            </w:r>
            <w:bookmarkEnd w:id="1"/>
          </w:p>
        </w:tc>
        <w:tc>
          <w:tcPr>
            <w:tcW w:w="1252" w:type="dxa"/>
            <w:tcBorders>
              <w:top w:val="nil"/>
              <w:left w:val="nil"/>
              <w:bottom w:val="nil"/>
              <w:right w:val="nil"/>
            </w:tcBorders>
            <w:shd w:val="clear" w:color="auto" w:fill="auto"/>
            <w:noWrap/>
            <w:vAlign w:val="bottom"/>
            <w:hideMark/>
          </w:tcPr>
          <w:p w14:paraId="54572B17"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0.0887</w:t>
            </w:r>
          </w:p>
        </w:tc>
      </w:tr>
      <w:tr w:rsidR="00010808" w:rsidRPr="00010808" w14:paraId="6748837F" w14:textId="77777777" w:rsidTr="00BC52E6">
        <w:trPr>
          <w:trHeight w:val="368"/>
        </w:trPr>
        <w:tc>
          <w:tcPr>
            <w:tcW w:w="2759" w:type="dxa"/>
            <w:tcBorders>
              <w:top w:val="nil"/>
              <w:left w:val="nil"/>
              <w:bottom w:val="nil"/>
              <w:right w:val="nil"/>
            </w:tcBorders>
            <w:shd w:val="clear" w:color="auto" w:fill="auto"/>
            <w:noWrap/>
            <w:vAlign w:val="bottom"/>
            <w:hideMark/>
          </w:tcPr>
          <w:p w14:paraId="0609F139"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Current smoker</w:t>
            </w:r>
          </w:p>
        </w:tc>
        <w:tc>
          <w:tcPr>
            <w:tcW w:w="2036" w:type="dxa"/>
            <w:tcBorders>
              <w:top w:val="nil"/>
              <w:left w:val="nil"/>
              <w:bottom w:val="nil"/>
              <w:right w:val="nil"/>
            </w:tcBorders>
            <w:shd w:val="clear" w:color="auto" w:fill="auto"/>
            <w:noWrap/>
            <w:vAlign w:val="bottom"/>
            <w:hideMark/>
          </w:tcPr>
          <w:p w14:paraId="4677DA18"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20 (5.7%)</w:t>
            </w:r>
          </w:p>
        </w:tc>
        <w:tc>
          <w:tcPr>
            <w:tcW w:w="1973" w:type="dxa"/>
            <w:tcBorders>
              <w:top w:val="nil"/>
              <w:left w:val="nil"/>
              <w:bottom w:val="nil"/>
              <w:right w:val="nil"/>
            </w:tcBorders>
            <w:shd w:val="clear" w:color="auto" w:fill="auto"/>
            <w:noWrap/>
            <w:vAlign w:val="bottom"/>
            <w:hideMark/>
          </w:tcPr>
          <w:p w14:paraId="7EF6A202"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116 (16.5%)</w:t>
            </w:r>
          </w:p>
        </w:tc>
        <w:tc>
          <w:tcPr>
            <w:tcW w:w="2446" w:type="dxa"/>
            <w:tcBorders>
              <w:top w:val="nil"/>
              <w:left w:val="nil"/>
              <w:bottom w:val="nil"/>
              <w:right w:val="nil"/>
            </w:tcBorders>
            <w:shd w:val="clear" w:color="auto" w:fill="auto"/>
            <w:noWrap/>
            <w:vAlign w:val="bottom"/>
            <w:hideMark/>
          </w:tcPr>
          <w:p w14:paraId="56B21804"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-10.8%</w:t>
            </w:r>
            <w:r w:rsidR="00652E9A">
              <w:rPr>
                <w:rFonts w:ascii="Calibri" w:eastAsia="Times New Roman" w:hAnsi="Calibri" w:cs="Times New Roman"/>
                <w:lang w:eastAsia="en-GB"/>
              </w:rPr>
              <w:t xml:space="preserve"> </w:t>
            </w:r>
            <w:r w:rsidR="00BC52E6">
              <w:rPr>
                <w:rFonts w:ascii="Calibri" w:eastAsia="Times New Roman" w:hAnsi="Calibri" w:cs="Times New Roman"/>
                <w:lang w:eastAsia="en-GB"/>
              </w:rPr>
              <w:t>(-14.4% to -7.0%)</w:t>
            </w:r>
          </w:p>
        </w:tc>
        <w:tc>
          <w:tcPr>
            <w:tcW w:w="1252" w:type="dxa"/>
            <w:tcBorders>
              <w:top w:val="nil"/>
              <w:left w:val="nil"/>
              <w:bottom w:val="nil"/>
              <w:right w:val="nil"/>
            </w:tcBorders>
            <w:shd w:val="clear" w:color="auto" w:fill="auto"/>
            <w:noWrap/>
            <w:vAlign w:val="bottom"/>
            <w:hideMark/>
          </w:tcPr>
          <w:p w14:paraId="095043DF"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0.0001</w:t>
            </w:r>
          </w:p>
        </w:tc>
      </w:tr>
      <w:tr w:rsidR="00010808" w:rsidRPr="00010808" w14:paraId="2F756E56" w14:textId="77777777" w:rsidTr="00BC52E6">
        <w:trPr>
          <w:trHeight w:val="368"/>
        </w:trPr>
        <w:tc>
          <w:tcPr>
            <w:tcW w:w="2759" w:type="dxa"/>
            <w:tcBorders>
              <w:top w:val="nil"/>
              <w:left w:val="nil"/>
              <w:bottom w:val="nil"/>
              <w:right w:val="nil"/>
            </w:tcBorders>
            <w:shd w:val="clear" w:color="auto" w:fill="auto"/>
            <w:noWrap/>
            <w:vAlign w:val="bottom"/>
            <w:hideMark/>
          </w:tcPr>
          <w:p w14:paraId="63E995E5"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Pregnant</w:t>
            </w:r>
          </w:p>
        </w:tc>
        <w:tc>
          <w:tcPr>
            <w:tcW w:w="2036" w:type="dxa"/>
            <w:tcBorders>
              <w:top w:val="nil"/>
              <w:left w:val="nil"/>
              <w:bottom w:val="nil"/>
              <w:right w:val="nil"/>
            </w:tcBorders>
            <w:shd w:val="clear" w:color="auto" w:fill="auto"/>
            <w:noWrap/>
            <w:vAlign w:val="bottom"/>
            <w:hideMark/>
          </w:tcPr>
          <w:p w14:paraId="13286E93"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3 (0.9%)</w:t>
            </w:r>
          </w:p>
        </w:tc>
        <w:tc>
          <w:tcPr>
            <w:tcW w:w="1973" w:type="dxa"/>
            <w:tcBorders>
              <w:top w:val="nil"/>
              <w:left w:val="nil"/>
              <w:bottom w:val="nil"/>
              <w:right w:val="nil"/>
            </w:tcBorders>
            <w:shd w:val="clear" w:color="auto" w:fill="auto"/>
            <w:noWrap/>
            <w:vAlign w:val="bottom"/>
            <w:hideMark/>
          </w:tcPr>
          <w:p w14:paraId="1126C4F6"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6 (0.9%)</w:t>
            </w:r>
          </w:p>
        </w:tc>
        <w:tc>
          <w:tcPr>
            <w:tcW w:w="2446" w:type="dxa"/>
            <w:tcBorders>
              <w:top w:val="nil"/>
              <w:left w:val="nil"/>
              <w:bottom w:val="nil"/>
              <w:right w:val="nil"/>
            </w:tcBorders>
            <w:shd w:val="clear" w:color="auto" w:fill="auto"/>
            <w:noWrap/>
            <w:vAlign w:val="bottom"/>
            <w:hideMark/>
          </w:tcPr>
          <w:p w14:paraId="175ED6C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0.0%</w:t>
            </w:r>
            <w:r w:rsidR="00D14BAE">
              <w:rPr>
                <w:rFonts w:ascii="Calibri" w:eastAsia="Times New Roman" w:hAnsi="Calibri" w:cs="Times New Roman"/>
                <w:lang w:eastAsia="en-GB"/>
              </w:rPr>
              <w:t xml:space="preserve"> (-1.2</w:t>
            </w:r>
            <w:r w:rsidR="003C757A">
              <w:rPr>
                <w:rFonts w:ascii="Calibri" w:eastAsia="Times New Roman" w:hAnsi="Calibri" w:cs="Times New Roman"/>
                <w:lang w:eastAsia="en-GB"/>
              </w:rPr>
              <w:t>%</w:t>
            </w:r>
            <w:r w:rsidR="00D14BAE">
              <w:rPr>
                <w:rFonts w:ascii="Calibri" w:eastAsia="Times New Roman" w:hAnsi="Calibri" w:cs="Times New Roman"/>
                <w:lang w:eastAsia="en-GB"/>
              </w:rPr>
              <w:t xml:space="preserve"> to 1.7%)</w:t>
            </w:r>
          </w:p>
        </w:tc>
        <w:tc>
          <w:tcPr>
            <w:tcW w:w="1252" w:type="dxa"/>
            <w:tcBorders>
              <w:top w:val="nil"/>
              <w:left w:val="nil"/>
              <w:bottom w:val="nil"/>
              <w:right w:val="nil"/>
            </w:tcBorders>
            <w:shd w:val="clear" w:color="auto" w:fill="auto"/>
            <w:noWrap/>
            <w:vAlign w:val="bottom"/>
            <w:hideMark/>
          </w:tcPr>
          <w:p w14:paraId="2C61653C"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&gt;0.9999</w:t>
            </w:r>
          </w:p>
        </w:tc>
      </w:tr>
      <w:tr w:rsidR="00CB2BEC" w:rsidRPr="00010808" w14:paraId="6C8D59F2" w14:textId="77777777" w:rsidTr="00BC52E6">
        <w:trPr>
          <w:trHeight w:val="368"/>
        </w:trPr>
        <w:tc>
          <w:tcPr>
            <w:tcW w:w="2759" w:type="dxa"/>
            <w:tcBorders>
              <w:top w:val="nil"/>
              <w:left w:val="nil"/>
              <w:bottom w:val="nil"/>
              <w:right w:val="nil"/>
            </w:tcBorders>
            <w:shd w:val="clear" w:color="auto" w:fill="auto"/>
            <w:noWrap/>
            <w:vAlign w:val="bottom"/>
          </w:tcPr>
          <w:p w14:paraId="4716B448" w14:textId="77777777" w:rsidR="00CB2BEC" w:rsidRPr="00010808" w:rsidRDefault="00CB2BEC" w:rsidP="00010808">
            <w:pPr>
              <w:spacing w:after="0" w:line="240" w:lineRule="auto"/>
              <w:rPr>
                <w:rFonts w:ascii="Calibri" w:eastAsia="Times New Roman" w:hAnsi="Calibri" w:cs="Times New Roman"/>
                <w:lang w:eastAsia="en-GB"/>
              </w:rPr>
            </w:pPr>
            <w:r>
              <w:rPr>
                <w:rFonts w:ascii="Calibri" w:eastAsia="Times New Roman" w:hAnsi="Calibri" w:cs="Times New Roman"/>
                <w:lang w:eastAsia="en-GB"/>
              </w:rPr>
              <w:t>Healthcare worker</w:t>
            </w:r>
          </w:p>
        </w:tc>
        <w:tc>
          <w:tcPr>
            <w:tcW w:w="2036" w:type="dxa"/>
            <w:tcBorders>
              <w:top w:val="nil"/>
              <w:left w:val="nil"/>
              <w:bottom w:val="nil"/>
              <w:right w:val="nil"/>
            </w:tcBorders>
            <w:shd w:val="clear" w:color="auto" w:fill="auto"/>
            <w:noWrap/>
            <w:vAlign w:val="bottom"/>
          </w:tcPr>
          <w:p w14:paraId="4D0EFC3B" w14:textId="77777777" w:rsidR="00CB2BEC" w:rsidRPr="00010808" w:rsidRDefault="00892DDB" w:rsidP="00010808">
            <w:pPr>
              <w:spacing w:after="0" w:line="240" w:lineRule="auto"/>
              <w:rPr>
                <w:rFonts w:ascii="Calibri" w:eastAsia="Times New Roman" w:hAnsi="Calibri" w:cs="Times New Roman"/>
                <w:lang w:eastAsia="en-GB"/>
              </w:rPr>
            </w:pPr>
            <w:r>
              <w:rPr>
                <w:rFonts w:ascii="Calibri" w:eastAsia="Times New Roman" w:hAnsi="Calibri" w:cs="Times New Roman"/>
                <w:lang w:eastAsia="en-GB"/>
              </w:rPr>
              <w:t>39 (</w:t>
            </w:r>
            <w:r w:rsidRPr="00362651">
              <w:rPr>
                <w:rFonts w:ascii="Calibri" w:eastAsia="Times New Roman" w:hAnsi="Calibri" w:cs="Times New Roman"/>
                <w:color w:val="000000"/>
                <w:lang w:eastAsia="en-GB"/>
              </w:rPr>
              <w:t>20.9%</w:t>
            </w:r>
            <w:r>
              <w:rPr>
                <w:rFonts w:ascii="Calibri" w:eastAsia="Times New Roman" w:hAnsi="Calibri" w:cs="Times New Roman"/>
                <w:lang w:eastAsia="en-GB"/>
              </w:rPr>
              <w:t>)</w:t>
            </w:r>
            <w:r w:rsidRPr="00892DDB">
              <w:rPr>
                <w:rFonts w:ascii="Calibri" w:eastAsia="Times New Roman" w:hAnsi="Calibri" w:cs="Times New Roman"/>
                <w:vertAlign w:val="superscript"/>
                <w:lang w:eastAsia="en-GB"/>
              </w:rPr>
              <w:t>a</w:t>
            </w:r>
          </w:p>
        </w:tc>
        <w:tc>
          <w:tcPr>
            <w:tcW w:w="1973" w:type="dxa"/>
            <w:tcBorders>
              <w:top w:val="nil"/>
              <w:left w:val="nil"/>
              <w:bottom w:val="nil"/>
              <w:right w:val="nil"/>
            </w:tcBorders>
            <w:shd w:val="clear" w:color="auto" w:fill="auto"/>
            <w:noWrap/>
            <w:vAlign w:val="bottom"/>
          </w:tcPr>
          <w:p w14:paraId="52EF479D" w14:textId="77777777" w:rsidR="00CB2BEC" w:rsidRPr="00010808" w:rsidRDefault="00892DDB" w:rsidP="00010808">
            <w:pPr>
              <w:spacing w:after="0" w:line="240" w:lineRule="auto"/>
              <w:rPr>
                <w:rFonts w:ascii="Calibri" w:eastAsia="Times New Roman" w:hAnsi="Calibri" w:cs="Times New Roman"/>
                <w:lang w:eastAsia="en-GB"/>
              </w:rPr>
            </w:pPr>
            <w:r>
              <w:rPr>
                <w:rFonts w:ascii="Calibri" w:eastAsia="Times New Roman" w:hAnsi="Calibri" w:cs="Times New Roman"/>
                <w:lang w:eastAsia="en-GB"/>
              </w:rPr>
              <w:t>15 (</w:t>
            </w:r>
            <w:r w:rsidRPr="00362651">
              <w:rPr>
                <w:rFonts w:ascii="Calibri" w:eastAsia="Times New Roman" w:hAnsi="Calibri" w:cs="Times New Roman"/>
                <w:color w:val="000000"/>
                <w:lang w:eastAsia="en-GB"/>
              </w:rPr>
              <w:t>5.2%</w:t>
            </w:r>
            <w:r>
              <w:rPr>
                <w:rFonts w:ascii="Calibri" w:eastAsia="Times New Roman" w:hAnsi="Calibri" w:cs="Times New Roman"/>
                <w:lang w:eastAsia="en-GB"/>
              </w:rPr>
              <w:t>)</w:t>
            </w:r>
            <w:r w:rsidRPr="00892DDB">
              <w:rPr>
                <w:rFonts w:ascii="Calibri" w:eastAsia="Times New Roman" w:hAnsi="Calibri" w:cs="Times New Roman"/>
                <w:vertAlign w:val="superscript"/>
                <w:lang w:eastAsia="en-GB"/>
              </w:rPr>
              <w:t>a</w:t>
            </w:r>
          </w:p>
        </w:tc>
        <w:tc>
          <w:tcPr>
            <w:tcW w:w="2446" w:type="dxa"/>
            <w:tcBorders>
              <w:top w:val="nil"/>
              <w:left w:val="nil"/>
              <w:bottom w:val="nil"/>
              <w:right w:val="nil"/>
            </w:tcBorders>
            <w:shd w:val="clear" w:color="auto" w:fill="auto"/>
            <w:noWrap/>
            <w:vAlign w:val="bottom"/>
          </w:tcPr>
          <w:p w14:paraId="409B2641" w14:textId="77777777" w:rsidR="00CB2BEC" w:rsidRPr="00010808" w:rsidRDefault="00892DDB" w:rsidP="00010808">
            <w:pPr>
              <w:spacing w:after="0" w:line="240" w:lineRule="auto"/>
              <w:rPr>
                <w:rFonts w:ascii="Calibri" w:eastAsia="Times New Roman" w:hAnsi="Calibri" w:cs="Times New Roman"/>
                <w:lang w:eastAsia="en-GB"/>
              </w:rPr>
            </w:pPr>
            <w:r w:rsidRPr="00362651">
              <w:rPr>
                <w:rFonts w:ascii="Calibri" w:eastAsia="Times New Roman" w:hAnsi="Calibri" w:cs="Times New Roman"/>
                <w:color w:val="000000"/>
                <w:lang w:eastAsia="en-GB"/>
              </w:rPr>
              <w:t>15.6%</w:t>
            </w:r>
            <w:r>
              <w:rPr>
                <w:rFonts w:ascii="Calibri" w:eastAsia="Times New Roman" w:hAnsi="Calibri" w:cs="Times New Roman"/>
                <w:color w:val="000000"/>
                <w:lang w:eastAsia="en-GB"/>
              </w:rPr>
              <w:t xml:space="preserve"> (9.5% to 22.3%)</w:t>
            </w:r>
          </w:p>
        </w:tc>
        <w:tc>
          <w:tcPr>
            <w:tcW w:w="1252" w:type="dxa"/>
            <w:tcBorders>
              <w:top w:val="nil"/>
              <w:left w:val="nil"/>
              <w:bottom w:val="nil"/>
              <w:right w:val="nil"/>
            </w:tcBorders>
            <w:shd w:val="clear" w:color="auto" w:fill="auto"/>
            <w:noWrap/>
            <w:vAlign w:val="bottom"/>
          </w:tcPr>
          <w:p w14:paraId="1B176BC0" w14:textId="77777777" w:rsidR="00CB2BEC" w:rsidRPr="00010808" w:rsidRDefault="00892DDB" w:rsidP="00010808">
            <w:pPr>
              <w:spacing w:after="0" w:line="240" w:lineRule="auto"/>
              <w:rPr>
                <w:rFonts w:ascii="Calibri" w:eastAsia="Times New Roman" w:hAnsi="Calibri" w:cs="Times New Roman"/>
                <w:lang w:eastAsia="en-GB"/>
              </w:rPr>
            </w:pPr>
            <w:r w:rsidRPr="00362651">
              <w:rPr>
                <w:rFonts w:ascii="Calibri" w:eastAsia="Times New Roman" w:hAnsi="Calibri" w:cs="Times New Roman"/>
                <w:b/>
                <w:bCs/>
                <w:color w:val="000000"/>
                <w:lang w:eastAsia="en-GB"/>
              </w:rPr>
              <w:t>&lt;0.0001</w:t>
            </w:r>
          </w:p>
        </w:tc>
      </w:tr>
      <w:tr w:rsidR="00010808" w:rsidRPr="00010808" w14:paraId="40EFE0D5" w14:textId="77777777" w:rsidTr="00BC52E6">
        <w:trPr>
          <w:trHeight w:val="368"/>
        </w:trPr>
        <w:tc>
          <w:tcPr>
            <w:tcW w:w="2759" w:type="dxa"/>
            <w:tcBorders>
              <w:top w:val="nil"/>
              <w:left w:val="nil"/>
              <w:bottom w:val="nil"/>
              <w:right w:val="nil"/>
            </w:tcBorders>
            <w:shd w:val="clear" w:color="auto" w:fill="auto"/>
            <w:noWrap/>
            <w:vAlign w:val="bottom"/>
            <w:hideMark/>
          </w:tcPr>
          <w:p w14:paraId="05C097C6" w14:textId="77777777" w:rsidR="00010808" w:rsidRPr="00010808" w:rsidRDefault="00010808" w:rsidP="00010808">
            <w:pPr>
              <w:spacing w:after="0" w:line="240" w:lineRule="auto"/>
              <w:rPr>
                <w:rFonts w:ascii="Calibri" w:eastAsia="Times New Roman" w:hAnsi="Calibri" w:cs="Times New Roman"/>
                <w:b/>
                <w:bCs/>
                <w:i/>
                <w:iCs/>
                <w:lang w:eastAsia="en-GB"/>
              </w:rPr>
            </w:pPr>
            <w:r w:rsidRPr="00010808">
              <w:rPr>
                <w:rFonts w:ascii="Calibri" w:eastAsia="Times New Roman" w:hAnsi="Calibri" w:cs="Times New Roman"/>
                <w:b/>
                <w:bCs/>
                <w:i/>
                <w:iCs/>
                <w:lang w:eastAsia="en-GB"/>
              </w:rPr>
              <w:t>Comorbidities</w:t>
            </w:r>
          </w:p>
        </w:tc>
        <w:tc>
          <w:tcPr>
            <w:tcW w:w="2036" w:type="dxa"/>
            <w:tcBorders>
              <w:top w:val="nil"/>
              <w:left w:val="nil"/>
              <w:bottom w:val="nil"/>
              <w:right w:val="nil"/>
            </w:tcBorders>
            <w:shd w:val="clear" w:color="auto" w:fill="auto"/>
            <w:noWrap/>
            <w:vAlign w:val="bottom"/>
            <w:hideMark/>
          </w:tcPr>
          <w:p w14:paraId="488B27F9" w14:textId="77777777" w:rsidR="00010808" w:rsidRPr="00010808" w:rsidRDefault="00010808" w:rsidP="00010808">
            <w:pPr>
              <w:spacing w:after="0" w:line="240" w:lineRule="auto"/>
              <w:rPr>
                <w:rFonts w:ascii="Calibri" w:eastAsia="Times New Roman" w:hAnsi="Calibri" w:cs="Times New Roman"/>
                <w:b/>
                <w:bCs/>
                <w:i/>
                <w:iCs/>
                <w:lang w:eastAsia="en-GB"/>
              </w:rPr>
            </w:pPr>
          </w:p>
        </w:tc>
        <w:tc>
          <w:tcPr>
            <w:tcW w:w="1973" w:type="dxa"/>
            <w:tcBorders>
              <w:top w:val="nil"/>
              <w:left w:val="nil"/>
              <w:bottom w:val="nil"/>
              <w:right w:val="nil"/>
            </w:tcBorders>
            <w:shd w:val="clear" w:color="auto" w:fill="auto"/>
            <w:noWrap/>
            <w:vAlign w:val="bottom"/>
            <w:hideMark/>
          </w:tcPr>
          <w:p w14:paraId="1D895945" w14:textId="77777777" w:rsidR="00010808" w:rsidRPr="00010808" w:rsidRDefault="00010808" w:rsidP="00010808">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auto" w:fill="auto"/>
            <w:noWrap/>
            <w:vAlign w:val="bottom"/>
            <w:hideMark/>
          </w:tcPr>
          <w:p w14:paraId="39326F6D" w14:textId="77777777" w:rsidR="00010808" w:rsidRPr="00010808" w:rsidRDefault="00010808" w:rsidP="00010808">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5EE98DC0" w14:textId="77777777" w:rsidR="00010808" w:rsidRPr="00010808" w:rsidRDefault="00010808" w:rsidP="00010808">
            <w:pPr>
              <w:spacing w:after="0" w:line="240" w:lineRule="auto"/>
              <w:rPr>
                <w:rFonts w:ascii="Times New Roman" w:eastAsia="Times New Roman" w:hAnsi="Times New Roman" w:cs="Times New Roman"/>
                <w:sz w:val="20"/>
                <w:szCs w:val="20"/>
                <w:lang w:eastAsia="en-GB"/>
              </w:rPr>
            </w:pPr>
          </w:p>
        </w:tc>
      </w:tr>
      <w:tr w:rsidR="00010808" w:rsidRPr="00010808" w14:paraId="209A4FDB" w14:textId="77777777" w:rsidTr="00BC52E6">
        <w:trPr>
          <w:trHeight w:val="368"/>
        </w:trPr>
        <w:tc>
          <w:tcPr>
            <w:tcW w:w="2759" w:type="dxa"/>
            <w:tcBorders>
              <w:top w:val="nil"/>
              <w:left w:val="nil"/>
              <w:bottom w:val="nil"/>
              <w:right w:val="nil"/>
            </w:tcBorders>
            <w:shd w:val="clear" w:color="auto" w:fill="auto"/>
            <w:noWrap/>
            <w:vAlign w:val="bottom"/>
            <w:hideMark/>
          </w:tcPr>
          <w:p w14:paraId="4D911C4D"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Hypertension</w:t>
            </w:r>
          </w:p>
        </w:tc>
        <w:tc>
          <w:tcPr>
            <w:tcW w:w="2036" w:type="dxa"/>
            <w:tcBorders>
              <w:top w:val="nil"/>
              <w:left w:val="nil"/>
              <w:bottom w:val="nil"/>
              <w:right w:val="nil"/>
            </w:tcBorders>
            <w:shd w:val="clear" w:color="auto" w:fill="auto"/>
            <w:noWrap/>
            <w:vAlign w:val="bottom"/>
            <w:hideMark/>
          </w:tcPr>
          <w:p w14:paraId="52F79668"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144 (40.9%)</w:t>
            </w:r>
          </w:p>
        </w:tc>
        <w:tc>
          <w:tcPr>
            <w:tcW w:w="1973" w:type="dxa"/>
            <w:tcBorders>
              <w:top w:val="nil"/>
              <w:left w:val="nil"/>
              <w:bottom w:val="nil"/>
              <w:right w:val="nil"/>
            </w:tcBorders>
            <w:shd w:val="clear" w:color="auto" w:fill="auto"/>
            <w:noWrap/>
            <w:vAlign w:val="bottom"/>
            <w:hideMark/>
          </w:tcPr>
          <w:p w14:paraId="7F51E4DA"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278 (39.6%)</w:t>
            </w:r>
          </w:p>
        </w:tc>
        <w:tc>
          <w:tcPr>
            <w:tcW w:w="2446" w:type="dxa"/>
            <w:tcBorders>
              <w:top w:val="nil"/>
              <w:left w:val="nil"/>
              <w:bottom w:val="nil"/>
              <w:right w:val="nil"/>
            </w:tcBorders>
            <w:shd w:val="clear" w:color="auto" w:fill="auto"/>
            <w:noWrap/>
            <w:vAlign w:val="bottom"/>
            <w:hideMark/>
          </w:tcPr>
          <w:p w14:paraId="03C56D92"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1.3%</w:t>
            </w:r>
            <w:r w:rsidR="003B147E">
              <w:rPr>
                <w:rFonts w:ascii="Calibri" w:eastAsia="Times New Roman" w:hAnsi="Calibri" w:cs="Times New Roman"/>
                <w:lang w:eastAsia="en-GB"/>
              </w:rPr>
              <w:t xml:space="preserve"> (</w:t>
            </w:r>
            <w:r w:rsidR="003C757A">
              <w:rPr>
                <w:rFonts w:ascii="Calibri" w:eastAsia="Times New Roman" w:hAnsi="Calibri" w:cs="Times New Roman"/>
                <w:lang w:eastAsia="en-GB"/>
              </w:rPr>
              <w:t>-4.9% to 7.6%)</w:t>
            </w:r>
          </w:p>
        </w:tc>
        <w:tc>
          <w:tcPr>
            <w:tcW w:w="1252" w:type="dxa"/>
            <w:tcBorders>
              <w:top w:val="nil"/>
              <w:left w:val="nil"/>
              <w:bottom w:val="nil"/>
              <w:right w:val="nil"/>
            </w:tcBorders>
            <w:shd w:val="clear" w:color="auto" w:fill="auto"/>
            <w:noWrap/>
            <w:vAlign w:val="bottom"/>
            <w:hideMark/>
          </w:tcPr>
          <w:p w14:paraId="48091C95"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0.6897</w:t>
            </w:r>
          </w:p>
        </w:tc>
      </w:tr>
      <w:tr w:rsidR="00010808" w:rsidRPr="00010808" w14:paraId="39E5FC9D" w14:textId="77777777" w:rsidTr="00BC52E6">
        <w:trPr>
          <w:trHeight w:val="368"/>
        </w:trPr>
        <w:tc>
          <w:tcPr>
            <w:tcW w:w="2759" w:type="dxa"/>
            <w:tcBorders>
              <w:top w:val="nil"/>
              <w:left w:val="nil"/>
              <w:bottom w:val="nil"/>
              <w:right w:val="nil"/>
            </w:tcBorders>
            <w:shd w:val="clear" w:color="auto" w:fill="auto"/>
            <w:noWrap/>
            <w:vAlign w:val="bottom"/>
            <w:hideMark/>
          </w:tcPr>
          <w:p w14:paraId="5AF64239"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Cardiovascular Disease</w:t>
            </w:r>
          </w:p>
        </w:tc>
        <w:tc>
          <w:tcPr>
            <w:tcW w:w="2036" w:type="dxa"/>
            <w:tcBorders>
              <w:top w:val="nil"/>
              <w:left w:val="nil"/>
              <w:bottom w:val="nil"/>
              <w:right w:val="nil"/>
            </w:tcBorders>
            <w:shd w:val="clear" w:color="auto" w:fill="auto"/>
            <w:noWrap/>
            <w:vAlign w:val="bottom"/>
            <w:hideMark/>
          </w:tcPr>
          <w:p w14:paraId="3457715B"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125 (35.5%)</w:t>
            </w:r>
          </w:p>
        </w:tc>
        <w:tc>
          <w:tcPr>
            <w:tcW w:w="1973" w:type="dxa"/>
            <w:tcBorders>
              <w:top w:val="nil"/>
              <w:left w:val="nil"/>
              <w:bottom w:val="nil"/>
              <w:right w:val="nil"/>
            </w:tcBorders>
            <w:shd w:val="clear" w:color="auto" w:fill="auto"/>
            <w:noWrap/>
            <w:vAlign w:val="bottom"/>
            <w:hideMark/>
          </w:tcPr>
          <w:p w14:paraId="19A47213"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280 (39.9%)</w:t>
            </w:r>
          </w:p>
        </w:tc>
        <w:tc>
          <w:tcPr>
            <w:tcW w:w="2446" w:type="dxa"/>
            <w:tcBorders>
              <w:top w:val="nil"/>
              <w:left w:val="nil"/>
              <w:bottom w:val="nil"/>
              <w:right w:val="nil"/>
            </w:tcBorders>
            <w:shd w:val="clear" w:color="auto" w:fill="auto"/>
            <w:noWrap/>
            <w:vAlign w:val="bottom"/>
            <w:hideMark/>
          </w:tcPr>
          <w:p w14:paraId="54B8F75A"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-4.4%</w:t>
            </w:r>
            <w:r w:rsidR="003C757A">
              <w:rPr>
                <w:rFonts w:ascii="Calibri" w:eastAsia="Times New Roman" w:hAnsi="Calibri" w:cs="Times New Roman"/>
                <w:lang w:eastAsia="en-GB"/>
              </w:rPr>
              <w:t xml:space="preserve"> (-10.4% to 1.9%)</w:t>
            </w:r>
          </w:p>
        </w:tc>
        <w:tc>
          <w:tcPr>
            <w:tcW w:w="1252" w:type="dxa"/>
            <w:tcBorders>
              <w:top w:val="nil"/>
              <w:left w:val="nil"/>
              <w:bottom w:val="nil"/>
              <w:right w:val="nil"/>
            </w:tcBorders>
            <w:shd w:val="clear" w:color="auto" w:fill="auto"/>
            <w:noWrap/>
            <w:vAlign w:val="bottom"/>
            <w:hideMark/>
          </w:tcPr>
          <w:p w14:paraId="56F6173A"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0.1796</w:t>
            </w:r>
          </w:p>
        </w:tc>
      </w:tr>
      <w:tr w:rsidR="00010808" w:rsidRPr="00010808" w14:paraId="69B03ACC" w14:textId="77777777" w:rsidTr="00BC52E6">
        <w:trPr>
          <w:trHeight w:val="368"/>
        </w:trPr>
        <w:tc>
          <w:tcPr>
            <w:tcW w:w="2759" w:type="dxa"/>
            <w:tcBorders>
              <w:top w:val="nil"/>
              <w:left w:val="nil"/>
              <w:bottom w:val="nil"/>
              <w:right w:val="nil"/>
            </w:tcBorders>
            <w:shd w:val="clear" w:color="auto" w:fill="auto"/>
            <w:noWrap/>
            <w:vAlign w:val="bottom"/>
            <w:hideMark/>
          </w:tcPr>
          <w:p w14:paraId="4718E62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Respiratory Disease (any)</w:t>
            </w:r>
          </w:p>
        </w:tc>
        <w:tc>
          <w:tcPr>
            <w:tcW w:w="2036" w:type="dxa"/>
            <w:tcBorders>
              <w:top w:val="nil"/>
              <w:left w:val="nil"/>
              <w:bottom w:val="nil"/>
              <w:right w:val="nil"/>
            </w:tcBorders>
            <w:shd w:val="clear" w:color="auto" w:fill="auto"/>
            <w:noWrap/>
            <w:vAlign w:val="bottom"/>
            <w:hideMark/>
          </w:tcPr>
          <w:p w14:paraId="21416AB0"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86 (24.4%)</w:t>
            </w:r>
          </w:p>
        </w:tc>
        <w:tc>
          <w:tcPr>
            <w:tcW w:w="1973" w:type="dxa"/>
            <w:tcBorders>
              <w:top w:val="nil"/>
              <w:left w:val="nil"/>
              <w:bottom w:val="nil"/>
              <w:right w:val="nil"/>
            </w:tcBorders>
            <w:shd w:val="clear" w:color="auto" w:fill="auto"/>
            <w:noWrap/>
            <w:vAlign w:val="bottom"/>
            <w:hideMark/>
          </w:tcPr>
          <w:p w14:paraId="65A6AE96"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202 (28.8%)</w:t>
            </w:r>
          </w:p>
        </w:tc>
        <w:tc>
          <w:tcPr>
            <w:tcW w:w="2446" w:type="dxa"/>
            <w:tcBorders>
              <w:top w:val="nil"/>
              <w:left w:val="nil"/>
              <w:bottom w:val="nil"/>
              <w:right w:val="nil"/>
            </w:tcBorders>
            <w:shd w:val="clear" w:color="auto" w:fill="auto"/>
            <w:noWrap/>
            <w:vAlign w:val="bottom"/>
            <w:hideMark/>
          </w:tcPr>
          <w:p w14:paraId="4684A9BA"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-4.3%</w:t>
            </w:r>
            <w:r w:rsidR="003C757A">
              <w:rPr>
                <w:rFonts w:ascii="Calibri" w:eastAsia="Times New Roman" w:hAnsi="Calibri" w:cs="Times New Roman"/>
                <w:lang w:eastAsia="en-GB"/>
              </w:rPr>
              <w:t xml:space="preserve"> (-9.8% to 1.4%)</w:t>
            </w:r>
          </w:p>
        </w:tc>
        <w:tc>
          <w:tcPr>
            <w:tcW w:w="1252" w:type="dxa"/>
            <w:tcBorders>
              <w:top w:val="nil"/>
              <w:left w:val="nil"/>
              <w:bottom w:val="nil"/>
              <w:right w:val="nil"/>
            </w:tcBorders>
            <w:shd w:val="clear" w:color="auto" w:fill="auto"/>
            <w:noWrap/>
            <w:vAlign w:val="bottom"/>
            <w:hideMark/>
          </w:tcPr>
          <w:p w14:paraId="6A701A5C"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0.1431</w:t>
            </w:r>
          </w:p>
        </w:tc>
      </w:tr>
      <w:tr w:rsidR="00010808" w:rsidRPr="00010808" w14:paraId="5EB6992C" w14:textId="77777777" w:rsidTr="00BC52E6">
        <w:trPr>
          <w:trHeight w:val="368"/>
        </w:trPr>
        <w:tc>
          <w:tcPr>
            <w:tcW w:w="2759" w:type="dxa"/>
            <w:tcBorders>
              <w:top w:val="nil"/>
              <w:left w:val="nil"/>
              <w:bottom w:val="nil"/>
              <w:right w:val="nil"/>
            </w:tcBorders>
            <w:shd w:val="clear" w:color="auto" w:fill="auto"/>
            <w:noWrap/>
            <w:vAlign w:val="bottom"/>
            <w:hideMark/>
          </w:tcPr>
          <w:p w14:paraId="28CC9C39"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 xml:space="preserve">   Asthma</w:t>
            </w:r>
          </w:p>
        </w:tc>
        <w:tc>
          <w:tcPr>
            <w:tcW w:w="2036" w:type="dxa"/>
            <w:tcBorders>
              <w:top w:val="nil"/>
              <w:left w:val="nil"/>
              <w:bottom w:val="nil"/>
              <w:right w:val="nil"/>
            </w:tcBorders>
            <w:shd w:val="clear" w:color="auto" w:fill="auto"/>
            <w:noWrap/>
            <w:vAlign w:val="bottom"/>
            <w:hideMark/>
          </w:tcPr>
          <w:p w14:paraId="4C91F0B3"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53 (15.1%)</w:t>
            </w:r>
          </w:p>
        </w:tc>
        <w:tc>
          <w:tcPr>
            <w:tcW w:w="1973" w:type="dxa"/>
            <w:tcBorders>
              <w:top w:val="nil"/>
              <w:left w:val="nil"/>
              <w:bottom w:val="nil"/>
              <w:right w:val="nil"/>
            </w:tcBorders>
            <w:shd w:val="clear" w:color="auto" w:fill="auto"/>
            <w:noWrap/>
            <w:vAlign w:val="bottom"/>
            <w:hideMark/>
          </w:tcPr>
          <w:p w14:paraId="15CBF37F"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126 (17.9%)</w:t>
            </w:r>
          </w:p>
        </w:tc>
        <w:tc>
          <w:tcPr>
            <w:tcW w:w="2446" w:type="dxa"/>
            <w:tcBorders>
              <w:top w:val="nil"/>
              <w:left w:val="nil"/>
              <w:bottom w:val="nil"/>
              <w:right w:val="nil"/>
            </w:tcBorders>
            <w:shd w:val="clear" w:color="auto" w:fill="auto"/>
            <w:noWrap/>
            <w:vAlign w:val="bottom"/>
            <w:hideMark/>
          </w:tcPr>
          <w:p w14:paraId="4C491B43"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-2.9%</w:t>
            </w:r>
            <w:r w:rsidR="003C757A">
              <w:rPr>
                <w:rFonts w:ascii="Calibri" w:eastAsia="Times New Roman" w:hAnsi="Calibri" w:cs="Times New Roman"/>
                <w:lang w:eastAsia="en-GB"/>
              </w:rPr>
              <w:t xml:space="preserve"> (-7.4% to 2.0%)</w:t>
            </w:r>
          </w:p>
        </w:tc>
        <w:tc>
          <w:tcPr>
            <w:tcW w:w="1252" w:type="dxa"/>
            <w:tcBorders>
              <w:top w:val="nil"/>
              <w:left w:val="nil"/>
              <w:bottom w:val="nil"/>
              <w:right w:val="nil"/>
            </w:tcBorders>
            <w:shd w:val="clear" w:color="auto" w:fill="auto"/>
            <w:noWrap/>
            <w:vAlign w:val="bottom"/>
            <w:hideMark/>
          </w:tcPr>
          <w:p w14:paraId="2BA7C829"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0.2587</w:t>
            </w:r>
          </w:p>
        </w:tc>
      </w:tr>
      <w:tr w:rsidR="00010808" w:rsidRPr="00010808" w14:paraId="3D2234A6" w14:textId="77777777" w:rsidTr="00BC52E6">
        <w:trPr>
          <w:trHeight w:val="368"/>
        </w:trPr>
        <w:tc>
          <w:tcPr>
            <w:tcW w:w="2759" w:type="dxa"/>
            <w:tcBorders>
              <w:top w:val="nil"/>
              <w:left w:val="nil"/>
              <w:bottom w:val="nil"/>
              <w:right w:val="nil"/>
            </w:tcBorders>
            <w:shd w:val="clear" w:color="auto" w:fill="auto"/>
            <w:noWrap/>
            <w:vAlign w:val="bottom"/>
            <w:hideMark/>
          </w:tcPr>
          <w:p w14:paraId="1E1F036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 xml:space="preserve">   COPD</w:t>
            </w:r>
          </w:p>
        </w:tc>
        <w:tc>
          <w:tcPr>
            <w:tcW w:w="2036" w:type="dxa"/>
            <w:tcBorders>
              <w:top w:val="nil"/>
              <w:left w:val="nil"/>
              <w:bottom w:val="nil"/>
              <w:right w:val="nil"/>
            </w:tcBorders>
            <w:shd w:val="clear" w:color="auto" w:fill="auto"/>
            <w:noWrap/>
            <w:vAlign w:val="bottom"/>
            <w:hideMark/>
          </w:tcPr>
          <w:p w14:paraId="26D16446"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47 (13.4%)</w:t>
            </w:r>
          </w:p>
        </w:tc>
        <w:tc>
          <w:tcPr>
            <w:tcW w:w="1973" w:type="dxa"/>
            <w:tcBorders>
              <w:top w:val="nil"/>
              <w:left w:val="nil"/>
              <w:bottom w:val="nil"/>
              <w:right w:val="nil"/>
            </w:tcBorders>
            <w:shd w:val="clear" w:color="auto" w:fill="auto"/>
            <w:noWrap/>
            <w:vAlign w:val="bottom"/>
            <w:hideMark/>
          </w:tcPr>
          <w:p w14:paraId="4A00A892"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131 (18.7%)</w:t>
            </w:r>
          </w:p>
        </w:tc>
        <w:tc>
          <w:tcPr>
            <w:tcW w:w="2446" w:type="dxa"/>
            <w:tcBorders>
              <w:top w:val="nil"/>
              <w:left w:val="nil"/>
              <w:bottom w:val="nil"/>
              <w:right w:val="nil"/>
            </w:tcBorders>
            <w:shd w:val="clear" w:color="auto" w:fill="auto"/>
            <w:noWrap/>
            <w:vAlign w:val="bottom"/>
            <w:hideMark/>
          </w:tcPr>
          <w:p w14:paraId="164FCC66"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-5.3%</w:t>
            </w:r>
            <w:r w:rsidR="00D51051">
              <w:rPr>
                <w:rFonts w:ascii="Calibri" w:eastAsia="Times New Roman" w:hAnsi="Calibri" w:cs="Times New Roman"/>
                <w:lang w:eastAsia="en-GB"/>
              </w:rPr>
              <w:t xml:space="preserve"> (-9.7% to -0.5%)</w:t>
            </w:r>
          </w:p>
        </w:tc>
        <w:tc>
          <w:tcPr>
            <w:tcW w:w="1252" w:type="dxa"/>
            <w:tcBorders>
              <w:top w:val="nil"/>
              <w:left w:val="nil"/>
              <w:bottom w:val="nil"/>
              <w:right w:val="nil"/>
            </w:tcBorders>
            <w:shd w:val="clear" w:color="auto" w:fill="auto"/>
            <w:noWrap/>
            <w:vAlign w:val="bottom"/>
            <w:hideMark/>
          </w:tcPr>
          <w:p w14:paraId="0E6112FD"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0.0297</w:t>
            </w:r>
          </w:p>
        </w:tc>
      </w:tr>
      <w:tr w:rsidR="00010808" w:rsidRPr="00010808" w14:paraId="57F12C40" w14:textId="77777777" w:rsidTr="00BC52E6">
        <w:trPr>
          <w:trHeight w:val="368"/>
        </w:trPr>
        <w:tc>
          <w:tcPr>
            <w:tcW w:w="2759" w:type="dxa"/>
            <w:tcBorders>
              <w:top w:val="nil"/>
              <w:left w:val="nil"/>
              <w:bottom w:val="nil"/>
              <w:right w:val="nil"/>
            </w:tcBorders>
            <w:shd w:val="clear" w:color="auto" w:fill="auto"/>
            <w:noWrap/>
            <w:vAlign w:val="bottom"/>
            <w:hideMark/>
          </w:tcPr>
          <w:p w14:paraId="644A9BBE"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Chronic Kidney Disease</w:t>
            </w:r>
          </w:p>
        </w:tc>
        <w:tc>
          <w:tcPr>
            <w:tcW w:w="2036" w:type="dxa"/>
            <w:tcBorders>
              <w:top w:val="nil"/>
              <w:left w:val="nil"/>
              <w:bottom w:val="nil"/>
              <w:right w:val="nil"/>
            </w:tcBorders>
            <w:shd w:val="clear" w:color="auto" w:fill="auto"/>
            <w:noWrap/>
            <w:vAlign w:val="bottom"/>
            <w:hideMark/>
          </w:tcPr>
          <w:p w14:paraId="1D45C74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41 (11.6%)</w:t>
            </w:r>
          </w:p>
        </w:tc>
        <w:tc>
          <w:tcPr>
            <w:tcW w:w="1973" w:type="dxa"/>
            <w:tcBorders>
              <w:top w:val="nil"/>
              <w:left w:val="nil"/>
              <w:bottom w:val="nil"/>
              <w:right w:val="nil"/>
            </w:tcBorders>
            <w:shd w:val="clear" w:color="auto" w:fill="auto"/>
            <w:noWrap/>
            <w:vAlign w:val="bottom"/>
            <w:hideMark/>
          </w:tcPr>
          <w:p w14:paraId="18F9CC6D"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82 (11.7%)</w:t>
            </w:r>
          </w:p>
        </w:tc>
        <w:tc>
          <w:tcPr>
            <w:tcW w:w="2446" w:type="dxa"/>
            <w:tcBorders>
              <w:top w:val="nil"/>
              <w:left w:val="nil"/>
              <w:bottom w:val="nil"/>
              <w:right w:val="nil"/>
            </w:tcBorders>
            <w:shd w:val="clear" w:color="auto" w:fill="auto"/>
            <w:noWrap/>
            <w:vAlign w:val="bottom"/>
            <w:hideMark/>
          </w:tcPr>
          <w:p w14:paraId="422433D6"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0.0%</w:t>
            </w:r>
            <w:r w:rsidR="00D51051">
              <w:rPr>
                <w:rFonts w:ascii="Calibri" w:eastAsia="Times New Roman" w:hAnsi="Calibri" w:cs="Times New Roman"/>
                <w:lang w:eastAsia="en-GB"/>
              </w:rPr>
              <w:t xml:space="preserve"> </w:t>
            </w:r>
            <w:r w:rsidR="004D5E13">
              <w:rPr>
                <w:rFonts w:ascii="Calibri" w:eastAsia="Times New Roman" w:hAnsi="Calibri" w:cs="Times New Roman"/>
                <w:lang w:eastAsia="en-GB"/>
              </w:rPr>
              <w:t>(-4.0% to 4.3%)</w:t>
            </w:r>
          </w:p>
        </w:tc>
        <w:tc>
          <w:tcPr>
            <w:tcW w:w="1252" w:type="dxa"/>
            <w:tcBorders>
              <w:top w:val="nil"/>
              <w:left w:val="nil"/>
              <w:bottom w:val="nil"/>
              <w:right w:val="nil"/>
            </w:tcBorders>
            <w:shd w:val="clear" w:color="auto" w:fill="auto"/>
            <w:noWrap/>
            <w:vAlign w:val="bottom"/>
            <w:hideMark/>
          </w:tcPr>
          <w:p w14:paraId="01E5621A"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&gt;0.9999</w:t>
            </w:r>
          </w:p>
        </w:tc>
      </w:tr>
      <w:tr w:rsidR="00010808" w:rsidRPr="00010808" w14:paraId="690839D3" w14:textId="77777777" w:rsidTr="00BC52E6">
        <w:trPr>
          <w:trHeight w:val="368"/>
        </w:trPr>
        <w:tc>
          <w:tcPr>
            <w:tcW w:w="2759" w:type="dxa"/>
            <w:tcBorders>
              <w:top w:val="nil"/>
              <w:left w:val="nil"/>
              <w:bottom w:val="nil"/>
              <w:right w:val="nil"/>
            </w:tcBorders>
            <w:shd w:val="clear" w:color="auto" w:fill="auto"/>
            <w:noWrap/>
            <w:vAlign w:val="bottom"/>
            <w:hideMark/>
          </w:tcPr>
          <w:p w14:paraId="5A3B84EB"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Chronic Liver Disease</w:t>
            </w:r>
          </w:p>
        </w:tc>
        <w:tc>
          <w:tcPr>
            <w:tcW w:w="2036" w:type="dxa"/>
            <w:tcBorders>
              <w:top w:val="nil"/>
              <w:left w:val="nil"/>
              <w:bottom w:val="nil"/>
              <w:right w:val="nil"/>
            </w:tcBorders>
            <w:shd w:val="clear" w:color="auto" w:fill="auto"/>
            <w:noWrap/>
            <w:vAlign w:val="bottom"/>
            <w:hideMark/>
          </w:tcPr>
          <w:p w14:paraId="38670AE8"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17 (4.8%)</w:t>
            </w:r>
          </w:p>
        </w:tc>
        <w:tc>
          <w:tcPr>
            <w:tcW w:w="1973" w:type="dxa"/>
            <w:tcBorders>
              <w:top w:val="nil"/>
              <w:left w:val="nil"/>
              <w:bottom w:val="nil"/>
              <w:right w:val="nil"/>
            </w:tcBorders>
            <w:shd w:val="clear" w:color="auto" w:fill="auto"/>
            <w:noWrap/>
            <w:vAlign w:val="bottom"/>
            <w:hideMark/>
          </w:tcPr>
          <w:p w14:paraId="641A3075"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50 (7.1%)</w:t>
            </w:r>
          </w:p>
        </w:tc>
        <w:tc>
          <w:tcPr>
            <w:tcW w:w="2446" w:type="dxa"/>
            <w:tcBorders>
              <w:top w:val="nil"/>
              <w:left w:val="nil"/>
              <w:bottom w:val="nil"/>
              <w:right w:val="nil"/>
            </w:tcBorders>
            <w:shd w:val="clear" w:color="auto" w:fill="auto"/>
            <w:noWrap/>
            <w:vAlign w:val="bottom"/>
            <w:hideMark/>
          </w:tcPr>
          <w:p w14:paraId="5BC1F1F6"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-2.3%</w:t>
            </w:r>
            <w:r w:rsidR="004D5E13">
              <w:rPr>
                <w:rFonts w:ascii="Calibri" w:eastAsia="Times New Roman" w:hAnsi="Calibri" w:cs="Times New Roman"/>
                <w:lang w:eastAsia="en-GB"/>
              </w:rPr>
              <w:t xml:space="preserve"> (-5.1% to 0.9%)</w:t>
            </w:r>
          </w:p>
        </w:tc>
        <w:tc>
          <w:tcPr>
            <w:tcW w:w="1252" w:type="dxa"/>
            <w:tcBorders>
              <w:top w:val="nil"/>
              <w:left w:val="nil"/>
              <w:bottom w:val="nil"/>
              <w:right w:val="nil"/>
            </w:tcBorders>
            <w:shd w:val="clear" w:color="auto" w:fill="auto"/>
            <w:noWrap/>
            <w:vAlign w:val="bottom"/>
            <w:hideMark/>
          </w:tcPr>
          <w:p w14:paraId="3A6C551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0.1806</w:t>
            </w:r>
          </w:p>
        </w:tc>
      </w:tr>
      <w:tr w:rsidR="00010808" w:rsidRPr="00010808" w14:paraId="21716CA8" w14:textId="77777777" w:rsidTr="00BC52E6">
        <w:trPr>
          <w:trHeight w:val="368"/>
        </w:trPr>
        <w:tc>
          <w:tcPr>
            <w:tcW w:w="2759" w:type="dxa"/>
            <w:tcBorders>
              <w:top w:val="nil"/>
              <w:left w:val="nil"/>
              <w:bottom w:val="nil"/>
              <w:right w:val="nil"/>
            </w:tcBorders>
            <w:shd w:val="clear" w:color="auto" w:fill="auto"/>
            <w:noWrap/>
            <w:vAlign w:val="bottom"/>
            <w:hideMark/>
          </w:tcPr>
          <w:p w14:paraId="7B9F4CE2"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Diabetes</w:t>
            </w:r>
          </w:p>
        </w:tc>
        <w:tc>
          <w:tcPr>
            <w:tcW w:w="2036" w:type="dxa"/>
            <w:tcBorders>
              <w:top w:val="nil"/>
              <w:left w:val="nil"/>
              <w:bottom w:val="nil"/>
              <w:right w:val="nil"/>
            </w:tcBorders>
            <w:shd w:val="clear" w:color="auto" w:fill="auto"/>
            <w:noWrap/>
            <w:vAlign w:val="bottom"/>
            <w:hideMark/>
          </w:tcPr>
          <w:p w14:paraId="29557642"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91 (25.9%)</w:t>
            </w:r>
          </w:p>
        </w:tc>
        <w:tc>
          <w:tcPr>
            <w:tcW w:w="1973" w:type="dxa"/>
            <w:tcBorders>
              <w:top w:val="nil"/>
              <w:left w:val="nil"/>
              <w:bottom w:val="nil"/>
              <w:right w:val="nil"/>
            </w:tcBorders>
            <w:shd w:val="clear" w:color="auto" w:fill="auto"/>
            <w:noWrap/>
            <w:vAlign w:val="bottom"/>
            <w:hideMark/>
          </w:tcPr>
          <w:p w14:paraId="4EA69B1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152 (21.7%)</w:t>
            </w:r>
          </w:p>
        </w:tc>
        <w:tc>
          <w:tcPr>
            <w:tcW w:w="2446" w:type="dxa"/>
            <w:tcBorders>
              <w:top w:val="nil"/>
              <w:left w:val="nil"/>
              <w:bottom w:val="nil"/>
              <w:right w:val="nil"/>
            </w:tcBorders>
            <w:shd w:val="clear" w:color="auto" w:fill="auto"/>
            <w:noWrap/>
            <w:vAlign w:val="bottom"/>
            <w:hideMark/>
          </w:tcPr>
          <w:p w14:paraId="6897B3E4"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4.2%</w:t>
            </w:r>
            <w:r w:rsidR="004D5E13">
              <w:rPr>
                <w:rFonts w:ascii="Calibri" w:eastAsia="Times New Roman" w:hAnsi="Calibri" w:cs="Times New Roman"/>
                <w:lang w:eastAsia="en-GB"/>
              </w:rPr>
              <w:t xml:space="preserve"> (-1.2% to 9.8%)</w:t>
            </w:r>
          </w:p>
        </w:tc>
        <w:tc>
          <w:tcPr>
            <w:tcW w:w="1252" w:type="dxa"/>
            <w:tcBorders>
              <w:top w:val="nil"/>
              <w:left w:val="nil"/>
              <w:bottom w:val="nil"/>
              <w:right w:val="nil"/>
            </w:tcBorders>
            <w:shd w:val="clear" w:color="auto" w:fill="auto"/>
            <w:noWrap/>
            <w:vAlign w:val="bottom"/>
            <w:hideMark/>
          </w:tcPr>
          <w:p w14:paraId="1EDD0E1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0.1407</w:t>
            </w:r>
          </w:p>
        </w:tc>
      </w:tr>
      <w:tr w:rsidR="00010808" w:rsidRPr="00010808" w14:paraId="332184F9" w14:textId="77777777" w:rsidTr="00BC52E6">
        <w:trPr>
          <w:trHeight w:val="368"/>
        </w:trPr>
        <w:tc>
          <w:tcPr>
            <w:tcW w:w="2759" w:type="dxa"/>
            <w:tcBorders>
              <w:top w:val="nil"/>
              <w:left w:val="nil"/>
              <w:bottom w:val="nil"/>
              <w:right w:val="nil"/>
            </w:tcBorders>
            <w:shd w:val="clear" w:color="auto" w:fill="auto"/>
            <w:noWrap/>
            <w:vAlign w:val="bottom"/>
            <w:hideMark/>
          </w:tcPr>
          <w:p w14:paraId="176231A4"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Active Malignancy</w:t>
            </w:r>
          </w:p>
        </w:tc>
        <w:tc>
          <w:tcPr>
            <w:tcW w:w="2036" w:type="dxa"/>
            <w:tcBorders>
              <w:top w:val="nil"/>
              <w:left w:val="nil"/>
              <w:bottom w:val="nil"/>
              <w:right w:val="nil"/>
            </w:tcBorders>
            <w:shd w:val="clear" w:color="auto" w:fill="auto"/>
            <w:noWrap/>
            <w:vAlign w:val="bottom"/>
            <w:hideMark/>
          </w:tcPr>
          <w:p w14:paraId="2D17146E"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18 (5.1%)</w:t>
            </w:r>
          </w:p>
        </w:tc>
        <w:tc>
          <w:tcPr>
            <w:tcW w:w="1973" w:type="dxa"/>
            <w:tcBorders>
              <w:top w:val="nil"/>
              <w:left w:val="nil"/>
              <w:bottom w:val="nil"/>
              <w:right w:val="nil"/>
            </w:tcBorders>
            <w:shd w:val="clear" w:color="auto" w:fill="auto"/>
            <w:noWrap/>
            <w:vAlign w:val="bottom"/>
            <w:hideMark/>
          </w:tcPr>
          <w:p w14:paraId="69778E1C"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58 (8.3%)</w:t>
            </w:r>
          </w:p>
        </w:tc>
        <w:tc>
          <w:tcPr>
            <w:tcW w:w="2446" w:type="dxa"/>
            <w:tcBorders>
              <w:top w:val="nil"/>
              <w:left w:val="nil"/>
              <w:bottom w:val="nil"/>
              <w:right w:val="nil"/>
            </w:tcBorders>
            <w:shd w:val="clear" w:color="auto" w:fill="auto"/>
            <w:noWrap/>
            <w:vAlign w:val="bottom"/>
            <w:hideMark/>
          </w:tcPr>
          <w:p w14:paraId="2A93B352"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-3.1%</w:t>
            </w:r>
            <w:r w:rsidR="004D5E13">
              <w:rPr>
                <w:rFonts w:ascii="Calibri" w:eastAsia="Times New Roman" w:hAnsi="Calibri" w:cs="Times New Roman"/>
                <w:lang w:eastAsia="en-GB"/>
              </w:rPr>
              <w:t xml:space="preserve"> (-6.1% to 2.1%)</w:t>
            </w:r>
          </w:p>
        </w:tc>
        <w:tc>
          <w:tcPr>
            <w:tcW w:w="1252" w:type="dxa"/>
            <w:tcBorders>
              <w:top w:val="nil"/>
              <w:left w:val="nil"/>
              <w:bottom w:val="nil"/>
              <w:right w:val="nil"/>
            </w:tcBorders>
            <w:shd w:val="clear" w:color="auto" w:fill="auto"/>
            <w:noWrap/>
            <w:vAlign w:val="bottom"/>
            <w:hideMark/>
          </w:tcPr>
          <w:p w14:paraId="7F5320E2"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0.0765</w:t>
            </w:r>
          </w:p>
        </w:tc>
      </w:tr>
      <w:tr w:rsidR="00010808" w:rsidRPr="00010808" w14:paraId="71748B9B" w14:textId="77777777" w:rsidTr="00BC52E6">
        <w:trPr>
          <w:trHeight w:val="368"/>
        </w:trPr>
        <w:tc>
          <w:tcPr>
            <w:tcW w:w="2759" w:type="dxa"/>
            <w:tcBorders>
              <w:top w:val="nil"/>
              <w:left w:val="nil"/>
              <w:bottom w:val="nil"/>
              <w:right w:val="nil"/>
            </w:tcBorders>
            <w:shd w:val="clear" w:color="auto" w:fill="auto"/>
            <w:noWrap/>
            <w:vAlign w:val="bottom"/>
            <w:hideMark/>
          </w:tcPr>
          <w:p w14:paraId="27F71C80"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Dementia</w:t>
            </w:r>
          </w:p>
        </w:tc>
        <w:tc>
          <w:tcPr>
            <w:tcW w:w="2036" w:type="dxa"/>
            <w:tcBorders>
              <w:top w:val="nil"/>
              <w:left w:val="nil"/>
              <w:bottom w:val="nil"/>
              <w:right w:val="nil"/>
            </w:tcBorders>
            <w:shd w:val="clear" w:color="auto" w:fill="auto"/>
            <w:noWrap/>
            <w:vAlign w:val="bottom"/>
            <w:hideMark/>
          </w:tcPr>
          <w:p w14:paraId="4E0D1E62"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47 (13.4%)</w:t>
            </w:r>
          </w:p>
        </w:tc>
        <w:tc>
          <w:tcPr>
            <w:tcW w:w="1973" w:type="dxa"/>
            <w:tcBorders>
              <w:top w:val="nil"/>
              <w:left w:val="nil"/>
              <w:bottom w:val="nil"/>
              <w:right w:val="nil"/>
            </w:tcBorders>
            <w:shd w:val="clear" w:color="auto" w:fill="auto"/>
            <w:noWrap/>
            <w:vAlign w:val="bottom"/>
            <w:hideMark/>
          </w:tcPr>
          <w:p w14:paraId="6853852B"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66 (9.4%)</w:t>
            </w:r>
          </w:p>
        </w:tc>
        <w:tc>
          <w:tcPr>
            <w:tcW w:w="2446" w:type="dxa"/>
            <w:tcBorders>
              <w:top w:val="nil"/>
              <w:left w:val="nil"/>
              <w:bottom w:val="nil"/>
              <w:right w:val="nil"/>
            </w:tcBorders>
            <w:shd w:val="clear" w:color="auto" w:fill="auto"/>
            <w:noWrap/>
            <w:vAlign w:val="bottom"/>
            <w:hideMark/>
          </w:tcPr>
          <w:p w14:paraId="6728AE37"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4.0%</w:t>
            </w:r>
            <w:r w:rsidR="004D5E13">
              <w:rPr>
                <w:rFonts w:ascii="Calibri" w:eastAsia="Times New Roman" w:hAnsi="Calibri" w:cs="Times New Roman"/>
                <w:lang w:eastAsia="en-GB"/>
              </w:rPr>
              <w:t xml:space="preserve"> (-0.01% to 8.4%)</w:t>
            </w:r>
          </w:p>
        </w:tc>
        <w:tc>
          <w:tcPr>
            <w:tcW w:w="1252" w:type="dxa"/>
            <w:tcBorders>
              <w:top w:val="nil"/>
              <w:left w:val="nil"/>
              <w:bottom w:val="nil"/>
              <w:right w:val="nil"/>
            </w:tcBorders>
            <w:shd w:val="clear" w:color="auto" w:fill="auto"/>
            <w:noWrap/>
            <w:vAlign w:val="bottom"/>
            <w:hideMark/>
          </w:tcPr>
          <w:p w14:paraId="1EB06DE4"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0.0573</w:t>
            </w:r>
          </w:p>
        </w:tc>
      </w:tr>
      <w:tr w:rsidR="00010808" w:rsidRPr="00010808" w14:paraId="5640503D" w14:textId="77777777" w:rsidTr="00BC52E6">
        <w:trPr>
          <w:trHeight w:val="368"/>
        </w:trPr>
        <w:tc>
          <w:tcPr>
            <w:tcW w:w="2759" w:type="dxa"/>
            <w:tcBorders>
              <w:top w:val="nil"/>
              <w:left w:val="nil"/>
              <w:bottom w:val="nil"/>
              <w:right w:val="nil"/>
            </w:tcBorders>
            <w:shd w:val="clear" w:color="auto" w:fill="auto"/>
            <w:noWrap/>
            <w:vAlign w:val="bottom"/>
            <w:hideMark/>
          </w:tcPr>
          <w:p w14:paraId="1F1CB9F6"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Immunosuppressed</w:t>
            </w:r>
          </w:p>
        </w:tc>
        <w:tc>
          <w:tcPr>
            <w:tcW w:w="2036" w:type="dxa"/>
            <w:tcBorders>
              <w:top w:val="nil"/>
              <w:left w:val="nil"/>
              <w:bottom w:val="nil"/>
              <w:right w:val="nil"/>
            </w:tcBorders>
            <w:shd w:val="clear" w:color="auto" w:fill="auto"/>
            <w:noWrap/>
            <w:vAlign w:val="bottom"/>
            <w:hideMark/>
          </w:tcPr>
          <w:p w14:paraId="2C16E790"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12 (3.4%)</w:t>
            </w:r>
          </w:p>
        </w:tc>
        <w:tc>
          <w:tcPr>
            <w:tcW w:w="1973" w:type="dxa"/>
            <w:tcBorders>
              <w:top w:val="nil"/>
              <w:left w:val="nil"/>
              <w:bottom w:val="nil"/>
              <w:right w:val="nil"/>
            </w:tcBorders>
            <w:shd w:val="clear" w:color="auto" w:fill="auto"/>
            <w:noWrap/>
            <w:vAlign w:val="bottom"/>
            <w:hideMark/>
          </w:tcPr>
          <w:p w14:paraId="05BE46F3"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38 (5.4%)</w:t>
            </w:r>
          </w:p>
        </w:tc>
        <w:tc>
          <w:tcPr>
            <w:tcW w:w="2446" w:type="dxa"/>
            <w:tcBorders>
              <w:top w:val="nil"/>
              <w:left w:val="nil"/>
              <w:bottom w:val="nil"/>
              <w:right w:val="nil"/>
            </w:tcBorders>
            <w:shd w:val="clear" w:color="auto" w:fill="auto"/>
            <w:noWrap/>
            <w:vAlign w:val="bottom"/>
            <w:hideMark/>
          </w:tcPr>
          <w:p w14:paraId="6FB47E43"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-2.0%</w:t>
            </w:r>
            <w:r w:rsidR="004D5E13">
              <w:rPr>
                <w:rFonts w:ascii="Calibri" w:eastAsia="Times New Roman" w:hAnsi="Calibri" w:cs="Times New Roman"/>
                <w:lang w:eastAsia="en-GB"/>
              </w:rPr>
              <w:t xml:space="preserve"> (-4.4% to 0.8%)</w:t>
            </w:r>
          </w:p>
        </w:tc>
        <w:tc>
          <w:tcPr>
            <w:tcW w:w="1252" w:type="dxa"/>
            <w:tcBorders>
              <w:top w:val="nil"/>
              <w:left w:val="nil"/>
              <w:bottom w:val="nil"/>
              <w:right w:val="nil"/>
            </w:tcBorders>
            <w:shd w:val="clear" w:color="auto" w:fill="auto"/>
            <w:noWrap/>
            <w:vAlign w:val="bottom"/>
            <w:hideMark/>
          </w:tcPr>
          <w:p w14:paraId="7A5CD410"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0.1684</w:t>
            </w:r>
          </w:p>
        </w:tc>
      </w:tr>
      <w:tr w:rsidR="00010808" w:rsidRPr="00010808" w14:paraId="1D7150D1" w14:textId="77777777" w:rsidTr="00BC52E6">
        <w:trPr>
          <w:trHeight w:val="368"/>
        </w:trPr>
        <w:tc>
          <w:tcPr>
            <w:tcW w:w="2759" w:type="dxa"/>
            <w:tcBorders>
              <w:top w:val="nil"/>
              <w:left w:val="nil"/>
              <w:bottom w:val="nil"/>
              <w:right w:val="nil"/>
            </w:tcBorders>
            <w:shd w:val="clear" w:color="auto" w:fill="auto"/>
            <w:noWrap/>
            <w:vAlign w:val="bottom"/>
            <w:hideMark/>
          </w:tcPr>
          <w:p w14:paraId="7C5319AF" w14:textId="77777777" w:rsidR="00010808" w:rsidRPr="00010808" w:rsidRDefault="00010808" w:rsidP="00010808">
            <w:pPr>
              <w:spacing w:after="0" w:line="240" w:lineRule="auto"/>
              <w:rPr>
                <w:rFonts w:ascii="Calibri" w:eastAsia="Times New Roman" w:hAnsi="Calibri" w:cs="Times New Roman"/>
                <w:b/>
                <w:bCs/>
                <w:i/>
                <w:iCs/>
                <w:lang w:eastAsia="en-GB"/>
              </w:rPr>
            </w:pPr>
            <w:r w:rsidRPr="00010808">
              <w:rPr>
                <w:rFonts w:ascii="Calibri" w:eastAsia="Times New Roman" w:hAnsi="Calibri" w:cs="Times New Roman"/>
                <w:b/>
                <w:bCs/>
                <w:i/>
                <w:iCs/>
                <w:lang w:eastAsia="en-GB"/>
              </w:rPr>
              <w:t>Presentation characteristics</w:t>
            </w:r>
          </w:p>
        </w:tc>
        <w:tc>
          <w:tcPr>
            <w:tcW w:w="2036" w:type="dxa"/>
            <w:tcBorders>
              <w:top w:val="nil"/>
              <w:left w:val="nil"/>
              <w:bottom w:val="nil"/>
              <w:right w:val="nil"/>
            </w:tcBorders>
            <w:shd w:val="clear" w:color="auto" w:fill="auto"/>
            <w:noWrap/>
            <w:vAlign w:val="bottom"/>
            <w:hideMark/>
          </w:tcPr>
          <w:p w14:paraId="1B0D5380" w14:textId="77777777" w:rsidR="00010808" w:rsidRPr="00010808" w:rsidRDefault="00010808" w:rsidP="00010808">
            <w:pPr>
              <w:spacing w:after="0" w:line="240" w:lineRule="auto"/>
              <w:rPr>
                <w:rFonts w:ascii="Calibri" w:eastAsia="Times New Roman" w:hAnsi="Calibri" w:cs="Times New Roman"/>
                <w:b/>
                <w:bCs/>
                <w:i/>
                <w:iCs/>
                <w:lang w:eastAsia="en-GB"/>
              </w:rPr>
            </w:pPr>
          </w:p>
        </w:tc>
        <w:tc>
          <w:tcPr>
            <w:tcW w:w="1973" w:type="dxa"/>
            <w:tcBorders>
              <w:top w:val="nil"/>
              <w:left w:val="nil"/>
              <w:bottom w:val="nil"/>
              <w:right w:val="nil"/>
            </w:tcBorders>
            <w:shd w:val="clear" w:color="auto" w:fill="auto"/>
            <w:noWrap/>
            <w:vAlign w:val="bottom"/>
            <w:hideMark/>
          </w:tcPr>
          <w:p w14:paraId="694911F7" w14:textId="77777777" w:rsidR="00010808" w:rsidRPr="00010808" w:rsidRDefault="00010808" w:rsidP="00010808">
            <w:pPr>
              <w:spacing w:after="0" w:line="240" w:lineRule="auto"/>
              <w:rPr>
                <w:rFonts w:ascii="Times New Roman" w:eastAsia="Times New Roman" w:hAnsi="Times New Roman" w:cs="Times New Roman"/>
                <w:sz w:val="20"/>
                <w:szCs w:val="20"/>
                <w:lang w:eastAsia="en-GB"/>
              </w:rPr>
            </w:pPr>
          </w:p>
        </w:tc>
        <w:tc>
          <w:tcPr>
            <w:tcW w:w="2446" w:type="dxa"/>
            <w:tcBorders>
              <w:top w:val="nil"/>
              <w:left w:val="nil"/>
              <w:bottom w:val="nil"/>
              <w:right w:val="nil"/>
            </w:tcBorders>
            <w:shd w:val="clear" w:color="auto" w:fill="auto"/>
            <w:noWrap/>
            <w:vAlign w:val="bottom"/>
            <w:hideMark/>
          </w:tcPr>
          <w:p w14:paraId="334320F9" w14:textId="77777777" w:rsidR="00010808" w:rsidRPr="00010808" w:rsidRDefault="00010808" w:rsidP="00010808">
            <w:pPr>
              <w:spacing w:after="0" w:line="240" w:lineRule="auto"/>
              <w:rPr>
                <w:rFonts w:ascii="Times New Roman" w:eastAsia="Times New Roman" w:hAnsi="Times New Roman" w:cs="Times New Roman"/>
                <w:sz w:val="20"/>
                <w:szCs w:val="20"/>
                <w:lang w:eastAsia="en-GB"/>
              </w:rPr>
            </w:pPr>
          </w:p>
        </w:tc>
        <w:tc>
          <w:tcPr>
            <w:tcW w:w="1252" w:type="dxa"/>
            <w:tcBorders>
              <w:top w:val="nil"/>
              <w:left w:val="nil"/>
              <w:bottom w:val="nil"/>
              <w:right w:val="nil"/>
            </w:tcBorders>
            <w:shd w:val="clear" w:color="auto" w:fill="auto"/>
            <w:noWrap/>
            <w:vAlign w:val="bottom"/>
            <w:hideMark/>
          </w:tcPr>
          <w:p w14:paraId="3154CE0B" w14:textId="77777777" w:rsidR="00010808" w:rsidRPr="00010808" w:rsidRDefault="00010808" w:rsidP="00010808">
            <w:pPr>
              <w:spacing w:after="0" w:line="240" w:lineRule="auto"/>
              <w:rPr>
                <w:rFonts w:ascii="Times New Roman" w:eastAsia="Times New Roman" w:hAnsi="Times New Roman" w:cs="Times New Roman"/>
                <w:sz w:val="20"/>
                <w:szCs w:val="20"/>
                <w:lang w:eastAsia="en-GB"/>
              </w:rPr>
            </w:pPr>
          </w:p>
        </w:tc>
      </w:tr>
      <w:tr w:rsidR="00010808" w:rsidRPr="00010808" w14:paraId="79A869AF" w14:textId="77777777" w:rsidTr="00BC52E6">
        <w:trPr>
          <w:trHeight w:val="368"/>
        </w:trPr>
        <w:tc>
          <w:tcPr>
            <w:tcW w:w="2759" w:type="dxa"/>
            <w:tcBorders>
              <w:top w:val="nil"/>
              <w:left w:val="nil"/>
              <w:bottom w:val="nil"/>
              <w:right w:val="nil"/>
            </w:tcBorders>
            <w:shd w:val="clear" w:color="auto" w:fill="auto"/>
            <w:noWrap/>
            <w:vAlign w:val="bottom"/>
            <w:hideMark/>
          </w:tcPr>
          <w:p w14:paraId="1F362D15"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Heart rate (beats/min)</w:t>
            </w:r>
          </w:p>
        </w:tc>
        <w:tc>
          <w:tcPr>
            <w:tcW w:w="2036" w:type="dxa"/>
            <w:tcBorders>
              <w:top w:val="nil"/>
              <w:left w:val="nil"/>
              <w:bottom w:val="nil"/>
              <w:right w:val="nil"/>
            </w:tcBorders>
            <w:shd w:val="clear" w:color="auto" w:fill="auto"/>
            <w:noWrap/>
            <w:vAlign w:val="bottom"/>
            <w:hideMark/>
          </w:tcPr>
          <w:p w14:paraId="7C6C3938"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93 (82 to 106)</w:t>
            </w:r>
          </w:p>
        </w:tc>
        <w:tc>
          <w:tcPr>
            <w:tcW w:w="1973" w:type="dxa"/>
            <w:tcBorders>
              <w:top w:val="nil"/>
              <w:left w:val="nil"/>
              <w:bottom w:val="nil"/>
              <w:right w:val="nil"/>
            </w:tcBorders>
            <w:shd w:val="clear" w:color="auto" w:fill="auto"/>
            <w:noWrap/>
            <w:vAlign w:val="bottom"/>
            <w:hideMark/>
          </w:tcPr>
          <w:p w14:paraId="5EDC1B3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94 (79 to 108)</w:t>
            </w:r>
          </w:p>
        </w:tc>
        <w:tc>
          <w:tcPr>
            <w:tcW w:w="2446" w:type="dxa"/>
            <w:tcBorders>
              <w:top w:val="nil"/>
              <w:left w:val="nil"/>
              <w:bottom w:val="nil"/>
              <w:right w:val="nil"/>
            </w:tcBorders>
            <w:shd w:val="clear" w:color="auto" w:fill="auto"/>
            <w:noWrap/>
            <w:vAlign w:val="bottom"/>
            <w:hideMark/>
          </w:tcPr>
          <w:p w14:paraId="3D0C1EC3"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w:t>
            </w:r>
            <w:r w:rsidR="00D971FD">
              <w:rPr>
                <w:rFonts w:ascii="Calibri" w:eastAsia="Times New Roman" w:hAnsi="Calibri" w:cs="Times New Roman"/>
                <w:lang w:eastAsia="en-GB"/>
              </w:rPr>
              <w:t xml:space="preserve"> (-2 to 3)</w:t>
            </w:r>
          </w:p>
        </w:tc>
        <w:tc>
          <w:tcPr>
            <w:tcW w:w="1252" w:type="dxa"/>
            <w:tcBorders>
              <w:top w:val="nil"/>
              <w:left w:val="nil"/>
              <w:bottom w:val="nil"/>
              <w:right w:val="nil"/>
            </w:tcBorders>
            <w:shd w:val="clear" w:color="auto" w:fill="auto"/>
            <w:noWrap/>
            <w:vAlign w:val="bottom"/>
            <w:hideMark/>
          </w:tcPr>
          <w:p w14:paraId="1504F144"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0.5639</w:t>
            </w:r>
          </w:p>
        </w:tc>
      </w:tr>
      <w:tr w:rsidR="00010808" w:rsidRPr="00010808" w14:paraId="33D7C8AF" w14:textId="77777777" w:rsidTr="00BC52E6">
        <w:trPr>
          <w:trHeight w:val="368"/>
        </w:trPr>
        <w:tc>
          <w:tcPr>
            <w:tcW w:w="2759" w:type="dxa"/>
            <w:tcBorders>
              <w:top w:val="nil"/>
              <w:left w:val="nil"/>
              <w:bottom w:val="nil"/>
              <w:right w:val="nil"/>
            </w:tcBorders>
            <w:shd w:val="clear" w:color="auto" w:fill="auto"/>
            <w:noWrap/>
            <w:vAlign w:val="bottom"/>
            <w:hideMark/>
          </w:tcPr>
          <w:p w14:paraId="4CEB505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Respiratory Rate (breaths/min)</w:t>
            </w:r>
          </w:p>
        </w:tc>
        <w:tc>
          <w:tcPr>
            <w:tcW w:w="2036" w:type="dxa"/>
            <w:tcBorders>
              <w:top w:val="nil"/>
              <w:left w:val="nil"/>
              <w:bottom w:val="nil"/>
              <w:right w:val="nil"/>
            </w:tcBorders>
            <w:shd w:val="clear" w:color="auto" w:fill="auto"/>
            <w:noWrap/>
            <w:vAlign w:val="bottom"/>
            <w:hideMark/>
          </w:tcPr>
          <w:p w14:paraId="7A750312"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24 (20 to 30)</w:t>
            </w:r>
          </w:p>
        </w:tc>
        <w:tc>
          <w:tcPr>
            <w:tcW w:w="1973" w:type="dxa"/>
            <w:tcBorders>
              <w:top w:val="nil"/>
              <w:left w:val="nil"/>
              <w:bottom w:val="nil"/>
              <w:right w:val="nil"/>
            </w:tcBorders>
            <w:shd w:val="clear" w:color="auto" w:fill="auto"/>
            <w:noWrap/>
            <w:vAlign w:val="bottom"/>
            <w:hideMark/>
          </w:tcPr>
          <w:p w14:paraId="7603CCF6"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21 (18 to 26)</w:t>
            </w:r>
          </w:p>
        </w:tc>
        <w:tc>
          <w:tcPr>
            <w:tcW w:w="2446" w:type="dxa"/>
            <w:tcBorders>
              <w:top w:val="nil"/>
              <w:left w:val="nil"/>
              <w:bottom w:val="nil"/>
              <w:right w:val="nil"/>
            </w:tcBorders>
            <w:shd w:val="clear" w:color="auto" w:fill="auto"/>
            <w:noWrap/>
            <w:vAlign w:val="bottom"/>
            <w:hideMark/>
          </w:tcPr>
          <w:p w14:paraId="0ADAEA4A"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3</w:t>
            </w:r>
            <w:r w:rsidR="00D971FD">
              <w:rPr>
                <w:rFonts w:ascii="Calibri" w:eastAsia="Times New Roman" w:hAnsi="Calibri" w:cs="Times New Roman"/>
                <w:lang w:eastAsia="en-GB"/>
              </w:rPr>
              <w:t xml:space="preserve"> (2 to 4)</w:t>
            </w:r>
          </w:p>
        </w:tc>
        <w:tc>
          <w:tcPr>
            <w:tcW w:w="1252" w:type="dxa"/>
            <w:tcBorders>
              <w:top w:val="nil"/>
              <w:left w:val="nil"/>
              <w:bottom w:val="nil"/>
              <w:right w:val="nil"/>
            </w:tcBorders>
            <w:shd w:val="clear" w:color="auto" w:fill="auto"/>
            <w:noWrap/>
            <w:vAlign w:val="bottom"/>
            <w:hideMark/>
          </w:tcPr>
          <w:p w14:paraId="0B5AC22C"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&lt;0.0001</w:t>
            </w:r>
          </w:p>
        </w:tc>
      </w:tr>
      <w:tr w:rsidR="00010808" w:rsidRPr="00010808" w14:paraId="4565E14D" w14:textId="77777777" w:rsidTr="00BC52E6">
        <w:trPr>
          <w:trHeight w:val="368"/>
        </w:trPr>
        <w:tc>
          <w:tcPr>
            <w:tcW w:w="2759" w:type="dxa"/>
            <w:tcBorders>
              <w:top w:val="nil"/>
              <w:left w:val="nil"/>
              <w:bottom w:val="nil"/>
              <w:right w:val="nil"/>
            </w:tcBorders>
            <w:shd w:val="clear" w:color="auto" w:fill="auto"/>
            <w:noWrap/>
            <w:vAlign w:val="bottom"/>
            <w:hideMark/>
          </w:tcPr>
          <w:p w14:paraId="783AABFA"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Systolic blood pressure (mmHg)</w:t>
            </w:r>
          </w:p>
        </w:tc>
        <w:tc>
          <w:tcPr>
            <w:tcW w:w="2036" w:type="dxa"/>
            <w:tcBorders>
              <w:top w:val="nil"/>
              <w:left w:val="nil"/>
              <w:bottom w:val="nil"/>
              <w:right w:val="nil"/>
            </w:tcBorders>
            <w:shd w:val="clear" w:color="auto" w:fill="auto"/>
            <w:noWrap/>
            <w:vAlign w:val="bottom"/>
            <w:hideMark/>
          </w:tcPr>
          <w:p w14:paraId="7DE47DD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130 (120 to 146)</w:t>
            </w:r>
          </w:p>
        </w:tc>
        <w:tc>
          <w:tcPr>
            <w:tcW w:w="1973" w:type="dxa"/>
            <w:tcBorders>
              <w:top w:val="nil"/>
              <w:left w:val="nil"/>
              <w:bottom w:val="nil"/>
              <w:right w:val="nil"/>
            </w:tcBorders>
            <w:shd w:val="clear" w:color="auto" w:fill="auto"/>
            <w:noWrap/>
            <w:vAlign w:val="bottom"/>
            <w:hideMark/>
          </w:tcPr>
          <w:p w14:paraId="41BBBFA0"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135 (120 to 154)</w:t>
            </w:r>
          </w:p>
        </w:tc>
        <w:tc>
          <w:tcPr>
            <w:tcW w:w="2446" w:type="dxa"/>
            <w:tcBorders>
              <w:top w:val="nil"/>
              <w:left w:val="nil"/>
              <w:bottom w:val="nil"/>
              <w:right w:val="nil"/>
            </w:tcBorders>
            <w:shd w:val="clear" w:color="auto" w:fill="auto"/>
            <w:noWrap/>
            <w:vAlign w:val="bottom"/>
            <w:hideMark/>
          </w:tcPr>
          <w:p w14:paraId="5AB32AF9"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-5</w:t>
            </w:r>
            <w:r w:rsidR="00D971FD">
              <w:rPr>
                <w:rFonts w:ascii="Calibri" w:eastAsia="Times New Roman" w:hAnsi="Calibri" w:cs="Times New Roman"/>
                <w:lang w:eastAsia="en-GB"/>
              </w:rPr>
              <w:t xml:space="preserve"> (-7 to 0)</w:t>
            </w:r>
          </w:p>
        </w:tc>
        <w:tc>
          <w:tcPr>
            <w:tcW w:w="1252" w:type="dxa"/>
            <w:tcBorders>
              <w:top w:val="nil"/>
              <w:left w:val="nil"/>
              <w:bottom w:val="nil"/>
              <w:right w:val="nil"/>
            </w:tcBorders>
            <w:shd w:val="clear" w:color="auto" w:fill="auto"/>
            <w:noWrap/>
            <w:vAlign w:val="bottom"/>
            <w:hideMark/>
          </w:tcPr>
          <w:p w14:paraId="26848819"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0.0245</w:t>
            </w:r>
          </w:p>
        </w:tc>
      </w:tr>
      <w:tr w:rsidR="00010808" w:rsidRPr="00010808" w14:paraId="7D3C6E50" w14:textId="77777777" w:rsidTr="00BC52E6">
        <w:trPr>
          <w:trHeight w:val="368"/>
        </w:trPr>
        <w:tc>
          <w:tcPr>
            <w:tcW w:w="2759" w:type="dxa"/>
            <w:tcBorders>
              <w:top w:val="nil"/>
              <w:left w:val="nil"/>
              <w:bottom w:val="nil"/>
              <w:right w:val="nil"/>
            </w:tcBorders>
            <w:shd w:val="clear" w:color="auto" w:fill="auto"/>
            <w:noWrap/>
            <w:vAlign w:val="bottom"/>
            <w:hideMark/>
          </w:tcPr>
          <w:p w14:paraId="708125FB"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Temperature (°C)</w:t>
            </w:r>
          </w:p>
        </w:tc>
        <w:tc>
          <w:tcPr>
            <w:tcW w:w="2036" w:type="dxa"/>
            <w:tcBorders>
              <w:top w:val="nil"/>
              <w:left w:val="nil"/>
              <w:bottom w:val="nil"/>
              <w:right w:val="nil"/>
            </w:tcBorders>
            <w:shd w:val="clear" w:color="auto" w:fill="auto"/>
            <w:noWrap/>
            <w:vAlign w:val="bottom"/>
            <w:hideMark/>
          </w:tcPr>
          <w:p w14:paraId="259AF450"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37.15 (36.6 to 38.1)</w:t>
            </w:r>
          </w:p>
        </w:tc>
        <w:tc>
          <w:tcPr>
            <w:tcW w:w="1973" w:type="dxa"/>
            <w:tcBorders>
              <w:top w:val="nil"/>
              <w:left w:val="nil"/>
              <w:bottom w:val="nil"/>
              <w:right w:val="nil"/>
            </w:tcBorders>
            <w:shd w:val="clear" w:color="auto" w:fill="auto"/>
            <w:noWrap/>
            <w:vAlign w:val="bottom"/>
            <w:hideMark/>
          </w:tcPr>
          <w:p w14:paraId="449B6AB8"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36.7 (36.3 to 37.2)</w:t>
            </w:r>
          </w:p>
        </w:tc>
        <w:tc>
          <w:tcPr>
            <w:tcW w:w="2446" w:type="dxa"/>
            <w:tcBorders>
              <w:top w:val="nil"/>
              <w:left w:val="nil"/>
              <w:bottom w:val="nil"/>
              <w:right w:val="nil"/>
            </w:tcBorders>
            <w:shd w:val="clear" w:color="auto" w:fill="auto"/>
            <w:noWrap/>
            <w:vAlign w:val="bottom"/>
            <w:hideMark/>
          </w:tcPr>
          <w:p w14:paraId="1959DD87"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0.45</w:t>
            </w:r>
            <w:r w:rsidR="00D971FD">
              <w:rPr>
                <w:rFonts w:ascii="Calibri" w:eastAsia="Times New Roman" w:hAnsi="Calibri" w:cs="Times New Roman"/>
                <w:lang w:eastAsia="en-GB"/>
              </w:rPr>
              <w:t xml:space="preserve"> (0.3 to 0.6)</w:t>
            </w:r>
          </w:p>
        </w:tc>
        <w:tc>
          <w:tcPr>
            <w:tcW w:w="1252" w:type="dxa"/>
            <w:tcBorders>
              <w:top w:val="nil"/>
              <w:left w:val="nil"/>
              <w:bottom w:val="nil"/>
              <w:right w:val="nil"/>
            </w:tcBorders>
            <w:shd w:val="clear" w:color="auto" w:fill="auto"/>
            <w:noWrap/>
            <w:vAlign w:val="bottom"/>
            <w:hideMark/>
          </w:tcPr>
          <w:p w14:paraId="27943EDD"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&lt;0.0001</w:t>
            </w:r>
          </w:p>
        </w:tc>
      </w:tr>
      <w:tr w:rsidR="00010808" w:rsidRPr="00010808" w14:paraId="285BD027" w14:textId="77777777" w:rsidTr="00BC52E6">
        <w:trPr>
          <w:trHeight w:val="368"/>
        </w:trPr>
        <w:tc>
          <w:tcPr>
            <w:tcW w:w="2759" w:type="dxa"/>
            <w:tcBorders>
              <w:top w:val="nil"/>
              <w:left w:val="nil"/>
              <w:bottom w:val="nil"/>
              <w:right w:val="nil"/>
            </w:tcBorders>
            <w:shd w:val="clear" w:color="auto" w:fill="auto"/>
            <w:noWrap/>
            <w:vAlign w:val="bottom"/>
            <w:hideMark/>
          </w:tcPr>
          <w:p w14:paraId="1260DE96"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 xml:space="preserve">   Temperature ≥37.8°C</w:t>
            </w:r>
          </w:p>
        </w:tc>
        <w:tc>
          <w:tcPr>
            <w:tcW w:w="2036" w:type="dxa"/>
            <w:tcBorders>
              <w:top w:val="nil"/>
              <w:left w:val="nil"/>
              <w:bottom w:val="nil"/>
              <w:right w:val="nil"/>
            </w:tcBorders>
            <w:shd w:val="clear" w:color="auto" w:fill="auto"/>
            <w:noWrap/>
            <w:vAlign w:val="bottom"/>
            <w:hideMark/>
          </w:tcPr>
          <w:p w14:paraId="2947ED25"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112 (31.8%)</w:t>
            </w:r>
          </w:p>
        </w:tc>
        <w:tc>
          <w:tcPr>
            <w:tcW w:w="1973" w:type="dxa"/>
            <w:tcBorders>
              <w:top w:val="nil"/>
              <w:left w:val="nil"/>
              <w:bottom w:val="nil"/>
              <w:right w:val="nil"/>
            </w:tcBorders>
            <w:shd w:val="clear" w:color="auto" w:fill="auto"/>
            <w:noWrap/>
            <w:vAlign w:val="bottom"/>
            <w:hideMark/>
          </w:tcPr>
          <w:p w14:paraId="47617750"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108 (15.4%)</w:t>
            </w:r>
          </w:p>
        </w:tc>
        <w:tc>
          <w:tcPr>
            <w:tcW w:w="2446" w:type="dxa"/>
            <w:tcBorders>
              <w:top w:val="nil"/>
              <w:left w:val="nil"/>
              <w:bottom w:val="nil"/>
              <w:right w:val="nil"/>
            </w:tcBorders>
            <w:shd w:val="clear" w:color="auto" w:fill="auto"/>
            <w:noWrap/>
            <w:vAlign w:val="bottom"/>
            <w:hideMark/>
          </w:tcPr>
          <w:p w14:paraId="012B0DDC"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16.4%</w:t>
            </w:r>
            <w:r w:rsidR="00D971FD">
              <w:rPr>
                <w:rFonts w:ascii="Calibri" w:eastAsia="Times New Roman" w:hAnsi="Calibri" w:cs="Times New Roman"/>
                <w:lang w:eastAsia="en-GB"/>
              </w:rPr>
              <w:t xml:space="preserve"> (10.1% to 22.1%)</w:t>
            </w:r>
          </w:p>
        </w:tc>
        <w:tc>
          <w:tcPr>
            <w:tcW w:w="1252" w:type="dxa"/>
            <w:tcBorders>
              <w:top w:val="nil"/>
              <w:left w:val="nil"/>
              <w:bottom w:val="nil"/>
              <w:right w:val="nil"/>
            </w:tcBorders>
            <w:shd w:val="clear" w:color="auto" w:fill="auto"/>
            <w:noWrap/>
            <w:vAlign w:val="bottom"/>
            <w:hideMark/>
          </w:tcPr>
          <w:p w14:paraId="6BBF6392"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&lt;0.0001</w:t>
            </w:r>
          </w:p>
        </w:tc>
      </w:tr>
      <w:tr w:rsidR="00010808" w:rsidRPr="00010808" w14:paraId="65DCF81D" w14:textId="77777777" w:rsidTr="00BC52E6">
        <w:trPr>
          <w:trHeight w:val="368"/>
        </w:trPr>
        <w:tc>
          <w:tcPr>
            <w:tcW w:w="2759" w:type="dxa"/>
            <w:tcBorders>
              <w:top w:val="nil"/>
              <w:left w:val="nil"/>
              <w:bottom w:val="nil"/>
              <w:right w:val="nil"/>
            </w:tcBorders>
            <w:shd w:val="clear" w:color="auto" w:fill="auto"/>
            <w:noWrap/>
            <w:vAlign w:val="bottom"/>
            <w:hideMark/>
          </w:tcPr>
          <w:p w14:paraId="654D2DC6"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On supplemental oxygen</w:t>
            </w:r>
          </w:p>
        </w:tc>
        <w:tc>
          <w:tcPr>
            <w:tcW w:w="2036" w:type="dxa"/>
            <w:tcBorders>
              <w:top w:val="nil"/>
              <w:left w:val="nil"/>
              <w:bottom w:val="nil"/>
              <w:right w:val="nil"/>
            </w:tcBorders>
            <w:shd w:val="clear" w:color="auto" w:fill="auto"/>
            <w:noWrap/>
            <w:vAlign w:val="bottom"/>
            <w:hideMark/>
          </w:tcPr>
          <w:p w14:paraId="5CE1FB51"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135 (38.4%)</w:t>
            </w:r>
          </w:p>
        </w:tc>
        <w:tc>
          <w:tcPr>
            <w:tcW w:w="1973" w:type="dxa"/>
            <w:tcBorders>
              <w:top w:val="nil"/>
              <w:left w:val="nil"/>
              <w:bottom w:val="nil"/>
              <w:right w:val="nil"/>
            </w:tcBorders>
            <w:shd w:val="clear" w:color="auto" w:fill="auto"/>
            <w:noWrap/>
            <w:vAlign w:val="bottom"/>
            <w:hideMark/>
          </w:tcPr>
          <w:p w14:paraId="64732BF7"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156 (22.2%)</w:t>
            </w:r>
          </w:p>
        </w:tc>
        <w:tc>
          <w:tcPr>
            <w:tcW w:w="2446" w:type="dxa"/>
            <w:tcBorders>
              <w:top w:val="nil"/>
              <w:left w:val="nil"/>
              <w:bottom w:val="nil"/>
              <w:right w:val="nil"/>
            </w:tcBorders>
            <w:shd w:val="clear" w:color="auto" w:fill="auto"/>
            <w:noWrap/>
            <w:vAlign w:val="bottom"/>
            <w:hideMark/>
          </w:tcPr>
          <w:p w14:paraId="316A7EE5"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16.1%</w:t>
            </w:r>
            <w:r w:rsidR="00D971FD">
              <w:rPr>
                <w:rFonts w:ascii="Calibri" w:eastAsia="Times New Roman" w:hAnsi="Calibri" w:cs="Times New Roman"/>
                <w:lang w:eastAsia="en-GB"/>
              </w:rPr>
              <w:t xml:space="preserve"> (10.2% to 22.1%)</w:t>
            </w:r>
          </w:p>
        </w:tc>
        <w:tc>
          <w:tcPr>
            <w:tcW w:w="1252" w:type="dxa"/>
            <w:tcBorders>
              <w:top w:val="nil"/>
              <w:left w:val="nil"/>
              <w:bottom w:val="nil"/>
              <w:right w:val="nil"/>
            </w:tcBorders>
            <w:shd w:val="clear" w:color="auto" w:fill="auto"/>
            <w:noWrap/>
            <w:vAlign w:val="bottom"/>
            <w:hideMark/>
          </w:tcPr>
          <w:p w14:paraId="5D92DAB3"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&lt;0.0001</w:t>
            </w:r>
          </w:p>
        </w:tc>
      </w:tr>
      <w:tr w:rsidR="00010808" w:rsidRPr="00010808" w14:paraId="4B20200D" w14:textId="77777777" w:rsidTr="00BC52E6">
        <w:trPr>
          <w:trHeight w:val="368"/>
        </w:trPr>
        <w:tc>
          <w:tcPr>
            <w:tcW w:w="2759" w:type="dxa"/>
            <w:tcBorders>
              <w:top w:val="nil"/>
              <w:left w:val="nil"/>
              <w:bottom w:val="nil"/>
              <w:right w:val="nil"/>
            </w:tcBorders>
            <w:shd w:val="clear" w:color="auto" w:fill="auto"/>
            <w:noWrap/>
            <w:vAlign w:val="bottom"/>
            <w:hideMark/>
          </w:tcPr>
          <w:p w14:paraId="692770BC"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NEWS2 score</w:t>
            </w:r>
          </w:p>
        </w:tc>
        <w:tc>
          <w:tcPr>
            <w:tcW w:w="2036" w:type="dxa"/>
            <w:tcBorders>
              <w:top w:val="nil"/>
              <w:left w:val="nil"/>
              <w:bottom w:val="nil"/>
              <w:right w:val="nil"/>
            </w:tcBorders>
            <w:shd w:val="clear" w:color="auto" w:fill="auto"/>
            <w:noWrap/>
            <w:vAlign w:val="bottom"/>
            <w:hideMark/>
          </w:tcPr>
          <w:p w14:paraId="291CD455"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5 (3 to 7)</w:t>
            </w:r>
          </w:p>
        </w:tc>
        <w:tc>
          <w:tcPr>
            <w:tcW w:w="1973" w:type="dxa"/>
            <w:tcBorders>
              <w:top w:val="nil"/>
              <w:left w:val="nil"/>
              <w:bottom w:val="nil"/>
              <w:right w:val="nil"/>
            </w:tcBorders>
            <w:shd w:val="clear" w:color="auto" w:fill="auto"/>
            <w:noWrap/>
            <w:vAlign w:val="bottom"/>
            <w:hideMark/>
          </w:tcPr>
          <w:p w14:paraId="520A9A45"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4 (2 to 6)</w:t>
            </w:r>
          </w:p>
        </w:tc>
        <w:tc>
          <w:tcPr>
            <w:tcW w:w="2446" w:type="dxa"/>
            <w:tcBorders>
              <w:top w:val="nil"/>
              <w:left w:val="nil"/>
              <w:bottom w:val="nil"/>
              <w:right w:val="nil"/>
            </w:tcBorders>
            <w:shd w:val="clear" w:color="auto" w:fill="auto"/>
            <w:noWrap/>
            <w:vAlign w:val="bottom"/>
            <w:hideMark/>
          </w:tcPr>
          <w:p w14:paraId="7BCD174A"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w:t>
            </w:r>
            <w:r w:rsidR="00D971FD">
              <w:rPr>
                <w:rFonts w:ascii="Calibri" w:eastAsia="Times New Roman" w:hAnsi="Calibri" w:cs="Times New Roman"/>
                <w:lang w:eastAsia="en-GB"/>
              </w:rPr>
              <w:t xml:space="preserve"> (1 to 2)</w:t>
            </w:r>
          </w:p>
        </w:tc>
        <w:tc>
          <w:tcPr>
            <w:tcW w:w="1252" w:type="dxa"/>
            <w:tcBorders>
              <w:top w:val="nil"/>
              <w:left w:val="nil"/>
              <w:bottom w:val="nil"/>
              <w:right w:val="nil"/>
            </w:tcBorders>
            <w:shd w:val="clear" w:color="auto" w:fill="auto"/>
            <w:noWrap/>
            <w:vAlign w:val="bottom"/>
            <w:hideMark/>
          </w:tcPr>
          <w:p w14:paraId="06036401"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&lt;0.0001</w:t>
            </w:r>
          </w:p>
        </w:tc>
      </w:tr>
      <w:tr w:rsidR="00010808" w:rsidRPr="00010808" w14:paraId="5501F5C4" w14:textId="77777777" w:rsidTr="00BC52E6">
        <w:trPr>
          <w:trHeight w:val="368"/>
        </w:trPr>
        <w:tc>
          <w:tcPr>
            <w:tcW w:w="2759" w:type="dxa"/>
            <w:tcBorders>
              <w:top w:val="nil"/>
              <w:left w:val="nil"/>
              <w:bottom w:val="nil"/>
              <w:right w:val="nil"/>
            </w:tcBorders>
            <w:shd w:val="clear" w:color="auto" w:fill="auto"/>
            <w:noWrap/>
            <w:vAlign w:val="bottom"/>
            <w:hideMark/>
          </w:tcPr>
          <w:p w14:paraId="2A7A7A93"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C reactive protein</w:t>
            </w:r>
          </w:p>
        </w:tc>
        <w:tc>
          <w:tcPr>
            <w:tcW w:w="2036" w:type="dxa"/>
            <w:tcBorders>
              <w:top w:val="nil"/>
              <w:left w:val="nil"/>
              <w:bottom w:val="nil"/>
              <w:right w:val="nil"/>
            </w:tcBorders>
            <w:shd w:val="clear" w:color="auto" w:fill="auto"/>
            <w:noWrap/>
            <w:vAlign w:val="bottom"/>
            <w:hideMark/>
          </w:tcPr>
          <w:p w14:paraId="37BD29CD"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95 (36 to 158)</w:t>
            </w:r>
          </w:p>
        </w:tc>
        <w:tc>
          <w:tcPr>
            <w:tcW w:w="1973" w:type="dxa"/>
            <w:tcBorders>
              <w:top w:val="nil"/>
              <w:left w:val="nil"/>
              <w:bottom w:val="nil"/>
              <w:right w:val="nil"/>
            </w:tcBorders>
            <w:shd w:val="clear" w:color="auto" w:fill="auto"/>
            <w:noWrap/>
            <w:vAlign w:val="bottom"/>
            <w:hideMark/>
          </w:tcPr>
          <w:p w14:paraId="6EF9737D"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26 (8 to 101.5)</w:t>
            </w:r>
          </w:p>
        </w:tc>
        <w:tc>
          <w:tcPr>
            <w:tcW w:w="2446" w:type="dxa"/>
            <w:tcBorders>
              <w:top w:val="nil"/>
              <w:left w:val="nil"/>
              <w:bottom w:val="nil"/>
              <w:right w:val="nil"/>
            </w:tcBorders>
            <w:shd w:val="clear" w:color="auto" w:fill="auto"/>
            <w:noWrap/>
            <w:vAlign w:val="bottom"/>
            <w:hideMark/>
          </w:tcPr>
          <w:p w14:paraId="72D07054" w14:textId="1481915B"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69</w:t>
            </w:r>
            <w:r w:rsidR="00847278">
              <w:rPr>
                <w:rFonts w:ascii="Calibri" w:eastAsia="Times New Roman" w:hAnsi="Calibri" w:cs="Times New Roman"/>
                <w:lang w:eastAsia="en-GB"/>
              </w:rPr>
              <w:t xml:space="preserve"> (39 to 79</w:t>
            </w:r>
            <w:r w:rsidR="00D971FD">
              <w:rPr>
                <w:rFonts w:ascii="Calibri" w:eastAsia="Times New Roman" w:hAnsi="Calibri" w:cs="Times New Roman"/>
                <w:lang w:eastAsia="en-GB"/>
              </w:rPr>
              <w:t>)</w:t>
            </w:r>
          </w:p>
        </w:tc>
        <w:tc>
          <w:tcPr>
            <w:tcW w:w="1252" w:type="dxa"/>
            <w:tcBorders>
              <w:top w:val="nil"/>
              <w:left w:val="nil"/>
              <w:bottom w:val="nil"/>
              <w:right w:val="nil"/>
            </w:tcBorders>
            <w:shd w:val="clear" w:color="auto" w:fill="auto"/>
            <w:noWrap/>
            <w:vAlign w:val="bottom"/>
            <w:hideMark/>
          </w:tcPr>
          <w:p w14:paraId="41723256"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&lt;0.0001</w:t>
            </w:r>
          </w:p>
        </w:tc>
      </w:tr>
      <w:tr w:rsidR="00010808" w:rsidRPr="00010808" w14:paraId="0A92A772" w14:textId="77777777" w:rsidTr="00BC52E6">
        <w:trPr>
          <w:trHeight w:val="425"/>
        </w:trPr>
        <w:tc>
          <w:tcPr>
            <w:tcW w:w="2759" w:type="dxa"/>
            <w:tcBorders>
              <w:top w:val="nil"/>
              <w:left w:val="nil"/>
              <w:bottom w:val="nil"/>
              <w:right w:val="nil"/>
            </w:tcBorders>
            <w:shd w:val="clear" w:color="auto" w:fill="auto"/>
            <w:vAlign w:val="bottom"/>
            <w:hideMark/>
          </w:tcPr>
          <w:p w14:paraId="473E48F4"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Lymphocyte count (10</w:t>
            </w:r>
            <w:r w:rsidRPr="00010808">
              <w:rPr>
                <w:rFonts w:ascii="Calibri" w:eastAsia="Times New Roman" w:hAnsi="Calibri" w:cs="Times New Roman"/>
                <w:vertAlign w:val="superscript"/>
                <w:lang w:eastAsia="en-GB"/>
              </w:rPr>
              <w:t>9</w:t>
            </w:r>
            <w:r w:rsidRPr="00010808">
              <w:rPr>
                <w:rFonts w:ascii="Calibri" w:eastAsia="Times New Roman" w:hAnsi="Calibri" w:cs="Times New Roman"/>
                <w:lang w:eastAsia="en-GB"/>
              </w:rPr>
              <w:t>/L)</w:t>
            </w:r>
          </w:p>
        </w:tc>
        <w:tc>
          <w:tcPr>
            <w:tcW w:w="2036" w:type="dxa"/>
            <w:tcBorders>
              <w:top w:val="nil"/>
              <w:left w:val="nil"/>
              <w:bottom w:val="nil"/>
              <w:right w:val="nil"/>
            </w:tcBorders>
            <w:shd w:val="clear" w:color="auto" w:fill="auto"/>
            <w:noWrap/>
            <w:vAlign w:val="bottom"/>
            <w:hideMark/>
          </w:tcPr>
          <w:p w14:paraId="3B818FEF"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0.9 (0.63 to 1.3)</w:t>
            </w:r>
          </w:p>
        </w:tc>
        <w:tc>
          <w:tcPr>
            <w:tcW w:w="1973" w:type="dxa"/>
            <w:tcBorders>
              <w:top w:val="nil"/>
              <w:left w:val="nil"/>
              <w:bottom w:val="nil"/>
              <w:right w:val="nil"/>
            </w:tcBorders>
            <w:shd w:val="clear" w:color="auto" w:fill="auto"/>
            <w:noWrap/>
            <w:vAlign w:val="bottom"/>
            <w:hideMark/>
          </w:tcPr>
          <w:p w14:paraId="747B8EC0"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1.2 (0.8 to 1.8)</w:t>
            </w:r>
          </w:p>
        </w:tc>
        <w:tc>
          <w:tcPr>
            <w:tcW w:w="2446" w:type="dxa"/>
            <w:tcBorders>
              <w:top w:val="nil"/>
              <w:left w:val="nil"/>
              <w:bottom w:val="nil"/>
              <w:right w:val="nil"/>
            </w:tcBorders>
            <w:shd w:val="clear" w:color="auto" w:fill="auto"/>
            <w:noWrap/>
            <w:vAlign w:val="bottom"/>
            <w:hideMark/>
          </w:tcPr>
          <w:p w14:paraId="43204E2A"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-0.3</w:t>
            </w:r>
            <w:r w:rsidR="00D971FD">
              <w:rPr>
                <w:rFonts w:ascii="Calibri" w:eastAsia="Times New Roman" w:hAnsi="Calibri" w:cs="Times New Roman"/>
                <w:lang w:eastAsia="en-GB"/>
              </w:rPr>
              <w:t xml:space="preserve"> (-0.3 to -0.2)</w:t>
            </w:r>
          </w:p>
        </w:tc>
        <w:tc>
          <w:tcPr>
            <w:tcW w:w="1252" w:type="dxa"/>
            <w:tcBorders>
              <w:top w:val="nil"/>
              <w:left w:val="nil"/>
              <w:bottom w:val="nil"/>
              <w:right w:val="nil"/>
            </w:tcBorders>
            <w:shd w:val="clear" w:color="auto" w:fill="auto"/>
            <w:noWrap/>
            <w:vAlign w:val="bottom"/>
            <w:hideMark/>
          </w:tcPr>
          <w:p w14:paraId="4963892F"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&lt;0.0001</w:t>
            </w:r>
          </w:p>
        </w:tc>
      </w:tr>
      <w:tr w:rsidR="00010808" w:rsidRPr="00010808" w14:paraId="3F18FB00" w14:textId="77777777" w:rsidTr="00BC52E6">
        <w:trPr>
          <w:trHeight w:val="425"/>
        </w:trPr>
        <w:tc>
          <w:tcPr>
            <w:tcW w:w="2759" w:type="dxa"/>
            <w:tcBorders>
              <w:top w:val="nil"/>
              <w:left w:val="nil"/>
              <w:bottom w:val="nil"/>
              <w:right w:val="nil"/>
            </w:tcBorders>
            <w:shd w:val="clear" w:color="auto" w:fill="auto"/>
            <w:noWrap/>
            <w:vAlign w:val="bottom"/>
            <w:hideMark/>
          </w:tcPr>
          <w:p w14:paraId="372E6BF3"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Neutrophil count (10</w:t>
            </w:r>
            <w:r w:rsidRPr="00010808">
              <w:rPr>
                <w:rFonts w:ascii="Calibri" w:eastAsia="Times New Roman" w:hAnsi="Calibri" w:cs="Times New Roman"/>
                <w:vertAlign w:val="superscript"/>
                <w:lang w:eastAsia="en-GB"/>
              </w:rPr>
              <w:t>9</w:t>
            </w:r>
            <w:r w:rsidRPr="00010808">
              <w:rPr>
                <w:rFonts w:ascii="Calibri" w:eastAsia="Times New Roman" w:hAnsi="Calibri" w:cs="Times New Roman"/>
                <w:lang w:eastAsia="en-GB"/>
              </w:rPr>
              <w:t>/L)</w:t>
            </w:r>
          </w:p>
        </w:tc>
        <w:tc>
          <w:tcPr>
            <w:tcW w:w="2036" w:type="dxa"/>
            <w:tcBorders>
              <w:top w:val="nil"/>
              <w:left w:val="nil"/>
              <w:bottom w:val="nil"/>
              <w:right w:val="nil"/>
            </w:tcBorders>
            <w:shd w:val="clear" w:color="auto" w:fill="auto"/>
            <w:noWrap/>
            <w:vAlign w:val="bottom"/>
            <w:hideMark/>
          </w:tcPr>
          <w:p w14:paraId="0AF01136"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5.6 (4.1 to 8.3)</w:t>
            </w:r>
          </w:p>
        </w:tc>
        <w:tc>
          <w:tcPr>
            <w:tcW w:w="1973" w:type="dxa"/>
            <w:tcBorders>
              <w:top w:val="nil"/>
              <w:left w:val="nil"/>
              <w:bottom w:val="nil"/>
              <w:right w:val="nil"/>
            </w:tcBorders>
            <w:shd w:val="clear" w:color="auto" w:fill="auto"/>
            <w:noWrap/>
            <w:vAlign w:val="bottom"/>
            <w:hideMark/>
          </w:tcPr>
          <w:p w14:paraId="36D1067B"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8.0 (5.3 to 12.0)</w:t>
            </w:r>
          </w:p>
        </w:tc>
        <w:tc>
          <w:tcPr>
            <w:tcW w:w="2446" w:type="dxa"/>
            <w:tcBorders>
              <w:top w:val="nil"/>
              <w:left w:val="nil"/>
              <w:bottom w:val="nil"/>
              <w:right w:val="nil"/>
            </w:tcBorders>
            <w:shd w:val="clear" w:color="auto" w:fill="auto"/>
            <w:noWrap/>
            <w:vAlign w:val="bottom"/>
            <w:hideMark/>
          </w:tcPr>
          <w:p w14:paraId="0BF26990"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-2.4</w:t>
            </w:r>
            <w:r w:rsidR="00D971FD">
              <w:rPr>
                <w:rFonts w:ascii="Calibri" w:eastAsia="Times New Roman" w:hAnsi="Calibri" w:cs="Times New Roman"/>
                <w:lang w:eastAsia="en-GB"/>
              </w:rPr>
              <w:t xml:space="preserve"> (-2.6 to -1.5)</w:t>
            </w:r>
          </w:p>
        </w:tc>
        <w:tc>
          <w:tcPr>
            <w:tcW w:w="1252" w:type="dxa"/>
            <w:tcBorders>
              <w:top w:val="nil"/>
              <w:left w:val="nil"/>
              <w:bottom w:val="nil"/>
              <w:right w:val="nil"/>
            </w:tcBorders>
            <w:shd w:val="clear" w:color="auto" w:fill="auto"/>
            <w:noWrap/>
            <w:vAlign w:val="bottom"/>
            <w:hideMark/>
          </w:tcPr>
          <w:p w14:paraId="6DC87AB9"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&lt;0.0001</w:t>
            </w:r>
          </w:p>
        </w:tc>
      </w:tr>
      <w:tr w:rsidR="00010808" w:rsidRPr="00010808" w14:paraId="7D5713AC" w14:textId="77777777" w:rsidTr="00BC52E6">
        <w:trPr>
          <w:trHeight w:val="425"/>
        </w:trPr>
        <w:tc>
          <w:tcPr>
            <w:tcW w:w="2759" w:type="dxa"/>
            <w:tcBorders>
              <w:top w:val="nil"/>
              <w:left w:val="nil"/>
              <w:bottom w:val="nil"/>
              <w:right w:val="nil"/>
            </w:tcBorders>
            <w:shd w:val="clear" w:color="auto" w:fill="auto"/>
            <w:noWrap/>
            <w:vAlign w:val="bottom"/>
            <w:hideMark/>
          </w:tcPr>
          <w:p w14:paraId="3C620924"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Lymphopenia &amp; non-raised neutrophil count</w:t>
            </w:r>
          </w:p>
        </w:tc>
        <w:tc>
          <w:tcPr>
            <w:tcW w:w="2036" w:type="dxa"/>
            <w:tcBorders>
              <w:top w:val="nil"/>
              <w:left w:val="nil"/>
              <w:bottom w:val="nil"/>
              <w:right w:val="nil"/>
            </w:tcBorders>
            <w:shd w:val="clear" w:color="auto" w:fill="auto"/>
            <w:noWrap/>
            <w:vAlign w:val="bottom"/>
            <w:hideMark/>
          </w:tcPr>
          <w:p w14:paraId="18057143"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184 (59.7%)</w:t>
            </w:r>
            <w:r w:rsidR="00892DDB" w:rsidRPr="00010808">
              <w:rPr>
                <w:rFonts w:ascii="Calibri" w:eastAsia="Times New Roman" w:hAnsi="Calibri" w:cs="Times New Roman"/>
                <w:vertAlign w:val="superscript"/>
                <w:lang w:eastAsia="en-GB"/>
              </w:rPr>
              <w:t>b</w:t>
            </w:r>
          </w:p>
        </w:tc>
        <w:tc>
          <w:tcPr>
            <w:tcW w:w="1973" w:type="dxa"/>
            <w:tcBorders>
              <w:top w:val="nil"/>
              <w:left w:val="nil"/>
              <w:bottom w:val="nil"/>
              <w:right w:val="nil"/>
            </w:tcBorders>
            <w:shd w:val="clear" w:color="auto" w:fill="auto"/>
            <w:noWrap/>
            <w:vAlign w:val="bottom"/>
            <w:hideMark/>
          </w:tcPr>
          <w:p w14:paraId="23D6E03F"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176 (29.0%)</w:t>
            </w:r>
            <w:r w:rsidR="00892DDB" w:rsidRPr="00010808">
              <w:rPr>
                <w:rFonts w:ascii="Calibri" w:eastAsia="Times New Roman" w:hAnsi="Calibri" w:cs="Times New Roman"/>
                <w:vertAlign w:val="superscript"/>
                <w:lang w:eastAsia="en-GB"/>
              </w:rPr>
              <w:t xml:space="preserve">b </w:t>
            </w:r>
          </w:p>
        </w:tc>
        <w:tc>
          <w:tcPr>
            <w:tcW w:w="2446" w:type="dxa"/>
            <w:tcBorders>
              <w:top w:val="nil"/>
              <w:left w:val="nil"/>
              <w:bottom w:val="nil"/>
              <w:right w:val="nil"/>
            </w:tcBorders>
            <w:shd w:val="clear" w:color="auto" w:fill="auto"/>
            <w:noWrap/>
            <w:vAlign w:val="bottom"/>
            <w:hideMark/>
          </w:tcPr>
          <w:p w14:paraId="0565A09D"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30.7%</w:t>
            </w:r>
            <w:r w:rsidR="00D971FD">
              <w:rPr>
                <w:rFonts w:ascii="Calibri" w:eastAsia="Times New Roman" w:hAnsi="Calibri" w:cs="Times New Roman"/>
                <w:lang w:eastAsia="en-GB"/>
              </w:rPr>
              <w:t xml:space="preserve"> </w:t>
            </w:r>
            <w:r w:rsidR="00565A89">
              <w:rPr>
                <w:rFonts w:ascii="Calibri" w:eastAsia="Times New Roman" w:hAnsi="Calibri" w:cs="Times New Roman"/>
                <w:lang w:eastAsia="en-GB"/>
              </w:rPr>
              <w:t>(24.0% to 37.1%)</w:t>
            </w:r>
          </w:p>
        </w:tc>
        <w:tc>
          <w:tcPr>
            <w:tcW w:w="1252" w:type="dxa"/>
            <w:tcBorders>
              <w:top w:val="nil"/>
              <w:left w:val="nil"/>
              <w:bottom w:val="nil"/>
              <w:right w:val="nil"/>
            </w:tcBorders>
            <w:shd w:val="clear" w:color="auto" w:fill="auto"/>
            <w:noWrap/>
            <w:vAlign w:val="bottom"/>
            <w:hideMark/>
          </w:tcPr>
          <w:p w14:paraId="26CF64B4"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&lt;0.0001</w:t>
            </w:r>
          </w:p>
        </w:tc>
      </w:tr>
      <w:tr w:rsidR="00010808" w:rsidRPr="00010808" w14:paraId="2955BC11" w14:textId="77777777" w:rsidTr="00BC52E6">
        <w:trPr>
          <w:trHeight w:val="425"/>
        </w:trPr>
        <w:tc>
          <w:tcPr>
            <w:tcW w:w="2759" w:type="dxa"/>
            <w:tcBorders>
              <w:top w:val="nil"/>
              <w:left w:val="nil"/>
              <w:bottom w:val="nil"/>
              <w:right w:val="nil"/>
            </w:tcBorders>
            <w:shd w:val="clear" w:color="auto" w:fill="auto"/>
            <w:noWrap/>
            <w:vAlign w:val="bottom"/>
            <w:hideMark/>
          </w:tcPr>
          <w:p w14:paraId="109A95DD"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Pneumonia on CXR</w:t>
            </w:r>
          </w:p>
        </w:tc>
        <w:tc>
          <w:tcPr>
            <w:tcW w:w="2036" w:type="dxa"/>
            <w:tcBorders>
              <w:top w:val="nil"/>
              <w:left w:val="nil"/>
              <w:bottom w:val="nil"/>
              <w:right w:val="nil"/>
            </w:tcBorders>
            <w:shd w:val="clear" w:color="auto" w:fill="auto"/>
            <w:noWrap/>
            <w:vAlign w:val="bottom"/>
            <w:hideMark/>
          </w:tcPr>
          <w:p w14:paraId="1573F3D0"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212 (62.2%)</w:t>
            </w:r>
            <w:r w:rsidR="00892DDB" w:rsidRPr="00892DDB">
              <w:rPr>
                <w:rFonts w:ascii="Calibri" w:eastAsia="Times New Roman" w:hAnsi="Calibri" w:cs="Times New Roman"/>
                <w:vertAlign w:val="superscript"/>
                <w:lang w:eastAsia="en-GB"/>
              </w:rPr>
              <w:t>c</w:t>
            </w:r>
          </w:p>
        </w:tc>
        <w:tc>
          <w:tcPr>
            <w:tcW w:w="1973" w:type="dxa"/>
            <w:tcBorders>
              <w:top w:val="nil"/>
              <w:left w:val="nil"/>
              <w:bottom w:val="nil"/>
              <w:right w:val="nil"/>
            </w:tcBorders>
            <w:shd w:val="clear" w:color="auto" w:fill="auto"/>
            <w:noWrap/>
            <w:vAlign w:val="bottom"/>
            <w:hideMark/>
          </w:tcPr>
          <w:p w14:paraId="1C5D32B4"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201 (30.7%)</w:t>
            </w:r>
            <w:r w:rsidR="00892DDB" w:rsidRPr="00892DDB">
              <w:rPr>
                <w:rFonts w:ascii="Calibri" w:eastAsia="Times New Roman" w:hAnsi="Calibri" w:cs="Times New Roman"/>
                <w:vertAlign w:val="superscript"/>
                <w:lang w:eastAsia="en-GB"/>
              </w:rPr>
              <w:t>c</w:t>
            </w:r>
          </w:p>
        </w:tc>
        <w:tc>
          <w:tcPr>
            <w:tcW w:w="2446" w:type="dxa"/>
            <w:tcBorders>
              <w:top w:val="nil"/>
              <w:left w:val="nil"/>
              <w:bottom w:val="nil"/>
              <w:right w:val="nil"/>
            </w:tcBorders>
            <w:shd w:val="clear" w:color="auto" w:fill="auto"/>
            <w:noWrap/>
            <w:vAlign w:val="bottom"/>
            <w:hideMark/>
          </w:tcPr>
          <w:p w14:paraId="3E6EE973"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31.4%</w:t>
            </w:r>
            <w:r w:rsidR="00565A89">
              <w:rPr>
                <w:rFonts w:ascii="Calibri" w:eastAsia="Times New Roman" w:hAnsi="Calibri" w:cs="Times New Roman"/>
                <w:lang w:eastAsia="en-GB"/>
              </w:rPr>
              <w:t xml:space="preserve"> (25.0% to 37.5%)</w:t>
            </w:r>
          </w:p>
        </w:tc>
        <w:tc>
          <w:tcPr>
            <w:tcW w:w="1252" w:type="dxa"/>
            <w:tcBorders>
              <w:top w:val="nil"/>
              <w:left w:val="nil"/>
              <w:bottom w:val="nil"/>
              <w:right w:val="nil"/>
            </w:tcBorders>
            <w:shd w:val="clear" w:color="auto" w:fill="auto"/>
            <w:noWrap/>
            <w:vAlign w:val="bottom"/>
            <w:hideMark/>
          </w:tcPr>
          <w:p w14:paraId="3FFEB43F"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&lt;0.0001</w:t>
            </w:r>
          </w:p>
        </w:tc>
      </w:tr>
      <w:tr w:rsidR="00010808" w:rsidRPr="00010808" w14:paraId="6637D3E7" w14:textId="77777777" w:rsidTr="00BC52E6">
        <w:trPr>
          <w:trHeight w:val="368"/>
        </w:trPr>
        <w:tc>
          <w:tcPr>
            <w:tcW w:w="2759" w:type="dxa"/>
            <w:tcBorders>
              <w:top w:val="nil"/>
              <w:left w:val="nil"/>
              <w:bottom w:val="single" w:sz="4" w:space="0" w:color="auto"/>
              <w:right w:val="nil"/>
            </w:tcBorders>
            <w:shd w:val="clear" w:color="auto" w:fill="auto"/>
            <w:noWrap/>
            <w:vAlign w:val="bottom"/>
            <w:hideMark/>
          </w:tcPr>
          <w:p w14:paraId="591C9039"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lastRenderedPageBreak/>
              <w:t>Duration of symptoms (days)</w:t>
            </w:r>
          </w:p>
        </w:tc>
        <w:tc>
          <w:tcPr>
            <w:tcW w:w="2036" w:type="dxa"/>
            <w:tcBorders>
              <w:top w:val="nil"/>
              <w:left w:val="nil"/>
              <w:bottom w:val="single" w:sz="4" w:space="0" w:color="auto"/>
              <w:right w:val="nil"/>
            </w:tcBorders>
            <w:shd w:val="clear" w:color="auto" w:fill="auto"/>
            <w:noWrap/>
            <w:vAlign w:val="bottom"/>
            <w:hideMark/>
          </w:tcPr>
          <w:p w14:paraId="37D5AF74"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5 (2 to 9)</w:t>
            </w:r>
          </w:p>
        </w:tc>
        <w:tc>
          <w:tcPr>
            <w:tcW w:w="1973" w:type="dxa"/>
            <w:tcBorders>
              <w:top w:val="nil"/>
              <w:left w:val="nil"/>
              <w:bottom w:val="single" w:sz="4" w:space="0" w:color="auto"/>
              <w:right w:val="nil"/>
            </w:tcBorders>
            <w:shd w:val="clear" w:color="auto" w:fill="auto"/>
            <w:noWrap/>
            <w:vAlign w:val="bottom"/>
            <w:hideMark/>
          </w:tcPr>
          <w:p w14:paraId="1BB8B954"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3 (1 to 7)</w:t>
            </w:r>
          </w:p>
        </w:tc>
        <w:tc>
          <w:tcPr>
            <w:tcW w:w="2446" w:type="dxa"/>
            <w:tcBorders>
              <w:top w:val="nil"/>
              <w:left w:val="nil"/>
              <w:bottom w:val="single" w:sz="4" w:space="0" w:color="auto"/>
              <w:right w:val="nil"/>
            </w:tcBorders>
            <w:shd w:val="clear" w:color="auto" w:fill="auto"/>
            <w:noWrap/>
            <w:vAlign w:val="bottom"/>
            <w:hideMark/>
          </w:tcPr>
          <w:p w14:paraId="18AA8A3C" w14:textId="77777777" w:rsidR="00010808" w:rsidRPr="00010808" w:rsidRDefault="00010808" w:rsidP="00010808">
            <w:pPr>
              <w:spacing w:after="0" w:line="240" w:lineRule="auto"/>
              <w:rPr>
                <w:rFonts w:ascii="Calibri" w:eastAsia="Times New Roman" w:hAnsi="Calibri" w:cs="Times New Roman"/>
                <w:lang w:eastAsia="en-GB"/>
              </w:rPr>
            </w:pPr>
            <w:r w:rsidRPr="00010808">
              <w:rPr>
                <w:rFonts w:ascii="Calibri" w:eastAsia="Times New Roman" w:hAnsi="Calibri" w:cs="Times New Roman"/>
                <w:lang w:eastAsia="en-GB"/>
              </w:rPr>
              <w:t>2</w:t>
            </w:r>
            <w:r w:rsidR="00565A89">
              <w:rPr>
                <w:rFonts w:ascii="Calibri" w:eastAsia="Times New Roman" w:hAnsi="Calibri" w:cs="Times New Roman"/>
                <w:lang w:eastAsia="en-GB"/>
              </w:rPr>
              <w:t xml:space="preserve"> (0 to 2)</w:t>
            </w:r>
          </w:p>
        </w:tc>
        <w:tc>
          <w:tcPr>
            <w:tcW w:w="1252" w:type="dxa"/>
            <w:tcBorders>
              <w:top w:val="nil"/>
              <w:left w:val="nil"/>
              <w:bottom w:val="single" w:sz="4" w:space="0" w:color="auto"/>
              <w:right w:val="nil"/>
            </w:tcBorders>
            <w:shd w:val="clear" w:color="auto" w:fill="auto"/>
            <w:noWrap/>
            <w:vAlign w:val="bottom"/>
            <w:hideMark/>
          </w:tcPr>
          <w:p w14:paraId="6185D48B" w14:textId="77777777" w:rsidR="00010808" w:rsidRPr="00010808" w:rsidRDefault="00010808" w:rsidP="00010808">
            <w:pPr>
              <w:spacing w:after="0" w:line="240" w:lineRule="auto"/>
              <w:rPr>
                <w:rFonts w:ascii="Calibri" w:eastAsia="Times New Roman" w:hAnsi="Calibri" w:cs="Times New Roman"/>
                <w:b/>
                <w:bCs/>
                <w:lang w:eastAsia="en-GB"/>
              </w:rPr>
            </w:pPr>
            <w:r w:rsidRPr="00010808">
              <w:rPr>
                <w:rFonts w:ascii="Calibri" w:eastAsia="Times New Roman" w:hAnsi="Calibri" w:cs="Times New Roman"/>
                <w:b/>
                <w:bCs/>
                <w:lang w:eastAsia="en-GB"/>
              </w:rPr>
              <w:t>0.0021</w:t>
            </w:r>
          </w:p>
        </w:tc>
      </w:tr>
    </w:tbl>
    <w:p w14:paraId="06C924FB" w14:textId="77777777" w:rsidR="00010808" w:rsidRDefault="00010808" w:rsidP="008010B5">
      <w:pPr>
        <w:spacing w:line="480" w:lineRule="auto"/>
      </w:pPr>
    </w:p>
    <w:p w14:paraId="6D9C5F69" w14:textId="6A29FC69" w:rsidR="00A07FE7" w:rsidRDefault="00A17F0D" w:rsidP="00A07FE7">
      <w:pPr>
        <w:spacing w:line="480" w:lineRule="auto"/>
        <w:sectPr w:rsidR="00A07FE7" w:rsidSect="00BC52E6">
          <w:endnotePr>
            <w:numFmt w:val="decimal"/>
          </w:endnotePr>
          <w:pgSz w:w="11906" w:h="16838"/>
          <w:pgMar w:top="720" w:right="720" w:bottom="720" w:left="720" w:header="708" w:footer="708" w:gutter="0"/>
          <w:cols w:space="708"/>
          <w:docGrid w:linePitch="360"/>
        </w:sectPr>
      </w:pPr>
      <w:r>
        <w:t>Data are n</w:t>
      </w:r>
      <w:r w:rsidR="00984EEA">
        <w:t xml:space="preserve"> </w:t>
      </w:r>
      <w:r>
        <w:t>(%) or median (IQR).</w:t>
      </w:r>
      <w:r w:rsidR="00892DDB">
        <w:t xml:space="preserve"> </w:t>
      </w:r>
      <w:r w:rsidR="00892DDB" w:rsidRPr="00892DDB">
        <w:rPr>
          <w:vertAlign w:val="superscript"/>
        </w:rPr>
        <w:t>a</w:t>
      </w:r>
      <w:r w:rsidR="00892DDB">
        <w:t xml:space="preserve"> n=187 and </w:t>
      </w:r>
      <w:r w:rsidR="00892DDB" w:rsidRPr="00892DDB">
        <w:rPr>
          <w:vertAlign w:val="superscript"/>
        </w:rPr>
        <w:t>b</w:t>
      </w:r>
      <w:r w:rsidR="00892DDB">
        <w:t xml:space="preserve"> 287 respectively.</w:t>
      </w:r>
      <w:r w:rsidR="004D3BE0">
        <w:t xml:space="preserve"> </w:t>
      </w:r>
      <w:r w:rsidR="004D3BE0" w:rsidRPr="004D3BE0">
        <w:rPr>
          <w:vertAlign w:val="superscript"/>
        </w:rPr>
        <w:t>b</w:t>
      </w:r>
      <w:r w:rsidR="00A07FE7">
        <w:t xml:space="preserve"> n=308 and n=607 respectively.</w:t>
      </w:r>
      <w:r w:rsidR="004D3BE0">
        <w:t xml:space="preserve"> </w:t>
      </w:r>
      <w:r w:rsidR="00892DDB">
        <w:rPr>
          <w:vertAlign w:val="superscript"/>
        </w:rPr>
        <w:t>c</w:t>
      </w:r>
      <w:r w:rsidR="00A07FE7">
        <w:t xml:space="preserve"> n=341 and n=654 respectively. </w:t>
      </w:r>
      <w:r w:rsidR="00010808">
        <w:t>NEWS2, National Early Warning Score 2; COPD, Chronic Obstructive Pulmonary Disease, CXR, Chest X-ray</w:t>
      </w:r>
      <w:r>
        <w:t>; 95% CI, 95% Confidence Interval</w:t>
      </w:r>
      <w:r w:rsidR="00010808">
        <w:t>.</w:t>
      </w:r>
      <w:r w:rsidR="00A07FE7" w:rsidRPr="00A07FE7">
        <w:t xml:space="preserve"> </w:t>
      </w:r>
      <w:r w:rsidR="00A07FE7">
        <w:t>Lymphopenia is defined as lymphocyte count &lt;1.5 x 10</w:t>
      </w:r>
      <w:r w:rsidR="00A07FE7" w:rsidRPr="007179C4">
        <w:rPr>
          <w:vertAlign w:val="superscript"/>
        </w:rPr>
        <w:t>9</w:t>
      </w:r>
      <w:r w:rsidR="00A07FE7">
        <w:t>/L; neutrophil count upper limit of normal is 8 x 10</w:t>
      </w:r>
      <w:r w:rsidR="00A07FE7" w:rsidRPr="007179C4">
        <w:rPr>
          <w:vertAlign w:val="superscript"/>
        </w:rPr>
        <w:t>9</w:t>
      </w:r>
      <w:r w:rsidR="00A07FE7">
        <w:t>/L. Pneumonia on CXR as reported by study-independent radiologists or reporting radiograph</w:t>
      </w:r>
      <w:r w:rsidR="007179C4">
        <w:t>ers, blinded to COVID-19 status</w:t>
      </w:r>
      <w:r w:rsidR="009E40B3">
        <w:t>.</w:t>
      </w:r>
    </w:p>
    <w:p w14:paraId="2305421F" w14:textId="77777777" w:rsidR="00A07FE7" w:rsidRDefault="009E40B3" w:rsidP="00131DB9">
      <w:pPr>
        <w:pStyle w:val="Heading1"/>
      </w:pPr>
      <w:r>
        <w:lastRenderedPageBreak/>
        <w:t>Table 2</w:t>
      </w:r>
      <w:r w:rsidR="00A07FE7" w:rsidRPr="00A07FE7">
        <w:t>: Ethnicity of patients testing positive and negative for COVID-19</w:t>
      </w:r>
    </w:p>
    <w:tbl>
      <w:tblPr>
        <w:tblW w:w="10632" w:type="dxa"/>
        <w:tblLook w:val="04A0" w:firstRow="1" w:lastRow="0" w:firstColumn="1" w:lastColumn="0" w:noHBand="0" w:noVBand="1"/>
      </w:tblPr>
      <w:tblGrid>
        <w:gridCol w:w="2977"/>
        <w:gridCol w:w="1985"/>
        <w:gridCol w:w="2126"/>
        <w:gridCol w:w="2551"/>
        <w:gridCol w:w="993"/>
      </w:tblGrid>
      <w:tr w:rsidR="00A07FE7" w:rsidRPr="00A07FE7" w14:paraId="7A0B4DA6" w14:textId="77777777" w:rsidTr="00E030F9">
        <w:trPr>
          <w:trHeight w:val="376"/>
        </w:trPr>
        <w:tc>
          <w:tcPr>
            <w:tcW w:w="2977" w:type="dxa"/>
            <w:tcBorders>
              <w:top w:val="nil"/>
              <w:left w:val="nil"/>
              <w:bottom w:val="nil"/>
              <w:right w:val="nil"/>
            </w:tcBorders>
            <w:shd w:val="clear" w:color="auto" w:fill="auto"/>
            <w:noWrap/>
            <w:vAlign w:val="bottom"/>
            <w:hideMark/>
          </w:tcPr>
          <w:p w14:paraId="1BC66639" w14:textId="77777777" w:rsidR="00A07FE7" w:rsidRPr="00A07FE7" w:rsidRDefault="00A07FE7" w:rsidP="00A07FE7">
            <w:pPr>
              <w:spacing w:after="0" w:line="240" w:lineRule="auto"/>
              <w:rPr>
                <w:rFonts w:ascii="Times New Roman" w:eastAsia="Times New Roman" w:hAnsi="Times New Roman" w:cs="Times New Roman"/>
                <w:sz w:val="24"/>
                <w:szCs w:val="24"/>
                <w:lang w:eastAsia="en-GB"/>
              </w:rPr>
            </w:pPr>
          </w:p>
        </w:tc>
        <w:tc>
          <w:tcPr>
            <w:tcW w:w="1985" w:type="dxa"/>
            <w:tcBorders>
              <w:top w:val="nil"/>
              <w:left w:val="nil"/>
              <w:bottom w:val="nil"/>
              <w:right w:val="nil"/>
            </w:tcBorders>
            <w:shd w:val="clear" w:color="auto" w:fill="auto"/>
            <w:noWrap/>
            <w:vAlign w:val="bottom"/>
            <w:hideMark/>
          </w:tcPr>
          <w:p w14:paraId="254C4CB6"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COVID-19 positive</w:t>
            </w:r>
          </w:p>
        </w:tc>
        <w:tc>
          <w:tcPr>
            <w:tcW w:w="2126" w:type="dxa"/>
            <w:tcBorders>
              <w:top w:val="nil"/>
              <w:left w:val="nil"/>
              <w:bottom w:val="nil"/>
              <w:right w:val="nil"/>
            </w:tcBorders>
            <w:shd w:val="clear" w:color="auto" w:fill="auto"/>
            <w:noWrap/>
            <w:vAlign w:val="bottom"/>
            <w:hideMark/>
          </w:tcPr>
          <w:p w14:paraId="7B2797D6"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COVID-19 negative</w:t>
            </w:r>
          </w:p>
        </w:tc>
        <w:tc>
          <w:tcPr>
            <w:tcW w:w="2551" w:type="dxa"/>
            <w:tcBorders>
              <w:top w:val="nil"/>
              <w:left w:val="nil"/>
              <w:bottom w:val="nil"/>
              <w:right w:val="nil"/>
            </w:tcBorders>
            <w:shd w:val="clear" w:color="auto" w:fill="auto"/>
            <w:noWrap/>
            <w:vAlign w:val="bottom"/>
            <w:hideMark/>
          </w:tcPr>
          <w:p w14:paraId="38F8F603"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Difference</w:t>
            </w:r>
          </w:p>
        </w:tc>
        <w:tc>
          <w:tcPr>
            <w:tcW w:w="993" w:type="dxa"/>
            <w:tcBorders>
              <w:top w:val="nil"/>
              <w:left w:val="nil"/>
              <w:bottom w:val="nil"/>
              <w:right w:val="nil"/>
            </w:tcBorders>
            <w:shd w:val="clear" w:color="auto" w:fill="auto"/>
            <w:noWrap/>
            <w:vAlign w:val="bottom"/>
            <w:hideMark/>
          </w:tcPr>
          <w:p w14:paraId="4202A1F0"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p value</w:t>
            </w:r>
          </w:p>
        </w:tc>
      </w:tr>
      <w:tr w:rsidR="00A07FE7" w:rsidRPr="00A07FE7" w14:paraId="032F6D88" w14:textId="77777777" w:rsidTr="00E030F9">
        <w:trPr>
          <w:trHeight w:val="376"/>
        </w:trPr>
        <w:tc>
          <w:tcPr>
            <w:tcW w:w="2977" w:type="dxa"/>
            <w:tcBorders>
              <w:top w:val="nil"/>
              <w:left w:val="nil"/>
              <w:bottom w:val="single" w:sz="4" w:space="0" w:color="auto"/>
              <w:right w:val="nil"/>
            </w:tcBorders>
            <w:shd w:val="clear" w:color="auto" w:fill="auto"/>
            <w:noWrap/>
            <w:vAlign w:val="bottom"/>
            <w:hideMark/>
          </w:tcPr>
          <w:p w14:paraId="1EAED4DD"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 </w:t>
            </w:r>
          </w:p>
        </w:tc>
        <w:tc>
          <w:tcPr>
            <w:tcW w:w="1985" w:type="dxa"/>
            <w:tcBorders>
              <w:top w:val="nil"/>
              <w:left w:val="nil"/>
              <w:bottom w:val="single" w:sz="4" w:space="0" w:color="auto"/>
              <w:right w:val="nil"/>
            </w:tcBorders>
            <w:shd w:val="clear" w:color="auto" w:fill="auto"/>
            <w:noWrap/>
            <w:vAlign w:val="bottom"/>
            <w:hideMark/>
          </w:tcPr>
          <w:p w14:paraId="3428E9FE"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(n=352)</w:t>
            </w:r>
          </w:p>
        </w:tc>
        <w:tc>
          <w:tcPr>
            <w:tcW w:w="2126" w:type="dxa"/>
            <w:tcBorders>
              <w:top w:val="nil"/>
              <w:left w:val="nil"/>
              <w:bottom w:val="single" w:sz="4" w:space="0" w:color="auto"/>
              <w:right w:val="nil"/>
            </w:tcBorders>
            <w:shd w:val="clear" w:color="auto" w:fill="auto"/>
            <w:noWrap/>
            <w:vAlign w:val="bottom"/>
            <w:hideMark/>
          </w:tcPr>
          <w:p w14:paraId="20A58899"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(n=702)</w:t>
            </w:r>
          </w:p>
        </w:tc>
        <w:tc>
          <w:tcPr>
            <w:tcW w:w="2551" w:type="dxa"/>
            <w:tcBorders>
              <w:top w:val="nil"/>
              <w:left w:val="nil"/>
              <w:bottom w:val="single" w:sz="4" w:space="0" w:color="auto"/>
              <w:right w:val="nil"/>
            </w:tcBorders>
            <w:shd w:val="clear" w:color="auto" w:fill="auto"/>
            <w:noWrap/>
            <w:vAlign w:val="bottom"/>
            <w:hideMark/>
          </w:tcPr>
          <w:p w14:paraId="09760876" w14:textId="77777777" w:rsidR="00A07FE7" w:rsidRPr="00E030F9" w:rsidRDefault="00A07FE7" w:rsidP="00A07FE7">
            <w:pPr>
              <w:spacing w:after="0" w:line="240" w:lineRule="auto"/>
              <w:rPr>
                <w:rFonts w:ascii="Calibri" w:eastAsia="Times New Roman" w:hAnsi="Calibri" w:cs="Times New Roman"/>
                <w:b/>
                <w:color w:val="000000"/>
                <w:lang w:eastAsia="en-GB"/>
              </w:rPr>
            </w:pPr>
            <w:r w:rsidRPr="00E030F9">
              <w:rPr>
                <w:rFonts w:ascii="Calibri" w:eastAsia="Times New Roman" w:hAnsi="Calibri" w:cs="Times New Roman"/>
                <w:b/>
                <w:color w:val="000000"/>
                <w:lang w:eastAsia="en-GB"/>
              </w:rPr>
              <w:t> </w:t>
            </w:r>
            <w:r w:rsidR="00E030F9" w:rsidRPr="00E030F9">
              <w:rPr>
                <w:rFonts w:ascii="Calibri" w:eastAsia="Times New Roman" w:hAnsi="Calibri" w:cs="Times New Roman"/>
                <w:b/>
                <w:color w:val="000000"/>
                <w:lang w:eastAsia="en-GB"/>
              </w:rPr>
              <w:t>(95% CI)</w:t>
            </w:r>
          </w:p>
        </w:tc>
        <w:tc>
          <w:tcPr>
            <w:tcW w:w="993" w:type="dxa"/>
            <w:tcBorders>
              <w:top w:val="nil"/>
              <w:left w:val="nil"/>
              <w:bottom w:val="single" w:sz="4" w:space="0" w:color="auto"/>
              <w:right w:val="nil"/>
            </w:tcBorders>
            <w:shd w:val="clear" w:color="auto" w:fill="auto"/>
            <w:noWrap/>
            <w:vAlign w:val="bottom"/>
            <w:hideMark/>
          </w:tcPr>
          <w:p w14:paraId="102F572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 </w:t>
            </w:r>
          </w:p>
        </w:tc>
      </w:tr>
      <w:tr w:rsidR="00A07FE7" w:rsidRPr="00A07FE7" w14:paraId="21BF35BB" w14:textId="77777777" w:rsidTr="00E030F9">
        <w:trPr>
          <w:trHeight w:val="376"/>
        </w:trPr>
        <w:tc>
          <w:tcPr>
            <w:tcW w:w="2977" w:type="dxa"/>
            <w:tcBorders>
              <w:top w:val="nil"/>
              <w:left w:val="nil"/>
              <w:bottom w:val="nil"/>
              <w:right w:val="nil"/>
            </w:tcBorders>
            <w:shd w:val="clear" w:color="auto" w:fill="auto"/>
            <w:noWrap/>
            <w:vAlign w:val="bottom"/>
            <w:hideMark/>
          </w:tcPr>
          <w:p w14:paraId="4D899F45" w14:textId="77777777" w:rsidR="00A07FE7" w:rsidRPr="00A07FE7" w:rsidRDefault="00A07FE7" w:rsidP="00A07FE7">
            <w:pPr>
              <w:spacing w:after="0" w:line="240" w:lineRule="auto"/>
              <w:rPr>
                <w:rFonts w:ascii="Calibri" w:eastAsia="Times New Roman" w:hAnsi="Calibri" w:cs="Times New Roman"/>
                <w:b/>
                <w:bCs/>
                <w:i/>
                <w:iCs/>
                <w:color w:val="000000"/>
                <w:lang w:eastAsia="en-GB"/>
              </w:rPr>
            </w:pPr>
            <w:r w:rsidRPr="00A07FE7">
              <w:rPr>
                <w:rFonts w:ascii="Calibri" w:eastAsia="Times New Roman" w:hAnsi="Calibri" w:cs="Times New Roman"/>
                <w:b/>
                <w:bCs/>
                <w:i/>
                <w:iCs/>
                <w:color w:val="000000"/>
                <w:lang w:eastAsia="en-GB"/>
              </w:rPr>
              <w:t>White</w:t>
            </w:r>
          </w:p>
        </w:tc>
        <w:tc>
          <w:tcPr>
            <w:tcW w:w="1985" w:type="dxa"/>
            <w:tcBorders>
              <w:top w:val="nil"/>
              <w:left w:val="nil"/>
              <w:bottom w:val="nil"/>
              <w:right w:val="nil"/>
            </w:tcBorders>
            <w:shd w:val="clear" w:color="auto" w:fill="auto"/>
            <w:noWrap/>
            <w:vAlign w:val="bottom"/>
            <w:hideMark/>
          </w:tcPr>
          <w:p w14:paraId="33B001FF" w14:textId="77777777" w:rsidR="00A07FE7" w:rsidRPr="00A07FE7" w:rsidRDefault="00A07FE7" w:rsidP="00A07FE7">
            <w:pPr>
              <w:spacing w:after="0" w:line="240" w:lineRule="auto"/>
              <w:rPr>
                <w:rFonts w:ascii="Calibri" w:eastAsia="Times New Roman" w:hAnsi="Calibri" w:cs="Times New Roman"/>
                <w:b/>
                <w:bCs/>
                <w:i/>
                <w:iCs/>
                <w:color w:val="000000"/>
                <w:lang w:eastAsia="en-GB"/>
              </w:rPr>
            </w:pPr>
          </w:p>
        </w:tc>
        <w:tc>
          <w:tcPr>
            <w:tcW w:w="2126" w:type="dxa"/>
            <w:tcBorders>
              <w:top w:val="nil"/>
              <w:left w:val="nil"/>
              <w:bottom w:val="nil"/>
              <w:right w:val="nil"/>
            </w:tcBorders>
            <w:shd w:val="clear" w:color="auto" w:fill="auto"/>
            <w:noWrap/>
            <w:vAlign w:val="bottom"/>
            <w:hideMark/>
          </w:tcPr>
          <w:p w14:paraId="02495BA6"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c>
          <w:tcPr>
            <w:tcW w:w="2551" w:type="dxa"/>
            <w:tcBorders>
              <w:top w:val="nil"/>
              <w:left w:val="nil"/>
              <w:bottom w:val="nil"/>
              <w:right w:val="nil"/>
            </w:tcBorders>
            <w:shd w:val="clear" w:color="auto" w:fill="auto"/>
            <w:noWrap/>
            <w:vAlign w:val="bottom"/>
            <w:hideMark/>
          </w:tcPr>
          <w:p w14:paraId="534D91C5"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61DE21B0"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r>
      <w:tr w:rsidR="00A07FE7" w:rsidRPr="00A07FE7" w14:paraId="22418F85" w14:textId="77777777" w:rsidTr="00E030F9">
        <w:trPr>
          <w:trHeight w:val="376"/>
        </w:trPr>
        <w:tc>
          <w:tcPr>
            <w:tcW w:w="2977" w:type="dxa"/>
            <w:tcBorders>
              <w:top w:val="nil"/>
              <w:left w:val="nil"/>
              <w:bottom w:val="nil"/>
              <w:right w:val="nil"/>
            </w:tcBorders>
            <w:shd w:val="clear" w:color="auto" w:fill="auto"/>
            <w:noWrap/>
            <w:vAlign w:val="bottom"/>
            <w:hideMark/>
          </w:tcPr>
          <w:p w14:paraId="3F7D03C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British</w:t>
            </w:r>
          </w:p>
        </w:tc>
        <w:tc>
          <w:tcPr>
            <w:tcW w:w="1985" w:type="dxa"/>
            <w:tcBorders>
              <w:top w:val="nil"/>
              <w:left w:val="nil"/>
              <w:bottom w:val="nil"/>
              <w:right w:val="nil"/>
            </w:tcBorders>
            <w:shd w:val="clear" w:color="auto" w:fill="auto"/>
            <w:noWrap/>
            <w:vAlign w:val="bottom"/>
            <w:hideMark/>
          </w:tcPr>
          <w:p w14:paraId="3A06AFA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248 (70.5%)</w:t>
            </w:r>
          </w:p>
        </w:tc>
        <w:tc>
          <w:tcPr>
            <w:tcW w:w="2126" w:type="dxa"/>
            <w:tcBorders>
              <w:top w:val="nil"/>
              <w:left w:val="nil"/>
              <w:bottom w:val="nil"/>
              <w:right w:val="nil"/>
            </w:tcBorders>
            <w:shd w:val="clear" w:color="auto" w:fill="auto"/>
            <w:noWrap/>
            <w:vAlign w:val="bottom"/>
            <w:hideMark/>
          </w:tcPr>
          <w:p w14:paraId="2D8D62A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600 (85.5%)</w:t>
            </w:r>
          </w:p>
        </w:tc>
        <w:tc>
          <w:tcPr>
            <w:tcW w:w="2551" w:type="dxa"/>
            <w:tcBorders>
              <w:top w:val="nil"/>
              <w:left w:val="nil"/>
              <w:bottom w:val="nil"/>
              <w:right w:val="nil"/>
            </w:tcBorders>
            <w:shd w:val="clear" w:color="auto" w:fill="auto"/>
            <w:noWrap/>
            <w:vAlign w:val="bottom"/>
            <w:hideMark/>
          </w:tcPr>
          <w:p w14:paraId="240E510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-15.0%</w:t>
            </w:r>
            <w:r w:rsidR="00E030F9">
              <w:rPr>
                <w:rFonts w:ascii="Calibri" w:eastAsia="Times New Roman" w:hAnsi="Calibri" w:cs="Times New Roman"/>
                <w:color w:val="000000"/>
                <w:lang w:eastAsia="en-GB"/>
              </w:rPr>
              <w:t xml:space="preserve"> (-20.5% to -9.7%)</w:t>
            </w:r>
          </w:p>
        </w:tc>
        <w:tc>
          <w:tcPr>
            <w:tcW w:w="993" w:type="dxa"/>
            <w:tcBorders>
              <w:top w:val="nil"/>
              <w:left w:val="nil"/>
              <w:bottom w:val="nil"/>
              <w:right w:val="nil"/>
            </w:tcBorders>
            <w:shd w:val="clear" w:color="auto" w:fill="auto"/>
            <w:noWrap/>
            <w:vAlign w:val="bottom"/>
            <w:hideMark/>
          </w:tcPr>
          <w:p w14:paraId="5446268B"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&lt;0.0001</w:t>
            </w:r>
          </w:p>
        </w:tc>
      </w:tr>
      <w:tr w:rsidR="00A07FE7" w:rsidRPr="00A07FE7" w14:paraId="6EAF140E" w14:textId="77777777" w:rsidTr="00E030F9">
        <w:trPr>
          <w:trHeight w:val="376"/>
        </w:trPr>
        <w:tc>
          <w:tcPr>
            <w:tcW w:w="2977" w:type="dxa"/>
            <w:tcBorders>
              <w:top w:val="nil"/>
              <w:left w:val="nil"/>
              <w:bottom w:val="nil"/>
              <w:right w:val="nil"/>
            </w:tcBorders>
            <w:shd w:val="clear" w:color="auto" w:fill="auto"/>
            <w:noWrap/>
            <w:vAlign w:val="bottom"/>
            <w:hideMark/>
          </w:tcPr>
          <w:p w14:paraId="482B9FC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Irish</w:t>
            </w:r>
          </w:p>
        </w:tc>
        <w:tc>
          <w:tcPr>
            <w:tcW w:w="1985" w:type="dxa"/>
            <w:tcBorders>
              <w:top w:val="nil"/>
              <w:left w:val="nil"/>
              <w:bottom w:val="nil"/>
              <w:right w:val="nil"/>
            </w:tcBorders>
            <w:shd w:val="clear" w:color="auto" w:fill="auto"/>
            <w:noWrap/>
            <w:vAlign w:val="bottom"/>
            <w:hideMark/>
          </w:tcPr>
          <w:p w14:paraId="4C9E8E6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w:t>
            </w:r>
          </w:p>
        </w:tc>
        <w:tc>
          <w:tcPr>
            <w:tcW w:w="2126" w:type="dxa"/>
            <w:tcBorders>
              <w:top w:val="nil"/>
              <w:left w:val="nil"/>
              <w:bottom w:val="nil"/>
              <w:right w:val="nil"/>
            </w:tcBorders>
            <w:shd w:val="clear" w:color="auto" w:fill="auto"/>
            <w:noWrap/>
            <w:vAlign w:val="bottom"/>
            <w:hideMark/>
          </w:tcPr>
          <w:p w14:paraId="79CA0D2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 (0.6%)</w:t>
            </w:r>
          </w:p>
        </w:tc>
        <w:tc>
          <w:tcPr>
            <w:tcW w:w="2551" w:type="dxa"/>
            <w:tcBorders>
              <w:top w:val="nil"/>
              <w:left w:val="nil"/>
              <w:bottom w:val="nil"/>
              <w:right w:val="nil"/>
            </w:tcBorders>
            <w:shd w:val="clear" w:color="auto" w:fill="auto"/>
            <w:noWrap/>
            <w:vAlign w:val="bottom"/>
            <w:hideMark/>
          </w:tcPr>
          <w:p w14:paraId="5768C95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-0.6%</w:t>
            </w:r>
            <w:r w:rsidR="00E030F9">
              <w:rPr>
                <w:rFonts w:ascii="Calibri" w:eastAsia="Times New Roman" w:hAnsi="Calibri" w:cs="Times New Roman"/>
                <w:color w:val="000000"/>
                <w:lang w:eastAsia="en-GB"/>
              </w:rPr>
              <w:t xml:space="preserve"> (-1.5% to 0.6%)</w:t>
            </w:r>
          </w:p>
        </w:tc>
        <w:tc>
          <w:tcPr>
            <w:tcW w:w="993" w:type="dxa"/>
            <w:tcBorders>
              <w:top w:val="nil"/>
              <w:left w:val="nil"/>
              <w:bottom w:val="nil"/>
              <w:right w:val="nil"/>
            </w:tcBorders>
            <w:shd w:val="clear" w:color="auto" w:fill="auto"/>
            <w:noWrap/>
            <w:vAlign w:val="bottom"/>
            <w:hideMark/>
          </w:tcPr>
          <w:p w14:paraId="6A0220B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0.3075</w:t>
            </w:r>
          </w:p>
        </w:tc>
      </w:tr>
      <w:tr w:rsidR="00A07FE7" w:rsidRPr="00A07FE7" w14:paraId="6C96AB9E" w14:textId="77777777" w:rsidTr="00E030F9">
        <w:trPr>
          <w:trHeight w:val="376"/>
        </w:trPr>
        <w:tc>
          <w:tcPr>
            <w:tcW w:w="2977" w:type="dxa"/>
            <w:tcBorders>
              <w:top w:val="nil"/>
              <w:left w:val="nil"/>
              <w:bottom w:val="nil"/>
              <w:right w:val="nil"/>
            </w:tcBorders>
            <w:shd w:val="clear" w:color="auto" w:fill="auto"/>
            <w:noWrap/>
            <w:vAlign w:val="bottom"/>
            <w:hideMark/>
          </w:tcPr>
          <w:p w14:paraId="4DA140A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Any other White background</w:t>
            </w:r>
          </w:p>
        </w:tc>
        <w:tc>
          <w:tcPr>
            <w:tcW w:w="1985" w:type="dxa"/>
            <w:tcBorders>
              <w:top w:val="nil"/>
              <w:left w:val="nil"/>
              <w:bottom w:val="nil"/>
              <w:right w:val="nil"/>
            </w:tcBorders>
            <w:shd w:val="clear" w:color="auto" w:fill="auto"/>
            <w:noWrap/>
            <w:vAlign w:val="bottom"/>
            <w:hideMark/>
          </w:tcPr>
          <w:p w14:paraId="3E3AA30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13 (3.7%)</w:t>
            </w:r>
          </w:p>
        </w:tc>
        <w:tc>
          <w:tcPr>
            <w:tcW w:w="2126" w:type="dxa"/>
            <w:tcBorders>
              <w:top w:val="nil"/>
              <w:left w:val="nil"/>
              <w:bottom w:val="nil"/>
              <w:right w:val="nil"/>
            </w:tcBorders>
            <w:shd w:val="clear" w:color="auto" w:fill="auto"/>
            <w:noWrap/>
            <w:vAlign w:val="bottom"/>
            <w:hideMark/>
          </w:tcPr>
          <w:p w14:paraId="6A8D4B9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25 (3.6%)</w:t>
            </w:r>
          </w:p>
        </w:tc>
        <w:tc>
          <w:tcPr>
            <w:tcW w:w="2551" w:type="dxa"/>
            <w:tcBorders>
              <w:top w:val="nil"/>
              <w:left w:val="nil"/>
              <w:bottom w:val="nil"/>
              <w:right w:val="nil"/>
            </w:tcBorders>
            <w:shd w:val="clear" w:color="auto" w:fill="auto"/>
            <w:noWrap/>
            <w:vAlign w:val="bottom"/>
            <w:hideMark/>
          </w:tcPr>
          <w:p w14:paraId="499A9A7B" w14:textId="77777777" w:rsidR="00A07FE7" w:rsidRPr="00A07FE7" w:rsidRDefault="00A07FE7" w:rsidP="00E030F9">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0.1%</w:t>
            </w:r>
            <w:r w:rsidR="00E030F9">
              <w:rPr>
                <w:rFonts w:ascii="Calibri" w:eastAsia="Times New Roman" w:hAnsi="Calibri" w:cs="Times New Roman"/>
                <w:color w:val="000000"/>
                <w:lang w:eastAsia="en-GB"/>
              </w:rPr>
              <w:t xml:space="preserve"> (-2.9% to 2.1%)</w:t>
            </w:r>
          </w:p>
        </w:tc>
        <w:tc>
          <w:tcPr>
            <w:tcW w:w="993" w:type="dxa"/>
            <w:tcBorders>
              <w:top w:val="nil"/>
              <w:left w:val="nil"/>
              <w:bottom w:val="nil"/>
              <w:right w:val="nil"/>
            </w:tcBorders>
            <w:shd w:val="clear" w:color="auto" w:fill="auto"/>
            <w:noWrap/>
            <w:vAlign w:val="bottom"/>
            <w:hideMark/>
          </w:tcPr>
          <w:p w14:paraId="4B252F5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&gt;0.9999</w:t>
            </w:r>
          </w:p>
        </w:tc>
      </w:tr>
      <w:tr w:rsidR="00A07FE7" w:rsidRPr="00A07FE7" w14:paraId="7B806918" w14:textId="77777777" w:rsidTr="00E030F9">
        <w:trPr>
          <w:trHeight w:val="376"/>
        </w:trPr>
        <w:tc>
          <w:tcPr>
            <w:tcW w:w="2977" w:type="dxa"/>
            <w:tcBorders>
              <w:top w:val="nil"/>
              <w:left w:val="nil"/>
              <w:bottom w:val="nil"/>
              <w:right w:val="nil"/>
            </w:tcBorders>
            <w:shd w:val="clear" w:color="auto" w:fill="auto"/>
            <w:noWrap/>
            <w:vAlign w:val="bottom"/>
            <w:hideMark/>
          </w:tcPr>
          <w:p w14:paraId="6B42CC60" w14:textId="77777777" w:rsidR="00A07FE7" w:rsidRPr="00A07FE7" w:rsidRDefault="00A07FE7" w:rsidP="00A07FE7">
            <w:pPr>
              <w:spacing w:after="0" w:line="240" w:lineRule="auto"/>
              <w:rPr>
                <w:rFonts w:ascii="Calibri" w:eastAsia="Times New Roman" w:hAnsi="Calibri" w:cs="Times New Roman"/>
                <w:b/>
                <w:bCs/>
                <w:i/>
                <w:iCs/>
                <w:color w:val="000000"/>
                <w:lang w:eastAsia="en-GB"/>
              </w:rPr>
            </w:pPr>
            <w:r w:rsidRPr="00A07FE7">
              <w:rPr>
                <w:rFonts w:ascii="Calibri" w:eastAsia="Times New Roman" w:hAnsi="Calibri" w:cs="Times New Roman"/>
                <w:b/>
                <w:bCs/>
                <w:i/>
                <w:iCs/>
                <w:color w:val="000000"/>
                <w:lang w:eastAsia="en-GB"/>
              </w:rPr>
              <w:t>Mixed</w:t>
            </w:r>
          </w:p>
        </w:tc>
        <w:tc>
          <w:tcPr>
            <w:tcW w:w="1985" w:type="dxa"/>
            <w:tcBorders>
              <w:top w:val="nil"/>
              <w:left w:val="nil"/>
              <w:bottom w:val="nil"/>
              <w:right w:val="nil"/>
            </w:tcBorders>
            <w:shd w:val="clear" w:color="auto" w:fill="auto"/>
            <w:noWrap/>
            <w:vAlign w:val="bottom"/>
            <w:hideMark/>
          </w:tcPr>
          <w:p w14:paraId="7CA76200" w14:textId="77777777" w:rsidR="00A07FE7" w:rsidRPr="00A07FE7" w:rsidRDefault="00A07FE7" w:rsidP="00A07FE7">
            <w:pPr>
              <w:spacing w:after="0" w:line="240" w:lineRule="auto"/>
              <w:rPr>
                <w:rFonts w:ascii="Calibri" w:eastAsia="Times New Roman" w:hAnsi="Calibri" w:cs="Times New Roman"/>
                <w:b/>
                <w:bCs/>
                <w:i/>
                <w:iCs/>
                <w:color w:val="000000"/>
                <w:lang w:eastAsia="en-GB"/>
              </w:rPr>
            </w:pPr>
          </w:p>
        </w:tc>
        <w:tc>
          <w:tcPr>
            <w:tcW w:w="2126" w:type="dxa"/>
            <w:tcBorders>
              <w:top w:val="nil"/>
              <w:left w:val="nil"/>
              <w:bottom w:val="nil"/>
              <w:right w:val="nil"/>
            </w:tcBorders>
            <w:shd w:val="clear" w:color="auto" w:fill="auto"/>
            <w:noWrap/>
            <w:vAlign w:val="bottom"/>
            <w:hideMark/>
          </w:tcPr>
          <w:p w14:paraId="3C67A631"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c>
          <w:tcPr>
            <w:tcW w:w="2551" w:type="dxa"/>
            <w:tcBorders>
              <w:top w:val="nil"/>
              <w:left w:val="nil"/>
              <w:bottom w:val="nil"/>
              <w:right w:val="nil"/>
            </w:tcBorders>
            <w:shd w:val="clear" w:color="auto" w:fill="auto"/>
            <w:noWrap/>
            <w:vAlign w:val="bottom"/>
            <w:hideMark/>
          </w:tcPr>
          <w:p w14:paraId="6F5F79F1"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3CD61214"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r>
      <w:tr w:rsidR="00A07FE7" w:rsidRPr="00A07FE7" w14:paraId="10A760FB" w14:textId="77777777" w:rsidTr="00E030F9">
        <w:trPr>
          <w:trHeight w:val="376"/>
        </w:trPr>
        <w:tc>
          <w:tcPr>
            <w:tcW w:w="2977" w:type="dxa"/>
            <w:tcBorders>
              <w:top w:val="nil"/>
              <w:left w:val="nil"/>
              <w:bottom w:val="nil"/>
              <w:right w:val="nil"/>
            </w:tcBorders>
            <w:shd w:val="clear" w:color="auto" w:fill="auto"/>
            <w:noWrap/>
            <w:vAlign w:val="bottom"/>
            <w:hideMark/>
          </w:tcPr>
          <w:p w14:paraId="084CCA23"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White and Black Caribbean</w:t>
            </w:r>
          </w:p>
        </w:tc>
        <w:tc>
          <w:tcPr>
            <w:tcW w:w="1985" w:type="dxa"/>
            <w:tcBorders>
              <w:top w:val="nil"/>
              <w:left w:val="nil"/>
              <w:bottom w:val="nil"/>
              <w:right w:val="nil"/>
            </w:tcBorders>
            <w:shd w:val="clear" w:color="auto" w:fill="auto"/>
            <w:noWrap/>
            <w:vAlign w:val="bottom"/>
            <w:hideMark/>
          </w:tcPr>
          <w:p w14:paraId="04F3637B"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w:t>
            </w:r>
          </w:p>
        </w:tc>
        <w:tc>
          <w:tcPr>
            <w:tcW w:w="2126" w:type="dxa"/>
            <w:tcBorders>
              <w:top w:val="nil"/>
              <w:left w:val="nil"/>
              <w:bottom w:val="nil"/>
              <w:right w:val="nil"/>
            </w:tcBorders>
            <w:shd w:val="clear" w:color="auto" w:fill="auto"/>
            <w:noWrap/>
            <w:vAlign w:val="bottom"/>
            <w:hideMark/>
          </w:tcPr>
          <w:p w14:paraId="083C131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 (0.3%)</w:t>
            </w:r>
          </w:p>
        </w:tc>
        <w:tc>
          <w:tcPr>
            <w:tcW w:w="2551" w:type="dxa"/>
            <w:tcBorders>
              <w:top w:val="nil"/>
              <w:left w:val="nil"/>
              <w:bottom w:val="nil"/>
              <w:right w:val="nil"/>
            </w:tcBorders>
            <w:shd w:val="clear" w:color="auto" w:fill="auto"/>
            <w:noWrap/>
            <w:vAlign w:val="bottom"/>
            <w:hideMark/>
          </w:tcPr>
          <w:p w14:paraId="03B5360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-0.3%</w:t>
            </w:r>
            <w:r w:rsidR="00E030F9">
              <w:rPr>
                <w:rFonts w:ascii="Calibri" w:eastAsia="Times New Roman" w:hAnsi="Calibri" w:cs="Times New Roman"/>
                <w:color w:val="000000"/>
                <w:lang w:eastAsia="en-GB"/>
              </w:rPr>
              <w:t xml:space="preserve"> (-1.0% to 0.8%)</w:t>
            </w:r>
          </w:p>
        </w:tc>
        <w:tc>
          <w:tcPr>
            <w:tcW w:w="993" w:type="dxa"/>
            <w:tcBorders>
              <w:top w:val="nil"/>
              <w:left w:val="nil"/>
              <w:bottom w:val="nil"/>
              <w:right w:val="nil"/>
            </w:tcBorders>
            <w:shd w:val="clear" w:color="auto" w:fill="auto"/>
            <w:noWrap/>
            <w:vAlign w:val="bottom"/>
            <w:hideMark/>
          </w:tcPr>
          <w:p w14:paraId="59E711E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0.5547</w:t>
            </w:r>
          </w:p>
        </w:tc>
      </w:tr>
      <w:tr w:rsidR="00A07FE7" w:rsidRPr="00A07FE7" w14:paraId="532DAE58" w14:textId="77777777" w:rsidTr="00E030F9">
        <w:trPr>
          <w:trHeight w:val="376"/>
        </w:trPr>
        <w:tc>
          <w:tcPr>
            <w:tcW w:w="2977" w:type="dxa"/>
            <w:tcBorders>
              <w:top w:val="nil"/>
              <w:left w:val="nil"/>
              <w:bottom w:val="nil"/>
              <w:right w:val="nil"/>
            </w:tcBorders>
            <w:shd w:val="clear" w:color="auto" w:fill="auto"/>
            <w:noWrap/>
            <w:vAlign w:val="bottom"/>
            <w:hideMark/>
          </w:tcPr>
          <w:p w14:paraId="0040334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White and Black African</w:t>
            </w:r>
          </w:p>
        </w:tc>
        <w:tc>
          <w:tcPr>
            <w:tcW w:w="1985" w:type="dxa"/>
            <w:tcBorders>
              <w:top w:val="nil"/>
              <w:left w:val="nil"/>
              <w:bottom w:val="nil"/>
              <w:right w:val="nil"/>
            </w:tcBorders>
            <w:shd w:val="clear" w:color="auto" w:fill="auto"/>
            <w:noWrap/>
            <w:vAlign w:val="bottom"/>
            <w:hideMark/>
          </w:tcPr>
          <w:p w14:paraId="39FC308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w:t>
            </w:r>
          </w:p>
        </w:tc>
        <w:tc>
          <w:tcPr>
            <w:tcW w:w="2126" w:type="dxa"/>
            <w:tcBorders>
              <w:top w:val="nil"/>
              <w:left w:val="nil"/>
              <w:bottom w:val="nil"/>
              <w:right w:val="nil"/>
            </w:tcBorders>
            <w:shd w:val="clear" w:color="auto" w:fill="auto"/>
            <w:noWrap/>
            <w:vAlign w:val="bottom"/>
            <w:hideMark/>
          </w:tcPr>
          <w:p w14:paraId="1ADF00B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 (0.3%)</w:t>
            </w:r>
          </w:p>
        </w:tc>
        <w:tc>
          <w:tcPr>
            <w:tcW w:w="2551" w:type="dxa"/>
            <w:tcBorders>
              <w:top w:val="nil"/>
              <w:left w:val="nil"/>
              <w:bottom w:val="nil"/>
              <w:right w:val="nil"/>
            </w:tcBorders>
            <w:shd w:val="clear" w:color="auto" w:fill="auto"/>
            <w:noWrap/>
            <w:vAlign w:val="bottom"/>
            <w:hideMark/>
          </w:tcPr>
          <w:p w14:paraId="782C3C62" w14:textId="77777777" w:rsidR="00A07FE7" w:rsidRPr="00A07FE7" w:rsidRDefault="00E030F9" w:rsidP="00E030F9">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-0.3%</w:t>
            </w:r>
            <w:r>
              <w:rPr>
                <w:rFonts w:ascii="Calibri" w:eastAsia="Times New Roman" w:hAnsi="Calibri" w:cs="Times New Roman"/>
                <w:color w:val="000000"/>
                <w:lang w:eastAsia="en-GB"/>
              </w:rPr>
              <w:t xml:space="preserve"> (-1.0% to 0.8%)</w:t>
            </w:r>
          </w:p>
        </w:tc>
        <w:tc>
          <w:tcPr>
            <w:tcW w:w="993" w:type="dxa"/>
            <w:tcBorders>
              <w:top w:val="nil"/>
              <w:left w:val="nil"/>
              <w:bottom w:val="nil"/>
              <w:right w:val="nil"/>
            </w:tcBorders>
            <w:shd w:val="clear" w:color="auto" w:fill="auto"/>
            <w:noWrap/>
            <w:vAlign w:val="bottom"/>
            <w:hideMark/>
          </w:tcPr>
          <w:p w14:paraId="541560C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0.5547</w:t>
            </w:r>
          </w:p>
        </w:tc>
      </w:tr>
      <w:tr w:rsidR="00A07FE7" w:rsidRPr="00A07FE7" w14:paraId="62F68E5F" w14:textId="77777777" w:rsidTr="00E030F9">
        <w:trPr>
          <w:trHeight w:val="376"/>
        </w:trPr>
        <w:tc>
          <w:tcPr>
            <w:tcW w:w="2977" w:type="dxa"/>
            <w:tcBorders>
              <w:top w:val="nil"/>
              <w:left w:val="nil"/>
              <w:bottom w:val="nil"/>
              <w:right w:val="nil"/>
            </w:tcBorders>
            <w:shd w:val="clear" w:color="auto" w:fill="auto"/>
            <w:noWrap/>
            <w:vAlign w:val="bottom"/>
            <w:hideMark/>
          </w:tcPr>
          <w:p w14:paraId="1A8644D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White and Asian</w:t>
            </w:r>
          </w:p>
        </w:tc>
        <w:tc>
          <w:tcPr>
            <w:tcW w:w="1985" w:type="dxa"/>
            <w:tcBorders>
              <w:top w:val="nil"/>
              <w:left w:val="nil"/>
              <w:bottom w:val="nil"/>
              <w:right w:val="nil"/>
            </w:tcBorders>
            <w:shd w:val="clear" w:color="auto" w:fill="auto"/>
            <w:noWrap/>
            <w:vAlign w:val="bottom"/>
            <w:hideMark/>
          </w:tcPr>
          <w:p w14:paraId="2C0B513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 (0.6%)</w:t>
            </w:r>
          </w:p>
        </w:tc>
        <w:tc>
          <w:tcPr>
            <w:tcW w:w="2126" w:type="dxa"/>
            <w:tcBorders>
              <w:top w:val="nil"/>
              <w:left w:val="nil"/>
              <w:bottom w:val="nil"/>
              <w:right w:val="nil"/>
            </w:tcBorders>
            <w:shd w:val="clear" w:color="auto" w:fill="auto"/>
            <w:noWrap/>
            <w:vAlign w:val="bottom"/>
            <w:hideMark/>
          </w:tcPr>
          <w:p w14:paraId="49373013"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 (0.3%)</w:t>
            </w:r>
          </w:p>
        </w:tc>
        <w:tc>
          <w:tcPr>
            <w:tcW w:w="2551" w:type="dxa"/>
            <w:tcBorders>
              <w:top w:val="nil"/>
              <w:left w:val="nil"/>
              <w:bottom w:val="nil"/>
              <w:right w:val="nil"/>
            </w:tcBorders>
            <w:shd w:val="clear" w:color="auto" w:fill="auto"/>
            <w:noWrap/>
            <w:vAlign w:val="bottom"/>
            <w:hideMark/>
          </w:tcPr>
          <w:p w14:paraId="653C303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0.3%</w:t>
            </w:r>
            <w:r w:rsidR="00E030F9">
              <w:rPr>
                <w:rFonts w:ascii="Calibri" w:eastAsia="Times New Roman" w:hAnsi="Calibri" w:cs="Times New Roman"/>
                <w:color w:val="000000"/>
                <w:lang w:eastAsia="en-GB"/>
              </w:rPr>
              <w:t xml:space="preserve"> (-0.6% to 1.8%)</w:t>
            </w:r>
          </w:p>
        </w:tc>
        <w:tc>
          <w:tcPr>
            <w:tcW w:w="993" w:type="dxa"/>
            <w:tcBorders>
              <w:top w:val="nil"/>
              <w:left w:val="nil"/>
              <w:bottom w:val="nil"/>
              <w:right w:val="nil"/>
            </w:tcBorders>
            <w:shd w:val="clear" w:color="auto" w:fill="auto"/>
            <w:noWrap/>
            <w:vAlign w:val="bottom"/>
            <w:hideMark/>
          </w:tcPr>
          <w:p w14:paraId="51130D6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0.6048</w:t>
            </w:r>
          </w:p>
        </w:tc>
      </w:tr>
      <w:tr w:rsidR="00A07FE7" w:rsidRPr="00A07FE7" w14:paraId="0D8C9888" w14:textId="77777777" w:rsidTr="00E030F9">
        <w:trPr>
          <w:trHeight w:val="376"/>
        </w:trPr>
        <w:tc>
          <w:tcPr>
            <w:tcW w:w="2977" w:type="dxa"/>
            <w:tcBorders>
              <w:top w:val="nil"/>
              <w:left w:val="nil"/>
              <w:bottom w:val="nil"/>
              <w:right w:val="nil"/>
            </w:tcBorders>
            <w:shd w:val="clear" w:color="auto" w:fill="auto"/>
            <w:noWrap/>
            <w:vAlign w:val="bottom"/>
            <w:hideMark/>
          </w:tcPr>
          <w:p w14:paraId="27C0BDD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Any other mixed background</w:t>
            </w:r>
          </w:p>
        </w:tc>
        <w:tc>
          <w:tcPr>
            <w:tcW w:w="1985" w:type="dxa"/>
            <w:tcBorders>
              <w:top w:val="nil"/>
              <w:left w:val="nil"/>
              <w:bottom w:val="nil"/>
              <w:right w:val="nil"/>
            </w:tcBorders>
            <w:shd w:val="clear" w:color="auto" w:fill="auto"/>
            <w:noWrap/>
            <w:vAlign w:val="bottom"/>
            <w:hideMark/>
          </w:tcPr>
          <w:p w14:paraId="283E8C3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w:t>
            </w:r>
          </w:p>
        </w:tc>
        <w:tc>
          <w:tcPr>
            <w:tcW w:w="2126" w:type="dxa"/>
            <w:tcBorders>
              <w:top w:val="nil"/>
              <w:left w:val="nil"/>
              <w:bottom w:val="nil"/>
              <w:right w:val="nil"/>
            </w:tcBorders>
            <w:shd w:val="clear" w:color="auto" w:fill="auto"/>
            <w:noWrap/>
            <w:vAlign w:val="bottom"/>
            <w:hideMark/>
          </w:tcPr>
          <w:p w14:paraId="0296B21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 (0.3%)</w:t>
            </w:r>
          </w:p>
        </w:tc>
        <w:tc>
          <w:tcPr>
            <w:tcW w:w="2551" w:type="dxa"/>
            <w:tcBorders>
              <w:top w:val="nil"/>
              <w:left w:val="nil"/>
              <w:bottom w:val="nil"/>
              <w:right w:val="nil"/>
            </w:tcBorders>
            <w:shd w:val="clear" w:color="auto" w:fill="auto"/>
            <w:noWrap/>
            <w:vAlign w:val="bottom"/>
            <w:hideMark/>
          </w:tcPr>
          <w:p w14:paraId="6A39E89A" w14:textId="77777777" w:rsidR="00A07FE7" w:rsidRPr="00A07FE7" w:rsidRDefault="00E030F9"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-0.3%</w:t>
            </w:r>
            <w:r>
              <w:rPr>
                <w:rFonts w:ascii="Calibri" w:eastAsia="Times New Roman" w:hAnsi="Calibri" w:cs="Times New Roman"/>
                <w:color w:val="000000"/>
                <w:lang w:eastAsia="en-GB"/>
              </w:rPr>
              <w:t xml:space="preserve"> (-1.0% to 0.8%)</w:t>
            </w:r>
          </w:p>
        </w:tc>
        <w:tc>
          <w:tcPr>
            <w:tcW w:w="993" w:type="dxa"/>
            <w:tcBorders>
              <w:top w:val="nil"/>
              <w:left w:val="nil"/>
              <w:bottom w:val="nil"/>
              <w:right w:val="nil"/>
            </w:tcBorders>
            <w:shd w:val="clear" w:color="auto" w:fill="auto"/>
            <w:noWrap/>
            <w:vAlign w:val="bottom"/>
            <w:hideMark/>
          </w:tcPr>
          <w:p w14:paraId="4A9D3F2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0.5547</w:t>
            </w:r>
          </w:p>
        </w:tc>
      </w:tr>
      <w:tr w:rsidR="00A07FE7" w:rsidRPr="00A07FE7" w14:paraId="527E3C71" w14:textId="77777777" w:rsidTr="00E030F9">
        <w:trPr>
          <w:trHeight w:val="376"/>
        </w:trPr>
        <w:tc>
          <w:tcPr>
            <w:tcW w:w="2977" w:type="dxa"/>
            <w:tcBorders>
              <w:top w:val="nil"/>
              <w:left w:val="nil"/>
              <w:bottom w:val="nil"/>
              <w:right w:val="nil"/>
            </w:tcBorders>
            <w:shd w:val="clear" w:color="auto" w:fill="auto"/>
            <w:noWrap/>
            <w:vAlign w:val="bottom"/>
            <w:hideMark/>
          </w:tcPr>
          <w:p w14:paraId="65C45951" w14:textId="77777777" w:rsidR="00A07FE7" w:rsidRPr="00A07FE7" w:rsidRDefault="00A07FE7" w:rsidP="00A07FE7">
            <w:pPr>
              <w:spacing w:after="0" w:line="240" w:lineRule="auto"/>
              <w:rPr>
                <w:rFonts w:ascii="Calibri" w:eastAsia="Times New Roman" w:hAnsi="Calibri" w:cs="Times New Roman"/>
                <w:b/>
                <w:bCs/>
                <w:i/>
                <w:iCs/>
                <w:color w:val="000000"/>
                <w:lang w:eastAsia="en-GB"/>
              </w:rPr>
            </w:pPr>
            <w:r w:rsidRPr="00A07FE7">
              <w:rPr>
                <w:rFonts w:ascii="Calibri" w:eastAsia="Times New Roman" w:hAnsi="Calibri" w:cs="Times New Roman"/>
                <w:b/>
                <w:bCs/>
                <w:i/>
                <w:iCs/>
                <w:color w:val="000000"/>
                <w:lang w:eastAsia="en-GB"/>
              </w:rPr>
              <w:t>Asian or Asian British</w:t>
            </w:r>
          </w:p>
        </w:tc>
        <w:tc>
          <w:tcPr>
            <w:tcW w:w="1985" w:type="dxa"/>
            <w:tcBorders>
              <w:top w:val="nil"/>
              <w:left w:val="nil"/>
              <w:bottom w:val="nil"/>
              <w:right w:val="nil"/>
            </w:tcBorders>
            <w:shd w:val="clear" w:color="auto" w:fill="auto"/>
            <w:noWrap/>
            <w:vAlign w:val="bottom"/>
            <w:hideMark/>
          </w:tcPr>
          <w:p w14:paraId="38A3764E" w14:textId="77777777" w:rsidR="00A07FE7" w:rsidRPr="00A07FE7" w:rsidRDefault="00A07FE7" w:rsidP="00A07FE7">
            <w:pPr>
              <w:spacing w:after="0" w:line="240" w:lineRule="auto"/>
              <w:rPr>
                <w:rFonts w:ascii="Calibri" w:eastAsia="Times New Roman" w:hAnsi="Calibri" w:cs="Times New Roman"/>
                <w:b/>
                <w:bCs/>
                <w:i/>
                <w:iCs/>
                <w:color w:val="000000"/>
                <w:lang w:eastAsia="en-GB"/>
              </w:rPr>
            </w:pPr>
          </w:p>
        </w:tc>
        <w:tc>
          <w:tcPr>
            <w:tcW w:w="2126" w:type="dxa"/>
            <w:tcBorders>
              <w:top w:val="nil"/>
              <w:left w:val="nil"/>
              <w:bottom w:val="nil"/>
              <w:right w:val="nil"/>
            </w:tcBorders>
            <w:shd w:val="clear" w:color="auto" w:fill="auto"/>
            <w:noWrap/>
            <w:vAlign w:val="bottom"/>
            <w:hideMark/>
          </w:tcPr>
          <w:p w14:paraId="71FE6E2B"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c>
          <w:tcPr>
            <w:tcW w:w="2551" w:type="dxa"/>
            <w:tcBorders>
              <w:top w:val="nil"/>
              <w:left w:val="nil"/>
              <w:bottom w:val="nil"/>
              <w:right w:val="nil"/>
            </w:tcBorders>
            <w:shd w:val="clear" w:color="auto" w:fill="auto"/>
            <w:noWrap/>
            <w:vAlign w:val="bottom"/>
            <w:hideMark/>
          </w:tcPr>
          <w:p w14:paraId="48D54DAC"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3A11A89C"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r>
      <w:tr w:rsidR="00A07FE7" w:rsidRPr="00A07FE7" w14:paraId="50B03607" w14:textId="77777777" w:rsidTr="00E030F9">
        <w:trPr>
          <w:trHeight w:val="376"/>
        </w:trPr>
        <w:tc>
          <w:tcPr>
            <w:tcW w:w="2977" w:type="dxa"/>
            <w:tcBorders>
              <w:top w:val="nil"/>
              <w:left w:val="nil"/>
              <w:bottom w:val="nil"/>
              <w:right w:val="nil"/>
            </w:tcBorders>
            <w:shd w:val="clear" w:color="auto" w:fill="auto"/>
            <w:noWrap/>
            <w:vAlign w:val="bottom"/>
            <w:hideMark/>
          </w:tcPr>
          <w:p w14:paraId="4FE197BD"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Indian</w:t>
            </w:r>
          </w:p>
        </w:tc>
        <w:tc>
          <w:tcPr>
            <w:tcW w:w="1985" w:type="dxa"/>
            <w:tcBorders>
              <w:top w:val="nil"/>
              <w:left w:val="nil"/>
              <w:bottom w:val="nil"/>
              <w:right w:val="nil"/>
            </w:tcBorders>
            <w:shd w:val="clear" w:color="auto" w:fill="auto"/>
            <w:noWrap/>
            <w:vAlign w:val="bottom"/>
            <w:hideMark/>
          </w:tcPr>
          <w:p w14:paraId="1C86FB9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12 (3.4%)</w:t>
            </w:r>
          </w:p>
        </w:tc>
        <w:tc>
          <w:tcPr>
            <w:tcW w:w="2126" w:type="dxa"/>
            <w:tcBorders>
              <w:top w:val="nil"/>
              <w:left w:val="nil"/>
              <w:bottom w:val="nil"/>
              <w:right w:val="nil"/>
            </w:tcBorders>
            <w:shd w:val="clear" w:color="auto" w:fill="auto"/>
            <w:noWrap/>
            <w:vAlign w:val="bottom"/>
            <w:hideMark/>
          </w:tcPr>
          <w:p w14:paraId="016E7FBD"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 (1.0%)</w:t>
            </w:r>
          </w:p>
        </w:tc>
        <w:tc>
          <w:tcPr>
            <w:tcW w:w="2551" w:type="dxa"/>
            <w:tcBorders>
              <w:top w:val="nil"/>
              <w:left w:val="nil"/>
              <w:bottom w:val="nil"/>
              <w:right w:val="nil"/>
            </w:tcBorders>
            <w:shd w:val="clear" w:color="auto" w:fill="auto"/>
            <w:noWrap/>
            <w:vAlign w:val="bottom"/>
            <w:hideMark/>
          </w:tcPr>
          <w:p w14:paraId="07272BC3"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2.4%</w:t>
            </w:r>
            <w:r w:rsidR="00E030F9">
              <w:rPr>
                <w:rFonts w:ascii="Calibri" w:eastAsia="Times New Roman" w:hAnsi="Calibri" w:cs="Times New Roman"/>
                <w:color w:val="000000"/>
                <w:lang w:eastAsia="en-GB"/>
              </w:rPr>
              <w:t xml:space="preserve"> (0.6% to 4.9%)</w:t>
            </w:r>
          </w:p>
        </w:tc>
        <w:tc>
          <w:tcPr>
            <w:tcW w:w="993" w:type="dxa"/>
            <w:tcBorders>
              <w:top w:val="nil"/>
              <w:left w:val="nil"/>
              <w:bottom w:val="nil"/>
              <w:right w:val="nil"/>
            </w:tcBorders>
            <w:shd w:val="clear" w:color="auto" w:fill="auto"/>
            <w:noWrap/>
            <w:vAlign w:val="bottom"/>
            <w:hideMark/>
          </w:tcPr>
          <w:p w14:paraId="04C690DE"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0.0115</w:t>
            </w:r>
          </w:p>
        </w:tc>
      </w:tr>
      <w:tr w:rsidR="00A07FE7" w:rsidRPr="00A07FE7" w14:paraId="278139D5" w14:textId="77777777" w:rsidTr="00E030F9">
        <w:trPr>
          <w:trHeight w:val="376"/>
        </w:trPr>
        <w:tc>
          <w:tcPr>
            <w:tcW w:w="2977" w:type="dxa"/>
            <w:tcBorders>
              <w:top w:val="nil"/>
              <w:left w:val="nil"/>
              <w:bottom w:val="nil"/>
              <w:right w:val="nil"/>
            </w:tcBorders>
            <w:shd w:val="clear" w:color="auto" w:fill="auto"/>
            <w:noWrap/>
            <w:vAlign w:val="bottom"/>
            <w:hideMark/>
          </w:tcPr>
          <w:p w14:paraId="1315948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Pakistani</w:t>
            </w:r>
          </w:p>
        </w:tc>
        <w:tc>
          <w:tcPr>
            <w:tcW w:w="1985" w:type="dxa"/>
            <w:tcBorders>
              <w:top w:val="nil"/>
              <w:left w:val="nil"/>
              <w:bottom w:val="nil"/>
              <w:right w:val="nil"/>
            </w:tcBorders>
            <w:shd w:val="clear" w:color="auto" w:fill="auto"/>
            <w:noWrap/>
            <w:vAlign w:val="bottom"/>
            <w:hideMark/>
          </w:tcPr>
          <w:p w14:paraId="3DEFE97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 (1.4%)</w:t>
            </w:r>
          </w:p>
        </w:tc>
        <w:tc>
          <w:tcPr>
            <w:tcW w:w="2126" w:type="dxa"/>
            <w:tcBorders>
              <w:top w:val="nil"/>
              <w:left w:val="nil"/>
              <w:bottom w:val="nil"/>
              <w:right w:val="nil"/>
            </w:tcBorders>
            <w:shd w:val="clear" w:color="auto" w:fill="auto"/>
            <w:noWrap/>
            <w:vAlign w:val="bottom"/>
            <w:hideMark/>
          </w:tcPr>
          <w:p w14:paraId="37DB6B3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 (0.7%)</w:t>
            </w:r>
          </w:p>
        </w:tc>
        <w:tc>
          <w:tcPr>
            <w:tcW w:w="2551" w:type="dxa"/>
            <w:tcBorders>
              <w:top w:val="nil"/>
              <w:left w:val="nil"/>
              <w:bottom w:val="nil"/>
              <w:right w:val="nil"/>
            </w:tcBorders>
            <w:shd w:val="clear" w:color="auto" w:fill="auto"/>
            <w:noWrap/>
            <w:vAlign w:val="bottom"/>
            <w:hideMark/>
          </w:tcPr>
          <w:p w14:paraId="77AC1A2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0.7%</w:t>
            </w:r>
            <w:r w:rsidR="00E030F9">
              <w:rPr>
                <w:rFonts w:ascii="Calibri" w:eastAsia="Times New Roman" w:hAnsi="Calibri" w:cs="Times New Roman"/>
                <w:color w:val="000000"/>
                <w:lang w:eastAsia="en-GB"/>
              </w:rPr>
              <w:t xml:space="preserve"> (</w:t>
            </w:r>
            <w:r w:rsidR="00D33065">
              <w:rPr>
                <w:rFonts w:ascii="Calibri" w:eastAsia="Times New Roman" w:hAnsi="Calibri" w:cs="Times New Roman"/>
                <w:color w:val="000000"/>
                <w:lang w:eastAsia="en-GB"/>
              </w:rPr>
              <w:t>-0.5% to 2.6%)</w:t>
            </w:r>
          </w:p>
        </w:tc>
        <w:tc>
          <w:tcPr>
            <w:tcW w:w="993" w:type="dxa"/>
            <w:tcBorders>
              <w:top w:val="nil"/>
              <w:left w:val="nil"/>
              <w:bottom w:val="nil"/>
              <w:right w:val="nil"/>
            </w:tcBorders>
            <w:shd w:val="clear" w:color="auto" w:fill="auto"/>
            <w:noWrap/>
            <w:vAlign w:val="bottom"/>
            <w:hideMark/>
          </w:tcPr>
          <w:p w14:paraId="207444D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0.3157</w:t>
            </w:r>
          </w:p>
        </w:tc>
      </w:tr>
      <w:tr w:rsidR="00A07FE7" w:rsidRPr="00A07FE7" w14:paraId="157A5C0C" w14:textId="77777777" w:rsidTr="00E030F9">
        <w:trPr>
          <w:trHeight w:val="376"/>
        </w:trPr>
        <w:tc>
          <w:tcPr>
            <w:tcW w:w="2977" w:type="dxa"/>
            <w:tcBorders>
              <w:top w:val="nil"/>
              <w:left w:val="nil"/>
              <w:bottom w:val="nil"/>
              <w:right w:val="nil"/>
            </w:tcBorders>
            <w:shd w:val="clear" w:color="auto" w:fill="auto"/>
            <w:noWrap/>
            <w:vAlign w:val="bottom"/>
            <w:hideMark/>
          </w:tcPr>
          <w:p w14:paraId="2394586D"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Bangladeshi</w:t>
            </w:r>
          </w:p>
        </w:tc>
        <w:tc>
          <w:tcPr>
            <w:tcW w:w="1985" w:type="dxa"/>
            <w:tcBorders>
              <w:top w:val="nil"/>
              <w:left w:val="nil"/>
              <w:bottom w:val="nil"/>
              <w:right w:val="nil"/>
            </w:tcBorders>
            <w:shd w:val="clear" w:color="auto" w:fill="auto"/>
            <w:noWrap/>
            <w:vAlign w:val="bottom"/>
            <w:hideMark/>
          </w:tcPr>
          <w:p w14:paraId="0D11225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 (0.6%)</w:t>
            </w:r>
          </w:p>
        </w:tc>
        <w:tc>
          <w:tcPr>
            <w:tcW w:w="2126" w:type="dxa"/>
            <w:tcBorders>
              <w:top w:val="nil"/>
              <w:left w:val="nil"/>
              <w:bottom w:val="nil"/>
              <w:right w:val="nil"/>
            </w:tcBorders>
            <w:shd w:val="clear" w:color="auto" w:fill="auto"/>
            <w:noWrap/>
            <w:vAlign w:val="bottom"/>
            <w:hideMark/>
          </w:tcPr>
          <w:p w14:paraId="655F4E2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 (0.1%)</w:t>
            </w:r>
          </w:p>
        </w:tc>
        <w:tc>
          <w:tcPr>
            <w:tcW w:w="2551" w:type="dxa"/>
            <w:tcBorders>
              <w:top w:val="nil"/>
              <w:left w:val="nil"/>
              <w:bottom w:val="nil"/>
              <w:right w:val="nil"/>
            </w:tcBorders>
            <w:shd w:val="clear" w:color="auto" w:fill="auto"/>
            <w:noWrap/>
            <w:vAlign w:val="bottom"/>
            <w:hideMark/>
          </w:tcPr>
          <w:p w14:paraId="1446134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0.4%</w:t>
            </w:r>
            <w:r w:rsidR="00D33065">
              <w:rPr>
                <w:rFonts w:ascii="Calibri" w:eastAsia="Times New Roman" w:hAnsi="Calibri" w:cs="Times New Roman"/>
                <w:color w:val="000000"/>
                <w:lang w:eastAsia="en-GB"/>
              </w:rPr>
              <w:t xml:space="preserve"> (-0.4% to 1.9%)</w:t>
            </w:r>
          </w:p>
        </w:tc>
        <w:tc>
          <w:tcPr>
            <w:tcW w:w="993" w:type="dxa"/>
            <w:tcBorders>
              <w:top w:val="nil"/>
              <w:left w:val="nil"/>
              <w:bottom w:val="nil"/>
              <w:right w:val="nil"/>
            </w:tcBorders>
            <w:shd w:val="clear" w:color="auto" w:fill="auto"/>
            <w:noWrap/>
            <w:vAlign w:val="bottom"/>
            <w:hideMark/>
          </w:tcPr>
          <w:p w14:paraId="5F5D32F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0.2599</w:t>
            </w:r>
          </w:p>
        </w:tc>
      </w:tr>
      <w:tr w:rsidR="00A07FE7" w:rsidRPr="00A07FE7" w14:paraId="11FB034E" w14:textId="77777777" w:rsidTr="00E030F9">
        <w:trPr>
          <w:trHeight w:val="376"/>
        </w:trPr>
        <w:tc>
          <w:tcPr>
            <w:tcW w:w="2977" w:type="dxa"/>
            <w:tcBorders>
              <w:top w:val="nil"/>
              <w:left w:val="nil"/>
              <w:bottom w:val="nil"/>
              <w:right w:val="nil"/>
            </w:tcBorders>
            <w:shd w:val="clear" w:color="auto" w:fill="auto"/>
            <w:noWrap/>
            <w:vAlign w:val="bottom"/>
            <w:hideMark/>
          </w:tcPr>
          <w:p w14:paraId="1229F20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Any other Asian background</w:t>
            </w:r>
          </w:p>
        </w:tc>
        <w:tc>
          <w:tcPr>
            <w:tcW w:w="1985" w:type="dxa"/>
            <w:tcBorders>
              <w:top w:val="nil"/>
              <w:left w:val="nil"/>
              <w:bottom w:val="nil"/>
              <w:right w:val="nil"/>
            </w:tcBorders>
            <w:shd w:val="clear" w:color="auto" w:fill="auto"/>
            <w:noWrap/>
            <w:vAlign w:val="bottom"/>
            <w:hideMark/>
          </w:tcPr>
          <w:p w14:paraId="6E37D7AD"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28 (8.0%)</w:t>
            </w:r>
          </w:p>
        </w:tc>
        <w:tc>
          <w:tcPr>
            <w:tcW w:w="2126" w:type="dxa"/>
            <w:tcBorders>
              <w:top w:val="nil"/>
              <w:left w:val="nil"/>
              <w:bottom w:val="nil"/>
              <w:right w:val="nil"/>
            </w:tcBorders>
            <w:shd w:val="clear" w:color="auto" w:fill="auto"/>
            <w:noWrap/>
            <w:vAlign w:val="bottom"/>
            <w:hideMark/>
          </w:tcPr>
          <w:p w14:paraId="6F5A0AD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 (0.7%)</w:t>
            </w:r>
          </w:p>
        </w:tc>
        <w:tc>
          <w:tcPr>
            <w:tcW w:w="2551" w:type="dxa"/>
            <w:tcBorders>
              <w:top w:val="nil"/>
              <w:left w:val="nil"/>
              <w:bottom w:val="nil"/>
              <w:right w:val="nil"/>
            </w:tcBorders>
            <w:shd w:val="clear" w:color="auto" w:fill="auto"/>
            <w:noWrap/>
            <w:vAlign w:val="bottom"/>
            <w:hideMark/>
          </w:tcPr>
          <w:p w14:paraId="6C5E079B"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7.2%</w:t>
            </w:r>
            <w:r w:rsidR="00D33065">
              <w:rPr>
                <w:rFonts w:ascii="Calibri" w:eastAsia="Times New Roman" w:hAnsi="Calibri" w:cs="Times New Roman"/>
                <w:color w:val="000000"/>
                <w:lang w:eastAsia="en-GB"/>
              </w:rPr>
              <w:t xml:space="preserve"> (4.7% to 10.6%)</w:t>
            </w:r>
          </w:p>
        </w:tc>
        <w:tc>
          <w:tcPr>
            <w:tcW w:w="993" w:type="dxa"/>
            <w:tcBorders>
              <w:top w:val="nil"/>
              <w:left w:val="nil"/>
              <w:bottom w:val="nil"/>
              <w:right w:val="nil"/>
            </w:tcBorders>
            <w:shd w:val="clear" w:color="auto" w:fill="auto"/>
            <w:noWrap/>
            <w:vAlign w:val="bottom"/>
            <w:hideMark/>
          </w:tcPr>
          <w:p w14:paraId="6E56C61C"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&lt;0.0001</w:t>
            </w:r>
          </w:p>
        </w:tc>
      </w:tr>
      <w:tr w:rsidR="00A07FE7" w:rsidRPr="00A07FE7" w14:paraId="067A389A" w14:textId="77777777" w:rsidTr="00E030F9">
        <w:trPr>
          <w:trHeight w:val="376"/>
        </w:trPr>
        <w:tc>
          <w:tcPr>
            <w:tcW w:w="2977" w:type="dxa"/>
            <w:tcBorders>
              <w:top w:val="nil"/>
              <w:left w:val="nil"/>
              <w:bottom w:val="nil"/>
              <w:right w:val="nil"/>
            </w:tcBorders>
            <w:shd w:val="clear" w:color="auto" w:fill="auto"/>
            <w:noWrap/>
            <w:vAlign w:val="bottom"/>
            <w:hideMark/>
          </w:tcPr>
          <w:p w14:paraId="65BA86CC" w14:textId="77777777" w:rsidR="00A07FE7" w:rsidRPr="00A07FE7" w:rsidRDefault="00A07FE7" w:rsidP="00A07FE7">
            <w:pPr>
              <w:spacing w:after="0" w:line="240" w:lineRule="auto"/>
              <w:rPr>
                <w:rFonts w:ascii="Calibri" w:eastAsia="Times New Roman" w:hAnsi="Calibri" w:cs="Times New Roman"/>
                <w:b/>
                <w:bCs/>
                <w:i/>
                <w:iCs/>
                <w:color w:val="000000"/>
                <w:lang w:eastAsia="en-GB"/>
              </w:rPr>
            </w:pPr>
            <w:r w:rsidRPr="00A07FE7">
              <w:rPr>
                <w:rFonts w:ascii="Calibri" w:eastAsia="Times New Roman" w:hAnsi="Calibri" w:cs="Times New Roman"/>
                <w:b/>
                <w:bCs/>
                <w:i/>
                <w:iCs/>
                <w:color w:val="000000"/>
                <w:lang w:eastAsia="en-GB"/>
              </w:rPr>
              <w:t>Black or Black British</w:t>
            </w:r>
          </w:p>
        </w:tc>
        <w:tc>
          <w:tcPr>
            <w:tcW w:w="1985" w:type="dxa"/>
            <w:tcBorders>
              <w:top w:val="nil"/>
              <w:left w:val="nil"/>
              <w:bottom w:val="nil"/>
              <w:right w:val="nil"/>
            </w:tcBorders>
            <w:shd w:val="clear" w:color="auto" w:fill="auto"/>
            <w:noWrap/>
            <w:vAlign w:val="bottom"/>
            <w:hideMark/>
          </w:tcPr>
          <w:p w14:paraId="3FD23A8B" w14:textId="77777777" w:rsidR="00A07FE7" w:rsidRPr="00A07FE7" w:rsidRDefault="00A07FE7" w:rsidP="00A07FE7">
            <w:pPr>
              <w:spacing w:after="0" w:line="240" w:lineRule="auto"/>
              <w:rPr>
                <w:rFonts w:ascii="Calibri" w:eastAsia="Times New Roman" w:hAnsi="Calibri" w:cs="Times New Roman"/>
                <w:b/>
                <w:bCs/>
                <w:i/>
                <w:iCs/>
                <w:color w:val="000000"/>
                <w:lang w:eastAsia="en-GB"/>
              </w:rPr>
            </w:pPr>
          </w:p>
        </w:tc>
        <w:tc>
          <w:tcPr>
            <w:tcW w:w="2126" w:type="dxa"/>
            <w:tcBorders>
              <w:top w:val="nil"/>
              <w:left w:val="nil"/>
              <w:bottom w:val="nil"/>
              <w:right w:val="nil"/>
            </w:tcBorders>
            <w:shd w:val="clear" w:color="auto" w:fill="auto"/>
            <w:noWrap/>
            <w:vAlign w:val="bottom"/>
            <w:hideMark/>
          </w:tcPr>
          <w:p w14:paraId="7F1CB8B0"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c>
          <w:tcPr>
            <w:tcW w:w="2551" w:type="dxa"/>
            <w:tcBorders>
              <w:top w:val="nil"/>
              <w:left w:val="nil"/>
              <w:bottom w:val="nil"/>
              <w:right w:val="nil"/>
            </w:tcBorders>
            <w:shd w:val="clear" w:color="auto" w:fill="auto"/>
            <w:noWrap/>
            <w:vAlign w:val="bottom"/>
            <w:hideMark/>
          </w:tcPr>
          <w:p w14:paraId="0BE6421C"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1B82DD8D"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r>
      <w:tr w:rsidR="00A07FE7" w:rsidRPr="00A07FE7" w14:paraId="31F9D62D" w14:textId="77777777" w:rsidTr="00E030F9">
        <w:trPr>
          <w:trHeight w:val="376"/>
        </w:trPr>
        <w:tc>
          <w:tcPr>
            <w:tcW w:w="2977" w:type="dxa"/>
            <w:tcBorders>
              <w:top w:val="nil"/>
              <w:left w:val="nil"/>
              <w:bottom w:val="nil"/>
              <w:right w:val="nil"/>
            </w:tcBorders>
            <w:shd w:val="clear" w:color="auto" w:fill="auto"/>
            <w:noWrap/>
            <w:vAlign w:val="bottom"/>
            <w:hideMark/>
          </w:tcPr>
          <w:p w14:paraId="19DA1F4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Caribbean</w:t>
            </w:r>
          </w:p>
        </w:tc>
        <w:tc>
          <w:tcPr>
            <w:tcW w:w="1985" w:type="dxa"/>
            <w:tcBorders>
              <w:top w:val="nil"/>
              <w:left w:val="nil"/>
              <w:bottom w:val="nil"/>
              <w:right w:val="nil"/>
            </w:tcBorders>
            <w:shd w:val="clear" w:color="auto" w:fill="auto"/>
            <w:noWrap/>
            <w:vAlign w:val="bottom"/>
            <w:hideMark/>
          </w:tcPr>
          <w:p w14:paraId="5FEE842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 (0.6%)</w:t>
            </w:r>
          </w:p>
        </w:tc>
        <w:tc>
          <w:tcPr>
            <w:tcW w:w="2126" w:type="dxa"/>
            <w:tcBorders>
              <w:top w:val="nil"/>
              <w:left w:val="nil"/>
              <w:bottom w:val="nil"/>
              <w:right w:val="nil"/>
            </w:tcBorders>
            <w:shd w:val="clear" w:color="auto" w:fill="auto"/>
            <w:noWrap/>
            <w:vAlign w:val="bottom"/>
            <w:hideMark/>
          </w:tcPr>
          <w:p w14:paraId="5C5120E3"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 (0.3%)</w:t>
            </w:r>
          </w:p>
        </w:tc>
        <w:tc>
          <w:tcPr>
            <w:tcW w:w="2551" w:type="dxa"/>
            <w:tcBorders>
              <w:top w:val="nil"/>
              <w:left w:val="nil"/>
              <w:bottom w:val="nil"/>
              <w:right w:val="nil"/>
            </w:tcBorders>
            <w:shd w:val="clear" w:color="auto" w:fill="auto"/>
            <w:noWrap/>
            <w:vAlign w:val="bottom"/>
            <w:hideMark/>
          </w:tcPr>
          <w:p w14:paraId="2F67984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0.3%</w:t>
            </w:r>
            <w:r w:rsidR="00D33065">
              <w:rPr>
                <w:rFonts w:ascii="Calibri" w:eastAsia="Times New Roman" w:hAnsi="Calibri" w:cs="Times New Roman"/>
                <w:color w:val="000000"/>
                <w:lang w:eastAsia="en-GB"/>
              </w:rPr>
              <w:t xml:space="preserve"> (-0.6% to 1.8%)</w:t>
            </w:r>
          </w:p>
        </w:tc>
        <w:tc>
          <w:tcPr>
            <w:tcW w:w="993" w:type="dxa"/>
            <w:tcBorders>
              <w:top w:val="nil"/>
              <w:left w:val="nil"/>
              <w:bottom w:val="nil"/>
              <w:right w:val="nil"/>
            </w:tcBorders>
            <w:shd w:val="clear" w:color="auto" w:fill="auto"/>
            <w:noWrap/>
            <w:vAlign w:val="bottom"/>
            <w:hideMark/>
          </w:tcPr>
          <w:p w14:paraId="344ABB2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0.6048</w:t>
            </w:r>
          </w:p>
        </w:tc>
      </w:tr>
      <w:tr w:rsidR="00A07FE7" w:rsidRPr="00A07FE7" w14:paraId="71BC7F66" w14:textId="77777777" w:rsidTr="00E030F9">
        <w:trPr>
          <w:trHeight w:val="376"/>
        </w:trPr>
        <w:tc>
          <w:tcPr>
            <w:tcW w:w="2977" w:type="dxa"/>
            <w:tcBorders>
              <w:top w:val="nil"/>
              <w:left w:val="nil"/>
              <w:bottom w:val="nil"/>
              <w:right w:val="nil"/>
            </w:tcBorders>
            <w:shd w:val="clear" w:color="auto" w:fill="auto"/>
            <w:noWrap/>
            <w:vAlign w:val="bottom"/>
            <w:hideMark/>
          </w:tcPr>
          <w:p w14:paraId="589A597B"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African</w:t>
            </w:r>
          </w:p>
        </w:tc>
        <w:tc>
          <w:tcPr>
            <w:tcW w:w="1985" w:type="dxa"/>
            <w:tcBorders>
              <w:top w:val="nil"/>
              <w:left w:val="nil"/>
              <w:bottom w:val="nil"/>
              <w:right w:val="nil"/>
            </w:tcBorders>
            <w:shd w:val="clear" w:color="auto" w:fill="auto"/>
            <w:noWrap/>
            <w:vAlign w:val="bottom"/>
            <w:hideMark/>
          </w:tcPr>
          <w:p w14:paraId="3467BB6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13 (3.7%)</w:t>
            </w:r>
          </w:p>
        </w:tc>
        <w:tc>
          <w:tcPr>
            <w:tcW w:w="2126" w:type="dxa"/>
            <w:tcBorders>
              <w:top w:val="nil"/>
              <w:left w:val="nil"/>
              <w:bottom w:val="nil"/>
              <w:right w:val="nil"/>
            </w:tcBorders>
            <w:shd w:val="clear" w:color="auto" w:fill="auto"/>
            <w:noWrap/>
            <w:vAlign w:val="bottom"/>
            <w:hideMark/>
          </w:tcPr>
          <w:p w14:paraId="0A8DDBC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 (0.6%)</w:t>
            </w:r>
          </w:p>
        </w:tc>
        <w:tc>
          <w:tcPr>
            <w:tcW w:w="2551" w:type="dxa"/>
            <w:tcBorders>
              <w:top w:val="nil"/>
              <w:left w:val="nil"/>
              <w:bottom w:val="nil"/>
              <w:right w:val="nil"/>
            </w:tcBorders>
            <w:shd w:val="clear" w:color="auto" w:fill="auto"/>
            <w:noWrap/>
            <w:vAlign w:val="bottom"/>
            <w:hideMark/>
          </w:tcPr>
          <w:p w14:paraId="7F34337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3.1%</w:t>
            </w:r>
            <w:r w:rsidR="00D33065">
              <w:rPr>
                <w:rFonts w:ascii="Calibri" w:eastAsia="Times New Roman" w:hAnsi="Calibri" w:cs="Times New Roman"/>
                <w:color w:val="000000"/>
                <w:lang w:eastAsia="en-GB"/>
              </w:rPr>
              <w:t xml:space="preserve"> (1.4% to 5.7%)</w:t>
            </w:r>
          </w:p>
        </w:tc>
        <w:tc>
          <w:tcPr>
            <w:tcW w:w="993" w:type="dxa"/>
            <w:tcBorders>
              <w:top w:val="nil"/>
              <w:left w:val="nil"/>
              <w:bottom w:val="nil"/>
              <w:right w:val="nil"/>
            </w:tcBorders>
            <w:shd w:val="clear" w:color="auto" w:fill="auto"/>
            <w:noWrap/>
            <w:vAlign w:val="bottom"/>
            <w:hideMark/>
          </w:tcPr>
          <w:p w14:paraId="10A70020"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0.0003</w:t>
            </w:r>
          </w:p>
        </w:tc>
      </w:tr>
      <w:tr w:rsidR="00A07FE7" w:rsidRPr="00A07FE7" w14:paraId="28974124" w14:textId="77777777" w:rsidTr="00E030F9">
        <w:trPr>
          <w:trHeight w:val="376"/>
        </w:trPr>
        <w:tc>
          <w:tcPr>
            <w:tcW w:w="2977" w:type="dxa"/>
            <w:tcBorders>
              <w:top w:val="nil"/>
              <w:left w:val="nil"/>
              <w:bottom w:val="nil"/>
              <w:right w:val="nil"/>
            </w:tcBorders>
            <w:shd w:val="clear" w:color="auto" w:fill="auto"/>
            <w:noWrap/>
            <w:vAlign w:val="bottom"/>
            <w:hideMark/>
          </w:tcPr>
          <w:p w14:paraId="6770599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Any other Black background</w:t>
            </w:r>
          </w:p>
        </w:tc>
        <w:tc>
          <w:tcPr>
            <w:tcW w:w="1985" w:type="dxa"/>
            <w:tcBorders>
              <w:top w:val="nil"/>
              <w:left w:val="nil"/>
              <w:bottom w:val="nil"/>
              <w:right w:val="nil"/>
            </w:tcBorders>
            <w:shd w:val="clear" w:color="auto" w:fill="auto"/>
            <w:noWrap/>
            <w:vAlign w:val="bottom"/>
            <w:hideMark/>
          </w:tcPr>
          <w:p w14:paraId="5C2A320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w:t>
            </w:r>
          </w:p>
        </w:tc>
        <w:tc>
          <w:tcPr>
            <w:tcW w:w="2126" w:type="dxa"/>
            <w:tcBorders>
              <w:top w:val="nil"/>
              <w:left w:val="nil"/>
              <w:bottom w:val="nil"/>
              <w:right w:val="nil"/>
            </w:tcBorders>
            <w:shd w:val="clear" w:color="auto" w:fill="auto"/>
            <w:noWrap/>
            <w:vAlign w:val="bottom"/>
            <w:hideMark/>
          </w:tcPr>
          <w:p w14:paraId="59CD07A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 (0.1%)</w:t>
            </w:r>
          </w:p>
        </w:tc>
        <w:tc>
          <w:tcPr>
            <w:tcW w:w="2551" w:type="dxa"/>
            <w:tcBorders>
              <w:top w:val="nil"/>
              <w:left w:val="nil"/>
              <w:bottom w:val="nil"/>
              <w:right w:val="nil"/>
            </w:tcBorders>
            <w:shd w:val="clear" w:color="auto" w:fill="auto"/>
            <w:noWrap/>
            <w:vAlign w:val="bottom"/>
            <w:hideMark/>
          </w:tcPr>
          <w:p w14:paraId="29ABBA2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-0.1%</w:t>
            </w:r>
            <w:r w:rsidR="00D33065">
              <w:rPr>
                <w:rFonts w:ascii="Calibri" w:eastAsia="Times New Roman" w:hAnsi="Calibri" w:cs="Times New Roman"/>
                <w:color w:val="000000"/>
                <w:lang w:eastAsia="en-GB"/>
              </w:rPr>
              <w:t xml:space="preserve"> (-0.8% to 0.9%)</w:t>
            </w:r>
          </w:p>
        </w:tc>
        <w:tc>
          <w:tcPr>
            <w:tcW w:w="993" w:type="dxa"/>
            <w:tcBorders>
              <w:top w:val="nil"/>
              <w:left w:val="nil"/>
              <w:bottom w:val="nil"/>
              <w:right w:val="nil"/>
            </w:tcBorders>
            <w:shd w:val="clear" w:color="auto" w:fill="auto"/>
            <w:noWrap/>
            <w:vAlign w:val="bottom"/>
            <w:hideMark/>
          </w:tcPr>
          <w:p w14:paraId="3C12641B"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&gt;0.9999</w:t>
            </w:r>
          </w:p>
        </w:tc>
      </w:tr>
      <w:tr w:rsidR="00A07FE7" w:rsidRPr="00A07FE7" w14:paraId="50C798E7" w14:textId="77777777" w:rsidTr="00E030F9">
        <w:trPr>
          <w:trHeight w:val="376"/>
        </w:trPr>
        <w:tc>
          <w:tcPr>
            <w:tcW w:w="2977" w:type="dxa"/>
            <w:tcBorders>
              <w:top w:val="nil"/>
              <w:left w:val="nil"/>
              <w:bottom w:val="nil"/>
              <w:right w:val="nil"/>
            </w:tcBorders>
            <w:shd w:val="clear" w:color="auto" w:fill="auto"/>
            <w:noWrap/>
            <w:vAlign w:val="bottom"/>
            <w:hideMark/>
          </w:tcPr>
          <w:p w14:paraId="4DAADA0B" w14:textId="77777777" w:rsidR="00A07FE7" w:rsidRPr="00A07FE7" w:rsidRDefault="00A07FE7" w:rsidP="00A07FE7">
            <w:pPr>
              <w:spacing w:after="0" w:line="240" w:lineRule="auto"/>
              <w:rPr>
                <w:rFonts w:ascii="Calibri" w:eastAsia="Times New Roman" w:hAnsi="Calibri" w:cs="Times New Roman"/>
                <w:b/>
                <w:bCs/>
                <w:i/>
                <w:iCs/>
                <w:color w:val="000000"/>
                <w:lang w:eastAsia="en-GB"/>
              </w:rPr>
            </w:pPr>
            <w:r w:rsidRPr="00A07FE7">
              <w:rPr>
                <w:rFonts w:ascii="Calibri" w:eastAsia="Times New Roman" w:hAnsi="Calibri" w:cs="Times New Roman"/>
                <w:b/>
                <w:bCs/>
                <w:i/>
                <w:iCs/>
                <w:color w:val="000000"/>
                <w:lang w:eastAsia="en-GB"/>
              </w:rPr>
              <w:t>Other Ethnic Groups</w:t>
            </w:r>
          </w:p>
        </w:tc>
        <w:tc>
          <w:tcPr>
            <w:tcW w:w="1985" w:type="dxa"/>
            <w:tcBorders>
              <w:top w:val="nil"/>
              <w:left w:val="nil"/>
              <w:bottom w:val="nil"/>
              <w:right w:val="nil"/>
            </w:tcBorders>
            <w:shd w:val="clear" w:color="auto" w:fill="auto"/>
            <w:noWrap/>
            <w:vAlign w:val="bottom"/>
            <w:hideMark/>
          </w:tcPr>
          <w:p w14:paraId="2E7BBB47" w14:textId="77777777" w:rsidR="00A07FE7" w:rsidRPr="00A07FE7" w:rsidRDefault="00A07FE7" w:rsidP="00A07FE7">
            <w:pPr>
              <w:spacing w:after="0" w:line="240" w:lineRule="auto"/>
              <w:rPr>
                <w:rFonts w:ascii="Calibri" w:eastAsia="Times New Roman" w:hAnsi="Calibri" w:cs="Times New Roman"/>
                <w:b/>
                <w:bCs/>
                <w:i/>
                <w:iCs/>
                <w:color w:val="000000"/>
                <w:lang w:eastAsia="en-GB"/>
              </w:rPr>
            </w:pPr>
          </w:p>
        </w:tc>
        <w:tc>
          <w:tcPr>
            <w:tcW w:w="2126" w:type="dxa"/>
            <w:tcBorders>
              <w:top w:val="nil"/>
              <w:left w:val="nil"/>
              <w:bottom w:val="nil"/>
              <w:right w:val="nil"/>
            </w:tcBorders>
            <w:shd w:val="clear" w:color="auto" w:fill="auto"/>
            <w:noWrap/>
            <w:vAlign w:val="bottom"/>
            <w:hideMark/>
          </w:tcPr>
          <w:p w14:paraId="5BCC601E"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c>
          <w:tcPr>
            <w:tcW w:w="2551" w:type="dxa"/>
            <w:tcBorders>
              <w:top w:val="nil"/>
              <w:left w:val="nil"/>
              <w:bottom w:val="nil"/>
              <w:right w:val="nil"/>
            </w:tcBorders>
            <w:shd w:val="clear" w:color="auto" w:fill="auto"/>
            <w:noWrap/>
            <w:vAlign w:val="bottom"/>
            <w:hideMark/>
          </w:tcPr>
          <w:p w14:paraId="4A904A1F"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c>
          <w:tcPr>
            <w:tcW w:w="993" w:type="dxa"/>
            <w:tcBorders>
              <w:top w:val="nil"/>
              <w:left w:val="nil"/>
              <w:bottom w:val="nil"/>
              <w:right w:val="nil"/>
            </w:tcBorders>
            <w:shd w:val="clear" w:color="auto" w:fill="auto"/>
            <w:noWrap/>
            <w:vAlign w:val="bottom"/>
            <w:hideMark/>
          </w:tcPr>
          <w:p w14:paraId="1C785E55" w14:textId="77777777" w:rsidR="00A07FE7" w:rsidRPr="00A07FE7" w:rsidRDefault="00A07FE7" w:rsidP="00A07FE7">
            <w:pPr>
              <w:spacing w:after="0" w:line="240" w:lineRule="auto"/>
              <w:rPr>
                <w:rFonts w:ascii="Times New Roman" w:eastAsia="Times New Roman" w:hAnsi="Times New Roman" w:cs="Times New Roman"/>
                <w:sz w:val="20"/>
                <w:szCs w:val="20"/>
                <w:lang w:eastAsia="en-GB"/>
              </w:rPr>
            </w:pPr>
          </w:p>
        </w:tc>
      </w:tr>
      <w:tr w:rsidR="00A07FE7" w:rsidRPr="00A07FE7" w14:paraId="33860C41" w14:textId="77777777" w:rsidTr="00E030F9">
        <w:trPr>
          <w:trHeight w:val="376"/>
        </w:trPr>
        <w:tc>
          <w:tcPr>
            <w:tcW w:w="2977" w:type="dxa"/>
            <w:tcBorders>
              <w:top w:val="nil"/>
              <w:left w:val="nil"/>
              <w:bottom w:val="nil"/>
              <w:right w:val="nil"/>
            </w:tcBorders>
            <w:shd w:val="clear" w:color="auto" w:fill="auto"/>
            <w:noWrap/>
            <w:vAlign w:val="bottom"/>
            <w:hideMark/>
          </w:tcPr>
          <w:p w14:paraId="1441AE5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Chinese</w:t>
            </w:r>
          </w:p>
        </w:tc>
        <w:tc>
          <w:tcPr>
            <w:tcW w:w="1985" w:type="dxa"/>
            <w:tcBorders>
              <w:top w:val="nil"/>
              <w:left w:val="nil"/>
              <w:bottom w:val="nil"/>
              <w:right w:val="nil"/>
            </w:tcBorders>
            <w:shd w:val="clear" w:color="auto" w:fill="auto"/>
            <w:noWrap/>
            <w:vAlign w:val="bottom"/>
            <w:hideMark/>
          </w:tcPr>
          <w:p w14:paraId="36C9D99B"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 (0.3%)</w:t>
            </w:r>
          </w:p>
        </w:tc>
        <w:tc>
          <w:tcPr>
            <w:tcW w:w="2126" w:type="dxa"/>
            <w:tcBorders>
              <w:top w:val="nil"/>
              <w:left w:val="nil"/>
              <w:bottom w:val="nil"/>
              <w:right w:val="nil"/>
            </w:tcBorders>
            <w:shd w:val="clear" w:color="auto" w:fill="auto"/>
            <w:noWrap/>
            <w:vAlign w:val="bottom"/>
            <w:hideMark/>
          </w:tcPr>
          <w:p w14:paraId="78ADEA4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 (0.1%)</w:t>
            </w:r>
          </w:p>
        </w:tc>
        <w:tc>
          <w:tcPr>
            <w:tcW w:w="2551" w:type="dxa"/>
            <w:tcBorders>
              <w:top w:val="nil"/>
              <w:left w:val="nil"/>
              <w:bottom w:val="nil"/>
              <w:right w:val="nil"/>
            </w:tcBorders>
            <w:shd w:val="clear" w:color="auto" w:fill="auto"/>
            <w:noWrap/>
            <w:vAlign w:val="bottom"/>
            <w:hideMark/>
          </w:tcPr>
          <w:p w14:paraId="4301468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0.1%</w:t>
            </w:r>
            <w:r w:rsidR="00D33065">
              <w:rPr>
                <w:rFonts w:ascii="Calibri" w:eastAsia="Times New Roman" w:hAnsi="Calibri" w:cs="Times New Roman"/>
                <w:color w:val="000000"/>
                <w:lang w:eastAsia="en-GB"/>
              </w:rPr>
              <w:t xml:space="preserve"> (-0.6% to 1.5%)</w:t>
            </w:r>
          </w:p>
        </w:tc>
        <w:tc>
          <w:tcPr>
            <w:tcW w:w="993" w:type="dxa"/>
            <w:tcBorders>
              <w:top w:val="nil"/>
              <w:left w:val="nil"/>
              <w:bottom w:val="nil"/>
              <w:right w:val="nil"/>
            </w:tcBorders>
            <w:shd w:val="clear" w:color="auto" w:fill="auto"/>
            <w:noWrap/>
            <w:vAlign w:val="bottom"/>
            <w:hideMark/>
          </w:tcPr>
          <w:p w14:paraId="22FBDE2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&gt;0.9999</w:t>
            </w:r>
          </w:p>
        </w:tc>
      </w:tr>
      <w:tr w:rsidR="00A07FE7" w:rsidRPr="00A07FE7" w14:paraId="198A644A" w14:textId="77777777" w:rsidTr="00E030F9">
        <w:trPr>
          <w:trHeight w:val="376"/>
        </w:trPr>
        <w:tc>
          <w:tcPr>
            <w:tcW w:w="2977" w:type="dxa"/>
            <w:tcBorders>
              <w:top w:val="nil"/>
              <w:left w:val="nil"/>
              <w:bottom w:val="nil"/>
              <w:right w:val="nil"/>
            </w:tcBorders>
            <w:shd w:val="clear" w:color="auto" w:fill="auto"/>
            <w:noWrap/>
            <w:vAlign w:val="bottom"/>
            <w:hideMark/>
          </w:tcPr>
          <w:p w14:paraId="3890F92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Any other ethnic group</w:t>
            </w:r>
          </w:p>
        </w:tc>
        <w:tc>
          <w:tcPr>
            <w:tcW w:w="1985" w:type="dxa"/>
            <w:tcBorders>
              <w:top w:val="nil"/>
              <w:left w:val="nil"/>
              <w:bottom w:val="nil"/>
              <w:right w:val="nil"/>
            </w:tcBorders>
            <w:shd w:val="clear" w:color="auto" w:fill="auto"/>
            <w:noWrap/>
            <w:vAlign w:val="bottom"/>
            <w:hideMark/>
          </w:tcPr>
          <w:p w14:paraId="2CB2F0F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 (1.1%)</w:t>
            </w:r>
          </w:p>
        </w:tc>
        <w:tc>
          <w:tcPr>
            <w:tcW w:w="2126" w:type="dxa"/>
            <w:tcBorders>
              <w:top w:val="nil"/>
              <w:left w:val="nil"/>
              <w:bottom w:val="nil"/>
              <w:right w:val="nil"/>
            </w:tcBorders>
            <w:shd w:val="clear" w:color="auto" w:fill="auto"/>
            <w:noWrap/>
            <w:vAlign w:val="bottom"/>
            <w:hideMark/>
          </w:tcPr>
          <w:p w14:paraId="67D3C6A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 (0.3%)</w:t>
            </w:r>
          </w:p>
        </w:tc>
        <w:tc>
          <w:tcPr>
            <w:tcW w:w="2551" w:type="dxa"/>
            <w:tcBorders>
              <w:top w:val="nil"/>
              <w:left w:val="nil"/>
              <w:bottom w:val="nil"/>
              <w:right w:val="nil"/>
            </w:tcBorders>
            <w:shd w:val="clear" w:color="auto" w:fill="auto"/>
            <w:noWrap/>
            <w:vAlign w:val="bottom"/>
            <w:hideMark/>
          </w:tcPr>
          <w:p w14:paraId="42786C4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0.9%</w:t>
            </w:r>
            <w:r w:rsidR="00D33065">
              <w:rPr>
                <w:rFonts w:ascii="Calibri" w:eastAsia="Times New Roman" w:hAnsi="Calibri" w:cs="Times New Roman"/>
                <w:color w:val="000000"/>
                <w:lang w:eastAsia="en-GB"/>
              </w:rPr>
              <w:t xml:space="preserve"> (-0.2 to 2.6%)</w:t>
            </w:r>
          </w:p>
        </w:tc>
        <w:tc>
          <w:tcPr>
            <w:tcW w:w="993" w:type="dxa"/>
            <w:tcBorders>
              <w:top w:val="nil"/>
              <w:left w:val="nil"/>
              <w:bottom w:val="nil"/>
              <w:right w:val="nil"/>
            </w:tcBorders>
            <w:shd w:val="clear" w:color="auto" w:fill="auto"/>
            <w:noWrap/>
            <w:vAlign w:val="bottom"/>
            <w:hideMark/>
          </w:tcPr>
          <w:p w14:paraId="20DEAC7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0.1001</w:t>
            </w:r>
          </w:p>
        </w:tc>
      </w:tr>
      <w:tr w:rsidR="00A07FE7" w:rsidRPr="00A07FE7" w14:paraId="6FB7833A" w14:textId="77777777" w:rsidTr="00E030F9">
        <w:trPr>
          <w:trHeight w:val="376"/>
        </w:trPr>
        <w:tc>
          <w:tcPr>
            <w:tcW w:w="2977" w:type="dxa"/>
            <w:tcBorders>
              <w:top w:val="nil"/>
              <w:left w:val="nil"/>
              <w:bottom w:val="single" w:sz="4" w:space="0" w:color="auto"/>
              <w:right w:val="nil"/>
            </w:tcBorders>
            <w:shd w:val="clear" w:color="auto" w:fill="auto"/>
            <w:noWrap/>
            <w:vAlign w:val="bottom"/>
            <w:hideMark/>
          </w:tcPr>
          <w:p w14:paraId="6D361A4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 xml:space="preserve">Not stated or unknown </w:t>
            </w:r>
          </w:p>
        </w:tc>
        <w:tc>
          <w:tcPr>
            <w:tcW w:w="1985" w:type="dxa"/>
            <w:tcBorders>
              <w:top w:val="nil"/>
              <w:left w:val="nil"/>
              <w:bottom w:val="single" w:sz="4" w:space="0" w:color="auto"/>
              <w:right w:val="nil"/>
            </w:tcBorders>
            <w:shd w:val="clear" w:color="auto" w:fill="auto"/>
            <w:noWrap/>
            <w:vAlign w:val="bottom"/>
            <w:hideMark/>
          </w:tcPr>
          <w:p w14:paraId="4F9C481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22 (6.3%)</w:t>
            </w:r>
          </w:p>
        </w:tc>
        <w:tc>
          <w:tcPr>
            <w:tcW w:w="2126" w:type="dxa"/>
            <w:tcBorders>
              <w:top w:val="nil"/>
              <w:left w:val="nil"/>
              <w:bottom w:val="single" w:sz="4" w:space="0" w:color="auto"/>
              <w:right w:val="nil"/>
            </w:tcBorders>
            <w:shd w:val="clear" w:color="auto" w:fill="auto"/>
            <w:noWrap/>
            <w:vAlign w:val="bottom"/>
            <w:hideMark/>
          </w:tcPr>
          <w:p w14:paraId="3985F903"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37 (5.3%)</w:t>
            </w:r>
          </w:p>
        </w:tc>
        <w:tc>
          <w:tcPr>
            <w:tcW w:w="2551" w:type="dxa"/>
            <w:tcBorders>
              <w:top w:val="nil"/>
              <w:left w:val="nil"/>
              <w:bottom w:val="single" w:sz="4" w:space="0" w:color="auto"/>
              <w:right w:val="nil"/>
            </w:tcBorders>
            <w:shd w:val="clear" w:color="auto" w:fill="auto"/>
            <w:noWrap/>
            <w:vAlign w:val="bottom"/>
            <w:hideMark/>
          </w:tcPr>
          <w:p w14:paraId="63AEC87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1.0%</w:t>
            </w:r>
            <w:r w:rsidR="00D33065">
              <w:rPr>
                <w:rFonts w:ascii="Calibri" w:eastAsia="Times New Roman" w:hAnsi="Calibri" w:cs="Times New Roman"/>
                <w:color w:val="000000"/>
                <w:lang w:eastAsia="en-GB"/>
              </w:rPr>
              <w:t xml:space="preserve"> (-1.9% to 4.3%)</w:t>
            </w:r>
          </w:p>
        </w:tc>
        <w:tc>
          <w:tcPr>
            <w:tcW w:w="993" w:type="dxa"/>
            <w:tcBorders>
              <w:top w:val="nil"/>
              <w:left w:val="nil"/>
              <w:bottom w:val="single" w:sz="4" w:space="0" w:color="auto"/>
              <w:right w:val="nil"/>
            </w:tcBorders>
            <w:shd w:val="clear" w:color="auto" w:fill="auto"/>
            <w:noWrap/>
            <w:vAlign w:val="bottom"/>
            <w:hideMark/>
          </w:tcPr>
          <w:p w14:paraId="434CADE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0.5701</w:t>
            </w:r>
          </w:p>
        </w:tc>
      </w:tr>
    </w:tbl>
    <w:p w14:paraId="6E3236E3" w14:textId="77777777" w:rsidR="00A07FE7" w:rsidRDefault="00A07FE7">
      <w:pPr>
        <w:spacing w:line="480" w:lineRule="auto"/>
      </w:pPr>
    </w:p>
    <w:p w14:paraId="1770952F" w14:textId="77777777" w:rsidR="00A07FE7" w:rsidRDefault="00A07FE7">
      <w:pPr>
        <w:spacing w:line="480" w:lineRule="auto"/>
        <w:sectPr w:rsidR="00A07FE7" w:rsidSect="00E030F9">
          <w:endnotePr>
            <w:numFmt w:val="decimal"/>
          </w:endnotePr>
          <w:pgSz w:w="11906" w:h="16838"/>
          <w:pgMar w:top="720" w:right="720" w:bottom="720" w:left="720" w:header="708" w:footer="708" w:gutter="0"/>
          <w:cols w:space="708"/>
          <w:docGrid w:linePitch="360"/>
        </w:sectPr>
      </w:pPr>
    </w:p>
    <w:p w14:paraId="5517E325" w14:textId="77777777" w:rsidR="00A07FE7" w:rsidRDefault="00A07FE7" w:rsidP="00131DB9">
      <w:pPr>
        <w:pStyle w:val="Heading1"/>
      </w:pPr>
      <w:r w:rsidRPr="00A07FE7">
        <w:lastRenderedPageBreak/>
        <w:t xml:space="preserve">Table </w:t>
      </w:r>
      <w:r w:rsidR="009E40B3">
        <w:t>3</w:t>
      </w:r>
      <w:r w:rsidRPr="00A07FE7">
        <w:t xml:space="preserve">: Symptoms of patients </w:t>
      </w:r>
      <w:r w:rsidR="005058FA" w:rsidRPr="00A07FE7">
        <w:t xml:space="preserve">at presentation to hospital </w:t>
      </w:r>
      <w:r w:rsidRPr="00A07FE7">
        <w:t xml:space="preserve">testing positive and negative for COVID-19 </w:t>
      </w:r>
    </w:p>
    <w:tbl>
      <w:tblPr>
        <w:tblW w:w="15398" w:type="dxa"/>
        <w:tblLook w:val="04A0" w:firstRow="1" w:lastRow="0" w:firstColumn="1" w:lastColumn="0" w:noHBand="0" w:noVBand="1"/>
      </w:tblPr>
      <w:tblGrid>
        <w:gridCol w:w="1374"/>
        <w:gridCol w:w="988"/>
        <w:gridCol w:w="899"/>
        <w:gridCol w:w="1984"/>
        <w:gridCol w:w="1134"/>
        <w:gridCol w:w="851"/>
        <w:gridCol w:w="1984"/>
        <w:gridCol w:w="143"/>
        <w:gridCol w:w="1596"/>
        <w:gridCol w:w="813"/>
        <w:gridCol w:w="1275"/>
        <w:gridCol w:w="1415"/>
        <w:gridCol w:w="942"/>
      </w:tblGrid>
      <w:tr w:rsidR="00AC03A3" w:rsidRPr="00A07FE7" w14:paraId="2152735C" w14:textId="77777777" w:rsidTr="004720F8">
        <w:trPr>
          <w:trHeight w:val="423"/>
        </w:trPr>
        <w:tc>
          <w:tcPr>
            <w:tcW w:w="1374" w:type="dxa"/>
            <w:tcBorders>
              <w:top w:val="nil"/>
              <w:left w:val="nil"/>
              <w:bottom w:val="nil"/>
              <w:right w:val="nil"/>
            </w:tcBorders>
            <w:shd w:val="clear" w:color="auto" w:fill="auto"/>
            <w:noWrap/>
            <w:vAlign w:val="bottom"/>
            <w:hideMark/>
          </w:tcPr>
          <w:p w14:paraId="1071EFB1" w14:textId="77777777" w:rsidR="00AC03A3" w:rsidRPr="00A07FE7" w:rsidRDefault="00AC03A3" w:rsidP="00A07FE7">
            <w:pPr>
              <w:spacing w:after="0" w:line="240" w:lineRule="auto"/>
              <w:rPr>
                <w:rFonts w:ascii="Times New Roman" w:eastAsia="Times New Roman" w:hAnsi="Times New Roman" w:cs="Times New Roman"/>
                <w:sz w:val="24"/>
                <w:szCs w:val="24"/>
                <w:lang w:eastAsia="en-GB"/>
              </w:rPr>
            </w:pPr>
          </w:p>
        </w:tc>
        <w:tc>
          <w:tcPr>
            <w:tcW w:w="3871" w:type="dxa"/>
            <w:gridSpan w:val="3"/>
            <w:tcBorders>
              <w:top w:val="nil"/>
              <w:left w:val="nil"/>
              <w:bottom w:val="nil"/>
              <w:right w:val="nil"/>
            </w:tcBorders>
            <w:shd w:val="clear" w:color="auto" w:fill="auto"/>
            <w:noWrap/>
            <w:vAlign w:val="bottom"/>
            <w:hideMark/>
          </w:tcPr>
          <w:p w14:paraId="7E050654" w14:textId="77777777" w:rsidR="00AC03A3" w:rsidRPr="00A07FE7" w:rsidRDefault="00AC03A3"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COVID-19 positive (n=197)</w:t>
            </w:r>
          </w:p>
        </w:tc>
        <w:tc>
          <w:tcPr>
            <w:tcW w:w="3969" w:type="dxa"/>
            <w:gridSpan w:val="3"/>
            <w:tcBorders>
              <w:top w:val="nil"/>
              <w:left w:val="nil"/>
              <w:bottom w:val="nil"/>
              <w:right w:val="nil"/>
            </w:tcBorders>
            <w:shd w:val="clear" w:color="auto" w:fill="auto"/>
            <w:noWrap/>
            <w:vAlign w:val="bottom"/>
            <w:hideMark/>
          </w:tcPr>
          <w:p w14:paraId="21D0CB17" w14:textId="77777777" w:rsidR="00AC03A3" w:rsidRPr="00A07FE7" w:rsidRDefault="00AC03A3"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COVID-19 negative (n=302)</w:t>
            </w:r>
          </w:p>
        </w:tc>
        <w:tc>
          <w:tcPr>
            <w:tcW w:w="1739" w:type="dxa"/>
            <w:gridSpan w:val="2"/>
            <w:tcBorders>
              <w:top w:val="nil"/>
              <w:left w:val="nil"/>
              <w:bottom w:val="nil"/>
              <w:right w:val="nil"/>
            </w:tcBorders>
            <w:shd w:val="clear" w:color="auto" w:fill="auto"/>
            <w:noWrap/>
            <w:vAlign w:val="bottom"/>
            <w:hideMark/>
          </w:tcPr>
          <w:p w14:paraId="620BED85" w14:textId="77777777" w:rsidR="00AC03A3" w:rsidRPr="00A07FE7" w:rsidRDefault="00AC03A3" w:rsidP="00A07FE7">
            <w:pPr>
              <w:spacing w:after="0" w:line="240" w:lineRule="auto"/>
              <w:rPr>
                <w:rFonts w:ascii="Calibri" w:eastAsia="Times New Roman" w:hAnsi="Calibri" w:cs="Times New Roman"/>
                <w:b/>
                <w:bCs/>
                <w:color w:val="000000"/>
                <w:lang w:eastAsia="en-GB"/>
              </w:rPr>
            </w:pPr>
          </w:p>
        </w:tc>
        <w:tc>
          <w:tcPr>
            <w:tcW w:w="2088" w:type="dxa"/>
            <w:gridSpan w:val="2"/>
            <w:tcBorders>
              <w:top w:val="nil"/>
              <w:left w:val="nil"/>
              <w:bottom w:val="nil"/>
              <w:right w:val="nil"/>
            </w:tcBorders>
            <w:shd w:val="clear" w:color="auto" w:fill="auto"/>
            <w:vAlign w:val="bottom"/>
          </w:tcPr>
          <w:p w14:paraId="7EA4020C" w14:textId="77777777" w:rsidR="00AC03A3" w:rsidRPr="00A07FE7" w:rsidRDefault="00AC03A3" w:rsidP="00A07FE7">
            <w:pPr>
              <w:spacing w:after="0" w:line="240" w:lineRule="auto"/>
              <w:rPr>
                <w:rFonts w:ascii="Calibri" w:eastAsia="Times New Roman" w:hAnsi="Calibri" w:cs="Times New Roman"/>
                <w:b/>
                <w:bCs/>
                <w:color w:val="000000"/>
                <w:lang w:eastAsia="en-GB"/>
              </w:rPr>
            </w:pPr>
          </w:p>
        </w:tc>
        <w:tc>
          <w:tcPr>
            <w:tcW w:w="2357" w:type="dxa"/>
            <w:gridSpan w:val="2"/>
            <w:tcBorders>
              <w:top w:val="nil"/>
              <w:left w:val="nil"/>
              <w:bottom w:val="nil"/>
              <w:right w:val="nil"/>
            </w:tcBorders>
            <w:shd w:val="clear" w:color="auto" w:fill="auto"/>
            <w:noWrap/>
            <w:vAlign w:val="bottom"/>
            <w:hideMark/>
          </w:tcPr>
          <w:p w14:paraId="74EF746D" w14:textId="77777777" w:rsidR="00AC03A3" w:rsidRPr="00A07FE7" w:rsidRDefault="00AC03A3"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Difference</w:t>
            </w:r>
          </w:p>
        </w:tc>
      </w:tr>
      <w:tr w:rsidR="004720F8" w:rsidRPr="00A07FE7" w14:paraId="0B0B6365" w14:textId="77777777" w:rsidTr="004720F8">
        <w:trPr>
          <w:trHeight w:val="423"/>
        </w:trPr>
        <w:tc>
          <w:tcPr>
            <w:tcW w:w="1374" w:type="dxa"/>
            <w:tcBorders>
              <w:top w:val="nil"/>
              <w:left w:val="nil"/>
              <w:bottom w:val="single" w:sz="4" w:space="0" w:color="auto"/>
              <w:right w:val="nil"/>
            </w:tcBorders>
            <w:shd w:val="clear" w:color="auto" w:fill="auto"/>
            <w:noWrap/>
            <w:vAlign w:val="bottom"/>
            <w:hideMark/>
          </w:tcPr>
          <w:p w14:paraId="73204A5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 </w:t>
            </w:r>
          </w:p>
        </w:tc>
        <w:tc>
          <w:tcPr>
            <w:tcW w:w="988" w:type="dxa"/>
            <w:tcBorders>
              <w:top w:val="nil"/>
              <w:left w:val="nil"/>
              <w:bottom w:val="single" w:sz="4" w:space="0" w:color="auto"/>
              <w:right w:val="nil"/>
            </w:tcBorders>
            <w:shd w:val="clear" w:color="auto" w:fill="auto"/>
            <w:noWrap/>
            <w:vAlign w:val="bottom"/>
            <w:hideMark/>
          </w:tcPr>
          <w:p w14:paraId="38D0D51B"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Yes : No</w:t>
            </w:r>
          </w:p>
        </w:tc>
        <w:tc>
          <w:tcPr>
            <w:tcW w:w="899" w:type="dxa"/>
            <w:tcBorders>
              <w:top w:val="nil"/>
              <w:left w:val="nil"/>
              <w:bottom w:val="single" w:sz="4" w:space="0" w:color="auto"/>
              <w:right w:val="nil"/>
            </w:tcBorders>
            <w:shd w:val="clear" w:color="auto" w:fill="auto"/>
            <w:noWrap/>
            <w:vAlign w:val="bottom"/>
            <w:hideMark/>
          </w:tcPr>
          <w:p w14:paraId="3E8C3D0F"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Yes %</w:t>
            </w:r>
          </w:p>
        </w:tc>
        <w:tc>
          <w:tcPr>
            <w:tcW w:w="1984" w:type="dxa"/>
            <w:tcBorders>
              <w:top w:val="nil"/>
              <w:left w:val="nil"/>
              <w:bottom w:val="single" w:sz="4" w:space="0" w:color="auto"/>
              <w:right w:val="nil"/>
            </w:tcBorders>
            <w:shd w:val="clear" w:color="auto" w:fill="auto"/>
            <w:noWrap/>
            <w:vAlign w:val="bottom"/>
            <w:hideMark/>
          </w:tcPr>
          <w:p w14:paraId="250F3088"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Median (IQR) days</w:t>
            </w:r>
          </w:p>
        </w:tc>
        <w:tc>
          <w:tcPr>
            <w:tcW w:w="1134" w:type="dxa"/>
            <w:tcBorders>
              <w:top w:val="nil"/>
              <w:left w:val="nil"/>
              <w:bottom w:val="single" w:sz="4" w:space="0" w:color="auto"/>
              <w:right w:val="nil"/>
            </w:tcBorders>
            <w:shd w:val="clear" w:color="auto" w:fill="auto"/>
            <w:noWrap/>
            <w:vAlign w:val="bottom"/>
            <w:hideMark/>
          </w:tcPr>
          <w:p w14:paraId="52C5A134"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Yes : No</w:t>
            </w:r>
          </w:p>
        </w:tc>
        <w:tc>
          <w:tcPr>
            <w:tcW w:w="851" w:type="dxa"/>
            <w:tcBorders>
              <w:top w:val="nil"/>
              <w:left w:val="nil"/>
              <w:bottom w:val="single" w:sz="4" w:space="0" w:color="auto"/>
              <w:right w:val="nil"/>
            </w:tcBorders>
            <w:shd w:val="clear" w:color="auto" w:fill="auto"/>
            <w:noWrap/>
            <w:vAlign w:val="bottom"/>
            <w:hideMark/>
          </w:tcPr>
          <w:p w14:paraId="02C632E4"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Yes %</w:t>
            </w:r>
          </w:p>
        </w:tc>
        <w:tc>
          <w:tcPr>
            <w:tcW w:w="1984" w:type="dxa"/>
            <w:tcBorders>
              <w:top w:val="nil"/>
              <w:left w:val="nil"/>
              <w:bottom w:val="single" w:sz="4" w:space="0" w:color="auto"/>
              <w:right w:val="nil"/>
            </w:tcBorders>
            <w:shd w:val="clear" w:color="auto" w:fill="auto"/>
            <w:noWrap/>
            <w:vAlign w:val="bottom"/>
            <w:hideMark/>
          </w:tcPr>
          <w:p w14:paraId="089B16FE"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Median (IQR) days</w:t>
            </w:r>
          </w:p>
        </w:tc>
        <w:tc>
          <w:tcPr>
            <w:tcW w:w="2552" w:type="dxa"/>
            <w:gridSpan w:val="3"/>
            <w:tcBorders>
              <w:top w:val="nil"/>
              <w:left w:val="nil"/>
              <w:bottom w:val="single" w:sz="4" w:space="0" w:color="auto"/>
              <w:right w:val="nil"/>
            </w:tcBorders>
            <w:shd w:val="clear" w:color="auto" w:fill="auto"/>
            <w:noWrap/>
            <w:vAlign w:val="bottom"/>
            <w:hideMark/>
          </w:tcPr>
          <w:p w14:paraId="40CDD0AA" w14:textId="77777777" w:rsidR="00A07FE7" w:rsidRPr="00AD23F1" w:rsidRDefault="00AC03A3" w:rsidP="00A07FE7">
            <w:pPr>
              <w:spacing w:after="0" w:line="240" w:lineRule="auto"/>
              <w:rPr>
                <w:rFonts w:ascii="Calibri" w:eastAsia="Times New Roman" w:hAnsi="Calibri" w:cs="Times New Roman"/>
                <w:b/>
                <w:bCs/>
                <w:color w:val="000000"/>
                <w:lang w:eastAsia="en-GB"/>
              </w:rPr>
            </w:pPr>
            <w:r w:rsidRPr="00AD23F1">
              <w:rPr>
                <w:rFonts w:ascii="Calibri" w:eastAsia="Times New Roman" w:hAnsi="Calibri" w:cs="Times New Roman"/>
                <w:b/>
                <w:bCs/>
                <w:color w:val="000000"/>
                <w:lang w:eastAsia="en-GB"/>
              </w:rPr>
              <w:t>Difference in proportion (95% CI)</w:t>
            </w:r>
          </w:p>
        </w:tc>
        <w:tc>
          <w:tcPr>
            <w:tcW w:w="1275" w:type="dxa"/>
            <w:tcBorders>
              <w:top w:val="nil"/>
              <w:left w:val="nil"/>
              <w:bottom w:val="single" w:sz="4" w:space="0" w:color="auto"/>
              <w:right w:val="nil"/>
            </w:tcBorders>
            <w:shd w:val="clear" w:color="auto" w:fill="auto"/>
            <w:noWrap/>
            <w:vAlign w:val="bottom"/>
            <w:hideMark/>
          </w:tcPr>
          <w:p w14:paraId="32CAD1AE"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p value</w:t>
            </w:r>
          </w:p>
        </w:tc>
        <w:tc>
          <w:tcPr>
            <w:tcW w:w="1415" w:type="dxa"/>
            <w:tcBorders>
              <w:top w:val="nil"/>
              <w:left w:val="nil"/>
              <w:bottom w:val="single" w:sz="4" w:space="0" w:color="auto"/>
              <w:right w:val="nil"/>
            </w:tcBorders>
            <w:shd w:val="clear" w:color="auto" w:fill="auto"/>
            <w:noWrap/>
            <w:vAlign w:val="bottom"/>
            <w:hideMark/>
          </w:tcPr>
          <w:p w14:paraId="29DAD927" w14:textId="3BC615B8" w:rsidR="00A07FE7" w:rsidRPr="00A07FE7" w:rsidRDefault="00A07FE7" w:rsidP="00F802A8">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in duration</w:t>
            </w:r>
            <w:r w:rsidR="00C618F4">
              <w:rPr>
                <w:rFonts w:ascii="Calibri" w:eastAsia="Times New Roman" w:hAnsi="Calibri" w:cs="Times New Roman"/>
                <w:b/>
                <w:bCs/>
                <w:color w:val="000000"/>
                <w:lang w:eastAsia="en-GB"/>
              </w:rPr>
              <w:t xml:space="preserve"> (95% CI)</w:t>
            </w:r>
          </w:p>
        </w:tc>
        <w:tc>
          <w:tcPr>
            <w:tcW w:w="942" w:type="dxa"/>
            <w:tcBorders>
              <w:top w:val="nil"/>
              <w:left w:val="nil"/>
              <w:bottom w:val="single" w:sz="4" w:space="0" w:color="auto"/>
              <w:right w:val="nil"/>
            </w:tcBorders>
            <w:shd w:val="clear" w:color="auto" w:fill="auto"/>
            <w:noWrap/>
            <w:vAlign w:val="bottom"/>
            <w:hideMark/>
          </w:tcPr>
          <w:p w14:paraId="4BC977F2"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p value</w:t>
            </w:r>
          </w:p>
        </w:tc>
      </w:tr>
      <w:tr w:rsidR="004720F8" w:rsidRPr="00A07FE7" w14:paraId="07C7FFE0" w14:textId="77777777" w:rsidTr="004720F8">
        <w:trPr>
          <w:trHeight w:val="423"/>
        </w:trPr>
        <w:tc>
          <w:tcPr>
            <w:tcW w:w="1374" w:type="dxa"/>
            <w:tcBorders>
              <w:top w:val="nil"/>
              <w:left w:val="nil"/>
              <w:bottom w:val="nil"/>
              <w:right w:val="nil"/>
            </w:tcBorders>
            <w:shd w:val="clear" w:color="auto" w:fill="auto"/>
            <w:noWrap/>
            <w:vAlign w:val="bottom"/>
            <w:hideMark/>
          </w:tcPr>
          <w:p w14:paraId="4EF0E36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Sore throat</w:t>
            </w:r>
          </w:p>
        </w:tc>
        <w:tc>
          <w:tcPr>
            <w:tcW w:w="988" w:type="dxa"/>
            <w:tcBorders>
              <w:top w:val="nil"/>
              <w:left w:val="nil"/>
              <w:bottom w:val="nil"/>
              <w:right w:val="nil"/>
            </w:tcBorders>
            <w:shd w:val="clear" w:color="auto" w:fill="auto"/>
            <w:noWrap/>
            <w:vAlign w:val="bottom"/>
            <w:hideMark/>
          </w:tcPr>
          <w:p w14:paraId="0A5175E3"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50 : 99</w:t>
            </w:r>
          </w:p>
        </w:tc>
        <w:tc>
          <w:tcPr>
            <w:tcW w:w="899" w:type="dxa"/>
            <w:tcBorders>
              <w:top w:val="nil"/>
              <w:left w:val="nil"/>
              <w:bottom w:val="nil"/>
              <w:right w:val="nil"/>
            </w:tcBorders>
            <w:shd w:val="clear" w:color="auto" w:fill="auto"/>
            <w:noWrap/>
            <w:vAlign w:val="bottom"/>
            <w:hideMark/>
          </w:tcPr>
          <w:p w14:paraId="72243C2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33.6%</w:t>
            </w:r>
          </w:p>
        </w:tc>
        <w:tc>
          <w:tcPr>
            <w:tcW w:w="1984" w:type="dxa"/>
            <w:tcBorders>
              <w:top w:val="nil"/>
              <w:left w:val="nil"/>
              <w:bottom w:val="nil"/>
              <w:right w:val="nil"/>
            </w:tcBorders>
            <w:shd w:val="clear" w:color="auto" w:fill="auto"/>
            <w:noWrap/>
            <w:vAlign w:val="bottom"/>
            <w:hideMark/>
          </w:tcPr>
          <w:p w14:paraId="7324E1A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 (3 to 8.5)</w:t>
            </w:r>
          </w:p>
        </w:tc>
        <w:tc>
          <w:tcPr>
            <w:tcW w:w="1134" w:type="dxa"/>
            <w:tcBorders>
              <w:top w:val="nil"/>
              <w:left w:val="nil"/>
              <w:bottom w:val="nil"/>
              <w:right w:val="nil"/>
            </w:tcBorders>
            <w:shd w:val="clear" w:color="auto" w:fill="auto"/>
            <w:noWrap/>
            <w:vAlign w:val="bottom"/>
            <w:hideMark/>
          </w:tcPr>
          <w:p w14:paraId="68F1F87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45 : 191</w:t>
            </w:r>
          </w:p>
        </w:tc>
        <w:tc>
          <w:tcPr>
            <w:tcW w:w="851" w:type="dxa"/>
            <w:tcBorders>
              <w:top w:val="nil"/>
              <w:left w:val="nil"/>
              <w:bottom w:val="nil"/>
              <w:right w:val="nil"/>
            </w:tcBorders>
            <w:shd w:val="clear" w:color="auto" w:fill="auto"/>
            <w:noWrap/>
            <w:vAlign w:val="bottom"/>
            <w:hideMark/>
          </w:tcPr>
          <w:p w14:paraId="25D5F8F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19.1%</w:t>
            </w:r>
          </w:p>
        </w:tc>
        <w:tc>
          <w:tcPr>
            <w:tcW w:w="1984" w:type="dxa"/>
            <w:tcBorders>
              <w:top w:val="nil"/>
              <w:left w:val="nil"/>
              <w:bottom w:val="nil"/>
              <w:right w:val="nil"/>
            </w:tcBorders>
            <w:shd w:val="clear" w:color="auto" w:fill="auto"/>
            <w:noWrap/>
            <w:vAlign w:val="bottom"/>
            <w:hideMark/>
          </w:tcPr>
          <w:p w14:paraId="1CBD391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 (2 to 10)</w:t>
            </w:r>
          </w:p>
        </w:tc>
        <w:tc>
          <w:tcPr>
            <w:tcW w:w="2552" w:type="dxa"/>
            <w:gridSpan w:val="3"/>
            <w:tcBorders>
              <w:top w:val="nil"/>
              <w:left w:val="nil"/>
              <w:bottom w:val="nil"/>
              <w:right w:val="nil"/>
            </w:tcBorders>
            <w:shd w:val="clear" w:color="auto" w:fill="auto"/>
            <w:noWrap/>
            <w:vAlign w:val="bottom"/>
            <w:hideMark/>
          </w:tcPr>
          <w:p w14:paraId="22439F31"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14.5%</w:t>
            </w:r>
            <w:r w:rsidR="00CB570D" w:rsidRPr="00AD23F1">
              <w:rPr>
                <w:rFonts w:ascii="Calibri" w:eastAsia="Times New Roman" w:hAnsi="Calibri" w:cs="Times New Roman"/>
                <w:color w:val="000000"/>
                <w:lang w:eastAsia="en-GB"/>
              </w:rPr>
              <w:t xml:space="preserve"> </w:t>
            </w:r>
            <w:r w:rsidR="00595DBF" w:rsidRPr="00AD23F1">
              <w:rPr>
                <w:rFonts w:ascii="Calibri" w:eastAsia="Times New Roman" w:hAnsi="Calibri" w:cs="Times New Roman"/>
                <w:color w:val="000000"/>
                <w:lang w:eastAsia="en-GB"/>
              </w:rPr>
              <w:t>(5.5% to 23.6%)</w:t>
            </w:r>
          </w:p>
        </w:tc>
        <w:tc>
          <w:tcPr>
            <w:tcW w:w="1275" w:type="dxa"/>
            <w:tcBorders>
              <w:top w:val="nil"/>
              <w:left w:val="nil"/>
              <w:bottom w:val="nil"/>
              <w:right w:val="nil"/>
            </w:tcBorders>
            <w:shd w:val="clear" w:color="auto" w:fill="auto"/>
            <w:noWrap/>
            <w:vAlign w:val="bottom"/>
            <w:hideMark/>
          </w:tcPr>
          <w:p w14:paraId="173ED5FF" w14:textId="77777777" w:rsidR="00A07FE7" w:rsidRPr="00A07FE7" w:rsidRDefault="00A07FE7" w:rsidP="005058FA">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0.0016</w:t>
            </w:r>
          </w:p>
        </w:tc>
        <w:tc>
          <w:tcPr>
            <w:tcW w:w="1415" w:type="dxa"/>
            <w:tcBorders>
              <w:top w:val="nil"/>
              <w:left w:val="nil"/>
              <w:bottom w:val="nil"/>
              <w:right w:val="nil"/>
            </w:tcBorders>
            <w:shd w:val="clear" w:color="auto" w:fill="auto"/>
            <w:noWrap/>
            <w:vAlign w:val="bottom"/>
            <w:hideMark/>
          </w:tcPr>
          <w:p w14:paraId="60A45E2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w:t>
            </w:r>
            <w:r w:rsidR="00C618F4">
              <w:rPr>
                <w:rFonts w:ascii="Calibri" w:eastAsia="Times New Roman" w:hAnsi="Calibri" w:cs="Times New Roman"/>
                <w:color w:val="000000"/>
                <w:lang w:eastAsia="en-GB"/>
              </w:rPr>
              <w:t xml:space="preserve"> (-1 to 2)</w:t>
            </w:r>
          </w:p>
        </w:tc>
        <w:tc>
          <w:tcPr>
            <w:tcW w:w="942" w:type="dxa"/>
            <w:tcBorders>
              <w:top w:val="nil"/>
              <w:left w:val="nil"/>
              <w:bottom w:val="nil"/>
              <w:right w:val="nil"/>
            </w:tcBorders>
            <w:shd w:val="clear" w:color="auto" w:fill="auto"/>
            <w:noWrap/>
            <w:vAlign w:val="bottom"/>
            <w:hideMark/>
          </w:tcPr>
          <w:p w14:paraId="1CBC885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0.6396</w:t>
            </w:r>
          </w:p>
        </w:tc>
      </w:tr>
      <w:tr w:rsidR="004720F8" w:rsidRPr="00A07FE7" w14:paraId="12F58BBC" w14:textId="77777777" w:rsidTr="004720F8">
        <w:trPr>
          <w:trHeight w:val="423"/>
        </w:trPr>
        <w:tc>
          <w:tcPr>
            <w:tcW w:w="1374" w:type="dxa"/>
            <w:tcBorders>
              <w:top w:val="nil"/>
              <w:left w:val="nil"/>
              <w:bottom w:val="nil"/>
              <w:right w:val="nil"/>
            </w:tcBorders>
            <w:shd w:val="clear" w:color="auto" w:fill="auto"/>
            <w:noWrap/>
            <w:vAlign w:val="bottom"/>
            <w:hideMark/>
          </w:tcPr>
          <w:p w14:paraId="1EAFEEA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Rhinorrhoea</w:t>
            </w:r>
          </w:p>
        </w:tc>
        <w:tc>
          <w:tcPr>
            <w:tcW w:w="988" w:type="dxa"/>
            <w:tcBorders>
              <w:top w:val="nil"/>
              <w:left w:val="nil"/>
              <w:bottom w:val="nil"/>
              <w:right w:val="nil"/>
            </w:tcBorders>
            <w:shd w:val="clear" w:color="auto" w:fill="auto"/>
            <w:noWrap/>
            <w:vAlign w:val="bottom"/>
            <w:hideMark/>
          </w:tcPr>
          <w:p w14:paraId="5E63FC1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39 : 109</w:t>
            </w:r>
          </w:p>
        </w:tc>
        <w:tc>
          <w:tcPr>
            <w:tcW w:w="899" w:type="dxa"/>
            <w:tcBorders>
              <w:top w:val="nil"/>
              <w:left w:val="nil"/>
              <w:bottom w:val="nil"/>
              <w:right w:val="nil"/>
            </w:tcBorders>
            <w:shd w:val="clear" w:color="auto" w:fill="auto"/>
            <w:noWrap/>
            <w:vAlign w:val="bottom"/>
            <w:hideMark/>
          </w:tcPr>
          <w:p w14:paraId="3CCB2D1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26.4%</w:t>
            </w:r>
          </w:p>
        </w:tc>
        <w:tc>
          <w:tcPr>
            <w:tcW w:w="1984" w:type="dxa"/>
            <w:tcBorders>
              <w:top w:val="nil"/>
              <w:left w:val="nil"/>
              <w:bottom w:val="nil"/>
              <w:right w:val="nil"/>
            </w:tcBorders>
            <w:shd w:val="clear" w:color="auto" w:fill="auto"/>
            <w:noWrap/>
            <w:vAlign w:val="bottom"/>
            <w:hideMark/>
          </w:tcPr>
          <w:p w14:paraId="598D954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 (2 to 7)</w:t>
            </w:r>
          </w:p>
        </w:tc>
        <w:tc>
          <w:tcPr>
            <w:tcW w:w="1134" w:type="dxa"/>
            <w:tcBorders>
              <w:top w:val="nil"/>
              <w:left w:val="nil"/>
              <w:bottom w:val="nil"/>
              <w:right w:val="nil"/>
            </w:tcBorders>
            <w:shd w:val="clear" w:color="auto" w:fill="auto"/>
            <w:noWrap/>
            <w:vAlign w:val="bottom"/>
            <w:hideMark/>
          </w:tcPr>
          <w:p w14:paraId="27A5DC4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54 : 181</w:t>
            </w:r>
          </w:p>
        </w:tc>
        <w:tc>
          <w:tcPr>
            <w:tcW w:w="851" w:type="dxa"/>
            <w:tcBorders>
              <w:top w:val="nil"/>
              <w:left w:val="nil"/>
              <w:bottom w:val="nil"/>
              <w:right w:val="nil"/>
            </w:tcBorders>
            <w:shd w:val="clear" w:color="auto" w:fill="auto"/>
            <w:noWrap/>
            <w:vAlign w:val="bottom"/>
            <w:hideMark/>
          </w:tcPr>
          <w:p w14:paraId="20FF7A5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23.0%</w:t>
            </w:r>
          </w:p>
        </w:tc>
        <w:tc>
          <w:tcPr>
            <w:tcW w:w="1984" w:type="dxa"/>
            <w:tcBorders>
              <w:top w:val="nil"/>
              <w:left w:val="nil"/>
              <w:bottom w:val="nil"/>
              <w:right w:val="nil"/>
            </w:tcBorders>
            <w:shd w:val="clear" w:color="auto" w:fill="auto"/>
            <w:noWrap/>
            <w:vAlign w:val="bottom"/>
            <w:hideMark/>
          </w:tcPr>
          <w:p w14:paraId="04041A9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 (2 to 14)</w:t>
            </w:r>
          </w:p>
        </w:tc>
        <w:tc>
          <w:tcPr>
            <w:tcW w:w="2552" w:type="dxa"/>
            <w:gridSpan w:val="3"/>
            <w:tcBorders>
              <w:top w:val="nil"/>
              <w:left w:val="nil"/>
              <w:bottom w:val="nil"/>
              <w:right w:val="nil"/>
            </w:tcBorders>
            <w:shd w:val="clear" w:color="auto" w:fill="auto"/>
            <w:noWrap/>
            <w:vAlign w:val="bottom"/>
            <w:hideMark/>
          </w:tcPr>
          <w:p w14:paraId="2C7CF04B"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3.4%</w:t>
            </w:r>
            <w:r w:rsidR="004720F8" w:rsidRPr="00AD23F1">
              <w:rPr>
                <w:rFonts w:ascii="Calibri" w:eastAsia="Times New Roman" w:hAnsi="Calibri" w:cs="Times New Roman"/>
                <w:color w:val="000000"/>
                <w:lang w:eastAsia="en-GB"/>
              </w:rPr>
              <w:t xml:space="preserve"> (-5.3% to 12.5%)</w:t>
            </w:r>
          </w:p>
        </w:tc>
        <w:tc>
          <w:tcPr>
            <w:tcW w:w="1275" w:type="dxa"/>
            <w:tcBorders>
              <w:top w:val="nil"/>
              <w:left w:val="nil"/>
              <w:bottom w:val="nil"/>
              <w:right w:val="nil"/>
            </w:tcBorders>
            <w:shd w:val="clear" w:color="auto" w:fill="auto"/>
            <w:noWrap/>
            <w:vAlign w:val="bottom"/>
            <w:hideMark/>
          </w:tcPr>
          <w:p w14:paraId="501B3421" w14:textId="77777777" w:rsidR="00A07FE7" w:rsidRPr="00A07FE7" w:rsidRDefault="00A07FE7" w:rsidP="005058FA">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0.4649</w:t>
            </w:r>
          </w:p>
        </w:tc>
        <w:tc>
          <w:tcPr>
            <w:tcW w:w="1415" w:type="dxa"/>
            <w:tcBorders>
              <w:top w:val="nil"/>
              <w:left w:val="nil"/>
              <w:bottom w:val="nil"/>
              <w:right w:val="nil"/>
            </w:tcBorders>
            <w:shd w:val="clear" w:color="auto" w:fill="auto"/>
            <w:noWrap/>
            <w:vAlign w:val="bottom"/>
            <w:hideMark/>
          </w:tcPr>
          <w:p w14:paraId="3EABA96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w:t>
            </w:r>
            <w:r w:rsidR="00C618F4">
              <w:rPr>
                <w:rFonts w:ascii="Calibri" w:eastAsia="Times New Roman" w:hAnsi="Calibri" w:cs="Times New Roman"/>
                <w:color w:val="000000"/>
                <w:lang w:eastAsia="en-GB"/>
              </w:rPr>
              <w:t xml:space="preserve"> (-2 to 1)</w:t>
            </w:r>
          </w:p>
        </w:tc>
        <w:tc>
          <w:tcPr>
            <w:tcW w:w="942" w:type="dxa"/>
            <w:tcBorders>
              <w:top w:val="nil"/>
              <w:left w:val="nil"/>
              <w:bottom w:val="nil"/>
              <w:right w:val="nil"/>
            </w:tcBorders>
            <w:shd w:val="clear" w:color="auto" w:fill="auto"/>
            <w:noWrap/>
            <w:vAlign w:val="bottom"/>
            <w:hideMark/>
          </w:tcPr>
          <w:p w14:paraId="5A8DF4C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0.8566</w:t>
            </w:r>
          </w:p>
        </w:tc>
      </w:tr>
      <w:tr w:rsidR="004720F8" w:rsidRPr="00A07FE7" w14:paraId="41B43448" w14:textId="77777777" w:rsidTr="004720F8">
        <w:trPr>
          <w:trHeight w:val="423"/>
        </w:trPr>
        <w:tc>
          <w:tcPr>
            <w:tcW w:w="1374" w:type="dxa"/>
            <w:tcBorders>
              <w:top w:val="nil"/>
              <w:left w:val="nil"/>
              <w:bottom w:val="nil"/>
              <w:right w:val="nil"/>
            </w:tcBorders>
            <w:shd w:val="clear" w:color="auto" w:fill="auto"/>
            <w:noWrap/>
            <w:vAlign w:val="bottom"/>
            <w:hideMark/>
          </w:tcPr>
          <w:p w14:paraId="70FE594D"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Wheeze</w:t>
            </w:r>
          </w:p>
        </w:tc>
        <w:tc>
          <w:tcPr>
            <w:tcW w:w="988" w:type="dxa"/>
            <w:tcBorders>
              <w:top w:val="nil"/>
              <w:left w:val="nil"/>
              <w:bottom w:val="nil"/>
              <w:right w:val="nil"/>
            </w:tcBorders>
            <w:shd w:val="clear" w:color="auto" w:fill="auto"/>
            <w:noWrap/>
            <w:vAlign w:val="bottom"/>
            <w:hideMark/>
          </w:tcPr>
          <w:p w14:paraId="68B4CD0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48 : 102</w:t>
            </w:r>
          </w:p>
        </w:tc>
        <w:tc>
          <w:tcPr>
            <w:tcW w:w="899" w:type="dxa"/>
            <w:tcBorders>
              <w:top w:val="nil"/>
              <w:left w:val="nil"/>
              <w:bottom w:val="nil"/>
              <w:right w:val="nil"/>
            </w:tcBorders>
            <w:shd w:val="clear" w:color="auto" w:fill="auto"/>
            <w:noWrap/>
            <w:vAlign w:val="bottom"/>
            <w:hideMark/>
          </w:tcPr>
          <w:p w14:paraId="7B2AF263"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32.0%</w:t>
            </w:r>
          </w:p>
        </w:tc>
        <w:tc>
          <w:tcPr>
            <w:tcW w:w="1984" w:type="dxa"/>
            <w:tcBorders>
              <w:top w:val="nil"/>
              <w:left w:val="nil"/>
              <w:bottom w:val="nil"/>
              <w:right w:val="nil"/>
            </w:tcBorders>
            <w:shd w:val="clear" w:color="auto" w:fill="auto"/>
            <w:noWrap/>
            <w:vAlign w:val="bottom"/>
            <w:hideMark/>
          </w:tcPr>
          <w:p w14:paraId="39A1C68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 (2 to 7)</w:t>
            </w:r>
          </w:p>
        </w:tc>
        <w:tc>
          <w:tcPr>
            <w:tcW w:w="1134" w:type="dxa"/>
            <w:tcBorders>
              <w:top w:val="nil"/>
              <w:left w:val="nil"/>
              <w:bottom w:val="nil"/>
              <w:right w:val="nil"/>
            </w:tcBorders>
            <w:shd w:val="clear" w:color="auto" w:fill="auto"/>
            <w:noWrap/>
            <w:vAlign w:val="bottom"/>
            <w:hideMark/>
          </w:tcPr>
          <w:p w14:paraId="0E4A584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91 : 150</w:t>
            </w:r>
          </w:p>
        </w:tc>
        <w:tc>
          <w:tcPr>
            <w:tcW w:w="851" w:type="dxa"/>
            <w:tcBorders>
              <w:top w:val="nil"/>
              <w:left w:val="nil"/>
              <w:bottom w:val="nil"/>
              <w:right w:val="nil"/>
            </w:tcBorders>
            <w:shd w:val="clear" w:color="auto" w:fill="auto"/>
            <w:noWrap/>
            <w:vAlign w:val="bottom"/>
            <w:hideMark/>
          </w:tcPr>
          <w:p w14:paraId="552A565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37.8%</w:t>
            </w:r>
          </w:p>
        </w:tc>
        <w:tc>
          <w:tcPr>
            <w:tcW w:w="1984" w:type="dxa"/>
            <w:tcBorders>
              <w:top w:val="nil"/>
              <w:left w:val="nil"/>
              <w:bottom w:val="nil"/>
              <w:right w:val="nil"/>
            </w:tcBorders>
            <w:shd w:val="clear" w:color="auto" w:fill="auto"/>
            <w:noWrap/>
            <w:vAlign w:val="bottom"/>
            <w:hideMark/>
          </w:tcPr>
          <w:p w14:paraId="543F35AD"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4.5 (2 to 11.25)</w:t>
            </w:r>
          </w:p>
        </w:tc>
        <w:tc>
          <w:tcPr>
            <w:tcW w:w="2552" w:type="dxa"/>
            <w:gridSpan w:val="3"/>
            <w:tcBorders>
              <w:top w:val="nil"/>
              <w:left w:val="nil"/>
              <w:bottom w:val="nil"/>
              <w:right w:val="nil"/>
            </w:tcBorders>
            <w:shd w:val="clear" w:color="auto" w:fill="auto"/>
            <w:noWrap/>
            <w:vAlign w:val="bottom"/>
            <w:hideMark/>
          </w:tcPr>
          <w:p w14:paraId="17FB012C"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-5.8%</w:t>
            </w:r>
            <w:r w:rsidR="004720F8" w:rsidRPr="00AD23F1">
              <w:rPr>
                <w:rFonts w:ascii="Calibri" w:eastAsia="Times New Roman" w:hAnsi="Calibri" w:cs="Times New Roman"/>
                <w:color w:val="000000"/>
                <w:lang w:eastAsia="en-GB"/>
              </w:rPr>
              <w:t xml:space="preserve"> (-15.1% to 4.0%)</w:t>
            </w:r>
          </w:p>
        </w:tc>
        <w:tc>
          <w:tcPr>
            <w:tcW w:w="1275" w:type="dxa"/>
            <w:tcBorders>
              <w:top w:val="nil"/>
              <w:left w:val="nil"/>
              <w:bottom w:val="nil"/>
              <w:right w:val="nil"/>
            </w:tcBorders>
            <w:shd w:val="clear" w:color="auto" w:fill="auto"/>
            <w:noWrap/>
            <w:vAlign w:val="bottom"/>
            <w:hideMark/>
          </w:tcPr>
          <w:p w14:paraId="1368A7DD" w14:textId="77777777" w:rsidR="00A07FE7" w:rsidRPr="00A07FE7" w:rsidRDefault="00A07FE7" w:rsidP="005058FA">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0.2777</w:t>
            </w:r>
          </w:p>
        </w:tc>
        <w:tc>
          <w:tcPr>
            <w:tcW w:w="1415" w:type="dxa"/>
            <w:tcBorders>
              <w:top w:val="nil"/>
              <w:left w:val="nil"/>
              <w:bottom w:val="nil"/>
              <w:right w:val="nil"/>
            </w:tcBorders>
            <w:shd w:val="clear" w:color="auto" w:fill="auto"/>
            <w:noWrap/>
            <w:vAlign w:val="bottom"/>
            <w:hideMark/>
          </w:tcPr>
          <w:p w14:paraId="30FC8993"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0.5</w:t>
            </w:r>
            <w:r w:rsidR="00C618F4">
              <w:rPr>
                <w:rFonts w:ascii="Calibri" w:eastAsia="Times New Roman" w:hAnsi="Calibri" w:cs="Times New Roman"/>
                <w:color w:val="000000"/>
                <w:lang w:eastAsia="en-GB"/>
              </w:rPr>
              <w:t xml:space="preserve"> (-2 to 1)</w:t>
            </w:r>
          </w:p>
        </w:tc>
        <w:tc>
          <w:tcPr>
            <w:tcW w:w="942" w:type="dxa"/>
            <w:tcBorders>
              <w:top w:val="nil"/>
              <w:left w:val="nil"/>
              <w:bottom w:val="nil"/>
              <w:right w:val="nil"/>
            </w:tcBorders>
            <w:shd w:val="clear" w:color="auto" w:fill="auto"/>
            <w:noWrap/>
            <w:vAlign w:val="bottom"/>
            <w:hideMark/>
          </w:tcPr>
          <w:p w14:paraId="6336A06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0.3901</w:t>
            </w:r>
          </w:p>
        </w:tc>
      </w:tr>
      <w:tr w:rsidR="004720F8" w:rsidRPr="00A07FE7" w14:paraId="764946DA" w14:textId="77777777" w:rsidTr="004720F8">
        <w:trPr>
          <w:trHeight w:val="423"/>
        </w:trPr>
        <w:tc>
          <w:tcPr>
            <w:tcW w:w="1374" w:type="dxa"/>
            <w:tcBorders>
              <w:top w:val="nil"/>
              <w:left w:val="nil"/>
              <w:bottom w:val="nil"/>
              <w:right w:val="nil"/>
            </w:tcBorders>
            <w:shd w:val="clear" w:color="auto" w:fill="auto"/>
            <w:noWrap/>
            <w:vAlign w:val="bottom"/>
            <w:hideMark/>
          </w:tcPr>
          <w:p w14:paraId="3946961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Shortness of breath</w:t>
            </w:r>
          </w:p>
        </w:tc>
        <w:tc>
          <w:tcPr>
            <w:tcW w:w="988" w:type="dxa"/>
            <w:tcBorders>
              <w:top w:val="nil"/>
              <w:left w:val="nil"/>
              <w:bottom w:val="nil"/>
              <w:right w:val="nil"/>
            </w:tcBorders>
            <w:shd w:val="clear" w:color="auto" w:fill="auto"/>
            <w:noWrap/>
            <w:vAlign w:val="bottom"/>
            <w:hideMark/>
          </w:tcPr>
          <w:p w14:paraId="63F87AF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130 : 38</w:t>
            </w:r>
          </w:p>
        </w:tc>
        <w:tc>
          <w:tcPr>
            <w:tcW w:w="899" w:type="dxa"/>
            <w:tcBorders>
              <w:top w:val="nil"/>
              <w:left w:val="nil"/>
              <w:bottom w:val="nil"/>
              <w:right w:val="nil"/>
            </w:tcBorders>
            <w:shd w:val="clear" w:color="auto" w:fill="auto"/>
            <w:noWrap/>
            <w:vAlign w:val="bottom"/>
            <w:hideMark/>
          </w:tcPr>
          <w:p w14:paraId="4E935A8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77.4%</w:t>
            </w:r>
          </w:p>
        </w:tc>
        <w:tc>
          <w:tcPr>
            <w:tcW w:w="1984" w:type="dxa"/>
            <w:tcBorders>
              <w:top w:val="nil"/>
              <w:left w:val="nil"/>
              <w:bottom w:val="nil"/>
              <w:right w:val="nil"/>
            </w:tcBorders>
            <w:shd w:val="clear" w:color="auto" w:fill="auto"/>
            <w:noWrap/>
            <w:vAlign w:val="bottom"/>
            <w:hideMark/>
          </w:tcPr>
          <w:p w14:paraId="060501B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 (2 to 7)</w:t>
            </w:r>
          </w:p>
        </w:tc>
        <w:tc>
          <w:tcPr>
            <w:tcW w:w="1134" w:type="dxa"/>
            <w:tcBorders>
              <w:top w:val="nil"/>
              <w:left w:val="nil"/>
              <w:bottom w:val="nil"/>
              <w:right w:val="nil"/>
            </w:tcBorders>
            <w:shd w:val="clear" w:color="auto" w:fill="auto"/>
            <w:noWrap/>
            <w:vAlign w:val="bottom"/>
            <w:hideMark/>
          </w:tcPr>
          <w:p w14:paraId="091F184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179 : 81</w:t>
            </w:r>
          </w:p>
        </w:tc>
        <w:tc>
          <w:tcPr>
            <w:tcW w:w="851" w:type="dxa"/>
            <w:tcBorders>
              <w:top w:val="nil"/>
              <w:left w:val="nil"/>
              <w:bottom w:val="nil"/>
              <w:right w:val="nil"/>
            </w:tcBorders>
            <w:shd w:val="clear" w:color="auto" w:fill="auto"/>
            <w:noWrap/>
            <w:vAlign w:val="bottom"/>
            <w:hideMark/>
          </w:tcPr>
          <w:p w14:paraId="08F2427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68.8%</w:t>
            </w:r>
          </w:p>
        </w:tc>
        <w:tc>
          <w:tcPr>
            <w:tcW w:w="1984" w:type="dxa"/>
            <w:tcBorders>
              <w:top w:val="nil"/>
              <w:left w:val="nil"/>
              <w:bottom w:val="nil"/>
              <w:right w:val="nil"/>
            </w:tcBorders>
            <w:shd w:val="clear" w:color="auto" w:fill="auto"/>
            <w:noWrap/>
            <w:vAlign w:val="bottom"/>
            <w:hideMark/>
          </w:tcPr>
          <w:p w14:paraId="50ED9D2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 (2 to 10)</w:t>
            </w:r>
          </w:p>
        </w:tc>
        <w:tc>
          <w:tcPr>
            <w:tcW w:w="2552" w:type="dxa"/>
            <w:gridSpan w:val="3"/>
            <w:tcBorders>
              <w:top w:val="nil"/>
              <w:left w:val="nil"/>
              <w:bottom w:val="nil"/>
              <w:right w:val="nil"/>
            </w:tcBorders>
            <w:shd w:val="clear" w:color="auto" w:fill="auto"/>
            <w:noWrap/>
            <w:vAlign w:val="bottom"/>
            <w:hideMark/>
          </w:tcPr>
          <w:p w14:paraId="46B403DE"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8.5%</w:t>
            </w:r>
            <w:r w:rsidR="004720F8" w:rsidRPr="00AD23F1">
              <w:rPr>
                <w:rFonts w:ascii="Calibri" w:eastAsia="Times New Roman" w:hAnsi="Calibri" w:cs="Times New Roman"/>
                <w:color w:val="000000"/>
                <w:lang w:eastAsia="en-GB"/>
              </w:rPr>
              <w:t xml:space="preserve"> (-0.2% to 16.7%)</w:t>
            </w:r>
          </w:p>
        </w:tc>
        <w:tc>
          <w:tcPr>
            <w:tcW w:w="1275" w:type="dxa"/>
            <w:tcBorders>
              <w:top w:val="nil"/>
              <w:left w:val="nil"/>
              <w:bottom w:val="nil"/>
              <w:right w:val="nil"/>
            </w:tcBorders>
            <w:shd w:val="clear" w:color="auto" w:fill="auto"/>
            <w:noWrap/>
            <w:vAlign w:val="bottom"/>
            <w:hideMark/>
          </w:tcPr>
          <w:p w14:paraId="030535CB" w14:textId="77777777" w:rsidR="00A07FE7" w:rsidRPr="00A07FE7" w:rsidRDefault="00A07FE7" w:rsidP="005058FA">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0.0606</w:t>
            </w:r>
          </w:p>
        </w:tc>
        <w:tc>
          <w:tcPr>
            <w:tcW w:w="1415" w:type="dxa"/>
            <w:tcBorders>
              <w:top w:val="nil"/>
              <w:left w:val="nil"/>
              <w:bottom w:val="nil"/>
              <w:right w:val="nil"/>
            </w:tcBorders>
            <w:shd w:val="clear" w:color="auto" w:fill="auto"/>
            <w:noWrap/>
            <w:vAlign w:val="bottom"/>
            <w:hideMark/>
          </w:tcPr>
          <w:p w14:paraId="79ED4D9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w:t>
            </w:r>
            <w:r w:rsidR="00C618F4">
              <w:rPr>
                <w:rFonts w:ascii="Calibri" w:eastAsia="Times New Roman" w:hAnsi="Calibri" w:cs="Times New Roman"/>
                <w:color w:val="000000"/>
                <w:lang w:eastAsia="en-GB"/>
              </w:rPr>
              <w:t xml:space="preserve"> (-1 to 1)</w:t>
            </w:r>
          </w:p>
        </w:tc>
        <w:tc>
          <w:tcPr>
            <w:tcW w:w="942" w:type="dxa"/>
            <w:tcBorders>
              <w:top w:val="nil"/>
              <w:left w:val="nil"/>
              <w:bottom w:val="nil"/>
              <w:right w:val="nil"/>
            </w:tcBorders>
            <w:shd w:val="clear" w:color="auto" w:fill="auto"/>
            <w:noWrap/>
            <w:vAlign w:val="bottom"/>
            <w:hideMark/>
          </w:tcPr>
          <w:p w14:paraId="1FC57C9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0.9924</w:t>
            </w:r>
          </w:p>
        </w:tc>
      </w:tr>
      <w:tr w:rsidR="004720F8" w:rsidRPr="00A07FE7" w14:paraId="69660636" w14:textId="77777777" w:rsidTr="004720F8">
        <w:trPr>
          <w:trHeight w:val="423"/>
        </w:trPr>
        <w:tc>
          <w:tcPr>
            <w:tcW w:w="1374" w:type="dxa"/>
            <w:tcBorders>
              <w:top w:val="nil"/>
              <w:left w:val="nil"/>
              <w:bottom w:val="nil"/>
              <w:right w:val="nil"/>
            </w:tcBorders>
            <w:shd w:val="clear" w:color="auto" w:fill="auto"/>
            <w:noWrap/>
            <w:vAlign w:val="bottom"/>
            <w:hideMark/>
          </w:tcPr>
          <w:p w14:paraId="74301A8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Pleuritic chest pain</w:t>
            </w:r>
          </w:p>
        </w:tc>
        <w:tc>
          <w:tcPr>
            <w:tcW w:w="988" w:type="dxa"/>
            <w:tcBorders>
              <w:top w:val="nil"/>
              <w:left w:val="nil"/>
              <w:bottom w:val="nil"/>
              <w:right w:val="nil"/>
            </w:tcBorders>
            <w:shd w:val="clear" w:color="auto" w:fill="auto"/>
            <w:noWrap/>
            <w:vAlign w:val="bottom"/>
            <w:hideMark/>
          </w:tcPr>
          <w:p w14:paraId="74764DE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43 : 107</w:t>
            </w:r>
          </w:p>
        </w:tc>
        <w:tc>
          <w:tcPr>
            <w:tcW w:w="899" w:type="dxa"/>
            <w:tcBorders>
              <w:top w:val="nil"/>
              <w:left w:val="nil"/>
              <w:bottom w:val="nil"/>
              <w:right w:val="nil"/>
            </w:tcBorders>
            <w:shd w:val="clear" w:color="auto" w:fill="auto"/>
            <w:noWrap/>
            <w:vAlign w:val="bottom"/>
            <w:hideMark/>
          </w:tcPr>
          <w:p w14:paraId="7998C02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28.7%</w:t>
            </w:r>
          </w:p>
        </w:tc>
        <w:tc>
          <w:tcPr>
            <w:tcW w:w="1984" w:type="dxa"/>
            <w:tcBorders>
              <w:top w:val="nil"/>
              <w:left w:val="nil"/>
              <w:bottom w:val="nil"/>
              <w:right w:val="nil"/>
            </w:tcBorders>
            <w:shd w:val="clear" w:color="auto" w:fill="auto"/>
            <w:noWrap/>
            <w:vAlign w:val="bottom"/>
            <w:hideMark/>
          </w:tcPr>
          <w:p w14:paraId="740FD15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 (2 to 7)</w:t>
            </w:r>
          </w:p>
        </w:tc>
        <w:tc>
          <w:tcPr>
            <w:tcW w:w="1134" w:type="dxa"/>
            <w:tcBorders>
              <w:top w:val="nil"/>
              <w:left w:val="nil"/>
              <w:bottom w:val="nil"/>
              <w:right w:val="nil"/>
            </w:tcBorders>
            <w:shd w:val="clear" w:color="auto" w:fill="auto"/>
            <w:noWrap/>
            <w:vAlign w:val="bottom"/>
            <w:hideMark/>
          </w:tcPr>
          <w:p w14:paraId="1DDF9DC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55 : 187</w:t>
            </w:r>
          </w:p>
        </w:tc>
        <w:tc>
          <w:tcPr>
            <w:tcW w:w="851" w:type="dxa"/>
            <w:tcBorders>
              <w:top w:val="nil"/>
              <w:left w:val="nil"/>
              <w:bottom w:val="nil"/>
              <w:right w:val="nil"/>
            </w:tcBorders>
            <w:shd w:val="clear" w:color="auto" w:fill="auto"/>
            <w:noWrap/>
            <w:vAlign w:val="bottom"/>
            <w:hideMark/>
          </w:tcPr>
          <w:p w14:paraId="26B394C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22.7%</w:t>
            </w:r>
          </w:p>
        </w:tc>
        <w:tc>
          <w:tcPr>
            <w:tcW w:w="1984" w:type="dxa"/>
            <w:tcBorders>
              <w:top w:val="nil"/>
              <w:left w:val="nil"/>
              <w:bottom w:val="nil"/>
              <w:right w:val="nil"/>
            </w:tcBorders>
            <w:shd w:val="clear" w:color="auto" w:fill="auto"/>
            <w:noWrap/>
            <w:vAlign w:val="bottom"/>
            <w:hideMark/>
          </w:tcPr>
          <w:p w14:paraId="52609CAB"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 (2 to 7)</w:t>
            </w:r>
          </w:p>
        </w:tc>
        <w:tc>
          <w:tcPr>
            <w:tcW w:w="2552" w:type="dxa"/>
            <w:gridSpan w:val="3"/>
            <w:tcBorders>
              <w:top w:val="nil"/>
              <w:left w:val="nil"/>
              <w:bottom w:val="nil"/>
              <w:right w:val="nil"/>
            </w:tcBorders>
            <w:shd w:val="clear" w:color="auto" w:fill="auto"/>
            <w:noWrap/>
            <w:vAlign w:val="bottom"/>
            <w:hideMark/>
          </w:tcPr>
          <w:p w14:paraId="5F67334C"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5.9%</w:t>
            </w:r>
            <w:r w:rsidR="004720F8" w:rsidRPr="00AD23F1">
              <w:rPr>
                <w:rFonts w:ascii="Calibri" w:eastAsia="Times New Roman" w:hAnsi="Calibri" w:cs="Times New Roman"/>
                <w:color w:val="000000"/>
                <w:lang w:eastAsia="en-GB"/>
              </w:rPr>
              <w:t xml:space="preserve"> (-2.8% to 15.0%)</w:t>
            </w:r>
          </w:p>
        </w:tc>
        <w:tc>
          <w:tcPr>
            <w:tcW w:w="1275" w:type="dxa"/>
            <w:tcBorders>
              <w:top w:val="nil"/>
              <w:left w:val="nil"/>
              <w:bottom w:val="nil"/>
              <w:right w:val="nil"/>
            </w:tcBorders>
            <w:shd w:val="clear" w:color="auto" w:fill="auto"/>
            <w:noWrap/>
            <w:vAlign w:val="bottom"/>
            <w:hideMark/>
          </w:tcPr>
          <w:p w14:paraId="1527C906" w14:textId="77777777" w:rsidR="00A07FE7" w:rsidRPr="00A07FE7" w:rsidRDefault="00A07FE7" w:rsidP="005058FA">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0.1895</w:t>
            </w:r>
          </w:p>
        </w:tc>
        <w:tc>
          <w:tcPr>
            <w:tcW w:w="1415" w:type="dxa"/>
            <w:tcBorders>
              <w:top w:val="nil"/>
              <w:left w:val="nil"/>
              <w:bottom w:val="nil"/>
              <w:right w:val="nil"/>
            </w:tcBorders>
            <w:shd w:val="clear" w:color="auto" w:fill="auto"/>
            <w:noWrap/>
            <w:vAlign w:val="bottom"/>
            <w:hideMark/>
          </w:tcPr>
          <w:p w14:paraId="3257999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w:t>
            </w:r>
            <w:r w:rsidR="00C618F4">
              <w:rPr>
                <w:rFonts w:ascii="Calibri" w:eastAsia="Times New Roman" w:hAnsi="Calibri" w:cs="Times New Roman"/>
                <w:color w:val="000000"/>
                <w:lang w:eastAsia="en-GB"/>
              </w:rPr>
              <w:t xml:space="preserve"> (-1 to 2)</w:t>
            </w:r>
          </w:p>
        </w:tc>
        <w:tc>
          <w:tcPr>
            <w:tcW w:w="942" w:type="dxa"/>
            <w:tcBorders>
              <w:top w:val="nil"/>
              <w:left w:val="nil"/>
              <w:bottom w:val="nil"/>
              <w:right w:val="nil"/>
            </w:tcBorders>
            <w:shd w:val="clear" w:color="auto" w:fill="auto"/>
            <w:noWrap/>
            <w:vAlign w:val="bottom"/>
            <w:hideMark/>
          </w:tcPr>
          <w:p w14:paraId="65AAED7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0.4076</w:t>
            </w:r>
          </w:p>
        </w:tc>
      </w:tr>
      <w:tr w:rsidR="004720F8" w:rsidRPr="00A07FE7" w14:paraId="74AA574C" w14:textId="77777777" w:rsidTr="004720F8">
        <w:trPr>
          <w:trHeight w:val="423"/>
        </w:trPr>
        <w:tc>
          <w:tcPr>
            <w:tcW w:w="1374" w:type="dxa"/>
            <w:tcBorders>
              <w:top w:val="nil"/>
              <w:left w:val="nil"/>
              <w:bottom w:val="nil"/>
              <w:right w:val="nil"/>
            </w:tcBorders>
            <w:shd w:val="clear" w:color="auto" w:fill="auto"/>
            <w:noWrap/>
            <w:vAlign w:val="bottom"/>
            <w:hideMark/>
          </w:tcPr>
          <w:p w14:paraId="0A09471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Cough</w:t>
            </w:r>
          </w:p>
        </w:tc>
        <w:tc>
          <w:tcPr>
            <w:tcW w:w="988" w:type="dxa"/>
            <w:tcBorders>
              <w:top w:val="nil"/>
              <w:left w:val="nil"/>
              <w:bottom w:val="nil"/>
              <w:right w:val="nil"/>
            </w:tcBorders>
            <w:shd w:val="clear" w:color="auto" w:fill="auto"/>
            <w:noWrap/>
            <w:vAlign w:val="bottom"/>
            <w:hideMark/>
          </w:tcPr>
          <w:p w14:paraId="20F938C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128 : 42</w:t>
            </w:r>
          </w:p>
        </w:tc>
        <w:tc>
          <w:tcPr>
            <w:tcW w:w="899" w:type="dxa"/>
            <w:tcBorders>
              <w:top w:val="nil"/>
              <w:left w:val="nil"/>
              <w:bottom w:val="nil"/>
              <w:right w:val="nil"/>
            </w:tcBorders>
            <w:shd w:val="clear" w:color="auto" w:fill="auto"/>
            <w:noWrap/>
            <w:vAlign w:val="bottom"/>
            <w:hideMark/>
          </w:tcPr>
          <w:p w14:paraId="140370E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75.3%</w:t>
            </w:r>
          </w:p>
        </w:tc>
        <w:tc>
          <w:tcPr>
            <w:tcW w:w="1984" w:type="dxa"/>
            <w:tcBorders>
              <w:top w:val="nil"/>
              <w:left w:val="nil"/>
              <w:bottom w:val="nil"/>
              <w:right w:val="nil"/>
            </w:tcBorders>
            <w:shd w:val="clear" w:color="auto" w:fill="auto"/>
            <w:noWrap/>
            <w:vAlign w:val="bottom"/>
            <w:hideMark/>
          </w:tcPr>
          <w:p w14:paraId="630EFC2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6 (3 to 9.5)</w:t>
            </w:r>
          </w:p>
        </w:tc>
        <w:tc>
          <w:tcPr>
            <w:tcW w:w="1134" w:type="dxa"/>
            <w:tcBorders>
              <w:top w:val="nil"/>
              <w:left w:val="nil"/>
              <w:bottom w:val="nil"/>
              <w:right w:val="nil"/>
            </w:tcBorders>
            <w:shd w:val="clear" w:color="auto" w:fill="auto"/>
            <w:noWrap/>
            <w:vAlign w:val="bottom"/>
            <w:hideMark/>
          </w:tcPr>
          <w:p w14:paraId="50EC1A6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124 : 131</w:t>
            </w:r>
          </w:p>
        </w:tc>
        <w:tc>
          <w:tcPr>
            <w:tcW w:w="851" w:type="dxa"/>
            <w:tcBorders>
              <w:top w:val="nil"/>
              <w:left w:val="nil"/>
              <w:bottom w:val="nil"/>
              <w:right w:val="nil"/>
            </w:tcBorders>
            <w:shd w:val="clear" w:color="auto" w:fill="auto"/>
            <w:noWrap/>
            <w:vAlign w:val="bottom"/>
            <w:hideMark/>
          </w:tcPr>
          <w:p w14:paraId="0CBE41D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48.6%</w:t>
            </w:r>
          </w:p>
        </w:tc>
        <w:tc>
          <w:tcPr>
            <w:tcW w:w="1984" w:type="dxa"/>
            <w:tcBorders>
              <w:top w:val="nil"/>
              <w:left w:val="nil"/>
              <w:bottom w:val="nil"/>
              <w:right w:val="nil"/>
            </w:tcBorders>
            <w:shd w:val="clear" w:color="auto" w:fill="auto"/>
            <w:noWrap/>
            <w:vAlign w:val="bottom"/>
            <w:hideMark/>
          </w:tcPr>
          <w:p w14:paraId="79F03C6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 (2 to 10)</w:t>
            </w:r>
          </w:p>
        </w:tc>
        <w:tc>
          <w:tcPr>
            <w:tcW w:w="2552" w:type="dxa"/>
            <w:gridSpan w:val="3"/>
            <w:tcBorders>
              <w:top w:val="nil"/>
              <w:left w:val="nil"/>
              <w:bottom w:val="nil"/>
              <w:right w:val="nil"/>
            </w:tcBorders>
            <w:shd w:val="clear" w:color="auto" w:fill="auto"/>
            <w:noWrap/>
            <w:vAlign w:val="bottom"/>
            <w:hideMark/>
          </w:tcPr>
          <w:p w14:paraId="10493154"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26.7%</w:t>
            </w:r>
            <w:r w:rsidR="004720F8" w:rsidRPr="00AD23F1">
              <w:rPr>
                <w:rFonts w:ascii="Calibri" w:eastAsia="Times New Roman" w:hAnsi="Calibri" w:cs="Times New Roman"/>
                <w:color w:val="000000"/>
                <w:lang w:eastAsia="en-GB"/>
              </w:rPr>
              <w:t xml:space="preserve"> (17.4% to 35.1%)</w:t>
            </w:r>
          </w:p>
        </w:tc>
        <w:tc>
          <w:tcPr>
            <w:tcW w:w="1275" w:type="dxa"/>
            <w:tcBorders>
              <w:top w:val="nil"/>
              <w:left w:val="nil"/>
              <w:bottom w:val="nil"/>
              <w:right w:val="nil"/>
            </w:tcBorders>
            <w:shd w:val="clear" w:color="auto" w:fill="auto"/>
            <w:noWrap/>
            <w:vAlign w:val="bottom"/>
            <w:hideMark/>
          </w:tcPr>
          <w:p w14:paraId="62F62021" w14:textId="77777777" w:rsidR="00A07FE7" w:rsidRPr="00A07FE7" w:rsidRDefault="00A07FE7" w:rsidP="005058FA">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&lt;0.0001</w:t>
            </w:r>
          </w:p>
        </w:tc>
        <w:tc>
          <w:tcPr>
            <w:tcW w:w="1415" w:type="dxa"/>
            <w:tcBorders>
              <w:top w:val="nil"/>
              <w:left w:val="nil"/>
              <w:bottom w:val="nil"/>
              <w:right w:val="nil"/>
            </w:tcBorders>
            <w:shd w:val="clear" w:color="auto" w:fill="auto"/>
            <w:noWrap/>
            <w:vAlign w:val="bottom"/>
            <w:hideMark/>
          </w:tcPr>
          <w:p w14:paraId="173B902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w:t>
            </w:r>
            <w:r w:rsidR="00C618F4">
              <w:rPr>
                <w:rFonts w:ascii="Calibri" w:eastAsia="Times New Roman" w:hAnsi="Calibri" w:cs="Times New Roman"/>
                <w:color w:val="000000"/>
                <w:lang w:eastAsia="en-GB"/>
              </w:rPr>
              <w:t xml:space="preserve"> (0 to 2)</w:t>
            </w:r>
          </w:p>
        </w:tc>
        <w:tc>
          <w:tcPr>
            <w:tcW w:w="942" w:type="dxa"/>
            <w:tcBorders>
              <w:top w:val="nil"/>
              <w:left w:val="nil"/>
              <w:bottom w:val="nil"/>
              <w:right w:val="nil"/>
            </w:tcBorders>
            <w:shd w:val="clear" w:color="auto" w:fill="auto"/>
            <w:noWrap/>
            <w:vAlign w:val="bottom"/>
            <w:hideMark/>
          </w:tcPr>
          <w:p w14:paraId="631696F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0.1380</w:t>
            </w:r>
          </w:p>
        </w:tc>
      </w:tr>
      <w:tr w:rsidR="004720F8" w:rsidRPr="00A07FE7" w14:paraId="463FD269" w14:textId="77777777" w:rsidTr="004720F8">
        <w:trPr>
          <w:trHeight w:val="423"/>
        </w:trPr>
        <w:tc>
          <w:tcPr>
            <w:tcW w:w="1374" w:type="dxa"/>
            <w:tcBorders>
              <w:top w:val="nil"/>
              <w:left w:val="nil"/>
              <w:bottom w:val="nil"/>
              <w:right w:val="nil"/>
            </w:tcBorders>
            <w:shd w:val="clear" w:color="auto" w:fill="auto"/>
            <w:noWrap/>
            <w:vAlign w:val="bottom"/>
            <w:hideMark/>
          </w:tcPr>
          <w:p w14:paraId="45E3E91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 xml:space="preserve">Sputum </w:t>
            </w:r>
          </w:p>
        </w:tc>
        <w:tc>
          <w:tcPr>
            <w:tcW w:w="988" w:type="dxa"/>
            <w:tcBorders>
              <w:top w:val="nil"/>
              <w:left w:val="nil"/>
              <w:bottom w:val="nil"/>
              <w:right w:val="nil"/>
            </w:tcBorders>
            <w:shd w:val="clear" w:color="auto" w:fill="auto"/>
            <w:noWrap/>
            <w:vAlign w:val="bottom"/>
            <w:hideMark/>
          </w:tcPr>
          <w:p w14:paraId="5371A8D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53 : 101</w:t>
            </w:r>
          </w:p>
        </w:tc>
        <w:tc>
          <w:tcPr>
            <w:tcW w:w="899" w:type="dxa"/>
            <w:tcBorders>
              <w:top w:val="nil"/>
              <w:left w:val="nil"/>
              <w:bottom w:val="nil"/>
              <w:right w:val="nil"/>
            </w:tcBorders>
            <w:shd w:val="clear" w:color="auto" w:fill="auto"/>
            <w:noWrap/>
            <w:vAlign w:val="bottom"/>
            <w:hideMark/>
          </w:tcPr>
          <w:p w14:paraId="4A6619C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34.4%</w:t>
            </w:r>
          </w:p>
        </w:tc>
        <w:tc>
          <w:tcPr>
            <w:tcW w:w="1984" w:type="dxa"/>
            <w:tcBorders>
              <w:top w:val="nil"/>
              <w:left w:val="nil"/>
              <w:bottom w:val="nil"/>
              <w:right w:val="nil"/>
            </w:tcBorders>
            <w:shd w:val="clear" w:color="auto" w:fill="auto"/>
            <w:noWrap/>
            <w:vAlign w:val="bottom"/>
            <w:hideMark/>
          </w:tcPr>
          <w:p w14:paraId="49F744C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 (3 to 7)</w:t>
            </w:r>
          </w:p>
        </w:tc>
        <w:tc>
          <w:tcPr>
            <w:tcW w:w="1134" w:type="dxa"/>
            <w:tcBorders>
              <w:top w:val="nil"/>
              <w:left w:val="nil"/>
              <w:bottom w:val="nil"/>
              <w:right w:val="nil"/>
            </w:tcBorders>
            <w:shd w:val="clear" w:color="auto" w:fill="auto"/>
            <w:noWrap/>
            <w:vAlign w:val="bottom"/>
            <w:hideMark/>
          </w:tcPr>
          <w:p w14:paraId="2E155DB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56 : 181</w:t>
            </w:r>
          </w:p>
        </w:tc>
        <w:tc>
          <w:tcPr>
            <w:tcW w:w="851" w:type="dxa"/>
            <w:tcBorders>
              <w:top w:val="nil"/>
              <w:left w:val="nil"/>
              <w:bottom w:val="nil"/>
              <w:right w:val="nil"/>
            </w:tcBorders>
            <w:shd w:val="clear" w:color="auto" w:fill="auto"/>
            <w:noWrap/>
            <w:vAlign w:val="bottom"/>
            <w:hideMark/>
          </w:tcPr>
          <w:p w14:paraId="04B8A81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23.6%</w:t>
            </w:r>
          </w:p>
        </w:tc>
        <w:tc>
          <w:tcPr>
            <w:tcW w:w="1984" w:type="dxa"/>
            <w:tcBorders>
              <w:top w:val="nil"/>
              <w:left w:val="nil"/>
              <w:bottom w:val="nil"/>
              <w:right w:val="nil"/>
            </w:tcBorders>
            <w:shd w:val="clear" w:color="auto" w:fill="auto"/>
            <w:noWrap/>
            <w:vAlign w:val="bottom"/>
            <w:hideMark/>
          </w:tcPr>
          <w:p w14:paraId="3B1480A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 (2 to 14)</w:t>
            </w:r>
          </w:p>
        </w:tc>
        <w:tc>
          <w:tcPr>
            <w:tcW w:w="2552" w:type="dxa"/>
            <w:gridSpan w:val="3"/>
            <w:tcBorders>
              <w:top w:val="nil"/>
              <w:left w:val="nil"/>
              <w:bottom w:val="nil"/>
              <w:right w:val="nil"/>
            </w:tcBorders>
            <w:shd w:val="clear" w:color="auto" w:fill="auto"/>
            <w:noWrap/>
            <w:vAlign w:val="bottom"/>
            <w:hideMark/>
          </w:tcPr>
          <w:p w14:paraId="1C9920ED"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10.8%</w:t>
            </w:r>
            <w:r w:rsidR="004720F8" w:rsidRPr="00AD23F1">
              <w:rPr>
                <w:rFonts w:ascii="Calibri" w:eastAsia="Times New Roman" w:hAnsi="Calibri" w:cs="Times New Roman"/>
                <w:color w:val="000000"/>
                <w:lang w:eastAsia="en-GB"/>
              </w:rPr>
              <w:t xml:space="preserve"> (1.7% to 20.0%)</w:t>
            </w:r>
          </w:p>
        </w:tc>
        <w:tc>
          <w:tcPr>
            <w:tcW w:w="1275" w:type="dxa"/>
            <w:tcBorders>
              <w:top w:val="nil"/>
              <w:left w:val="nil"/>
              <w:bottom w:val="nil"/>
              <w:right w:val="nil"/>
            </w:tcBorders>
            <w:shd w:val="clear" w:color="auto" w:fill="auto"/>
            <w:noWrap/>
            <w:vAlign w:val="bottom"/>
            <w:hideMark/>
          </w:tcPr>
          <w:p w14:paraId="3990E0CA" w14:textId="77777777" w:rsidR="00A07FE7" w:rsidRPr="00A07FE7" w:rsidRDefault="00A07FE7" w:rsidP="005058FA">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0.0215</w:t>
            </w:r>
          </w:p>
        </w:tc>
        <w:tc>
          <w:tcPr>
            <w:tcW w:w="1415" w:type="dxa"/>
            <w:tcBorders>
              <w:top w:val="nil"/>
              <w:left w:val="nil"/>
              <w:bottom w:val="nil"/>
              <w:right w:val="nil"/>
            </w:tcBorders>
            <w:shd w:val="clear" w:color="auto" w:fill="auto"/>
            <w:noWrap/>
            <w:vAlign w:val="bottom"/>
            <w:hideMark/>
          </w:tcPr>
          <w:p w14:paraId="060C842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w:t>
            </w:r>
            <w:r w:rsidR="00C618F4">
              <w:rPr>
                <w:rFonts w:ascii="Calibri" w:eastAsia="Times New Roman" w:hAnsi="Calibri" w:cs="Times New Roman"/>
                <w:color w:val="000000"/>
                <w:lang w:eastAsia="en-GB"/>
              </w:rPr>
              <w:t xml:space="preserve"> (-2 to 1)</w:t>
            </w:r>
          </w:p>
        </w:tc>
        <w:tc>
          <w:tcPr>
            <w:tcW w:w="942" w:type="dxa"/>
            <w:tcBorders>
              <w:top w:val="nil"/>
              <w:left w:val="nil"/>
              <w:bottom w:val="nil"/>
              <w:right w:val="nil"/>
            </w:tcBorders>
            <w:shd w:val="clear" w:color="auto" w:fill="auto"/>
            <w:noWrap/>
            <w:vAlign w:val="bottom"/>
            <w:hideMark/>
          </w:tcPr>
          <w:p w14:paraId="293736D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0.8838</w:t>
            </w:r>
          </w:p>
        </w:tc>
      </w:tr>
      <w:tr w:rsidR="004720F8" w:rsidRPr="00A07FE7" w14:paraId="361C7D4C" w14:textId="77777777" w:rsidTr="004720F8">
        <w:trPr>
          <w:trHeight w:val="423"/>
        </w:trPr>
        <w:tc>
          <w:tcPr>
            <w:tcW w:w="1374" w:type="dxa"/>
            <w:tcBorders>
              <w:top w:val="nil"/>
              <w:left w:val="nil"/>
              <w:bottom w:val="nil"/>
              <w:right w:val="nil"/>
            </w:tcBorders>
            <w:shd w:val="clear" w:color="auto" w:fill="auto"/>
            <w:noWrap/>
            <w:vAlign w:val="bottom"/>
            <w:hideMark/>
          </w:tcPr>
          <w:p w14:paraId="1977ED1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Fever</w:t>
            </w:r>
          </w:p>
        </w:tc>
        <w:tc>
          <w:tcPr>
            <w:tcW w:w="988" w:type="dxa"/>
            <w:tcBorders>
              <w:top w:val="nil"/>
              <w:left w:val="nil"/>
              <w:bottom w:val="nil"/>
              <w:right w:val="nil"/>
            </w:tcBorders>
            <w:shd w:val="clear" w:color="auto" w:fill="auto"/>
            <w:noWrap/>
            <w:vAlign w:val="bottom"/>
            <w:hideMark/>
          </w:tcPr>
          <w:p w14:paraId="28CFA19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103 : 60</w:t>
            </w:r>
          </w:p>
        </w:tc>
        <w:tc>
          <w:tcPr>
            <w:tcW w:w="899" w:type="dxa"/>
            <w:tcBorders>
              <w:top w:val="nil"/>
              <w:left w:val="nil"/>
              <w:bottom w:val="nil"/>
              <w:right w:val="nil"/>
            </w:tcBorders>
            <w:shd w:val="clear" w:color="auto" w:fill="auto"/>
            <w:noWrap/>
            <w:vAlign w:val="bottom"/>
            <w:hideMark/>
          </w:tcPr>
          <w:p w14:paraId="4076D89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63.2%</w:t>
            </w:r>
          </w:p>
        </w:tc>
        <w:tc>
          <w:tcPr>
            <w:tcW w:w="1984" w:type="dxa"/>
            <w:tcBorders>
              <w:top w:val="nil"/>
              <w:left w:val="nil"/>
              <w:bottom w:val="nil"/>
              <w:right w:val="nil"/>
            </w:tcBorders>
            <w:shd w:val="clear" w:color="auto" w:fill="auto"/>
            <w:noWrap/>
            <w:vAlign w:val="bottom"/>
            <w:hideMark/>
          </w:tcPr>
          <w:p w14:paraId="2A604F0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 (4 to 9)</w:t>
            </w:r>
          </w:p>
        </w:tc>
        <w:tc>
          <w:tcPr>
            <w:tcW w:w="1134" w:type="dxa"/>
            <w:tcBorders>
              <w:top w:val="nil"/>
              <w:left w:val="nil"/>
              <w:bottom w:val="nil"/>
              <w:right w:val="nil"/>
            </w:tcBorders>
            <w:shd w:val="clear" w:color="auto" w:fill="auto"/>
            <w:noWrap/>
            <w:vAlign w:val="bottom"/>
            <w:hideMark/>
          </w:tcPr>
          <w:p w14:paraId="4BC3C90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97 : 152</w:t>
            </w:r>
          </w:p>
        </w:tc>
        <w:tc>
          <w:tcPr>
            <w:tcW w:w="851" w:type="dxa"/>
            <w:tcBorders>
              <w:top w:val="nil"/>
              <w:left w:val="nil"/>
              <w:bottom w:val="nil"/>
              <w:right w:val="nil"/>
            </w:tcBorders>
            <w:shd w:val="clear" w:color="auto" w:fill="auto"/>
            <w:noWrap/>
            <w:vAlign w:val="bottom"/>
            <w:hideMark/>
          </w:tcPr>
          <w:p w14:paraId="31031DE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39.0%</w:t>
            </w:r>
          </w:p>
        </w:tc>
        <w:tc>
          <w:tcPr>
            <w:tcW w:w="1984" w:type="dxa"/>
            <w:tcBorders>
              <w:top w:val="nil"/>
              <w:left w:val="nil"/>
              <w:bottom w:val="nil"/>
              <w:right w:val="nil"/>
            </w:tcBorders>
            <w:shd w:val="clear" w:color="auto" w:fill="auto"/>
            <w:noWrap/>
            <w:vAlign w:val="bottom"/>
            <w:hideMark/>
          </w:tcPr>
          <w:p w14:paraId="5FA002E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 (1 to 7)</w:t>
            </w:r>
          </w:p>
        </w:tc>
        <w:tc>
          <w:tcPr>
            <w:tcW w:w="2552" w:type="dxa"/>
            <w:gridSpan w:val="3"/>
            <w:tcBorders>
              <w:top w:val="nil"/>
              <w:left w:val="nil"/>
              <w:bottom w:val="nil"/>
              <w:right w:val="nil"/>
            </w:tcBorders>
            <w:shd w:val="clear" w:color="auto" w:fill="auto"/>
            <w:noWrap/>
            <w:vAlign w:val="bottom"/>
            <w:hideMark/>
          </w:tcPr>
          <w:p w14:paraId="189B86A0"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24.2%</w:t>
            </w:r>
            <w:r w:rsidR="004720F8" w:rsidRPr="00AD23F1">
              <w:rPr>
                <w:rFonts w:ascii="Calibri" w:eastAsia="Times New Roman" w:hAnsi="Calibri" w:cs="Times New Roman"/>
                <w:color w:val="000000"/>
                <w:lang w:eastAsia="en-GB"/>
              </w:rPr>
              <w:t xml:space="preserve"> (14.4% to 33.4%)</w:t>
            </w:r>
          </w:p>
        </w:tc>
        <w:tc>
          <w:tcPr>
            <w:tcW w:w="1275" w:type="dxa"/>
            <w:tcBorders>
              <w:top w:val="nil"/>
              <w:left w:val="nil"/>
              <w:bottom w:val="nil"/>
              <w:right w:val="nil"/>
            </w:tcBorders>
            <w:shd w:val="clear" w:color="auto" w:fill="auto"/>
            <w:noWrap/>
            <w:vAlign w:val="bottom"/>
            <w:hideMark/>
          </w:tcPr>
          <w:p w14:paraId="21885888" w14:textId="77777777" w:rsidR="00A07FE7" w:rsidRPr="00A07FE7" w:rsidRDefault="00A07FE7" w:rsidP="005058FA">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&lt;0.0001</w:t>
            </w:r>
          </w:p>
        </w:tc>
        <w:tc>
          <w:tcPr>
            <w:tcW w:w="1415" w:type="dxa"/>
            <w:tcBorders>
              <w:top w:val="nil"/>
              <w:left w:val="nil"/>
              <w:bottom w:val="nil"/>
              <w:right w:val="nil"/>
            </w:tcBorders>
            <w:shd w:val="clear" w:color="auto" w:fill="auto"/>
            <w:noWrap/>
            <w:vAlign w:val="bottom"/>
            <w:hideMark/>
          </w:tcPr>
          <w:p w14:paraId="06B919E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w:t>
            </w:r>
            <w:r w:rsidR="00C618F4">
              <w:rPr>
                <w:rFonts w:ascii="Calibri" w:eastAsia="Times New Roman" w:hAnsi="Calibri" w:cs="Times New Roman"/>
                <w:color w:val="000000"/>
                <w:lang w:eastAsia="en-GB"/>
              </w:rPr>
              <w:t xml:space="preserve"> (1 to 4)</w:t>
            </w:r>
          </w:p>
        </w:tc>
        <w:tc>
          <w:tcPr>
            <w:tcW w:w="942" w:type="dxa"/>
            <w:tcBorders>
              <w:top w:val="nil"/>
              <w:left w:val="nil"/>
              <w:bottom w:val="nil"/>
              <w:right w:val="nil"/>
            </w:tcBorders>
            <w:shd w:val="clear" w:color="auto" w:fill="auto"/>
            <w:noWrap/>
            <w:vAlign w:val="bottom"/>
            <w:hideMark/>
          </w:tcPr>
          <w:p w14:paraId="06243546"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0.0009</w:t>
            </w:r>
          </w:p>
        </w:tc>
      </w:tr>
      <w:tr w:rsidR="004720F8" w:rsidRPr="00A07FE7" w14:paraId="4EC2A069" w14:textId="77777777" w:rsidTr="004720F8">
        <w:trPr>
          <w:trHeight w:val="423"/>
        </w:trPr>
        <w:tc>
          <w:tcPr>
            <w:tcW w:w="1374" w:type="dxa"/>
            <w:tcBorders>
              <w:top w:val="nil"/>
              <w:left w:val="nil"/>
              <w:bottom w:val="nil"/>
              <w:right w:val="nil"/>
            </w:tcBorders>
            <w:shd w:val="clear" w:color="auto" w:fill="auto"/>
            <w:noWrap/>
            <w:vAlign w:val="bottom"/>
            <w:hideMark/>
          </w:tcPr>
          <w:p w14:paraId="7DFF8F4B"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Chills</w:t>
            </w:r>
          </w:p>
        </w:tc>
        <w:tc>
          <w:tcPr>
            <w:tcW w:w="988" w:type="dxa"/>
            <w:tcBorders>
              <w:top w:val="nil"/>
              <w:left w:val="nil"/>
              <w:bottom w:val="nil"/>
              <w:right w:val="nil"/>
            </w:tcBorders>
            <w:shd w:val="clear" w:color="auto" w:fill="auto"/>
            <w:noWrap/>
            <w:vAlign w:val="bottom"/>
            <w:hideMark/>
          </w:tcPr>
          <w:p w14:paraId="5029236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84 : 67</w:t>
            </w:r>
          </w:p>
        </w:tc>
        <w:tc>
          <w:tcPr>
            <w:tcW w:w="899" w:type="dxa"/>
            <w:tcBorders>
              <w:top w:val="nil"/>
              <w:left w:val="nil"/>
              <w:bottom w:val="nil"/>
              <w:right w:val="nil"/>
            </w:tcBorders>
            <w:shd w:val="clear" w:color="auto" w:fill="auto"/>
            <w:noWrap/>
            <w:vAlign w:val="bottom"/>
            <w:hideMark/>
          </w:tcPr>
          <w:p w14:paraId="5540540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55.6%</w:t>
            </w:r>
          </w:p>
        </w:tc>
        <w:tc>
          <w:tcPr>
            <w:tcW w:w="1984" w:type="dxa"/>
            <w:tcBorders>
              <w:top w:val="nil"/>
              <w:left w:val="nil"/>
              <w:bottom w:val="nil"/>
              <w:right w:val="nil"/>
            </w:tcBorders>
            <w:shd w:val="clear" w:color="auto" w:fill="auto"/>
            <w:noWrap/>
            <w:vAlign w:val="bottom"/>
            <w:hideMark/>
          </w:tcPr>
          <w:p w14:paraId="1FE4651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 (5 to 9)</w:t>
            </w:r>
          </w:p>
        </w:tc>
        <w:tc>
          <w:tcPr>
            <w:tcW w:w="1134" w:type="dxa"/>
            <w:tcBorders>
              <w:top w:val="nil"/>
              <w:left w:val="nil"/>
              <w:bottom w:val="nil"/>
              <w:right w:val="nil"/>
            </w:tcBorders>
            <w:shd w:val="clear" w:color="auto" w:fill="auto"/>
            <w:noWrap/>
            <w:vAlign w:val="bottom"/>
            <w:hideMark/>
          </w:tcPr>
          <w:p w14:paraId="1805EC7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83 : 156</w:t>
            </w:r>
          </w:p>
        </w:tc>
        <w:tc>
          <w:tcPr>
            <w:tcW w:w="851" w:type="dxa"/>
            <w:tcBorders>
              <w:top w:val="nil"/>
              <w:left w:val="nil"/>
              <w:bottom w:val="nil"/>
              <w:right w:val="nil"/>
            </w:tcBorders>
            <w:shd w:val="clear" w:color="auto" w:fill="auto"/>
            <w:noWrap/>
            <w:vAlign w:val="bottom"/>
            <w:hideMark/>
          </w:tcPr>
          <w:p w14:paraId="364D0F9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34.7%</w:t>
            </w:r>
          </w:p>
        </w:tc>
        <w:tc>
          <w:tcPr>
            <w:tcW w:w="1984" w:type="dxa"/>
            <w:tcBorders>
              <w:top w:val="nil"/>
              <w:left w:val="nil"/>
              <w:bottom w:val="nil"/>
              <w:right w:val="nil"/>
            </w:tcBorders>
            <w:shd w:val="clear" w:color="auto" w:fill="auto"/>
            <w:noWrap/>
            <w:vAlign w:val="bottom"/>
            <w:hideMark/>
          </w:tcPr>
          <w:p w14:paraId="455BA11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 (1 to 7)</w:t>
            </w:r>
          </w:p>
        </w:tc>
        <w:tc>
          <w:tcPr>
            <w:tcW w:w="2552" w:type="dxa"/>
            <w:gridSpan w:val="3"/>
            <w:tcBorders>
              <w:top w:val="nil"/>
              <w:left w:val="nil"/>
              <w:bottom w:val="nil"/>
              <w:right w:val="nil"/>
            </w:tcBorders>
            <w:shd w:val="clear" w:color="auto" w:fill="auto"/>
            <w:noWrap/>
            <w:vAlign w:val="bottom"/>
            <w:hideMark/>
          </w:tcPr>
          <w:p w14:paraId="6740DB81"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20.9%</w:t>
            </w:r>
            <w:r w:rsidR="004720F8" w:rsidRPr="00AD23F1">
              <w:rPr>
                <w:rFonts w:ascii="Calibri" w:eastAsia="Times New Roman" w:hAnsi="Calibri" w:cs="Times New Roman"/>
                <w:color w:val="000000"/>
                <w:lang w:eastAsia="en-GB"/>
              </w:rPr>
              <w:t xml:space="preserve"> (10.8% to 30.5%)</w:t>
            </w:r>
          </w:p>
        </w:tc>
        <w:tc>
          <w:tcPr>
            <w:tcW w:w="1275" w:type="dxa"/>
            <w:tcBorders>
              <w:top w:val="nil"/>
              <w:left w:val="nil"/>
              <w:bottom w:val="nil"/>
              <w:right w:val="nil"/>
            </w:tcBorders>
            <w:shd w:val="clear" w:color="auto" w:fill="auto"/>
            <w:noWrap/>
            <w:vAlign w:val="bottom"/>
            <w:hideMark/>
          </w:tcPr>
          <w:p w14:paraId="3E31DB60" w14:textId="77777777" w:rsidR="00A07FE7" w:rsidRPr="00A07FE7" w:rsidRDefault="00A07FE7" w:rsidP="005058FA">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&lt;0.0001</w:t>
            </w:r>
          </w:p>
        </w:tc>
        <w:tc>
          <w:tcPr>
            <w:tcW w:w="1415" w:type="dxa"/>
            <w:tcBorders>
              <w:top w:val="nil"/>
              <w:left w:val="nil"/>
              <w:bottom w:val="nil"/>
              <w:right w:val="nil"/>
            </w:tcBorders>
            <w:shd w:val="clear" w:color="auto" w:fill="auto"/>
            <w:noWrap/>
            <w:vAlign w:val="bottom"/>
            <w:hideMark/>
          </w:tcPr>
          <w:p w14:paraId="19B9C0D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w:t>
            </w:r>
            <w:r w:rsidR="00C618F4">
              <w:rPr>
                <w:rFonts w:ascii="Calibri" w:eastAsia="Times New Roman" w:hAnsi="Calibri" w:cs="Times New Roman"/>
                <w:color w:val="000000"/>
                <w:lang w:eastAsia="en-GB"/>
              </w:rPr>
              <w:t xml:space="preserve"> (1 to 5)</w:t>
            </w:r>
          </w:p>
        </w:tc>
        <w:tc>
          <w:tcPr>
            <w:tcW w:w="942" w:type="dxa"/>
            <w:tcBorders>
              <w:top w:val="nil"/>
              <w:left w:val="nil"/>
              <w:bottom w:val="nil"/>
              <w:right w:val="nil"/>
            </w:tcBorders>
            <w:shd w:val="clear" w:color="auto" w:fill="auto"/>
            <w:noWrap/>
            <w:vAlign w:val="bottom"/>
            <w:hideMark/>
          </w:tcPr>
          <w:p w14:paraId="06282FE9"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&lt;0.0001</w:t>
            </w:r>
          </w:p>
        </w:tc>
      </w:tr>
      <w:tr w:rsidR="004720F8" w:rsidRPr="00A07FE7" w14:paraId="6C2D5845" w14:textId="77777777" w:rsidTr="004720F8">
        <w:trPr>
          <w:trHeight w:val="423"/>
        </w:trPr>
        <w:tc>
          <w:tcPr>
            <w:tcW w:w="1374" w:type="dxa"/>
            <w:tcBorders>
              <w:top w:val="nil"/>
              <w:left w:val="nil"/>
              <w:bottom w:val="nil"/>
              <w:right w:val="nil"/>
            </w:tcBorders>
            <w:shd w:val="clear" w:color="auto" w:fill="auto"/>
            <w:noWrap/>
            <w:vAlign w:val="bottom"/>
            <w:hideMark/>
          </w:tcPr>
          <w:p w14:paraId="1B90C0C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Fatigue</w:t>
            </w:r>
          </w:p>
        </w:tc>
        <w:tc>
          <w:tcPr>
            <w:tcW w:w="988" w:type="dxa"/>
            <w:tcBorders>
              <w:top w:val="nil"/>
              <w:left w:val="nil"/>
              <w:bottom w:val="nil"/>
              <w:right w:val="nil"/>
            </w:tcBorders>
            <w:shd w:val="clear" w:color="auto" w:fill="auto"/>
            <w:noWrap/>
            <w:vAlign w:val="bottom"/>
            <w:hideMark/>
          </w:tcPr>
          <w:p w14:paraId="1B40439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117 : 33</w:t>
            </w:r>
          </w:p>
        </w:tc>
        <w:tc>
          <w:tcPr>
            <w:tcW w:w="899" w:type="dxa"/>
            <w:tcBorders>
              <w:top w:val="nil"/>
              <w:left w:val="nil"/>
              <w:bottom w:val="nil"/>
              <w:right w:val="nil"/>
            </w:tcBorders>
            <w:shd w:val="clear" w:color="auto" w:fill="auto"/>
            <w:noWrap/>
            <w:vAlign w:val="bottom"/>
            <w:hideMark/>
          </w:tcPr>
          <w:p w14:paraId="0B6E0BF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78.0%</w:t>
            </w:r>
          </w:p>
        </w:tc>
        <w:tc>
          <w:tcPr>
            <w:tcW w:w="1984" w:type="dxa"/>
            <w:tcBorders>
              <w:top w:val="nil"/>
              <w:left w:val="nil"/>
              <w:bottom w:val="nil"/>
              <w:right w:val="nil"/>
            </w:tcBorders>
            <w:shd w:val="clear" w:color="auto" w:fill="auto"/>
            <w:noWrap/>
            <w:vAlign w:val="bottom"/>
            <w:hideMark/>
          </w:tcPr>
          <w:p w14:paraId="17CEC6B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 (4.75 to 10)</w:t>
            </w:r>
          </w:p>
        </w:tc>
        <w:tc>
          <w:tcPr>
            <w:tcW w:w="1134" w:type="dxa"/>
            <w:tcBorders>
              <w:top w:val="nil"/>
              <w:left w:val="nil"/>
              <w:bottom w:val="nil"/>
              <w:right w:val="nil"/>
            </w:tcBorders>
            <w:shd w:val="clear" w:color="auto" w:fill="auto"/>
            <w:noWrap/>
            <w:vAlign w:val="bottom"/>
            <w:hideMark/>
          </w:tcPr>
          <w:p w14:paraId="72AA6A9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144 : 92</w:t>
            </w:r>
          </w:p>
        </w:tc>
        <w:tc>
          <w:tcPr>
            <w:tcW w:w="851" w:type="dxa"/>
            <w:tcBorders>
              <w:top w:val="nil"/>
              <w:left w:val="nil"/>
              <w:bottom w:val="nil"/>
              <w:right w:val="nil"/>
            </w:tcBorders>
            <w:shd w:val="clear" w:color="auto" w:fill="auto"/>
            <w:noWrap/>
            <w:vAlign w:val="bottom"/>
            <w:hideMark/>
          </w:tcPr>
          <w:p w14:paraId="0EC721D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61.0%</w:t>
            </w:r>
          </w:p>
        </w:tc>
        <w:tc>
          <w:tcPr>
            <w:tcW w:w="1984" w:type="dxa"/>
            <w:tcBorders>
              <w:top w:val="nil"/>
              <w:left w:val="nil"/>
              <w:bottom w:val="nil"/>
              <w:right w:val="nil"/>
            </w:tcBorders>
            <w:shd w:val="clear" w:color="auto" w:fill="auto"/>
            <w:noWrap/>
            <w:vAlign w:val="bottom"/>
            <w:hideMark/>
          </w:tcPr>
          <w:p w14:paraId="0869A44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 (2 to 14)</w:t>
            </w:r>
          </w:p>
        </w:tc>
        <w:tc>
          <w:tcPr>
            <w:tcW w:w="2552" w:type="dxa"/>
            <w:gridSpan w:val="3"/>
            <w:tcBorders>
              <w:top w:val="nil"/>
              <w:left w:val="nil"/>
              <w:bottom w:val="nil"/>
              <w:right w:val="nil"/>
            </w:tcBorders>
            <w:shd w:val="clear" w:color="auto" w:fill="auto"/>
            <w:noWrap/>
            <w:vAlign w:val="bottom"/>
            <w:hideMark/>
          </w:tcPr>
          <w:p w14:paraId="57CEE3BF"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17.0%</w:t>
            </w:r>
            <w:r w:rsidR="004720F8" w:rsidRPr="00AD23F1">
              <w:rPr>
                <w:rFonts w:ascii="Calibri" w:eastAsia="Times New Roman" w:hAnsi="Calibri" w:cs="Times New Roman"/>
                <w:color w:val="000000"/>
                <w:lang w:eastAsia="en-GB"/>
              </w:rPr>
              <w:t xml:space="preserve"> (7.6% to 25.6%)</w:t>
            </w:r>
          </w:p>
        </w:tc>
        <w:tc>
          <w:tcPr>
            <w:tcW w:w="1275" w:type="dxa"/>
            <w:tcBorders>
              <w:top w:val="nil"/>
              <w:left w:val="nil"/>
              <w:bottom w:val="nil"/>
              <w:right w:val="nil"/>
            </w:tcBorders>
            <w:shd w:val="clear" w:color="auto" w:fill="auto"/>
            <w:noWrap/>
            <w:vAlign w:val="bottom"/>
            <w:hideMark/>
          </w:tcPr>
          <w:p w14:paraId="3703EE94" w14:textId="77777777" w:rsidR="00A07FE7" w:rsidRPr="00A07FE7" w:rsidRDefault="00A07FE7" w:rsidP="005058FA">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0.0005</w:t>
            </w:r>
          </w:p>
        </w:tc>
        <w:tc>
          <w:tcPr>
            <w:tcW w:w="1415" w:type="dxa"/>
            <w:tcBorders>
              <w:top w:val="nil"/>
              <w:left w:val="nil"/>
              <w:bottom w:val="nil"/>
              <w:right w:val="nil"/>
            </w:tcBorders>
            <w:shd w:val="clear" w:color="auto" w:fill="auto"/>
            <w:noWrap/>
            <w:vAlign w:val="bottom"/>
            <w:hideMark/>
          </w:tcPr>
          <w:p w14:paraId="2CE4759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w:t>
            </w:r>
            <w:r w:rsidR="00AC03A3">
              <w:rPr>
                <w:rFonts w:ascii="Calibri" w:eastAsia="Times New Roman" w:hAnsi="Calibri" w:cs="Times New Roman"/>
                <w:color w:val="000000"/>
                <w:lang w:eastAsia="en-GB"/>
              </w:rPr>
              <w:t xml:space="preserve"> (0 to 3)</w:t>
            </w:r>
          </w:p>
        </w:tc>
        <w:tc>
          <w:tcPr>
            <w:tcW w:w="942" w:type="dxa"/>
            <w:tcBorders>
              <w:top w:val="nil"/>
              <w:left w:val="nil"/>
              <w:bottom w:val="nil"/>
              <w:right w:val="nil"/>
            </w:tcBorders>
            <w:shd w:val="clear" w:color="auto" w:fill="auto"/>
            <w:noWrap/>
            <w:vAlign w:val="bottom"/>
            <w:hideMark/>
          </w:tcPr>
          <w:p w14:paraId="537FE2D1"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0.0216</w:t>
            </w:r>
          </w:p>
        </w:tc>
      </w:tr>
      <w:tr w:rsidR="004720F8" w:rsidRPr="00A07FE7" w14:paraId="08DBE62B" w14:textId="77777777" w:rsidTr="004720F8">
        <w:trPr>
          <w:trHeight w:val="423"/>
        </w:trPr>
        <w:tc>
          <w:tcPr>
            <w:tcW w:w="1374" w:type="dxa"/>
            <w:tcBorders>
              <w:top w:val="nil"/>
              <w:left w:val="nil"/>
              <w:bottom w:val="nil"/>
              <w:right w:val="nil"/>
            </w:tcBorders>
            <w:shd w:val="clear" w:color="auto" w:fill="auto"/>
            <w:noWrap/>
            <w:vAlign w:val="bottom"/>
            <w:hideMark/>
          </w:tcPr>
          <w:p w14:paraId="22A041E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Reduced appetite</w:t>
            </w:r>
          </w:p>
        </w:tc>
        <w:tc>
          <w:tcPr>
            <w:tcW w:w="988" w:type="dxa"/>
            <w:tcBorders>
              <w:top w:val="nil"/>
              <w:left w:val="nil"/>
              <w:bottom w:val="nil"/>
              <w:right w:val="nil"/>
            </w:tcBorders>
            <w:shd w:val="clear" w:color="auto" w:fill="auto"/>
            <w:noWrap/>
            <w:vAlign w:val="bottom"/>
            <w:hideMark/>
          </w:tcPr>
          <w:p w14:paraId="790E32D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112 : 40</w:t>
            </w:r>
          </w:p>
        </w:tc>
        <w:tc>
          <w:tcPr>
            <w:tcW w:w="899" w:type="dxa"/>
            <w:tcBorders>
              <w:top w:val="nil"/>
              <w:left w:val="nil"/>
              <w:bottom w:val="nil"/>
              <w:right w:val="nil"/>
            </w:tcBorders>
            <w:shd w:val="clear" w:color="auto" w:fill="auto"/>
            <w:noWrap/>
            <w:vAlign w:val="bottom"/>
            <w:hideMark/>
          </w:tcPr>
          <w:p w14:paraId="30C0FA6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73.7%</w:t>
            </w:r>
          </w:p>
        </w:tc>
        <w:tc>
          <w:tcPr>
            <w:tcW w:w="1984" w:type="dxa"/>
            <w:tcBorders>
              <w:top w:val="nil"/>
              <w:left w:val="nil"/>
              <w:bottom w:val="nil"/>
              <w:right w:val="nil"/>
            </w:tcBorders>
            <w:shd w:val="clear" w:color="auto" w:fill="auto"/>
            <w:noWrap/>
            <w:vAlign w:val="bottom"/>
            <w:hideMark/>
          </w:tcPr>
          <w:p w14:paraId="765255B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 (4.5 to 10)</w:t>
            </w:r>
          </w:p>
        </w:tc>
        <w:tc>
          <w:tcPr>
            <w:tcW w:w="1134" w:type="dxa"/>
            <w:tcBorders>
              <w:top w:val="nil"/>
              <w:left w:val="nil"/>
              <w:bottom w:val="nil"/>
              <w:right w:val="nil"/>
            </w:tcBorders>
            <w:shd w:val="clear" w:color="auto" w:fill="auto"/>
            <w:noWrap/>
            <w:vAlign w:val="bottom"/>
            <w:hideMark/>
          </w:tcPr>
          <w:p w14:paraId="4FB0598D"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116 : 116</w:t>
            </w:r>
          </w:p>
        </w:tc>
        <w:tc>
          <w:tcPr>
            <w:tcW w:w="851" w:type="dxa"/>
            <w:tcBorders>
              <w:top w:val="nil"/>
              <w:left w:val="nil"/>
              <w:bottom w:val="nil"/>
              <w:right w:val="nil"/>
            </w:tcBorders>
            <w:shd w:val="clear" w:color="auto" w:fill="auto"/>
            <w:noWrap/>
            <w:vAlign w:val="bottom"/>
            <w:hideMark/>
          </w:tcPr>
          <w:p w14:paraId="3B68560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50.0%</w:t>
            </w:r>
          </w:p>
        </w:tc>
        <w:tc>
          <w:tcPr>
            <w:tcW w:w="1984" w:type="dxa"/>
            <w:tcBorders>
              <w:top w:val="nil"/>
              <w:left w:val="nil"/>
              <w:bottom w:val="nil"/>
              <w:right w:val="nil"/>
            </w:tcBorders>
            <w:shd w:val="clear" w:color="auto" w:fill="auto"/>
            <w:noWrap/>
            <w:vAlign w:val="bottom"/>
            <w:hideMark/>
          </w:tcPr>
          <w:p w14:paraId="2CBA3D2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 (2 to 10)</w:t>
            </w:r>
          </w:p>
        </w:tc>
        <w:tc>
          <w:tcPr>
            <w:tcW w:w="2552" w:type="dxa"/>
            <w:gridSpan w:val="3"/>
            <w:tcBorders>
              <w:top w:val="nil"/>
              <w:left w:val="nil"/>
              <w:bottom w:val="nil"/>
              <w:right w:val="nil"/>
            </w:tcBorders>
            <w:shd w:val="clear" w:color="auto" w:fill="auto"/>
            <w:noWrap/>
            <w:vAlign w:val="bottom"/>
            <w:hideMark/>
          </w:tcPr>
          <w:p w14:paraId="7FC850B0"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23.7%</w:t>
            </w:r>
            <w:r w:rsidR="004720F8" w:rsidRPr="00AD23F1">
              <w:rPr>
                <w:rFonts w:ascii="Calibri" w:eastAsia="Times New Roman" w:hAnsi="Calibri" w:cs="Times New Roman"/>
                <w:color w:val="000000"/>
                <w:lang w:eastAsia="en-GB"/>
              </w:rPr>
              <w:t xml:space="preserve"> (</w:t>
            </w:r>
            <w:r w:rsidR="00F63A6B" w:rsidRPr="00AD23F1">
              <w:rPr>
                <w:rFonts w:ascii="Calibri" w:eastAsia="Times New Roman" w:hAnsi="Calibri" w:cs="Times New Roman"/>
                <w:color w:val="000000"/>
                <w:lang w:eastAsia="en-GB"/>
              </w:rPr>
              <w:t>13.8% to 32.7%)</w:t>
            </w:r>
          </w:p>
        </w:tc>
        <w:tc>
          <w:tcPr>
            <w:tcW w:w="1275" w:type="dxa"/>
            <w:tcBorders>
              <w:top w:val="nil"/>
              <w:left w:val="nil"/>
              <w:bottom w:val="nil"/>
              <w:right w:val="nil"/>
            </w:tcBorders>
            <w:shd w:val="clear" w:color="auto" w:fill="auto"/>
            <w:noWrap/>
            <w:vAlign w:val="bottom"/>
            <w:hideMark/>
          </w:tcPr>
          <w:p w14:paraId="42CC5C22" w14:textId="77777777" w:rsidR="00A07FE7" w:rsidRPr="00A07FE7" w:rsidRDefault="00A07FE7" w:rsidP="005058FA">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&lt;0.0001</w:t>
            </w:r>
          </w:p>
        </w:tc>
        <w:tc>
          <w:tcPr>
            <w:tcW w:w="1415" w:type="dxa"/>
            <w:tcBorders>
              <w:top w:val="nil"/>
              <w:left w:val="nil"/>
              <w:bottom w:val="nil"/>
              <w:right w:val="nil"/>
            </w:tcBorders>
            <w:shd w:val="clear" w:color="auto" w:fill="auto"/>
            <w:noWrap/>
            <w:vAlign w:val="bottom"/>
            <w:hideMark/>
          </w:tcPr>
          <w:p w14:paraId="34F7694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w:t>
            </w:r>
            <w:r w:rsidR="00AC03A3">
              <w:rPr>
                <w:rFonts w:ascii="Calibri" w:eastAsia="Times New Roman" w:hAnsi="Calibri" w:cs="Times New Roman"/>
                <w:color w:val="000000"/>
                <w:lang w:eastAsia="en-GB"/>
              </w:rPr>
              <w:t xml:space="preserve"> (0 to 3)</w:t>
            </w:r>
          </w:p>
        </w:tc>
        <w:tc>
          <w:tcPr>
            <w:tcW w:w="942" w:type="dxa"/>
            <w:tcBorders>
              <w:top w:val="nil"/>
              <w:left w:val="nil"/>
              <w:bottom w:val="nil"/>
              <w:right w:val="nil"/>
            </w:tcBorders>
            <w:shd w:val="clear" w:color="auto" w:fill="auto"/>
            <w:noWrap/>
            <w:vAlign w:val="bottom"/>
            <w:hideMark/>
          </w:tcPr>
          <w:p w14:paraId="128EBC56"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0.0047</w:t>
            </w:r>
          </w:p>
        </w:tc>
      </w:tr>
      <w:tr w:rsidR="004720F8" w:rsidRPr="00A07FE7" w14:paraId="1ACBFDC2" w14:textId="77777777" w:rsidTr="004720F8">
        <w:trPr>
          <w:trHeight w:val="423"/>
        </w:trPr>
        <w:tc>
          <w:tcPr>
            <w:tcW w:w="1374" w:type="dxa"/>
            <w:tcBorders>
              <w:top w:val="nil"/>
              <w:left w:val="nil"/>
              <w:bottom w:val="nil"/>
              <w:right w:val="nil"/>
            </w:tcBorders>
            <w:shd w:val="clear" w:color="auto" w:fill="auto"/>
            <w:noWrap/>
            <w:vAlign w:val="bottom"/>
            <w:hideMark/>
          </w:tcPr>
          <w:p w14:paraId="7719B89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Headache</w:t>
            </w:r>
          </w:p>
        </w:tc>
        <w:tc>
          <w:tcPr>
            <w:tcW w:w="988" w:type="dxa"/>
            <w:tcBorders>
              <w:top w:val="nil"/>
              <w:left w:val="nil"/>
              <w:bottom w:val="nil"/>
              <w:right w:val="nil"/>
            </w:tcBorders>
            <w:shd w:val="clear" w:color="auto" w:fill="auto"/>
            <w:noWrap/>
            <w:vAlign w:val="bottom"/>
            <w:hideMark/>
          </w:tcPr>
          <w:p w14:paraId="30CA6E5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73 : 76</w:t>
            </w:r>
          </w:p>
        </w:tc>
        <w:tc>
          <w:tcPr>
            <w:tcW w:w="899" w:type="dxa"/>
            <w:tcBorders>
              <w:top w:val="nil"/>
              <w:left w:val="nil"/>
              <w:bottom w:val="nil"/>
              <w:right w:val="nil"/>
            </w:tcBorders>
            <w:shd w:val="clear" w:color="auto" w:fill="auto"/>
            <w:noWrap/>
            <w:vAlign w:val="bottom"/>
            <w:hideMark/>
          </w:tcPr>
          <w:p w14:paraId="60F6D29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49.0%</w:t>
            </w:r>
          </w:p>
        </w:tc>
        <w:tc>
          <w:tcPr>
            <w:tcW w:w="1984" w:type="dxa"/>
            <w:tcBorders>
              <w:top w:val="nil"/>
              <w:left w:val="nil"/>
              <w:bottom w:val="nil"/>
              <w:right w:val="nil"/>
            </w:tcBorders>
            <w:shd w:val="clear" w:color="auto" w:fill="auto"/>
            <w:noWrap/>
            <w:vAlign w:val="bottom"/>
            <w:hideMark/>
          </w:tcPr>
          <w:p w14:paraId="77FA01C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 (4 to 9)</w:t>
            </w:r>
          </w:p>
        </w:tc>
        <w:tc>
          <w:tcPr>
            <w:tcW w:w="1134" w:type="dxa"/>
            <w:tcBorders>
              <w:top w:val="nil"/>
              <w:left w:val="nil"/>
              <w:bottom w:val="nil"/>
              <w:right w:val="nil"/>
            </w:tcBorders>
            <w:shd w:val="clear" w:color="auto" w:fill="auto"/>
            <w:noWrap/>
            <w:vAlign w:val="bottom"/>
            <w:hideMark/>
          </w:tcPr>
          <w:p w14:paraId="4D2268E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78 : 157</w:t>
            </w:r>
          </w:p>
        </w:tc>
        <w:tc>
          <w:tcPr>
            <w:tcW w:w="851" w:type="dxa"/>
            <w:tcBorders>
              <w:top w:val="nil"/>
              <w:left w:val="nil"/>
              <w:bottom w:val="nil"/>
              <w:right w:val="nil"/>
            </w:tcBorders>
            <w:shd w:val="clear" w:color="auto" w:fill="auto"/>
            <w:noWrap/>
            <w:vAlign w:val="bottom"/>
            <w:hideMark/>
          </w:tcPr>
          <w:p w14:paraId="3C20839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33.2%</w:t>
            </w:r>
          </w:p>
        </w:tc>
        <w:tc>
          <w:tcPr>
            <w:tcW w:w="1984" w:type="dxa"/>
            <w:tcBorders>
              <w:top w:val="nil"/>
              <w:left w:val="nil"/>
              <w:bottom w:val="nil"/>
              <w:right w:val="nil"/>
            </w:tcBorders>
            <w:shd w:val="clear" w:color="auto" w:fill="auto"/>
            <w:noWrap/>
            <w:vAlign w:val="bottom"/>
            <w:hideMark/>
          </w:tcPr>
          <w:p w14:paraId="4665583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 (1 to 7)</w:t>
            </w:r>
          </w:p>
        </w:tc>
        <w:tc>
          <w:tcPr>
            <w:tcW w:w="2552" w:type="dxa"/>
            <w:gridSpan w:val="3"/>
            <w:tcBorders>
              <w:top w:val="nil"/>
              <w:left w:val="nil"/>
              <w:bottom w:val="nil"/>
              <w:right w:val="nil"/>
            </w:tcBorders>
            <w:shd w:val="clear" w:color="auto" w:fill="auto"/>
            <w:noWrap/>
            <w:vAlign w:val="bottom"/>
            <w:hideMark/>
          </w:tcPr>
          <w:p w14:paraId="38F591A4"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15.8%</w:t>
            </w:r>
            <w:r w:rsidR="00F63A6B" w:rsidRPr="00AD23F1">
              <w:rPr>
                <w:rFonts w:ascii="Calibri" w:eastAsia="Times New Roman" w:hAnsi="Calibri" w:cs="Times New Roman"/>
                <w:color w:val="000000"/>
                <w:lang w:eastAsia="en-GB"/>
              </w:rPr>
              <w:t xml:space="preserve"> (5.7% to 25.6%)</w:t>
            </w:r>
          </w:p>
        </w:tc>
        <w:tc>
          <w:tcPr>
            <w:tcW w:w="1275" w:type="dxa"/>
            <w:tcBorders>
              <w:top w:val="nil"/>
              <w:left w:val="nil"/>
              <w:bottom w:val="nil"/>
              <w:right w:val="nil"/>
            </w:tcBorders>
            <w:shd w:val="clear" w:color="auto" w:fill="auto"/>
            <w:noWrap/>
            <w:vAlign w:val="bottom"/>
            <w:hideMark/>
          </w:tcPr>
          <w:p w14:paraId="3FE116BF" w14:textId="77777777" w:rsidR="00A07FE7" w:rsidRPr="00A07FE7" w:rsidRDefault="00A07FE7" w:rsidP="005058FA">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0.0026</w:t>
            </w:r>
          </w:p>
        </w:tc>
        <w:tc>
          <w:tcPr>
            <w:tcW w:w="1415" w:type="dxa"/>
            <w:tcBorders>
              <w:top w:val="nil"/>
              <w:left w:val="nil"/>
              <w:bottom w:val="nil"/>
              <w:right w:val="nil"/>
            </w:tcBorders>
            <w:shd w:val="clear" w:color="auto" w:fill="auto"/>
            <w:noWrap/>
            <w:vAlign w:val="bottom"/>
            <w:hideMark/>
          </w:tcPr>
          <w:p w14:paraId="393272E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w:t>
            </w:r>
            <w:r w:rsidR="00AC03A3">
              <w:rPr>
                <w:rFonts w:ascii="Calibri" w:eastAsia="Times New Roman" w:hAnsi="Calibri" w:cs="Times New Roman"/>
                <w:color w:val="000000"/>
                <w:lang w:eastAsia="en-GB"/>
              </w:rPr>
              <w:t xml:space="preserve"> (1 to 5)</w:t>
            </w:r>
          </w:p>
        </w:tc>
        <w:tc>
          <w:tcPr>
            <w:tcW w:w="942" w:type="dxa"/>
            <w:tcBorders>
              <w:top w:val="nil"/>
              <w:left w:val="nil"/>
              <w:bottom w:val="nil"/>
              <w:right w:val="nil"/>
            </w:tcBorders>
            <w:shd w:val="clear" w:color="auto" w:fill="auto"/>
            <w:noWrap/>
            <w:vAlign w:val="bottom"/>
            <w:hideMark/>
          </w:tcPr>
          <w:p w14:paraId="5F6E053E"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0.0008</w:t>
            </w:r>
          </w:p>
        </w:tc>
      </w:tr>
      <w:tr w:rsidR="004720F8" w:rsidRPr="00A07FE7" w14:paraId="11231E87" w14:textId="77777777" w:rsidTr="004720F8">
        <w:trPr>
          <w:trHeight w:val="423"/>
        </w:trPr>
        <w:tc>
          <w:tcPr>
            <w:tcW w:w="1374" w:type="dxa"/>
            <w:tcBorders>
              <w:top w:val="nil"/>
              <w:left w:val="nil"/>
              <w:bottom w:val="nil"/>
              <w:right w:val="nil"/>
            </w:tcBorders>
            <w:shd w:val="clear" w:color="auto" w:fill="auto"/>
            <w:noWrap/>
            <w:vAlign w:val="bottom"/>
            <w:hideMark/>
          </w:tcPr>
          <w:p w14:paraId="1ED2B3F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Myalgia</w:t>
            </w:r>
          </w:p>
        </w:tc>
        <w:tc>
          <w:tcPr>
            <w:tcW w:w="988" w:type="dxa"/>
            <w:tcBorders>
              <w:top w:val="nil"/>
              <w:left w:val="nil"/>
              <w:bottom w:val="nil"/>
              <w:right w:val="nil"/>
            </w:tcBorders>
            <w:shd w:val="clear" w:color="auto" w:fill="auto"/>
            <w:noWrap/>
            <w:vAlign w:val="bottom"/>
            <w:hideMark/>
          </w:tcPr>
          <w:p w14:paraId="144F2FA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62 : 87</w:t>
            </w:r>
          </w:p>
        </w:tc>
        <w:tc>
          <w:tcPr>
            <w:tcW w:w="899" w:type="dxa"/>
            <w:tcBorders>
              <w:top w:val="nil"/>
              <w:left w:val="nil"/>
              <w:bottom w:val="nil"/>
              <w:right w:val="nil"/>
            </w:tcBorders>
            <w:shd w:val="clear" w:color="auto" w:fill="auto"/>
            <w:noWrap/>
            <w:vAlign w:val="bottom"/>
            <w:hideMark/>
          </w:tcPr>
          <w:p w14:paraId="3CE3C52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41.6%</w:t>
            </w:r>
          </w:p>
        </w:tc>
        <w:tc>
          <w:tcPr>
            <w:tcW w:w="1984" w:type="dxa"/>
            <w:tcBorders>
              <w:top w:val="nil"/>
              <w:left w:val="nil"/>
              <w:bottom w:val="nil"/>
              <w:right w:val="nil"/>
            </w:tcBorders>
            <w:shd w:val="clear" w:color="auto" w:fill="auto"/>
            <w:noWrap/>
            <w:vAlign w:val="bottom"/>
            <w:hideMark/>
          </w:tcPr>
          <w:p w14:paraId="090E43F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 (4 to 8)</w:t>
            </w:r>
          </w:p>
        </w:tc>
        <w:tc>
          <w:tcPr>
            <w:tcW w:w="1134" w:type="dxa"/>
            <w:tcBorders>
              <w:top w:val="nil"/>
              <w:left w:val="nil"/>
              <w:bottom w:val="nil"/>
              <w:right w:val="nil"/>
            </w:tcBorders>
            <w:shd w:val="clear" w:color="auto" w:fill="auto"/>
            <w:noWrap/>
            <w:vAlign w:val="bottom"/>
            <w:hideMark/>
          </w:tcPr>
          <w:p w14:paraId="0351ADA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58 : 174</w:t>
            </w:r>
          </w:p>
        </w:tc>
        <w:tc>
          <w:tcPr>
            <w:tcW w:w="851" w:type="dxa"/>
            <w:tcBorders>
              <w:top w:val="nil"/>
              <w:left w:val="nil"/>
              <w:bottom w:val="nil"/>
              <w:right w:val="nil"/>
            </w:tcBorders>
            <w:shd w:val="clear" w:color="auto" w:fill="auto"/>
            <w:noWrap/>
            <w:vAlign w:val="bottom"/>
            <w:hideMark/>
          </w:tcPr>
          <w:p w14:paraId="6F7E9FA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25.0%</w:t>
            </w:r>
          </w:p>
        </w:tc>
        <w:tc>
          <w:tcPr>
            <w:tcW w:w="1984" w:type="dxa"/>
            <w:tcBorders>
              <w:top w:val="nil"/>
              <w:left w:val="nil"/>
              <w:bottom w:val="nil"/>
              <w:right w:val="nil"/>
            </w:tcBorders>
            <w:shd w:val="clear" w:color="auto" w:fill="auto"/>
            <w:noWrap/>
            <w:vAlign w:val="bottom"/>
            <w:hideMark/>
          </w:tcPr>
          <w:p w14:paraId="67BEA86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3.5 (2 to 8.5)</w:t>
            </w:r>
          </w:p>
        </w:tc>
        <w:tc>
          <w:tcPr>
            <w:tcW w:w="2552" w:type="dxa"/>
            <w:gridSpan w:val="3"/>
            <w:tcBorders>
              <w:top w:val="nil"/>
              <w:left w:val="nil"/>
              <w:bottom w:val="nil"/>
              <w:right w:val="nil"/>
            </w:tcBorders>
            <w:shd w:val="clear" w:color="auto" w:fill="auto"/>
            <w:noWrap/>
            <w:vAlign w:val="bottom"/>
            <w:hideMark/>
          </w:tcPr>
          <w:p w14:paraId="18502C5A"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16.6%</w:t>
            </w:r>
            <w:r w:rsidR="00F63A6B" w:rsidRPr="00AD23F1">
              <w:rPr>
                <w:rFonts w:ascii="Calibri" w:eastAsia="Times New Roman" w:hAnsi="Calibri" w:cs="Times New Roman"/>
                <w:color w:val="000000"/>
                <w:lang w:eastAsia="en-GB"/>
              </w:rPr>
              <w:t xml:space="preserve"> (</w:t>
            </w:r>
            <w:r w:rsidR="00002EF1" w:rsidRPr="00AD23F1">
              <w:rPr>
                <w:rFonts w:ascii="Calibri" w:eastAsia="Times New Roman" w:hAnsi="Calibri" w:cs="Times New Roman"/>
                <w:color w:val="000000"/>
                <w:lang w:eastAsia="en-GB"/>
              </w:rPr>
              <w:t>7.0% to 26.1%)</w:t>
            </w:r>
          </w:p>
        </w:tc>
        <w:tc>
          <w:tcPr>
            <w:tcW w:w="1275" w:type="dxa"/>
            <w:tcBorders>
              <w:top w:val="nil"/>
              <w:left w:val="nil"/>
              <w:bottom w:val="nil"/>
              <w:right w:val="nil"/>
            </w:tcBorders>
            <w:shd w:val="clear" w:color="auto" w:fill="auto"/>
            <w:noWrap/>
            <w:vAlign w:val="bottom"/>
            <w:hideMark/>
          </w:tcPr>
          <w:p w14:paraId="56C22880" w14:textId="77777777" w:rsidR="00A07FE7" w:rsidRPr="00A07FE7" w:rsidRDefault="00A07FE7" w:rsidP="005058FA">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0.001</w:t>
            </w:r>
          </w:p>
        </w:tc>
        <w:tc>
          <w:tcPr>
            <w:tcW w:w="1415" w:type="dxa"/>
            <w:tcBorders>
              <w:top w:val="nil"/>
              <w:left w:val="nil"/>
              <w:bottom w:val="nil"/>
              <w:right w:val="nil"/>
            </w:tcBorders>
            <w:shd w:val="clear" w:color="auto" w:fill="auto"/>
            <w:noWrap/>
            <w:vAlign w:val="bottom"/>
            <w:hideMark/>
          </w:tcPr>
          <w:p w14:paraId="71988BF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3.5</w:t>
            </w:r>
            <w:r w:rsidR="00AC03A3">
              <w:rPr>
                <w:rFonts w:ascii="Calibri" w:eastAsia="Times New Roman" w:hAnsi="Calibri" w:cs="Times New Roman"/>
                <w:color w:val="000000"/>
                <w:lang w:eastAsia="en-GB"/>
              </w:rPr>
              <w:t xml:space="preserve"> (0 to 3.5)</w:t>
            </w:r>
          </w:p>
        </w:tc>
        <w:tc>
          <w:tcPr>
            <w:tcW w:w="942" w:type="dxa"/>
            <w:tcBorders>
              <w:top w:val="nil"/>
              <w:left w:val="nil"/>
              <w:bottom w:val="nil"/>
              <w:right w:val="nil"/>
            </w:tcBorders>
            <w:shd w:val="clear" w:color="auto" w:fill="auto"/>
            <w:noWrap/>
            <w:vAlign w:val="bottom"/>
            <w:hideMark/>
          </w:tcPr>
          <w:p w14:paraId="043F72C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0.0867</w:t>
            </w:r>
          </w:p>
        </w:tc>
      </w:tr>
      <w:tr w:rsidR="004720F8" w:rsidRPr="00A07FE7" w14:paraId="3B487209" w14:textId="77777777" w:rsidTr="004720F8">
        <w:trPr>
          <w:trHeight w:val="423"/>
        </w:trPr>
        <w:tc>
          <w:tcPr>
            <w:tcW w:w="1374" w:type="dxa"/>
            <w:tcBorders>
              <w:top w:val="nil"/>
              <w:left w:val="nil"/>
              <w:bottom w:val="nil"/>
              <w:right w:val="nil"/>
            </w:tcBorders>
            <w:shd w:val="clear" w:color="auto" w:fill="auto"/>
            <w:noWrap/>
            <w:vAlign w:val="bottom"/>
            <w:hideMark/>
          </w:tcPr>
          <w:p w14:paraId="0B56D98B"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Diarrhoea</w:t>
            </w:r>
          </w:p>
        </w:tc>
        <w:tc>
          <w:tcPr>
            <w:tcW w:w="988" w:type="dxa"/>
            <w:tcBorders>
              <w:top w:val="nil"/>
              <w:left w:val="nil"/>
              <w:bottom w:val="nil"/>
              <w:right w:val="nil"/>
            </w:tcBorders>
            <w:shd w:val="clear" w:color="auto" w:fill="auto"/>
            <w:noWrap/>
            <w:vAlign w:val="bottom"/>
            <w:hideMark/>
          </w:tcPr>
          <w:p w14:paraId="1DE45B53"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57 : 96</w:t>
            </w:r>
          </w:p>
        </w:tc>
        <w:tc>
          <w:tcPr>
            <w:tcW w:w="899" w:type="dxa"/>
            <w:tcBorders>
              <w:top w:val="nil"/>
              <w:left w:val="nil"/>
              <w:bottom w:val="nil"/>
              <w:right w:val="nil"/>
            </w:tcBorders>
            <w:shd w:val="clear" w:color="auto" w:fill="auto"/>
            <w:noWrap/>
            <w:vAlign w:val="bottom"/>
            <w:hideMark/>
          </w:tcPr>
          <w:p w14:paraId="5C9050F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37.3%</w:t>
            </w:r>
          </w:p>
        </w:tc>
        <w:tc>
          <w:tcPr>
            <w:tcW w:w="1984" w:type="dxa"/>
            <w:tcBorders>
              <w:top w:val="nil"/>
              <w:left w:val="nil"/>
              <w:bottom w:val="nil"/>
              <w:right w:val="nil"/>
            </w:tcBorders>
            <w:shd w:val="clear" w:color="auto" w:fill="auto"/>
            <w:noWrap/>
            <w:vAlign w:val="bottom"/>
            <w:hideMark/>
          </w:tcPr>
          <w:p w14:paraId="277F47C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4.5 (2 to 7)</w:t>
            </w:r>
          </w:p>
        </w:tc>
        <w:tc>
          <w:tcPr>
            <w:tcW w:w="1134" w:type="dxa"/>
            <w:tcBorders>
              <w:top w:val="nil"/>
              <w:left w:val="nil"/>
              <w:bottom w:val="nil"/>
              <w:right w:val="nil"/>
            </w:tcBorders>
            <w:shd w:val="clear" w:color="auto" w:fill="auto"/>
            <w:noWrap/>
            <w:vAlign w:val="bottom"/>
            <w:hideMark/>
          </w:tcPr>
          <w:p w14:paraId="58F1B00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42 : 197</w:t>
            </w:r>
          </w:p>
        </w:tc>
        <w:tc>
          <w:tcPr>
            <w:tcW w:w="851" w:type="dxa"/>
            <w:tcBorders>
              <w:top w:val="nil"/>
              <w:left w:val="nil"/>
              <w:bottom w:val="nil"/>
              <w:right w:val="nil"/>
            </w:tcBorders>
            <w:shd w:val="clear" w:color="auto" w:fill="auto"/>
            <w:noWrap/>
            <w:vAlign w:val="bottom"/>
            <w:hideMark/>
          </w:tcPr>
          <w:p w14:paraId="4AF9E2DD"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17.6%</w:t>
            </w:r>
          </w:p>
        </w:tc>
        <w:tc>
          <w:tcPr>
            <w:tcW w:w="1984" w:type="dxa"/>
            <w:tcBorders>
              <w:top w:val="nil"/>
              <w:left w:val="nil"/>
              <w:bottom w:val="nil"/>
              <w:right w:val="nil"/>
            </w:tcBorders>
            <w:shd w:val="clear" w:color="auto" w:fill="auto"/>
            <w:noWrap/>
            <w:vAlign w:val="bottom"/>
            <w:hideMark/>
          </w:tcPr>
          <w:p w14:paraId="6F81239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 (2 to 7)</w:t>
            </w:r>
          </w:p>
        </w:tc>
        <w:tc>
          <w:tcPr>
            <w:tcW w:w="2552" w:type="dxa"/>
            <w:gridSpan w:val="3"/>
            <w:tcBorders>
              <w:top w:val="nil"/>
              <w:left w:val="nil"/>
              <w:bottom w:val="nil"/>
              <w:right w:val="nil"/>
            </w:tcBorders>
            <w:shd w:val="clear" w:color="auto" w:fill="auto"/>
            <w:noWrap/>
            <w:vAlign w:val="bottom"/>
            <w:hideMark/>
          </w:tcPr>
          <w:p w14:paraId="483EE92A"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19.7%</w:t>
            </w:r>
            <w:r w:rsidR="00002EF1" w:rsidRPr="00AD23F1">
              <w:rPr>
                <w:rFonts w:ascii="Calibri" w:eastAsia="Times New Roman" w:hAnsi="Calibri" w:cs="Times New Roman"/>
                <w:color w:val="000000"/>
                <w:lang w:eastAsia="en-GB"/>
              </w:rPr>
              <w:t xml:space="preserve"> (10.7% to 28.7%)</w:t>
            </w:r>
          </w:p>
        </w:tc>
        <w:tc>
          <w:tcPr>
            <w:tcW w:w="1275" w:type="dxa"/>
            <w:tcBorders>
              <w:top w:val="nil"/>
              <w:left w:val="nil"/>
              <w:bottom w:val="nil"/>
              <w:right w:val="nil"/>
            </w:tcBorders>
            <w:shd w:val="clear" w:color="auto" w:fill="auto"/>
            <w:noWrap/>
            <w:vAlign w:val="bottom"/>
            <w:hideMark/>
          </w:tcPr>
          <w:p w14:paraId="3083C899" w14:textId="77777777" w:rsidR="00A07FE7" w:rsidRPr="00A07FE7" w:rsidRDefault="00A07FE7" w:rsidP="005058FA">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&lt;0.0001</w:t>
            </w:r>
          </w:p>
        </w:tc>
        <w:tc>
          <w:tcPr>
            <w:tcW w:w="1415" w:type="dxa"/>
            <w:tcBorders>
              <w:top w:val="nil"/>
              <w:left w:val="nil"/>
              <w:bottom w:val="nil"/>
              <w:right w:val="nil"/>
            </w:tcBorders>
            <w:shd w:val="clear" w:color="auto" w:fill="auto"/>
            <w:noWrap/>
            <w:vAlign w:val="bottom"/>
            <w:hideMark/>
          </w:tcPr>
          <w:p w14:paraId="4AB3755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1.5</w:t>
            </w:r>
            <w:r w:rsidR="00AC03A3">
              <w:rPr>
                <w:rFonts w:ascii="Calibri" w:eastAsia="Times New Roman" w:hAnsi="Calibri" w:cs="Times New Roman"/>
                <w:color w:val="000000"/>
                <w:lang w:eastAsia="en-GB"/>
              </w:rPr>
              <w:t xml:space="preserve"> (0 to 2)</w:t>
            </w:r>
          </w:p>
        </w:tc>
        <w:tc>
          <w:tcPr>
            <w:tcW w:w="942" w:type="dxa"/>
            <w:tcBorders>
              <w:top w:val="nil"/>
              <w:left w:val="nil"/>
              <w:bottom w:val="nil"/>
              <w:right w:val="nil"/>
            </w:tcBorders>
            <w:shd w:val="clear" w:color="auto" w:fill="auto"/>
            <w:noWrap/>
            <w:vAlign w:val="bottom"/>
            <w:hideMark/>
          </w:tcPr>
          <w:p w14:paraId="61A969B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0.2774</w:t>
            </w:r>
          </w:p>
        </w:tc>
      </w:tr>
      <w:tr w:rsidR="004720F8" w:rsidRPr="00A07FE7" w14:paraId="404D761A" w14:textId="77777777" w:rsidTr="004720F8">
        <w:trPr>
          <w:trHeight w:val="423"/>
        </w:trPr>
        <w:tc>
          <w:tcPr>
            <w:tcW w:w="1374" w:type="dxa"/>
            <w:tcBorders>
              <w:top w:val="nil"/>
              <w:left w:val="nil"/>
              <w:bottom w:val="nil"/>
              <w:right w:val="nil"/>
            </w:tcBorders>
            <w:shd w:val="clear" w:color="auto" w:fill="auto"/>
            <w:noWrap/>
            <w:vAlign w:val="bottom"/>
            <w:hideMark/>
          </w:tcPr>
          <w:p w14:paraId="654B88B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Abdominal pain</w:t>
            </w:r>
          </w:p>
        </w:tc>
        <w:tc>
          <w:tcPr>
            <w:tcW w:w="988" w:type="dxa"/>
            <w:tcBorders>
              <w:top w:val="nil"/>
              <w:left w:val="nil"/>
              <w:bottom w:val="nil"/>
              <w:right w:val="nil"/>
            </w:tcBorders>
            <w:shd w:val="clear" w:color="auto" w:fill="auto"/>
            <w:noWrap/>
            <w:vAlign w:val="bottom"/>
            <w:hideMark/>
          </w:tcPr>
          <w:p w14:paraId="1DC9300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24 : 127</w:t>
            </w:r>
          </w:p>
        </w:tc>
        <w:tc>
          <w:tcPr>
            <w:tcW w:w="899" w:type="dxa"/>
            <w:tcBorders>
              <w:top w:val="nil"/>
              <w:left w:val="nil"/>
              <w:bottom w:val="nil"/>
              <w:right w:val="nil"/>
            </w:tcBorders>
            <w:shd w:val="clear" w:color="auto" w:fill="auto"/>
            <w:noWrap/>
            <w:vAlign w:val="bottom"/>
            <w:hideMark/>
          </w:tcPr>
          <w:p w14:paraId="4A44119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15.9%</w:t>
            </w:r>
          </w:p>
        </w:tc>
        <w:tc>
          <w:tcPr>
            <w:tcW w:w="1984" w:type="dxa"/>
            <w:tcBorders>
              <w:top w:val="nil"/>
              <w:left w:val="nil"/>
              <w:bottom w:val="nil"/>
              <w:right w:val="nil"/>
            </w:tcBorders>
            <w:shd w:val="clear" w:color="auto" w:fill="auto"/>
            <w:noWrap/>
            <w:vAlign w:val="bottom"/>
            <w:hideMark/>
          </w:tcPr>
          <w:p w14:paraId="3063F5F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 (3 to 7)</w:t>
            </w:r>
          </w:p>
        </w:tc>
        <w:tc>
          <w:tcPr>
            <w:tcW w:w="1134" w:type="dxa"/>
            <w:tcBorders>
              <w:top w:val="nil"/>
              <w:left w:val="nil"/>
              <w:bottom w:val="nil"/>
              <w:right w:val="nil"/>
            </w:tcBorders>
            <w:shd w:val="clear" w:color="auto" w:fill="auto"/>
            <w:noWrap/>
            <w:vAlign w:val="bottom"/>
            <w:hideMark/>
          </w:tcPr>
          <w:p w14:paraId="05E1023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38 : 199</w:t>
            </w:r>
          </w:p>
        </w:tc>
        <w:tc>
          <w:tcPr>
            <w:tcW w:w="851" w:type="dxa"/>
            <w:tcBorders>
              <w:top w:val="nil"/>
              <w:left w:val="nil"/>
              <w:bottom w:val="nil"/>
              <w:right w:val="nil"/>
            </w:tcBorders>
            <w:shd w:val="clear" w:color="auto" w:fill="auto"/>
            <w:noWrap/>
            <w:vAlign w:val="bottom"/>
            <w:hideMark/>
          </w:tcPr>
          <w:p w14:paraId="241DE16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16.0%</w:t>
            </w:r>
          </w:p>
        </w:tc>
        <w:tc>
          <w:tcPr>
            <w:tcW w:w="1984" w:type="dxa"/>
            <w:tcBorders>
              <w:top w:val="nil"/>
              <w:left w:val="nil"/>
              <w:bottom w:val="nil"/>
              <w:right w:val="nil"/>
            </w:tcBorders>
            <w:shd w:val="clear" w:color="auto" w:fill="auto"/>
            <w:noWrap/>
            <w:vAlign w:val="bottom"/>
            <w:hideMark/>
          </w:tcPr>
          <w:p w14:paraId="295BF5F8"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2.5 (1 to 7)</w:t>
            </w:r>
          </w:p>
        </w:tc>
        <w:tc>
          <w:tcPr>
            <w:tcW w:w="2552" w:type="dxa"/>
            <w:gridSpan w:val="3"/>
            <w:tcBorders>
              <w:top w:val="nil"/>
              <w:left w:val="nil"/>
              <w:bottom w:val="nil"/>
              <w:right w:val="nil"/>
            </w:tcBorders>
            <w:shd w:val="clear" w:color="auto" w:fill="auto"/>
            <w:noWrap/>
            <w:vAlign w:val="bottom"/>
            <w:hideMark/>
          </w:tcPr>
          <w:p w14:paraId="47F7F99E"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-0.1%</w:t>
            </w:r>
            <w:r w:rsidR="00002EF1" w:rsidRPr="00AD23F1">
              <w:rPr>
                <w:rFonts w:ascii="Calibri" w:eastAsia="Times New Roman" w:hAnsi="Calibri" w:cs="Times New Roman"/>
                <w:color w:val="000000"/>
                <w:lang w:eastAsia="en-GB"/>
              </w:rPr>
              <w:t xml:space="preserve"> (-7.3% to 7.7%)</w:t>
            </w:r>
          </w:p>
        </w:tc>
        <w:tc>
          <w:tcPr>
            <w:tcW w:w="1275" w:type="dxa"/>
            <w:tcBorders>
              <w:top w:val="nil"/>
              <w:left w:val="nil"/>
              <w:bottom w:val="nil"/>
              <w:right w:val="nil"/>
            </w:tcBorders>
            <w:shd w:val="clear" w:color="auto" w:fill="auto"/>
            <w:noWrap/>
            <w:vAlign w:val="bottom"/>
            <w:hideMark/>
          </w:tcPr>
          <w:p w14:paraId="0F300A07" w14:textId="77777777" w:rsidR="00A07FE7" w:rsidRPr="00A07FE7" w:rsidRDefault="00A07FE7" w:rsidP="005058FA">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&gt;0.9999</w:t>
            </w:r>
          </w:p>
        </w:tc>
        <w:tc>
          <w:tcPr>
            <w:tcW w:w="1415" w:type="dxa"/>
            <w:tcBorders>
              <w:top w:val="nil"/>
              <w:left w:val="nil"/>
              <w:bottom w:val="nil"/>
              <w:right w:val="nil"/>
            </w:tcBorders>
            <w:shd w:val="clear" w:color="auto" w:fill="auto"/>
            <w:noWrap/>
            <w:vAlign w:val="bottom"/>
            <w:hideMark/>
          </w:tcPr>
          <w:p w14:paraId="40FD6A0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1.5</w:t>
            </w:r>
            <w:r w:rsidR="00AC03A3">
              <w:rPr>
                <w:rFonts w:ascii="Calibri" w:eastAsia="Times New Roman" w:hAnsi="Calibri" w:cs="Times New Roman"/>
                <w:color w:val="000000"/>
                <w:lang w:eastAsia="en-GB"/>
              </w:rPr>
              <w:t xml:space="preserve"> (-1 to 2)</w:t>
            </w:r>
          </w:p>
        </w:tc>
        <w:tc>
          <w:tcPr>
            <w:tcW w:w="942" w:type="dxa"/>
            <w:tcBorders>
              <w:top w:val="nil"/>
              <w:left w:val="nil"/>
              <w:bottom w:val="nil"/>
              <w:right w:val="nil"/>
            </w:tcBorders>
            <w:shd w:val="clear" w:color="auto" w:fill="auto"/>
            <w:noWrap/>
            <w:vAlign w:val="bottom"/>
            <w:hideMark/>
          </w:tcPr>
          <w:p w14:paraId="54D9BDA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0.2315</w:t>
            </w:r>
          </w:p>
        </w:tc>
      </w:tr>
      <w:tr w:rsidR="004720F8" w:rsidRPr="00A07FE7" w14:paraId="30DCEC58" w14:textId="77777777" w:rsidTr="004720F8">
        <w:trPr>
          <w:trHeight w:val="488"/>
        </w:trPr>
        <w:tc>
          <w:tcPr>
            <w:tcW w:w="1374" w:type="dxa"/>
            <w:tcBorders>
              <w:top w:val="nil"/>
              <w:left w:val="nil"/>
              <w:bottom w:val="single" w:sz="4" w:space="0" w:color="auto"/>
              <w:right w:val="nil"/>
            </w:tcBorders>
            <w:shd w:val="clear" w:color="auto" w:fill="auto"/>
            <w:noWrap/>
            <w:vAlign w:val="bottom"/>
            <w:hideMark/>
          </w:tcPr>
          <w:p w14:paraId="76B8936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Anosmia</w:t>
            </w:r>
          </w:p>
        </w:tc>
        <w:tc>
          <w:tcPr>
            <w:tcW w:w="988" w:type="dxa"/>
            <w:tcBorders>
              <w:top w:val="nil"/>
              <w:left w:val="nil"/>
              <w:bottom w:val="single" w:sz="4" w:space="0" w:color="auto"/>
              <w:right w:val="nil"/>
            </w:tcBorders>
            <w:shd w:val="clear" w:color="auto" w:fill="auto"/>
            <w:noWrap/>
            <w:vAlign w:val="bottom"/>
            <w:hideMark/>
          </w:tcPr>
          <w:p w14:paraId="21FB5C4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 xml:space="preserve">47 : 95 </w:t>
            </w:r>
            <w:r w:rsidRPr="00A07FE7">
              <w:rPr>
                <w:rFonts w:ascii="Calibri" w:eastAsia="Times New Roman" w:hAnsi="Calibri" w:cs="Times New Roman"/>
                <w:color w:val="000000"/>
                <w:vertAlign w:val="superscript"/>
                <w:lang w:eastAsia="en-GB"/>
              </w:rPr>
              <w:t>a</w:t>
            </w:r>
          </w:p>
        </w:tc>
        <w:tc>
          <w:tcPr>
            <w:tcW w:w="899" w:type="dxa"/>
            <w:tcBorders>
              <w:top w:val="nil"/>
              <w:left w:val="nil"/>
              <w:bottom w:val="single" w:sz="4" w:space="0" w:color="auto"/>
              <w:right w:val="nil"/>
            </w:tcBorders>
            <w:shd w:val="clear" w:color="auto" w:fill="auto"/>
            <w:noWrap/>
            <w:vAlign w:val="bottom"/>
            <w:hideMark/>
          </w:tcPr>
          <w:p w14:paraId="430F56C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33.1%</w:t>
            </w:r>
          </w:p>
        </w:tc>
        <w:tc>
          <w:tcPr>
            <w:tcW w:w="1984" w:type="dxa"/>
            <w:tcBorders>
              <w:top w:val="nil"/>
              <w:left w:val="nil"/>
              <w:bottom w:val="single" w:sz="4" w:space="0" w:color="auto"/>
              <w:right w:val="nil"/>
            </w:tcBorders>
            <w:shd w:val="clear" w:color="auto" w:fill="auto"/>
            <w:noWrap/>
            <w:vAlign w:val="bottom"/>
            <w:hideMark/>
          </w:tcPr>
          <w:p w14:paraId="3E80BB0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6 (4 to 8)</w:t>
            </w:r>
          </w:p>
        </w:tc>
        <w:tc>
          <w:tcPr>
            <w:tcW w:w="1134" w:type="dxa"/>
            <w:tcBorders>
              <w:top w:val="nil"/>
              <w:left w:val="nil"/>
              <w:bottom w:val="single" w:sz="4" w:space="0" w:color="auto"/>
              <w:right w:val="nil"/>
            </w:tcBorders>
            <w:shd w:val="clear" w:color="auto" w:fill="auto"/>
            <w:noWrap/>
            <w:vAlign w:val="bottom"/>
            <w:hideMark/>
          </w:tcPr>
          <w:p w14:paraId="6B92DD5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 xml:space="preserve">19 : 197 </w:t>
            </w:r>
            <w:r w:rsidRPr="00A07FE7">
              <w:rPr>
                <w:rFonts w:ascii="Calibri" w:eastAsia="Times New Roman" w:hAnsi="Calibri" w:cs="Times New Roman"/>
                <w:color w:val="000000"/>
                <w:vertAlign w:val="superscript"/>
                <w:lang w:eastAsia="en-GB"/>
              </w:rPr>
              <w:t>b</w:t>
            </w:r>
          </w:p>
        </w:tc>
        <w:tc>
          <w:tcPr>
            <w:tcW w:w="851" w:type="dxa"/>
            <w:tcBorders>
              <w:top w:val="nil"/>
              <w:left w:val="nil"/>
              <w:bottom w:val="single" w:sz="4" w:space="0" w:color="auto"/>
              <w:right w:val="nil"/>
            </w:tcBorders>
            <w:shd w:val="clear" w:color="auto" w:fill="auto"/>
            <w:noWrap/>
            <w:vAlign w:val="bottom"/>
            <w:hideMark/>
          </w:tcPr>
          <w:p w14:paraId="7C434E5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8.8%</w:t>
            </w:r>
          </w:p>
        </w:tc>
        <w:tc>
          <w:tcPr>
            <w:tcW w:w="1984" w:type="dxa"/>
            <w:tcBorders>
              <w:top w:val="nil"/>
              <w:left w:val="nil"/>
              <w:bottom w:val="single" w:sz="4" w:space="0" w:color="auto"/>
              <w:right w:val="nil"/>
            </w:tcBorders>
            <w:shd w:val="clear" w:color="auto" w:fill="auto"/>
            <w:noWrap/>
            <w:vAlign w:val="bottom"/>
            <w:hideMark/>
          </w:tcPr>
          <w:p w14:paraId="3D214EB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7 (3 to 20)</w:t>
            </w:r>
          </w:p>
        </w:tc>
        <w:tc>
          <w:tcPr>
            <w:tcW w:w="2552" w:type="dxa"/>
            <w:gridSpan w:val="3"/>
            <w:tcBorders>
              <w:top w:val="nil"/>
              <w:left w:val="nil"/>
              <w:bottom w:val="single" w:sz="4" w:space="0" w:color="auto"/>
              <w:right w:val="nil"/>
            </w:tcBorders>
            <w:shd w:val="clear" w:color="auto" w:fill="auto"/>
            <w:noWrap/>
            <w:vAlign w:val="bottom"/>
            <w:hideMark/>
          </w:tcPr>
          <w:p w14:paraId="41D5F76F" w14:textId="77777777" w:rsidR="00A07FE7" w:rsidRPr="00AD23F1" w:rsidRDefault="00A07FE7" w:rsidP="00A07FE7">
            <w:pPr>
              <w:spacing w:after="0" w:line="240" w:lineRule="auto"/>
              <w:rPr>
                <w:rFonts w:ascii="Calibri" w:eastAsia="Times New Roman" w:hAnsi="Calibri" w:cs="Times New Roman"/>
                <w:color w:val="000000"/>
                <w:lang w:eastAsia="en-GB"/>
              </w:rPr>
            </w:pPr>
            <w:r w:rsidRPr="00AD23F1">
              <w:rPr>
                <w:rFonts w:ascii="Calibri" w:eastAsia="Times New Roman" w:hAnsi="Calibri" w:cs="Times New Roman"/>
                <w:color w:val="000000"/>
                <w:lang w:eastAsia="en-GB"/>
              </w:rPr>
              <w:t>24.3%</w:t>
            </w:r>
            <w:r w:rsidR="00002EF1" w:rsidRPr="00AD23F1">
              <w:rPr>
                <w:rFonts w:ascii="Calibri" w:eastAsia="Times New Roman" w:hAnsi="Calibri" w:cs="Times New Roman"/>
                <w:color w:val="000000"/>
                <w:lang w:eastAsia="en-GB"/>
              </w:rPr>
              <w:t xml:space="preserve"> (15.8% to 33.0%)</w:t>
            </w:r>
          </w:p>
        </w:tc>
        <w:tc>
          <w:tcPr>
            <w:tcW w:w="1275" w:type="dxa"/>
            <w:tcBorders>
              <w:top w:val="nil"/>
              <w:left w:val="nil"/>
              <w:bottom w:val="single" w:sz="4" w:space="0" w:color="auto"/>
              <w:right w:val="nil"/>
            </w:tcBorders>
            <w:shd w:val="clear" w:color="auto" w:fill="auto"/>
            <w:noWrap/>
            <w:vAlign w:val="bottom"/>
            <w:hideMark/>
          </w:tcPr>
          <w:p w14:paraId="48822A33" w14:textId="77777777" w:rsidR="00A07FE7" w:rsidRPr="00A07FE7" w:rsidRDefault="00A07FE7" w:rsidP="005058FA">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&lt;0.0001</w:t>
            </w:r>
          </w:p>
        </w:tc>
        <w:tc>
          <w:tcPr>
            <w:tcW w:w="1415" w:type="dxa"/>
            <w:tcBorders>
              <w:top w:val="nil"/>
              <w:left w:val="nil"/>
              <w:bottom w:val="single" w:sz="4" w:space="0" w:color="auto"/>
              <w:right w:val="nil"/>
            </w:tcBorders>
            <w:shd w:val="clear" w:color="auto" w:fill="auto"/>
            <w:noWrap/>
            <w:vAlign w:val="bottom"/>
            <w:hideMark/>
          </w:tcPr>
          <w:p w14:paraId="4499CE4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w:t>
            </w:r>
            <w:r w:rsidR="00AC03A3">
              <w:rPr>
                <w:rFonts w:ascii="Calibri" w:eastAsia="Times New Roman" w:hAnsi="Calibri" w:cs="Times New Roman"/>
                <w:color w:val="000000"/>
                <w:lang w:eastAsia="en-GB"/>
              </w:rPr>
              <w:t xml:space="preserve"> (-6 to 2)</w:t>
            </w:r>
          </w:p>
        </w:tc>
        <w:tc>
          <w:tcPr>
            <w:tcW w:w="942" w:type="dxa"/>
            <w:tcBorders>
              <w:top w:val="nil"/>
              <w:left w:val="nil"/>
              <w:bottom w:val="single" w:sz="4" w:space="0" w:color="auto"/>
              <w:right w:val="nil"/>
            </w:tcBorders>
            <w:shd w:val="clear" w:color="auto" w:fill="auto"/>
            <w:noWrap/>
            <w:vAlign w:val="bottom"/>
            <w:hideMark/>
          </w:tcPr>
          <w:p w14:paraId="5B8C4FC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0.4474</w:t>
            </w:r>
          </w:p>
        </w:tc>
      </w:tr>
      <w:tr w:rsidR="00A07FE7" w:rsidRPr="00A07FE7" w14:paraId="59DCA812" w14:textId="77777777" w:rsidTr="004720F8">
        <w:trPr>
          <w:gridAfter w:val="5"/>
          <w:wAfter w:w="6041" w:type="dxa"/>
          <w:trHeight w:val="300"/>
        </w:trPr>
        <w:tc>
          <w:tcPr>
            <w:tcW w:w="9357" w:type="dxa"/>
            <w:gridSpan w:val="8"/>
            <w:tcBorders>
              <w:top w:val="nil"/>
              <w:left w:val="nil"/>
              <w:bottom w:val="nil"/>
              <w:right w:val="nil"/>
            </w:tcBorders>
            <w:shd w:val="clear" w:color="auto" w:fill="auto"/>
            <w:noWrap/>
            <w:vAlign w:val="bottom"/>
            <w:hideMark/>
          </w:tcPr>
          <w:p w14:paraId="2663B327" w14:textId="77777777" w:rsidR="00A07FE7" w:rsidRPr="00A07FE7" w:rsidRDefault="00A07FE7" w:rsidP="00A07FE7">
            <w:pPr>
              <w:spacing w:after="0" w:line="36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Data from patients tested with mPOCT only.</w:t>
            </w:r>
          </w:p>
        </w:tc>
      </w:tr>
      <w:tr w:rsidR="00A07FE7" w:rsidRPr="00A07FE7" w14:paraId="110CCE28" w14:textId="77777777" w:rsidTr="004720F8">
        <w:trPr>
          <w:gridAfter w:val="5"/>
          <w:wAfter w:w="6041" w:type="dxa"/>
          <w:trHeight w:val="300"/>
        </w:trPr>
        <w:tc>
          <w:tcPr>
            <w:tcW w:w="9357" w:type="dxa"/>
            <w:gridSpan w:val="8"/>
            <w:tcBorders>
              <w:top w:val="nil"/>
              <w:left w:val="nil"/>
              <w:bottom w:val="nil"/>
              <w:right w:val="nil"/>
            </w:tcBorders>
            <w:shd w:val="clear" w:color="auto" w:fill="auto"/>
            <w:noWrap/>
            <w:vAlign w:val="bottom"/>
            <w:hideMark/>
          </w:tcPr>
          <w:p w14:paraId="0128B0A1" w14:textId="77777777" w:rsidR="00A07FE7" w:rsidRPr="00A07FE7" w:rsidRDefault="00A07FE7" w:rsidP="00CF270D">
            <w:pPr>
              <w:spacing w:after="0" w:line="36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lastRenderedPageBreak/>
              <w:t xml:space="preserve">Data expressed as a ratio of Yes : No. Data is not included where patients were unable to communicate their symptoms </w:t>
            </w:r>
            <w:r w:rsidR="00F63A6B">
              <w:rPr>
                <w:rFonts w:ascii="Calibri" w:eastAsia="Times New Roman" w:hAnsi="Calibri" w:cs="Times New Roman"/>
                <w:color w:val="000000"/>
                <w:lang w:eastAsia="en-GB"/>
              </w:rPr>
              <w:t>to</w:t>
            </w:r>
            <w:r w:rsidRPr="00A07FE7">
              <w:rPr>
                <w:rFonts w:ascii="Calibri" w:eastAsia="Times New Roman" w:hAnsi="Calibri" w:cs="Times New Roman"/>
                <w:color w:val="000000"/>
                <w:lang w:eastAsia="en-GB"/>
              </w:rPr>
              <w:t xml:space="preserve"> researchers</w:t>
            </w:r>
            <w:r w:rsidR="00F63A6B">
              <w:rPr>
                <w:rFonts w:ascii="Calibri" w:eastAsia="Times New Roman" w:hAnsi="Calibri" w:cs="Times New Roman"/>
                <w:color w:val="000000"/>
                <w:lang w:eastAsia="en-GB"/>
              </w:rPr>
              <w:t xml:space="preserve"> </w:t>
            </w:r>
            <w:r w:rsidR="00002EF1">
              <w:rPr>
                <w:rFonts w:ascii="Calibri" w:eastAsia="Times New Roman" w:hAnsi="Calibri" w:cs="Times New Roman"/>
                <w:color w:val="000000"/>
                <w:lang w:eastAsia="en-GB"/>
              </w:rPr>
              <w:t xml:space="preserve">or no other record </w:t>
            </w:r>
            <w:r w:rsidR="00CF270D">
              <w:rPr>
                <w:rFonts w:ascii="Calibri" w:eastAsia="Times New Roman" w:hAnsi="Calibri" w:cs="Times New Roman"/>
                <w:color w:val="000000"/>
                <w:lang w:eastAsia="en-GB"/>
              </w:rPr>
              <w:t xml:space="preserve">was made by </w:t>
            </w:r>
            <w:r w:rsidR="00F63A6B">
              <w:rPr>
                <w:rFonts w:ascii="Calibri" w:eastAsia="Times New Roman" w:hAnsi="Calibri" w:cs="Times New Roman"/>
                <w:color w:val="000000"/>
                <w:lang w:eastAsia="en-GB"/>
              </w:rPr>
              <w:t>clinicians</w:t>
            </w:r>
            <w:r w:rsidRPr="00A07FE7">
              <w:rPr>
                <w:rFonts w:ascii="Calibri" w:eastAsia="Times New Roman" w:hAnsi="Calibri" w:cs="Times New Roman"/>
                <w:color w:val="000000"/>
                <w:lang w:eastAsia="en-GB"/>
              </w:rPr>
              <w:t>.</w:t>
            </w:r>
          </w:p>
        </w:tc>
      </w:tr>
      <w:tr w:rsidR="00A07FE7" w:rsidRPr="00A07FE7" w14:paraId="43391170" w14:textId="77777777" w:rsidTr="004720F8">
        <w:trPr>
          <w:gridAfter w:val="5"/>
          <w:wAfter w:w="6041" w:type="dxa"/>
          <w:trHeight w:val="345"/>
        </w:trPr>
        <w:tc>
          <w:tcPr>
            <w:tcW w:w="9357" w:type="dxa"/>
            <w:gridSpan w:val="8"/>
            <w:tcBorders>
              <w:top w:val="nil"/>
              <w:left w:val="nil"/>
              <w:bottom w:val="nil"/>
              <w:right w:val="nil"/>
            </w:tcBorders>
            <w:shd w:val="clear" w:color="auto" w:fill="auto"/>
            <w:noWrap/>
            <w:vAlign w:val="bottom"/>
            <w:hideMark/>
          </w:tcPr>
          <w:p w14:paraId="334D9AD1" w14:textId="33883557" w:rsidR="00A07FE7" w:rsidRPr="00A07FE7" w:rsidRDefault="00A07FE7" w:rsidP="00984EEA">
            <w:pPr>
              <w:spacing w:after="0" w:line="360" w:lineRule="auto"/>
              <w:rPr>
                <w:rFonts w:ascii="Calibri" w:eastAsia="Times New Roman" w:hAnsi="Calibri" w:cs="Times New Roman"/>
                <w:color w:val="000000"/>
                <w:lang w:eastAsia="en-GB"/>
              </w:rPr>
            </w:pPr>
            <w:r w:rsidRPr="00A07FE7">
              <w:rPr>
                <w:rFonts w:ascii="Calibri" w:eastAsia="Times New Roman" w:hAnsi="Calibri" w:cs="Times New Roman"/>
                <w:color w:val="000000"/>
                <w:vertAlign w:val="superscript"/>
                <w:lang w:eastAsia="en-GB"/>
              </w:rPr>
              <w:t>a</w:t>
            </w:r>
            <w:r w:rsidR="00984EEA">
              <w:rPr>
                <w:rFonts w:ascii="Calibri" w:eastAsia="Times New Roman" w:hAnsi="Calibri" w:cs="Times New Roman"/>
                <w:color w:val="000000"/>
                <w:lang w:eastAsia="en-GB"/>
              </w:rPr>
              <w:t xml:space="preserve"> n</w:t>
            </w:r>
            <w:r w:rsidRPr="00A07FE7">
              <w:rPr>
                <w:rFonts w:ascii="Calibri" w:eastAsia="Times New Roman" w:hAnsi="Calibri" w:cs="Times New Roman"/>
                <w:color w:val="000000"/>
                <w:lang w:eastAsia="en-GB"/>
              </w:rPr>
              <w:t xml:space="preserve">=181 and </w:t>
            </w:r>
            <w:r w:rsidRPr="00A07FE7">
              <w:rPr>
                <w:rFonts w:ascii="Calibri" w:eastAsia="Times New Roman" w:hAnsi="Calibri" w:cs="Times New Roman"/>
                <w:color w:val="000000"/>
                <w:vertAlign w:val="superscript"/>
                <w:lang w:eastAsia="en-GB"/>
              </w:rPr>
              <w:t>b</w:t>
            </w:r>
            <w:r w:rsidRPr="00A07FE7">
              <w:rPr>
                <w:rFonts w:ascii="Calibri" w:eastAsia="Times New Roman" w:hAnsi="Calibri" w:cs="Times New Roman"/>
                <w:color w:val="000000"/>
                <w:lang w:eastAsia="en-GB"/>
              </w:rPr>
              <w:t xml:space="preserve"> n=278 respectively. Anosmia was added to symptom data collection </w:t>
            </w:r>
            <w:r w:rsidR="005B11EE">
              <w:rPr>
                <w:rFonts w:ascii="Calibri" w:eastAsia="Times New Roman" w:hAnsi="Calibri" w:cs="Times New Roman"/>
                <w:color w:val="000000"/>
                <w:lang w:eastAsia="en-GB"/>
              </w:rPr>
              <w:t>five days after the trial started</w:t>
            </w:r>
            <w:r w:rsidR="00331A1D">
              <w:rPr>
                <w:rFonts w:ascii="Calibri" w:eastAsia="Times New Roman" w:hAnsi="Calibri" w:cs="Times New Roman"/>
                <w:color w:val="000000"/>
                <w:lang w:eastAsia="en-GB"/>
              </w:rPr>
              <w:t xml:space="preserve"> recruitment</w:t>
            </w:r>
            <w:r w:rsidR="00362651">
              <w:rPr>
                <w:rFonts w:ascii="Calibri" w:eastAsia="Times New Roman" w:hAnsi="Calibri" w:cs="Times New Roman"/>
                <w:color w:val="000000"/>
                <w:lang w:eastAsia="en-GB"/>
              </w:rPr>
              <w:t>.</w:t>
            </w:r>
          </w:p>
        </w:tc>
      </w:tr>
    </w:tbl>
    <w:p w14:paraId="7F5EDF25" w14:textId="77777777" w:rsidR="00A07FE7" w:rsidRDefault="00A07FE7" w:rsidP="00A07FE7"/>
    <w:p w14:paraId="75A394B6" w14:textId="77777777" w:rsidR="00A07FE7" w:rsidRDefault="00A07FE7" w:rsidP="00A07FE7">
      <w:pPr>
        <w:sectPr w:rsidR="00A07FE7" w:rsidSect="00C618F4">
          <w:endnotePr>
            <w:numFmt w:val="decimal"/>
          </w:endnotePr>
          <w:pgSz w:w="16838" w:h="11906" w:orient="landscape"/>
          <w:pgMar w:top="720" w:right="720" w:bottom="720" w:left="720" w:header="708" w:footer="708" w:gutter="0"/>
          <w:cols w:space="708"/>
          <w:docGrid w:linePitch="360"/>
        </w:sectPr>
      </w:pPr>
    </w:p>
    <w:p w14:paraId="1F8CF724" w14:textId="77777777" w:rsidR="00A07FE7" w:rsidRDefault="005C415C" w:rsidP="00131DB9">
      <w:pPr>
        <w:pStyle w:val="Heading1"/>
      </w:pPr>
      <w:r>
        <w:lastRenderedPageBreak/>
        <w:t xml:space="preserve">Table </w:t>
      </w:r>
      <w:r w:rsidR="009E40B3">
        <w:t>4</w:t>
      </w:r>
      <w:r>
        <w:t>: R</w:t>
      </w:r>
      <w:r w:rsidR="00A07FE7" w:rsidRPr="00A07FE7">
        <w:t>espiratory viruses and atypical bacteria detected by mPOCT in patients testing positive and negative for COVID-19</w:t>
      </w:r>
    </w:p>
    <w:tbl>
      <w:tblPr>
        <w:tblW w:w="9865" w:type="dxa"/>
        <w:tblLook w:val="04A0" w:firstRow="1" w:lastRow="0" w:firstColumn="1" w:lastColumn="0" w:noHBand="0" w:noVBand="1"/>
      </w:tblPr>
      <w:tblGrid>
        <w:gridCol w:w="2839"/>
        <w:gridCol w:w="1988"/>
        <w:gridCol w:w="1987"/>
        <w:gridCol w:w="2400"/>
        <w:gridCol w:w="939"/>
      </w:tblGrid>
      <w:tr w:rsidR="00A07FE7" w:rsidRPr="00A07FE7" w14:paraId="47D46606" w14:textId="77777777" w:rsidTr="000132D3">
        <w:trPr>
          <w:trHeight w:val="608"/>
        </w:trPr>
        <w:tc>
          <w:tcPr>
            <w:tcW w:w="2839" w:type="dxa"/>
            <w:tcBorders>
              <w:top w:val="nil"/>
              <w:left w:val="nil"/>
              <w:bottom w:val="nil"/>
              <w:right w:val="nil"/>
            </w:tcBorders>
            <w:shd w:val="clear" w:color="auto" w:fill="auto"/>
            <w:noWrap/>
            <w:vAlign w:val="bottom"/>
            <w:hideMark/>
          </w:tcPr>
          <w:p w14:paraId="7DF1DEA4" w14:textId="77777777" w:rsidR="00A07FE7" w:rsidRPr="00A07FE7" w:rsidRDefault="00A07FE7" w:rsidP="00A07FE7">
            <w:pPr>
              <w:spacing w:after="0" w:line="240" w:lineRule="auto"/>
              <w:rPr>
                <w:rFonts w:ascii="Times New Roman" w:eastAsia="Times New Roman" w:hAnsi="Times New Roman" w:cs="Times New Roman"/>
                <w:sz w:val="24"/>
                <w:szCs w:val="24"/>
                <w:lang w:eastAsia="en-GB"/>
              </w:rPr>
            </w:pPr>
          </w:p>
        </w:tc>
        <w:tc>
          <w:tcPr>
            <w:tcW w:w="1988" w:type="dxa"/>
            <w:tcBorders>
              <w:top w:val="nil"/>
              <w:left w:val="nil"/>
              <w:bottom w:val="nil"/>
              <w:right w:val="nil"/>
            </w:tcBorders>
            <w:shd w:val="clear" w:color="auto" w:fill="auto"/>
            <w:noWrap/>
            <w:vAlign w:val="bottom"/>
            <w:hideMark/>
          </w:tcPr>
          <w:p w14:paraId="42F72D1E"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COVID-19 positive</w:t>
            </w:r>
          </w:p>
        </w:tc>
        <w:tc>
          <w:tcPr>
            <w:tcW w:w="1987" w:type="dxa"/>
            <w:tcBorders>
              <w:top w:val="nil"/>
              <w:left w:val="nil"/>
              <w:bottom w:val="nil"/>
              <w:right w:val="nil"/>
            </w:tcBorders>
            <w:shd w:val="clear" w:color="auto" w:fill="auto"/>
            <w:noWrap/>
            <w:vAlign w:val="bottom"/>
            <w:hideMark/>
          </w:tcPr>
          <w:p w14:paraId="1F8AB556"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COVID-19 negative</w:t>
            </w:r>
          </w:p>
        </w:tc>
        <w:tc>
          <w:tcPr>
            <w:tcW w:w="2400" w:type="dxa"/>
            <w:tcBorders>
              <w:top w:val="nil"/>
              <w:left w:val="nil"/>
              <w:bottom w:val="nil"/>
              <w:right w:val="nil"/>
            </w:tcBorders>
            <w:shd w:val="clear" w:color="auto" w:fill="auto"/>
            <w:noWrap/>
            <w:vAlign w:val="bottom"/>
            <w:hideMark/>
          </w:tcPr>
          <w:p w14:paraId="275B6B20"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Difference</w:t>
            </w:r>
          </w:p>
        </w:tc>
        <w:tc>
          <w:tcPr>
            <w:tcW w:w="651" w:type="dxa"/>
            <w:tcBorders>
              <w:top w:val="nil"/>
              <w:left w:val="nil"/>
              <w:bottom w:val="nil"/>
              <w:right w:val="nil"/>
            </w:tcBorders>
            <w:shd w:val="clear" w:color="auto" w:fill="auto"/>
            <w:noWrap/>
            <w:vAlign w:val="bottom"/>
            <w:hideMark/>
          </w:tcPr>
          <w:p w14:paraId="79297E04"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p value</w:t>
            </w:r>
          </w:p>
        </w:tc>
      </w:tr>
      <w:tr w:rsidR="00A07FE7" w:rsidRPr="00A07FE7" w14:paraId="2D74ACDB" w14:textId="77777777" w:rsidTr="000132D3">
        <w:trPr>
          <w:trHeight w:val="608"/>
        </w:trPr>
        <w:tc>
          <w:tcPr>
            <w:tcW w:w="2839" w:type="dxa"/>
            <w:tcBorders>
              <w:top w:val="nil"/>
              <w:left w:val="nil"/>
              <w:bottom w:val="single" w:sz="4" w:space="0" w:color="auto"/>
              <w:right w:val="nil"/>
            </w:tcBorders>
            <w:shd w:val="clear" w:color="auto" w:fill="auto"/>
            <w:noWrap/>
            <w:vAlign w:val="bottom"/>
            <w:hideMark/>
          </w:tcPr>
          <w:p w14:paraId="3A5AD6B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 </w:t>
            </w:r>
          </w:p>
        </w:tc>
        <w:tc>
          <w:tcPr>
            <w:tcW w:w="1988" w:type="dxa"/>
            <w:tcBorders>
              <w:top w:val="nil"/>
              <w:left w:val="nil"/>
              <w:bottom w:val="single" w:sz="4" w:space="0" w:color="auto"/>
              <w:right w:val="nil"/>
            </w:tcBorders>
            <w:shd w:val="clear" w:color="auto" w:fill="auto"/>
            <w:noWrap/>
            <w:vAlign w:val="bottom"/>
            <w:hideMark/>
          </w:tcPr>
          <w:p w14:paraId="49EBD87C"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(n=197)</w:t>
            </w:r>
          </w:p>
        </w:tc>
        <w:tc>
          <w:tcPr>
            <w:tcW w:w="1987" w:type="dxa"/>
            <w:tcBorders>
              <w:top w:val="nil"/>
              <w:left w:val="nil"/>
              <w:bottom w:val="single" w:sz="4" w:space="0" w:color="auto"/>
              <w:right w:val="nil"/>
            </w:tcBorders>
            <w:shd w:val="clear" w:color="auto" w:fill="auto"/>
            <w:noWrap/>
            <w:vAlign w:val="bottom"/>
            <w:hideMark/>
          </w:tcPr>
          <w:p w14:paraId="77DCFB1D"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(n=302)</w:t>
            </w:r>
          </w:p>
        </w:tc>
        <w:tc>
          <w:tcPr>
            <w:tcW w:w="2400" w:type="dxa"/>
            <w:tcBorders>
              <w:top w:val="nil"/>
              <w:left w:val="nil"/>
              <w:bottom w:val="single" w:sz="4" w:space="0" w:color="auto"/>
              <w:right w:val="nil"/>
            </w:tcBorders>
            <w:shd w:val="clear" w:color="auto" w:fill="auto"/>
            <w:noWrap/>
            <w:vAlign w:val="bottom"/>
            <w:hideMark/>
          </w:tcPr>
          <w:p w14:paraId="739A8137"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 </w:t>
            </w:r>
            <w:r w:rsidR="00CB570D">
              <w:rPr>
                <w:rFonts w:ascii="Calibri" w:eastAsia="Times New Roman" w:hAnsi="Calibri" w:cs="Times New Roman"/>
                <w:b/>
                <w:bCs/>
                <w:color w:val="000000"/>
                <w:lang w:eastAsia="en-GB"/>
              </w:rPr>
              <w:t>(95% CI)</w:t>
            </w:r>
          </w:p>
        </w:tc>
        <w:tc>
          <w:tcPr>
            <w:tcW w:w="651" w:type="dxa"/>
            <w:tcBorders>
              <w:top w:val="nil"/>
              <w:left w:val="nil"/>
              <w:bottom w:val="single" w:sz="4" w:space="0" w:color="auto"/>
              <w:right w:val="nil"/>
            </w:tcBorders>
            <w:shd w:val="clear" w:color="auto" w:fill="auto"/>
            <w:noWrap/>
            <w:vAlign w:val="bottom"/>
            <w:hideMark/>
          </w:tcPr>
          <w:p w14:paraId="095C1A96"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 </w:t>
            </w:r>
          </w:p>
        </w:tc>
      </w:tr>
      <w:tr w:rsidR="00A07FE7" w:rsidRPr="00A07FE7" w14:paraId="4F45923C" w14:textId="77777777" w:rsidTr="000132D3">
        <w:trPr>
          <w:trHeight w:val="608"/>
        </w:trPr>
        <w:tc>
          <w:tcPr>
            <w:tcW w:w="2839" w:type="dxa"/>
            <w:tcBorders>
              <w:top w:val="nil"/>
              <w:left w:val="nil"/>
              <w:bottom w:val="nil"/>
              <w:right w:val="nil"/>
            </w:tcBorders>
            <w:shd w:val="clear" w:color="auto" w:fill="auto"/>
            <w:noWrap/>
            <w:vAlign w:val="bottom"/>
            <w:hideMark/>
          </w:tcPr>
          <w:p w14:paraId="70182885" w14:textId="77777777" w:rsidR="00A07FE7" w:rsidRPr="00A07FE7" w:rsidRDefault="00A07FE7" w:rsidP="00A07FE7">
            <w:pPr>
              <w:spacing w:after="0" w:line="240" w:lineRule="auto"/>
              <w:rPr>
                <w:rFonts w:ascii="Calibri" w:eastAsia="Times New Roman" w:hAnsi="Calibri" w:cs="Times New Roman"/>
                <w:i/>
                <w:iCs/>
                <w:color w:val="000000"/>
                <w:lang w:eastAsia="en-GB"/>
              </w:rPr>
            </w:pPr>
            <w:r w:rsidRPr="00A07FE7">
              <w:rPr>
                <w:rFonts w:ascii="Calibri" w:eastAsia="Times New Roman" w:hAnsi="Calibri" w:cs="Times New Roman"/>
                <w:i/>
                <w:iCs/>
                <w:color w:val="000000"/>
                <w:lang w:eastAsia="en-GB"/>
              </w:rPr>
              <w:t>Mycoplasma pneumoniae</w:t>
            </w:r>
          </w:p>
        </w:tc>
        <w:tc>
          <w:tcPr>
            <w:tcW w:w="1988" w:type="dxa"/>
            <w:tcBorders>
              <w:top w:val="nil"/>
              <w:left w:val="nil"/>
              <w:bottom w:val="nil"/>
              <w:right w:val="nil"/>
            </w:tcBorders>
            <w:shd w:val="clear" w:color="auto" w:fill="auto"/>
            <w:noWrap/>
            <w:vAlign w:val="bottom"/>
            <w:hideMark/>
          </w:tcPr>
          <w:p w14:paraId="69D763C9"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 (1.5%)</w:t>
            </w:r>
          </w:p>
        </w:tc>
        <w:tc>
          <w:tcPr>
            <w:tcW w:w="1987" w:type="dxa"/>
            <w:tcBorders>
              <w:top w:val="nil"/>
              <w:left w:val="nil"/>
              <w:bottom w:val="nil"/>
              <w:right w:val="nil"/>
            </w:tcBorders>
            <w:shd w:val="clear" w:color="auto" w:fill="auto"/>
            <w:noWrap/>
            <w:vAlign w:val="bottom"/>
            <w:hideMark/>
          </w:tcPr>
          <w:p w14:paraId="071BFE66"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6 (2.0%)</w:t>
            </w:r>
          </w:p>
        </w:tc>
        <w:tc>
          <w:tcPr>
            <w:tcW w:w="2400" w:type="dxa"/>
            <w:tcBorders>
              <w:top w:val="nil"/>
              <w:left w:val="nil"/>
              <w:bottom w:val="nil"/>
              <w:right w:val="nil"/>
            </w:tcBorders>
            <w:shd w:val="clear" w:color="auto" w:fill="auto"/>
            <w:noWrap/>
            <w:vAlign w:val="bottom"/>
            <w:hideMark/>
          </w:tcPr>
          <w:p w14:paraId="57FB4381" w14:textId="77777777" w:rsidR="00A07FE7" w:rsidRPr="00A07FE7" w:rsidRDefault="00A07FE7" w:rsidP="0036265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-0.5%</w:t>
            </w:r>
            <w:r w:rsidR="000132D3">
              <w:rPr>
                <w:rFonts w:ascii="Calibri" w:eastAsia="Times New Roman" w:hAnsi="Calibri" w:cs="Times New Roman"/>
                <w:color w:val="000000"/>
                <w:lang w:eastAsia="en-GB"/>
              </w:rPr>
              <w:t xml:space="preserve"> (-3.0% to 2.6%)</w:t>
            </w:r>
          </w:p>
        </w:tc>
        <w:tc>
          <w:tcPr>
            <w:tcW w:w="651" w:type="dxa"/>
            <w:tcBorders>
              <w:top w:val="nil"/>
              <w:left w:val="nil"/>
              <w:bottom w:val="nil"/>
              <w:right w:val="nil"/>
            </w:tcBorders>
            <w:shd w:val="clear" w:color="auto" w:fill="auto"/>
            <w:noWrap/>
            <w:vAlign w:val="bottom"/>
            <w:hideMark/>
          </w:tcPr>
          <w:p w14:paraId="5D598B6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&gt;0.9999</w:t>
            </w:r>
          </w:p>
        </w:tc>
      </w:tr>
      <w:tr w:rsidR="00A07FE7" w:rsidRPr="00A07FE7" w14:paraId="19320754" w14:textId="77777777" w:rsidTr="000132D3">
        <w:trPr>
          <w:trHeight w:val="608"/>
        </w:trPr>
        <w:tc>
          <w:tcPr>
            <w:tcW w:w="2839" w:type="dxa"/>
            <w:tcBorders>
              <w:top w:val="nil"/>
              <w:left w:val="nil"/>
              <w:bottom w:val="nil"/>
              <w:right w:val="nil"/>
            </w:tcBorders>
            <w:shd w:val="clear" w:color="auto" w:fill="auto"/>
            <w:noWrap/>
            <w:vAlign w:val="bottom"/>
            <w:hideMark/>
          </w:tcPr>
          <w:p w14:paraId="3B07DAE5" w14:textId="77777777" w:rsidR="00A07FE7" w:rsidRPr="00A07FE7" w:rsidRDefault="00362651" w:rsidP="00A07FE7">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human M</w:t>
            </w:r>
            <w:r w:rsidR="00A07FE7" w:rsidRPr="00A07FE7">
              <w:rPr>
                <w:rFonts w:ascii="Calibri" w:eastAsia="Times New Roman" w:hAnsi="Calibri" w:cs="Times New Roman"/>
                <w:color w:val="000000"/>
                <w:lang w:eastAsia="en-GB"/>
              </w:rPr>
              <w:t>etapneumovirus</w:t>
            </w:r>
          </w:p>
        </w:tc>
        <w:tc>
          <w:tcPr>
            <w:tcW w:w="1988" w:type="dxa"/>
            <w:tcBorders>
              <w:top w:val="nil"/>
              <w:left w:val="nil"/>
              <w:bottom w:val="nil"/>
              <w:right w:val="nil"/>
            </w:tcBorders>
            <w:shd w:val="clear" w:color="auto" w:fill="auto"/>
            <w:noWrap/>
            <w:vAlign w:val="bottom"/>
            <w:hideMark/>
          </w:tcPr>
          <w:p w14:paraId="37654787"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w:t>
            </w:r>
          </w:p>
        </w:tc>
        <w:tc>
          <w:tcPr>
            <w:tcW w:w="1987" w:type="dxa"/>
            <w:tcBorders>
              <w:top w:val="nil"/>
              <w:left w:val="nil"/>
              <w:bottom w:val="nil"/>
              <w:right w:val="nil"/>
            </w:tcBorders>
            <w:shd w:val="clear" w:color="auto" w:fill="auto"/>
            <w:noWrap/>
            <w:vAlign w:val="bottom"/>
            <w:hideMark/>
          </w:tcPr>
          <w:p w14:paraId="4375D2B2"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 (1.0%)</w:t>
            </w:r>
          </w:p>
        </w:tc>
        <w:tc>
          <w:tcPr>
            <w:tcW w:w="2400" w:type="dxa"/>
            <w:tcBorders>
              <w:top w:val="nil"/>
              <w:left w:val="nil"/>
              <w:bottom w:val="nil"/>
              <w:right w:val="nil"/>
            </w:tcBorders>
            <w:shd w:val="clear" w:color="auto" w:fill="auto"/>
            <w:noWrap/>
            <w:vAlign w:val="bottom"/>
            <w:hideMark/>
          </w:tcPr>
          <w:p w14:paraId="1A20C98A" w14:textId="77777777" w:rsidR="00A07FE7" w:rsidRPr="00A07FE7" w:rsidRDefault="00A07FE7" w:rsidP="0036265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-1.0%</w:t>
            </w:r>
            <w:r w:rsidR="000132D3">
              <w:rPr>
                <w:rFonts w:ascii="Calibri" w:eastAsia="Times New Roman" w:hAnsi="Calibri" w:cs="Times New Roman"/>
                <w:color w:val="000000"/>
                <w:lang w:eastAsia="en-GB"/>
              </w:rPr>
              <w:t xml:space="preserve"> (-2.9% to 1.0%)</w:t>
            </w:r>
          </w:p>
        </w:tc>
        <w:tc>
          <w:tcPr>
            <w:tcW w:w="651" w:type="dxa"/>
            <w:tcBorders>
              <w:top w:val="nil"/>
              <w:left w:val="nil"/>
              <w:bottom w:val="nil"/>
              <w:right w:val="nil"/>
            </w:tcBorders>
            <w:shd w:val="clear" w:color="auto" w:fill="auto"/>
            <w:noWrap/>
            <w:vAlign w:val="bottom"/>
            <w:hideMark/>
          </w:tcPr>
          <w:p w14:paraId="76E0628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0.2818</w:t>
            </w:r>
          </w:p>
        </w:tc>
      </w:tr>
      <w:tr w:rsidR="00A07FE7" w:rsidRPr="00A07FE7" w14:paraId="4EB4425B" w14:textId="77777777" w:rsidTr="000132D3">
        <w:trPr>
          <w:trHeight w:val="608"/>
        </w:trPr>
        <w:tc>
          <w:tcPr>
            <w:tcW w:w="2839" w:type="dxa"/>
            <w:tcBorders>
              <w:top w:val="nil"/>
              <w:left w:val="nil"/>
              <w:bottom w:val="nil"/>
              <w:right w:val="nil"/>
            </w:tcBorders>
            <w:shd w:val="clear" w:color="auto" w:fill="auto"/>
            <w:noWrap/>
            <w:vAlign w:val="bottom"/>
            <w:hideMark/>
          </w:tcPr>
          <w:p w14:paraId="2F4FF34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HCoV-HKU1</w:t>
            </w:r>
          </w:p>
        </w:tc>
        <w:tc>
          <w:tcPr>
            <w:tcW w:w="1988" w:type="dxa"/>
            <w:tcBorders>
              <w:top w:val="nil"/>
              <w:left w:val="nil"/>
              <w:bottom w:val="nil"/>
              <w:right w:val="nil"/>
            </w:tcBorders>
            <w:shd w:val="clear" w:color="auto" w:fill="auto"/>
            <w:noWrap/>
            <w:vAlign w:val="bottom"/>
            <w:hideMark/>
          </w:tcPr>
          <w:p w14:paraId="293431B3"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 (0.5%)</w:t>
            </w:r>
          </w:p>
        </w:tc>
        <w:tc>
          <w:tcPr>
            <w:tcW w:w="1987" w:type="dxa"/>
            <w:tcBorders>
              <w:top w:val="nil"/>
              <w:left w:val="nil"/>
              <w:bottom w:val="nil"/>
              <w:right w:val="nil"/>
            </w:tcBorders>
            <w:shd w:val="clear" w:color="auto" w:fill="auto"/>
            <w:noWrap/>
            <w:vAlign w:val="bottom"/>
            <w:hideMark/>
          </w:tcPr>
          <w:p w14:paraId="52636A2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w:t>
            </w:r>
          </w:p>
        </w:tc>
        <w:tc>
          <w:tcPr>
            <w:tcW w:w="2400" w:type="dxa"/>
            <w:tcBorders>
              <w:top w:val="nil"/>
              <w:left w:val="nil"/>
              <w:bottom w:val="nil"/>
              <w:right w:val="nil"/>
            </w:tcBorders>
            <w:shd w:val="clear" w:color="auto" w:fill="auto"/>
            <w:noWrap/>
            <w:vAlign w:val="bottom"/>
            <w:hideMark/>
          </w:tcPr>
          <w:p w14:paraId="4AEB667A" w14:textId="77777777" w:rsidR="00A07FE7" w:rsidRPr="00A07FE7" w:rsidRDefault="00A07FE7" w:rsidP="0036265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0.5%</w:t>
            </w:r>
            <w:r w:rsidR="000132D3">
              <w:rPr>
                <w:rFonts w:ascii="Calibri" w:eastAsia="Times New Roman" w:hAnsi="Calibri" w:cs="Times New Roman"/>
                <w:color w:val="000000"/>
                <w:lang w:eastAsia="en-GB"/>
              </w:rPr>
              <w:t xml:space="preserve"> (-0.8% to 2.8%)</w:t>
            </w:r>
          </w:p>
        </w:tc>
        <w:tc>
          <w:tcPr>
            <w:tcW w:w="651" w:type="dxa"/>
            <w:tcBorders>
              <w:top w:val="nil"/>
              <w:left w:val="nil"/>
              <w:bottom w:val="nil"/>
              <w:right w:val="nil"/>
            </w:tcBorders>
            <w:shd w:val="clear" w:color="auto" w:fill="auto"/>
            <w:noWrap/>
            <w:vAlign w:val="bottom"/>
            <w:hideMark/>
          </w:tcPr>
          <w:p w14:paraId="43C74524"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0.3948</w:t>
            </w:r>
          </w:p>
        </w:tc>
      </w:tr>
      <w:tr w:rsidR="00A07FE7" w:rsidRPr="00A07FE7" w14:paraId="0E0F5422" w14:textId="77777777" w:rsidTr="000132D3">
        <w:trPr>
          <w:trHeight w:val="608"/>
        </w:trPr>
        <w:tc>
          <w:tcPr>
            <w:tcW w:w="2839" w:type="dxa"/>
            <w:tcBorders>
              <w:top w:val="nil"/>
              <w:left w:val="nil"/>
              <w:bottom w:val="nil"/>
              <w:right w:val="nil"/>
            </w:tcBorders>
            <w:shd w:val="clear" w:color="auto" w:fill="auto"/>
            <w:noWrap/>
            <w:vAlign w:val="bottom"/>
            <w:hideMark/>
          </w:tcPr>
          <w:p w14:paraId="74627373"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HCoV-OC43</w:t>
            </w:r>
          </w:p>
        </w:tc>
        <w:tc>
          <w:tcPr>
            <w:tcW w:w="1988" w:type="dxa"/>
            <w:tcBorders>
              <w:top w:val="nil"/>
              <w:left w:val="nil"/>
              <w:bottom w:val="nil"/>
              <w:right w:val="nil"/>
            </w:tcBorders>
            <w:shd w:val="clear" w:color="auto" w:fill="auto"/>
            <w:noWrap/>
            <w:vAlign w:val="bottom"/>
            <w:hideMark/>
          </w:tcPr>
          <w:p w14:paraId="7FF3ED2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w:t>
            </w:r>
          </w:p>
        </w:tc>
        <w:tc>
          <w:tcPr>
            <w:tcW w:w="1987" w:type="dxa"/>
            <w:tcBorders>
              <w:top w:val="nil"/>
              <w:left w:val="nil"/>
              <w:bottom w:val="nil"/>
              <w:right w:val="nil"/>
            </w:tcBorders>
            <w:shd w:val="clear" w:color="auto" w:fill="auto"/>
            <w:noWrap/>
            <w:vAlign w:val="bottom"/>
            <w:hideMark/>
          </w:tcPr>
          <w:p w14:paraId="4BDEAE7D"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3 (1.0%)</w:t>
            </w:r>
          </w:p>
        </w:tc>
        <w:tc>
          <w:tcPr>
            <w:tcW w:w="2400" w:type="dxa"/>
            <w:tcBorders>
              <w:top w:val="nil"/>
              <w:left w:val="nil"/>
              <w:bottom w:val="nil"/>
              <w:right w:val="nil"/>
            </w:tcBorders>
            <w:shd w:val="clear" w:color="auto" w:fill="auto"/>
            <w:noWrap/>
            <w:vAlign w:val="bottom"/>
            <w:hideMark/>
          </w:tcPr>
          <w:p w14:paraId="38D8D4D7" w14:textId="77777777" w:rsidR="00A07FE7" w:rsidRPr="00A07FE7" w:rsidRDefault="00A07FE7" w:rsidP="0036265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-1.0%</w:t>
            </w:r>
            <w:r w:rsidR="000132D3">
              <w:rPr>
                <w:rFonts w:ascii="Calibri" w:eastAsia="Times New Roman" w:hAnsi="Calibri" w:cs="Times New Roman"/>
                <w:color w:val="000000"/>
                <w:lang w:eastAsia="en-GB"/>
              </w:rPr>
              <w:t xml:space="preserve"> (-2.9% to 1.0%)</w:t>
            </w:r>
          </w:p>
        </w:tc>
        <w:tc>
          <w:tcPr>
            <w:tcW w:w="651" w:type="dxa"/>
            <w:tcBorders>
              <w:top w:val="nil"/>
              <w:left w:val="nil"/>
              <w:bottom w:val="nil"/>
              <w:right w:val="nil"/>
            </w:tcBorders>
            <w:shd w:val="clear" w:color="auto" w:fill="auto"/>
            <w:noWrap/>
            <w:vAlign w:val="bottom"/>
            <w:hideMark/>
          </w:tcPr>
          <w:p w14:paraId="716A175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0.2818</w:t>
            </w:r>
          </w:p>
        </w:tc>
      </w:tr>
      <w:tr w:rsidR="00A07FE7" w:rsidRPr="00A07FE7" w14:paraId="79F9C0B3" w14:textId="77777777" w:rsidTr="000132D3">
        <w:trPr>
          <w:trHeight w:val="608"/>
        </w:trPr>
        <w:tc>
          <w:tcPr>
            <w:tcW w:w="2839" w:type="dxa"/>
            <w:tcBorders>
              <w:top w:val="nil"/>
              <w:left w:val="nil"/>
              <w:bottom w:val="nil"/>
              <w:right w:val="nil"/>
            </w:tcBorders>
            <w:shd w:val="clear" w:color="auto" w:fill="auto"/>
            <w:noWrap/>
            <w:vAlign w:val="bottom"/>
            <w:hideMark/>
          </w:tcPr>
          <w:p w14:paraId="7D1B4DE0"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HCoV-NL63</w:t>
            </w:r>
          </w:p>
        </w:tc>
        <w:tc>
          <w:tcPr>
            <w:tcW w:w="1988" w:type="dxa"/>
            <w:tcBorders>
              <w:top w:val="nil"/>
              <w:left w:val="nil"/>
              <w:bottom w:val="nil"/>
              <w:right w:val="nil"/>
            </w:tcBorders>
            <w:shd w:val="clear" w:color="auto" w:fill="auto"/>
            <w:noWrap/>
            <w:vAlign w:val="bottom"/>
            <w:hideMark/>
          </w:tcPr>
          <w:p w14:paraId="1B878D0D"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w:t>
            </w:r>
          </w:p>
        </w:tc>
        <w:tc>
          <w:tcPr>
            <w:tcW w:w="1987" w:type="dxa"/>
            <w:tcBorders>
              <w:top w:val="nil"/>
              <w:left w:val="nil"/>
              <w:bottom w:val="nil"/>
              <w:right w:val="nil"/>
            </w:tcBorders>
            <w:shd w:val="clear" w:color="auto" w:fill="auto"/>
            <w:noWrap/>
            <w:vAlign w:val="bottom"/>
            <w:hideMark/>
          </w:tcPr>
          <w:p w14:paraId="3A3AFD2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 (0.3%)</w:t>
            </w:r>
          </w:p>
        </w:tc>
        <w:tc>
          <w:tcPr>
            <w:tcW w:w="2400" w:type="dxa"/>
            <w:tcBorders>
              <w:top w:val="nil"/>
              <w:left w:val="nil"/>
              <w:bottom w:val="nil"/>
              <w:right w:val="nil"/>
            </w:tcBorders>
            <w:shd w:val="clear" w:color="auto" w:fill="auto"/>
            <w:noWrap/>
            <w:vAlign w:val="bottom"/>
            <w:hideMark/>
          </w:tcPr>
          <w:p w14:paraId="040F4579" w14:textId="77777777" w:rsidR="00A07FE7" w:rsidRPr="00A07FE7" w:rsidRDefault="00A07FE7" w:rsidP="0036265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-0.3%</w:t>
            </w:r>
            <w:r w:rsidR="000132D3">
              <w:rPr>
                <w:rFonts w:ascii="Calibri" w:eastAsia="Times New Roman" w:hAnsi="Calibri" w:cs="Times New Roman"/>
                <w:color w:val="000000"/>
                <w:lang w:eastAsia="en-GB"/>
              </w:rPr>
              <w:t xml:space="preserve"> (-1.9% to 1.6%)</w:t>
            </w:r>
          </w:p>
        </w:tc>
        <w:tc>
          <w:tcPr>
            <w:tcW w:w="651" w:type="dxa"/>
            <w:tcBorders>
              <w:top w:val="nil"/>
              <w:left w:val="nil"/>
              <w:bottom w:val="nil"/>
              <w:right w:val="nil"/>
            </w:tcBorders>
            <w:shd w:val="clear" w:color="auto" w:fill="auto"/>
            <w:noWrap/>
            <w:vAlign w:val="bottom"/>
            <w:hideMark/>
          </w:tcPr>
          <w:p w14:paraId="58E8E72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&gt;0.9999</w:t>
            </w:r>
          </w:p>
        </w:tc>
      </w:tr>
      <w:tr w:rsidR="00A07FE7" w:rsidRPr="00A07FE7" w14:paraId="7B313E50" w14:textId="77777777" w:rsidTr="000132D3">
        <w:trPr>
          <w:trHeight w:val="608"/>
        </w:trPr>
        <w:tc>
          <w:tcPr>
            <w:tcW w:w="2839" w:type="dxa"/>
            <w:tcBorders>
              <w:top w:val="nil"/>
              <w:left w:val="nil"/>
              <w:bottom w:val="nil"/>
              <w:right w:val="nil"/>
            </w:tcBorders>
            <w:shd w:val="clear" w:color="auto" w:fill="auto"/>
            <w:noWrap/>
            <w:vAlign w:val="bottom"/>
            <w:hideMark/>
          </w:tcPr>
          <w:p w14:paraId="7D628FE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Adenovirus</w:t>
            </w:r>
          </w:p>
        </w:tc>
        <w:tc>
          <w:tcPr>
            <w:tcW w:w="1988" w:type="dxa"/>
            <w:tcBorders>
              <w:top w:val="nil"/>
              <w:left w:val="nil"/>
              <w:bottom w:val="nil"/>
              <w:right w:val="nil"/>
            </w:tcBorders>
            <w:shd w:val="clear" w:color="auto" w:fill="auto"/>
            <w:noWrap/>
            <w:vAlign w:val="bottom"/>
            <w:hideMark/>
          </w:tcPr>
          <w:p w14:paraId="493895DF"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 (0.5%)</w:t>
            </w:r>
          </w:p>
        </w:tc>
        <w:tc>
          <w:tcPr>
            <w:tcW w:w="1987" w:type="dxa"/>
            <w:tcBorders>
              <w:top w:val="nil"/>
              <w:left w:val="nil"/>
              <w:bottom w:val="nil"/>
              <w:right w:val="nil"/>
            </w:tcBorders>
            <w:shd w:val="clear" w:color="auto" w:fill="auto"/>
            <w:noWrap/>
            <w:vAlign w:val="bottom"/>
            <w:hideMark/>
          </w:tcPr>
          <w:p w14:paraId="1ADA61F5"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w:t>
            </w:r>
          </w:p>
        </w:tc>
        <w:tc>
          <w:tcPr>
            <w:tcW w:w="2400" w:type="dxa"/>
            <w:tcBorders>
              <w:top w:val="nil"/>
              <w:left w:val="nil"/>
              <w:bottom w:val="nil"/>
              <w:right w:val="nil"/>
            </w:tcBorders>
            <w:shd w:val="clear" w:color="auto" w:fill="auto"/>
            <w:noWrap/>
            <w:vAlign w:val="bottom"/>
            <w:hideMark/>
          </w:tcPr>
          <w:p w14:paraId="46ECB498" w14:textId="77777777" w:rsidR="00A07FE7" w:rsidRPr="00A07FE7" w:rsidRDefault="00A07FE7" w:rsidP="0036265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0.5%</w:t>
            </w:r>
            <w:r w:rsidR="000132D3">
              <w:rPr>
                <w:rFonts w:ascii="Calibri" w:eastAsia="Times New Roman" w:hAnsi="Calibri" w:cs="Times New Roman"/>
                <w:color w:val="000000"/>
                <w:lang w:eastAsia="en-GB"/>
              </w:rPr>
              <w:t xml:space="preserve"> (-0.8% to 2.8%)</w:t>
            </w:r>
          </w:p>
        </w:tc>
        <w:tc>
          <w:tcPr>
            <w:tcW w:w="651" w:type="dxa"/>
            <w:tcBorders>
              <w:top w:val="nil"/>
              <w:left w:val="nil"/>
              <w:bottom w:val="nil"/>
              <w:right w:val="nil"/>
            </w:tcBorders>
            <w:shd w:val="clear" w:color="auto" w:fill="auto"/>
            <w:noWrap/>
            <w:vAlign w:val="bottom"/>
            <w:hideMark/>
          </w:tcPr>
          <w:p w14:paraId="01D8F4BA"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0.3948</w:t>
            </w:r>
          </w:p>
        </w:tc>
      </w:tr>
      <w:tr w:rsidR="00A07FE7" w:rsidRPr="00A07FE7" w14:paraId="6F563DAE" w14:textId="77777777" w:rsidTr="000132D3">
        <w:trPr>
          <w:trHeight w:val="608"/>
        </w:trPr>
        <w:tc>
          <w:tcPr>
            <w:tcW w:w="2839" w:type="dxa"/>
            <w:tcBorders>
              <w:top w:val="nil"/>
              <w:left w:val="nil"/>
              <w:bottom w:val="nil"/>
              <w:right w:val="nil"/>
            </w:tcBorders>
            <w:shd w:val="clear" w:color="auto" w:fill="auto"/>
            <w:noWrap/>
            <w:vAlign w:val="bottom"/>
            <w:hideMark/>
          </w:tcPr>
          <w:p w14:paraId="2B306C7E"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human Rhinovirus</w:t>
            </w:r>
          </w:p>
        </w:tc>
        <w:tc>
          <w:tcPr>
            <w:tcW w:w="1988" w:type="dxa"/>
            <w:tcBorders>
              <w:top w:val="nil"/>
              <w:left w:val="nil"/>
              <w:bottom w:val="nil"/>
              <w:right w:val="nil"/>
            </w:tcBorders>
            <w:shd w:val="clear" w:color="auto" w:fill="auto"/>
            <w:noWrap/>
            <w:vAlign w:val="bottom"/>
            <w:hideMark/>
          </w:tcPr>
          <w:p w14:paraId="7BBED7B1"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w:t>
            </w:r>
          </w:p>
        </w:tc>
        <w:tc>
          <w:tcPr>
            <w:tcW w:w="1987" w:type="dxa"/>
            <w:tcBorders>
              <w:top w:val="nil"/>
              <w:left w:val="nil"/>
              <w:bottom w:val="nil"/>
              <w:right w:val="nil"/>
            </w:tcBorders>
            <w:shd w:val="clear" w:color="auto" w:fill="auto"/>
            <w:noWrap/>
            <w:vAlign w:val="bottom"/>
            <w:hideMark/>
          </w:tcPr>
          <w:p w14:paraId="63658ACC" w14:textId="77777777" w:rsidR="00A07FE7" w:rsidRPr="00A07FE7" w:rsidRDefault="00A07FE7" w:rsidP="00A07FE7">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12 (4.0%)</w:t>
            </w:r>
          </w:p>
        </w:tc>
        <w:tc>
          <w:tcPr>
            <w:tcW w:w="2400" w:type="dxa"/>
            <w:tcBorders>
              <w:top w:val="nil"/>
              <w:left w:val="nil"/>
              <w:bottom w:val="nil"/>
              <w:right w:val="nil"/>
            </w:tcBorders>
            <w:shd w:val="clear" w:color="auto" w:fill="auto"/>
            <w:noWrap/>
            <w:vAlign w:val="bottom"/>
            <w:hideMark/>
          </w:tcPr>
          <w:p w14:paraId="498AAAB8" w14:textId="77777777" w:rsidR="00A07FE7" w:rsidRPr="00A07FE7" w:rsidRDefault="00A07FE7" w:rsidP="0036265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-4.0%</w:t>
            </w:r>
            <w:r w:rsidR="000132D3">
              <w:rPr>
                <w:rFonts w:ascii="Calibri" w:eastAsia="Times New Roman" w:hAnsi="Calibri" w:cs="Times New Roman"/>
                <w:color w:val="000000"/>
                <w:lang w:eastAsia="en-GB"/>
              </w:rPr>
              <w:t xml:space="preserve"> (-6.8% to -1.4%)</w:t>
            </w:r>
          </w:p>
        </w:tc>
        <w:tc>
          <w:tcPr>
            <w:tcW w:w="651" w:type="dxa"/>
            <w:tcBorders>
              <w:top w:val="nil"/>
              <w:left w:val="nil"/>
              <w:bottom w:val="nil"/>
              <w:right w:val="nil"/>
            </w:tcBorders>
            <w:shd w:val="clear" w:color="auto" w:fill="auto"/>
            <w:noWrap/>
            <w:vAlign w:val="bottom"/>
            <w:hideMark/>
          </w:tcPr>
          <w:p w14:paraId="67C44349"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0.0045</w:t>
            </w:r>
          </w:p>
        </w:tc>
      </w:tr>
      <w:tr w:rsidR="00A07FE7" w:rsidRPr="00A07FE7" w14:paraId="67C9A48F" w14:textId="77777777" w:rsidTr="000132D3">
        <w:trPr>
          <w:trHeight w:val="608"/>
        </w:trPr>
        <w:tc>
          <w:tcPr>
            <w:tcW w:w="2839" w:type="dxa"/>
            <w:tcBorders>
              <w:top w:val="nil"/>
              <w:left w:val="nil"/>
              <w:bottom w:val="single" w:sz="4" w:space="0" w:color="auto"/>
              <w:right w:val="nil"/>
            </w:tcBorders>
            <w:shd w:val="clear" w:color="auto" w:fill="auto"/>
            <w:noWrap/>
            <w:vAlign w:val="bottom"/>
            <w:hideMark/>
          </w:tcPr>
          <w:p w14:paraId="5A892735" w14:textId="77777777" w:rsidR="00A07FE7" w:rsidRPr="00A07FE7" w:rsidRDefault="00A07FE7" w:rsidP="00A07FE7">
            <w:pPr>
              <w:spacing w:after="0" w:line="240" w:lineRule="auto"/>
              <w:rPr>
                <w:rFonts w:ascii="Calibri" w:eastAsia="Times New Roman" w:hAnsi="Calibri" w:cs="Times New Roman"/>
                <w:i/>
                <w:iCs/>
                <w:color w:val="000000"/>
                <w:lang w:eastAsia="en-GB"/>
              </w:rPr>
            </w:pPr>
            <w:r w:rsidRPr="00A07FE7">
              <w:rPr>
                <w:rFonts w:ascii="Calibri" w:eastAsia="Times New Roman" w:hAnsi="Calibri" w:cs="Times New Roman"/>
                <w:i/>
                <w:iCs/>
                <w:color w:val="000000"/>
                <w:lang w:eastAsia="en-GB"/>
              </w:rPr>
              <w:t>Any virus or atypical bacteria detected</w:t>
            </w:r>
          </w:p>
        </w:tc>
        <w:tc>
          <w:tcPr>
            <w:tcW w:w="1988" w:type="dxa"/>
            <w:tcBorders>
              <w:top w:val="nil"/>
              <w:left w:val="nil"/>
              <w:bottom w:val="single" w:sz="4" w:space="0" w:color="auto"/>
              <w:right w:val="nil"/>
            </w:tcBorders>
            <w:shd w:val="clear" w:color="auto" w:fill="auto"/>
            <w:noWrap/>
            <w:vAlign w:val="bottom"/>
            <w:hideMark/>
          </w:tcPr>
          <w:p w14:paraId="5AB204C7" w14:textId="77777777" w:rsidR="00A07FE7" w:rsidRPr="00A07FE7" w:rsidRDefault="00A07FE7" w:rsidP="00A07FE7">
            <w:pPr>
              <w:spacing w:after="0" w:line="240" w:lineRule="auto"/>
              <w:rPr>
                <w:rFonts w:ascii="Calibri" w:eastAsia="Times New Roman" w:hAnsi="Calibri" w:cs="Times New Roman"/>
                <w:i/>
                <w:iCs/>
                <w:color w:val="000000"/>
                <w:lang w:eastAsia="en-GB"/>
              </w:rPr>
            </w:pPr>
            <w:r w:rsidRPr="00A07FE7">
              <w:rPr>
                <w:rFonts w:ascii="Calibri" w:eastAsia="Times New Roman" w:hAnsi="Calibri" w:cs="Times New Roman"/>
                <w:i/>
                <w:iCs/>
                <w:color w:val="000000"/>
                <w:lang w:eastAsia="en-GB"/>
              </w:rPr>
              <w:t>5 (2.5%)</w:t>
            </w:r>
          </w:p>
        </w:tc>
        <w:tc>
          <w:tcPr>
            <w:tcW w:w="1987" w:type="dxa"/>
            <w:tcBorders>
              <w:top w:val="nil"/>
              <w:left w:val="nil"/>
              <w:bottom w:val="single" w:sz="4" w:space="0" w:color="auto"/>
              <w:right w:val="nil"/>
            </w:tcBorders>
            <w:shd w:val="clear" w:color="auto" w:fill="auto"/>
            <w:noWrap/>
            <w:vAlign w:val="bottom"/>
            <w:hideMark/>
          </w:tcPr>
          <w:p w14:paraId="7A6E2F0A" w14:textId="77777777" w:rsidR="00A07FE7" w:rsidRPr="00A07FE7" w:rsidRDefault="00A07FE7" w:rsidP="00A07FE7">
            <w:pPr>
              <w:spacing w:after="0" w:line="240" w:lineRule="auto"/>
              <w:rPr>
                <w:rFonts w:ascii="Calibri" w:eastAsia="Times New Roman" w:hAnsi="Calibri" w:cs="Times New Roman"/>
                <w:i/>
                <w:iCs/>
                <w:color w:val="000000"/>
                <w:lang w:eastAsia="en-GB"/>
              </w:rPr>
            </w:pPr>
            <w:r w:rsidRPr="00A07FE7">
              <w:rPr>
                <w:rFonts w:ascii="Calibri" w:eastAsia="Times New Roman" w:hAnsi="Calibri" w:cs="Times New Roman"/>
                <w:i/>
                <w:iCs/>
                <w:color w:val="000000"/>
                <w:lang w:eastAsia="en-GB"/>
              </w:rPr>
              <w:t>24 (7.9%)</w:t>
            </w:r>
          </w:p>
        </w:tc>
        <w:tc>
          <w:tcPr>
            <w:tcW w:w="2400" w:type="dxa"/>
            <w:tcBorders>
              <w:top w:val="nil"/>
              <w:left w:val="nil"/>
              <w:bottom w:val="single" w:sz="4" w:space="0" w:color="auto"/>
              <w:right w:val="nil"/>
            </w:tcBorders>
            <w:shd w:val="clear" w:color="auto" w:fill="auto"/>
            <w:noWrap/>
            <w:vAlign w:val="bottom"/>
            <w:hideMark/>
          </w:tcPr>
          <w:p w14:paraId="700F9049" w14:textId="77777777" w:rsidR="00A07FE7" w:rsidRPr="00A07FE7" w:rsidRDefault="00A07FE7" w:rsidP="00362651">
            <w:pPr>
              <w:spacing w:after="0" w:line="240" w:lineRule="auto"/>
              <w:rPr>
                <w:rFonts w:ascii="Calibri" w:eastAsia="Times New Roman" w:hAnsi="Calibri" w:cs="Times New Roman"/>
                <w:i/>
                <w:iCs/>
                <w:color w:val="000000"/>
                <w:lang w:eastAsia="en-GB"/>
              </w:rPr>
            </w:pPr>
            <w:r w:rsidRPr="00A07FE7">
              <w:rPr>
                <w:rFonts w:ascii="Calibri" w:eastAsia="Times New Roman" w:hAnsi="Calibri" w:cs="Times New Roman"/>
                <w:i/>
                <w:iCs/>
                <w:color w:val="000000"/>
                <w:lang w:eastAsia="en-GB"/>
              </w:rPr>
              <w:t>-5.4%</w:t>
            </w:r>
            <w:r w:rsidR="000132D3">
              <w:rPr>
                <w:rFonts w:ascii="Calibri" w:eastAsia="Times New Roman" w:hAnsi="Calibri" w:cs="Times New Roman"/>
                <w:i/>
                <w:iCs/>
                <w:color w:val="000000"/>
                <w:lang w:eastAsia="en-GB"/>
              </w:rPr>
              <w:t xml:space="preserve"> (-9.3% to -1.3%)</w:t>
            </w:r>
          </w:p>
        </w:tc>
        <w:tc>
          <w:tcPr>
            <w:tcW w:w="651" w:type="dxa"/>
            <w:tcBorders>
              <w:top w:val="nil"/>
              <w:left w:val="nil"/>
              <w:bottom w:val="single" w:sz="4" w:space="0" w:color="auto"/>
              <w:right w:val="nil"/>
            </w:tcBorders>
            <w:shd w:val="clear" w:color="auto" w:fill="auto"/>
            <w:noWrap/>
            <w:vAlign w:val="bottom"/>
            <w:hideMark/>
          </w:tcPr>
          <w:p w14:paraId="201F31E3" w14:textId="77777777" w:rsidR="00A07FE7" w:rsidRPr="00A07FE7" w:rsidRDefault="00A07FE7" w:rsidP="00A07FE7">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0.0109</w:t>
            </w:r>
          </w:p>
        </w:tc>
      </w:tr>
    </w:tbl>
    <w:p w14:paraId="3DBAECA6" w14:textId="77777777" w:rsidR="00A07FE7" w:rsidRDefault="00A07FE7" w:rsidP="00A07FE7"/>
    <w:p w14:paraId="471568F5" w14:textId="77777777" w:rsidR="00362651" w:rsidRDefault="00362651" w:rsidP="00362651">
      <w:r>
        <w:t xml:space="preserve">No other targets on the QIAstat-Dx Respiratory SARS-CoV-2 Panel detected. </w:t>
      </w:r>
      <w:r w:rsidRPr="00A94CA6">
        <w:rPr>
          <w:i/>
        </w:rPr>
        <w:t>Bordatella pertussis</w:t>
      </w:r>
      <w:r>
        <w:t xml:space="preserve"> detections excluded as uncertain significance. </w:t>
      </w:r>
    </w:p>
    <w:p w14:paraId="1B6851E1" w14:textId="77777777" w:rsidR="00362651" w:rsidRDefault="00362651" w:rsidP="00362651">
      <w:r>
        <w:t xml:space="preserve">One patient in the COVID-19 negative group had both human Rhinovirus </w:t>
      </w:r>
      <w:r w:rsidRPr="00A94CA6">
        <w:t>&amp;</w:t>
      </w:r>
      <w:r w:rsidRPr="00A94CA6">
        <w:rPr>
          <w:i/>
        </w:rPr>
        <w:t xml:space="preserve"> Mycoplasma pneumoniae</w:t>
      </w:r>
      <w:r>
        <w:t xml:space="preserve"> detected.</w:t>
      </w:r>
    </w:p>
    <w:p w14:paraId="0C19D42C" w14:textId="77777777" w:rsidR="00362651" w:rsidRDefault="00362651" w:rsidP="00362651">
      <w:pPr>
        <w:sectPr w:rsidR="00362651" w:rsidSect="00CB570D">
          <w:endnotePr>
            <w:numFmt w:val="decimal"/>
          </w:endnotePr>
          <w:pgSz w:w="11906" w:h="16838"/>
          <w:pgMar w:top="720" w:right="720" w:bottom="720" w:left="720" w:header="708" w:footer="708" w:gutter="0"/>
          <w:cols w:space="708"/>
          <w:docGrid w:linePitch="360"/>
        </w:sectPr>
      </w:pPr>
      <w:r>
        <w:t>HCoV, human coronavirus</w:t>
      </w:r>
      <w:r w:rsidR="00EB4A2C">
        <w:t>; mPOCT, molecular point-of-care testing.</w:t>
      </w:r>
    </w:p>
    <w:p w14:paraId="55ED4EA3" w14:textId="77777777" w:rsidR="00362651" w:rsidRDefault="005C415C" w:rsidP="00131DB9">
      <w:pPr>
        <w:pStyle w:val="Heading1"/>
      </w:pPr>
      <w:r>
        <w:lastRenderedPageBreak/>
        <w:t xml:space="preserve">Table </w:t>
      </w:r>
      <w:r w:rsidR="009E40B3">
        <w:t>5</w:t>
      </w:r>
      <w:r>
        <w:t>: C</w:t>
      </w:r>
      <w:r w:rsidR="00362651" w:rsidRPr="00362651">
        <w:t>linical outcomes in patients testing positive and negative for COVID-19</w:t>
      </w:r>
    </w:p>
    <w:tbl>
      <w:tblPr>
        <w:tblW w:w="10490" w:type="dxa"/>
        <w:tblLook w:val="04A0" w:firstRow="1" w:lastRow="0" w:firstColumn="1" w:lastColumn="0" w:noHBand="0" w:noVBand="1"/>
      </w:tblPr>
      <w:tblGrid>
        <w:gridCol w:w="3225"/>
        <w:gridCol w:w="2092"/>
        <w:gridCol w:w="1973"/>
        <w:gridCol w:w="2349"/>
        <w:gridCol w:w="942"/>
      </w:tblGrid>
      <w:tr w:rsidR="00362651" w:rsidRPr="00362651" w14:paraId="66F96911" w14:textId="77777777" w:rsidTr="00A76C55">
        <w:trPr>
          <w:trHeight w:val="454"/>
        </w:trPr>
        <w:tc>
          <w:tcPr>
            <w:tcW w:w="3225" w:type="dxa"/>
            <w:tcBorders>
              <w:top w:val="nil"/>
              <w:left w:val="nil"/>
              <w:bottom w:val="nil"/>
              <w:right w:val="nil"/>
            </w:tcBorders>
            <w:shd w:val="clear" w:color="auto" w:fill="auto"/>
            <w:noWrap/>
            <w:vAlign w:val="bottom"/>
            <w:hideMark/>
          </w:tcPr>
          <w:p w14:paraId="0BEE94F7" w14:textId="77777777" w:rsidR="00362651" w:rsidRPr="00362651" w:rsidRDefault="00362651" w:rsidP="00362651">
            <w:pPr>
              <w:spacing w:after="0" w:line="240" w:lineRule="auto"/>
              <w:rPr>
                <w:rFonts w:ascii="Times New Roman" w:eastAsia="Times New Roman" w:hAnsi="Times New Roman" w:cs="Times New Roman"/>
                <w:sz w:val="24"/>
                <w:szCs w:val="24"/>
                <w:lang w:eastAsia="en-GB"/>
              </w:rPr>
            </w:pPr>
          </w:p>
        </w:tc>
        <w:tc>
          <w:tcPr>
            <w:tcW w:w="2092" w:type="dxa"/>
            <w:tcBorders>
              <w:top w:val="nil"/>
              <w:left w:val="nil"/>
              <w:bottom w:val="nil"/>
              <w:right w:val="nil"/>
            </w:tcBorders>
            <w:shd w:val="clear" w:color="auto" w:fill="auto"/>
            <w:noWrap/>
            <w:vAlign w:val="bottom"/>
            <w:hideMark/>
          </w:tcPr>
          <w:p w14:paraId="5AD581B9"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COVID-19 positive</w:t>
            </w:r>
          </w:p>
        </w:tc>
        <w:tc>
          <w:tcPr>
            <w:tcW w:w="1973" w:type="dxa"/>
            <w:tcBorders>
              <w:top w:val="nil"/>
              <w:left w:val="nil"/>
              <w:bottom w:val="nil"/>
              <w:right w:val="nil"/>
            </w:tcBorders>
            <w:shd w:val="clear" w:color="auto" w:fill="auto"/>
            <w:noWrap/>
            <w:vAlign w:val="bottom"/>
            <w:hideMark/>
          </w:tcPr>
          <w:p w14:paraId="4BDE86AD"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COVID-19 negative</w:t>
            </w:r>
          </w:p>
        </w:tc>
        <w:tc>
          <w:tcPr>
            <w:tcW w:w="2349" w:type="dxa"/>
            <w:tcBorders>
              <w:top w:val="nil"/>
              <w:left w:val="nil"/>
              <w:bottom w:val="nil"/>
              <w:right w:val="nil"/>
            </w:tcBorders>
            <w:shd w:val="clear" w:color="auto" w:fill="auto"/>
            <w:noWrap/>
            <w:vAlign w:val="bottom"/>
            <w:hideMark/>
          </w:tcPr>
          <w:p w14:paraId="32E166FA"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Difference</w:t>
            </w:r>
          </w:p>
        </w:tc>
        <w:tc>
          <w:tcPr>
            <w:tcW w:w="851" w:type="dxa"/>
            <w:tcBorders>
              <w:top w:val="nil"/>
              <w:left w:val="nil"/>
              <w:bottom w:val="nil"/>
              <w:right w:val="nil"/>
            </w:tcBorders>
            <w:shd w:val="clear" w:color="auto" w:fill="auto"/>
            <w:noWrap/>
            <w:vAlign w:val="bottom"/>
            <w:hideMark/>
          </w:tcPr>
          <w:p w14:paraId="0C384D48"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p value</w:t>
            </w:r>
          </w:p>
        </w:tc>
      </w:tr>
      <w:tr w:rsidR="00362651" w:rsidRPr="00362651" w14:paraId="1F11621D" w14:textId="77777777" w:rsidTr="00A76C55">
        <w:trPr>
          <w:trHeight w:val="454"/>
        </w:trPr>
        <w:tc>
          <w:tcPr>
            <w:tcW w:w="3225" w:type="dxa"/>
            <w:tcBorders>
              <w:top w:val="nil"/>
              <w:left w:val="nil"/>
              <w:bottom w:val="single" w:sz="4" w:space="0" w:color="auto"/>
              <w:right w:val="nil"/>
            </w:tcBorders>
            <w:shd w:val="clear" w:color="auto" w:fill="auto"/>
            <w:noWrap/>
            <w:vAlign w:val="bottom"/>
            <w:hideMark/>
          </w:tcPr>
          <w:p w14:paraId="0940ADEF"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 </w:t>
            </w:r>
          </w:p>
        </w:tc>
        <w:tc>
          <w:tcPr>
            <w:tcW w:w="2092" w:type="dxa"/>
            <w:tcBorders>
              <w:top w:val="nil"/>
              <w:left w:val="nil"/>
              <w:bottom w:val="single" w:sz="4" w:space="0" w:color="auto"/>
              <w:right w:val="nil"/>
            </w:tcBorders>
            <w:shd w:val="clear" w:color="auto" w:fill="auto"/>
            <w:noWrap/>
            <w:vAlign w:val="bottom"/>
            <w:hideMark/>
          </w:tcPr>
          <w:p w14:paraId="115D6DDD"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(n=352)</w:t>
            </w:r>
          </w:p>
        </w:tc>
        <w:tc>
          <w:tcPr>
            <w:tcW w:w="1973" w:type="dxa"/>
            <w:tcBorders>
              <w:top w:val="nil"/>
              <w:left w:val="nil"/>
              <w:bottom w:val="single" w:sz="4" w:space="0" w:color="auto"/>
              <w:right w:val="nil"/>
            </w:tcBorders>
            <w:shd w:val="clear" w:color="auto" w:fill="auto"/>
            <w:noWrap/>
            <w:vAlign w:val="bottom"/>
            <w:hideMark/>
          </w:tcPr>
          <w:p w14:paraId="484C6810"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(n=702)</w:t>
            </w:r>
          </w:p>
        </w:tc>
        <w:tc>
          <w:tcPr>
            <w:tcW w:w="2349" w:type="dxa"/>
            <w:tcBorders>
              <w:top w:val="nil"/>
              <w:left w:val="nil"/>
              <w:bottom w:val="single" w:sz="4" w:space="0" w:color="auto"/>
              <w:right w:val="nil"/>
            </w:tcBorders>
            <w:shd w:val="clear" w:color="auto" w:fill="auto"/>
            <w:noWrap/>
            <w:vAlign w:val="bottom"/>
            <w:hideMark/>
          </w:tcPr>
          <w:p w14:paraId="3641112B" w14:textId="77777777" w:rsidR="00362651" w:rsidRPr="00F61625" w:rsidRDefault="00362651" w:rsidP="00362651">
            <w:pPr>
              <w:spacing w:after="0" w:line="240" w:lineRule="auto"/>
              <w:rPr>
                <w:rFonts w:ascii="Calibri" w:eastAsia="Times New Roman" w:hAnsi="Calibri" w:cs="Times New Roman"/>
                <w:b/>
                <w:color w:val="000000"/>
                <w:lang w:eastAsia="en-GB"/>
              </w:rPr>
            </w:pPr>
            <w:r w:rsidRPr="00F61625">
              <w:rPr>
                <w:rFonts w:ascii="Calibri" w:eastAsia="Times New Roman" w:hAnsi="Calibri" w:cs="Times New Roman"/>
                <w:b/>
                <w:color w:val="000000"/>
                <w:lang w:eastAsia="en-GB"/>
              </w:rPr>
              <w:t> </w:t>
            </w:r>
            <w:r w:rsidR="00F61625" w:rsidRPr="00F61625">
              <w:rPr>
                <w:rFonts w:ascii="Calibri" w:eastAsia="Times New Roman" w:hAnsi="Calibri" w:cs="Times New Roman"/>
                <w:b/>
                <w:color w:val="000000"/>
                <w:lang w:eastAsia="en-GB"/>
              </w:rPr>
              <w:t>(95% CI)</w:t>
            </w:r>
          </w:p>
        </w:tc>
        <w:tc>
          <w:tcPr>
            <w:tcW w:w="851" w:type="dxa"/>
            <w:tcBorders>
              <w:top w:val="nil"/>
              <w:left w:val="nil"/>
              <w:bottom w:val="single" w:sz="4" w:space="0" w:color="auto"/>
              <w:right w:val="nil"/>
            </w:tcBorders>
            <w:shd w:val="clear" w:color="auto" w:fill="auto"/>
            <w:noWrap/>
            <w:vAlign w:val="bottom"/>
            <w:hideMark/>
          </w:tcPr>
          <w:p w14:paraId="793C72EA"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 </w:t>
            </w:r>
          </w:p>
        </w:tc>
      </w:tr>
      <w:tr w:rsidR="00362651" w:rsidRPr="00362651" w14:paraId="6A231D41" w14:textId="77777777" w:rsidTr="00A76C55">
        <w:trPr>
          <w:trHeight w:val="454"/>
        </w:trPr>
        <w:tc>
          <w:tcPr>
            <w:tcW w:w="3225" w:type="dxa"/>
            <w:tcBorders>
              <w:top w:val="nil"/>
              <w:left w:val="nil"/>
              <w:bottom w:val="nil"/>
              <w:right w:val="nil"/>
            </w:tcBorders>
            <w:shd w:val="clear" w:color="auto" w:fill="auto"/>
            <w:noWrap/>
            <w:vAlign w:val="bottom"/>
            <w:hideMark/>
          </w:tcPr>
          <w:p w14:paraId="78EDA39C"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Antibiotic use at any time</w:t>
            </w:r>
          </w:p>
        </w:tc>
        <w:tc>
          <w:tcPr>
            <w:tcW w:w="2092" w:type="dxa"/>
            <w:tcBorders>
              <w:top w:val="nil"/>
              <w:left w:val="nil"/>
              <w:bottom w:val="nil"/>
              <w:right w:val="nil"/>
            </w:tcBorders>
            <w:shd w:val="clear" w:color="auto" w:fill="auto"/>
            <w:noWrap/>
            <w:vAlign w:val="bottom"/>
            <w:hideMark/>
          </w:tcPr>
          <w:p w14:paraId="4FAA96E6"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303 (86.1%)</w:t>
            </w:r>
          </w:p>
        </w:tc>
        <w:tc>
          <w:tcPr>
            <w:tcW w:w="1973" w:type="dxa"/>
            <w:tcBorders>
              <w:top w:val="nil"/>
              <w:left w:val="nil"/>
              <w:bottom w:val="nil"/>
              <w:right w:val="nil"/>
            </w:tcBorders>
            <w:shd w:val="clear" w:color="auto" w:fill="auto"/>
            <w:noWrap/>
            <w:vAlign w:val="bottom"/>
            <w:hideMark/>
          </w:tcPr>
          <w:p w14:paraId="5E6BDFE0"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502 (71.5%)</w:t>
            </w:r>
          </w:p>
        </w:tc>
        <w:tc>
          <w:tcPr>
            <w:tcW w:w="2349" w:type="dxa"/>
            <w:tcBorders>
              <w:top w:val="nil"/>
              <w:left w:val="nil"/>
              <w:bottom w:val="nil"/>
              <w:right w:val="nil"/>
            </w:tcBorders>
            <w:shd w:val="clear" w:color="auto" w:fill="auto"/>
            <w:noWrap/>
            <w:vAlign w:val="bottom"/>
            <w:hideMark/>
          </w:tcPr>
          <w:p w14:paraId="6B788AE9"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14.6%</w:t>
            </w:r>
            <w:r w:rsidR="00F61625">
              <w:rPr>
                <w:rFonts w:ascii="Calibri" w:eastAsia="Times New Roman" w:hAnsi="Calibri" w:cs="Times New Roman"/>
                <w:color w:val="000000"/>
                <w:lang w:eastAsia="en-GB"/>
              </w:rPr>
              <w:t xml:space="preserve"> (9.4% to 19.3%)</w:t>
            </w:r>
          </w:p>
        </w:tc>
        <w:tc>
          <w:tcPr>
            <w:tcW w:w="851" w:type="dxa"/>
            <w:tcBorders>
              <w:top w:val="nil"/>
              <w:left w:val="nil"/>
              <w:bottom w:val="nil"/>
              <w:right w:val="nil"/>
            </w:tcBorders>
            <w:shd w:val="clear" w:color="auto" w:fill="auto"/>
            <w:noWrap/>
            <w:vAlign w:val="bottom"/>
            <w:hideMark/>
          </w:tcPr>
          <w:p w14:paraId="0A75F420"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&lt;0.0001</w:t>
            </w:r>
          </w:p>
        </w:tc>
      </w:tr>
      <w:tr w:rsidR="00362651" w:rsidRPr="00362651" w14:paraId="09F61534" w14:textId="77777777" w:rsidTr="00A76C55">
        <w:trPr>
          <w:trHeight w:val="454"/>
        </w:trPr>
        <w:tc>
          <w:tcPr>
            <w:tcW w:w="3225" w:type="dxa"/>
            <w:tcBorders>
              <w:top w:val="nil"/>
              <w:left w:val="nil"/>
              <w:bottom w:val="nil"/>
              <w:right w:val="nil"/>
            </w:tcBorders>
            <w:shd w:val="clear" w:color="auto" w:fill="auto"/>
            <w:noWrap/>
            <w:vAlign w:val="bottom"/>
            <w:hideMark/>
          </w:tcPr>
          <w:p w14:paraId="60263834"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Received supplemental oxygen</w:t>
            </w:r>
          </w:p>
        </w:tc>
        <w:tc>
          <w:tcPr>
            <w:tcW w:w="2092" w:type="dxa"/>
            <w:tcBorders>
              <w:top w:val="nil"/>
              <w:left w:val="nil"/>
              <w:bottom w:val="nil"/>
              <w:right w:val="nil"/>
            </w:tcBorders>
            <w:shd w:val="clear" w:color="auto" w:fill="auto"/>
            <w:noWrap/>
            <w:vAlign w:val="bottom"/>
            <w:hideMark/>
          </w:tcPr>
          <w:p w14:paraId="35470AD1"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251 (71.3%)</w:t>
            </w:r>
          </w:p>
        </w:tc>
        <w:tc>
          <w:tcPr>
            <w:tcW w:w="1973" w:type="dxa"/>
            <w:tcBorders>
              <w:top w:val="nil"/>
              <w:left w:val="nil"/>
              <w:bottom w:val="nil"/>
              <w:right w:val="nil"/>
            </w:tcBorders>
            <w:shd w:val="clear" w:color="auto" w:fill="auto"/>
            <w:noWrap/>
            <w:vAlign w:val="bottom"/>
            <w:hideMark/>
          </w:tcPr>
          <w:p w14:paraId="0176CB4C"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287 (40.9%)</w:t>
            </w:r>
          </w:p>
        </w:tc>
        <w:tc>
          <w:tcPr>
            <w:tcW w:w="2349" w:type="dxa"/>
            <w:tcBorders>
              <w:top w:val="nil"/>
              <w:left w:val="nil"/>
              <w:bottom w:val="nil"/>
              <w:right w:val="nil"/>
            </w:tcBorders>
            <w:shd w:val="clear" w:color="auto" w:fill="auto"/>
            <w:noWrap/>
            <w:vAlign w:val="bottom"/>
            <w:hideMark/>
          </w:tcPr>
          <w:p w14:paraId="4561CE25" w14:textId="77777777" w:rsidR="00362651" w:rsidRPr="00362651" w:rsidRDefault="00362651" w:rsidP="006F70D7">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30.4%</w:t>
            </w:r>
            <w:r w:rsidR="00F61625">
              <w:rPr>
                <w:rFonts w:ascii="Calibri" w:eastAsia="Times New Roman" w:hAnsi="Calibri" w:cs="Times New Roman"/>
                <w:color w:val="000000"/>
                <w:lang w:eastAsia="en-GB"/>
              </w:rPr>
              <w:t xml:space="preserve"> </w:t>
            </w:r>
            <w:r w:rsidR="006F70D7">
              <w:rPr>
                <w:rFonts w:ascii="Calibri" w:eastAsia="Times New Roman" w:hAnsi="Calibri" w:cs="Times New Roman"/>
                <w:color w:val="000000"/>
                <w:lang w:eastAsia="en-GB"/>
              </w:rPr>
              <w:t>(</w:t>
            </w:r>
            <w:r w:rsidR="00A76C55">
              <w:rPr>
                <w:rFonts w:ascii="Calibri" w:eastAsia="Times New Roman" w:hAnsi="Calibri" w:cs="Times New Roman"/>
                <w:color w:val="000000"/>
                <w:lang w:eastAsia="en-GB"/>
              </w:rPr>
              <w:t>24.3% to 36.2%)</w:t>
            </w:r>
          </w:p>
        </w:tc>
        <w:tc>
          <w:tcPr>
            <w:tcW w:w="851" w:type="dxa"/>
            <w:tcBorders>
              <w:top w:val="nil"/>
              <w:left w:val="nil"/>
              <w:bottom w:val="nil"/>
              <w:right w:val="nil"/>
            </w:tcBorders>
            <w:shd w:val="clear" w:color="auto" w:fill="auto"/>
            <w:noWrap/>
            <w:vAlign w:val="bottom"/>
            <w:hideMark/>
          </w:tcPr>
          <w:p w14:paraId="542E295F"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&lt;0.0001</w:t>
            </w:r>
          </w:p>
        </w:tc>
      </w:tr>
      <w:tr w:rsidR="00362651" w:rsidRPr="00362651" w14:paraId="2DCAA953" w14:textId="77777777" w:rsidTr="00A76C55">
        <w:trPr>
          <w:trHeight w:val="454"/>
        </w:trPr>
        <w:tc>
          <w:tcPr>
            <w:tcW w:w="3225" w:type="dxa"/>
            <w:tcBorders>
              <w:top w:val="nil"/>
              <w:left w:val="nil"/>
              <w:bottom w:val="nil"/>
              <w:right w:val="nil"/>
            </w:tcBorders>
            <w:shd w:val="clear" w:color="auto" w:fill="auto"/>
            <w:noWrap/>
            <w:vAlign w:val="bottom"/>
            <w:hideMark/>
          </w:tcPr>
          <w:p w14:paraId="409830C0"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 xml:space="preserve">   Duration of received O2 (hours)</w:t>
            </w:r>
          </w:p>
        </w:tc>
        <w:tc>
          <w:tcPr>
            <w:tcW w:w="2092" w:type="dxa"/>
            <w:tcBorders>
              <w:top w:val="nil"/>
              <w:left w:val="nil"/>
              <w:bottom w:val="nil"/>
              <w:right w:val="nil"/>
            </w:tcBorders>
            <w:shd w:val="clear" w:color="auto" w:fill="auto"/>
            <w:noWrap/>
            <w:vAlign w:val="bottom"/>
            <w:hideMark/>
          </w:tcPr>
          <w:p w14:paraId="29930CD2"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20.0 (9.0 to 67.0)</w:t>
            </w:r>
          </w:p>
        </w:tc>
        <w:tc>
          <w:tcPr>
            <w:tcW w:w="1973" w:type="dxa"/>
            <w:tcBorders>
              <w:top w:val="nil"/>
              <w:left w:val="nil"/>
              <w:bottom w:val="nil"/>
              <w:right w:val="nil"/>
            </w:tcBorders>
            <w:shd w:val="clear" w:color="auto" w:fill="auto"/>
            <w:noWrap/>
            <w:vAlign w:val="bottom"/>
            <w:hideMark/>
          </w:tcPr>
          <w:p w14:paraId="095F8A51"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9.8 (3.0 to 30.0)</w:t>
            </w:r>
          </w:p>
        </w:tc>
        <w:tc>
          <w:tcPr>
            <w:tcW w:w="2349" w:type="dxa"/>
            <w:tcBorders>
              <w:top w:val="nil"/>
              <w:left w:val="nil"/>
              <w:bottom w:val="nil"/>
              <w:right w:val="nil"/>
            </w:tcBorders>
            <w:shd w:val="clear" w:color="auto" w:fill="auto"/>
            <w:noWrap/>
            <w:vAlign w:val="bottom"/>
            <w:hideMark/>
          </w:tcPr>
          <w:p w14:paraId="3149F77B"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10.2</w:t>
            </w:r>
            <w:r w:rsidR="00A76C55">
              <w:rPr>
                <w:rFonts w:ascii="Calibri" w:eastAsia="Times New Roman" w:hAnsi="Calibri" w:cs="Times New Roman"/>
                <w:color w:val="000000"/>
                <w:lang w:eastAsia="en-GB"/>
              </w:rPr>
              <w:t xml:space="preserve"> (5.8 to 12.5)</w:t>
            </w:r>
          </w:p>
        </w:tc>
        <w:tc>
          <w:tcPr>
            <w:tcW w:w="851" w:type="dxa"/>
            <w:tcBorders>
              <w:top w:val="nil"/>
              <w:left w:val="nil"/>
              <w:bottom w:val="nil"/>
              <w:right w:val="nil"/>
            </w:tcBorders>
            <w:shd w:val="clear" w:color="auto" w:fill="auto"/>
            <w:noWrap/>
            <w:vAlign w:val="bottom"/>
            <w:hideMark/>
          </w:tcPr>
          <w:p w14:paraId="7DA7EA0B"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&lt;0.0001</w:t>
            </w:r>
          </w:p>
        </w:tc>
      </w:tr>
      <w:tr w:rsidR="00362651" w:rsidRPr="00362651" w14:paraId="1AC9AD5C" w14:textId="77777777" w:rsidTr="00A76C55">
        <w:trPr>
          <w:trHeight w:val="454"/>
        </w:trPr>
        <w:tc>
          <w:tcPr>
            <w:tcW w:w="3225" w:type="dxa"/>
            <w:tcBorders>
              <w:top w:val="nil"/>
              <w:left w:val="nil"/>
              <w:bottom w:val="nil"/>
              <w:right w:val="nil"/>
            </w:tcBorders>
            <w:shd w:val="clear" w:color="auto" w:fill="auto"/>
            <w:noWrap/>
            <w:vAlign w:val="bottom"/>
            <w:hideMark/>
          </w:tcPr>
          <w:p w14:paraId="52CE9C69"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Received NIV</w:t>
            </w:r>
          </w:p>
        </w:tc>
        <w:tc>
          <w:tcPr>
            <w:tcW w:w="2092" w:type="dxa"/>
            <w:tcBorders>
              <w:top w:val="nil"/>
              <w:left w:val="nil"/>
              <w:bottom w:val="nil"/>
              <w:right w:val="nil"/>
            </w:tcBorders>
            <w:shd w:val="clear" w:color="auto" w:fill="auto"/>
            <w:noWrap/>
            <w:vAlign w:val="bottom"/>
            <w:hideMark/>
          </w:tcPr>
          <w:p w14:paraId="5B533804"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56 (15.9%)</w:t>
            </w:r>
          </w:p>
        </w:tc>
        <w:tc>
          <w:tcPr>
            <w:tcW w:w="1973" w:type="dxa"/>
            <w:tcBorders>
              <w:top w:val="nil"/>
              <w:left w:val="nil"/>
              <w:bottom w:val="nil"/>
              <w:right w:val="nil"/>
            </w:tcBorders>
            <w:shd w:val="clear" w:color="auto" w:fill="auto"/>
            <w:noWrap/>
            <w:vAlign w:val="bottom"/>
            <w:hideMark/>
          </w:tcPr>
          <w:p w14:paraId="2298E36C"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24 (3.4%)</w:t>
            </w:r>
          </w:p>
        </w:tc>
        <w:tc>
          <w:tcPr>
            <w:tcW w:w="2349" w:type="dxa"/>
            <w:tcBorders>
              <w:top w:val="nil"/>
              <w:left w:val="nil"/>
              <w:bottom w:val="nil"/>
              <w:right w:val="nil"/>
            </w:tcBorders>
            <w:shd w:val="clear" w:color="auto" w:fill="auto"/>
            <w:noWrap/>
            <w:vAlign w:val="bottom"/>
            <w:hideMark/>
          </w:tcPr>
          <w:p w14:paraId="5E596446"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12.5%</w:t>
            </w:r>
            <w:r w:rsidR="00A76C55">
              <w:rPr>
                <w:rFonts w:ascii="Calibri" w:eastAsia="Times New Roman" w:hAnsi="Calibri" w:cs="Times New Roman"/>
                <w:color w:val="000000"/>
                <w:lang w:eastAsia="en-GB"/>
              </w:rPr>
              <w:t xml:space="preserve"> (8.7% to 16.8%)</w:t>
            </w:r>
          </w:p>
        </w:tc>
        <w:tc>
          <w:tcPr>
            <w:tcW w:w="851" w:type="dxa"/>
            <w:tcBorders>
              <w:top w:val="nil"/>
              <w:left w:val="nil"/>
              <w:bottom w:val="nil"/>
              <w:right w:val="nil"/>
            </w:tcBorders>
            <w:shd w:val="clear" w:color="auto" w:fill="auto"/>
            <w:noWrap/>
            <w:vAlign w:val="bottom"/>
            <w:hideMark/>
          </w:tcPr>
          <w:p w14:paraId="2668BA8E"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&lt;0.0001</w:t>
            </w:r>
          </w:p>
        </w:tc>
      </w:tr>
      <w:tr w:rsidR="00362651" w:rsidRPr="00362651" w14:paraId="4D5E5161" w14:textId="77777777" w:rsidTr="00A76C55">
        <w:trPr>
          <w:trHeight w:val="454"/>
        </w:trPr>
        <w:tc>
          <w:tcPr>
            <w:tcW w:w="3225" w:type="dxa"/>
            <w:tcBorders>
              <w:top w:val="nil"/>
              <w:left w:val="nil"/>
              <w:bottom w:val="nil"/>
              <w:right w:val="nil"/>
            </w:tcBorders>
            <w:shd w:val="clear" w:color="auto" w:fill="auto"/>
            <w:noWrap/>
            <w:vAlign w:val="bottom"/>
            <w:hideMark/>
          </w:tcPr>
          <w:p w14:paraId="460C58BF"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 xml:space="preserve">   NIV duration (hours)</w:t>
            </w:r>
          </w:p>
        </w:tc>
        <w:tc>
          <w:tcPr>
            <w:tcW w:w="2092" w:type="dxa"/>
            <w:tcBorders>
              <w:top w:val="nil"/>
              <w:left w:val="nil"/>
              <w:bottom w:val="nil"/>
              <w:right w:val="nil"/>
            </w:tcBorders>
            <w:shd w:val="clear" w:color="auto" w:fill="auto"/>
            <w:noWrap/>
            <w:vAlign w:val="bottom"/>
            <w:hideMark/>
          </w:tcPr>
          <w:p w14:paraId="62B5654F"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24.4 (13.8 to 57.0)</w:t>
            </w:r>
          </w:p>
        </w:tc>
        <w:tc>
          <w:tcPr>
            <w:tcW w:w="1973" w:type="dxa"/>
            <w:tcBorders>
              <w:top w:val="nil"/>
              <w:left w:val="nil"/>
              <w:bottom w:val="nil"/>
              <w:right w:val="nil"/>
            </w:tcBorders>
            <w:shd w:val="clear" w:color="auto" w:fill="auto"/>
            <w:noWrap/>
            <w:vAlign w:val="bottom"/>
            <w:hideMark/>
          </w:tcPr>
          <w:p w14:paraId="63FC844E"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8.5 (2.2 to 34.5)</w:t>
            </w:r>
          </w:p>
        </w:tc>
        <w:tc>
          <w:tcPr>
            <w:tcW w:w="2349" w:type="dxa"/>
            <w:tcBorders>
              <w:top w:val="nil"/>
              <w:left w:val="nil"/>
              <w:bottom w:val="nil"/>
              <w:right w:val="nil"/>
            </w:tcBorders>
            <w:shd w:val="clear" w:color="auto" w:fill="auto"/>
            <w:noWrap/>
            <w:vAlign w:val="bottom"/>
            <w:hideMark/>
          </w:tcPr>
          <w:p w14:paraId="696C80CC"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15.9</w:t>
            </w:r>
            <w:r w:rsidR="00A76C55">
              <w:rPr>
                <w:rFonts w:ascii="Calibri" w:eastAsia="Times New Roman" w:hAnsi="Calibri" w:cs="Times New Roman"/>
                <w:color w:val="000000"/>
                <w:lang w:eastAsia="en-GB"/>
              </w:rPr>
              <w:t xml:space="preserve"> (3.8 to 23.2)</w:t>
            </w:r>
          </w:p>
        </w:tc>
        <w:tc>
          <w:tcPr>
            <w:tcW w:w="851" w:type="dxa"/>
            <w:tcBorders>
              <w:top w:val="nil"/>
              <w:left w:val="nil"/>
              <w:bottom w:val="nil"/>
              <w:right w:val="nil"/>
            </w:tcBorders>
            <w:shd w:val="clear" w:color="auto" w:fill="auto"/>
            <w:noWrap/>
            <w:vAlign w:val="bottom"/>
            <w:hideMark/>
          </w:tcPr>
          <w:p w14:paraId="0295F17F"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0.0064</w:t>
            </w:r>
          </w:p>
        </w:tc>
      </w:tr>
      <w:tr w:rsidR="00362651" w:rsidRPr="00362651" w14:paraId="5DF6C7EE" w14:textId="77777777" w:rsidTr="00A76C55">
        <w:trPr>
          <w:trHeight w:val="454"/>
        </w:trPr>
        <w:tc>
          <w:tcPr>
            <w:tcW w:w="3225" w:type="dxa"/>
            <w:tcBorders>
              <w:top w:val="nil"/>
              <w:left w:val="nil"/>
              <w:bottom w:val="nil"/>
              <w:right w:val="nil"/>
            </w:tcBorders>
            <w:shd w:val="clear" w:color="auto" w:fill="auto"/>
            <w:noWrap/>
            <w:vAlign w:val="bottom"/>
            <w:hideMark/>
          </w:tcPr>
          <w:p w14:paraId="3664D194"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Received I+V</w:t>
            </w:r>
          </w:p>
        </w:tc>
        <w:tc>
          <w:tcPr>
            <w:tcW w:w="2092" w:type="dxa"/>
            <w:tcBorders>
              <w:top w:val="nil"/>
              <w:left w:val="nil"/>
              <w:bottom w:val="nil"/>
              <w:right w:val="nil"/>
            </w:tcBorders>
            <w:shd w:val="clear" w:color="auto" w:fill="auto"/>
            <w:noWrap/>
            <w:vAlign w:val="bottom"/>
            <w:hideMark/>
          </w:tcPr>
          <w:p w14:paraId="54C8F55A"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39 (11.1%)</w:t>
            </w:r>
          </w:p>
        </w:tc>
        <w:tc>
          <w:tcPr>
            <w:tcW w:w="1973" w:type="dxa"/>
            <w:tcBorders>
              <w:top w:val="nil"/>
              <w:left w:val="nil"/>
              <w:bottom w:val="nil"/>
              <w:right w:val="nil"/>
            </w:tcBorders>
            <w:shd w:val="clear" w:color="auto" w:fill="auto"/>
            <w:noWrap/>
            <w:vAlign w:val="bottom"/>
            <w:hideMark/>
          </w:tcPr>
          <w:p w14:paraId="3C796EB0"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20 (2.8%)</w:t>
            </w:r>
          </w:p>
        </w:tc>
        <w:tc>
          <w:tcPr>
            <w:tcW w:w="2349" w:type="dxa"/>
            <w:tcBorders>
              <w:top w:val="nil"/>
              <w:left w:val="nil"/>
              <w:bottom w:val="nil"/>
              <w:right w:val="nil"/>
            </w:tcBorders>
            <w:shd w:val="clear" w:color="auto" w:fill="auto"/>
            <w:noWrap/>
            <w:vAlign w:val="bottom"/>
            <w:hideMark/>
          </w:tcPr>
          <w:p w14:paraId="19982C7B"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8.2%</w:t>
            </w:r>
            <w:r w:rsidR="00A76C55">
              <w:rPr>
                <w:rFonts w:ascii="Calibri" w:eastAsia="Times New Roman" w:hAnsi="Calibri" w:cs="Times New Roman"/>
                <w:color w:val="000000"/>
                <w:lang w:eastAsia="en-GB"/>
              </w:rPr>
              <w:t xml:space="preserve"> (5.0% to 12.1%)</w:t>
            </w:r>
          </w:p>
        </w:tc>
        <w:tc>
          <w:tcPr>
            <w:tcW w:w="851" w:type="dxa"/>
            <w:tcBorders>
              <w:top w:val="nil"/>
              <w:left w:val="nil"/>
              <w:bottom w:val="nil"/>
              <w:right w:val="nil"/>
            </w:tcBorders>
            <w:shd w:val="clear" w:color="auto" w:fill="auto"/>
            <w:noWrap/>
            <w:vAlign w:val="bottom"/>
            <w:hideMark/>
          </w:tcPr>
          <w:p w14:paraId="7DEF3CA7"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&lt;0.0001</w:t>
            </w:r>
          </w:p>
        </w:tc>
      </w:tr>
      <w:tr w:rsidR="00362651" w:rsidRPr="00362651" w14:paraId="3CAE7C61" w14:textId="77777777" w:rsidTr="00A76C55">
        <w:trPr>
          <w:trHeight w:val="454"/>
        </w:trPr>
        <w:tc>
          <w:tcPr>
            <w:tcW w:w="3225" w:type="dxa"/>
            <w:tcBorders>
              <w:top w:val="nil"/>
              <w:left w:val="nil"/>
              <w:bottom w:val="nil"/>
              <w:right w:val="nil"/>
            </w:tcBorders>
            <w:shd w:val="clear" w:color="auto" w:fill="auto"/>
            <w:noWrap/>
            <w:vAlign w:val="bottom"/>
            <w:hideMark/>
          </w:tcPr>
          <w:p w14:paraId="5F60D9A3"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 xml:space="preserve">   I+V duration (days)</w:t>
            </w:r>
          </w:p>
        </w:tc>
        <w:tc>
          <w:tcPr>
            <w:tcW w:w="2092" w:type="dxa"/>
            <w:tcBorders>
              <w:top w:val="nil"/>
              <w:left w:val="nil"/>
              <w:bottom w:val="nil"/>
              <w:right w:val="nil"/>
            </w:tcBorders>
            <w:shd w:val="clear" w:color="auto" w:fill="auto"/>
            <w:noWrap/>
            <w:vAlign w:val="bottom"/>
            <w:hideMark/>
          </w:tcPr>
          <w:p w14:paraId="218A3CCD"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14.5 (5.8 to 20.5)</w:t>
            </w:r>
          </w:p>
        </w:tc>
        <w:tc>
          <w:tcPr>
            <w:tcW w:w="1973" w:type="dxa"/>
            <w:tcBorders>
              <w:top w:val="nil"/>
              <w:left w:val="nil"/>
              <w:bottom w:val="nil"/>
              <w:right w:val="nil"/>
            </w:tcBorders>
            <w:shd w:val="clear" w:color="auto" w:fill="auto"/>
            <w:noWrap/>
            <w:vAlign w:val="bottom"/>
            <w:hideMark/>
          </w:tcPr>
          <w:p w14:paraId="4F4B3E3E"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4.7 (1.1 to 11.1)</w:t>
            </w:r>
          </w:p>
        </w:tc>
        <w:tc>
          <w:tcPr>
            <w:tcW w:w="2349" w:type="dxa"/>
            <w:tcBorders>
              <w:top w:val="nil"/>
              <w:left w:val="nil"/>
              <w:bottom w:val="nil"/>
              <w:right w:val="nil"/>
            </w:tcBorders>
            <w:shd w:val="clear" w:color="auto" w:fill="auto"/>
            <w:noWrap/>
            <w:vAlign w:val="bottom"/>
            <w:hideMark/>
          </w:tcPr>
          <w:p w14:paraId="149FAC17"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9.7</w:t>
            </w:r>
            <w:r w:rsidR="00A76C55">
              <w:rPr>
                <w:rFonts w:ascii="Calibri" w:eastAsia="Times New Roman" w:hAnsi="Calibri" w:cs="Times New Roman"/>
                <w:color w:val="000000"/>
                <w:lang w:eastAsia="en-GB"/>
              </w:rPr>
              <w:t xml:space="preserve"> (2.3 to 13.5)</w:t>
            </w:r>
          </w:p>
        </w:tc>
        <w:tc>
          <w:tcPr>
            <w:tcW w:w="851" w:type="dxa"/>
            <w:tcBorders>
              <w:top w:val="nil"/>
              <w:left w:val="nil"/>
              <w:bottom w:val="nil"/>
              <w:right w:val="nil"/>
            </w:tcBorders>
            <w:shd w:val="clear" w:color="auto" w:fill="auto"/>
            <w:noWrap/>
            <w:vAlign w:val="bottom"/>
            <w:hideMark/>
          </w:tcPr>
          <w:p w14:paraId="4C99A07B"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0.0015</w:t>
            </w:r>
          </w:p>
        </w:tc>
      </w:tr>
      <w:tr w:rsidR="00362651" w:rsidRPr="00362651" w14:paraId="3A277027" w14:textId="77777777" w:rsidTr="00A76C55">
        <w:trPr>
          <w:trHeight w:val="454"/>
        </w:trPr>
        <w:tc>
          <w:tcPr>
            <w:tcW w:w="3225" w:type="dxa"/>
            <w:tcBorders>
              <w:top w:val="nil"/>
              <w:left w:val="nil"/>
              <w:bottom w:val="nil"/>
              <w:right w:val="nil"/>
            </w:tcBorders>
            <w:shd w:val="clear" w:color="auto" w:fill="auto"/>
            <w:noWrap/>
            <w:vAlign w:val="bottom"/>
            <w:hideMark/>
          </w:tcPr>
          <w:p w14:paraId="0CE66C15"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Received high flow nasal oxygen</w:t>
            </w:r>
          </w:p>
        </w:tc>
        <w:tc>
          <w:tcPr>
            <w:tcW w:w="2092" w:type="dxa"/>
            <w:tcBorders>
              <w:top w:val="nil"/>
              <w:left w:val="nil"/>
              <w:bottom w:val="nil"/>
              <w:right w:val="nil"/>
            </w:tcBorders>
            <w:shd w:val="clear" w:color="auto" w:fill="auto"/>
            <w:noWrap/>
            <w:vAlign w:val="bottom"/>
            <w:hideMark/>
          </w:tcPr>
          <w:p w14:paraId="7ECD291B"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27 (7.7%)</w:t>
            </w:r>
          </w:p>
        </w:tc>
        <w:tc>
          <w:tcPr>
            <w:tcW w:w="1973" w:type="dxa"/>
            <w:tcBorders>
              <w:top w:val="nil"/>
              <w:left w:val="nil"/>
              <w:bottom w:val="nil"/>
              <w:right w:val="nil"/>
            </w:tcBorders>
            <w:shd w:val="clear" w:color="auto" w:fill="auto"/>
            <w:noWrap/>
            <w:vAlign w:val="bottom"/>
            <w:hideMark/>
          </w:tcPr>
          <w:p w14:paraId="1FAEFBF4"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23 (3.3%)</w:t>
            </w:r>
          </w:p>
        </w:tc>
        <w:tc>
          <w:tcPr>
            <w:tcW w:w="2349" w:type="dxa"/>
            <w:tcBorders>
              <w:top w:val="nil"/>
              <w:left w:val="nil"/>
              <w:bottom w:val="nil"/>
              <w:right w:val="nil"/>
            </w:tcBorders>
            <w:shd w:val="clear" w:color="auto" w:fill="auto"/>
            <w:noWrap/>
            <w:vAlign w:val="bottom"/>
            <w:hideMark/>
          </w:tcPr>
          <w:p w14:paraId="17047EF5"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4.4%</w:t>
            </w:r>
            <w:r w:rsidR="00485A64">
              <w:rPr>
                <w:rFonts w:ascii="Calibri" w:eastAsia="Times New Roman" w:hAnsi="Calibri" w:cs="Times New Roman"/>
                <w:color w:val="000000"/>
                <w:lang w:eastAsia="en-GB"/>
              </w:rPr>
              <w:t xml:space="preserve"> (1.6% to 7.8%)</w:t>
            </w:r>
          </w:p>
        </w:tc>
        <w:tc>
          <w:tcPr>
            <w:tcW w:w="851" w:type="dxa"/>
            <w:tcBorders>
              <w:top w:val="nil"/>
              <w:left w:val="nil"/>
              <w:bottom w:val="nil"/>
              <w:right w:val="nil"/>
            </w:tcBorders>
            <w:shd w:val="clear" w:color="auto" w:fill="auto"/>
            <w:noWrap/>
            <w:vAlign w:val="bottom"/>
            <w:hideMark/>
          </w:tcPr>
          <w:p w14:paraId="22874324"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0.0031</w:t>
            </w:r>
          </w:p>
        </w:tc>
      </w:tr>
      <w:tr w:rsidR="00362651" w:rsidRPr="00362651" w14:paraId="59BF2E38" w14:textId="77777777" w:rsidTr="00A76C55">
        <w:trPr>
          <w:trHeight w:val="454"/>
        </w:trPr>
        <w:tc>
          <w:tcPr>
            <w:tcW w:w="3225" w:type="dxa"/>
            <w:tcBorders>
              <w:top w:val="nil"/>
              <w:left w:val="nil"/>
              <w:bottom w:val="nil"/>
              <w:right w:val="nil"/>
            </w:tcBorders>
            <w:shd w:val="clear" w:color="auto" w:fill="auto"/>
            <w:noWrap/>
            <w:vAlign w:val="bottom"/>
            <w:hideMark/>
          </w:tcPr>
          <w:p w14:paraId="16066B3A"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Admitted to ICU</w:t>
            </w:r>
          </w:p>
        </w:tc>
        <w:tc>
          <w:tcPr>
            <w:tcW w:w="2092" w:type="dxa"/>
            <w:tcBorders>
              <w:top w:val="nil"/>
              <w:left w:val="nil"/>
              <w:bottom w:val="nil"/>
              <w:right w:val="nil"/>
            </w:tcBorders>
            <w:shd w:val="clear" w:color="auto" w:fill="auto"/>
            <w:noWrap/>
            <w:vAlign w:val="bottom"/>
            <w:hideMark/>
          </w:tcPr>
          <w:p w14:paraId="0F4C487F"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62 (17.6%)</w:t>
            </w:r>
          </w:p>
        </w:tc>
        <w:tc>
          <w:tcPr>
            <w:tcW w:w="1973" w:type="dxa"/>
            <w:tcBorders>
              <w:top w:val="nil"/>
              <w:left w:val="nil"/>
              <w:bottom w:val="nil"/>
              <w:right w:val="nil"/>
            </w:tcBorders>
            <w:shd w:val="clear" w:color="auto" w:fill="auto"/>
            <w:noWrap/>
            <w:vAlign w:val="bottom"/>
            <w:hideMark/>
          </w:tcPr>
          <w:p w14:paraId="7C85DAFE"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44 (6.3%)</w:t>
            </w:r>
          </w:p>
        </w:tc>
        <w:tc>
          <w:tcPr>
            <w:tcW w:w="2349" w:type="dxa"/>
            <w:tcBorders>
              <w:top w:val="nil"/>
              <w:left w:val="nil"/>
              <w:bottom w:val="nil"/>
              <w:right w:val="nil"/>
            </w:tcBorders>
            <w:shd w:val="clear" w:color="auto" w:fill="auto"/>
            <w:noWrap/>
            <w:vAlign w:val="bottom"/>
            <w:hideMark/>
          </w:tcPr>
          <w:p w14:paraId="362F3E95"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11.3%</w:t>
            </w:r>
            <w:r w:rsidR="00485A64">
              <w:rPr>
                <w:rFonts w:ascii="Calibri" w:eastAsia="Times New Roman" w:hAnsi="Calibri" w:cs="Times New Roman"/>
                <w:color w:val="000000"/>
                <w:lang w:eastAsia="en-GB"/>
              </w:rPr>
              <w:t xml:space="preserve"> (7.2% to 15.9%)</w:t>
            </w:r>
          </w:p>
        </w:tc>
        <w:tc>
          <w:tcPr>
            <w:tcW w:w="851" w:type="dxa"/>
            <w:tcBorders>
              <w:top w:val="nil"/>
              <w:left w:val="nil"/>
              <w:bottom w:val="nil"/>
              <w:right w:val="nil"/>
            </w:tcBorders>
            <w:shd w:val="clear" w:color="auto" w:fill="auto"/>
            <w:noWrap/>
            <w:vAlign w:val="bottom"/>
            <w:hideMark/>
          </w:tcPr>
          <w:p w14:paraId="4D809ACB"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&lt;0.0001</w:t>
            </w:r>
          </w:p>
        </w:tc>
      </w:tr>
      <w:tr w:rsidR="00362651" w:rsidRPr="00362651" w14:paraId="1C758297" w14:textId="77777777" w:rsidTr="00A76C55">
        <w:trPr>
          <w:trHeight w:val="454"/>
        </w:trPr>
        <w:tc>
          <w:tcPr>
            <w:tcW w:w="3225" w:type="dxa"/>
            <w:tcBorders>
              <w:top w:val="nil"/>
              <w:left w:val="nil"/>
              <w:bottom w:val="nil"/>
              <w:right w:val="nil"/>
            </w:tcBorders>
            <w:shd w:val="clear" w:color="auto" w:fill="auto"/>
            <w:noWrap/>
            <w:vAlign w:val="bottom"/>
            <w:hideMark/>
          </w:tcPr>
          <w:p w14:paraId="165CF755"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Died within 30 days in hospital</w:t>
            </w:r>
          </w:p>
        </w:tc>
        <w:tc>
          <w:tcPr>
            <w:tcW w:w="2092" w:type="dxa"/>
            <w:tcBorders>
              <w:top w:val="nil"/>
              <w:left w:val="nil"/>
              <w:bottom w:val="nil"/>
              <w:right w:val="nil"/>
            </w:tcBorders>
            <w:shd w:val="clear" w:color="auto" w:fill="auto"/>
            <w:noWrap/>
            <w:vAlign w:val="bottom"/>
            <w:hideMark/>
          </w:tcPr>
          <w:p w14:paraId="07893B51"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75 (21.3%)</w:t>
            </w:r>
          </w:p>
        </w:tc>
        <w:tc>
          <w:tcPr>
            <w:tcW w:w="1973" w:type="dxa"/>
            <w:tcBorders>
              <w:top w:val="nil"/>
              <w:left w:val="nil"/>
              <w:bottom w:val="nil"/>
              <w:right w:val="nil"/>
            </w:tcBorders>
            <w:shd w:val="clear" w:color="auto" w:fill="auto"/>
            <w:noWrap/>
            <w:vAlign w:val="bottom"/>
            <w:hideMark/>
          </w:tcPr>
          <w:p w14:paraId="36B5582F"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61 (8.7%)</w:t>
            </w:r>
          </w:p>
        </w:tc>
        <w:tc>
          <w:tcPr>
            <w:tcW w:w="2349" w:type="dxa"/>
            <w:tcBorders>
              <w:top w:val="nil"/>
              <w:left w:val="nil"/>
              <w:bottom w:val="nil"/>
              <w:right w:val="nil"/>
            </w:tcBorders>
            <w:shd w:val="clear" w:color="auto" w:fill="auto"/>
            <w:noWrap/>
            <w:vAlign w:val="bottom"/>
            <w:hideMark/>
          </w:tcPr>
          <w:p w14:paraId="6604E108"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12.6%</w:t>
            </w:r>
            <w:r w:rsidR="00485A64">
              <w:rPr>
                <w:rFonts w:ascii="Calibri" w:eastAsia="Times New Roman" w:hAnsi="Calibri" w:cs="Times New Roman"/>
                <w:color w:val="000000"/>
                <w:lang w:eastAsia="en-GB"/>
              </w:rPr>
              <w:t xml:space="preserve"> (8.0% to 17.6%)</w:t>
            </w:r>
          </w:p>
        </w:tc>
        <w:tc>
          <w:tcPr>
            <w:tcW w:w="851" w:type="dxa"/>
            <w:tcBorders>
              <w:top w:val="nil"/>
              <w:left w:val="nil"/>
              <w:bottom w:val="nil"/>
              <w:right w:val="nil"/>
            </w:tcBorders>
            <w:shd w:val="clear" w:color="auto" w:fill="auto"/>
            <w:noWrap/>
            <w:vAlign w:val="bottom"/>
            <w:hideMark/>
          </w:tcPr>
          <w:p w14:paraId="6439E791"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&lt;0.0001</w:t>
            </w:r>
          </w:p>
        </w:tc>
      </w:tr>
      <w:tr w:rsidR="00362651" w:rsidRPr="00362651" w14:paraId="10CE8DF0" w14:textId="77777777" w:rsidTr="00A76C55">
        <w:trPr>
          <w:trHeight w:val="522"/>
        </w:trPr>
        <w:tc>
          <w:tcPr>
            <w:tcW w:w="3225" w:type="dxa"/>
            <w:tcBorders>
              <w:top w:val="nil"/>
              <w:left w:val="nil"/>
              <w:bottom w:val="nil"/>
              <w:right w:val="nil"/>
            </w:tcBorders>
            <w:shd w:val="clear" w:color="auto" w:fill="auto"/>
            <w:noWrap/>
            <w:vAlign w:val="bottom"/>
            <w:hideMark/>
          </w:tcPr>
          <w:p w14:paraId="631F9752"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Died within 30 days overall</w:t>
            </w:r>
          </w:p>
        </w:tc>
        <w:tc>
          <w:tcPr>
            <w:tcW w:w="2092" w:type="dxa"/>
            <w:tcBorders>
              <w:top w:val="nil"/>
              <w:left w:val="nil"/>
              <w:bottom w:val="nil"/>
              <w:right w:val="nil"/>
            </w:tcBorders>
            <w:shd w:val="clear" w:color="auto" w:fill="auto"/>
            <w:noWrap/>
            <w:vAlign w:val="bottom"/>
            <w:hideMark/>
          </w:tcPr>
          <w:p w14:paraId="4DFD1508"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87 (25.5%)</w:t>
            </w:r>
            <w:r w:rsidRPr="00362651">
              <w:rPr>
                <w:rFonts w:ascii="Calibri" w:eastAsia="Times New Roman" w:hAnsi="Calibri" w:cs="Times New Roman"/>
                <w:color w:val="000000"/>
                <w:vertAlign w:val="superscript"/>
                <w:lang w:eastAsia="en-GB"/>
              </w:rPr>
              <w:t>a</w:t>
            </w:r>
          </w:p>
        </w:tc>
        <w:tc>
          <w:tcPr>
            <w:tcW w:w="1973" w:type="dxa"/>
            <w:tcBorders>
              <w:top w:val="nil"/>
              <w:left w:val="nil"/>
              <w:bottom w:val="nil"/>
              <w:right w:val="nil"/>
            </w:tcBorders>
            <w:shd w:val="clear" w:color="auto" w:fill="auto"/>
            <w:noWrap/>
            <w:vAlign w:val="bottom"/>
            <w:hideMark/>
          </w:tcPr>
          <w:p w14:paraId="011CB17F"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79 (12.1%)</w:t>
            </w:r>
            <w:r w:rsidRPr="00362651">
              <w:rPr>
                <w:rFonts w:ascii="Calibri" w:eastAsia="Times New Roman" w:hAnsi="Calibri" w:cs="Times New Roman"/>
                <w:color w:val="000000"/>
                <w:vertAlign w:val="superscript"/>
                <w:lang w:eastAsia="en-GB"/>
              </w:rPr>
              <w:t>a</w:t>
            </w:r>
          </w:p>
        </w:tc>
        <w:tc>
          <w:tcPr>
            <w:tcW w:w="2349" w:type="dxa"/>
            <w:tcBorders>
              <w:top w:val="nil"/>
              <w:left w:val="nil"/>
              <w:bottom w:val="nil"/>
              <w:right w:val="nil"/>
            </w:tcBorders>
            <w:shd w:val="clear" w:color="auto" w:fill="auto"/>
            <w:noWrap/>
            <w:vAlign w:val="bottom"/>
            <w:hideMark/>
          </w:tcPr>
          <w:p w14:paraId="44D20398"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13.4%</w:t>
            </w:r>
            <w:r w:rsidR="00485A64">
              <w:rPr>
                <w:rFonts w:ascii="Calibri" w:eastAsia="Times New Roman" w:hAnsi="Calibri" w:cs="Times New Roman"/>
                <w:color w:val="000000"/>
                <w:lang w:eastAsia="en-GB"/>
              </w:rPr>
              <w:t xml:space="preserve"> (8.3% to 18.8%)</w:t>
            </w:r>
          </w:p>
        </w:tc>
        <w:tc>
          <w:tcPr>
            <w:tcW w:w="851" w:type="dxa"/>
            <w:tcBorders>
              <w:top w:val="nil"/>
              <w:left w:val="nil"/>
              <w:bottom w:val="nil"/>
              <w:right w:val="nil"/>
            </w:tcBorders>
            <w:shd w:val="clear" w:color="auto" w:fill="auto"/>
            <w:noWrap/>
            <w:vAlign w:val="bottom"/>
            <w:hideMark/>
          </w:tcPr>
          <w:p w14:paraId="47E0A95F"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&lt;0.0001</w:t>
            </w:r>
          </w:p>
        </w:tc>
      </w:tr>
      <w:tr w:rsidR="00362651" w:rsidRPr="00362651" w14:paraId="1E125A58" w14:textId="77777777" w:rsidTr="00A76C55">
        <w:trPr>
          <w:trHeight w:val="522"/>
        </w:trPr>
        <w:tc>
          <w:tcPr>
            <w:tcW w:w="3225" w:type="dxa"/>
            <w:tcBorders>
              <w:top w:val="nil"/>
              <w:left w:val="nil"/>
              <w:bottom w:val="nil"/>
              <w:right w:val="nil"/>
            </w:tcBorders>
            <w:shd w:val="clear" w:color="auto" w:fill="auto"/>
            <w:noWrap/>
            <w:vAlign w:val="bottom"/>
            <w:hideMark/>
          </w:tcPr>
          <w:p w14:paraId="5F27DD4B"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Readmitted in 30 days</w:t>
            </w:r>
          </w:p>
        </w:tc>
        <w:tc>
          <w:tcPr>
            <w:tcW w:w="2092" w:type="dxa"/>
            <w:tcBorders>
              <w:top w:val="nil"/>
              <w:left w:val="nil"/>
              <w:bottom w:val="nil"/>
              <w:right w:val="nil"/>
            </w:tcBorders>
            <w:shd w:val="clear" w:color="auto" w:fill="auto"/>
            <w:noWrap/>
            <w:vAlign w:val="bottom"/>
            <w:hideMark/>
          </w:tcPr>
          <w:p w14:paraId="17616D6D"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30 (10.6%)</w:t>
            </w:r>
            <w:r w:rsidRPr="00362651">
              <w:rPr>
                <w:rFonts w:ascii="Calibri" w:eastAsia="Times New Roman" w:hAnsi="Calibri" w:cs="Times New Roman"/>
                <w:color w:val="000000"/>
                <w:vertAlign w:val="superscript"/>
                <w:lang w:eastAsia="en-GB"/>
              </w:rPr>
              <w:t>b</w:t>
            </w:r>
          </w:p>
        </w:tc>
        <w:tc>
          <w:tcPr>
            <w:tcW w:w="1973" w:type="dxa"/>
            <w:tcBorders>
              <w:top w:val="nil"/>
              <w:left w:val="nil"/>
              <w:bottom w:val="nil"/>
              <w:right w:val="nil"/>
            </w:tcBorders>
            <w:shd w:val="clear" w:color="auto" w:fill="auto"/>
            <w:noWrap/>
            <w:vAlign w:val="bottom"/>
            <w:hideMark/>
          </w:tcPr>
          <w:p w14:paraId="0FAFA6A6"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105 (17.7%)</w:t>
            </w:r>
            <w:r w:rsidRPr="00362651">
              <w:rPr>
                <w:rFonts w:ascii="Calibri" w:eastAsia="Times New Roman" w:hAnsi="Calibri" w:cs="Times New Roman"/>
                <w:color w:val="000000"/>
                <w:vertAlign w:val="superscript"/>
                <w:lang w:eastAsia="en-GB"/>
              </w:rPr>
              <w:t>b</w:t>
            </w:r>
          </w:p>
        </w:tc>
        <w:tc>
          <w:tcPr>
            <w:tcW w:w="2349" w:type="dxa"/>
            <w:tcBorders>
              <w:top w:val="nil"/>
              <w:left w:val="nil"/>
              <w:bottom w:val="nil"/>
              <w:right w:val="nil"/>
            </w:tcBorders>
            <w:shd w:val="clear" w:color="auto" w:fill="auto"/>
            <w:noWrap/>
            <w:vAlign w:val="bottom"/>
            <w:hideMark/>
          </w:tcPr>
          <w:p w14:paraId="6098DCAF"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-7.2%</w:t>
            </w:r>
            <w:r w:rsidR="00485A64">
              <w:rPr>
                <w:rFonts w:ascii="Calibri" w:eastAsia="Times New Roman" w:hAnsi="Calibri" w:cs="Times New Roman"/>
                <w:color w:val="000000"/>
                <w:lang w:eastAsia="en-GB"/>
              </w:rPr>
              <w:t xml:space="preserve"> (-11.7% to 2.2%)</w:t>
            </w:r>
          </w:p>
        </w:tc>
        <w:tc>
          <w:tcPr>
            <w:tcW w:w="851" w:type="dxa"/>
            <w:tcBorders>
              <w:top w:val="nil"/>
              <w:left w:val="nil"/>
              <w:bottom w:val="nil"/>
              <w:right w:val="nil"/>
            </w:tcBorders>
            <w:shd w:val="clear" w:color="auto" w:fill="auto"/>
            <w:noWrap/>
            <w:vAlign w:val="bottom"/>
            <w:hideMark/>
          </w:tcPr>
          <w:p w14:paraId="6357101F"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0.0033</w:t>
            </w:r>
          </w:p>
        </w:tc>
      </w:tr>
      <w:tr w:rsidR="00362651" w:rsidRPr="00362651" w14:paraId="6A8C78F3" w14:textId="77777777" w:rsidTr="00A76C55">
        <w:trPr>
          <w:trHeight w:val="454"/>
        </w:trPr>
        <w:tc>
          <w:tcPr>
            <w:tcW w:w="3225" w:type="dxa"/>
            <w:tcBorders>
              <w:top w:val="nil"/>
              <w:left w:val="nil"/>
              <w:bottom w:val="single" w:sz="4" w:space="0" w:color="auto"/>
              <w:right w:val="nil"/>
            </w:tcBorders>
            <w:shd w:val="clear" w:color="auto" w:fill="auto"/>
            <w:noWrap/>
            <w:vAlign w:val="bottom"/>
            <w:hideMark/>
          </w:tcPr>
          <w:p w14:paraId="412096B8"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Length of hospital stay (days)</w:t>
            </w:r>
          </w:p>
        </w:tc>
        <w:tc>
          <w:tcPr>
            <w:tcW w:w="2092" w:type="dxa"/>
            <w:tcBorders>
              <w:top w:val="nil"/>
              <w:left w:val="nil"/>
              <w:bottom w:val="single" w:sz="4" w:space="0" w:color="auto"/>
              <w:right w:val="nil"/>
            </w:tcBorders>
            <w:shd w:val="clear" w:color="auto" w:fill="auto"/>
            <w:noWrap/>
            <w:vAlign w:val="bottom"/>
            <w:hideMark/>
          </w:tcPr>
          <w:p w14:paraId="1A42E5E4"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7.2 (3.1 to 12.2)</w:t>
            </w:r>
          </w:p>
        </w:tc>
        <w:tc>
          <w:tcPr>
            <w:tcW w:w="1973" w:type="dxa"/>
            <w:tcBorders>
              <w:top w:val="nil"/>
              <w:left w:val="nil"/>
              <w:bottom w:val="single" w:sz="4" w:space="0" w:color="auto"/>
              <w:right w:val="nil"/>
            </w:tcBorders>
            <w:shd w:val="clear" w:color="auto" w:fill="auto"/>
            <w:noWrap/>
            <w:vAlign w:val="bottom"/>
            <w:hideMark/>
          </w:tcPr>
          <w:p w14:paraId="137A1587" w14:textId="77777777" w:rsidR="00362651" w:rsidRPr="00362651" w:rsidRDefault="00362651" w:rsidP="00362651">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3.7 (1.1 to 7.8)</w:t>
            </w:r>
          </w:p>
        </w:tc>
        <w:tc>
          <w:tcPr>
            <w:tcW w:w="2349" w:type="dxa"/>
            <w:tcBorders>
              <w:top w:val="nil"/>
              <w:left w:val="nil"/>
              <w:bottom w:val="single" w:sz="4" w:space="0" w:color="auto"/>
              <w:right w:val="nil"/>
            </w:tcBorders>
            <w:shd w:val="clear" w:color="auto" w:fill="auto"/>
            <w:noWrap/>
            <w:vAlign w:val="bottom"/>
            <w:hideMark/>
          </w:tcPr>
          <w:p w14:paraId="4D988A46" w14:textId="77777777" w:rsidR="00362651" w:rsidRPr="00362651" w:rsidRDefault="00362651" w:rsidP="005058FA">
            <w:pPr>
              <w:spacing w:after="0" w:line="240" w:lineRule="auto"/>
              <w:rPr>
                <w:rFonts w:ascii="Calibri" w:eastAsia="Times New Roman" w:hAnsi="Calibri" w:cs="Times New Roman"/>
                <w:color w:val="000000"/>
                <w:lang w:eastAsia="en-GB"/>
              </w:rPr>
            </w:pPr>
            <w:r w:rsidRPr="00362651">
              <w:rPr>
                <w:rFonts w:ascii="Calibri" w:eastAsia="Times New Roman" w:hAnsi="Calibri" w:cs="Times New Roman"/>
                <w:color w:val="000000"/>
                <w:lang w:eastAsia="en-GB"/>
              </w:rPr>
              <w:t>3.5</w:t>
            </w:r>
            <w:r w:rsidR="00485A64">
              <w:rPr>
                <w:rFonts w:ascii="Calibri" w:eastAsia="Times New Roman" w:hAnsi="Calibri" w:cs="Times New Roman"/>
                <w:color w:val="000000"/>
                <w:lang w:eastAsia="en-GB"/>
              </w:rPr>
              <w:t xml:space="preserve"> (1.9 to 3.5)</w:t>
            </w:r>
          </w:p>
        </w:tc>
        <w:tc>
          <w:tcPr>
            <w:tcW w:w="851" w:type="dxa"/>
            <w:tcBorders>
              <w:top w:val="nil"/>
              <w:left w:val="nil"/>
              <w:bottom w:val="single" w:sz="4" w:space="0" w:color="auto"/>
              <w:right w:val="nil"/>
            </w:tcBorders>
            <w:shd w:val="clear" w:color="auto" w:fill="auto"/>
            <w:noWrap/>
            <w:vAlign w:val="bottom"/>
            <w:hideMark/>
          </w:tcPr>
          <w:p w14:paraId="6FFD7C0A" w14:textId="77777777" w:rsidR="00362651" w:rsidRPr="00362651" w:rsidRDefault="00362651" w:rsidP="00362651">
            <w:pPr>
              <w:spacing w:after="0" w:line="240" w:lineRule="auto"/>
              <w:rPr>
                <w:rFonts w:ascii="Calibri" w:eastAsia="Times New Roman" w:hAnsi="Calibri" w:cs="Times New Roman"/>
                <w:b/>
                <w:bCs/>
                <w:color w:val="000000"/>
                <w:lang w:eastAsia="en-GB"/>
              </w:rPr>
            </w:pPr>
            <w:r w:rsidRPr="00362651">
              <w:rPr>
                <w:rFonts w:ascii="Calibri" w:eastAsia="Times New Roman" w:hAnsi="Calibri" w:cs="Times New Roman"/>
                <w:b/>
                <w:bCs/>
                <w:color w:val="000000"/>
                <w:lang w:eastAsia="en-GB"/>
              </w:rPr>
              <w:t>&lt;0.0001</w:t>
            </w:r>
          </w:p>
        </w:tc>
      </w:tr>
    </w:tbl>
    <w:p w14:paraId="2A090315" w14:textId="77777777" w:rsidR="00362651" w:rsidRDefault="00362651" w:rsidP="00362651"/>
    <w:p w14:paraId="36C7F952" w14:textId="77777777" w:rsidR="00362651" w:rsidRDefault="00362651" w:rsidP="00362651">
      <w:r>
        <w:t xml:space="preserve">Data are n (%) or median (IQR). </w:t>
      </w:r>
      <w:r w:rsidRPr="00362651">
        <w:rPr>
          <w:vertAlign w:val="superscript"/>
        </w:rPr>
        <w:t>a</w:t>
      </w:r>
      <w:r>
        <w:t xml:space="preserve"> n=341 and n=654 respectively, </w:t>
      </w:r>
      <w:r w:rsidRPr="00362651">
        <w:rPr>
          <w:vertAlign w:val="superscript"/>
        </w:rPr>
        <w:t>b</w:t>
      </w:r>
      <w:r>
        <w:t xml:space="preserve"> n=284 and n=592 respectively.</w:t>
      </w:r>
    </w:p>
    <w:p w14:paraId="30B49D93" w14:textId="77777777" w:rsidR="00362651" w:rsidRDefault="00362651" w:rsidP="00362651">
      <w:r>
        <w:t>O2, oxygen; NIV, non-invasive ventilation; I+V, intubation and ventilation; ICU, intensive care unit.</w:t>
      </w:r>
    </w:p>
    <w:p w14:paraId="1C0DE1A1" w14:textId="77777777" w:rsidR="007179C4" w:rsidRDefault="007179C4">
      <w:r>
        <w:br w:type="page"/>
      </w:r>
    </w:p>
    <w:p w14:paraId="5B958D11" w14:textId="77777777" w:rsidR="007179C4" w:rsidRDefault="007179C4" w:rsidP="00131DB9">
      <w:pPr>
        <w:pStyle w:val="Heading1"/>
      </w:pPr>
      <w:r>
        <w:lastRenderedPageBreak/>
        <w:t>Supplementary Table 1 (S1)</w:t>
      </w:r>
      <w:r w:rsidRPr="00A07FE7">
        <w:t xml:space="preserve">: </w:t>
      </w:r>
      <w:r>
        <w:t>S</w:t>
      </w:r>
      <w:r w:rsidRPr="00A07FE7">
        <w:t>moking status of patients testing positive and negative for COVID-19</w:t>
      </w:r>
    </w:p>
    <w:tbl>
      <w:tblPr>
        <w:tblW w:w="10206" w:type="dxa"/>
        <w:tblLook w:val="04A0" w:firstRow="1" w:lastRow="0" w:firstColumn="1" w:lastColumn="0" w:noHBand="0" w:noVBand="1"/>
      </w:tblPr>
      <w:tblGrid>
        <w:gridCol w:w="2519"/>
        <w:gridCol w:w="1958"/>
        <w:gridCol w:w="2099"/>
        <w:gridCol w:w="2658"/>
        <w:gridCol w:w="972"/>
      </w:tblGrid>
      <w:tr w:rsidR="007179C4" w:rsidRPr="00A07FE7" w14:paraId="4752D87C" w14:textId="77777777" w:rsidTr="00B50D01">
        <w:trPr>
          <w:trHeight w:val="513"/>
        </w:trPr>
        <w:tc>
          <w:tcPr>
            <w:tcW w:w="2519" w:type="dxa"/>
            <w:tcBorders>
              <w:top w:val="nil"/>
              <w:left w:val="nil"/>
              <w:bottom w:val="nil"/>
              <w:right w:val="nil"/>
            </w:tcBorders>
            <w:shd w:val="clear" w:color="auto" w:fill="auto"/>
            <w:noWrap/>
            <w:vAlign w:val="bottom"/>
            <w:hideMark/>
          </w:tcPr>
          <w:p w14:paraId="1351AC21" w14:textId="77777777" w:rsidR="007179C4" w:rsidRPr="00A07FE7" w:rsidRDefault="007179C4" w:rsidP="00B50D01">
            <w:pPr>
              <w:spacing w:after="0" w:line="240" w:lineRule="auto"/>
              <w:rPr>
                <w:rFonts w:ascii="Times New Roman" w:eastAsia="Times New Roman" w:hAnsi="Times New Roman" w:cs="Times New Roman"/>
                <w:sz w:val="24"/>
                <w:szCs w:val="24"/>
                <w:lang w:eastAsia="en-GB"/>
              </w:rPr>
            </w:pPr>
          </w:p>
        </w:tc>
        <w:tc>
          <w:tcPr>
            <w:tcW w:w="1958" w:type="dxa"/>
            <w:tcBorders>
              <w:top w:val="nil"/>
              <w:left w:val="nil"/>
              <w:bottom w:val="nil"/>
              <w:right w:val="nil"/>
            </w:tcBorders>
            <w:shd w:val="clear" w:color="auto" w:fill="auto"/>
            <w:noWrap/>
            <w:vAlign w:val="bottom"/>
            <w:hideMark/>
          </w:tcPr>
          <w:p w14:paraId="3F45377E" w14:textId="77777777" w:rsidR="007179C4" w:rsidRPr="00A07FE7" w:rsidRDefault="007179C4" w:rsidP="00B50D01">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COVID-19 positive</w:t>
            </w:r>
          </w:p>
        </w:tc>
        <w:tc>
          <w:tcPr>
            <w:tcW w:w="2099" w:type="dxa"/>
            <w:tcBorders>
              <w:top w:val="nil"/>
              <w:left w:val="nil"/>
              <w:bottom w:val="nil"/>
              <w:right w:val="nil"/>
            </w:tcBorders>
            <w:shd w:val="clear" w:color="auto" w:fill="auto"/>
            <w:noWrap/>
            <w:vAlign w:val="bottom"/>
            <w:hideMark/>
          </w:tcPr>
          <w:p w14:paraId="5D6EBDE1" w14:textId="77777777" w:rsidR="007179C4" w:rsidRPr="00A07FE7" w:rsidRDefault="007179C4" w:rsidP="00B50D01">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COVID-19 negative</w:t>
            </w:r>
          </w:p>
        </w:tc>
        <w:tc>
          <w:tcPr>
            <w:tcW w:w="2658" w:type="dxa"/>
            <w:tcBorders>
              <w:top w:val="nil"/>
              <w:left w:val="nil"/>
              <w:bottom w:val="nil"/>
              <w:right w:val="nil"/>
            </w:tcBorders>
            <w:shd w:val="clear" w:color="auto" w:fill="auto"/>
            <w:noWrap/>
            <w:vAlign w:val="bottom"/>
            <w:hideMark/>
          </w:tcPr>
          <w:p w14:paraId="7C774A29" w14:textId="77777777" w:rsidR="007179C4" w:rsidRPr="00A07FE7" w:rsidRDefault="007179C4" w:rsidP="00B50D01">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Difference</w:t>
            </w:r>
          </w:p>
        </w:tc>
        <w:tc>
          <w:tcPr>
            <w:tcW w:w="972" w:type="dxa"/>
            <w:tcBorders>
              <w:top w:val="nil"/>
              <w:left w:val="nil"/>
              <w:bottom w:val="nil"/>
              <w:right w:val="nil"/>
            </w:tcBorders>
            <w:shd w:val="clear" w:color="auto" w:fill="auto"/>
            <w:noWrap/>
            <w:vAlign w:val="bottom"/>
            <w:hideMark/>
          </w:tcPr>
          <w:p w14:paraId="0764F68B" w14:textId="77777777" w:rsidR="007179C4" w:rsidRPr="00A07FE7" w:rsidRDefault="007179C4" w:rsidP="00B50D01">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p value</w:t>
            </w:r>
          </w:p>
        </w:tc>
      </w:tr>
      <w:tr w:rsidR="007179C4" w:rsidRPr="00A07FE7" w14:paraId="598BB1C2" w14:textId="77777777" w:rsidTr="00B50D01">
        <w:trPr>
          <w:trHeight w:val="513"/>
        </w:trPr>
        <w:tc>
          <w:tcPr>
            <w:tcW w:w="2519" w:type="dxa"/>
            <w:tcBorders>
              <w:top w:val="nil"/>
              <w:left w:val="nil"/>
              <w:bottom w:val="single" w:sz="4" w:space="0" w:color="auto"/>
              <w:right w:val="nil"/>
            </w:tcBorders>
            <w:shd w:val="clear" w:color="auto" w:fill="auto"/>
            <w:noWrap/>
            <w:vAlign w:val="bottom"/>
            <w:hideMark/>
          </w:tcPr>
          <w:p w14:paraId="5047EA68"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 </w:t>
            </w:r>
          </w:p>
        </w:tc>
        <w:tc>
          <w:tcPr>
            <w:tcW w:w="1958" w:type="dxa"/>
            <w:tcBorders>
              <w:top w:val="nil"/>
              <w:left w:val="nil"/>
              <w:bottom w:val="single" w:sz="4" w:space="0" w:color="auto"/>
              <w:right w:val="nil"/>
            </w:tcBorders>
            <w:shd w:val="clear" w:color="auto" w:fill="auto"/>
            <w:noWrap/>
            <w:vAlign w:val="bottom"/>
            <w:hideMark/>
          </w:tcPr>
          <w:p w14:paraId="71F87E0E" w14:textId="77777777" w:rsidR="007179C4" w:rsidRPr="00A07FE7" w:rsidRDefault="007179C4" w:rsidP="00B50D01">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w:t>
            </w:r>
            <w:r w:rsidRPr="00A07FE7">
              <w:rPr>
                <w:rFonts w:ascii="Calibri" w:eastAsia="Times New Roman" w:hAnsi="Calibri" w:cs="Times New Roman"/>
                <w:b/>
                <w:bCs/>
                <w:color w:val="000000"/>
                <w:lang w:eastAsia="en-GB"/>
              </w:rPr>
              <w:t>n=352</w:t>
            </w:r>
            <w:r>
              <w:rPr>
                <w:rFonts w:ascii="Calibri" w:eastAsia="Times New Roman" w:hAnsi="Calibri" w:cs="Times New Roman"/>
                <w:b/>
                <w:bCs/>
                <w:color w:val="000000"/>
                <w:lang w:eastAsia="en-GB"/>
              </w:rPr>
              <w:t>)</w:t>
            </w:r>
          </w:p>
        </w:tc>
        <w:tc>
          <w:tcPr>
            <w:tcW w:w="2099" w:type="dxa"/>
            <w:tcBorders>
              <w:top w:val="nil"/>
              <w:left w:val="nil"/>
              <w:bottom w:val="single" w:sz="4" w:space="0" w:color="auto"/>
              <w:right w:val="nil"/>
            </w:tcBorders>
            <w:shd w:val="clear" w:color="auto" w:fill="auto"/>
            <w:noWrap/>
            <w:vAlign w:val="bottom"/>
            <w:hideMark/>
          </w:tcPr>
          <w:p w14:paraId="6508DCF7" w14:textId="77777777" w:rsidR="007179C4" w:rsidRPr="00A07FE7" w:rsidRDefault="007179C4" w:rsidP="00B50D01">
            <w:pPr>
              <w:spacing w:after="0" w:line="240" w:lineRule="auto"/>
              <w:rPr>
                <w:rFonts w:ascii="Calibri" w:eastAsia="Times New Roman" w:hAnsi="Calibri" w:cs="Times New Roman"/>
                <w:b/>
                <w:bCs/>
                <w:color w:val="000000"/>
                <w:lang w:eastAsia="en-GB"/>
              </w:rPr>
            </w:pPr>
            <w:r>
              <w:rPr>
                <w:rFonts w:ascii="Calibri" w:eastAsia="Times New Roman" w:hAnsi="Calibri" w:cs="Times New Roman"/>
                <w:b/>
                <w:bCs/>
                <w:color w:val="000000"/>
                <w:lang w:eastAsia="en-GB"/>
              </w:rPr>
              <w:t>(</w:t>
            </w:r>
            <w:r w:rsidRPr="00A07FE7">
              <w:rPr>
                <w:rFonts w:ascii="Calibri" w:eastAsia="Times New Roman" w:hAnsi="Calibri" w:cs="Times New Roman"/>
                <w:b/>
                <w:bCs/>
                <w:color w:val="000000"/>
                <w:lang w:eastAsia="en-GB"/>
              </w:rPr>
              <w:t>n=702</w:t>
            </w:r>
            <w:r>
              <w:rPr>
                <w:rFonts w:ascii="Calibri" w:eastAsia="Times New Roman" w:hAnsi="Calibri" w:cs="Times New Roman"/>
                <w:b/>
                <w:bCs/>
                <w:color w:val="000000"/>
                <w:lang w:eastAsia="en-GB"/>
              </w:rPr>
              <w:t>)</w:t>
            </w:r>
          </w:p>
        </w:tc>
        <w:tc>
          <w:tcPr>
            <w:tcW w:w="2658" w:type="dxa"/>
            <w:tcBorders>
              <w:top w:val="nil"/>
              <w:left w:val="nil"/>
              <w:bottom w:val="single" w:sz="4" w:space="0" w:color="auto"/>
              <w:right w:val="nil"/>
            </w:tcBorders>
            <w:shd w:val="clear" w:color="auto" w:fill="auto"/>
            <w:noWrap/>
            <w:vAlign w:val="bottom"/>
            <w:hideMark/>
          </w:tcPr>
          <w:p w14:paraId="2011CF91" w14:textId="77777777" w:rsidR="007179C4" w:rsidRPr="00970DFB" w:rsidRDefault="007179C4" w:rsidP="00B50D01">
            <w:pPr>
              <w:spacing w:after="0" w:line="240" w:lineRule="auto"/>
              <w:rPr>
                <w:rFonts w:ascii="Calibri" w:eastAsia="Times New Roman" w:hAnsi="Calibri" w:cs="Times New Roman"/>
                <w:b/>
                <w:color w:val="000000"/>
                <w:lang w:eastAsia="en-GB"/>
              </w:rPr>
            </w:pPr>
            <w:r w:rsidRPr="00970DFB">
              <w:rPr>
                <w:rFonts w:ascii="Calibri" w:eastAsia="Times New Roman" w:hAnsi="Calibri" w:cs="Times New Roman"/>
                <w:b/>
                <w:color w:val="000000"/>
                <w:lang w:eastAsia="en-GB"/>
              </w:rPr>
              <w:t>(95% CI) </w:t>
            </w:r>
          </w:p>
        </w:tc>
        <w:tc>
          <w:tcPr>
            <w:tcW w:w="972" w:type="dxa"/>
            <w:tcBorders>
              <w:top w:val="nil"/>
              <w:left w:val="nil"/>
              <w:bottom w:val="single" w:sz="4" w:space="0" w:color="auto"/>
              <w:right w:val="nil"/>
            </w:tcBorders>
            <w:shd w:val="clear" w:color="auto" w:fill="auto"/>
            <w:noWrap/>
            <w:vAlign w:val="bottom"/>
            <w:hideMark/>
          </w:tcPr>
          <w:p w14:paraId="6654AD5D"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 </w:t>
            </w:r>
          </w:p>
        </w:tc>
      </w:tr>
      <w:tr w:rsidR="007179C4" w:rsidRPr="00A07FE7" w14:paraId="7A178911" w14:textId="77777777" w:rsidTr="00B50D01">
        <w:trPr>
          <w:trHeight w:val="513"/>
        </w:trPr>
        <w:tc>
          <w:tcPr>
            <w:tcW w:w="2519" w:type="dxa"/>
            <w:tcBorders>
              <w:top w:val="nil"/>
              <w:left w:val="nil"/>
              <w:bottom w:val="nil"/>
              <w:right w:val="nil"/>
            </w:tcBorders>
            <w:shd w:val="clear" w:color="auto" w:fill="auto"/>
            <w:noWrap/>
            <w:vAlign w:val="bottom"/>
            <w:hideMark/>
          </w:tcPr>
          <w:p w14:paraId="5F2F4BAC"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Current smoker</w:t>
            </w:r>
          </w:p>
        </w:tc>
        <w:tc>
          <w:tcPr>
            <w:tcW w:w="1958" w:type="dxa"/>
            <w:tcBorders>
              <w:top w:val="nil"/>
              <w:left w:val="nil"/>
              <w:bottom w:val="nil"/>
              <w:right w:val="nil"/>
            </w:tcBorders>
            <w:shd w:val="clear" w:color="auto" w:fill="auto"/>
            <w:noWrap/>
            <w:vAlign w:val="bottom"/>
            <w:hideMark/>
          </w:tcPr>
          <w:p w14:paraId="3476EA6A"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20 (5.7%)</w:t>
            </w:r>
          </w:p>
        </w:tc>
        <w:tc>
          <w:tcPr>
            <w:tcW w:w="2099" w:type="dxa"/>
            <w:tcBorders>
              <w:top w:val="nil"/>
              <w:left w:val="nil"/>
              <w:bottom w:val="nil"/>
              <w:right w:val="nil"/>
            </w:tcBorders>
            <w:shd w:val="clear" w:color="auto" w:fill="auto"/>
            <w:noWrap/>
            <w:vAlign w:val="bottom"/>
            <w:hideMark/>
          </w:tcPr>
          <w:p w14:paraId="510BB1AF"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116 (16.5%)</w:t>
            </w:r>
          </w:p>
        </w:tc>
        <w:tc>
          <w:tcPr>
            <w:tcW w:w="2658" w:type="dxa"/>
            <w:tcBorders>
              <w:top w:val="nil"/>
              <w:left w:val="nil"/>
              <w:bottom w:val="nil"/>
              <w:right w:val="nil"/>
            </w:tcBorders>
            <w:shd w:val="clear" w:color="auto" w:fill="auto"/>
            <w:noWrap/>
            <w:vAlign w:val="bottom"/>
            <w:hideMark/>
          </w:tcPr>
          <w:p w14:paraId="48AC63DC"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-10.8%</w:t>
            </w:r>
            <w:r>
              <w:rPr>
                <w:rFonts w:ascii="Calibri" w:eastAsia="Times New Roman" w:hAnsi="Calibri" w:cs="Times New Roman"/>
                <w:color w:val="000000"/>
                <w:lang w:eastAsia="en-GB"/>
              </w:rPr>
              <w:t xml:space="preserve"> (-7.0% to -14.4%)</w:t>
            </w:r>
          </w:p>
        </w:tc>
        <w:tc>
          <w:tcPr>
            <w:tcW w:w="972" w:type="dxa"/>
            <w:tcBorders>
              <w:top w:val="nil"/>
              <w:left w:val="nil"/>
              <w:bottom w:val="nil"/>
              <w:right w:val="nil"/>
            </w:tcBorders>
            <w:shd w:val="clear" w:color="auto" w:fill="auto"/>
            <w:noWrap/>
            <w:vAlign w:val="bottom"/>
            <w:hideMark/>
          </w:tcPr>
          <w:p w14:paraId="187FCE3C" w14:textId="77777777" w:rsidR="007179C4" w:rsidRPr="00A07FE7" w:rsidRDefault="007179C4" w:rsidP="00B50D01">
            <w:pPr>
              <w:spacing w:after="0" w:line="240" w:lineRule="auto"/>
              <w:rPr>
                <w:rFonts w:ascii="Calibri" w:eastAsia="Times New Roman" w:hAnsi="Calibri" w:cs="Times New Roman"/>
                <w:b/>
                <w:bCs/>
                <w:lang w:eastAsia="en-GB"/>
              </w:rPr>
            </w:pPr>
            <w:r w:rsidRPr="00A07FE7">
              <w:rPr>
                <w:rFonts w:ascii="Calibri" w:eastAsia="Times New Roman" w:hAnsi="Calibri" w:cs="Times New Roman"/>
                <w:b/>
                <w:bCs/>
                <w:lang w:eastAsia="en-GB"/>
              </w:rPr>
              <w:t>0.0001</w:t>
            </w:r>
          </w:p>
        </w:tc>
      </w:tr>
      <w:tr w:rsidR="007179C4" w:rsidRPr="00A07FE7" w14:paraId="5FE620BA" w14:textId="77777777" w:rsidTr="00B50D01">
        <w:trPr>
          <w:trHeight w:val="513"/>
        </w:trPr>
        <w:tc>
          <w:tcPr>
            <w:tcW w:w="2519" w:type="dxa"/>
            <w:tcBorders>
              <w:top w:val="nil"/>
              <w:left w:val="nil"/>
              <w:bottom w:val="nil"/>
              <w:right w:val="nil"/>
            </w:tcBorders>
            <w:shd w:val="clear" w:color="auto" w:fill="auto"/>
            <w:noWrap/>
            <w:vAlign w:val="bottom"/>
            <w:hideMark/>
          </w:tcPr>
          <w:p w14:paraId="73F256FF"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Ex-smoker</w:t>
            </w:r>
          </w:p>
        </w:tc>
        <w:tc>
          <w:tcPr>
            <w:tcW w:w="1958" w:type="dxa"/>
            <w:tcBorders>
              <w:top w:val="nil"/>
              <w:left w:val="nil"/>
              <w:bottom w:val="nil"/>
              <w:right w:val="nil"/>
            </w:tcBorders>
            <w:shd w:val="clear" w:color="auto" w:fill="auto"/>
            <w:noWrap/>
            <w:vAlign w:val="bottom"/>
            <w:hideMark/>
          </w:tcPr>
          <w:p w14:paraId="33005E5D"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80 (22.7%)</w:t>
            </w:r>
          </w:p>
        </w:tc>
        <w:tc>
          <w:tcPr>
            <w:tcW w:w="2099" w:type="dxa"/>
            <w:tcBorders>
              <w:top w:val="nil"/>
              <w:left w:val="nil"/>
              <w:bottom w:val="nil"/>
              <w:right w:val="nil"/>
            </w:tcBorders>
            <w:shd w:val="clear" w:color="auto" w:fill="auto"/>
            <w:noWrap/>
            <w:vAlign w:val="bottom"/>
            <w:hideMark/>
          </w:tcPr>
          <w:p w14:paraId="3030D4A7"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193 (27.5%)</w:t>
            </w:r>
          </w:p>
        </w:tc>
        <w:tc>
          <w:tcPr>
            <w:tcW w:w="2658" w:type="dxa"/>
            <w:tcBorders>
              <w:top w:val="nil"/>
              <w:left w:val="nil"/>
              <w:bottom w:val="nil"/>
              <w:right w:val="nil"/>
            </w:tcBorders>
            <w:shd w:val="clear" w:color="auto" w:fill="auto"/>
            <w:noWrap/>
            <w:vAlign w:val="bottom"/>
            <w:hideMark/>
          </w:tcPr>
          <w:p w14:paraId="5C5ACD5A"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-4.8%</w:t>
            </w:r>
            <w:r>
              <w:rPr>
                <w:rFonts w:ascii="Calibri" w:eastAsia="Times New Roman" w:hAnsi="Calibri" w:cs="Times New Roman"/>
                <w:color w:val="000000"/>
                <w:lang w:eastAsia="en-GB"/>
              </w:rPr>
              <w:t xml:space="preserve"> (-10.1% to -0.9%)</w:t>
            </w:r>
          </w:p>
        </w:tc>
        <w:tc>
          <w:tcPr>
            <w:tcW w:w="972" w:type="dxa"/>
            <w:tcBorders>
              <w:top w:val="nil"/>
              <w:left w:val="nil"/>
              <w:bottom w:val="nil"/>
              <w:right w:val="nil"/>
            </w:tcBorders>
            <w:shd w:val="clear" w:color="auto" w:fill="auto"/>
            <w:noWrap/>
            <w:vAlign w:val="bottom"/>
            <w:hideMark/>
          </w:tcPr>
          <w:p w14:paraId="2284E8DD"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0.1013</w:t>
            </w:r>
          </w:p>
        </w:tc>
      </w:tr>
      <w:tr w:rsidR="007179C4" w:rsidRPr="00A07FE7" w14:paraId="7B12CAA6" w14:textId="77777777" w:rsidTr="00B50D01">
        <w:trPr>
          <w:trHeight w:val="513"/>
        </w:trPr>
        <w:tc>
          <w:tcPr>
            <w:tcW w:w="2519" w:type="dxa"/>
            <w:tcBorders>
              <w:top w:val="nil"/>
              <w:left w:val="nil"/>
              <w:bottom w:val="nil"/>
              <w:right w:val="nil"/>
            </w:tcBorders>
            <w:shd w:val="clear" w:color="auto" w:fill="auto"/>
            <w:noWrap/>
            <w:vAlign w:val="bottom"/>
            <w:hideMark/>
          </w:tcPr>
          <w:p w14:paraId="1A82737D"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Never smoked</w:t>
            </w:r>
          </w:p>
        </w:tc>
        <w:tc>
          <w:tcPr>
            <w:tcW w:w="1958" w:type="dxa"/>
            <w:tcBorders>
              <w:top w:val="nil"/>
              <w:left w:val="nil"/>
              <w:bottom w:val="nil"/>
              <w:right w:val="nil"/>
            </w:tcBorders>
            <w:shd w:val="clear" w:color="auto" w:fill="auto"/>
            <w:noWrap/>
            <w:vAlign w:val="bottom"/>
            <w:hideMark/>
          </w:tcPr>
          <w:p w14:paraId="199535D0"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189 (53.7%)</w:t>
            </w:r>
          </w:p>
        </w:tc>
        <w:tc>
          <w:tcPr>
            <w:tcW w:w="2099" w:type="dxa"/>
            <w:tcBorders>
              <w:top w:val="nil"/>
              <w:left w:val="nil"/>
              <w:bottom w:val="nil"/>
              <w:right w:val="nil"/>
            </w:tcBorders>
            <w:shd w:val="clear" w:color="auto" w:fill="auto"/>
            <w:noWrap/>
            <w:vAlign w:val="bottom"/>
            <w:hideMark/>
          </w:tcPr>
          <w:p w14:paraId="0C3E3745"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252 (35.9%)</w:t>
            </w:r>
          </w:p>
        </w:tc>
        <w:tc>
          <w:tcPr>
            <w:tcW w:w="2658" w:type="dxa"/>
            <w:tcBorders>
              <w:top w:val="nil"/>
              <w:left w:val="nil"/>
              <w:bottom w:val="nil"/>
              <w:right w:val="nil"/>
            </w:tcBorders>
            <w:shd w:val="clear" w:color="auto" w:fill="auto"/>
            <w:noWrap/>
            <w:vAlign w:val="bottom"/>
            <w:hideMark/>
          </w:tcPr>
          <w:p w14:paraId="49DB0937"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17.8%</w:t>
            </w:r>
            <w:r>
              <w:rPr>
                <w:rFonts w:ascii="Calibri" w:eastAsia="Times New Roman" w:hAnsi="Calibri" w:cs="Times New Roman"/>
                <w:color w:val="000000"/>
                <w:lang w:eastAsia="en-GB"/>
              </w:rPr>
              <w:t xml:space="preserve"> (11.4% to 24.0%)</w:t>
            </w:r>
          </w:p>
        </w:tc>
        <w:tc>
          <w:tcPr>
            <w:tcW w:w="972" w:type="dxa"/>
            <w:tcBorders>
              <w:top w:val="nil"/>
              <w:left w:val="nil"/>
              <w:bottom w:val="nil"/>
              <w:right w:val="nil"/>
            </w:tcBorders>
            <w:shd w:val="clear" w:color="auto" w:fill="auto"/>
            <w:noWrap/>
            <w:vAlign w:val="bottom"/>
            <w:hideMark/>
          </w:tcPr>
          <w:p w14:paraId="72FD50D4" w14:textId="77777777" w:rsidR="007179C4" w:rsidRPr="00A07FE7" w:rsidRDefault="007179C4" w:rsidP="00B50D01">
            <w:pPr>
              <w:spacing w:after="0" w:line="240" w:lineRule="auto"/>
              <w:rPr>
                <w:rFonts w:ascii="Calibri" w:eastAsia="Times New Roman" w:hAnsi="Calibri" w:cs="Times New Roman"/>
                <w:b/>
                <w:bCs/>
                <w:color w:val="000000"/>
                <w:lang w:eastAsia="en-GB"/>
              </w:rPr>
            </w:pPr>
            <w:r w:rsidRPr="00A07FE7">
              <w:rPr>
                <w:rFonts w:ascii="Calibri" w:eastAsia="Times New Roman" w:hAnsi="Calibri" w:cs="Times New Roman"/>
                <w:b/>
                <w:bCs/>
                <w:color w:val="000000"/>
                <w:lang w:eastAsia="en-GB"/>
              </w:rPr>
              <w:t>&lt;0.0001</w:t>
            </w:r>
          </w:p>
        </w:tc>
      </w:tr>
      <w:tr w:rsidR="007179C4" w:rsidRPr="00A07FE7" w14:paraId="30FEE21E" w14:textId="77777777" w:rsidTr="00B50D01">
        <w:trPr>
          <w:trHeight w:val="513"/>
        </w:trPr>
        <w:tc>
          <w:tcPr>
            <w:tcW w:w="2519" w:type="dxa"/>
            <w:tcBorders>
              <w:top w:val="nil"/>
              <w:left w:val="nil"/>
              <w:bottom w:val="single" w:sz="4" w:space="0" w:color="auto"/>
              <w:right w:val="nil"/>
            </w:tcBorders>
            <w:shd w:val="clear" w:color="auto" w:fill="auto"/>
            <w:noWrap/>
            <w:vAlign w:val="bottom"/>
            <w:hideMark/>
          </w:tcPr>
          <w:p w14:paraId="1AF54967"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Unknown smoking status</w:t>
            </w:r>
          </w:p>
        </w:tc>
        <w:tc>
          <w:tcPr>
            <w:tcW w:w="1958" w:type="dxa"/>
            <w:tcBorders>
              <w:top w:val="nil"/>
              <w:left w:val="nil"/>
              <w:bottom w:val="single" w:sz="4" w:space="0" w:color="auto"/>
              <w:right w:val="nil"/>
            </w:tcBorders>
            <w:shd w:val="clear" w:color="auto" w:fill="auto"/>
            <w:noWrap/>
            <w:vAlign w:val="bottom"/>
            <w:hideMark/>
          </w:tcPr>
          <w:p w14:paraId="4F0DBB13"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63 (17.9%)</w:t>
            </w:r>
          </w:p>
        </w:tc>
        <w:tc>
          <w:tcPr>
            <w:tcW w:w="2099" w:type="dxa"/>
            <w:tcBorders>
              <w:top w:val="nil"/>
              <w:left w:val="nil"/>
              <w:bottom w:val="single" w:sz="4" w:space="0" w:color="auto"/>
              <w:right w:val="nil"/>
            </w:tcBorders>
            <w:shd w:val="clear" w:color="auto" w:fill="auto"/>
            <w:noWrap/>
            <w:vAlign w:val="bottom"/>
            <w:hideMark/>
          </w:tcPr>
          <w:p w14:paraId="5CCEACC1"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141 (20.1%)</w:t>
            </w:r>
          </w:p>
        </w:tc>
        <w:tc>
          <w:tcPr>
            <w:tcW w:w="2658" w:type="dxa"/>
            <w:tcBorders>
              <w:top w:val="nil"/>
              <w:left w:val="nil"/>
              <w:bottom w:val="single" w:sz="4" w:space="0" w:color="auto"/>
              <w:right w:val="nil"/>
            </w:tcBorders>
            <w:shd w:val="clear" w:color="auto" w:fill="auto"/>
            <w:noWrap/>
            <w:vAlign w:val="bottom"/>
            <w:hideMark/>
          </w:tcPr>
          <w:p w14:paraId="7FC654AE"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-2.2%</w:t>
            </w:r>
            <w:r>
              <w:rPr>
                <w:rFonts w:ascii="Calibri" w:eastAsia="Times New Roman" w:hAnsi="Calibri" w:cs="Times New Roman"/>
                <w:color w:val="000000"/>
                <w:lang w:eastAsia="en-GB"/>
              </w:rPr>
              <w:t xml:space="preserve"> (-7.0% to -3.0%)</w:t>
            </w:r>
          </w:p>
        </w:tc>
        <w:tc>
          <w:tcPr>
            <w:tcW w:w="972" w:type="dxa"/>
            <w:tcBorders>
              <w:top w:val="nil"/>
              <w:left w:val="nil"/>
              <w:bottom w:val="single" w:sz="4" w:space="0" w:color="auto"/>
              <w:right w:val="nil"/>
            </w:tcBorders>
            <w:shd w:val="clear" w:color="auto" w:fill="auto"/>
            <w:noWrap/>
            <w:vAlign w:val="bottom"/>
            <w:hideMark/>
          </w:tcPr>
          <w:p w14:paraId="76AB9EFA" w14:textId="77777777" w:rsidR="007179C4" w:rsidRPr="00A07FE7" w:rsidRDefault="007179C4" w:rsidP="00B50D01">
            <w:pPr>
              <w:spacing w:after="0" w:line="240" w:lineRule="auto"/>
              <w:rPr>
                <w:rFonts w:ascii="Calibri" w:eastAsia="Times New Roman" w:hAnsi="Calibri" w:cs="Times New Roman"/>
                <w:color w:val="000000"/>
                <w:lang w:eastAsia="en-GB"/>
              </w:rPr>
            </w:pPr>
            <w:r w:rsidRPr="00A07FE7">
              <w:rPr>
                <w:rFonts w:ascii="Calibri" w:eastAsia="Times New Roman" w:hAnsi="Calibri" w:cs="Times New Roman"/>
                <w:color w:val="000000"/>
                <w:lang w:eastAsia="en-GB"/>
              </w:rPr>
              <w:t>0.4098</w:t>
            </w:r>
          </w:p>
        </w:tc>
      </w:tr>
    </w:tbl>
    <w:p w14:paraId="2A51F466" w14:textId="7AE30EAF" w:rsidR="00362651" w:rsidRPr="00362651" w:rsidRDefault="00362651" w:rsidP="00131DB9">
      <w:pPr>
        <w:pStyle w:val="Heading1"/>
      </w:pPr>
    </w:p>
    <w:sectPr w:rsidR="00362651" w:rsidRPr="00362651" w:rsidSect="00185343">
      <w:endnotePr>
        <w:numFmt w:val="decimal"/>
      </w:endnotePr>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AC65E6" w14:textId="77777777" w:rsidR="004526F3" w:rsidRDefault="004526F3" w:rsidP="008E2DFB">
      <w:pPr>
        <w:spacing w:after="0" w:line="240" w:lineRule="auto"/>
      </w:pPr>
      <w:r>
        <w:separator/>
      </w:r>
    </w:p>
  </w:endnote>
  <w:endnote w:type="continuationSeparator" w:id="0">
    <w:p w14:paraId="464F140A" w14:textId="77777777" w:rsidR="004526F3" w:rsidRDefault="004526F3" w:rsidP="008E2D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4773386"/>
      <w:docPartObj>
        <w:docPartGallery w:val="Page Numbers (Bottom of Page)"/>
        <w:docPartUnique/>
      </w:docPartObj>
    </w:sdtPr>
    <w:sdtEndPr>
      <w:rPr>
        <w:noProof/>
      </w:rPr>
    </w:sdtEndPr>
    <w:sdtContent>
      <w:p w14:paraId="06747190" w14:textId="05992F64" w:rsidR="004526F3" w:rsidRDefault="004526F3">
        <w:pPr>
          <w:pStyle w:val="Footer"/>
          <w:jc w:val="right"/>
        </w:pPr>
        <w:r>
          <w:fldChar w:fldCharType="begin"/>
        </w:r>
        <w:r>
          <w:instrText xml:space="preserve"> PAGE   \* MERGEFORMAT </w:instrText>
        </w:r>
        <w:r>
          <w:fldChar w:fldCharType="separate"/>
        </w:r>
        <w:r w:rsidR="00744C7C">
          <w:rPr>
            <w:noProof/>
          </w:rPr>
          <w:t>21</w:t>
        </w:r>
        <w:r>
          <w:rPr>
            <w:noProof/>
          </w:rPr>
          <w:fldChar w:fldCharType="end"/>
        </w:r>
      </w:p>
    </w:sdtContent>
  </w:sdt>
  <w:p w14:paraId="3C3559CF" w14:textId="77777777" w:rsidR="004526F3" w:rsidRDefault="004526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5976CE" w14:textId="77777777" w:rsidR="004526F3" w:rsidRDefault="004526F3" w:rsidP="008E2DFB">
      <w:pPr>
        <w:spacing w:after="0" w:line="240" w:lineRule="auto"/>
      </w:pPr>
      <w:r>
        <w:separator/>
      </w:r>
    </w:p>
  </w:footnote>
  <w:footnote w:type="continuationSeparator" w:id="0">
    <w:p w14:paraId="703208C9" w14:textId="77777777" w:rsidR="004526F3" w:rsidRDefault="004526F3" w:rsidP="008E2DF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AB2ECE"/>
    <w:multiLevelType w:val="hybridMultilevel"/>
    <w:tmpl w:val="86C25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1433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C Infectious Diseases&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drtdp0dbzax05efzf15d0fav0spr50rztxx&quot;&gt;EndNoteLibrary for Cohort study&lt;record-ids&gt;&lt;item&gt;3&lt;/item&gt;&lt;item&gt;4&lt;/item&gt;&lt;item&gt;7&lt;/item&gt;&lt;item&gt;15&lt;/item&gt;&lt;item&gt;19&lt;/item&gt;&lt;item&gt;20&lt;/item&gt;&lt;item&gt;30&lt;/item&gt;&lt;item&gt;37&lt;/item&gt;&lt;item&gt;38&lt;/item&gt;&lt;item&gt;43&lt;/item&gt;&lt;item&gt;53&lt;/item&gt;&lt;item&gt;54&lt;/item&gt;&lt;item&gt;55&lt;/item&gt;&lt;item&gt;56&lt;/item&gt;&lt;item&gt;57&lt;/item&gt;&lt;item&gt;58&lt;/item&gt;&lt;item&gt;59&lt;/item&gt;&lt;item&gt;60&lt;/item&gt;&lt;item&gt;61&lt;/item&gt;&lt;item&gt;62&lt;/item&gt;&lt;item&gt;63&lt;/item&gt;&lt;item&gt;65&lt;/item&gt;&lt;item&gt;66&lt;/item&gt;&lt;item&gt;67&lt;/item&gt;&lt;item&gt;68&lt;/item&gt;&lt;item&gt;69&lt;/item&gt;&lt;item&gt;70&lt;/item&gt;&lt;item&gt;71&lt;/item&gt;&lt;item&gt;72&lt;/item&gt;&lt;/record-ids&gt;&lt;/item&gt;&lt;/Libraries&gt;"/>
  </w:docVars>
  <w:rsids>
    <w:rsidRoot w:val="00BD2DC7"/>
    <w:rsid w:val="00002EF1"/>
    <w:rsid w:val="0000540B"/>
    <w:rsid w:val="00010808"/>
    <w:rsid w:val="000132D3"/>
    <w:rsid w:val="00014B0F"/>
    <w:rsid w:val="000160E4"/>
    <w:rsid w:val="00024243"/>
    <w:rsid w:val="00025725"/>
    <w:rsid w:val="00034DD9"/>
    <w:rsid w:val="00042F03"/>
    <w:rsid w:val="0004414F"/>
    <w:rsid w:val="00051BE9"/>
    <w:rsid w:val="0005293A"/>
    <w:rsid w:val="00064B98"/>
    <w:rsid w:val="000664D4"/>
    <w:rsid w:val="000722BC"/>
    <w:rsid w:val="000732D6"/>
    <w:rsid w:val="00075823"/>
    <w:rsid w:val="00076E5F"/>
    <w:rsid w:val="000830D3"/>
    <w:rsid w:val="0008359A"/>
    <w:rsid w:val="00091D5C"/>
    <w:rsid w:val="0009420A"/>
    <w:rsid w:val="00094682"/>
    <w:rsid w:val="000A51FE"/>
    <w:rsid w:val="000C240B"/>
    <w:rsid w:val="000D2F13"/>
    <w:rsid w:val="000D3EF5"/>
    <w:rsid w:val="000E29B8"/>
    <w:rsid w:val="000E2CE5"/>
    <w:rsid w:val="000F6B3E"/>
    <w:rsid w:val="00106431"/>
    <w:rsid w:val="00106A74"/>
    <w:rsid w:val="001071DB"/>
    <w:rsid w:val="00110E36"/>
    <w:rsid w:val="001166F1"/>
    <w:rsid w:val="00117A15"/>
    <w:rsid w:val="00121EC6"/>
    <w:rsid w:val="001236BD"/>
    <w:rsid w:val="00124E43"/>
    <w:rsid w:val="00131DB9"/>
    <w:rsid w:val="0013479B"/>
    <w:rsid w:val="001370B6"/>
    <w:rsid w:val="00152609"/>
    <w:rsid w:val="00153BE0"/>
    <w:rsid w:val="00153C1E"/>
    <w:rsid w:val="0015682D"/>
    <w:rsid w:val="00160D5A"/>
    <w:rsid w:val="001619A4"/>
    <w:rsid w:val="00164AD5"/>
    <w:rsid w:val="00172966"/>
    <w:rsid w:val="00176816"/>
    <w:rsid w:val="001776C8"/>
    <w:rsid w:val="00185343"/>
    <w:rsid w:val="00193DA5"/>
    <w:rsid w:val="0019655E"/>
    <w:rsid w:val="001A3EA7"/>
    <w:rsid w:val="001A7139"/>
    <w:rsid w:val="001A7651"/>
    <w:rsid w:val="001B7999"/>
    <w:rsid w:val="001C121C"/>
    <w:rsid w:val="001D1C2E"/>
    <w:rsid w:val="001D4F5B"/>
    <w:rsid w:val="001D7678"/>
    <w:rsid w:val="001F0C50"/>
    <w:rsid w:val="0021267E"/>
    <w:rsid w:val="002137FE"/>
    <w:rsid w:val="00216B5D"/>
    <w:rsid w:val="00231E63"/>
    <w:rsid w:val="00244997"/>
    <w:rsid w:val="00263600"/>
    <w:rsid w:val="002652D4"/>
    <w:rsid w:val="00270413"/>
    <w:rsid w:val="002726D8"/>
    <w:rsid w:val="00281C85"/>
    <w:rsid w:val="00292467"/>
    <w:rsid w:val="00295CA4"/>
    <w:rsid w:val="0029624B"/>
    <w:rsid w:val="002A4893"/>
    <w:rsid w:val="002B1CD6"/>
    <w:rsid w:val="002C1CD9"/>
    <w:rsid w:val="002D027F"/>
    <w:rsid w:val="002D5D0D"/>
    <w:rsid w:val="002E104D"/>
    <w:rsid w:val="002F020F"/>
    <w:rsid w:val="002F3AAC"/>
    <w:rsid w:val="002F430C"/>
    <w:rsid w:val="00304C8B"/>
    <w:rsid w:val="00316191"/>
    <w:rsid w:val="003169B9"/>
    <w:rsid w:val="00322E6A"/>
    <w:rsid w:val="00331A1D"/>
    <w:rsid w:val="00331B38"/>
    <w:rsid w:val="00332163"/>
    <w:rsid w:val="0033552F"/>
    <w:rsid w:val="00336F13"/>
    <w:rsid w:val="003411E6"/>
    <w:rsid w:val="00351D14"/>
    <w:rsid w:val="00351E41"/>
    <w:rsid w:val="00362464"/>
    <w:rsid w:val="00362651"/>
    <w:rsid w:val="00377CCE"/>
    <w:rsid w:val="00380F84"/>
    <w:rsid w:val="00390E23"/>
    <w:rsid w:val="00390F38"/>
    <w:rsid w:val="00391498"/>
    <w:rsid w:val="00392BCD"/>
    <w:rsid w:val="00395DE2"/>
    <w:rsid w:val="00397255"/>
    <w:rsid w:val="003A4570"/>
    <w:rsid w:val="003A71AB"/>
    <w:rsid w:val="003B147E"/>
    <w:rsid w:val="003C00D8"/>
    <w:rsid w:val="003C2210"/>
    <w:rsid w:val="003C51DB"/>
    <w:rsid w:val="003C58A7"/>
    <w:rsid w:val="003C5F33"/>
    <w:rsid w:val="003C757A"/>
    <w:rsid w:val="003D63DF"/>
    <w:rsid w:val="003D6657"/>
    <w:rsid w:val="003D6BED"/>
    <w:rsid w:val="003E785F"/>
    <w:rsid w:val="003F30E0"/>
    <w:rsid w:val="003F3E75"/>
    <w:rsid w:val="00403715"/>
    <w:rsid w:val="004075B4"/>
    <w:rsid w:val="00412310"/>
    <w:rsid w:val="00413A3D"/>
    <w:rsid w:val="00431421"/>
    <w:rsid w:val="00434334"/>
    <w:rsid w:val="00441D24"/>
    <w:rsid w:val="004422F1"/>
    <w:rsid w:val="00446F43"/>
    <w:rsid w:val="00450E27"/>
    <w:rsid w:val="004526F3"/>
    <w:rsid w:val="00452852"/>
    <w:rsid w:val="00456DBC"/>
    <w:rsid w:val="0047036E"/>
    <w:rsid w:val="004720F8"/>
    <w:rsid w:val="004723F4"/>
    <w:rsid w:val="004747B1"/>
    <w:rsid w:val="00475894"/>
    <w:rsid w:val="00484906"/>
    <w:rsid w:val="00485A64"/>
    <w:rsid w:val="004862D6"/>
    <w:rsid w:val="004869EE"/>
    <w:rsid w:val="00490024"/>
    <w:rsid w:val="004964F2"/>
    <w:rsid w:val="004C5558"/>
    <w:rsid w:val="004C55BA"/>
    <w:rsid w:val="004C5FFC"/>
    <w:rsid w:val="004D3BE0"/>
    <w:rsid w:val="004D5E13"/>
    <w:rsid w:val="004E6AE3"/>
    <w:rsid w:val="004F071A"/>
    <w:rsid w:val="005058FA"/>
    <w:rsid w:val="00521646"/>
    <w:rsid w:val="00537A7B"/>
    <w:rsid w:val="0054323D"/>
    <w:rsid w:val="00543C87"/>
    <w:rsid w:val="00546BDA"/>
    <w:rsid w:val="00550A22"/>
    <w:rsid w:val="00557318"/>
    <w:rsid w:val="00565A89"/>
    <w:rsid w:val="0056628D"/>
    <w:rsid w:val="0056750D"/>
    <w:rsid w:val="00567D8A"/>
    <w:rsid w:val="00583461"/>
    <w:rsid w:val="005926A2"/>
    <w:rsid w:val="0059333B"/>
    <w:rsid w:val="00595DBF"/>
    <w:rsid w:val="005B02E1"/>
    <w:rsid w:val="005B11EE"/>
    <w:rsid w:val="005B7608"/>
    <w:rsid w:val="005C415C"/>
    <w:rsid w:val="005D174C"/>
    <w:rsid w:val="005D1793"/>
    <w:rsid w:val="005D46D1"/>
    <w:rsid w:val="005D70E8"/>
    <w:rsid w:val="005D7C6E"/>
    <w:rsid w:val="005E1AE4"/>
    <w:rsid w:val="005E2925"/>
    <w:rsid w:val="005E6341"/>
    <w:rsid w:val="005E695F"/>
    <w:rsid w:val="005F2374"/>
    <w:rsid w:val="005F4786"/>
    <w:rsid w:val="00602BA3"/>
    <w:rsid w:val="006118F3"/>
    <w:rsid w:val="00612051"/>
    <w:rsid w:val="00614540"/>
    <w:rsid w:val="00616970"/>
    <w:rsid w:val="00617BBC"/>
    <w:rsid w:val="00621238"/>
    <w:rsid w:val="00625FC4"/>
    <w:rsid w:val="0064330F"/>
    <w:rsid w:val="0064476B"/>
    <w:rsid w:val="00652E9A"/>
    <w:rsid w:val="00664825"/>
    <w:rsid w:val="0066626E"/>
    <w:rsid w:val="006837E9"/>
    <w:rsid w:val="00696A1C"/>
    <w:rsid w:val="006A209A"/>
    <w:rsid w:val="006B152F"/>
    <w:rsid w:val="006B4EB9"/>
    <w:rsid w:val="006B5D69"/>
    <w:rsid w:val="006B61B7"/>
    <w:rsid w:val="006B7999"/>
    <w:rsid w:val="006C13AA"/>
    <w:rsid w:val="006C64B7"/>
    <w:rsid w:val="006C6DBA"/>
    <w:rsid w:val="006C7338"/>
    <w:rsid w:val="006D0C2C"/>
    <w:rsid w:val="006D3CCB"/>
    <w:rsid w:val="006E0CC9"/>
    <w:rsid w:val="006E268A"/>
    <w:rsid w:val="006E5460"/>
    <w:rsid w:val="006F70D7"/>
    <w:rsid w:val="00707B99"/>
    <w:rsid w:val="00711328"/>
    <w:rsid w:val="00711FBC"/>
    <w:rsid w:val="007174AD"/>
    <w:rsid w:val="007179C4"/>
    <w:rsid w:val="007206D6"/>
    <w:rsid w:val="00720944"/>
    <w:rsid w:val="00721752"/>
    <w:rsid w:val="007244E0"/>
    <w:rsid w:val="0073457D"/>
    <w:rsid w:val="00744C7C"/>
    <w:rsid w:val="00751E61"/>
    <w:rsid w:val="00756C29"/>
    <w:rsid w:val="00757587"/>
    <w:rsid w:val="00762058"/>
    <w:rsid w:val="00763CD7"/>
    <w:rsid w:val="00770BF9"/>
    <w:rsid w:val="00773B67"/>
    <w:rsid w:val="00773B8B"/>
    <w:rsid w:val="00774566"/>
    <w:rsid w:val="0077652A"/>
    <w:rsid w:val="007852C3"/>
    <w:rsid w:val="00793935"/>
    <w:rsid w:val="007962DE"/>
    <w:rsid w:val="007A086A"/>
    <w:rsid w:val="007A40B9"/>
    <w:rsid w:val="007A4616"/>
    <w:rsid w:val="007A716A"/>
    <w:rsid w:val="007C03CA"/>
    <w:rsid w:val="007C2911"/>
    <w:rsid w:val="007C393F"/>
    <w:rsid w:val="007D0408"/>
    <w:rsid w:val="007D0E25"/>
    <w:rsid w:val="007E2914"/>
    <w:rsid w:val="007E6AED"/>
    <w:rsid w:val="007F2470"/>
    <w:rsid w:val="00800F46"/>
    <w:rsid w:val="008010B5"/>
    <w:rsid w:val="008107B1"/>
    <w:rsid w:val="00815B99"/>
    <w:rsid w:val="00820822"/>
    <w:rsid w:val="008235B0"/>
    <w:rsid w:val="00826619"/>
    <w:rsid w:val="00847278"/>
    <w:rsid w:val="00852D22"/>
    <w:rsid w:val="008628F7"/>
    <w:rsid w:val="0086380F"/>
    <w:rsid w:val="0086779C"/>
    <w:rsid w:val="0087083A"/>
    <w:rsid w:val="00870E82"/>
    <w:rsid w:val="00873DA3"/>
    <w:rsid w:val="00876558"/>
    <w:rsid w:val="00884A07"/>
    <w:rsid w:val="00892DDB"/>
    <w:rsid w:val="008B287B"/>
    <w:rsid w:val="008B3CF1"/>
    <w:rsid w:val="008C2067"/>
    <w:rsid w:val="008D18C3"/>
    <w:rsid w:val="008D1C37"/>
    <w:rsid w:val="008D4BC4"/>
    <w:rsid w:val="008E2DFB"/>
    <w:rsid w:val="008E3510"/>
    <w:rsid w:val="008F59BF"/>
    <w:rsid w:val="008F690E"/>
    <w:rsid w:val="00900A99"/>
    <w:rsid w:val="0090772D"/>
    <w:rsid w:val="009111FB"/>
    <w:rsid w:val="00923C4E"/>
    <w:rsid w:val="009247F4"/>
    <w:rsid w:val="00924921"/>
    <w:rsid w:val="009318F3"/>
    <w:rsid w:val="0094384E"/>
    <w:rsid w:val="009449AB"/>
    <w:rsid w:val="009536DB"/>
    <w:rsid w:val="00961D58"/>
    <w:rsid w:val="00963B93"/>
    <w:rsid w:val="00966850"/>
    <w:rsid w:val="00966D50"/>
    <w:rsid w:val="00970DFB"/>
    <w:rsid w:val="00973136"/>
    <w:rsid w:val="009758D5"/>
    <w:rsid w:val="009828FE"/>
    <w:rsid w:val="009831F4"/>
    <w:rsid w:val="00984003"/>
    <w:rsid w:val="0098483E"/>
    <w:rsid w:val="00984EEA"/>
    <w:rsid w:val="00985C9E"/>
    <w:rsid w:val="00987E53"/>
    <w:rsid w:val="00994B64"/>
    <w:rsid w:val="00995A0F"/>
    <w:rsid w:val="00996656"/>
    <w:rsid w:val="009A0AC9"/>
    <w:rsid w:val="009A747F"/>
    <w:rsid w:val="009B084F"/>
    <w:rsid w:val="009B09F7"/>
    <w:rsid w:val="009B5131"/>
    <w:rsid w:val="009C4E29"/>
    <w:rsid w:val="009C5A9E"/>
    <w:rsid w:val="009C65F8"/>
    <w:rsid w:val="009C7A55"/>
    <w:rsid w:val="009D55E6"/>
    <w:rsid w:val="009E40B3"/>
    <w:rsid w:val="009E41B4"/>
    <w:rsid w:val="009F02AD"/>
    <w:rsid w:val="00A02C28"/>
    <w:rsid w:val="00A07FE7"/>
    <w:rsid w:val="00A10D6E"/>
    <w:rsid w:val="00A169B8"/>
    <w:rsid w:val="00A17F0D"/>
    <w:rsid w:val="00A20C32"/>
    <w:rsid w:val="00A21BA3"/>
    <w:rsid w:val="00A231BB"/>
    <w:rsid w:val="00A259DC"/>
    <w:rsid w:val="00A27681"/>
    <w:rsid w:val="00A31C05"/>
    <w:rsid w:val="00A449C2"/>
    <w:rsid w:val="00A51AF7"/>
    <w:rsid w:val="00A51FB8"/>
    <w:rsid w:val="00A5390C"/>
    <w:rsid w:val="00A54184"/>
    <w:rsid w:val="00A6198E"/>
    <w:rsid w:val="00A701BA"/>
    <w:rsid w:val="00A70944"/>
    <w:rsid w:val="00A73CF2"/>
    <w:rsid w:val="00A75CAA"/>
    <w:rsid w:val="00A76C55"/>
    <w:rsid w:val="00A77180"/>
    <w:rsid w:val="00A85292"/>
    <w:rsid w:val="00A853BE"/>
    <w:rsid w:val="00A9325A"/>
    <w:rsid w:val="00A936F4"/>
    <w:rsid w:val="00A93BE0"/>
    <w:rsid w:val="00A94CA6"/>
    <w:rsid w:val="00AA1C31"/>
    <w:rsid w:val="00AB1475"/>
    <w:rsid w:val="00AB5780"/>
    <w:rsid w:val="00AC03A3"/>
    <w:rsid w:val="00AC151B"/>
    <w:rsid w:val="00AC493F"/>
    <w:rsid w:val="00AD042E"/>
    <w:rsid w:val="00AD23F1"/>
    <w:rsid w:val="00AE215C"/>
    <w:rsid w:val="00B05D40"/>
    <w:rsid w:val="00B10FC6"/>
    <w:rsid w:val="00B14181"/>
    <w:rsid w:val="00B1708D"/>
    <w:rsid w:val="00B1753A"/>
    <w:rsid w:val="00B21338"/>
    <w:rsid w:val="00B349E9"/>
    <w:rsid w:val="00B34E76"/>
    <w:rsid w:val="00B370C9"/>
    <w:rsid w:val="00B45AA4"/>
    <w:rsid w:val="00B50D01"/>
    <w:rsid w:val="00B52ED7"/>
    <w:rsid w:val="00B55760"/>
    <w:rsid w:val="00B56683"/>
    <w:rsid w:val="00B5751B"/>
    <w:rsid w:val="00B67F6A"/>
    <w:rsid w:val="00B7057B"/>
    <w:rsid w:val="00B90F5B"/>
    <w:rsid w:val="00B919DD"/>
    <w:rsid w:val="00B91B47"/>
    <w:rsid w:val="00B9285C"/>
    <w:rsid w:val="00B93AD4"/>
    <w:rsid w:val="00BA053F"/>
    <w:rsid w:val="00BA224F"/>
    <w:rsid w:val="00BA4F66"/>
    <w:rsid w:val="00BB0914"/>
    <w:rsid w:val="00BB21CF"/>
    <w:rsid w:val="00BB600E"/>
    <w:rsid w:val="00BC42ED"/>
    <w:rsid w:val="00BC52E6"/>
    <w:rsid w:val="00BC65A2"/>
    <w:rsid w:val="00BC6A5F"/>
    <w:rsid w:val="00BC7F96"/>
    <w:rsid w:val="00BD2DC7"/>
    <w:rsid w:val="00BD71B7"/>
    <w:rsid w:val="00BF4D03"/>
    <w:rsid w:val="00C045B1"/>
    <w:rsid w:val="00C05355"/>
    <w:rsid w:val="00C14FC7"/>
    <w:rsid w:val="00C349AA"/>
    <w:rsid w:val="00C36A8E"/>
    <w:rsid w:val="00C41150"/>
    <w:rsid w:val="00C562A6"/>
    <w:rsid w:val="00C57B39"/>
    <w:rsid w:val="00C618F4"/>
    <w:rsid w:val="00C61C12"/>
    <w:rsid w:val="00C62626"/>
    <w:rsid w:val="00C74DBE"/>
    <w:rsid w:val="00C77593"/>
    <w:rsid w:val="00C80E76"/>
    <w:rsid w:val="00C86491"/>
    <w:rsid w:val="00CA0D9D"/>
    <w:rsid w:val="00CA120E"/>
    <w:rsid w:val="00CA2986"/>
    <w:rsid w:val="00CA2C4E"/>
    <w:rsid w:val="00CA587A"/>
    <w:rsid w:val="00CB2BEC"/>
    <w:rsid w:val="00CB570D"/>
    <w:rsid w:val="00CD49C4"/>
    <w:rsid w:val="00CD7268"/>
    <w:rsid w:val="00CE0556"/>
    <w:rsid w:val="00CE25CE"/>
    <w:rsid w:val="00CE29CF"/>
    <w:rsid w:val="00CE2E14"/>
    <w:rsid w:val="00CE359C"/>
    <w:rsid w:val="00CF1806"/>
    <w:rsid w:val="00CF18E9"/>
    <w:rsid w:val="00CF270D"/>
    <w:rsid w:val="00CF38CB"/>
    <w:rsid w:val="00CF6E34"/>
    <w:rsid w:val="00D13EC8"/>
    <w:rsid w:val="00D1489A"/>
    <w:rsid w:val="00D14BAE"/>
    <w:rsid w:val="00D15907"/>
    <w:rsid w:val="00D2780E"/>
    <w:rsid w:val="00D33065"/>
    <w:rsid w:val="00D33C30"/>
    <w:rsid w:val="00D35912"/>
    <w:rsid w:val="00D41A39"/>
    <w:rsid w:val="00D41C5D"/>
    <w:rsid w:val="00D4298C"/>
    <w:rsid w:val="00D46BB7"/>
    <w:rsid w:val="00D51051"/>
    <w:rsid w:val="00D51CBA"/>
    <w:rsid w:val="00D623D4"/>
    <w:rsid w:val="00D72CC1"/>
    <w:rsid w:val="00D75D16"/>
    <w:rsid w:val="00D80243"/>
    <w:rsid w:val="00D8774E"/>
    <w:rsid w:val="00D92416"/>
    <w:rsid w:val="00D93C91"/>
    <w:rsid w:val="00D945D7"/>
    <w:rsid w:val="00D966C6"/>
    <w:rsid w:val="00D971FD"/>
    <w:rsid w:val="00DA59CB"/>
    <w:rsid w:val="00DA5DBC"/>
    <w:rsid w:val="00DB06F7"/>
    <w:rsid w:val="00DB173F"/>
    <w:rsid w:val="00DB2481"/>
    <w:rsid w:val="00DC5DF7"/>
    <w:rsid w:val="00DC6614"/>
    <w:rsid w:val="00DF17CA"/>
    <w:rsid w:val="00DF401F"/>
    <w:rsid w:val="00DF61F8"/>
    <w:rsid w:val="00E030F9"/>
    <w:rsid w:val="00E0314E"/>
    <w:rsid w:val="00E168E4"/>
    <w:rsid w:val="00E21E69"/>
    <w:rsid w:val="00E340AC"/>
    <w:rsid w:val="00E36D51"/>
    <w:rsid w:val="00E4424D"/>
    <w:rsid w:val="00E45E79"/>
    <w:rsid w:val="00E50B69"/>
    <w:rsid w:val="00E60084"/>
    <w:rsid w:val="00E8118D"/>
    <w:rsid w:val="00E82968"/>
    <w:rsid w:val="00E84320"/>
    <w:rsid w:val="00E8546B"/>
    <w:rsid w:val="00E910A7"/>
    <w:rsid w:val="00E9664F"/>
    <w:rsid w:val="00E9718A"/>
    <w:rsid w:val="00E97E7E"/>
    <w:rsid w:val="00EA0DD3"/>
    <w:rsid w:val="00EB430B"/>
    <w:rsid w:val="00EB4A2C"/>
    <w:rsid w:val="00EB521A"/>
    <w:rsid w:val="00EC46C4"/>
    <w:rsid w:val="00EC6DF6"/>
    <w:rsid w:val="00ED68DC"/>
    <w:rsid w:val="00EE25A5"/>
    <w:rsid w:val="00EE6776"/>
    <w:rsid w:val="00EF064A"/>
    <w:rsid w:val="00EF50A2"/>
    <w:rsid w:val="00F162CF"/>
    <w:rsid w:val="00F16325"/>
    <w:rsid w:val="00F172B8"/>
    <w:rsid w:val="00F20A5B"/>
    <w:rsid w:val="00F254DA"/>
    <w:rsid w:val="00F3066B"/>
    <w:rsid w:val="00F40D80"/>
    <w:rsid w:val="00F433E8"/>
    <w:rsid w:val="00F438A6"/>
    <w:rsid w:val="00F44E8E"/>
    <w:rsid w:val="00F478AE"/>
    <w:rsid w:val="00F50F3E"/>
    <w:rsid w:val="00F577BD"/>
    <w:rsid w:val="00F61625"/>
    <w:rsid w:val="00F63A6B"/>
    <w:rsid w:val="00F67CB2"/>
    <w:rsid w:val="00F710AF"/>
    <w:rsid w:val="00F73162"/>
    <w:rsid w:val="00F802A8"/>
    <w:rsid w:val="00F82B40"/>
    <w:rsid w:val="00F86A35"/>
    <w:rsid w:val="00F93E68"/>
    <w:rsid w:val="00F96552"/>
    <w:rsid w:val="00FA1145"/>
    <w:rsid w:val="00FA2FE7"/>
    <w:rsid w:val="00FA36AA"/>
    <w:rsid w:val="00FB26AC"/>
    <w:rsid w:val="00FB446D"/>
    <w:rsid w:val="00FC0862"/>
    <w:rsid w:val="00FE468C"/>
    <w:rsid w:val="00FE4BCA"/>
    <w:rsid w:val="00FF20F7"/>
    <w:rsid w:val="00FF28E3"/>
    <w:rsid w:val="00FF68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E1CACF9"/>
  <w15:chartTrackingRefBased/>
  <w15:docId w15:val="{3AEC3937-17C7-4B90-B71D-8CF918BB5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autoRedefine/>
    <w:uiPriority w:val="9"/>
    <w:qFormat/>
    <w:rsid w:val="00131DB9"/>
    <w:pPr>
      <w:keepNext/>
      <w:keepLines/>
      <w:spacing w:before="240" w:after="0" w:line="480" w:lineRule="auto"/>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autoRedefine/>
    <w:uiPriority w:val="9"/>
    <w:unhideWhenUsed/>
    <w:qFormat/>
    <w:rsid w:val="005E2925"/>
    <w:pPr>
      <w:keepNext/>
      <w:keepLines/>
      <w:spacing w:before="40" w:after="0" w:line="480" w:lineRule="auto"/>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EC46C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1DB9"/>
    <w:rPr>
      <w:rFonts w:asciiTheme="majorHAnsi" w:eastAsiaTheme="majorEastAsia" w:hAnsiTheme="majorHAnsi" w:cstheme="majorBidi"/>
      <w:b/>
      <w:sz w:val="32"/>
      <w:szCs w:val="32"/>
    </w:rPr>
  </w:style>
  <w:style w:type="character" w:customStyle="1" w:styleId="Heading2Char">
    <w:name w:val="Heading 2 Char"/>
    <w:basedOn w:val="DefaultParagraphFont"/>
    <w:link w:val="Heading2"/>
    <w:uiPriority w:val="9"/>
    <w:rsid w:val="005E2925"/>
    <w:rPr>
      <w:rFonts w:asciiTheme="majorHAnsi" w:eastAsiaTheme="majorEastAsia" w:hAnsiTheme="majorHAnsi" w:cstheme="majorBidi"/>
      <w:b/>
      <w:sz w:val="26"/>
      <w:szCs w:val="26"/>
    </w:rPr>
  </w:style>
  <w:style w:type="paragraph" w:styleId="ListParagraph">
    <w:name w:val="List Paragraph"/>
    <w:basedOn w:val="Normal"/>
    <w:uiPriority w:val="34"/>
    <w:qFormat/>
    <w:rsid w:val="009449AB"/>
    <w:pPr>
      <w:ind w:left="720"/>
      <w:contextualSpacing/>
    </w:pPr>
  </w:style>
  <w:style w:type="paragraph" w:styleId="Title">
    <w:name w:val="Title"/>
    <w:basedOn w:val="Normal"/>
    <w:next w:val="Normal"/>
    <w:link w:val="TitleChar"/>
    <w:uiPriority w:val="10"/>
    <w:qFormat/>
    <w:rsid w:val="00A93BE0"/>
    <w:pPr>
      <w:spacing w:after="0" w:line="240" w:lineRule="auto"/>
      <w:contextualSpacing/>
    </w:pPr>
    <w:rPr>
      <w:rFonts w:asciiTheme="majorHAnsi" w:eastAsiaTheme="majorEastAsia" w:hAnsiTheme="majorHAnsi" w:cstheme="majorBidi"/>
      <w:spacing w:val="-10"/>
      <w:kern w:val="28"/>
      <w:sz w:val="36"/>
      <w:szCs w:val="56"/>
    </w:rPr>
  </w:style>
  <w:style w:type="character" w:customStyle="1" w:styleId="TitleChar">
    <w:name w:val="Title Char"/>
    <w:basedOn w:val="DefaultParagraphFont"/>
    <w:link w:val="Title"/>
    <w:uiPriority w:val="10"/>
    <w:rsid w:val="00A93BE0"/>
    <w:rPr>
      <w:rFonts w:asciiTheme="majorHAnsi" w:eastAsiaTheme="majorEastAsia" w:hAnsiTheme="majorHAnsi" w:cstheme="majorBidi"/>
      <w:spacing w:val="-10"/>
      <w:kern w:val="28"/>
      <w:sz w:val="36"/>
      <w:szCs w:val="56"/>
    </w:rPr>
  </w:style>
  <w:style w:type="character" w:styleId="Hyperlink">
    <w:name w:val="Hyperlink"/>
    <w:basedOn w:val="DefaultParagraphFont"/>
    <w:uiPriority w:val="99"/>
    <w:unhideWhenUsed/>
    <w:rsid w:val="003169B9"/>
    <w:rPr>
      <w:color w:val="0563C1" w:themeColor="hyperlink"/>
      <w:u w:val="single"/>
    </w:rPr>
  </w:style>
  <w:style w:type="paragraph" w:styleId="EndnoteText">
    <w:name w:val="endnote text"/>
    <w:basedOn w:val="Normal"/>
    <w:link w:val="EndnoteTextChar"/>
    <w:uiPriority w:val="99"/>
    <w:semiHidden/>
    <w:unhideWhenUsed/>
    <w:rsid w:val="008E2DFB"/>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E2DFB"/>
    <w:rPr>
      <w:sz w:val="20"/>
      <w:szCs w:val="20"/>
    </w:rPr>
  </w:style>
  <w:style w:type="character" w:styleId="EndnoteReference">
    <w:name w:val="endnote reference"/>
    <w:basedOn w:val="DefaultParagraphFont"/>
    <w:uiPriority w:val="99"/>
    <w:semiHidden/>
    <w:unhideWhenUsed/>
    <w:rsid w:val="008E2DFB"/>
    <w:rPr>
      <w:vertAlign w:val="superscript"/>
    </w:rPr>
  </w:style>
  <w:style w:type="character" w:styleId="FollowedHyperlink">
    <w:name w:val="FollowedHyperlink"/>
    <w:basedOn w:val="DefaultParagraphFont"/>
    <w:uiPriority w:val="99"/>
    <w:semiHidden/>
    <w:unhideWhenUsed/>
    <w:rsid w:val="001D1C2E"/>
    <w:rPr>
      <w:color w:val="954F72" w:themeColor="followedHyperlink"/>
      <w:u w:val="single"/>
    </w:rPr>
  </w:style>
  <w:style w:type="paragraph" w:customStyle="1" w:styleId="EndNoteBibliographyTitle">
    <w:name w:val="EndNote Bibliography Title"/>
    <w:basedOn w:val="Normal"/>
    <w:link w:val="EndNoteBibliographyTitleChar"/>
    <w:rsid w:val="00024243"/>
    <w:pPr>
      <w:spacing w:after="0"/>
      <w:jc w:val="center"/>
    </w:pPr>
    <w:rPr>
      <w:rFonts w:ascii="Calibri" w:hAnsi="Calibri"/>
      <w:noProof/>
      <w:lang w:val="en-US"/>
    </w:rPr>
  </w:style>
  <w:style w:type="character" w:customStyle="1" w:styleId="EndNoteBibliographyTitleChar">
    <w:name w:val="EndNote Bibliography Title Char"/>
    <w:basedOn w:val="DefaultParagraphFont"/>
    <w:link w:val="EndNoteBibliographyTitle"/>
    <w:rsid w:val="00024243"/>
    <w:rPr>
      <w:rFonts w:ascii="Calibri" w:hAnsi="Calibri"/>
      <w:noProof/>
      <w:lang w:val="en-US"/>
    </w:rPr>
  </w:style>
  <w:style w:type="paragraph" w:customStyle="1" w:styleId="EndNoteBibliography">
    <w:name w:val="EndNote Bibliography"/>
    <w:basedOn w:val="Normal"/>
    <w:link w:val="EndNoteBibliographyChar"/>
    <w:rsid w:val="00024243"/>
    <w:pPr>
      <w:spacing w:line="240" w:lineRule="auto"/>
    </w:pPr>
    <w:rPr>
      <w:rFonts w:ascii="Calibri" w:hAnsi="Calibri"/>
      <w:noProof/>
      <w:lang w:val="en-US"/>
    </w:rPr>
  </w:style>
  <w:style w:type="character" w:customStyle="1" w:styleId="EndNoteBibliographyChar">
    <w:name w:val="EndNote Bibliography Char"/>
    <w:basedOn w:val="DefaultParagraphFont"/>
    <w:link w:val="EndNoteBibliography"/>
    <w:rsid w:val="00024243"/>
    <w:rPr>
      <w:rFonts w:ascii="Calibri" w:hAnsi="Calibri"/>
      <w:noProof/>
      <w:lang w:val="en-US"/>
    </w:rPr>
  </w:style>
  <w:style w:type="character" w:customStyle="1" w:styleId="Heading3Char">
    <w:name w:val="Heading 3 Char"/>
    <w:basedOn w:val="DefaultParagraphFont"/>
    <w:link w:val="Heading3"/>
    <w:uiPriority w:val="9"/>
    <w:rsid w:val="00EC46C4"/>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1080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0808"/>
  </w:style>
  <w:style w:type="paragraph" w:styleId="Footer">
    <w:name w:val="footer"/>
    <w:basedOn w:val="Normal"/>
    <w:link w:val="FooterChar"/>
    <w:uiPriority w:val="99"/>
    <w:unhideWhenUsed/>
    <w:rsid w:val="0001080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0808"/>
  </w:style>
  <w:style w:type="character" w:styleId="Strong">
    <w:name w:val="Strong"/>
    <w:basedOn w:val="DefaultParagraphFont"/>
    <w:uiPriority w:val="22"/>
    <w:qFormat/>
    <w:rsid w:val="00010808"/>
    <w:rPr>
      <w:b/>
      <w:bCs/>
    </w:rPr>
  </w:style>
  <w:style w:type="character" w:styleId="LineNumber">
    <w:name w:val="line number"/>
    <w:basedOn w:val="DefaultParagraphFont"/>
    <w:uiPriority w:val="99"/>
    <w:semiHidden/>
    <w:unhideWhenUsed/>
    <w:rsid w:val="00CE29CF"/>
  </w:style>
  <w:style w:type="character" w:styleId="CommentReference">
    <w:name w:val="annotation reference"/>
    <w:basedOn w:val="DefaultParagraphFont"/>
    <w:uiPriority w:val="99"/>
    <w:semiHidden/>
    <w:unhideWhenUsed/>
    <w:rsid w:val="007D0E25"/>
    <w:rPr>
      <w:sz w:val="16"/>
      <w:szCs w:val="16"/>
    </w:rPr>
  </w:style>
  <w:style w:type="paragraph" w:styleId="CommentText">
    <w:name w:val="annotation text"/>
    <w:basedOn w:val="Normal"/>
    <w:link w:val="CommentTextChar"/>
    <w:uiPriority w:val="99"/>
    <w:semiHidden/>
    <w:unhideWhenUsed/>
    <w:rsid w:val="007D0E25"/>
    <w:pPr>
      <w:spacing w:line="240" w:lineRule="auto"/>
    </w:pPr>
    <w:rPr>
      <w:sz w:val="20"/>
      <w:szCs w:val="20"/>
    </w:rPr>
  </w:style>
  <w:style w:type="character" w:customStyle="1" w:styleId="CommentTextChar">
    <w:name w:val="Comment Text Char"/>
    <w:basedOn w:val="DefaultParagraphFont"/>
    <w:link w:val="CommentText"/>
    <w:uiPriority w:val="99"/>
    <w:semiHidden/>
    <w:rsid w:val="007D0E25"/>
    <w:rPr>
      <w:sz w:val="20"/>
      <w:szCs w:val="20"/>
    </w:rPr>
  </w:style>
  <w:style w:type="paragraph" w:styleId="CommentSubject">
    <w:name w:val="annotation subject"/>
    <w:basedOn w:val="CommentText"/>
    <w:next w:val="CommentText"/>
    <w:link w:val="CommentSubjectChar"/>
    <w:uiPriority w:val="99"/>
    <w:semiHidden/>
    <w:unhideWhenUsed/>
    <w:rsid w:val="007D0E25"/>
    <w:rPr>
      <w:b/>
      <w:bCs/>
    </w:rPr>
  </w:style>
  <w:style w:type="character" w:customStyle="1" w:styleId="CommentSubjectChar">
    <w:name w:val="Comment Subject Char"/>
    <w:basedOn w:val="CommentTextChar"/>
    <w:link w:val="CommentSubject"/>
    <w:uiPriority w:val="99"/>
    <w:semiHidden/>
    <w:rsid w:val="007D0E25"/>
    <w:rPr>
      <w:b/>
      <w:bCs/>
      <w:sz w:val="20"/>
      <w:szCs w:val="20"/>
    </w:rPr>
  </w:style>
  <w:style w:type="paragraph" w:styleId="BalloonText">
    <w:name w:val="Balloon Text"/>
    <w:basedOn w:val="Normal"/>
    <w:link w:val="BalloonTextChar"/>
    <w:uiPriority w:val="99"/>
    <w:semiHidden/>
    <w:unhideWhenUsed/>
    <w:rsid w:val="007D0E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0E25"/>
    <w:rPr>
      <w:rFonts w:ascii="Segoe UI" w:hAnsi="Segoe UI" w:cs="Segoe UI"/>
      <w:sz w:val="18"/>
      <w:szCs w:val="18"/>
    </w:rPr>
  </w:style>
  <w:style w:type="character" w:customStyle="1" w:styleId="cit">
    <w:name w:val="cit"/>
    <w:basedOn w:val="DefaultParagraphFont"/>
    <w:rsid w:val="00124E43"/>
  </w:style>
  <w:style w:type="paragraph" w:styleId="Revision">
    <w:name w:val="Revision"/>
    <w:hidden/>
    <w:uiPriority w:val="99"/>
    <w:semiHidden/>
    <w:rsid w:val="00281C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142438">
      <w:bodyDiv w:val="1"/>
      <w:marLeft w:val="0"/>
      <w:marRight w:val="0"/>
      <w:marTop w:val="0"/>
      <w:marBottom w:val="0"/>
      <w:divBdr>
        <w:top w:val="none" w:sz="0" w:space="0" w:color="auto"/>
        <w:left w:val="none" w:sz="0" w:space="0" w:color="auto"/>
        <w:bottom w:val="none" w:sz="0" w:space="0" w:color="auto"/>
        <w:right w:val="none" w:sz="0" w:space="0" w:color="auto"/>
      </w:divBdr>
    </w:div>
    <w:div w:id="410733485">
      <w:bodyDiv w:val="1"/>
      <w:marLeft w:val="0"/>
      <w:marRight w:val="0"/>
      <w:marTop w:val="0"/>
      <w:marBottom w:val="0"/>
      <w:divBdr>
        <w:top w:val="none" w:sz="0" w:space="0" w:color="auto"/>
        <w:left w:val="none" w:sz="0" w:space="0" w:color="auto"/>
        <w:bottom w:val="none" w:sz="0" w:space="0" w:color="auto"/>
        <w:right w:val="none" w:sz="0" w:space="0" w:color="auto"/>
      </w:divBdr>
    </w:div>
    <w:div w:id="603224483">
      <w:bodyDiv w:val="1"/>
      <w:marLeft w:val="0"/>
      <w:marRight w:val="0"/>
      <w:marTop w:val="0"/>
      <w:marBottom w:val="0"/>
      <w:divBdr>
        <w:top w:val="none" w:sz="0" w:space="0" w:color="auto"/>
        <w:left w:val="none" w:sz="0" w:space="0" w:color="auto"/>
        <w:bottom w:val="none" w:sz="0" w:space="0" w:color="auto"/>
        <w:right w:val="none" w:sz="0" w:space="0" w:color="auto"/>
      </w:divBdr>
    </w:div>
    <w:div w:id="752121518">
      <w:bodyDiv w:val="1"/>
      <w:marLeft w:val="0"/>
      <w:marRight w:val="0"/>
      <w:marTop w:val="0"/>
      <w:marBottom w:val="0"/>
      <w:divBdr>
        <w:top w:val="none" w:sz="0" w:space="0" w:color="auto"/>
        <w:left w:val="none" w:sz="0" w:space="0" w:color="auto"/>
        <w:bottom w:val="none" w:sz="0" w:space="0" w:color="auto"/>
        <w:right w:val="none" w:sz="0" w:space="0" w:color="auto"/>
      </w:divBdr>
    </w:div>
    <w:div w:id="818225491">
      <w:bodyDiv w:val="1"/>
      <w:marLeft w:val="0"/>
      <w:marRight w:val="0"/>
      <w:marTop w:val="0"/>
      <w:marBottom w:val="0"/>
      <w:divBdr>
        <w:top w:val="none" w:sz="0" w:space="0" w:color="auto"/>
        <w:left w:val="none" w:sz="0" w:space="0" w:color="auto"/>
        <w:bottom w:val="none" w:sz="0" w:space="0" w:color="auto"/>
        <w:right w:val="none" w:sz="0" w:space="0" w:color="auto"/>
      </w:divBdr>
    </w:div>
    <w:div w:id="978681274">
      <w:bodyDiv w:val="1"/>
      <w:marLeft w:val="0"/>
      <w:marRight w:val="0"/>
      <w:marTop w:val="0"/>
      <w:marBottom w:val="0"/>
      <w:divBdr>
        <w:top w:val="none" w:sz="0" w:space="0" w:color="auto"/>
        <w:left w:val="none" w:sz="0" w:space="0" w:color="auto"/>
        <w:bottom w:val="none" w:sz="0" w:space="0" w:color="auto"/>
        <w:right w:val="none" w:sz="0" w:space="0" w:color="auto"/>
      </w:divBdr>
    </w:div>
    <w:div w:id="986279009">
      <w:bodyDiv w:val="1"/>
      <w:marLeft w:val="0"/>
      <w:marRight w:val="0"/>
      <w:marTop w:val="0"/>
      <w:marBottom w:val="0"/>
      <w:divBdr>
        <w:top w:val="none" w:sz="0" w:space="0" w:color="auto"/>
        <w:left w:val="none" w:sz="0" w:space="0" w:color="auto"/>
        <w:bottom w:val="none" w:sz="0" w:space="0" w:color="auto"/>
        <w:right w:val="none" w:sz="0" w:space="0" w:color="auto"/>
      </w:divBdr>
      <w:divsChild>
        <w:div w:id="1474827741">
          <w:marLeft w:val="0"/>
          <w:marRight w:val="0"/>
          <w:marTop w:val="0"/>
          <w:marBottom w:val="0"/>
          <w:divBdr>
            <w:top w:val="none" w:sz="0" w:space="0" w:color="auto"/>
            <w:left w:val="none" w:sz="0" w:space="0" w:color="auto"/>
            <w:bottom w:val="none" w:sz="0" w:space="0" w:color="auto"/>
            <w:right w:val="none" w:sz="0" w:space="0" w:color="auto"/>
          </w:divBdr>
        </w:div>
      </w:divsChild>
    </w:div>
    <w:div w:id="1065762105">
      <w:bodyDiv w:val="1"/>
      <w:marLeft w:val="0"/>
      <w:marRight w:val="0"/>
      <w:marTop w:val="0"/>
      <w:marBottom w:val="0"/>
      <w:divBdr>
        <w:top w:val="none" w:sz="0" w:space="0" w:color="auto"/>
        <w:left w:val="none" w:sz="0" w:space="0" w:color="auto"/>
        <w:bottom w:val="none" w:sz="0" w:space="0" w:color="auto"/>
        <w:right w:val="none" w:sz="0" w:space="0" w:color="auto"/>
      </w:divBdr>
    </w:div>
    <w:div w:id="1101340715">
      <w:bodyDiv w:val="1"/>
      <w:marLeft w:val="0"/>
      <w:marRight w:val="0"/>
      <w:marTop w:val="0"/>
      <w:marBottom w:val="0"/>
      <w:divBdr>
        <w:top w:val="none" w:sz="0" w:space="0" w:color="auto"/>
        <w:left w:val="none" w:sz="0" w:space="0" w:color="auto"/>
        <w:bottom w:val="none" w:sz="0" w:space="0" w:color="auto"/>
        <w:right w:val="none" w:sz="0" w:space="0" w:color="auto"/>
      </w:divBdr>
    </w:div>
    <w:div w:id="1307734503">
      <w:bodyDiv w:val="1"/>
      <w:marLeft w:val="0"/>
      <w:marRight w:val="0"/>
      <w:marTop w:val="0"/>
      <w:marBottom w:val="0"/>
      <w:divBdr>
        <w:top w:val="none" w:sz="0" w:space="0" w:color="auto"/>
        <w:left w:val="none" w:sz="0" w:space="0" w:color="auto"/>
        <w:bottom w:val="none" w:sz="0" w:space="0" w:color="auto"/>
        <w:right w:val="none" w:sz="0" w:space="0" w:color="auto"/>
      </w:divBdr>
    </w:div>
    <w:div w:id="1412433841">
      <w:bodyDiv w:val="1"/>
      <w:marLeft w:val="0"/>
      <w:marRight w:val="0"/>
      <w:marTop w:val="0"/>
      <w:marBottom w:val="0"/>
      <w:divBdr>
        <w:top w:val="none" w:sz="0" w:space="0" w:color="auto"/>
        <w:left w:val="none" w:sz="0" w:space="0" w:color="auto"/>
        <w:bottom w:val="none" w:sz="0" w:space="0" w:color="auto"/>
        <w:right w:val="none" w:sz="0" w:space="0" w:color="auto"/>
      </w:divBdr>
    </w:div>
    <w:div w:id="1465924024">
      <w:bodyDiv w:val="1"/>
      <w:marLeft w:val="0"/>
      <w:marRight w:val="0"/>
      <w:marTop w:val="0"/>
      <w:marBottom w:val="0"/>
      <w:divBdr>
        <w:top w:val="none" w:sz="0" w:space="0" w:color="auto"/>
        <w:left w:val="none" w:sz="0" w:space="0" w:color="auto"/>
        <w:bottom w:val="none" w:sz="0" w:space="0" w:color="auto"/>
        <w:right w:val="none" w:sz="0" w:space="0" w:color="auto"/>
      </w:divBdr>
    </w:div>
    <w:div w:id="1547907868">
      <w:bodyDiv w:val="1"/>
      <w:marLeft w:val="0"/>
      <w:marRight w:val="0"/>
      <w:marTop w:val="0"/>
      <w:marBottom w:val="0"/>
      <w:divBdr>
        <w:top w:val="none" w:sz="0" w:space="0" w:color="auto"/>
        <w:left w:val="none" w:sz="0" w:space="0" w:color="auto"/>
        <w:bottom w:val="none" w:sz="0" w:space="0" w:color="auto"/>
        <w:right w:val="none" w:sz="0" w:space="0" w:color="auto"/>
      </w:divBdr>
    </w:div>
    <w:div w:id="1637687970">
      <w:bodyDiv w:val="1"/>
      <w:marLeft w:val="0"/>
      <w:marRight w:val="0"/>
      <w:marTop w:val="0"/>
      <w:marBottom w:val="0"/>
      <w:divBdr>
        <w:top w:val="none" w:sz="0" w:space="0" w:color="auto"/>
        <w:left w:val="none" w:sz="0" w:space="0" w:color="auto"/>
        <w:bottom w:val="none" w:sz="0" w:space="0" w:color="auto"/>
        <w:right w:val="none" w:sz="0" w:space="0" w:color="auto"/>
      </w:divBdr>
    </w:div>
    <w:div w:id="1719207502">
      <w:bodyDiv w:val="1"/>
      <w:marLeft w:val="0"/>
      <w:marRight w:val="0"/>
      <w:marTop w:val="0"/>
      <w:marBottom w:val="0"/>
      <w:divBdr>
        <w:top w:val="none" w:sz="0" w:space="0" w:color="auto"/>
        <w:left w:val="none" w:sz="0" w:space="0" w:color="auto"/>
        <w:bottom w:val="none" w:sz="0" w:space="0" w:color="auto"/>
        <w:right w:val="none" w:sz="0" w:space="0" w:color="auto"/>
      </w:divBdr>
    </w:div>
    <w:div w:id="1746762328">
      <w:bodyDiv w:val="1"/>
      <w:marLeft w:val="0"/>
      <w:marRight w:val="0"/>
      <w:marTop w:val="0"/>
      <w:marBottom w:val="0"/>
      <w:divBdr>
        <w:top w:val="none" w:sz="0" w:space="0" w:color="auto"/>
        <w:left w:val="none" w:sz="0" w:space="0" w:color="auto"/>
        <w:bottom w:val="none" w:sz="0" w:space="0" w:color="auto"/>
        <w:right w:val="none" w:sz="0" w:space="0" w:color="auto"/>
      </w:divBdr>
    </w:div>
    <w:div w:id="1766723764">
      <w:bodyDiv w:val="1"/>
      <w:marLeft w:val="0"/>
      <w:marRight w:val="0"/>
      <w:marTop w:val="0"/>
      <w:marBottom w:val="0"/>
      <w:divBdr>
        <w:top w:val="none" w:sz="0" w:space="0" w:color="auto"/>
        <w:left w:val="none" w:sz="0" w:space="0" w:color="auto"/>
        <w:bottom w:val="none" w:sz="0" w:space="0" w:color="auto"/>
        <w:right w:val="none" w:sz="0" w:space="0" w:color="auto"/>
      </w:divBdr>
    </w:div>
    <w:div w:id="1768188615">
      <w:bodyDiv w:val="1"/>
      <w:marLeft w:val="0"/>
      <w:marRight w:val="0"/>
      <w:marTop w:val="0"/>
      <w:marBottom w:val="0"/>
      <w:divBdr>
        <w:top w:val="none" w:sz="0" w:space="0" w:color="auto"/>
        <w:left w:val="none" w:sz="0" w:space="0" w:color="auto"/>
        <w:bottom w:val="none" w:sz="0" w:space="0" w:color="auto"/>
        <w:right w:val="none" w:sz="0" w:space="0" w:color="auto"/>
      </w:divBdr>
    </w:div>
    <w:div w:id="1875148518">
      <w:bodyDiv w:val="1"/>
      <w:marLeft w:val="0"/>
      <w:marRight w:val="0"/>
      <w:marTop w:val="0"/>
      <w:marBottom w:val="0"/>
      <w:divBdr>
        <w:top w:val="none" w:sz="0" w:space="0" w:color="auto"/>
        <w:left w:val="none" w:sz="0" w:space="0" w:color="auto"/>
        <w:bottom w:val="none" w:sz="0" w:space="0" w:color="auto"/>
        <w:right w:val="none" w:sz="0" w:space="0" w:color="auto"/>
      </w:divBdr>
    </w:div>
    <w:div w:id="1894274428">
      <w:bodyDiv w:val="1"/>
      <w:marLeft w:val="0"/>
      <w:marRight w:val="0"/>
      <w:marTop w:val="0"/>
      <w:marBottom w:val="0"/>
      <w:divBdr>
        <w:top w:val="none" w:sz="0" w:space="0" w:color="auto"/>
        <w:left w:val="none" w:sz="0" w:space="0" w:color="auto"/>
        <w:bottom w:val="none" w:sz="0" w:space="0" w:color="auto"/>
        <w:right w:val="none" w:sz="0" w:space="0" w:color="auto"/>
      </w:divBdr>
    </w:div>
    <w:div w:id="2051877346">
      <w:bodyDiv w:val="1"/>
      <w:marLeft w:val="0"/>
      <w:marRight w:val="0"/>
      <w:marTop w:val="0"/>
      <w:marBottom w:val="0"/>
      <w:divBdr>
        <w:top w:val="none" w:sz="0" w:space="0" w:color="auto"/>
        <w:left w:val="none" w:sz="0" w:space="0" w:color="auto"/>
        <w:bottom w:val="none" w:sz="0" w:space="0" w:color="auto"/>
        <w:right w:val="none" w:sz="0" w:space="0" w:color="auto"/>
      </w:divBdr>
    </w:div>
    <w:div w:id="2080326708">
      <w:bodyDiv w:val="1"/>
      <w:marLeft w:val="0"/>
      <w:marRight w:val="0"/>
      <w:marTop w:val="0"/>
      <w:marBottom w:val="0"/>
      <w:divBdr>
        <w:top w:val="none" w:sz="0" w:space="0" w:color="auto"/>
        <w:left w:val="none" w:sz="0" w:space="0" w:color="auto"/>
        <w:bottom w:val="none" w:sz="0" w:space="0" w:color="auto"/>
        <w:right w:val="none" w:sz="0" w:space="0" w:color="auto"/>
      </w:divBdr>
    </w:div>
    <w:div w:id="2103066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ronavirus.data.gov.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525870-5570-4CAB-8DD3-902886DA4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5925</Words>
  <Characters>33778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39624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Brendish N.J.</dc:creator>
  <cp:keywords/>
  <dc:description/>
  <cp:lastModifiedBy>Brendish N.J.</cp:lastModifiedBy>
  <cp:revision>3</cp:revision>
  <dcterms:created xsi:type="dcterms:W3CDTF">2020-09-29T08:21:00Z</dcterms:created>
  <dcterms:modified xsi:type="dcterms:W3CDTF">2020-09-29T08:22:00Z</dcterms:modified>
</cp:coreProperties>
</file>