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082A" w14:textId="77777777" w:rsidR="00FD066B" w:rsidRPr="00C4437F" w:rsidRDefault="00FD066B" w:rsidP="00FD066B">
      <w:pPr>
        <w:jc w:val="center"/>
        <w:rPr>
          <w:rFonts w:ascii="Gill Sans MT" w:hAnsi="Gill Sans MT" w:cs="Times New Roman"/>
          <w:b/>
          <w:color w:val="548DD4" w:themeColor="text2" w:themeTint="99"/>
          <w:sz w:val="32"/>
          <w:szCs w:val="32"/>
        </w:rPr>
      </w:pPr>
      <w:r w:rsidRPr="00C4437F">
        <w:rPr>
          <w:rFonts w:ascii="Gill Sans MT" w:hAnsi="Gill Sans MT" w:cs="Times New Roman"/>
          <w:b/>
          <w:color w:val="548DD4" w:themeColor="text2" w:themeTint="99"/>
          <w:sz w:val="32"/>
          <w:szCs w:val="32"/>
        </w:rPr>
        <w:t>Brexit Uncertainty and Volatility Persistence in Tourism Demand</w:t>
      </w:r>
      <w:r w:rsidRPr="00C4437F">
        <w:rPr>
          <w:rStyle w:val="FootnoteReference"/>
          <w:rFonts w:ascii="Gill Sans MT" w:hAnsi="Gill Sans MT" w:cs="Times New Roman"/>
          <w:b/>
          <w:color w:val="548DD4" w:themeColor="text2" w:themeTint="99"/>
          <w:sz w:val="32"/>
          <w:szCs w:val="32"/>
        </w:rPr>
        <w:footnoteReference w:id="1"/>
      </w:r>
    </w:p>
    <w:p w14:paraId="272EE9BC" w14:textId="77777777" w:rsidR="00FD066B" w:rsidRDefault="00FD066B" w:rsidP="00FD066B">
      <w:pPr>
        <w:pStyle w:val="NoSpacing"/>
        <w:jc w:val="center"/>
        <w:rPr>
          <w:rFonts w:ascii="Gill Sans MT" w:hAnsi="Gill Sans MT" w:cs="Times New Roman"/>
          <w:sz w:val="24"/>
          <w:szCs w:val="24"/>
        </w:rPr>
      </w:pPr>
    </w:p>
    <w:p w14:paraId="4DC986CC" w14:textId="77777777" w:rsidR="00FD066B" w:rsidRPr="000F7503" w:rsidRDefault="00FD066B" w:rsidP="00FD066B">
      <w:pPr>
        <w:pStyle w:val="NoSpacing"/>
        <w:jc w:val="center"/>
        <w:rPr>
          <w:rFonts w:ascii="Gill Sans MT" w:hAnsi="Gill Sans MT" w:cs="Times New Roman"/>
          <w:sz w:val="24"/>
          <w:szCs w:val="24"/>
          <w:vertAlign w:val="superscript"/>
        </w:rPr>
      </w:pPr>
      <w:r w:rsidRPr="000F7503">
        <w:rPr>
          <w:rFonts w:ascii="Gill Sans MT" w:hAnsi="Gill Sans MT" w:cs="Times New Roman"/>
          <w:sz w:val="24"/>
          <w:szCs w:val="24"/>
        </w:rPr>
        <w:t>Anupam Dutta</w:t>
      </w:r>
    </w:p>
    <w:p w14:paraId="47450E1C" w14:textId="77777777" w:rsidR="00FD066B" w:rsidRPr="000F7503" w:rsidRDefault="00FD066B" w:rsidP="00FD066B">
      <w:pPr>
        <w:pStyle w:val="NoSpacing"/>
        <w:jc w:val="center"/>
        <w:rPr>
          <w:rFonts w:ascii="Gill Sans MT" w:hAnsi="Gill Sans MT" w:cs="Times New Roman"/>
          <w:sz w:val="24"/>
          <w:szCs w:val="24"/>
        </w:rPr>
      </w:pPr>
      <w:r w:rsidRPr="000F7503">
        <w:rPr>
          <w:rFonts w:ascii="Gill Sans MT" w:hAnsi="Gill Sans MT" w:cs="Times New Roman"/>
          <w:sz w:val="24"/>
          <w:szCs w:val="24"/>
        </w:rPr>
        <w:t>School of Accounting and Finance, University of Vaasa, Vaasa, Finland.</w:t>
      </w:r>
    </w:p>
    <w:p w14:paraId="3F3B2562" w14:textId="77777777" w:rsidR="00FD066B" w:rsidRPr="000F7503" w:rsidRDefault="00FD066B" w:rsidP="00FD066B">
      <w:pPr>
        <w:pStyle w:val="NoSpacing"/>
        <w:jc w:val="center"/>
        <w:rPr>
          <w:rFonts w:ascii="Gill Sans MT" w:hAnsi="Gill Sans MT" w:cs="Times New Roman"/>
          <w:sz w:val="24"/>
          <w:szCs w:val="24"/>
        </w:rPr>
      </w:pPr>
    </w:p>
    <w:p w14:paraId="5B15F8F1" w14:textId="77777777" w:rsidR="00FD066B" w:rsidRPr="000F7503" w:rsidRDefault="00FD066B" w:rsidP="00FD066B">
      <w:pPr>
        <w:pStyle w:val="NoSpacing"/>
        <w:jc w:val="center"/>
        <w:rPr>
          <w:rFonts w:ascii="Gill Sans MT" w:hAnsi="Gill Sans MT" w:cs="Times New Roman"/>
          <w:sz w:val="24"/>
          <w:szCs w:val="24"/>
        </w:rPr>
      </w:pPr>
      <w:r w:rsidRPr="000F7503">
        <w:rPr>
          <w:rFonts w:ascii="Gill Sans MT" w:hAnsi="Gill Sans MT" w:cs="Times New Roman"/>
          <w:sz w:val="24"/>
          <w:szCs w:val="24"/>
        </w:rPr>
        <w:t>Tapas Mishra</w:t>
      </w:r>
    </w:p>
    <w:p w14:paraId="74FC154E" w14:textId="77777777" w:rsidR="00FD066B" w:rsidRPr="000F7503" w:rsidRDefault="00FD066B" w:rsidP="00FD066B">
      <w:pPr>
        <w:pStyle w:val="NoSpacing"/>
        <w:jc w:val="center"/>
        <w:rPr>
          <w:rFonts w:ascii="Gill Sans MT" w:hAnsi="Gill Sans MT" w:cs="Times New Roman"/>
          <w:color w:val="212121"/>
          <w:sz w:val="24"/>
          <w:szCs w:val="24"/>
          <w:shd w:val="clear" w:color="auto" w:fill="FFFFFF"/>
        </w:rPr>
      </w:pPr>
      <w:r w:rsidRPr="000F7503">
        <w:rPr>
          <w:rFonts w:ascii="Gill Sans MT" w:hAnsi="Gill Sans MT" w:cs="Times New Roman"/>
          <w:color w:val="212121"/>
          <w:sz w:val="24"/>
          <w:szCs w:val="24"/>
          <w:shd w:val="clear" w:color="auto" w:fill="FFFFFF"/>
        </w:rPr>
        <w:t>Southampton Business School, Southampton University, Southampton, UK.</w:t>
      </w:r>
    </w:p>
    <w:p w14:paraId="05CA56C9" w14:textId="77777777" w:rsidR="00FD066B" w:rsidRPr="000F7503" w:rsidRDefault="00FD066B" w:rsidP="00FD066B">
      <w:pPr>
        <w:pStyle w:val="NoSpacing"/>
        <w:jc w:val="center"/>
        <w:rPr>
          <w:rFonts w:ascii="Gill Sans MT" w:hAnsi="Gill Sans MT" w:cs="Times New Roman"/>
          <w:color w:val="333333"/>
          <w:sz w:val="24"/>
          <w:szCs w:val="24"/>
          <w:shd w:val="clear" w:color="auto" w:fill="FFFFFF"/>
        </w:rPr>
      </w:pPr>
    </w:p>
    <w:p w14:paraId="3E7023D4" w14:textId="77777777" w:rsidR="00FD066B" w:rsidRPr="000F7503" w:rsidRDefault="00FD066B" w:rsidP="00FD066B">
      <w:pPr>
        <w:pStyle w:val="NoSpacing"/>
        <w:jc w:val="center"/>
        <w:rPr>
          <w:rFonts w:ascii="Gill Sans MT" w:hAnsi="Gill Sans MT" w:cs="Times New Roman"/>
          <w:sz w:val="24"/>
          <w:szCs w:val="24"/>
          <w:vertAlign w:val="superscript"/>
        </w:rPr>
      </w:pPr>
      <w:r w:rsidRPr="000F7503">
        <w:rPr>
          <w:rFonts w:ascii="Gill Sans MT" w:hAnsi="Gill Sans MT" w:cs="Times New Roman"/>
          <w:sz w:val="24"/>
          <w:szCs w:val="24"/>
        </w:rPr>
        <w:t>Gazi Salah Uddin</w:t>
      </w:r>
    </w:p>
    <w:p w14:paraId="6F1B4871" w14:textId="77777777" w:rsidR="00FD066B" w:rsidRPr="000F7503" w:rsidRDefault="00FD066B" w:rsidP="00FD066B">
      <w:pPr>
        <w:pStyle w:val="NoSpacing"/>
        <w:jc w:val="center"/>
        <w:rPr>
          <w:rFonts w:ascii="Gill Sans MT" w:hAnsi="Gill Sans MT" w:cs="Times New Roman"/>
          <w:sz w:val="24"/>
          <w:szCs w:val="24"/>
        </w:rPr>
      </w:pPr>
      <w:r w:rsidRPr="000F7503">
        <w:rPr>
          <w:rFonts w:ascii="Gill Sans MT" w:hAnsi="Gill Sans MT" w:cs="Times New Roman"/>
          <w:sz w:val="24"/>
          <w:szCs w:val="24"/>
        </w:rPr>
        <w:t>Department of Management and Engineering, Linköping University, Linköping, Sweden.</w:t>
      </w:r>
    </w:p>
    <w:p w14:paraId="04B6FB62" w14:textId="77777777" w:rsidR="00FD066B" w:rsidRPr="000F7503" w:rsidRDefault="00FD066B" w:rsidP="00FD066B">
      <w:pPr>
        <w:pStyle w:val="NoSpacing"/>
        <w:jc w:val="center"/>
        <w:rPr>
          <w:rFonts w:ascii="Gill Sans MT" w:hAnsi="Gill Sans MT" w:cs="Times New Roman"/>
          <w:sz w:val="24"/>
          <w:szCs w:val="24"/>
          <w:lang w:val="fr-FR"/>
        </w:rPr>
      </w:pPr>
    </w:p>
    <w:p w14:paraId="7AD69A77" w14:textId="77777777" w:rsidR="00FD066B" w:rsidRPr="000F7503" w:rsidRDefault="00FD066B" w:rsidP="00FD066B">
      <w:pPr>
        <w:pStyle w:val="NoSpacing"/>
        <w:jc w:val="center"/>
        <w:rPr>
          <w:rFonts w:ascii="Gill Sans MT" w:hAnsi="Gill Sans MT" w:cs="Times New Roman"/>
          <w:sz w:val="24"/>
          <w:szCs w:val="24"/>
          <w:lang w:val="fr-FR"/>
        </w:rPr>
      </w:pPr>
      <w:r w:rsidRPr="000F7503">
        <w:rPr>
          <w:rFonts w:ascii="Gill Sans MT" w:hAnsi="Gill Sans MT" w:cs="Times New Roman"/>
          <w:sz w:val="24"/>
          <w:szCs w:val="24"/>
          <w:lang w:val="fr-FR"/>
        </w:rPr>
        <w:t xml:space="preserve">Yang </w:t>
      </w:r>
      <w:proofErr w:type="spellStart"/>
      <w:r w:rsidRPr="000F7503">
        <w:rPr>
          <w:rFonts w:ascii="Gill Sans MT" w:hAnsi="Gill Sans MT" w:cs="Times New Roman"/>
          <w:sz w:val="24"/>
          <w:szCs w:val="24"/>
          <w:lang w:val="fr-FR"/>
        </w:rPr>
        <w:t>Yang</w:t>
      </w:r>
      <w:proofErr w:type="spellEnd"/>
    </w:p>
    <w:p w14:paraId="15F0CC75" w14:textId="77777777" w:rsidR="00FD066B" w:rsidRPr="000F7503" w:rsidRDefault="00FD066B" w:rsidP="00FD066B">
      <w:pPr>
        <w:pStyle w:val="NoSpacing"/>
        <w:jc w:val="center"/>
        <w:rPr>
          <w:rFonts w:ascii="Gill Sans MT" w:hAnsi="Gill Sans MT" w:cs="Times New Roman"/>
          <w:sz w:val="24"/>
          <w:szCs w:val="24"/>
        </w:rPr>
      </w:pPr>
      <w:r w:rsidRPr="000F7503">
        <w:rPr>
          <w:rFonts w:ascii="Gill Sans MT" w:hAnsi="Gill Sans MT" w:cs="Times New Roman"/>
          <w:sz w:val="24"/>
          <w:szCs w:val="24"/>
        </w:rPr>
        <w:t>Department of Tourism and Hospitality Management, Temple University, Philadelphia, USA.</w:t>
      </w:r>
    </w:p>
    <w:p w14:paraId="51E0567B" w14:textId="77777777" w:rsidR="00FD066B" w:rsidRPr="000F7503" w:rsidRDefault="00FD066B" w:rsidP="00FD066B">
      <w:pPr>
        <w:jc w:val="center"/>
        <w:rPr>
          <w:rFonts w:ascii="Gill Sans MT" w:hAnsi="Gill Sans MT" w:cs="Times New Roman"/>
          <w:b/>
          <w:sz w:val="24"/>
          <w:szCs w:val="24"/>
        </w:rPr>
      </w:pPr>
    </w:p>
    <w:p w14:paraId="26628C72" w14:textId="77777777" w:rsidR="00FD066B" w:rsidRPr="000F7503" w:rsidRDefault="00FD066B" w:rsidP="00FD066B">
      <w:pPr>
        <w:jc w:val="center"/>
        <w:rPr>
          <w:rFonts w:ascii="Gill Sans MT" w:hAnsi="Gill Sans MT" w:cs="Times New Roman"/>
          <w:sz w:val="24"/>
          <w:szCs w:val="24"/>
        </w:rPr>
      </w:pPr>
      <w:r w:rsidRPr="000F7503">
        <w:rPr>
          <w:rFonts w:ascii="Gill Sans MT" w:hAnsi="Gill Sans MT" w:cs="Times New Roman"/>
          <w:b/>
          <w:sz w:val="24"/>
          <w:szCs w:val="24"/>
        </w:rPr>
        <w:t>Abstract</w:t>
      </w:r>
    </w:p>
    <w:p w14:paraId="2DB2AA23" w14:textId="77777777" w:rsidR="00FD066B" w:rsidRPr="00C4437F" w:rsidRDefault="00FD066B" w:rsidP="00FD066B">
      <w:pPr>
        <w:spacing w:line="360" w:lineRule="auto"/>
        <w:jc w:val="both"/>
        <w:rPr>
          <w:rFonts w:ascii="Gill Sans MT" w:hAnsi="Gill Sans MT" w:cs="Times New Roman"/>
          <w:color w:val="548DD4" w:themeColor="text2" w:themeTint="99"/>
          <w:sz w:val="24"/>
          <w:szCs w:val="24"/>
        </w:rPr>
      </w:pPr>
      <w:r w:rsidRPr="00C4437F">
        <w:rPr>
          <w:rFonts w:ascii="Gill Sans MT" w:hAnsi="Gill Sans MT" w:cs="Times New Roman"/>
          <w:color w:val="548DD4" w:themeColor="text2" w:themeTint="99"/>
          <w:sz w:val="24"/>
          <w:szCs w:val="24"/>
        </w:rPr>
        <w:t>Tourism has emerged as one of the leading components of aggregate economic growth in most developed economies, especially in the UK, where it is predicted to grow at an annual rate of 3.8% through 2025</w:t>
      </w:r>
      <w:r>
        <w:rPr>
          <w:rFonts w:ascii="Gill Sans MT" w:hAnsi="Gill Sans MT" w:cs="Times New Roman"/>
          <w:color w:val="548DD4" w:themeColor="text2" w:themeTint="99"/>
          <w:sz w:val="24"/>
          <w:szCs w:val="24"/>
        </w:rPr>
        <w:t>.</w:t>
      </w:r>
      <w:r w:rsidRPr="00C4437F">
        <w:rPr>
          <w:rFonts w:ascii="Gill Sans MT" w:hAnsi="Gill Sans MT" w:cs="Times New Roman"/>
          <w:color w:val="548DD4" w:themeColor="text2" w:themeTint="99"/>
          <w:sz w:val="24"/>
          <w:szCs w:val="24"/>
        </w:rPr>
        <w:t xml:space="preserve"> Because tourism demand represents individuals’ choice between leisure and work, a persistence of negative shocks, such as Brexit uncertainty, can be detrimental to the growth of tourism</w:t>
      </w:r>
      <w:r>
        <w:rPr>
          <w:rFonts w:ascii="Gill Sans MT" w:hAnsi="Gill Sans MT" w:cs="Times New Roman"/>
          <w:color w:val="548DD4" w:themeColor="text2" w:themeTint="99"/>
          <w:sz w:val="24"/>
          <w:szCs w:val="24"/>
        </w:rPr>
        <w:t xml:space="preserve"> via its</w:t>
      </w:r>
      <w:r w:rsidRPr="00C4437F">
        <w:rPr>
          <w:rFonts w:ascii="Gill Sans MT" w:hAnsi="Gill Sans MT" w:cs="Times New Roman"/>
          <w:color w:val="548DD4" w:themeColor="text2" w:themeTint="99"/>
          <w:sz w:val="24"/>
          <w:szCs w:val="24"/>
        </w:rPr>
        <w:t xml:space="preserve"> impact </w:t>
      </w:r>
      <w:r>
        <w:rPr>
          <w:rFonts w:ascii="Gill Sans MT" w:hAnsi="Gill Sans MT" w:cs="Times New Roman"/>
          <w:color w:val="548DD4" w:themeColor="text2" w:themeTint="99"/>
          <w:sz w:val="24"/>
          <w:szCs w:val="24"/>
        </w:rPr>
        <w:t xml:space="preserve">on </w:t>
      </w:r>
      <w:r w:rsidRPr="00C4437F">
        <w:rPr>
          <w:rFonts w:ascii="Gill Sans MT" w:hAnsi="Gill Sans MT" w:cs="Times New Roman"/>
          <w:color w:val="548DD4" w:themeColor="text2" w:themeTint="99"/>
          <w:sz w:val="24"/>
          <w:szCs w:val="24"/>
        </w:rPr>
        <w:t xml:space="preserve">agents’ utility function of a directed consumption of leisure for a specific country. This paper fills a gap in the literature by providing an econometric estimate of time-varying volatility in tourism demand following Brexit-driven Economic Policy Uncertainty. Using seasonally adjusted and </w:t>
      </w:r>
      <w:r>
        <w:rPr>
          <w:rFonts w:ascii="Gill Sans MT" w:hAnsi="Gill Sans MT" w:cs="Times New Roman"/>
          <w:color w:val="548DD4" w:themeColor="text2" w:themeTint="99"/>
          <w:sz w:val="24"/>
          <w:szCs w:val="24"/>
        </w:rPr>
        <w:t>trend-extracted</w:t>
      </w:r>
      <w:r w:rsidRPr="00C4437F">
        <w:rPr>
          <w:rFonts w:ascii="Gill Sans MT" w:hAnsi="Gill Sans MT" w:cs="Times New Roman"/>
          <w:color w:val="548DD4" w:themeColor="text2" w:themeTint="99"/>
          <w:sz w:val="24"/>
          <w:szCs w:val="24"/>
        </w:rPr>
        <w:t xml:space="preserve"> touris</w:t>
      </w:r>
      <w:r>
        <w:rPr>
          <w:rFonts w:ascii="Gill Sans MT" w:hAnsi="Gill Sans MT" w:cs="Times New Roman"/>
          <w:color w:val="548DD4" w:themeColor="text2" w:themeTint="99"/>
          <w:sz w:val="24"/>
          <w:szCs w:val="24"/>
        </w:rPr>
        <w:t xml:space="preserve">t arrival series along with </w:t>
      </w:r>
      <w:r w:rsidRPr="00C4437F">
        <w:rPr>
          <w:rFonts w:ascii="Gill Sans MT" w:hAnsi="Gill Sans MT" w:cs="Times New Roman"/>
          <w:color w:val="548DD4" w:themeColor="text2" w:themeTint="99"/>
          <w:sz w:val="24"/>
          <w:szCs w:val="24"/>
        </w:rPr>
        <w:t>Brexit uncertainty</w:t>
      </w:r>
      <w:r>
        <w:rPr>
          <w:rFonts w:ascii="Gill Sans MT" w:hAnsi="Gill Sans MT" w:cs="Times New Roman"/>
          <w:color w:val="548DD4" w:themeColor="text2" w:themeTint="99"/>
          <w:sz w:val="24"/>
          <w:szCs w:val="24"/>
        </w:rPr>
        <w:t xml:space="preserve">, we </w:t>
      </w:r>
      <w:r w:rsidRPr="00C4437F">
        <w:rPr>
          <w:rFonts w:ascii="Gill Sans MT" w:hAnsi="Gill Sans MT" w:cs="Times New Roman"/>
          <w:color w:val="548DD4" w:themeColor="text2" w:themeTint="99"/>
          <w:sz w:val="24"/>
          <w:szCs w:val="24"/>
        </w:rPr>
        <w:t xml:space="preserve">find a strong evidence of long-run persistence in </w:t>
      </w:r>
      <w:r>
        <w:rPr>
          <w:rFonts w:ascii="Gill Sans MT" w:hAnsi="Gill Sans MT" w:cs="Times New Roman"/>
          <w:color w:val="548DD4" w:themeColor="text2" w:themeTint="99"/>
          <w:sz w:val="24"/>
          <w:szCs w:val="24"/>
        </w:rPr>
        <w:t xml:space="preserve">(asymmetric) </w:t>
      </w:r>
      <w:r w:rsidRPr="00C4437F">
        <w:rPr>
          <w:rFonts w:ascii="Gill Sans MT" w:hAnsi="Gill Sans MT" w:cs="Times New Roman"/>
          <w:color w:val="548DD4" w:themeColor="text2" w:themeTint="99"/>
          <w:sz w:val="24"/>
          <w:szCs w:val="24"/>
        </w:rPr>
        <w:t>volatility in tourist arrival</w:t>
      </w:r>
      <w:r>
        <w:rPr>
          <w:rFonts w:ascii="Gill Sans MT" w:hAnsi="Gill Sans MT" w:cs="Times New Roman"/>
          <w:color w:val="548DD4" w:themeColor="text2" w:themeTint="99"/>
          <w:sz w:val="24"/>
          <w:szCs w:val="24"/>
        </w:rPr>
        <w:t xml:space="preserve">. </w:t>
      </w:r>
      <w:r w:rsidRPr="00C4437F">
        <w:rPr>
          <w:rFonts w:ascii="Gill Sans MT" w:hAnsi="Gill Sans MT" w:cs="Times New Roman"/>
          <w:color w:val="548DD4" w:themeColor="text2" w:themeTint="99"/>
          <w:sz w:val="24"/>
          <w:szCs w:val="24"/>
        </w:rPr>
        <w:t xml:space="preserve">In particular, the BREXIT referendum </w:t>
      </w:r>
      <w:r>
        <w:rPr>
          <w:rFonts w:ascii="Gill Sans MT" w:hAnsi="Gill Sans MT" w:cs="Times New Roman"/>
          <w:color w:val="548DD4" w:themeColor="text2" w:themeTint="99"/>
          <w:sz w:val="24"/>
          <w:szCs w:val="24"/>
        </w:rPr>
        <w:t xml:space="preserve">appeared </w:t>
      </w:r>
      <w:r w:rsidRPr="00C4437F">
        <w:rPr>
          <w:rFonts w:ascii="Gill Sans MT" w:hAnsi="Gill Sans MT" w:cs="Times New Roman"/>
          <w:color w:val="548DD4" w:themeColor="text2" w:themeTint="99"/>
          <w:sz w:val="24"/>
          <w:szCs w:val="24"/>
        </w:rPr>
        <w:t>to create ambiguity among international visitors to the UK. Our results have important policy implication.</w:t>
      </w:r>
    </w:p>
    <w:p w14:paraId="005EB0A7" w14:textId="7750950C" w:rsidR="004976DE" w:rsidRPr="00434156" w:rsidRDefault="00FD066B" w:rsidP="00FD066B">
      <w:pPr>
        <w:spacing w:line="360" w:lineRule="auto"/>
        <w:jc w:val="both"/>
        <w:rPr>
          <w:rFonts w:ascii="Gill Sans MT" w:hAnsi="Gill Sans MT" w:cs="Times New Roman"/>
          <w:b/>
          <w:bCs/>
          <w:sz w:val="24"/>
          <w:szCs w:val="24"/>
        </w:rPr>
      </w:pPr>
      <w:r w:rsidRPr="000F7503">
        <w:rPr>
          <w:rFonts w:ascii="Gill Sans MT" w:hAnsi="Gill Sans MT" w:cs="Times New Roman"/>
          <w:b/>
          <w:sz w:val="24"/>
          <w:szCs w:val="24"/>
        </w:rPr>
        <w:lastRenderedPageBreak/>
        <w:t>Keywords</w:t>
      </w:r>
      <w:r w:rsidRPr="000F7503">
        <w:rPr>
          <w:rFonts w:ascii="Gill Sans MT" w:hAnsi="Gill Sans MT" w:cs="Times New Roman"/>
          <w:sz w:val="24"/>
          <w:szCs w:val="24"/>
        </w:rPr>
        <w:t xml:space="preserve">: </w:t>
      </w:r>
      <w:r>
        <w:rPr>
          <w:rFonts w:ascii="Gill Sans MT" w:hAnsi="Gill Sans MT" w:cs="Times New Roman"/>
          <w:sz w:val="24"/>
          <w:szCs w:val="24"/>
        </w:rPr>
        <w:t>T</w:t>
      </w:r>
      <w:r w:rsidRPr="000F7503">
        <w:rPr>
          <w:rFonts w:ascii="Gill Sans MT" w:hAnsi="Gill Sans MT" w:cs="Times New Roman"/>
          <w:sz w:val="24"/>
          <w:szCs w:val="24"/>
        </w:rPr>
        <w:t>ourism demand; asymmetric GARCH; structural breaks; volatility persistence; Brexit</w:t>
      </w:r>
      <w:r>
        <w:rPr>
          <w:rFonts w:ascii="Gill Sans MT" w:hAnsi="Gill Sans MT" w:cs="Times New Roman"/>
          <w:sz w:val="24"/>
          <w:szCs w:val="24"/>
        </w:rPr>
        <w:t>; Hamilton Filter</w:t>
      </w:r>
      <w:r w:rsidR="00924BA6" w:rsidRPr="00434156">
        <w:rPr>
          <w:rFonts w:ascii="Gill Sans MT" w:hAnsi="Gill Sans MT" w:cs="Times New Roman"/>
          <w:sz w:val="24"/>
          <w:szCs w:val="24"/>
        </w:rPr>
        <w:br w:type="page"/>
      </w:r>
      <w:r w:rsidR="004976DE" w:rsidRPr="00434156">
        <w:rPr>
          <w:rFonts w:ascii="Gill Sans MT" w:hAnsi="Gill Sans MT" w:cs="Times New Roman"/>
          <w:b/>
          <w:bCs/>
          <w:sz w:val="24"/>
          <w:szCs w:val="24"/>
        </w:rPr>
        <w:lastRenderedPageBreak/>
        <w:t>Introduction</w:t>
      </w:r>
    </w:p>
    <w:p w14:paraId="1CEC584F" w14:textId="3D760A91" w:rsidR="00EC3D38" w:rsidRPr="00434156" w:rsidRDefault="00B37093" w:rsidP="004976DE">
      <w:pPr>
        <w:spacing w:line="480" w:lineRule="auto"/>
        <w:jc w:val="both"/>
        <w:rPr>
          <w:rFonts w:ascii="Gill Sans MT" w:hAnsi="Gill Sans MT" w:cs="Times New Roman"/>
          <w:sz w:val="24"/>
          <w:szCs w:val="24"/>
        </w:rPr>
      </w:pPr>
      <w:r w:rsidRPr="00434156">
        <w:rPr>
          <w:rFonts w:ascii="Gill Sans MT" w:hAnsi="Gill Sans MT" w:cs="Times New Roman"/>
          <w:sz w:val="24"/>
          <w:szCs w:val="24"/>
        </w:rPr>
        <w:t>Lately, t</w:t>
      </w:r>
      <w:r w:rsidR="00FE2C71" w:rsidRPr="00434156">
        <w:rPr>
          <w:rFonts w:ascii="Gill Sans MT" w:hAnsi="Gill Sans MT" w:cs="Times New Roman"/>
          <w:sz w:val="24"/>
          <w:szCs w:val="24"/>
        </w:rPr>
        <w:t xml:space="preserve">ourism growth </w:t>
      </w:r>
      <w:r w:rsidRPr="00434156">
        <w:rPr>
          <w:rFonts w:ascii="Gill Sans MT" w:hAnsi="Gill Sans MT" w:cs="Times New Roman"/>
          <w:sz w:val="24"/>
          <w:szCs w:val="24"/>
        </w:rPr>
        <w:t xml:space="preserve">is </w:t>
      </w:r>
      <w:r w:rsidR="00F06106" w:rsidRPr="00434156">
        <w:rPr>
          <w:rFonts w:ascii="Gill Sans MT" w:hAnsi="Gill Sans MT" w:cs="Times New Roman"/>
          <w:sz w:val="24"/>
          <w:szCs w:val="24"/>
        </w:rPr>
        <w:t>recognized</w:t>
      </w:r>
      <w:r w:rsidR="00FE2C71" w:rsidRPr="00434156">
        <w:rPr>
          <w:rFonts w:ascii="Gill Sans MT" w:hAnsi="Gill Sans MT" w:cs="Times New Roman"/>
          <w:sz w:val="24"/>
          <w:szCs w:val="24"/>
        </w:rPr>
        <w:t xml:space="preserve"> as a fundamental driver of economic growth across nations</w:t>
      </w:r>
      <w:r w:rsidR="00BE3F2A" w:rsidRPr="00434156">
        <w:rPr>
          <w:rFonts w:ascii="Gill Sans MT" w:hAnsi="Gill Sans MT" w:cs="Times New Roman"/>
          <w:sz w:val="24"/>
          <w:szCs w:val="24"/>
        </w:rPr>
        <w:t xml:space="preserve"> worldwide</w:t>
      </w:r>
      <w:r w:rsidR="00FE2C71" w:rsidRPr="00434156">
        <w:rPr>
          <w:rFonts w:ascii="Gill Sans MT" w:hAnsi="Gill Sans MT" w:cs="Times New Roman"/>
          <w:sz w:val="24"/>
          <w:szCs w:val="24"/>
        </w:rPr>
        <w:t xml:space="preserve">. A recent study by Deloitte showed that for every 1% increase in total expenditure in UK tourism, a </w:t>
      </w:r>
      <w:r w:rsidR="004D4673" w:rsidRPr="00434156">
        <w:rPr>
          <w:rFonts w:ascii="Gill Sans MT" w:hAnsi="Gill Sans MT" w:cs="Times New Roman"/>
          <w:sz w:val="24"/>
          <w:szCs w:val="24"/>
        </w:rPr>
        <w:t>full-</w:t>
      </w:r>
      <w:r w:rsidR="00FE2C71" w:rsidRPr="00434156">
        <w:rPr>
          <w:rFonts w:ascii="Gill Sans MT" w:hAnsi="Gill Sans MT" w:cs="Times New Roman"/>
          <w:sz w:val="24"/>
          <w:szCs w:val="24"/>
        </w:rPr>
        <w:t xml:space="preserve">time equivalent employment </w:t>
      </w:r>
      <w:r w:rsidR="00E6072F" w:rsidRPr="00434156">
        <w:rPr>
          <w:rFonts w:ascii="Gill Sans MT" w:hAnsi="Gill Sans MT" w:cs="Times New Roman"/>
          <w:sz w:val="24"/>
          <w:szCs w:val="24"/>
        </w:rPr>
        <w:t xml:space="preserve">raises by 0.89%. Due to its centrality in achieving ‘sustainable’ economic growth, a robust body of literature in recent years has focused on </w:t>
      </w:r>
      <w:r w:rsidR="006B3916" w:rsidRPr="00434156">
        <w:rPr>
          <w:rFonts w:ascii="Gill Sans MT" w:hAnsi="Gill Sans MT" w:cs="Times New Roman"/>
          <w:sz w:val="24"/>
          <w:szCs w:val="24"/>
        </w:rPr>
        <w:t>construction and estimation</w:t>
      </w:r>
      <w:r w:rsidR="00E6072F" w:rsidRPr="00434156">
        <w:rPr>
          <w:rFonts w:ascii="Gill Sans MT" w:hAnsi="Gill Sans MT" w:cs="Times New Roman"/>
          <w:sz w:val="24"/>
          <w:szCs w:val="24"/>
        </w:rPr>
        <w:t xml:space="preserve"> of</w:t>
      </w:r>
      <w:r w:rsidR="006B3916" w:rsidRPr="00434156">
        <w:rPr>
          <w:rFonts w:ascii="Gill Sans MT" w:hAnsi="Gill Sans MT" w:cs="Times New Roman"/>
          <w:sz w:val="24"/>
          <w:szCs w:val="24"/>
        </w:rPr>
        <w:t xml:space="preserve"> tourism demand function has dominated the </w:t>
      </w:r>
      <w:r w:rsidR="00F668DF" w:rsidRPr="00434156">
        <w:rPr>
          <w:rFonts w:ascii="Gill Sans MT" w:hAnsi="Gill Sans MT" w:cs="Times New Roman"/>
          <w:sz w:val="24"/>
          <w:szCs w:val="24"/>
        </w:rPr>
        <w:t xml:space="preserve">recent </w:t>
      </w:r>
      <w:r w:rsidR="006B3916" w:rsidRPr="00434156">
        <w:rPr>
          <w:rFonts w:ascii="Gill Sans MT" w:hAnsi="Gill Sans MT" w:cs="Times New Roman"/>
          <w:sz w:val="24"/>
          <w:szCs w:val="24"/>
        </w:rPr>
        <w:t>li</w:t>
      </w:r>
      <w:r w:rsidR="00F668DF" w:rsidRPr="00434156">
        <w:rPr>
          <w:rFonts w:ascii="Gill Sans MT" w:hAnsi="Gill Sans MT" w:cs="Times New Roman"/>
          <w:sz w:val="24"/>
          <w:szCs w:val="24"/>
        </w:rPr>
        <w:t>terature</w:t>
      </w:r>
      <w:r w:rsidR="000E4214" w:rsidRPr="00434156">
        <w:rPr>
          <w:rFonts w:ascii="Gill Sans MT" w:hAnsi="Gill Sans MT" w:cs="Times New Roman"/>
          <w:sz w:val="24"/>
          <w:szCs w:val="24"/>
        </w:rPr>
        <w:t>, a neglected dimension</w:t>
      </w:r>
      <w:r w:rsidR="00534F41" w:rsidRPr="00434156">
        <w:rPr>
          <w:rFonts w:ascii="Gill Sans MT" w:hAnsi="Gill Sans MT" w:cs="Times New Roman"/>
          <w:sz w:val="24"/>
          <w:szCs w:val="24"/>
        </w:rPr>
        <w:t xml:space="preserve"> that</w:t>
      </w:r>
      <w:r w:rsidR="000E4214" w:rsidRPr="00434156">
        <w:rPr>
          <w:rFonts w:ascii="Gill Sans MT" w:hAnsi="Gill Sans MT" w:cs="Times New Roman"/>
          <w:sz w:val="24"/>
          <w:szCs w:val="24"/>
        </w:rPr>
        <w:t xml:space="preserve"> requires </w:t>
      </w:r>
      <w:r w:rsidR="00534F41" w:rsidRPr="00434156">
        <w:rPr>
          <w:rFonts w:ascii="Gill Sans MT" w:hAnsi="Gill Sans MT" w:cs="Times New Roman"/>
          <w:sz w:val="24"/>
          <w:szCs w:val="24"/>
        </w:rPr>
        <w:t>attention</w:t>
      </w:r>
      <w:r w:rsidR="000E4214" w:rsidRPr="00434156">
        <w:rPr>
          <w:rFonts w:ascii="Gill Sans MT" w:hAnsi="Gill Sans MT" w:cs="Times New Roman"/>
          <w:sz w:val="24"/>
          <w:szCs w:val="24"/>
        </w:rPr>
        <w:t xml:space="preserve">, </w:t>
      </w:r>
      <w:r w:rsidR="00534F41" w:rsidRPr="00434156">
        <w:rPr>
          <w:rFonts w:ascii="Gill Sans MT" w:hAnsi="Gill Sans MT" w:cs="Times New Roman"/>
          <w:sz w:val="24"/>
          <w:szCs w:val="24"/>
        </w:rPr>
        <w:t>is to identify and model</w:t>
      </w:r>
      <w:r w:rsidR="004A34E9" w:rsidRPr="00434156">
        <w:rPr>
          <w:rFonts w:ascii="Gill Sans MT" w:hAnsi="Gill Sans MT" w:cs="Times New Roman"/>
          <w:sz w:val="24"/>
          <w:szCs w:val="24"/>
        </w:rPr>
        <w:t xml:space="preserve"> a predictive pattern from the observed tourism arrivals</w:t>
      </w:r>
      <w:r w:rsidR="006B3916" w:rsidRPr="00434156">
        <w:rPr>
          <w:rFonts w:ascii="Gill Sans MT" w:hAnsi="Gill Sans MT" w:cs="Times New Roman"/>
          <w:sz w:val="24"/>
          <w:szCs w:val="24"/>
        </w:rPr>
        <w:t xml:space="preserve"> information</w:t>
      </w:r>
      <w:r w:rsidR="004A34E9" w:rsidRPr="00434156">
        <w:rPr>
          <w:rFonts w:ascii="Gill Sans MT" w:hAnsi="Gill Sans MT" w:cs="Times New Roman"/>
          <w:sz w:val="24"/>
          <w:szCs w:val="24"/>
        </w:rPr>
        <w:t xml:space="preserve">. </w:t>
      </w:r>
      <w:r w:rsidR="00EC3D38" w:rsidRPr="00434156">
        <w:rPr>
          <w:rFonts w:ascii="Gill Sans MT" w:hAnsi="Gill Sans MT" w:cs="Times New Roman"/>
          <w:sz w:val="24"/>
          <w:szCs w:val="24"/>
        </w:rPr>
        <w:t xml:space="preserve">Higher volatility and its persistence </w:t>
      </w:r>
      <w:r w:rsidR="00734949" w:rsidRPr="00434156">
        <w:rPr>
          <w:rFonts w:ascii="Gill Sans MT" w:hAnsi="Gill Sans MT" w:cs="Times New Roman"/>
          <w:sz w:val="24"/>
          <w:szCs w:val="24"/>
        </w:rPr>
        <w:t>leave</w:t>
      </w:r>
      <w:r w:rsidR="00EC3D38" w:rsidRPr="00434156">
        <w:rPr>
          <w:rFonts w:ascii="Gill Sans MT" w:hAnsi="Gill Sans MT" w:cs="Times New Roman"/>
          <w:sz w:val="24"/>
          <w:szCs w:val="24"/>
        </w:rPr>
        <w:t xml:space="preserve"> an indelible impact on tourists’ psyche for a possible return to a country and/or planning a new trip for the </w:t>
      </w:r>
      <w:r w:rsidR="00734949" w:rsidRPr="00434156">
        <w:rPr>
          <w:rFonts w:ascii="Gill Sans MT" w:hAnsi="Gill Sans MT" w:cs="Times New Roman"/>
          <w:sz w:val="24"/>
          <w:szCs w:val="24"/>
        </w:rPr>
        <w:t>first-time</w:t>
      </w:r>
      <w:r w:rsidR="00EC3D38" w:rsidRPr="00434156">
        <w:rPr>
          <w:rFonts w:ascii="Gill Sans MT" w:hAnsi="Gill Sans MT" w:cs="Times New Roman"/>
          <w:sz w:val="24"/>
          <w:szCs w:val="24"/>
        </w:rPr>
        <w:t xml:space="preserve"> tourists. Volatility indeed matters – both psychologically and economically. For example, time-varying effects such as natural disasters, threats of global terrorism, financial crises or fears of viral infection often cause uncertainties in the tourism sector and hence it is essential to estimate such uncertainties accurately to formulate appropriate macroeconomic policy.</w:t>
      </w:r>
    </w:p>
    <w:p w14:paraId="32048014" w14:textId="7F565F1C" w:rsidR="00EC3D38" w:rsidRPr="00434156" w:rsidRDefault="00CA703C" w:rsidP="008A3B63">
      <w:pPr>
        <w:spacing w:line="480" w:lineRule="auto"/>
        <w:jc w:val="both"/>
        <w:rPr>
          <w:rFonts w:ascii="Gill Sans MT" w:hAnsi="Gill Sans MT" w:cs="Times New Roman"/>
          <w:sz w:val="24"/>
          <w:szCs w:val="24"/>
        </w:rPr>
      </w:pPr>
      <w:r w:rsidRPr="00434156">
        <w:rPr>
          <w:rFonts w:ascii="Gill Sans MT" w:hAnsi="Gill Sans MT" w:cs="Times New Roman"/>
          <w:sz w:val="24"/>
          <w:szCs w:val="24"/>
        </w:rPr>
        <w:t>Indeed</w:t>
      </w:r>
      <w:r w:rsidR="00EC3D38" w:rsidRPr="00434156">
        <w:rPr>
          <w:rFonts w:ascii="Gill Sans MT" w:hAnsi="Gill Sans MT" w:cs="Times New Roman"/>
          <w:sz w:val="24"/>
          <w:szCs w:val="24"/>
        </w:rPr>
        <w:t xml:space="preserve">, as </w:t>
      </w:r>
      <w:proofErr w:type="spellStart"/>
      <w:r w:rsidR="00EC3D38" w:rsidRPr="00434156">
        <w:rPr>
          <w:rFonts w:ascii="Gill Sans MT" w:hAnsi="Gill Sans MT" w:cs="Times New Roman"/>
          <w:sz w:val="24"/>
          <w:szCs w:val="24"/>
        </w:rPr>
        <w:t>Hoti</w:t>
      </w:r>
      <w:proofErr w:type="spellEnd"/>
      <w:r w:rsidR="00EC3D38" w:rsidRPr="00434156">
        <w:rPr>
          <w:rFonts w:ascii="Gill Sans MT" w:hAnsi="Gill Sans MT" w:cs="Times New Roman"/>
          <w:sz w:val="24"/>
          <w:szCs w:val="24"/>
        </w:rPr>
        <w:t xml:space="preserve"> et al. (2007) argue, tourism earnings are an important source of foreign exchange and employment, hence precise estimates of the volatility of tourist arrivals play a crucial role in the decision-making process for different public and private sectors. Chan et al. (2005) also claim that proper measures of volatility in leisure industry could help tourism managers in assessing their business strengths and weaknesses periodically and noticing attractive opportunities.</w:t>
      </w:r>
    </w:p>
    <w:p w14:paraId="6C46971D" w14:textId="0591C2F8" w:rsidR="002C5D7A" w:rsidRPr="00434156" w:rsidRDefault="007561DA" w:rsidP="008A3B63">
      <w:pPr>
        <w:spacing w:line="480" w:lineRule="auto"/>
        <w:jc w:val="both"/>
        <w:rPr>
          <w:rFonts w:ascii="Gill Sans MT" w:hAnsi="Gill Sans MT" w:cs="Times New Roman"/>
          <w:sz w:val="24"/>
          <w:szCs w:val="24"/>
        </w:rPr>
      </w:pPr>
      <w:r w:rsidRPr="00434156">
        <w:rPr>
          <w:rFonts w:ascii="Gill Sans MT" w:hAnsi="Gill Sans MT" w:cs="Times New Roman"/>
          <w:sz w:val="24"/>
          <w:szCs w:val="24"/>
        </w:rPr>
        <w:t xml:space="preserve">This </w:t>
      </w:r>
      <w:r w:rsidR="004A34E9" w:rsidRPr="00434156">
        <w:rPr>
          <w:rFonts w:ascii="Gill Sans MT" w:hAnsi="Gill Sans MT" w:cs="Times New Roman"/>
          <w:sz w:val="24"/>
          <w:szCs w:val="24"/>
        </w:rPr>
        <w:t>paper</w:t>
      </w:r>
      <w:r w:rsidRPr="00434156">
        <w:rPr>
          <w:rFonts w:ascii="Gill Sans MT" w:hAnsi="Gill Sans MT" w:cs="Times New Roman"/>
          <w:sz w:val="24"/>
          <w:szCs w:val="24"/>
        </w:rPr>
        <w:t xml:space="preserve"> </w:t>
      </w:r>
      <w:r w:rsidR="004A34E9" w:rsidRPr="00434156">
        <w:rPr>
          <w:rFonts w:ascii="Gill Sans MT" w:hAnsi="Gill Sans MT" w:cs="Times New Roman"/>
          <w:sz w:val="24"/>
          <w:szCs w:val="24"/>
        </w:rPr>
        <w:t>aim</w:t>
      </w:r>
      <w:r w:rsidRPr="00434156">
        <w:rPr>
          <w:rFonts w:ascii="Gill Sans MT" w:hAnsi="Gill Sans MT" w:cs="Times New Roman"/>
          <w:sz w:val="24"/>
          <w:szCs w:val="24"/>
        </w:rPr>
        <w:t>s</w:t>
      </w:r>
      <w:r w:rsidR="004A34E9" w:rsidRPr="00434156">
        <w:rPr>
          <w:rFonts w:ascii="Gill Sans MT" w:hAnsi="Gill Sans MT" w:cs="Times New Roman"/>
          <w:sz w:val="24"/>
          <w:szCs w:val="24"/>
        </w:rPr>
        <w:t xml:space="preserve"> to contribute to the nascent literature by estimating a </w:t>
      </w:r>
      <w:r w:rsidR="004A34E9" w:rsidRPr="00434156">
        <w:rPr>
          <w:rFonts w:ascii="Gill Sans MT" w:hAnsi="Gill Sans MT" w:cs="Times New Roman"/>
          <w:i/>
          <w:iCs/>
          <w:sz w:val="24"/>
          <w:szCs w:val="24"/>
        </w:rPr>
        <w:t>time-varying conditional volatility</w:t>
      </w:r>
      <w:r w:rsidR="004A34E9" w:rsidRPr="00434156">
        <w:rPr>
          <w:rFonts w:ascii="Gill Sans MT" w:hAnsi="Gill Sans MT" w:cs="Times New Roman"/>
          <w:sz w:val="24"/>
          <w:szCs w:val="24"/>
        </w:rPr>
        <w:t xml:space="preserve"> of tourism demand</w:t>
      </w:r>
      <w:r w:rsidRPr="00434156">
        <w:rPr>
          <w:rFonts w:ascii="Gill Sans MT" w:hAnsi="Gill Sans MT" w:cs="Times New Roman"/>
          <w:sz w:val="24"/>
          <w:szCs w:val="24"/>
        </w:rPr>
        <w:t xml:space="preserve"> in the context</w:t>
      </w:r>
      <w:r w:rsidR="004A34E9" w:rsidRPr="00434156">
        <w:rPr>
          <w:rFonts w:ascii="Gill Sans MT" w:hAnsi="Gill Sans MT" w:cs="Times New Roman"/>
          <w:sz w:val="24"/>
          <w:szCs w:val="24"/>
        </w:rPr>
        <w:t xml:space="preserve"> of </w:t>
      </w:r>
      <w:r w:rsidR="004D4673" w:rsidRPr="00434156">
        <w:rPr>
          <w:rFonts w:ascii="Gill Sans MT" w:hAnsi="Gill Sans MT" w:cs="Times New Roman"/>
          <w:sz w:val="24"/>
          <w:szCs w:val="24"/>
        </w:rPr>
        <w:t xml:space="preserve">the </w:t>
      </w:r>
      <w:r w:rsidR="004A34E9" w:rsidRPr="00434156">
        <w:rPr>
          <w:rFonts w:ascii="Gill Sans MT" w:hAnsi="Gill Sans MT" w:cs="Times New Roman"/>
          <w:sz w:val="24"/>
          <w:szCs w:val="24"/>
        </w:rPr>
        <w:t xml:space="preserve">UK. Recent extreme events, such as Brexit, which has </w:t>
      </w:r>
      <w:r w:rsidR="00534F41" w:rsidRPr="00434156">
        <w:rPr>
          <w:rFonts w:ascii="Gill Sans MT" w:hAnsi="Gill Sans MT" w:cs="Times New Roman"/>
          <w:sz w:val="24"/>
          <w:szCs w:val="24"/>
        </w:rPr>
        <w:t>proliferated</w:t>
      </w:r>
      <w:r w:rsidR="004A34E9" w:rsidRPr="00434156">
        <w:rPr>
          <w:rFonts w:ascii="Gill Sans MT" w:hAnsi="Gill Sans MT" w:cs="Times New Roman"/>
          <w:sz w:val="24"/>
          <w:szCs w:val="24"/>
        </w:rPr>
        <w:t xml:space="preserve"> uncertainty over a significant stretch of time, can leave </w:t>
      </w:r>
      <w:r w:rsidR="004A34E9" w:rsidRPr="00434156">
        <w:rPr>
          <w:rFonts w:ascii="Gill Sans MT" w:hAnsi="Gill Sans MT" w:cs="Times New Roman"/>
          <w:sz w:val="24"/>
          <w:szCs w:val="24"/>
        </w:rPr>
        <w:lastRenderedPageBreak/>
        <w:t xml:space="preserve">indelible effects in tourism demand. </w:t>
      </w:r>
      <w:r w:rsidR="00EC3D38" w:rsidRPr="00434156">
        <w:rPr>
          <w:rFonts w:ascii="Gill Sans MT" w:hAnsi="Gill Sans MT" w:cs="Times New Roman"/>
          <w:sz w:val="24"/>
          <w:szCs w:val="24"/>
        </w:rPr>
        <w:t>We estimate</w:t>
      </w:r>
      <w:r w:rsidR="004A34E9" w:rsidRPr="00434156">
        <w:rPr>
          <w:rFonts w:ascii="Gill Sans MT" w:hAnsi="Gill Sans MT" w:cs="Times New Roman"/>
          <w:sz w:val="24"/>
          <w:szCs w:val="24"/>
        </w:rPr>
        <w:t xml:space="preserve"> such an effect by employing an asymmetri</w:t>
      </w:r>
      <w:r w:rsidR="00EC3D38" w:rsidRPr="00434156">
        <w:rPr>
          <w:rFonts w:ascii="Gill Sans MT" w:hAnsi="Gill Sans MT" w:cs="Times New Roman"/>
          <w:sz w:val="24"/>
          <w:szCs w:val="24"/>
        </w:rPr>
        <w:t>c volatility persistence model, introducing policy uncertainty as an arbiter of asymmetry. To this</w:t>
      </w:r>
      <w:r w:rsidR="00F31E0B" w:rsidRPr="00434156">
        <w:rPr>
          <w:rFonts w:ascii="Gill Sans MT" w:hAnsi="Gill Sans MT" w:cs="Times New Roman"/>
          <w:sz w:val="24"/>
          <w:szCs w:val="24"/>
        </w:rPr>
        <w:t xml:space="preserve"> </w:t>
      </w:r>
      <w:r w:rsidR="00EC3D38" w:rsidRPr="00434156">
        <w:rPr>
          <w:rFonts w:ascii="Gill Sans MT" w:hAnsi="Gill Sans MT" w:cs="Times New Roman"/>
          <w:sz w:val="24"/>
          <w:szCs w:val="24"/>
        </w:rPr>
        <w:t xml:space="preserve">end, we estimate </w:t>
      </w:r>
      <w:r w:rsidR="00817C41" w:rsidRPr="00434156">
        <w:rPr>
          <w:rFonts w:ascii="Gill Sans MT" w:hAnsi="Gill Sans MT" w:cs="Times New Roman"/>
          <w:sz w:val="24"/>
          <w:szCs w:val="24"/>
        </w:rPr>
        <w:t xml:space="preserve">two </w:t>
      </w:r>
      <w:r w:rsidR="00C135FF" w:rsidRPr="00434156">
        <w:rPr>
          <w:rFonts w:ascii="Gill Sans MT" w:hAnsi="Gill Sans MT" w:cs="Times New Roman"/>
          <w:sz w:val="24"/>
          <w:szCs w:val="24"/>
        </w:rPr>
        <w:t>variants</w:t>
      </w:r>
      <w:r w:rsidR="00817C41" w:rsidRPr="00434156">
        <w:rPr>
          <w:rFonts w:ascii="Gill Sans MT" w:hAnsi="Gill Sans MT" w:cs="Times New Roman"/>
          <w:sz w:val="24"/>
          <w:szCs w:val="24"/>
        </w:rPr>
        <w:t xml:space="preserve"> of </w:t>
      </w:r>
      <w:r w:rsidR="00A36FE9" w:rsidRPr="00434156">
        <w:rPr>
          <w:rFonts w:ascii="Gill Sans MT" w:hAnsi="Gill Sans MT" w:cs="Times New Roman"/>
          <w:sz w:val="24"/>
          <w:szCs w:val="24"/>
        </w:rPr>
        <w:t xml:space="preserve">generalized autoregressive conditional </w:t>
      </w:r>
      <w:r w:rsidR="00A36FE9" w:rsidRPr="00434156">
        <w:rPr>
          <w:rFonts w:ascii="Gill Sans MT" w:hAnsi="Gill Sans MT" w:cs="Times New Roman"/>
          <w:bCs/>
          <w:color w:val="222222"/>
          <w:sz w:val="24"/>
          <w:szCs w:val="24"/>
          <w:shd w:val="clear" w:color="auto" w:fill="FFFFFF"/>
        </w:rPr>
        <w:t>heteroskedasticity</w:t>
      </w:r>
      <w:r w:rsidR="00A36FE9" w:rsidRPr="00434156">
        <w:rPr>
          <w:rFonts w:ascii="Gill Sans MT" w:hAnsi="Gill Sans MT" w:cs="Times New Roman"/>
          <w:sz w:val="24"/>
          <w:szCs w:val="24"/>
        </w:rPr>
        <w:t xml:space="preserve"> (</w:t>
      </w:r>
      <w:r w:rsidR="00817C41" w:rsidRPr="00434156">
        <w:rPr>
          <w:rFonts w:ascii="Gill Sans MT" w:hAnsi="Gill Sans MT" w:cs="Times New Roman"/>
          <w:sz w:val="24"/>
          <w:szCs w:val="24"/>
        </w:rPr>
        <w:t>GARCH</w:t>
      </w:r>
      <w:r w:rsidR="00A36FE9" w:rsidRPr="00434156">
        <w:rPr>
          <w:rFonts w:ascii="Gill Sans MT" w:hAnsi="Gill Sans MT" w:cs="Times New Roman"/>
          <w:sz w:val="24"/>
          <w:szCs w:val="24"/>
        </w:rPr>
        <w:t>)</w:t>
      </w:r>
      <w:r w:rsidR="00817C41" w:rsidRPr="00434156">
        <w:rPr>
          <w:rFonts w:ascii="Gill Sans MT" w:hAnsi="Gill Sans MT" w:cs="Times New Roman"/>
          <w:sz w:val="24"/>
          <w:szCs w:val="24"/>
        </w:rPr>
        <w:t xml:space="preserve"> models </w:t>
      </w:r>
      <w:r w:rsidR="00EC3D38" w:rsidRPr="00434156">
        <w:rPr>
          <w:rFonts w:ascii="Gill Sans MT" w:hAnsi="Gill Sans MT" w:cs="Times New Roman"/>
          <w:sz w:val="24"/>
          <w:szCs w:val="24"/>
        </w:rPr>
        <w:t>where our primary interest is</w:t>
      </w:r>
      <w:r w:rsidR="001060A8" w:rsidRPr="00434156">
        <w:rPr>
          <w:rFonts w:ascii="Gill Sans MT" w:hAnsi="Gill Sans MT" w:cs="Times New Roman"/>
          <w:sz w:val="24"/>
          <w:szCs w:val="24"/>
        </w:rPr>
        <w:t xml:space="preserve"> whether shocks to the tourist arrival series will have long-run impacts on the visitors. </w:t>
      </w:r>
      <w:r w:rsidR="00A106E2" w:rsidRPr="00434156">
        <w:rPr>
          <w:rFonts w:ascii="Gill Sans MT" w:hAnsi="Gill Sans MT" w:cs="Times New Roman"/>
          <w:sz w:val="24"/>
          <w:szCs w:val="24"/>
        </w:rPr>
        <w:t>We further expand on our modelling by introducing multivariate dynamic conditional correlation GARCH (or MGARCH-DCC) model.</w:t>
      </w:r>
    </w:p>
    <w:p w14:paraId="6B203409" w14:textId="7114EB7C" w:rsidR="002C5D7A" w:rsidRPr="00434156" w:rsidRDefault="007561DA" w:rsidP="008A3B63">
      <w:pPr>
        <w:spacing w:line="480" w:lineRule="auto"/>
        <w:jc w:val="both"/>
        <w:rPr>
          <w:rFonts w:ascii="Gill Sans MT" w:hAnsi="Gill Sans MT" w:cs="Times New Roman"/>
          <w:sz w:val="24"/>
          <w:szCs w:val="24"/>
        </w:rPr>
      </w:pPr>
      <w:r w:rsidRPr="00434156">
        <w:rPr>
          <w:rFonts w:ascii="Gill Sans MT" w:hAnsi="Gill Sans MT" w:cs="Times New Roman"/>
          <w:sz w:val="24"/>
          <w:szCs w:val="24"/>
        </w:rPr>
        <w:t>We recognize that t</w:t>
      </w:r>
      <w:r w:rsidR="00A106E2" w:rsidRPr="00434156">
        <w:rPr>
          <w:rFonts w:ascii="Gill Sans MT" w:hAnsi="Gill Sans MT" w:cs="Times New Roman"/>
          <w:sz w:val="24"/>
          <w:szCs w:val="24"/>
        </w:rPr>
        <w:t>he asymmetric impact of conditional volatility may well be influenced by break points</w:t>
      </w:r>
      <w:r w:rsidR="00FF5552" w:rsidRPr="00434156">
        <w:rPr>
          <w:rFonts w:ascii="Gill Sans MT" w:hAnsi="Gill Sans MT" w:cs="Times New Roman"/>
          <w:sz w:val="24"/>
          <w:szCs w:val="24"/>
        </w:rPr>
        <w:t xml:space="preserve"> in the data. For instance, tourism demand in the UK may be subject to fluctuations due to Brexit uncertainty and/or good or bad news, wars and recessions. Indeed, Hillebrand (2005) showed that structural breaks lead to an upward bias in estimated volatility persistence. To </w:t>
      </w:r>
      <w:r w:rsidR="001060A8" w:rsidRPr="00434156">
        <w:rPr>
          <w:rFonts w:ascii="Gill Sans MT" w:hAnsi="Gill Sans MT" w:cs="Times New Roman"/>
          <w:sz w:val="24"/>
          <w:szCs w:val="24"/>
        </w:rPr>
        <w:t>investigate</w:t>
      </w:r>
      <w:r w:rsidR="00FF5552" w:rsidRPr="00434156">
        <w:rPr>
          <w:rFonts w:ascii="Gill Sans MT" w:hAnsi="Gill Sans MT" w:cs="Times New Roman"/>
          <w:sz w:val="24"/>
          <w:szCs w:val="24"/>
        </w:rPr>
        <w:t xml:space="preserve"> thus, the impact of</w:t>
      </w:r>
      <w:r w:rsidR="00817C41" w:rsidRPr="00434156">
        <w:rPr>
          <w:rFonts w:ascii="Gill Sans MT" w:hAnsi="Gill Sans MT" w:cs="Times New Roman"/>
          <w:sz w:val="24"/>
          <w:szCs w:val="24"/>
        </w:rPr>
        <w:t xml:space="preserve"> structural breaks</w:t>
      </w:r>
      <w:r w:rsidR="00FF5552" w:rsidRPr="00434156">
        <w:rPr>
          <w:rFonts w:ascii="Gill Sans MT" w:hAnsi="Gill Sans MT" w:cs="Times New Roman"/>
          <w:sz w:val="24"/>
          <w:szCs w:val="24"/>
        </w:rPr>
        <w:t xml:space="preserve"> on </w:t>
      </w:r>
      <w:r w:rsidR="00817C41" w:rsidRPr="00434156">
        <w:rPr>
          <w:rFonts w:ascii="Gill Sans MT" w:hAnsi="Gill Sans MT" w:cs="Times New Roman"/>
          <w:sz w:val="24"/>
          <w:szCs w:val="24"/>
        </w:rPr>
        <w:t xml:space="preserve">the </w:t>
      </w:r>
      <w:r w:rsidR="00671180" w:rsidRPr="00434156">
        <w:rPr>
          <w:rFonts w:ascii="Gill Sans MT" w:hAnsi="Gill Sans MT" w:cs="Times New Roman"/>
          <w:sz w:val="24"/>
          <w:szCs w:val="24"/>
        </w:rPr>
        <w:t>volatility of tourist</w:t>
      </w:r>
      <w:r w:rsidR="00817C41" w:rsidRPr="00434156">
        <w:rPr>
          <w:rFonts w:ascii="Gill Sans MT" w:hAnsi="Gill Sans MT" w:cs="Times New Roman"/>
          <w:sz w:val="24"/>
          <w:szCs w:val="24"/>
        </w:rPr>
        <w:t xml:space="preserve"> </w:t>
      </w:r>
      <w:r w:rsidR="00671180" w:rsidRPr="00434156">
        <w:rPr>
          <w:rFonts w:ascii="Gill Sans MT" w:hAnsi="Gill Sans MT" w:cs="Times New Roman"/>
          <w:sz w:val="24"/>
          <w:szCs w:val="24"/>
        </w:rPr>
        <w:t>arrivals in</w:t>
      </w:r>
      <w:r w:rsidR="00817C41" w:rsidRPr="00434156">
        <w:rPr>
          <w:rFonts w:ascii="Gill Sans MT" w:hAnsi="Gill Sans MT" w:cs="Times New Roman"/>
          <w:sz w:val="24"/>
          <w:szCs w:val="24"/>
        </w:rPr>
        <w:t xml:space="preserve"> the UK</w:t>
      </w:r>
      <w:r w:rsidR="00FF5552" w:rsidRPr="00434156">
        <w:rPr>
          <w:rFonts w:ascii="Gill Sans MT" w:hAnsi="Gill Sans MT" w:cs="Times New Roman"/>
          <w:sz w:val="24"/>
          <w:szCs w:val="24"/>
        </w:rPr>
        <w:t xml:space="preserve">, we also estimate GARCH in the presence of a break point. </w:t>
      </w:r>
      <w:r w:rsidRPr="00434156">
        <w:rPr>
          <w:rFonts w:ascii="Gill Sans MT" w:hAnsi="Gill Sans MT" w:cs="Times New Roman"/>
          <w:sz w:val="24"/>
          <w:szCs w:val="24"/>
        </w:rPr>
        <w:t>Specifically</w:t>
      </w:r>
      <w:r w:rsidR="00FF5552" w:rsidRPr="00434156">
        <w:rPr>
          <w:rFonts w:ascii="Gill Sans MT" w:hAnsi="Gill Sans MT" w:cs="Times New Roman"/>
          <w:sz w:val="24"/>
          <w:szCs w:val="24"/>
        </w:rPr>
        <w:t>, we</w:t>
      </w:r>
      <w:r w:rsidR="00254067" w:rsidRPr="00434156">
        <w:rPr>
          <w:rFonts w:ascii="Gill Sans MT" w:hAnsi="Gill Sans MT" w:cs="Times New Roman"/>
          <w:sz w:val="24"/>
          <w:szCs w:val="24"/>
        </w:rPr>
        <w:t xml:space="preserve"> examine whether the impact of good and bad news on the volatility of tourism demand changes when structural breaks are observed in the arrival data. </w:t>
      </w:r>
    </w:p>
    <w:p w14:paraId="4D792AE4" w14:textId="4ABD3D3B" w:rsidR="00F35376" w:rsidRPr="00434156" w:rsidRDefault="002C5D7A" w:rsidP="008A3B63">
      <w:pPr>
        <w:spacing w:line="480" w:lineRule="auto"/>
        <w:jc w:val="both"/>
        <w:rPr>
          <w:rFonts w:ascii="Gill Sans MT" w:hAnsi="Gill Sans MT" w:cs="Times New Roman"/>
          <w:color w:val="222222"/>
          <w:sz w:val="24"/>
          <w:szCs w:val="24"/>
          <w:shd w:val="clear" w:color="auto" w:fill="FFFFFF"/>
        </w:rPr>
      </w:pPr>
      <w:r w:rsidRPr="00434156">
        <w:rPr>
          <w:rFonts w:ascii="Gill Sans MT" w:hAnsi="Gill Sans MT" w:cs="Times New Roman"/>
          <w:sz w:val="24"/>
          <w:szCs w:val="24"/>
          <w:shd w:val="clear" w:color="auto" w:fill="FFFFFF"/>
        </w:rPr>
        <w:t>We finally examine whether BREXIT referendum leads to a drop in inbound </w:t>
      </w:r>
      <w:r w:rsidRPr="00434156">
        <w:rPr>
          <w:rFonts w:ascii="Gill Sans MT" w:hAnsi="Gill Sans MT" w:cs="Times New Roman"/>
          <w:bCs/>
          <w:sz w:val="24"/>
          <w:szCs w:val="24"/>
          <w:shd w:val="clear" w:color="auto" w:fill="FFFFFF"/>
        </w:rPr>
        <w:t>tourism</w:t>
      </w:r>
      <w:r w:rsidRPr="00434156">
        <w:rPr>
          <w:rFonts w:ascii="Gill Sans MT" w:hAnsi="Gill Sans MT" w:cs="Times New Roman"/>
          <w:sz w:val="24"/>
          <w:szCs w:val="24"/>
          <w:shd w:val="clear" w:color="auto" w:fill="FFFFFF"/>
        </w:rPr>
        <w:t> to the </w:t>
      </w:r>
      <w:r w:rsidRPr="00434156">
        <w:rPr>
          <w:rFonts w:ascii="Gill Sans MT" w:hAnsi="Gill Sans MT" w:cs="Times New Roman"/>
          <w:bCs/>
          <w:sz w:val="24"/>
          <w:szCs w:val="24"/>
          <w:shd w:val="clear" w:color="auto" w:fill="FFFFFF"/>
        </w:rPr>
        <w:t xml:space="preserve">UK. </w:t>
      </w:r>
      <w:r w:rsidR="00F35376" w:rsidRPr="00434156">
        <w:rPr>
          <w:rFonts w:ascii="Gill Sans MT" w:hAnsi="Gill Sans MT" w:cs="Times New Roman"/>
          <w:sz w:val="24"/>
          <w:szCs w:val="24"/>
          <w:shd w:val="clear" w:color="auto" w:fill="FFFFFF"/>
        </w:rPr>
        <w:t>Current estimates</w:t>
      </w:r>
      <w:r w:rsidRPr="00434156">
        <w:rPr>
          <w:rFonts w:ascii="Gill Sans MT" w:hAnsi="Gill Sans MT" w:cs="Times New Roman"/>
          <w:sz w:val="24"/>
          <w:szCs w:val="24"/>
          <w:shd w:val="clear" w:color="auto" w:fill="FFFFFF"/>
        </w:rPr>
        <w:t xml:space="preserve"> </w:t>
      </w:r>
      <w:r w:rsidR="00F35376" w:rsidRPr="00434156">
        <w:rPr>
          <w:rFonts w:ascii="Gill Sans MT" w:hAnsi="Gill Sans MT" w:cs="Times New Roman"/>
          <w:sz w:val="24"/>
          <w:szCs w:val="24"/>
          <w:shd w:val="clear" w:color="auto" w:fill="FFFFFF"/>
        </w:rPr>
        <w:t>evidence</w:t>
      </w:r>
      <w:r w:rsidRPr="00434156">
        <w:rPr>
          <w:rFonts w:ascii="Gill Sans MT" w:hAnsi="Gill Sans MT" w:cs="Times New Roman"/>
          <w:sz w:val="24"/>
          <w:szCs w:val="24"/>
          <w:shd w:val="clear" w:color="auto" w:fill="FFFFFF"/>
        </w:rPr>
        <w:t xml:space="preserve"> that interest in visiting the </w:t>
      </w:r>
      <w:r w:rsidRPr="00434156">
        <w:rPr>
          <w:rFonts w:ascii="Gill Sans MT" w:hAnsi="Gill Sans MT" w:cs="Times New Roman"/>
          <w:bCs/>
          <w:sz w:val="24"/>
          <w:szCs w:val="24"/>
          <w:shd w:val="clear" w:color="auto" w:fill="FFFFFF"/>
        </w:rPr>
        <w:t>UK</w:t>
      </w:r>
      <w:r w:rsidRPr="00434156">
        <w:rPr>
          <w:rFonts w:ascii="Gill Sans MT" w:hAnsi="Gill Sans MT" w:cs="Times New Roman"/>
          <w:sz w:val="24"/>
          <w:szCs w:val="24"/>
          <w:shd w:val="clear" w:color="auto" w:fill="FFFFFF"/>
        </w:rPr>
        <w:t> since the </w:t>
      </w:r>
      <w:r w:rsidRPr="00434156">
        <w:rPr>
          <w:rFonts w:ascii="Gill Sans MT" w:hAnsi="Gill Sans MT" w:cs="Times New Roman"/>
          <w:bCs/>
          <w:sz w:val="24"/>
          <w:szCs w:val="24"/>
          <w:shd w:val="clear" w:color="auto" w:fill="FFFFFF"/>
        </w:rPr>
        <w:t>BREXIT</w:t>
      </w:r>
      <w:r w:rsidRPr="00434156">
        <w:rPr>
          <w:rFonts w:ascii="Gill Sans MT" w:hAnsi="Gill Sans MT" w:cs="Times New Roman"/>
          <w:sz w:val="24"/>
          <w:szCs w:val="24"/>
          <w:shd w:val="clear" w:color="auto" w:fill="FFFFFF"/>
        </w:rPr>
        <w:t xml:space="preserve"> referendum </w:t>
      </w:r>
      <w:r w:rsidR="00FF5552" w:rsidRPr="00434156">
        <w:rPr>
          <w:rFonts w:ascii="Gill Sans MT" w:hAnsi="Gill Sans MT" w:cs="Times New Roman"/>
          <w:sz w:val="24"/>
          <w:szCs w:val="24"/>
          <w:shd w:val="clear" w:color="auto" w:fill="FFFFFF"/>
        </w:rPr>
        <w:t xml:space="preserve">has </w:t>
      </w:r>
      <w:r w:rsidR="0035151A" w:rsidRPr="00434156">
        <w:rPr>
          <w:rFonts w:ascii="Gill Sans MT" w:hAnsi="Gill Sans MT" w:cs="Times New Roman"/>
          <w:sz w:val="24"/>
          <w:szCs w:val="24"/>
          <w:shd w:val="clear" w:color="auto" w:fill="FFFFFF"/>
        </w:rPr>
        <w:t xml:space="preserve">declined </w:t>
      </w:r>
      <w:r w:rsidRPr="00434156">
        <w:rPr>
          <w:rFonts w:ascii="Gill Sans MT" w:hAnsi="Gill Sans MT" w:cs="Times New Roman"/>
          <w:sz w:val="24"/>
          <w:szCs w:val="24"/>
          <w:shd w:val="clear" w:color="auto" w:fill="FFFFFF"/>
        </w:rPr>
        <w:t xml:space="preserve">from 76% in August 2016 to 69% in autumn 2018. </w:t>
      </w:r>
      <w:r w:rsidR="00F35376" w:rsidRPr="00434156">
        <w:rPr>
          <w:rFonts w:ascii="Gill Sans MT" w:hAnsi="Gill Sans MT" w:cs="Times New Roman"/>
          <w:color w:val="222222"/>
          <w:sz w:val="24"/>
          <w:szCs w:val="24"/>
          <w:shd w:val="clear" w:color="auto" w:fill="FFFFFF"/>
        </w:rPr>
        <w:t xml:space="preserve">Such </w:t>
      </w:r>
      <w:r w:rsidR="0035151A" w:rsidRPr="00434156">
        <w:rPr>
          <w:rFonts w:ascii="Gill Sans MT" w:hAnsi="Gill Sans MT" w:cs="Times New Roman"/>
          <w:color w:val="222222"/>
          <w:sz w:val="24"/>
          <w:szCs w:val="24"/>
          <w:shd w:val="clear" w:color="auto" w:fill="FFFFFF"/>
        </w:rPr>
        <w:t xml:space="preserve">a </w:t>
      </w:r>
      <w:r w:rsidR="00F35376" w:rsidRPr="00434156">
        <w:rPr>
          <w:rFonts w:ascii="Gill Sans MT" w:hAnsi="Gill Sans MT" w:cs="Times New Roman"/>
          <w:color w:val="222222"/>
          <w:sz w:val="24"/>
          <w:szCs w:val="24"/>
          <w:shd w:val="clear" w:color="auto" w:fill="FFFFFF"/>
        </w:rPr>
        <w:t xml:space="preserve">drop could be attributed to a fall in interest among </w:t>
      </w:r>
      <w:r w:rsidR="00184C9A" w:rsidRPr="00434156">
        <w:rPr>
          <w:rFonts w:ascii="Gill Sans MT" w:hAnsi="Gill Sans MT" w:cs="Times New Roman"/>
          <w:color w:val="222222"/>
          <w:sz w:val="24"/>
          <w:szCs w:val="24"/>
          <w:shd w:val="clear" w:color="auto" w:fill="FFFFFF"/>
        </w:rPr>
        <w:t xml:space="preserve">the </w:t>
      </w:r>
      <w:r w:rsidR="00F35376" w:rsidRPr="00434156">
        <w:rPr>
          <w:rFonts w:ascii="Gill Sans MT" w:hAnsi="Gill Sans MT" w:cs="Times New Roman"/>
          <w:color w:val="222222"/>
          <w:sz w:val="24"/>
          <w:szCs w:val="24"/>
          <w:shd w:val="clear" w:color="auto" w:fill="FFFFFF"/>
        </w:rPr>
        <w:t xml:space="preserve">Europeans, who account for two-thirds of overseas </w:t>
      </w:r>
      <w:r w:rsidR="00D6736C" w:rsidRPr="00434156">
        <w:rPr>
          <w:rFonts w:ascii="Gill Sans MT" w:hAnsi="Gill Sans MT" w:cs="Times New Roman"/>
          <w:color w:val="222222"/>
          <w:sz w:val="24"/>
          <w:szCs w:val="24"/>
          <w:shd w:val="clear" w:color="auto" w:fill="FFFFFF"/>
        </w:rPr>
        <w:t>tourists</w:t>
      </w:r>
      <w:r w:rsidR="00F35376" w:rsidRPr="00434156">
        <w:rPr>
          <w:rFonts w:ascii="Gill Sans MT" w:hAnsi="Gill Sans MT" w:cs="Times New Roman"/>
          <w:color w:val="222222"/>
          <w:sz w:val="24"/>
          <w:szCs w:val="24"/>
          <w:shd w:val="clear" w:color="auto" w:fill="FFFFFF"/>
        </w:rPr>
        <w:t>.</w:t>
      </w:r>
    </w:p>
    <w:p w14:paraId="58E2E703" w14:textId="77777777" w:rsidR="00434156" w:rsidRPr="00434156" w:rsidRDefault="00434156" w:rsidP="008A3B63">
      <w:pPr>
        <w:spacing w:line="480" w:lineRule="auto"/>
        <w:jc w:val="both"/>
        <w:rPr>
          <w:rFonts w:ascii="Gill Sans MT" w:hAnsi="Gill Sans MT" w:cs="Times New Roman"/>
          <w:color w:val="222222"/>
          <w:sz w:val="24"/>
          <w:szCs w:val="24"/>
          <w:shd w:val="clear" w:color="auto" w:fill="FFFFFF"/>
        </w:rPr>
      </w:pPr>
    </w:p>
    <w:p w14:paraId="55A13BCC" w14:textId="174D5A33" w:rsidR="004976DE" w:rsidRPr="00434156" w:rsidRDefault="004976DE" w:rsidP="004976DE">
      <w:pPr>
        <w:pStyle w:val="ListParagraph"/>
        <w:numPr>
          <w:ilvl w:val="0"/>
          <w:numId w:val="1"/>
        </w:numPr>
        <w:spacing w:line="480" w:lineRule="auto"/>
        <w:jc w:val="both"/>
        <w:rPr>
          <w:rFonts w:ascii="Gill Sans MT" w:hAnsi="Gill Sans MT" w:cs="Times New Roman"/>
          <w:sz w:val="24"/>
          <w:szCs w:val="24"/>
        </w:rPr>
      </w:pPr>
      <w:r w:rsidRPr="00434156">
        <w:rPr>
          <w:rFonts w:ascii="Gill Sans MT" w:hAnsi="Gill Sans MT" w:cs="Times New Roman"/>
          <w:b/>
          <w:bCs/>
          <w:sz w:val="24"/>
          <w:szCs w:val="24"/>
        </w:rPr>
        <w:lastRenderedPageBreak/>
        <w:t>Methodology</w:t>
      </w:r>
      <w:r w:rsidR="00117E42" w:rsidRPr="00434156">
        <w:rPr>
          <w:rFonts w:ascii="Gill Sans MT" w:hAnsi="Gill Sans MT" w:cs="Times New Roman"/>
          <w:b/>
          <w:bCs/>
          <w:sz w:val="24"/>
          <w:szCs w:val="24"/>
        </w:rPr>
        <w:t xml:space="preserve"> and Data</w:t>
      </w:r>
    </w:p>
    <w:p w14:paraId="46B1AE87" w14:textId="797AB712" w:rsidR="00117E42" w:rsidRPr="00434156" w:rsidRDefault="00117E42" w:rsidP="00117E42">
      <w:pPr>
        <w:pStyle w:val="ListParagraph"/>
        <w:numPr>
          <w:ilvl w:val="0"/>
          <w:numId w:val="2"/>
        </w:numPr>
        <w:autoSpaceDE w:val="0"/>
        <w:autoSpaceDN w:val="0"/>
        <w:adjustRightInd w:val="0"/>
        <w:spacing w:after="0" w:line="480" w:lineRule="auto"/>
        <w:jc w:val="both"/>
        <w:rPr>
          <w:rFonts w:ascii="Gill Sans MT" w:hAnsi="Gill Sans MT" w:cs="Times New Roman"/>
          <w:b/>
          <w:bCs/>
          <w:i/>
          <w:iCs/>
          <w:color w:val="002060"/>
          <w:sz w:val="24"/>
          <w:szCs w:val="24"/>
        </w:rPr>
      </w:pPr>
      <w:r w:rsidRPr="00434156">
        <w:rPr>
          <w:rFonts w:ascii="Gill Sans MT" w:hAnsi="Gill Sans MT" w:cs="Times New Roman"/>
          <w:b/>
          <w:bCs/>
          <w:i/>
          <w:iCs/>
          <w:color w:val="002060"/>
          <w:sz w:val="24"/>
          <w:szCs w:val="24"/>
        </w:rPr>
        <w:t>Methodology</w:t>
      </w:r>
    </w:p>
    <w:p w14:paraId="381B2459" w14:textId="4EFD4BFA" w:rsidR="00F77077" w:rsidRPr="00434156" w:rsidRDefault="00CA703C" w:rsidP="00F77077">
      <w:pPr>
        <w:autoSpaceDE w:val="0"/>
        <w:autoSpaceDN w:val="0"/>
        <w:adjustRightInd w:val="0"/>
        <w:spacing w:after="0" w:line="480" w:lineRule="auto"/>
        <w:jc w:val="both"/>
        <w:rPr>
          <w:rFonts w:ascii="Gill Sans MT" w:eastAsiaTheme="minorEastAsia" w:hAnsi="Gill Sans MT" w:cs="Times New Roman"/>
          <w:color w:val="002060"/>
          <w:sz w:val="24"/>
          <w:szCs w:val="24"/>
        </w:rPr>
      </w:pPr>
      <w:r w:rsidRPr="00434156">
        <w:rPr>
          <w:rFonts w:ascii="Gill Sans MT" w:hAnsi="Gill Sans MT" w:cs="Times New Roman"/>
          <w:color w:val="002060"/>
          <w:sz w:val="24"/>
          <w:szCs w:val="24"/>
        </w:rPr>
        <w:t>W</w:t>
      </w:r>
      <w:r w:rsidR="00713DC3" w:rsidRPr="00434156">
        <w:rPr>
          <w:rFonts w:ascii="Gill Sans MT" w:hAnsi="Gill Sans MT" w:cs="Times New Roman"/>
          <w:color w:val="002060"/>
          <w:sz w:val="24"/>
          <w:szCs w:val="24"/>
        </w:rPr>
        <w:t xml:space="preserve">e </w:t>
      </w:r>
      <w:r w:rsidR="007561DA" w:rsidRPr="00434156">
        <w:rPr>
          <w:rFonts w:ascii="Gill Sans MT" w:hAnsi="Gill Sans MT" w:cs="Times New Roman"/>
          <w:color w:val="002060"/>
          <w:sz w:val="24"/>
          <w:szCs w:val="24"/>
        </w:rPr>
        <w:t>begin with an</w:t>
      </w:r>
      <w:r w:rsidR="00713DC3" w:rsidRPr="00434156">
        <w:rPr>
          <w:rFonts w:ascii="Gill Sans MT" w:hAnsi="Gill Sans MT" w:cs="Times New Roman"/>
          <w:color w:val="002060"/>
          <w:sz w:val="24"/>
          <w:szCs w:val="24"/>
        </w:rPr>
        <w:t xml:space="preserve"> </w:t>
      </w:r>
      <w:r w:rsidR="00901EAC" w:rsidRPr="00434156">
        <w:rPr>
          <w:rFonts w:ascii="Gill Sans MT" w:hAnsi="Gill Sans MT" w:cs="Times New Roman"/>
          <w:color w:val="002060"/>
          <w:sz w:val="24"/>
          <w:szCs w:val="24"/>
        </w:rPr>
        <w:t>AR</w:t>
      </w:r>
      <w:r w:rsidR="007561DA" w:rsidRPr="00434156">
        <w:rPr>
          <w:rFonts w:ascii="Gill Sans MT" w:hAnsi="Gill Sans MT" w:cs="Times New Roman"/>
          <w:color w:val="002060"/>
          <w:sz w:val="24"/>
          <w:szCs w:val="24"/>
        </w:rPr>
        <w:t>(1)</w:t>
      </w:r>
      <w:r w:rsidR="00901EAC" w:rsidRPr="00434156">
        <w:rPr>
          <w:rFonts w:ascii="Gill Sans MT" w:hAnsi="Gill Sans MT" w:cs="Times New Roman"/>
          <w:color w:val="002060"/>
          <w:sz w:val="24"/>
          <w:szCs w:val="24"/>
        </w:rPr>
        <w:t>-GARCH</w:t>
      </w:r>
      <w:r w:rsidR="007561DA" w:rsidRPr="00434156">
        <w:rPr>
          <w:rFonts w:ascii="Gill Sans MT" w:hAnsi="Gill Sans MT" w:cs="Times New Roman"/>
          <w:color w:val="002060"/>
          <w:sz w:val="24"/>
          <w:szCs w:val="24"/>
        </w:rPr>
        <w:t>(1,1)</w:t>
      </w:r>
      <w:r w:rsidR="00713DC3" w:rsidRPr="00434156">
        <w:rPr>
          <w:rFonts w:ascii="Gill Sans MT" w:hAnsi="Gill Sans MT" w:cs="Times New Roman"/>
          <w:color w:val="002060"/>
          <w:sz w:val="24"/>
          <w:szCs w:val="24"/>
        </w:rPr>
        <w:t xml:space="preserve"> model to </w:t>
      </w:r>
      <w:r w:rsidR="007561DA" w:rsidRPr="00434156">
        <w:rPr>
          <w:rFonts w:ascii="Gill Sans MT" w:hAnsi="Gill Sans MT" w:cs="Times New Roman"/>
          <w:color w:val="002060"/>
          <w:sz w:val="24"/>
          <w:szCs w:val="24"/>
        </w:rPr>
        <w:t xml:space="preserve">study volatility persistence in tourism demand; the autoregressive (AR) term would capture the fact that </w:t>
      </w:r>
      <w:r w:rsidR="00F77077" w:rsidRPr="00434156">
        <w:rPr>
          <w:rFonts w:ascii="Gill Sans MT" w:hAnsi="Gill Sans MT" w:cs="Times New Roman"/>
          <w:color w:val="002060"/>
          <w:sz w:val="24"/>
          <w:szCs w:val="24"/>
        </w:rPr>
        <w:t xml:space="preserve">past tourism demand determines a part of the current tourism demand (a persistence effect), whereas the time-varying volatility is presented by GARH(1,1) process. That is, the AR (1)-GARCH (1, 1) approach is: </w:t>
      </w:r>
    </w:p>
    <w:p w14:paraId="044E2C7F" w14:textId="77777777" w:rsidR="00F77077" w:rsidRPr="00434156" w:rsidRDefault="00F77077" w:rsidP="00F77077">
      <w:pPr>
        <w:autoSpaceDE w:val="0"/>
        <w:autoSpaceDN w:val="0"/>
        <w:adjustRightInd w:val="0"/>
        <w:spacing w:after="0" w:line="480" w:lineRule="auto"/>
        <w:jc w:val="both"/>
        <w:rPr>
          <w:rFonts w:ascii="Gill Sans MT" w:hAnsi="Gill Sans MT" w:cs="Times New Roman"/>
          <w:sz w:val="24"/>
          <w:szCs w:val="24"/>
        </w:rPr>
      </w:pPr>
    </w:p>
    <w:p w14:paraId="460DC686" w14:textId="77777777" w:rsidR="00F77077" w:rsidRPr="00434156" w:rsidRDefault="00F77077" w:rsidP="00F77077">
      <w:pPr>
        <w:autoSpaceDE w:val="0"/>
        <w:autoSpaceDN w:val="0"/>
        <w:adjustRightInd w:val="0"/>
        <w:spacing w:after="0" w:line="480" w:lineRule="auto"/>
        <w:jc w:val="both"/>
        <w:rPr>
          <w:rFonts w:ascii="Gill Sans MT" w:hAnsi="Gill Sans MT" w:cs="Times New Roman"/>
          <w:sz w:val="24"/>
          <w:szCs w:val="24"/>
        </w:rPr>
      </w:pPr>
      <w:r w:rsidRPr="00434156">
        <w:rPr>
          <w:rFonts w:ascii="Gill Sans MT" w:eastAsiaTheme="minorEastAsia" w:hAnsi="Gill Sans MT" w:cs="Times New Roman"/>
          <w:sz w:val="24"/>
          <w:szCs w:val="24"/>
        </w:rPr>
        <w:t xml:space="preserv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Tour</m:t>
            </m:r>
          </m:e>
          <m:sub>
            <m:r>
              <w:rPr>
                <w:rFonts w:ascii="Cambria Math" w:eastAsiaTheme="minorEastAsia" w:hAnsi="Cambria Math" w:cs="Times New Roman"/>
                <w:sz w:val="24"/>
                <w:szCs w:val="24"/>
              </w:rPr>
              <m:t>t</m:t>
            </m:r>
          </m:sub>
        </m:sSub>
        <m:r>
          <w:rPr>
            <w:rFonts w:ascii="Cambria Math" w:hAnsi="Cambria Math" w:cs="Times New Roman"/>
            <w:sz w:val="24"/>
            <w:szCs w:val="24"/>
          </w:rPr>
          <m:t>=π+ϕ</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Tour</m:t>
            </m:r>
          </m:e>
          <m:sub>
            <m:r>
              <w:rPr>
                <w:rFonts w:ascii="Cambria Math" w:eastAsiaTheme="minorEastAsia"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Pr="00434156">
        <w:rPr>
          <w:rFonts w:ascii="Gill Sans MT" w:eastAsiaTheme="minorEastAsia" w:hAnsi="Gill Sans MT" w:cs="Times New Roman"/>
          <w:sz w:val="24"/>
          <w:szCs w:val="24"/>
        </w:rPr>
        <w:t xml:space="preserve">                                                         (1)</w:t>
      </w:r>
    </w:p>
    <w:p w14:paraId="1985D9F9" w14:textId="77777777" w:rsidR="00F77077" w:rsidRPr="00434156" w:rsidRDefault="00F77077" w:rsidP="00F77077">
      <w:pPr>
        <w:autoSpaceDE w:val="0"/>
        <w:autoSpaceDN w:val="0"/>
        <w:adjustRightInd w:val="0"/>
        <w:spacing w:after="0" w:line="480" w:lineRule="auto"/>
        <w:jc w:val="both"/>
        <w:rPr>
          <w:rFonts w:ascii="Gill Sans MT" w:hAnsi="Gill Sans MT" w:cs="Times New Roman"/>
          <w:sz w:val="24"/>
          <w:szCs w:val="24"/>
        </w:rPr>
      </w:pPr>
    </w:p>
    <w:p w14:paraId="039F106A" w14:textId="0293B5F0" w:rsidR="00F77077" w:rsidRPr="00434156" w:rsidRDefault="00F77077" w:rsidP="00F77077">
      <w:pPr>
        <w:autoSpaceDE w:val="0"/>
        <w:autoSpaceDN w:val="0"/>
        <w:adjustRightInd w:val="0"/>
        <w:spacing w:after="0" w:line="480" w:lineRule="auto"/>
        <w:jc w:val="both"/>
        <w:rPr>
          <w:rFonts w:ascii="Gill Sans MT" w:hAnsi="Gill Sans MT" w:cs="Times New Roman"/>
          <w:sz w:val="24"/>
          <w:szCs w:val="24"/>
        </w:rPr>
      </w:pPr>
      <w:r w:rsidRPr="00434156">
        <w:rPr>
          <w:rFonts w:ascii="Gill Sans MT" w:hAnsi="Gill Sans MT" w:cs="Times New Roman"/>
          <w:sz w:val="24"/>
          <w:szCs w:val="24"/>
        </w:rPr>
        <w:t xml:space="preserve">where,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Tour</m:t>
            </m:r>
          </m:e>
          <m:sub>
            <m:r>
              <w:rPr>
                <w:rFonts w:ascii="Cambria Math" w:eastAsiaTheme="minorEastAsia" w:hAnsi="Cambria Math" w:cs="Times New Roman"/>
                <w:sz w:val="24"/>
                <w:szCs w:val="24"/>
              </w:rPr>
              <m:t>t</m:t>
            </m:r>
          </m:sub>
        </m:sSub>
      </m:oMath>
      <w:r w:rsidRPr="00434156">
        <w:rPr>
          <w:rFonts w:ascii="Gill Sans MT" w:eastAsiaTheme="minorEastAsia" w:hAnsi="Gill Sans MT" w:cs="Times New Roman"/>
          <w:sz w:val="24"/>
          <w:szCs w:val="24"/>
        </w:rPr>
        <w:t xml:space="preserve"> denotes the first-order difference of tourist arrivals at month </w:t>
      </w:r>
      <w:r w:rsidRPr="00434156">
        <w:rPr>
          <w:rFonts w:ascii="Gill Sans MT" w:eastAsiaTheme="minorEastAsia" w:hAnsi="Gill Sans MT" w:cs="Times New Roman"/>
          <w:i/>
          <w:sz w:val="24"/>
          <w:szCs w:val="24"/>
        </w:rPr>
        <w:t>t</w:t>
      </w:r>
      <w:r w:rsidRPr="00434156">
        <w:rPr>
          <w:rFonts w:ascii="Gill Sans MT" w:eastAsiaTheme="minorEastAsia" w:hAnsi="Gill Sans MT" w:cs="Times New Roman"/>
          <w:sz w:val="24"/>
          <w:szCs w:val="24"/>
        </w:rPr>
        <w:t xml:space="preserve">. The error term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Pr="00434156">
        <w:rPr>
          <w:rFonts w:ascii="Gill Sans MT" w:eastAsiaTheme="minorEastAsia" w:hAnsi="Gill Sans MT" w:cs="Times New Roman"/>
          <w:sz w:val="24"/>
          <w:szCs w:val="24"/>
        </w:rPr>
        <w:t xml:space="preserve"> is assumed to be normally distributed, but the </w:t>
      </w:r>
      <w:r w:rsidRPr="00434156">
        <w:rPr>
          <w:rFonts w:ascii="Gill Sans MT" w:hAnsi="Gill Sans MT" w:cs="Times New Roman"/>
          <w:sz w:val="24"/>
          <w:szCs w:val="24"/>
        </w:rPr>
        <w:t>conditional variance is presented by:</w:t>
      </w:r>
    </w:p>
    <w:p w14:paraId="3F07F063" w14:textId="4D7DBF49" w:rsidR="00F77077" w:rsidRPr="00434156" w:rsidRDefault="0053717B" w:rsidP="00F77077">
      <w:pPr>
        <w:autoSpaceDE w:val="0"/>
        <w:autoSpaceDN w:val="0"/>
        <w:adjustRightInd w:val="0"/>
        <w:spacing w:after="0" w:line="480" w:lineRule="auto"/>
        <w:jc w:val="both"/>
        <w:rPr>
          <w:rFonts w:ascii="Gill Sans MT" w:eastAsiaTheme="minorEastAsia" w:hAnsi="Gill Sans MT"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 xml:space="preserve">                                                                   h</m:t>
            </m:r>
          </m:e>
          <m:sub>
            <m:r>
              <w:rPr>
                <w:rFonts w:ascii="Cambria Math" w:hAnsi="Cambria Math" w:cs="Times New Roman"/>
                <w:sz w:val="24"/>
                <w:szCs w:val="24"/>
              </w:rPr>
              <m:t>t</m:t>
            </m:r>
          </m:sub>
          <m:sup>
            <m:r>
              <w:rPr>
                <w:rFonts w:ascii="Cambria Math" w:hAnsi="Cambria Math" w:cs="Times New Roman"/>
                <w:sz w:val="24"/>
                <w:szCs w:val="24"/>
              </w:rPr>
              <m:t>2</m:t>
            </m:r>
          </m:sup>
        </m:sSubSup>
        <m:r>
          <w:rPr>
            <w:rFonts w:ascii="Cambria Math" w:hAnsi="Cambria Math" w:cs="Times New Roman"/>
            <w:sz w:val="24"/>
            <w:szCs w:val="24"/>
          </w:rPr>
          <m:t>=ω+α</m:t>
        </m:r>
        <m:sSubSup>
          <m:sSubSupPr>
            <m:ctrlPr>
              <w:rPr>
                <w:rFonts w:ascii="Cambria Math" w:hAnsi="Cambria Math" w:cs="Times New Roman"/>
                <w:i/>
                <w:sz w:val="24"/>
                <w:szCs w:val="24"/>
              </w:rPr>
            </m:ctrlPr>
          </m:sSubSupPr>
          <m:e>
            <m:r>
              <w:rPr>
                <w:rFonts w:ascii="Cambria Math" w:hAnsi="Cambria Math" w:cs="Times New Roman"/>
                <w:sz w:val="24"/>
                <w:szCs w:val="24"/>
              </w:rPr>
              <m:t>ε</m:t>
            </m:r>
          </m:e>
          <m:sub>
            <m:r>
              <w:rPr>
                <w:rFonts w:ascii="Cambria Math" w:hAnsi="Cambria Math" w:cs="Times New Roman"/>
                <w:sz w:val="24"/>
                <w:szCs w:val="24"/>
              </w:rPr>
              <m:t>t-1</m:t>
            </m:r>
          </m:sub>
          <m:sup>
            <m:r>
              <w:rPr>
                <w:rFonts w:ascii="Cambria Math" w:hAnsi="Cambria Math" w:cs="Times New Roman"/>
                <w:sz w:val="24"/>
                <w:szCs w:val="24"/>
              </w:rPr>
              <m:t>2</m:t>
            </m:r>
          </m:sup>
        </m:sSubSup>
        <m:r>
          <w:rPr>
            <w:rFonts w:ascii="Cambria Math" w:hAnsi="Cambria Math" w:cs="Times New Roman"/>
            <w:sz w:val="24"/>
            <w:szCs w:val="24"/>
          </w:rPr>
          <m:t>+β</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t-1</m:t>
            </m:r>
          </m:sub>
          <m:sup>
            <m:r>
              <w:rPr>
                <w:rFonts w:ascii="Cambria Math" w:hAnsi="Cambria Math" w:cs="Times New Roman"/>
                <w:sz w:val="24"/>
                <w:szCs w:val="24"/>
              </w:rPr>
              <m:t>2</m:t>
            </m:r>
          </m:sup>
        </m:sSubSup>
      </m:oMath>
      <w:r w:rsidR="00F77077" w:rsidRPr="00434156">
        <w:rPr>
          <w:rFonts w:ascii="Gill Sans MT" w:eastAsiaTheme="minorEastAsia" w:hAnsi="Gill Sans MT" w:cs="Times New Roman"/>
          <w:sz w:val="24"/>
          <w:szCs w:val="24"/>
        </w:rPr>
        <w:t xml:space="preserve">                                             (2)              </w:t>
      </w:r>
    </w:p>
    <w:p w14:paraId="1531377E" w14:textId="302BB69D" w:rsidR="00F77077" w:rsidRPr="00434156" w:rsidRDefault="00F77077" w:rsidP="00F77077">
      <w:pPr>
        <w:autoSpaceDE w:val="0"/>
        <w:autoSpaceDN w:val="0"/>
        <w:adjustRightInd w:val="0"/>
        <w:spacing w:after="0" w:line="480" w:lineRule="auto"/>
        <w:jc w:val="both"/>
        <w:rPr>
          <w:rFonts w:ascii="Gill Sans MT" w:hAnsi="Gill Sans MT" w:cs="Times New Roman"/>
          <w:sz w:val="24"/>
          <w:szCs w:val="24"/>
        </w:rPr>
      </w:pPr>
      <w:r w:rsidRPr="00434156">
        <w:rPr>
          <w:rFonts w:ascii="Gill Sans MT" w:eastAsiaTheme="minorEastAsia" w:hAnsi="Gill Sans MT" w:cs="Times New Roman"/>
          <w:sz w:val="24"/>
          <w:szCs w:val="24"/>
        </w:rPr>
        <w:t xml:space="preserve">Where </w:t>
      </w:r>
      <m:oMath>
        <m:r>
          <w:rPr>
            <w:rFonts w:ascii="Cambria Math" w:hAnsi="Cambria Math" w:cs="Times New Roman"/>
            <w:sz w:val="24"/>
            <w:szCs w:val="24"/>
          </w:rPr>
          <m:t>α</m:t>
        </m:r>
      </m:oMath>
      <w:r w:rsidRPr="00434156">
        <w:rPr>
          <w:rFonts w:ascii="Gill Sans MT" w:hAnsi="Gill Sans MT" w:cs="Times New Roman"/>
          <w:sz w:val="24"/>
          <w:szCs w:val="24"/>
        </w:rPr>
        <w:t xml:space="preserve"> and </w:t>
      </w:r>
      <m:oMath>
        <m:r>
          <w:rPr>
            <w:rFonts w:ascii="Cambria Math" w:hAnsi="Cambria Math" w:cs="Times New Roman"/>
            <w:sz w:val="24"/>
            <w:szCs w:val="24"/>
          </w:rPr>
          <m:t>β</m:t>
        </m:r>
      </m:oMath>
      <w:r w:rsidRPr="00434156">
        <w:rPr>
          <w:rFonts w:ascii="Gill Sans MT" w:hAnsi="Gill Sans MT" w:cs="Times New Roman"/>
          <w:sz w:val="24"/>
          <w:szCs w:val="24"/>
        </w:rPr>
        <w:t xml:space="preserve"> are ARCH and GARCH parameters, </w:t>
      </w:r>
      <m:oMath>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t</m:t>
            </m:r>
          </m:sub>
          <m:sup>
            <m:r>
              <w:rPr>
                <w:rFonts w:ascii="Cambria Math" w:hAnsi="Cambria Math" w:cs="Times New Roman"/>
                <w:sz w:val="24"/>
                <w:szCs w:val="24"/>
              </w:rPr>
              <m:t>2</m:t>
            </m:r>
          </m:sup>
        </m:sSubSup>
      </m:oMath>
      <w:r w:rsidRPr="00434156">
        <w:rPr>
          <w:rFonts w:ascii="Gill Sans MT" w:hAnsi="Gill Sans MT" w:cs="Times New Roman"/>
          <w:sz w:val="24"/>
          <w:szCs w:val="24"/>
        </w:rPr>
        <w:t xml:space="preserve"> is the conditional variance at time </w:t>
      </w:r>
      <w:r w:rsidRPr="00434156">
        <w:rPr>
          <w:rFonts w:ascii="Gill Sans MT" w:hAnsi="Gill Sans MT" w:cs="Times New Roman"/>
          <w:i/>
          <w:sz w:val="24"/>
          <w:szCs w:val="24"/>
        </w:rPr>
        <w:t>t</w:t>
      </w:r>
      <w:r w:rsidRPr="00434156">
        <w:rPr>
          <w:rFonts w:ascii="Gill Sans MT" w:hAnsi="Gill Sans MT"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ε</m:t>
            </m:r>
          </m:e>
          <m:sub>
            <m:r>
              <w:rPr>
                <w:rFonts w:ascii="Cambria Math" w:hAnsi="Cambria Math" w:cs="Times New Roman"/>
                <w:sz w:val="24"/>
                <w:szCs w:val="24"/>
              </w:rPr>
              <m:t>t-1</m:t>
            </m:r>
          </m:sub>
          <m:sup>
            <m:r>
              <w:rPr>
                <w:rFonts w:ascii="Cambria Math" w:hAnsi="Cambria Math" w:cs="Times New Roman"/>
                <w:sz w:val="24"/>
                <w:szCs w:val="24"/>
              </w:rPr>
              <m:t>2</m:t>
            </m:r>
          </m:sup>
        </m:sSubSup>
      </m:oMath>
      <w:r w:rsidRPr="00434156">
        <w:rPr>
          <w:rFonts w:ascii="Gill Sans MT" w:eastAsiaTheme="minorEastAsia" w:hAnsi="Gill Sans MT" w:cs="Times New Roman"/>
          <w:sz w:val="24"/>
          <w:szCs w:val="24"/>
        </w:rPr>
        <w:t xml:space="preserve"> denotes the news impact at time </w:t>
      </w:r>
      <w:r w:rsidRPr="00434156">
        <w:rPr>
          <w:rFonts w:ascii="Gill Sans MT" w:eastAsiaTheme="minorEastAsia" w:hAnsi="Gill Sans MT" w:cs="Times New Roman"/>
          <w:i/>
          <w:sz w:val="24"/>
          <w:szCs w:val="24"/>
        </w:rPr>
        <w:t>t</w:t>
      </w:r>
      <w:r w:rsidRPr="00434156">
        <w:rPr>
          <w:rFonts w:ascii="Gill Sans MT" w:eastAsiaTheme="minorEastAsia" w:hAnsi="Gill Sans MT" w:cs="Times New Roman"/>
          <w:sz w:val="24"/>
          <w:szCs w:val="24"/>
        </w:rPr>
        <w:t xml:space="preserve">-1. </w:t>
      </w:r>
      <w:r w:rsidRPr="00434156">
        <w:rPr>
          <w:rFonts w:ascii="Gill Sans MT" w:hAnsi="Gill Sans MT" w:cs="Times New Roman"/>
          <w:sz w:val="24"/>
          <w:szCs w:val="24"/>
        </w:rPr>
        <w:t xml:space="preserve">The persistence of volatility is measured as </w:t>
      </w:r>
      <m:oMath>
        <m:r>
          <w:rPr>
            <w:rFonts w:ascii="Cambria Math" w:hAnsi="Cambria Math" w:cs="Times New Roman"/>
            <w:sz w:val="24"/>
            <w:szCs w:val="24"/>
          </w:rPr>
          <m:t>α+β</m:t>
        </m:r>
      </m:oMath>
      <w:r w:rsidRPr="00434156">
        <w:rPr>
          <w:rFonts w:ascii="Gill Sans MT" w:hAnsi="Gill Sans MT" w:cs="Times New Roman"/>
          <w:sz w:val="24"/>
          <w:szCs w:val="24"/>
        </w:rPr>
        <w:t>. In case, we expect asymmetric effect of shocks, we adopt</w:t>
      </w:r>
      <w:r w:rsidRPr="00434156">
        <w:rPr>
          <w:rFonts w:ascii="Gill Sans MT" w:eastAsiaTheme="minorEastAsia" w:hAnsi="Gill Sans MT" w:cs="Times New Roman"/>
          <w:sz w:val="24"/>
          <w:szCs w:val="24"/>
        </w:rPr>
        <w:t xml:space="preserve"> GJR-GARCH </w:t>
      </w:r>
      <w:r w:rsidRPr="00434156">
        <w:rPr>
          <w:rFonts w:ascii="Gill Sans MT" w:hAnsi="Gill Sans MT" w:cs="Times New Roman"/>
          <w:sz w:val="24"/>
          <w:szCs w:val="24"/>
        </w:rPr>
        <w:t>to examine whether positive or negative shocks (i.e., upward/downward shifts in the arrival series) have similar impacts on the conditional variance (</w:t>
      </w:r>
      <w:proofErr w:type="spellStart"/>
      <w:r w:rsidRPr="00434156">
        <w:rPr>
          <w:rFonts w:ascii="Gill Sans MT" w:hAnsi="Gill Sans MT" w:cs="Times New Roman"/>
          <w:i/>
          <w:sz w:val="24"/>
          <w:szCs w:val="24"/>
        </w:rPr>
        <w:t>h</w:t>
      </w:r>
      <w:r w:rsidRPr="00434156">
        <w:rPr>
          <w:rFonts w:ascii="Gill Sans MT" w:hAnsi="Gill Sans MT" w:cs="Times New Roman"/>
          <w:i/>
          <w:sz w:val="24"/>
          <w:szCs w:val="24"/>
          <w:vertAlign w:val="subscript"/>
        </w:rPr>
        <w:t>t</w:t>
      </w:r>
      <w:proofErr w:type="spellEnd"/>
      <w:r w:rsidRPr="00434156">
        <w:rPr>
          <w:rFonts w:ascii="Gill Sans MT" w:hAnsi="Gill Sans MT" w:cs="Times New Roman"/>
          <w:sz w:val="24"/>
          <w:szCs w:val="24"/>
        </w:rPr>
        <w:t>):</w:t>
      </w:r>
    </w:p>
    <w:p w14:paraId="1C2A9ABE" w14:textId="77777777" w:rsidR="00F77077" w:rsidRPr="00434156" w:rsidRDefault="00F77077" w:rsidP="00F77077">
      <w:pPr>
        <w:autoSpaceDE w:val="0"/>
        <w:autoSpaceDN w:val="0"/>
        <w:adjustRightInd w:val="0"/>
        <w:spacing w:after="0" w:line="480" w:lineRule="auto"/>
        <w:jc w:val="both"/>
        <w:rPr>
          <w:rFonts w:ascii="Gill Sans MT" w:eastAsiaTheme="minorEastAsia" w:hAnsi="Gill Sans MT" w:cs="Times New Roman"/>
          <w:sz w:val="24"/>
          <w:szCs w:val="24"/>
        </w:rPr>
      </w:pPr>
    </w:p>
    <w:p w14:paraId="297F26D1" w14:textId="77777777" w:rsidR="00F77077" w:rsidRPr="00434156" w:rsidRDefault="0053717B" w:rsidP="00F77077">
      <w:pPr>
        <w:autoSpaceDE w:val="0"/>
        <w:autoSpaceDN w:val="0"/>
        <w:adjustRightInd w:val="0"/>
        <w:spacing w:after="0" w:line="480" w:lineRule="auto"/>
        <w:jc w:val="both"/>
        <w:rPr>
          <w:rFonts w:ascii="Gill Sans MT" w:hAnsi="Gill Sans MT"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 xml:space="preserve">                                                    h</m:t>
            </m:r>
          </m:e>
          <m:sub>
            <m:r>
              <w:rPr>
                <w:rFonts w:ascii="Cambria Math" w:hAnsi="Cambria Math" w:cs="Times New Roman"/>
                <w:sz w:val="24"/>
                <w:szCs w:val="24"/>
              </w:rPr>
              <m:t>t</m:t>
            </m:r>
          </m:sub>
          <m:sup>
            <m:r>
              <w:rPr>
                <w:rFonts w:ascii="Cambria Math" w:hAnsi="Cambria Math" w:cs="Times New Roman"/>
                <w:sz w:val="24"/>
                <w:szCs w:val="24"/>
              </w:rPr>
              <m:t>2</m:t>
            </m:r>
          </m:sup>
        </m:sSubSup>
        <m:r>
          <w:rPr>
            <w:rFonts w:ascii="Cambria Math" w:hAnsi="Cambria Math" w:cs="Times New Roman"/>
            <w:sz w:val="24"/>
            <w:szCs w:val="24"/>
          </w:rPr>
          <m:t>=ω+α</m:t>
        </m:r>
        <m:sSubSup>
          <m:sSubSupPr>
            <m:ctrlPr>
              <w:rPr>
                <w:rFonts w:ascii="Cambria Math" w:hAnsi="Cambria Math" w:cs="Times New Roman"/>
                <w:i/>
                <w:sz w:val="24"/>
                <w:szCs w:val="24"/>
              </w:rPr>
            </m:ctrlPr>
          </m:sSubSupPr>
          <m:e>
            <m:r>
              <w:rPr>
                <w:rFonts w:ascii="Cambria Math" w:hAnsi="Cambria Math" w:cs="Times New Roman"/>
                <w:sz w:val="24"/>
                <w:szCs w:val="24"/>
              </w:rPr>
              <m:t>ε</m:t>
            </m:r>
          </m:e>
          <m:sub>
            <m:r>
              <w:rPr>
                <w:rFonts w:ascii="Cambria Math" w:hAnsi="Cambria Math" w:cs="Times New Roman"/>
                <w:sz w:val="24"/>
                <w:szCs w:val="24"/>
              </w:rPr>
              <m:t>t-1</m:t>
            </m:r>
          </m:sub>
          <m:sup>
            <m:r>
              <w:rPr>
                <w:rFonts w:ascii="Cambria Math" w:hAnsi="Cambria Math" w:cs="Times New Roman"/>
                <w:sz w:val="24"/>
                <w:szCs w:val="24"/>
              </w:rPr>
              <m:t>2</m:t>
            </m:r>
          </m:sup>
        </m:sSubSup>
        <m:r>
          <w:rPr>
            <w:rFonts w:ascii="Cambria Math" w:hAnsi="Cambria Math" w:cs="Times New Roman"/>
            <w:sz w:val="24"/>
            <w:szCs w:val="24"/>
          </w:rPr>
          <m:t>+γ</m:t>
        </m:r>
        <m:sSubSup>
          <m:sSubSupPr>
            <m:ctrlPr>
              <w:rPr>
                <w:rFonts w:ascii="Cambria Math" w:hAnsi="Cambria Math" w:cs="Times New Roman"/>
                <w:i/>
                <w:sz w:val="24"/>
                <w:szCs w:val="24"/>
              </w:rPr>
            </m:ctrlPr>
          </m:sSubSupPr>
          <m:e>
            <m:r>
              <w:rPr>
                <w:rFonts w:ascii="Cambria Math" w:hAnsi="Cambria Math" w:cs="Times New Roman"/>
                <w:sz w:val="24"/>
                <w:szCs w:val="24"/>
              </w:rPr>
              <m:t>ε</m:t>
            </m:r>
          </m:e>
          <m:sub>
            <m:r>
              <w:rPr>
                <w:rFonts w:ascii="Cambria Math" w:hAnsi="Cambria Math" w:cs="Times New Roman"/>
                <w:sz w:val="24"/>
                <w:szCs w:val="24"/>
              </w:rPr>
              <m:t>t-1</m:t>
            </m:r>
          </m:sub>
          <m:sup>
            <m:r>
              <w:rPr>
                <w:rFonts w:ascii="Cambria Math" w:hAnsi="Cambria Math" w:cs="Times New Roman"/>
                <w:sz w:val="24"/>
                <w:szCs w:val="24"/>
              </w:rPr>
              <m:t>2</m:t>
            </m:r>
          </m:sup>
        </m:sSub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r>
          <w:rPr>
            <w:rFonts w:ascii="Cambria Math" w:hAnsi="Cambria Math" w:cs="Times New Roman"/>
            <w:sz w:val="24"/>
            <w:szCs w:val="24"/>
          </w:rPr>
          <m:t>+β</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t-1</m:t>
            </m:r>
          </m:sub>
          <m:sup>
            <m:r>
              <w:rPr>
                <w:rFonts w:ascii="Cambria Math" w:hAnsi="Cambria Math" w:cs="Times New Roman"/>
                <w:sz w:val="24"/>
                <w:szCs w:val="24"/>
              </w:rPr>
              <m:t>2</m:t>
            </m:r>
          </m:sup>
        </m:sSubSup>
      </m:oMath>
      <w:r w:rsidR="00F77077" w:rsidRPr="00434156">
        <w:rPr>
          <w:rFonts w:ascii="Gill Sans MT" w:eastAsiaTheme="minorEastAsia" w:hAnsi="Gill Sans MT" w:cs="Times New Roman"/>
          <w:sz w:val="24"/>
          <w:szCs w:val="24"/>
        </w:rPr>
        <w:t xml:space="preserve">                                           (3)</w:t>
      </w:r>
    </w:p>
    <w:p w14:paraId="0E00F7D2" w14:textId="77777777" w:rsidR="00F77077" w:rsidRPr="00434156" w:rsidRDefault="00F77077" w:rsidP="00F77077">
      <w:pPr>
        <w:autoSpaceDE w:val="0"/>
        <w:autoSpaceDN w:val="0"/>
        <w:adjustRightInd w:val="0"/>
        <w:spacing w:after="0" w:line="480" w:lineRule="auto"/>
        <w:jc w:val="both"/>
        <w:rPr>
          <w:rFonts w:ascii="Gill Sans MT" w:hAnsi="Gill Sans MT" w:cs="Times New Roman"/>
          <w:sz w:val="24"/>
          <w:szCs w:val="24"/>
        </w:rPr>
      </w:pPr>
    </w:p>
    <w:p w14:paraId="2EBF9C5A" w14:textId="22F5B1FC" w:rsidR="00522DF3" w:rsidRPr="00434156" w:rsidRDefault="00F77077" w:rsidP="008A3B63">
      <w:pPr>
        <w:autoSpaceDE w:val="0"/>
        <w:autoSpaceDN w:val="0"/>
        <w:adjustRightInd w:val="0"/>
        <w:spacing w:after="0" w:line="480" w:lineRule="auto"/>
        <w:jc w:val="both"/>
        <w:rPr>
          <w:rFonts w:ascii="Gill Sans MT" w:hAnsi="Gill Sans MT" w:cs="Times New Roman"/>
          <w:sz w:val="24"/>
          <w:szCs w:val="24"/>
        </w:rPr>
      </w:pPr>
      <w:r w:rsidRPr="00434156">
        <w:rPr>
          <w:rFonts w:ascii="Gill Sans MT" w:hAnsi="Gill Sans MT" w:cs="Times New Roman"/>
          <w:sz w:val="24"/>
          <w:szCs w:val="24"/>
        </w:rPr>
        <w:t xml:space="preserve">where </w:t>
      </w:r>
      <m:oMath>
        <m:r>
          <w:rPr>
            <w:rFonts w:ascii="Cambria Math" w:hAnsi="Cambria Math" w:cs="Times New Roman"/>
            <w:sz w:val="24"/>
            <w:szCs w:val="24"/>
          </w:rPr>
          <m:t>γ</m:t>
        </m:r>
      </m:oMath>
      <w:r w:rsidRPr="00434156">
        <w:rPr>
          <w:rFonts w:ascii="Gill Sans MT" w:eastAsiaTheme="minorEastAsia" w:hAnsi="Gill Sans MT" w:cs="Times New Roman"/>
          <w:sz w:val="24"/>
          <w:szCs w:val="24"/>
        </w:rPr>
        <w:t xml:space="preserve"> is the asymmetric parameter,</w:t>
      </w:r>
      <w:r w:rsidRPr="00434156">
        <w:rPr>
          <w:rFonts w:ascii="Gill Sans MT" w:hAnsi="Gill Sans MT"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oMath>
      <w:r w:rsidRPr="00434156">
        <w:rPr>
          <w:rFonts w:ascii="Gill Sans MT" w:hAnsi="Gill Sans MT" w:cs="Times New Roman"/>
          <w:sz w:val="24"/>
          <w:szCs w:val="24"/>
        </w:rPr>
        <w:t xml:space="preserve"> indicates a dummy variable taking the value 1 when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t-1</m:t>
            </m:r>
          </m:sub>
        </m:sSub>
      </m:oMath>
      <w:r w:rsidRPr="00434156">
        <w:rPr>
          <w:rFonts w:ascii="Gill Sans MT" w:hAnsi="Gill Sans MT" w:cs="Times New Roman"/>
          <w:sz w:val="24"/>
          <w:szCs w:val="24"/>
        </w:rPr>
        <w:t xml:space="preserve">is negative and 0 otherwise. For this approach, the persistence of volatility amounts to  </w:t>
      </w:r>
      <m:oMath>
        <m:r>
          <w:rPr>
            <w:rFonts w:ascii="Cambria Math" w:hAnsi="Cambria Math" w:cs="Times New Roman"/>
            <w:sz w:val="24"/>
            <w:szCs w:val="24"/>
          </w:rPr>
          <m:t>α+β+</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eastAsiaTheme="minorEastAsia" w:hAnsi="Cambria Math" w:cs="Times New Roman"/>
            <w:sz w:val="24"/>
            <w:szCs w:val="24"/>
          </w:rPr>
          <m:t>γ</m:t>
        </m:r>
      </m:oMath>
      <w:r w:rsidRPr="00434156">
        <w:rPr>
          <w:rFonts w:ascii="Gill Sans MT" w:hAnsi="Gill Sans MT" w:cs="Times New Roman"/>
          <w:sz w:val="24"/>
          <w:szCs w:val="24"/>
        </w:rPr>
        <w:t xml:space="preserve">. Moreover, to accommodate the possibility of structural breaks in our tourist arrival series we employ multiple break point test as in </w:t>
      </w:r>
      <w:r w:rsidR="00BE50F1" w:rsidRPr="00434156">
        <w:rPr>
          <w:rFonts w:ascii="Gill Sans MT" w:hAnsi="Gill Sans MT" w:cs="Times New Roman"/>
          <w:sz w:val="24"/>
          <w:szCs w:val="24"/>
        </w:rPr>
        <w:t xml:space="preserve">Bai and </w:t>
      </w:r>
      <w:proofErr w:type="spellStart"/>
      <w:r w:rsidR="00D02BA5" w:rsidRPr="00434156">
        <w:rPr>
          <w:rFonts w:ascii="Gill Sans MT" w:hAnsi="Gill Sans MT" w:cs="Times New Roman"/>
          <w:sz w:val="24"/>
          <w:szCs w:val="24"/>
        </w:rPr>
        <w:t>Perron</w:t>
      </w:r>
      <w:proofErr w:type="spellEnd"/>
      <w:r w:rsidR="00BE50F1" w:rsidRPr="00434156">
        <w:rPr>
          <w:rFonts w:ascii="Gill Sans MT" w:hAnsi="Gill Sans MT" w:cs="Times New Roman"/>
          <w:sz w:val="24"/>
          <w:szCs w:val="24"/>
        </w:rPr>
        <w:t xml:space="preserve"> (1998, 2003a, b)</w:t>
      </w:r>
      <w:r w:rsidR="00BD7648" w:rsidRPr="00434156">
        <w:rPr>
          <w:rFonts w:ascii="Gill Sans MT" w:hAnsi="Gill Sans MT" w:cs="Times New Roman"/>
          <w:sz w:val="24"/>
          <w:szCs w:val="24"/>
        </w:rPr>
        <w:t>.</w:t>
      </w:r>
      <w:r w:rsidR="00BE50F1" w:rsidRPr="00434156">
        <w:rPr>
          <w:rFonts w:ascii="Gill Sans MT" w:hAnsi="Gill Sans MT" w:cs="Times New Roman"/>
          <w:sz w:val="24"/>
          <w:szCs w:val="24"/>
        </w:rPr>
        <w:t xml:space="preserve"> </w:t>
      </w:r>
      <w:r w:rsidRPr="00434156">
        <w:rPr>
          <w:rFonts w:ascii="Gill Sans MT" w:hAnsi="Gill Sans MT" w:cs="Times New Roman"/>
          <w:sz w:val="24"/>
          <w:szCs w:val="24"/>
        </w:rPr>
        <w:t xml:space="preserve">We can then extend </w:t>
      </w:r>
      <w:r w:rsidR="0018170E" w:rsidRPr="00434156">
        <w:rPr>
          <w:rFonts w:ascii="Gill Sans MT" w:hAnsi="Gill Sans MT" w:cs="Times New Roman"/>
          <w:sz w:val="24"/>
          <w:szCs w:val="24"/>
        </w:rPr>
        <w:t>E</w:t>
      </w:r>
      <w:r w:rsidR="00522DF3" w:rsidRPr="00434156">
        <w:rPr>
          <w:rFonts w:ascii="Gill Sans MT" w:hAnsi="Gill Sans MT" w:cs="Times New Roman"/>
          <w:sz w:val="24"/>
          <w:szCs w:val="24"/>
        </w:rPr>
        <w:t>quation 2 as follows</w:t>
      </w:r>
    </w:p>
    <w:p w14:paraId="07DDFAF8" w14:textId="77777777" w:rsidR="00D9673B" w:rsidRPr="00434156" w:rsidRDefault="00D9673B" w:rsidP="008A3B63">
      <w:pPr>
        <w:autoSpaceDE w:val="0"/>
        <w:autoSpaceDN w:val="0"/>
        <w:adjustRightInd w:val="0"/>
        <w:spacing w:after="0" w:line="480" w:lineRule="auto"/>
        <w:jc w:val="both"/>
        <w:rPr>
          <w:rFonts w:ascii="Gill Sans MT" w:hAnsi="Gill Sans MT" w:cs="Times New Roman"/>
          <w:sz w:val="24"/>
          <w:szCs w:val="24"/>
        </w:rPr>
      </w:pPr>
    </w:p>
    <w:p w14:paraId="69F1C080" w14:textId="77777777" w:rsidR="00522DF3" w:rsidRPr="00434156" w:rsidRDefault="0053717B" w:rsidP="008A3B63">
      <w:pPr>
        <w:autoSpaceDE w:val="0"/>
        <w:autoSpaceDN w:val="0"/>
        <w:adjustRightInd w:val="0"/>
        <w:spacing w:after="0" w:line="480" w:lineRule="auto"/>
        <w:jc w:val="both"/>
        <w:rPr>
          <w:rFonts w:ascii="Gill Sans MT" w:hAnsi="Gill Sans MT"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 xml:space="preserve">                                      h</m:t>
            </m:r>
          </m:e>
          <m:sub>
            <m:r>
              <w:rPr>
                <w:rFonts w:ascii="Cambria Math" w:hAnsi="Cambria Math" w:cs="Times New Roman"/>
                <w:sz w:val="24"/>
                <w:szCs w:val="24"/>
              </w:rPr>
              <m:t>t</m:t>
            </m:r>
          </m:sub>
          <m:sup>
            <m:r>
              <w:rPr>
                <w:rFonts w:ascii="Cambria Math" w:hAnsi="Cambria Math" w:cs="Times New Roman"/>
                <w:sz w:val="24"/>
                <w:szCs w:val="24"/>
              </w:rPr>
              <m:t>2</m:t>
            </m:r>
          </m:sup>
        </m:sSubSup>
        <m:r>
          <w:rPr>
            <w:rFonts w:ascii="Cambria Math" w:hAnsi="Cambria Math"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n</m:t>
            </m:r>
          </m:sub>
        </m:sSub>
        <m:r>
          <w:rPr>
            <w:rFonts w:ascii="Cambria Math" w:hAnsi="Cambria Math" w:cs="Times New Roman"/>
            <w:sz w:val="24"/>
            <w:szCs w:val="24"/>
          </w:rPr>
          <m:t>+α</m:t>
        </m:r>
        <m:sSubSup>
          <m:sSubSupPr>
            <m:ctrlPr>
              <w:rPr>
                <w:rFonts w:ascii="Cambria Math" w:hAnsi="Cambria Math" w:cs="Times New Roman"/>
                <w:i/>
                <w:sz w:val="24"/>
                <w:szCs w:val="24"/>
              </w:rPr>
            </m:ctrlPr>
          </m:sSubSupPr>
          <m:e>
            <m:r>
              <w:rPr>
                <w:rFonts w:ascii="Cambria Math" w:hAnsi="Cambria Math" w:cs="Times New Roman"/>
                <w:sz w:val="24"/>
                <w:szCs w:val="24"/>
              </w:rPr>
              <m:t>ε</m:t>
            </m:r>
          </m:e>
          <m:sub>
            <m:r>
              <w:rPr>
                <w:rFonts w:ascii="Cambria Math" w:hAnsi="Cambria Math" w:cs="Times New Roman"/>
                <w:sz w:val="24"/>
                <w:szCs w:val="24"/>
              </w:rPr>
              <m:t>t-1</m:t>
            </m:r>
          </m:sub>
          <m:sup>
            <m:r>
              <w:rPr>
                <w:rFonts w:ascii="Cambria Math" w:hAnsi="Cambria Math" w:cs="Times New Roman"/>
                <w:sz w:val="24"/>
                <w:szCs w:val="24"/>
              </w:rPr>
              <m:t>2</m:t>
            </m:r>
          </m:sup>
        </m:sSubSup>
        <m:r>
          <w:rPr>
            <w:rFonts w:ascii="Cambria Math" w:hAnsi="Cambria Math" w:cs="Times New Roman"/>
            <w:sz w:val="24"/>
            <w:szCs w:val="24"/>
          </w:rPr>
          <m:t>+β</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t-1</m:t>
            </m:r>
          </m:sub>
          <m:sup>
            <m:r>
              <w:rPr>
                <w:rFonts w:ascii="Cambria Math" w:hAnsi="Cambria Math" w:cs="Times New Roman"/>
                <w:sz w:val="24"/>
                <w:szCs w:val="24"/>
              </w:rPr>
              <m:t>2</m:t>
            </m:r>
          </m:sup>
        </m:sSubSup>
      </m:oMath>
      <w:r w:rsidR="00522DF3" w:rsidRPr="00434156">
        <w:rPr>
          <w:rFonts w:ascii="Gill Sans MT" w:eastAsiaTheme="minorEastAsia" w:hAnsi="Gill Sans MT" w:cs="Times New Roman"/>
          <w:sz w:val="24"/>
          <w:szCs w:val="24"/>
        </w:rPr>
        <w:t xml:space="preserve">                                         (</w:t>
      </w:r>
      <w:r w:rsidR="00377449" w:rsidRPr="00434156">
        <w:rPr>
          <w:rFonts w:ascii="Gill Sans MT" w:eastAsiaTheme="minorEastAsia" w:hAnsi="Gill Sans MT" w:cs="Times New Roman"/>
          <w:sz w:val="24"/>
          <w:szCs w:val="24"/>
        </w:rPr>
        <w:t>4</w:t>
      </w:r>
      <w:r w:rsidR="00522DF3" w:rsidRPr="00434156">
        <w:rPr>
          <w:rFonts w:ascii="Gill Sans MT" w:eastAsiaTheme="minorEastAsia" w:hAnsi="Gill Sans MT" w:cs="Times New Roman"/>
          <w:sz w:val="24"/>
          <w:szCs w:val="24"/>
        </w:rPr>
        <w:t>)</w:t>
      </w:r>
    </w:p>
    <w:p w14:paraId="7A72E87B" w14:textId="77777777" w:rsidR="00D9673B" w:rsidRPr="00434156" w:rsidRDefault="00D9673B" w:rsidP="008A3B63">
      <w:pPr>
        <w:spacing w:line="480" w:lineRule="auto"/>
        <w:jc w:val="both"/>
        <w:rPr>
          <w:rFonts w:ascii="Gill Sans MT" w:hAnsi="Gill Sans MT" w:cs="Times New Roman"/>
          <w:sz w:val="24"/>
          <w:szCs w:val="24"/>
        </w:rPr>
      </w:pPr>
    </w:p>
    <w:p w14:paraId="254DABCC" w14:textId="5923A12C" w:rsidR="00C40323" w:rsidRPr="00434156" w:rsidRDefault="00254067" w:rsidP="008A3B63">
      <w:pPr>
        <w:spacing w:line="480" w:lineRule="auto"/>
        <w:jc w:val="both"/>
        <w:rPr>
          <w:rFonts w:ascii="Gill Sans MT" w:hAnsi="Gill Sans MT" w:cs="Times New Roman"/>
          <w:sz w:val="24"/>
          <w:szCs w:val="24"/>
        </w:rPr>
      </w:pPr>
      <w:r w:rsidRPr="00434156">
        <w:rPr>
          <w:rFonts w:ascii="Gill Sans MT" w:hAnsi="Gill Sans MT" w:cs="Times New Roman"/>
          <w:sz w:val="24"/>
          <w:szCs w:val="24"/>
        </w:rPr>
        <w:t>where,</w:t>
      </w:r>
      <w:r w:rsidR="00522DF3" w:rsidRPr="00434156">
        <w:rPr>
          <w:rFonts w:ascii="Gill Sans MT" w:hAnsi="Gill Sans MT"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n</m:t>
            </m:r>
          </m:sub>
        </m:sSub>
      </m:oMath>
      <w:r w:rsidR="00522DF3" w:rsidRPr="00434156">
        <w:rPr>
          <w:rFonts w:ascii="Gill Sans MT" w:eastAsiaTheme="minorEastAsia" w:hAnsi="Gill Sans MT" w:cs="Times New Roman"/>
          <w:sz w:val="24"/>
          <w:szCs w:val="24"/>
        </w:rPr>
        <w:t xml:space="preserve"> </w:t>
      </w:r>
      <w:r w:rsidR="00522DF3" w:rsidRPr="00434156">
        <w:rPr>
          <w:rFonts w:ascii="Gill Sans MT" w:hAnsi="Gill Sans MT" w:cs="Times New Roman"/>
          <w:sz w:val="24"/>
          <w:szCs w:val="24"/>
        </w:rPr>
        <w:t xml:space="preserve">indicate the dummy variables which are equal to one for the break periods and zero elsewhere. The same extension applies to the GJR-GARCH process.  </w:t>
      </w:r>
      <w:r w:rsidR="008D3950" w:rsidRPr="00434156">
        <w:rPr>
          <w:rFonts w:ascii="Gill Sans MT" w:hAnsi="Gill Sans MT" w:cs="Times New Roman"/>
          <w:sz w:val="24"/>
          <w:szCs w:val="24"/>
        </w:rPr>
        <w:t>Our assumed breakpoint is Brexit proposal, around which we would like to estimate the dependence structure of tourism demand as well as the dependence pattern in their volatilities.</w:t>
      </w:r>
    </w:p>
    <w:p w14:paraId="2FC4875A" w14:textId="77777777" w:rsidR="009E0B5E" w:rsidRPr="00434156" w:rsidRDefault="009E0B5E" w:rsidP="008A3B63">
      <w:pPr>
        <w:spacing w:line="480" w:lineRule="auto"/>
        <w:jc w:val="both"/>
        <w:rPr>
          <w:rFonts w:ascii="Gill Sans MT" w:hAnsi="Gill Sans MT" w:cs="Times New Roman"/>
          <w:sz w:val="24"/>
          <w:szCs w:val="24"/>
        </w:rPr>
      </w:pPr>
      <w:r w:rsidRPr="00434156">
        <w:rPr>
          <w:rFonts w:ascii="Gill Sans MT" w:hAnsi="Gill Sans MT" w:cs="Times New Roman"/>
          <w:sz w:val="24"/>
          <w:szCs w:val="24"/>
        </w:rPr>
        <w:t>Moreover, to observe the impact of BREXIT, we consider the following volatility equation:</w:t>
      </w:r>
    </w:p>
    <w:p w14:paraId="21896429" w14:textId="77777777" w:rsidR="009E0B5E" w:rsidRPr="00434156" w:rsidRDefault="0017245C" w:rsidP="008A3B63">
      <w:pPr>
        <w:autoSpaceDE w:val="0"/>
        <w:autoSpaceDN w:val="0"/>
        <w:adjustRightInd w:val="0"/>
        <w:spacing w:after="0" w:line="480" w:lineRule="auto"/>
        <w:jc w:val="both"/>
        <w:rPr>
          <w:rFonts w:ascii="Gill Sans MT" w:hAnsi="Gill Sans MT" w:cs="Times New Roman"/>
          <w:sz w:val="24"/>
          <w:szCs w:val="24"/>
        </w:rPr>
      </w:pPr>
      <w:r w:rsidRPr="00434156">
        <w:rPr>
          <w:rFonts w:ascii="Gill Sans MT" w:hAnsi="Gill Sans MT"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 xml:space="preserve">                                     h</m:t>
            </m:r>
          </m:e>
          <m:sub>
            <m:r>
              <w:rPr>
                <w:rFonts w:ascii="Cambria Math" w:hAnsi="Cambria Math" w:cs="Times New Roman"/>
                <w:sz w:val="24"/>
                <w:szCs w:val="24"/>
              </w:rPr>
              <m:t>t</m:t>
            </m:r>
          </m:sub>
          <m:sup>
            <m:r>
              <w:rPr>
                <w:rFonts w:ascii="Cambria Math" w:hAnsi="Cambria Math" w:cs="Times New Roman"/>
                <w:sz w:val="24"/>
                <w:szCs w:val="24"/>
              </w:rPr>
              <m:t>2</m:t>
            </m:r>
          </m:sup>
        </m:sSubSup>
        <m:r>
          <w:rPr>
            <w:rFonts w:ascii="Cambria Math" w:hAnsi="Cambria Math" w:cs="Times New Roman"/>
            <w:sz w:val="24"/>
            <w:szCs w:val="24"/>
          </w:rPr>
          <m:t>=ω+</m:t>
        </m:r>
        <m:r>
          <w:rPr>
            <w:rFonts w:ascii="Cambria Math" w:eastAsiaTheme="minorEastAsia" w:hAnsi="Cambria Math" w:cs="Times New Roman"/>
            <w:sz w:val="24"/>
            <w:szCs w:val="24"/>
          </w:rPr>
          <m:t>δ</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BREXIT</m:t>
            </m:r>
          </m:e>
          <m:sub>
            <m:r>
              <w:rPr>
                <w:rFonts w:ascii="Cambria Math" w:eastAsiaTheme="minorEastAsia" w:hAnsi="Cambria Math" w:cs="Times New Roman"/>
                <w:sz w:val="24"/>
                <w:szCs w:val="24"/>
              </w:rPr>
              <m:t>t</m:t>
            </m:r>
          </m:sub>
        </m:sSub>
        <m:r>
          <w:rPr>
            <w:rFonts w:ascii="Cambria Math" w:hAnsi="Cambria Math" w:cs="Times New Roman"/>
            <w:sz w:val="24"/>
            <w:szCs w:val="24"/>
          </w:rPr>
          <m:t>+α</m:t>
        </m:r>
        <m:sSubSup>
          <m:sSubSupPr>
            <m:ctrlPr>
              <w:rPr>
                <w:rFonts w:ascii="Cambria Math" w:hAnsi="Cambria Math" w:cs="Times New Roman"/>
                <w:i/>
                <w:sz w:val="24"/>
                <w:szCs w:val="24"/>
              </w:rPr>
            </m:ctrlPr>
          </m:sSubSupPr>
          <m:e>
            <m:r>
              <w:rPr>
                <w:rFonts w:ascii="Cambria Math" w:hAnsi="Cambria Math" w:cs="Times New Roman"/>
                <w:sz w:val="24"/>
                <w:szCs w:val="24"/>
              </w:rPr>
              <m:t>ε</m:t>
            </m:r>
          </m:e>
          <m:sub>
            <m:r>
              <w:rPr>
                <w:rFonts w:ascii="Cambria Math" w:hAnsi="Cambria Math" w:cs="Times New Roman"/>
                <w:sz w:val="24"/>
                <w:szCs w:val="24"/>
              </w:rPr>
              <m:t>t-1</m:t>
            </m:r>
          </m:sub>
          <m:sup>
            <m:r>
              <w:rPr>
                <w:rFonts w:ascii="Cambria Math" w:hAnsi="Cambria Math" w:cs="Times New Roman"/>
                <w:sz w:val="24"/>
                <w:szCs w:val="24"/>
              </w:rPr>
              <m:t>2</m:t>
            </m:r>
          </m:sup>
        </m:sSubSup>
        <m:r>
          <w:rPr>
            <w:rFonts w:ascii="Cambria Math" w:hAnsi="Cambria Math" w:cs="Times New Roman"/>
            <w:sz w:val="24"/>
            <w:szCs w:val="24"/>
          </w:rPr>
          <m:t>+β</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t-1</m:t>
            </m:r>
          </m:sub>
          <m:sup>
            <m:r>
              <w:rPr>
                <w:rFonts w:ascii="Cambria Math" w:hAnsi="Cambria Math" w:cs="Times New Roman"/>
                <w:sz w:val="24"/>
                <w:szCs w:val="24"/>
              </w:rPr>
              <m:t>2</m:t>
            </m:r>
          </m:sup>
        </m:sSubSup>
      </m:oMath>
      <w:r w:rsidR="009E0B5E" w:rsidRPr="00434156">
        <w:rPr>
          <w:rFonts w:ascii="Gill Sans MT" w:eastAsiaTheme="minorEastAsia" w:hAnsi="Gill Sans MT" w:cs="Times New Roman"/>
          <w:sz w:val="24"/>
          <w:szCs w:val="24"/>
        </w:rPr>
        <w:t xml:space="preserve">                                                      (5)</w:t>
      </w:r>
    </w:p>
    <w:p w14:paraId="2ED431EB" w14:textId="77777777" w:rsidR="00522DF3" w:rsidRPr="00434156" w:rsidRDefault="00522DF3" w:rsidP="008A3B63">
      <w:pPr>
        <w:spacing w:line="480" w:lineRule="auto"/>
        <w:jc w:val="both"/>
        <w:rPr>
          <w:rFonts w:ascii="Gill Sans MT" w:hAnsi="Gill Sans MT" w:cs="Times New Roman"/>
          <w:sz w:val="24"/>
          <w:szCs w:val="24"/>
        </w:rPr>
      </w:pPr>
    </w:p>
    <w:p w14:paraId="2457BC04" w14:textId="7B17ECD7" w:rsidR="00F72A93" w:rsidRPr="00434156" w:rsidRDefault="009E0B5E" w:rsidP="00F72A93">
      <w:pPr>
        <w:tabs>
          <w:tab w:val="left" w:pos="300"/>
        </w:tabs>
        <w:autoSpaceDE w:val="0"/>
        <w:autoSpaceDN w:val="0"/>
        <w:adjustRightInd w:val="0"/>
        <w:spacing w:after="0" w:line="480" w:lineRule="auto"/>
        <w:jc w:val="both"/>
        <w:rPr>
          <w:rFonts w:ascii="Gill Sans MT" w:hAnsi="Gill Sans MT" w:cs="Arial"/>
          <w:sz w:val="24"/>
          <w:szCs w:val="24"/>
        </w:rPr>
      </w:pPr>
      <w:r w:rsidRPr="00434156">
        <w:rPr>
          <w:rFonts w:ascii="Gill Sans MT" w:hAnsi="Gill Sans MT" w:cs="Times New Roman"/>
          <w:sz w:val="24"/>
          <w:szCs w:val="24"/>
        </w:rPr>
        <w:lastRenderedPageBreak/>
        <w:t xml:space="preserve">In Equation 5, </w:t>
      </w:r>
      <w:r w:rsidR="00B806C5" w:rsidRPr="00434156">
        <w:rPr>
          <w:rFonts w:ascii="Gill Sans MT" w:hAnsi="Gill Sans MT" w:cs="Times New Roman"/>
          <w:i/>
          <w:sz w:val="24"/>
          <w:szCs w:val="24"/>
        </w:rPr>
        <w:t>BREXIT</w:t>
      </w:r>
      <w:r w:rsidR="00B806C5" w:rsidRPr="00434156">
        <w:rPr>
          <w:rFonts w:ascii="Gill Sans MT" w:hAnsi="Gill Sans MT" w:cs="Times New Roman"/>
          <w:sz w:val="24"/>
          <w:szCs w:val="24"/>
        </w:rPr>
        <w:t xml:space="preserve"> takes the value 1 after the BRE</w:t>
      </w:r>
      <w:r w:rsidR="008F483D" w:rsidRPr="00434156">
        <w:rPr>
          <w:rFonts w:ascii="Gill Sans MT" w:hAnsi="Gill Sans MT" w:cs="Times New Roman"/>
          <w:sz w:val="24"/>
          <w:szCs w:val="24"/>
        </w:rPr>
        <w:t>XIT referendum and 0 otherwise.</w:t>
      </w:r>
      <w:r w:rsidR="00D02BA5" w:rsidRPr="00434156">
        <w:rPr>
          <w:rFonts w:ascii="Gill Sans MT" w:hAnsi="Gill Sans MT" w:cs="Times New Roman"/>
          <w:sz w:val="24"/>
          <w:szCs w:val="24"/>
        </w:rPr>
        <w:t xml:space="preserve"> </w:t>
      </w:r>
      <w:r w:rsidR="00F72A93" w:rsidRPr="00434156">
        <w:rPr>
          <w:rFonts w:ascii="Gill Sans MT" w:hAnsi="Gill Sans MT" w:cs="Courier New"/>
          <w:sz w:val="24"/>
          <w:szCs w:val="24"/>
        </w:rPr>
        <w:t>Furthermore, as a robustness we also provide multivariate DCC GARCH estimation as it allows e</w:t>
      </w:r>
      <w:r w:rsidR="00F72A93" w:rsidRPr="00434156">
        <w:rPr>
          <w:rFonts w:ascii="Gill Sans MT" w:hAnsi="Gill Sans MT" w:cs="Arial"/>
          <w:sz w:val="24"/>
          <w:szCs w:val="24"/>
        </w:rPr>
        <w:t>stimation of the parameters of dynamic conditional correlation (DCC) within a multivariate setting of the generalized autoregressive conditionally heteroskedastic (MGARCH). We model the conditional variances by univariate GARCH models and the conditional covariances are modeled as nonlinear functions of the conditional variances.</w:t>
      </w:r>
      <w:r w:rsidR="00F72A93" w:rsidRPr="00434156">
        <w:rPr>
          <w:rStyle w:val="FootnoteReference"/>
          <w:rFonts w:ascii="Gill Sans MT" w:hAnsi="Gill Sans MT" w:cs="Arial"/>
          <w:sz w:val="24"/>
          <w:szCs w:val="24"/>
        </w:rPr>
        <w:footnoteReference w:id="2"/>
      </w:r>
    </w:p>
    <w:p w14:paraId="0222A26A" w14:textId="77777777" w:rsidR="00117E42" w:rsidRPr="00434156" w:rsidRDefault="00117E42" w:rsidP="00F72A93">
      <w:pPr>
        <w:tabs>
          <w:tab w:val="left" w:pos="300"/>
        </w:tabs>
        <w:autoSpaceDE w:val="0"/>
        <w:autoSpaceDN w:val="0"/>
        <w:adjustRightInd w:val="0"/>
        <w:spacing w:after="0" w:line="480" w:lineRule="auto"/>
        <w:jc w:val="both"/>
        <w:rPr>
          <w:rFonts w:ascii="Gill Sans MT" w:hAnsi="Gill Sans MT" w:cs="Arial"/>
          <w:color w:val="548DD4" w:themeColor="text2" w:themeTint="99"/>
          <w:sz w:val="24"/>
          <w:szCs w:val="24"/>
        </w:rPr>
      </w:pPr>
    </w:p>
    <w:p w14:paraId="6AD805DD" w14:textId="42AB9115" w:rsidR="00117E42" w:rsidRPr="00434156" w:rsidRDefault="00117E42" w:rsidP="00117E42">
      <w:pPr>
        <w:pStyle w:val="ListParagraph"/>
        <w:numPr>
          <w:ilvl w:val="0"/>
          <w:numId w:val="2"/>
        </w:numPr>
        <w:tabs>
          <w:tab w:val="left" w:pos="300"/>
        </w:tabs>
        <w:autoSpaceDE w:val="0"/>
        <w:autoSpaceDN w:val="0"/>
        <w:adjustRightInd w:val="0"/>
        <w:spacing w:after="0" w:line="480" w:lineRule="auto"/>
        <w:jc w:val="both"/>
        <w:rPr>
          <w:rFonts w:ascii="Gill Sans MT" w:hAnsi="Gill Sans MT" w:cs="Times New Roman"/>
          <w:b/>
          <w:bCs/>
          <w:i/>
          <w:iCs/>
          <w:color w:val="548DD4" w:themeColor="text2" w:themeTint="99"/>
          <w:sz w:val="24"/>
          <w:szCs w:val="24"/>
        </w:rPr>
      </w:pPr>
      <w:r w:rsidRPr="00434156">
        <w:rPr>
          <w:rFonts w:ascii="Gill Sans MT" w:hAnsi="Gill Sans MT" w:cs="Times New Roman"/>
          <w:b/>
          <w:bCs/>
          <w:i/>
          <w:iCs/>
          <w:color w:val="548DD4" w:themeColor="text2" w:themeTint="99"/>
          <w:sz w:val="24"/>
          <w:szCs w:val="24"/>
        </w:rPr>
        <w:t>Data characteristics</w:t>
      </w:r>
    </w:p>
    <w:p w14:paraId="3CB210A3" w14:textId="59F04BC6" w:rsidR="007E32EF" w:rsidRPr="00434156" w:rsidRDefault="00BD7648" w:rsidP="00FF42AF">
      <w:pPr>
        <w:tabs>
          <w:tab w:val="left" w:pos="300"/>
        </w:tabs>
        <w:autoSpaceDE w:val="0"/>
        <w:autoSpaceDN w:val="0"/>
        <w:adjustRightInd w:val="0"/>
        <w:spacing w:after="0" w:line="480" w:lineRule="auto"/>
        <w:jc w:val="both"/>
        <w:rPr>
          <w:rFonts w:ascii="Gill Sans MT" w:eastAsia="Times New Roman" w:hAnsi="Gill Sans MT" w:cs="Times New Roman"/>
          <w:color w:val="548DD4" w:themeColor="text2" w:themeTint="99"/>
          <w:sz w:val="24"/>
          <w:szCs w:val="24"/>
          <w:lang w:val="en-GB" w:eastAsia="en-GB"/>
        </w:rPr>
      </w:pPr>
      <w:r w:rsidRPr="00434156">
        <w:rPr>
          <w:rFonts w:ascii="Gill Sans MT" w:hAnsi="Gill Sans MT" w:cs="Times New Roman"/>
          <w:sz w:val="24"/>
          <w:szCs w:val="24"/>
        </w:rPr>
        <w:t xml:space="preserve">We use monthly data </w:t>
      </w:r>
      <w:r w:rsidR="00C27482" w:rsidRPr="00434156">
        <w:rPr>
          <w:rFonts w:ascii="Gill Sans MT" w:hAnsi="Gill Sans MT" w:cs="Times New Roman"/>
          <w:sz w:val="24"/>
          <w:szCs w:val="24"/>
        </w:rPr>
        <w:t xml:space="preserve">which span from </w:t>
      </w:r>
      <w:r w:rsidRPr="00434156">
        <w:rPr>
          <w:rFonts w:ascii="Gill Sans MT" w:hAnsi="Gill Sans MT" w:cs="Times New Roman"/>
          <w:sz w:val="24"/>
          <w:szCs w:val="24"/>
        </w:rPr>
        <w:t>January 1980 to December 201</w:t>
      </w:r>
      <w:r w:rsidR="00C27482" w:rsidRPr="00434156">
        <w:rPr>
          <w:rFonts w:ascii="Gill Sans MT" w:hAnsi="Gill Sans MT" w:cs="Times New Roman"/>
          <w:sz w:val="24"/>
          <w:szCs w:val="24"/>
        </w:rPr>
        <w:t>8,</w:t>
      </w:r>
      <w:r w:rsidRPr="00434156">
        <w:rPr>
          <w:rFonts w:ascii="Gill Sans MT" w:hAnsi="Gill Sans MT" w:cs="Times New Roman"/>
          <w:sz w:val="24"/>
          <w:szCs w:val="24"/>
        </w:rPr>
        <w:t xml:space="preserve"> yielding a total of 468 </w:t>
      </w:r>
      <w:r w:rsidR="0022600C" w:rsidRPr="00434156">
        <w:rPr>
          <w:rFonts w:ascii="Gill Sans MT" w:hAnsi="Gill Sans MT" w:cs="Times New Roman"/>
          <w:sz w:val="24"/>
          <w:szCs w:val="24"/>
        </w:rPr>
        <w:t xml:space="preserve">monthly </w:t>
      </w:r>
      <w:r w:rsidRPr="00434156">
        <w:rPr>
          <w:rFonts w:ascii="Gill Sans MT" w:hAnsi="Gill Sans MT" w:cs="Times New Roman"/>
          <w:sz w:val="24"/>
          <w:szCs w:val="24"/>
        </w:rPr>
        <w:t xml:space="preserve">observations. </w:t>
      </w:r>
      <w:r w:rsidRPr="00434156">
        <w:rPr>
          <w:rStyle w:val="FootnoteReference"/>
          <w:rFonts w:ascii="Gill Sans MT" w:hAnsi="Gill Sans MT" w:cs="Times New Roman"/>
          <w:sz w:val="24"/>
          <w:szCs w:val="24"/>
        </w:rPr>
        <w:footnoteReference w:id="3"/>
      </w:r>
      <w:r w:rsidRPr="00434156" w:rsidDel="00BD7648">
        <w:rPr>
          <w:rFonts w:ascii="Gill Sans MT" w:hAnsi="Gill Sans MT" w:cs="Times New Roman"/>
          <w:sz w:val="24"/>
          <w:szCs w:val="24"/>
        </w:rPr>
        <w:t xml:space="preserve"> </w:t>
      </w:r>
      <w:r w:rsidR="00237B4F" w:rsidRPr="00434156">
        <w:rPr>
          <w:rFonts w:ascii="Gill Sans MT" w:hAnsi="Gill Sans MT" w:cs="Times New Roman"/>
          <w:sz w:val="24"/>
          <w:szCs w:val="24"/>
        </w:rPr>
        <w:t>The choice of this sample is guided by two reasons</w:t>
      </w:r>
      <w:r w:rsidR="00074218" w:rsidRPr="00434156">
        <w:rPr>
          <w:rFonts w:ascii="Gill Sans MT" w:hAnsi="Gill Sans MT" w:cs="Times New Roman"/>
          <w:sz w:val="24"/>
          <w:szCs w:val="24"/>
        </w:rPr>
        <w:t xml:space="preserve">; longer sample span with enough frequency to depict volatility and second, to </w:t>
      </w:r>
      <w:r w:rsidR="0065494C" w:rsidRPr="00434156">
        <w:rPr>
          <w:rFonts w:ascii="Gill Sans MT" w:hAnsi="Gill Sans MT" w:cs="Times New Roman"/>
          <w:sz w:val="24"/>
          <w:szCs w:val="24"/>
        </w:rPr>
        <w:t>capture the impact of asymmetric information following the uncertainty around Brexit Referendum</w:t>
      </w:r>
      <w:r w:rsidR="00237B4F" w:rsidRPr="00434156">
        <w:rPr>
          <w:rFonts w:ascii="Gill Sans MT" w:hAnsi="Gill Sans MT" w:cs="Times New Roman"/>
          <w:sz w:val="24"/>
          <w:szCs w:val="24"/>
        </w:rPr>
        <w:t xml:space="preserve">. </w:t>
      </w:r>
      <w:r w:rsidR="00FF42AF" w:rsidRPr="00434156">
        <w:rPr>
          <w:rFonts w:ascii="Gill Sans MT" w:hAnsi="Gill Sans MT" w:cs="Times New Roman"/>
          <w:color w:val="548DD4" w:themeColor="text2" w:themeTint="99"/>
          <w:sz w:val="24"/>
          <w:szCs w:val="24"/>
        </w:rPr>
        <w:t>The tourists’ arrival data is gathered from Thomson Reuters DataStream database.</w:t>
      </w:r>
      <w:r w:rsidR="0065494C" w:rsidRPr="00434156">
        <w:rPr>
          <w:rFonts w:ascii="Gill Sans MT" w:hAnsi="Gill Sans MT" w:cs="Times New Roman"/>
          <w:color w:val="548DD4" w:themeColor="text2" w:themeTint="99"/>
          <w:sz w:val="24"/>
          <w:szCs w:val="24"/>
        </w:rPr>
        <w:t xml:space="preserve"> </w:t>
      </w:r>
      <w:r w:rsidR="00FF42AF" w:rsidRPr="00434156">
        <w:rPr>
          <w:rFonts w:ascii="Gill Sans MT" w:hAnsi="Gill Sans MT" w:cs="Times New Roman"/>
          <w:color w:val="548DD4" w:themeColor="text2" w:themeTint="99"/>
          <w:sz w:val="24"/>
          <w:szCs w:val="24"/>
        </w:rPr>
        <w:t xml:space="preserve">Similarly, we follow Baker et al (2016) to measure economic policy uncertainty for the UK. The data is available from </w:t>
      </w:r>
      <w:hyperlink r:id="rId8" w:history="1">
        <w:r w:rsidR="00FF42AF" w:rsidRPr="00434156">
          <w:rPr>
            <w:rStyle w:val="Hyperlink"/>
            <w:rFonts w:ascii="Gill Sans MT" w:hAnsi="Gill Sans MT" w:cs="Times New Roman"/>
            <w:sz w:val="24"/>
            <w:szCs w:val="24"/>
            <w14:textFill>
              <w14:solidFill>
                <w14:srgbClr w14:val="0000FF">
                  <w14:lumMod w14:val="60000"/>
                  <w14:lumOff w14:val="40000"/>
                </w14:srgbClr>
              </w14:solidFill>
            </w14:textFill>
          </w:rPr>
          <w:t>https://www.policyuncertainty.com/uk_monthly.html</w:t>
        </w:r>
      </w:hyperlink>
      <w:r w:rsidR="00FF42AF" w:rsidRPr="00434156">
        <w:rPr>
          <w:rFonts w:ascii="Gill Sans MT" w:hAnsi="Gill Sans MT" w:cs="Times New Roman"/>
          <w:color w:val="548DD4" w:themeColor="text2" w:themeTint="99"/>
          <w:sz w:val="24"/>
          <w:szCs w:val="24"/>
        </w:rPr>
        <w:t xml:space="preserve">. </w:t>
      </w:r>
      <w:r w:rsidR="0065494C" w:rsidRPr="00434156">
        <w:rPr>
          <w:rFonts w:ascii="Gill Sans MT" w:hAnsi="Gill Sans MT" w:cs="Times New Roman"/>
          <w:color w:val="548DD4" w:themeColor="text2" w:themeTint="99"/>
          <w:sz w:val="24"/>
          <w:szCs w:val="24"/>
        </w:rPr>
        <w:t xml:space="preserve">Our break point test produces </w:t>
      </w:r>
      <w:r w:rsidR="0065494C" w:rsidRPr="00434156">
        <w:rPr>
          <w:rFonts w:ascii="Gill Sans MT" w:hAnsi="Gill Sans MT" w:cs="Times New Roman"/>
          <w:sz w:val="24"/>
          <w:szCs w:val="24"/>
        </w:rPr>
        <w:t>two potential breaks: June 2001 and January 2009. The possible reasons for these breaks could be the mouth and foot disease taking place in the UK during 2001 and the 2008 global financial crisis, respectively.</w:t>
      </w:r>
      <w:r w:rsidR="00434156" w:rsidRPr="00434156">
        <w:rPr>
          <w:rFonts w:ascii="Gill Sans MT" w:hAnsi="Gill Sans MT" w:cs="Times New Roman"/>
          <w:sz w:val="24"/>
          <w:szCs w:val="24"/>
        </w:rPr>
        <w:t xml:space="preserve"> </w:t>
      </w:r>
      <w:r w:rsidR="0065494C" w:rsidRPr="00434156">
        <w:rPr>
          <w:rFonts w:ascii="Gill Sans MT" w:hAnsi="Gill Sans MT" w:cs="Times New Roman"/>
          <w:color w:val="548DD4" w:themeColor="text2" w:themeTint="99"/>
          <w:sz w:val="24"/>
          <w:szCs w:val="24"/>
        </w:rPr>
        <w:t>Our econometric estimation</w:t>
      </w:r>
      <w:r w:rsidR="00117E42" w:rsidRPr="00434156">
        <w:rPr>
          <w:rFonts w:ascii="Gill Sans MT" w:hAnsi="Gill Sans MT" w:cs="Times New Roman"/>
          <w:color w:val="548DD4" w:themeColor="text2" w:themeTint="99"/>
          <w:sz w:val="24"/>
          <w:szCs w:val="24"/>
        </w:rPr>
        <w:t xml:space="preserve"> precedes some necessary data transformation</w:t>
      </w:r>
      <w:r w:rsidR="0065494C" w:rsidRPr="00434156">
        <w:rPr>
          <w:rFonts w:ascii="Gill Sans MT" w:hAnsi="Gill Sans MT" w:cs="Times New Roman"/>
          <w:color w:val="548DD4" w:themeColor="text2" w:themeTint="99"/>
          <w:sz w:val="24"/>
          <w:szCs w:val="24"/>
        </w:rPr>
        <w:t xml:space="preserve"> in the form of de-</w:t>
      </w:r>
      <w:proofErr w:type="spellStart"/>
      <w:r w:rsidR="0065494C" w:rsidRPr="00434156">
        <w:rPr>
          <w:rFonts w:ascii="Gill Sans MT" w:hAnsi="Gill Sans MT" w:cs="Times New Roman"/>
          <w:color w:val="548DD4" w:themeColor="text2" w:themeTint="99"/>
          <w:sz w:val="24"/>
          <w:szCs w:val="24"/>
        </w:rPr>
        <w:t>seasonalisation</w:t>
      </w:r>
      <w:proofErr w:type="spellEnd"/>
      <w:r w:rsidR="0065494C" w:rsidRPr="00434156">
        <w:rPr>
          <w:rFonts w:ascii="Gill Sans MT" w:hAnsi="Gill Sans MT" w:cs="Times New Roman"/>
          <w:color w:val="548DD4" w:themeColor="text2" w:themeTint="99"/>
          <w:sz w:val="24"/>
          <w:szCs w:val="24"/>
        </w:rPr>
        <w:t xml:space="preserve"> and trend extraction given that we have monthly data for tourists’ arrival and that the data spans 39 years</w:t>
      </w:r>
      <w:r w:rsidR="00117E42" w:rsidRPr="00434156">
        <w:rPr>
          <w:rFonts w:ascii="Gill Sans MT" w:hAnsi="Gill Sans MT" w:cs="Times New Roman"/>
          <w:color w:val="548DD4" w:themeColor="text2" w:themeTint="99"/>
          <w:sz w:val="24"/>
          <w:szCs w:val="24"/>
        </w:rPr>
        <w:t xml:space="preserve">. </w:t>
      </w:r>
      <w:r w:rsidR="0065494C" w:rsidRPr="00434156">
        <w:rPr>
          <w:rFonts w:ascii="Gill Sans MT" w:hAnsi="Gill Sans MT" w:cs="Times New Roman"/>
          <w:color w:val="548DD4" w:themeColor="text2" w:themeTint="99"/>
          <w:sz w:val="24"/>
          <w:szCs w:val="24"/>
        </w:rPr>
        <w:t xml:space="preserve">For trend extraction we have employed the recently developed Hamilton filter (Hamilton, 2018).  </w:t>
      </w:r>
    </w:p>
    <w:p w14:paraId="7CBFD566" w14:textId="77777777" w:rsidR="007E32EF" w:rsidRPr="00434156" w:rsidRDefault="007E32EF" w:rsidP="00117E42">
      <w:pPr>
        <w:tabs>
          <w:tab w:val="left" w:pos="300"/>
        </w:tabs>
        <w:autoSpaceDE w:val="0"/>
        <w:autoSpaceDN w:val="0"/>
        <w:adjustRightInd w:val="0"/>
        <w:spacing w:after="0" w:line="480" w:lineRule="auto"/>
        <w:jc w:val="both"/>
        <w:rPr>
          <w:rFonts w:ascii="Gill Sans MT" w:hAnsi="Gill Sans MT" w:cs="Times New Roman"/>
          <w:color w:val="548DD4" w:themeColor="text2" w:themeTint="99"/>
          <w:sz w:val="24"/>
          <w:szCs w:val="24"/>
        </w:rPr>
      </w:pPr>
    </w:p>
    <w:p w14:paraId="320A1849" w14:textId="55B8CE07" w:rsidR="004976DE" w:rsidRPr="00434156" w:rsidRDefault="004976DE" w:rsidP="004976DE">
      <w:pPr>
        <w:pStyle w:val="ListParagraph"/>
        <w:numPr>
          <w:ilvl w:val="0"/>
          <w:numId w:val="1"/>
        </w:numPr>
        <w:tabs>
          <w:tab w:val="left" w:pos="300"/>
        </w:tabs>
        <w:autoSpaceDE w:val="0"/>
        <w:autoSpaceDN w:val="0"/>
        <w:adjustRightInd w:val="0"/>
        <w:spacing w:after="0" w:line="480" w:lineRule="auto"/>
        <w:jc w:val="both"/>
        <w:rPr>
          <w:rFonts w:ascii="Gill Sans MT" w:hAnsi="Gill Sans MT" w:cs="Times New Roman"/>
          <w:b/>
          <w:bCs/>
          <w:sz w:val="24"/>
          <w:szCs w:val="24"/>
        </w:rPr>
      </w:pPr>
      <w:r w:rsidRPr="00434156">
        <w:rPr>
          <w:rFonts w:ascii="Gill Sans MT" w:hAnsi="Gill Sans MT" w:cs="Times New Roman"/>
          <w:b/>
          <w:bCs/>
          <w:sz w:val="24"/>
          <w:szCs w:val="24"/>
        </w:rPr>
        <w:t>Results</w:t>
      </w:r>
    </w:p>
    <w:p w14:paraId="4B256BEA" w14:textId="4791F44D" w:rsidR="0004138D" w:rsidRPr="00434156" w:rsidRDefault="00434156" w:rsidP="008A3B63">
      <w:pPr>
        <w:tabs>
          <w:tab w:val="left" w:pos="300"/>
        </w:tabs>
        <w:autoSpaceDE w:val="0"/>
        <w:autoSpaceDN w:val="0"/>
        <w:adjustRightInd w:val="0"/>
        <w:spacing w:after="0" w:line="480" w:lineRule="auto"/>
        <w:jc w:val="both"/>
        <w:rPr>
          <w:rFonts w:ascii="Gill Sans MT" w:hAnsi="Gill Sans MT" w:cs="Times New Roman"/>
          <w:color w:val="548DD4" w:themeColor="text2" w:themeTint="99"/>
          <w:sz w:val="24"/>
          <w:szCs w:val="24"/>
        </w:rPr>
      </w:pPr>
      <w:r w:rsidRPr="00434156">
        <w:rPr>
          <w:rFonts w:ascii="Gill Sans MT" w:hAnsi="Gill Sans MT" w:cs="Times New Roman"/>
          <w:color w:val="548DD4" w:themeColor="text2" w:themeTint="99"/>
          <w:sz w:val="24"/>
          <w:szCs w:val="24"/>
        </w:rPr>
        <w:t>Prior to our model estimation, we first-difference the data based on ADF, Phillips-</w:t>
      </w:r>
      <w:proofErr w:type="spellStart"/>
      <w:r w:rsidRPr="00434156">
        <w:rPr>
          <w:rFonts w:ascii="Gill Sans MT" w:hAnsi="Gill Sans MT" w:cs="Times New Roman"/>
          <w:color w:val="548DD4" w:themeColor="text2" w:themeTint="99"/>
          <w:sz w:val="24"/>
          <w:szCs w:val="24"/>
        </w:rPr>
        <w:t>Perron</w:t>
      </w:r>
      <w:proofErr w:type="spellEnd"/>
      <w:r w:rsidRPr="00434156">
        <w:rPr>
          <w:rFonts w:ascii="Gill Sans MT" w:hAnsi="Gill Sans MT" w:cs="Times New Roman"/>
          <w:color w:val="548DD4" w:themeColor="text2" w:themeTint="99"/>
          <w:sz w:val="24"/>
          <w:szCs w:val="24"/>
        </w:rPr>
        <w:t xml:space="preserve"> and DF-GLS tests. </w:t>
      </w:r>
      <w:r w:rsidR="008D3950" w:rsidRPr="00434156">
        <w:rPr>
          <w:rFonts w:ascii="Gill Sans MT" w:hAnsi="Gill Sans MT" w:cs="Times New Roman"/>
          <w:sz w:val="24"/>
          <w:szCs w:val="24"/>
        </w:rPr>
        <w:t>T</w:t>
      </w:r>
      <w:r w:rsidR="00D15CF2" w:rsidRPr="00434156">
        <w:rPr>
          <w:rFonts w:ascii="Gill Sans MT" w:hAnsi="Gill Sans MT" w:cs="Times New Roman"/>
          <w:sz w:val="24"/>
          <w:szCs w:val="24"/>
        </w:rPr>
        <w:t xml:space="preserve">able </w:t>
      </w:r>
      <w:r w:rsidR="00B855C4" w:rsidRPr="00434156">
        <w:rPr>
          <w:rFonts w:ascii="Gill Sans MT" w:hAnsi="Gill Sans MT" w:cs="Times New Roman"/>
          <w:sz w:val="24"/>
          <w:szCs w:val="24"/>
        </w:rPr>
        <w:t>1</w:t>
      </w:r>
      <w:r w:rsidR="00D15CF2" w:rsidRPr="00434156">
        <w:rPr>
          <w:rFonts w:ascii="Gill Sans MT" w:hAnsi="Gill Sans MT" w:cs="Times New Roman"/>
          <w:sz w:val="24"/>
          <w:szCs w:val="24"/>
        </w:rPr>
        <w:t xml:space="preserve"> </w:t>
      </w:r>
      <w:r w:rsidR="00BD7648" w:rsidRPr="00434156">
        <w:rPr>
          <w:rFonts w:ascii="Gill Sans MT" w:hAnsi="Gill Sans MT" w:cs="Times New Roman"/>
          <w:sz w:val="24"/>
          <w:szCs w:val="24"/>
        </w:rPr>
        <w:t>summarizes results from estimation of various</w:t>
      </w:r>
      <w:r w:rsidR="00D15CF2" w:rsidRPr="00434156">
        <w:rPr>
          <w:rFonts w:ascii="Gill Sans MT" w:hAnsi="Gill Sans MT" w:cs="Times New Roman"/>
          <w:sz w:val="24"/>
          <w:szCs w:val="24"/>
        </w:rPr>
        <w:t xml:space="preserve"> GARCH </w:t>
      </w:r>
      <w:r w:rsidR="000D5409" w:rsidRPr="00434156">
        <w:rPr>
          <w:rFonts w:ascii="Gill Sans MT" w:hAnsi="Gill Sans MT" w:cs="Times New Roman"/>
          <w:sz w:val="24"/>
          <w:szCs w:val="24"/>
        </w:rPr>
        <w:t>models</w:t>
      </w:r>
      <w:r w:rsidR="001750C2" w:rsidRPr="00434156">
        <w:rPr>
          <w:rFonts w:ascii="Gill Sans MT" w:hAnsi="Gill Sans MT" w:cs="Times New Roman"/>
          <w:sz w:val="24"/>
          <w:szCs w:val="24"/>
        </w:rPr>
        <w:t xml:space="preserve">: baseline GARCH, GARCH with breaks and GARCH with BREXIT impact. </w:t>
      </w:r>
      <w:r w:rsidR="009347F5" w:rsidRPr="00434156">
        <w:rPr>
          <w:rFonts w:ascii="Gill Sans MT" w:hAnsi="Gill Sans MT" w:cs="Times New Roman"/>
          <w:sz w:val="24"/>
          <w:szCs w:val="24"/>
        </w:rPr>
        <w:t>Results for baseline model</w:t>
      </w:r>
      <w:r w:rsidR="00D15CF2" w:rsidRPr="00434156">
        <w:rPr>
          <w:rFonts w:ascii="Gill Sans MT" w:hAnsi="Gill Sans MT" w:cs="Times New Roman"/>
          <w:sz w:val="24"/>
          <w:szCs w:val="24"/>
        </w:rPr>
        <w:t xml:space="preserve"> suggest that </w:t>
      </w:r>
      <w:r w:rsidR="000F1CCD" w:rsidRPr="00434156">
        <w:rPr>
          <w:rFonts w:ascii="Gill Sans MT" w:hAnsi="Gill Sans MT" w:cs="Times New Roman"/>
          <w:sz w:val="24"/>
          <w:szCs w:val="24"/>
        </w:rPr>
        <w:t xml:space="preserve">the </w:t>
      </w:r>
      <w:r w:rsidR="00D15CF2" w:rsidRPr="00434156">
        <w:rPr>
          <w:rFonts w:ascii="Gill Sans MT" w:hAnsi="Gill Sans MT" w:cs="Times New Roman"/>
          <w:sz w:val="24"/>
          <w:szCs w:val="24"/>
        </w:rPr>
        <w:t>GARCH parameter</w:t>
      </w:r>
      <w:r w:rsidR="000F1CCD" w:rsidRPr="00434156">
        <w:rPr>
          <w:rFonts w:ascii="Gill Sans MT" w:hAnsi="Gill Sans MT" w:cs="Times New Roman"/>
          <w:sz w:val="24"/>
          <w:szCs w:val="24"/>
        </w:rPr>
        <w:t xml:space="preserve"> (</w:t>
      </w:r>
      <m:oMath>
        <m:r>
          <w:rPr>
            <w:rFonts w:ascii="Cambria Math" w:hAnsi="Cambria Math" w:cs="Times New Roman"/>
            <w:sz w:val="24"/>
            <w:szCs w:val="24"/>
          </w:rPr>
          <m:t>β</m:t>
        </m:r>
      </m:oMath>
      <w:r w:rsidR="000F1CCD" w:rsidRPr="00434156">
        <w:rPr>
          <w:rFonts w:ascii="Gill Sans MT" w:hAnsi="Gill Sans MT" w:cs="Times New Roman"/>
          <w:sz w:val="24"/>
          <w:szCs w:val="24"/>
        </w:rPr>
        <w:t>)</w:t>
      </w:r>
      <w:r w:rsidR="00D15CF2" w:rsidRPr="00434156">
        <w:rPr>
          <w:rFonts w:ascii="Gill Sans MT" w:hAnsi="Gill Sans MT" w:cs="Times New Roman"/>
          <w:sz w:val="24"/>
          <w:szCs w:val="24"/>
        </w:rPr>
        <w:t xml:space="preserve"> is highly significant in </w:t>
      </w:r>
      <w:r w:rsidR="00423003" w:rsidRPr="00434156">
        <w:rPr>
          <w:rFonts w:ascii="Gill Sans MT" w:hAnsi="Gill Sans MT" w:cs="Times New Roman"/>
          <w:sz w:val="24"/>
          <w:szCs w:val="24"/>
        </w:rPr>
        <w:t>each case</w:t>
      </w:r>
      <w:r w:rsidR="000D340C" w:rsidRPr="00434156">
        <w:rPr>
          <w:rFonts w:ascii="Gill Sans MT" w:hAnsi="Gill Sans MT" w:cs="Times New Roman"/>
          <w:sz w:val="24"/>
          <w:szCs w:val="24"/>
        </w:rPr>
        <w:t>, while</w:t>
      </w:r>
      <w:r w:rsidR="00D15CF2" w:rsidRPr="00434156">
        <w:rPr>
          <w:rFonts w:ascii="Gill Sans MT" w:hAnsi="Gill Sans MT" w:cs="Times New Roman"/>
          <w:sz w:val="24"/>
          <w:szCs w:val="24"/>
        </w:rPr>
        <w:t xml:space="preserve"> </w:t>
      </w:r>
      <w:r w:rsidR="000D340C" w:rsidRPr="00434156">
        <w:rPr>
          <w:rFonts w:ascii="Gill Sans MT" w:hAnsi="Gill Sans MT" w:cs="Times New Roman"/>
          <w:sz w:val="24"/>
          <w:szCs w:val="24"/>
        </w:rPr>
        <w:t>t</w:t>
      </w:r>
      <w:r w:rsidR="00466B25" w:rsidRPr="00434156">
        <w:rPr>
          <w:rFonts w:ascii="Gill Sans MT" w:hAnsi="Gill Sans MT" w:cs="Times New Roman"/>
          <w:sz w:val="24"/>
          <w:szCs w:val="24"/>
        </w:rPr>
        <w:t>he ARCH parameter</w:t>
      </w:r>
      <m:oMath>
        <m:r>
          <w:rPr>
            <w:rFonts w:ascii="Cambria Math" w:hAnsi="Cambria Math" w:cs="Times New Roman"/>
            <w:sz w:val="24"/>
            <w:szCs w:val="24"/>
          </w:rPr>
          <m:t xml:space="preserve"> (α)</m:t>
        </m:r>
      </m:oMath>
      <w:r w:rsidR="00466B25" w:rsidRPr="00434156">
        <w:rPr>
          <w:rFonts w:ascii="Gill Sans MT" w:hAnsi="Gill Sans MT" w:cs="Times New Roman"/>
          <w:sz w:val="24"/>
          <w:szCs w:val="24"/>
        </w:rPr>
        <w:t xml:space="preserve"> appears to be significant only for </w:t>
      </w:r>
      <w:r w:rsidR="00423003" w:rsidRPr="00434156">
        <w:rPr>
          <w:rFonts w:ascii="Gill Sans MT" w:hAnsi="Gill Sans MT" w:cs="Times New Roman"/>
          <w:sz w:val="24"/>
          <w:szCs w:val="24"/>
        </w:rPr>
        <w:t>the GJR-GARCH process</w:t>
      </w:r>
      <w:r w:rsidR="00466B25" w:rsidRPr="00434156">
        <w:rPr>
          <w:rFonts w:ascii="Gill Sans MT" w:hAnsi="Gill Sans MT" w:cs="Times New Roman"/>
          <w:sz w:val="24"/>
          <w:szCs w:val="24"/>
        </w:rPr>
        <w:t xml:space="preserve">. </w:t>
      </w:r>
      <w:r w:rsidR="00944015" w:rsidRPr="00434156">
        <w:rPr>
          <w:rFonts w:ascii="Gill Sans MT" w:hAnsi="Gill Sans MT" w:cs="Times New Roman"/>
          <w:sz w:val="24"/>
          <w:szCs w:val="24"/>
        </w:rPr>
        <w:t xml:space="preserve">These </w:t>
      </w:r>
      <w:r w:rsidR="008864C0" w:rsidRPr="00434156">
        <w:rPr>
          <w:rFonts w:ascii="Gill Sans MT" w:hAnsi="Gill Sans MT" w:cs="Times New Roman"/>
          <w:sz w:val="24"/>
          <w:szCs w:val="24"/>
        </w:rPr>
        <w:t>findings indicate</w:t>
      </w:r>
      <w:r w:rsidR="00944015" w:rsidRPr="00434156">
        <w:rPr>
          <w:rFonts w:ascii="Gill Sans MT" w:hAnsi="Gill Sans MT" w:cs="Times New Roman"/>
          <w:sz w:val="24"/>
          <w:szCs w:val="24"/>
        </w:rPr>
        <w:t xml:space="preserve"> that a shock to </w:t>
      </w:r>
      <w:r w:rsidR="008864C0" w:rsidRPr="00434156">
        <w:rPr>
          <w:rFonts w:ascii="Gill Sans MT" w:hAnsi="Gill Sans MT" w:cs="Times New Roman"/>
          <w:sz w:val="24"/>
          <w:szCs w:val="24"/>
        </w:rPr>
        <w:t xml:space="preserve">tourism demand </w:t>
      </w:r>
      <w:r w:rsidR="002A4CAC" w:rsidRPr="00434156">
        <w:rPr>
          <w:rFonts w:ascii="Gill Sans MT" w:hAnsi="Gill Sans MT" w:cs="Times New Roman"/>
          <w:sz w:val="24"/>
          <w:szCs w:val="24"/>
        </w:rPr>
        <w:t>will have</w:t>
      </w:r>
      <w:r w:rsidR="003E0C58" w:rsidRPr="00434156">
        <w:rPr>
          <w:rFonts w:ascii="Gill Sans MT" w:hAnsi="Gill Sans MT" w:cs="Times New Roman"/>
          <w:sz w:val="24"/>
          <w:szCs w:val="24"/>
        </w:rPr>
        <w:t xml:space="preserve"> </w:t>
      </w:r>
      <w:r w:rsidR="008864C0" w:rsidRPr="00434156">
        <w:rPr>
          <w:rFonts w:ascii="Gill Sans MT" w:hAnsi="Gill Sans MT" w:cs="Times New Roman"/>
          <w:sz w:val="24"/>
          <w:szCs w:val="24"/>
        </w:rPr>
        <w:t>long-</w:t>
      </w:r>
      <w:r w:rsidR="003E0C58" w:rsidRPr="00434156">
        <w:rPr>
          <w:rFonts w:ascii="Gill Sans MT" w:hAnsi="Gill Sans MT" w:cs="Times New Roman"/>
          <w:sz w:val="24"/>
          <w:szCs w:val="24"/>
        </w:rPr>
        <w:t>term</w:t>
      </w:r>
      <w:r w:rsidR="00873824" w:rsidRPr="00434156">
        <w:rPr>
          <w:rFonts w:ascii="Gill Sans MT" w:hAnsi="Gill Sans MT" w:cs="Times New Roman"/>
          <w:sz w:val="24"/>
          <w:szCs w:val="24"/>
        </w:rPr>
        <w:t xml:space="preserve"> persistence</w:t>
      </w:r>
      <w:r w:rsidR="002A4CAC" w:rsidRPr="00434156">
        <w:rPr>
          <w:rFonts w:ascii="Gill Sans MT" w:hAnsi="Gill Sans MT" w:cs="Times New Roman"/>
          <w:sz w:val="24"/>
          <w:szCs w:val="24"/>
        </w:rPr>
        <w:t xml:space="preserve">. </w:t>
      </w:r>
      <w:r w:rsidR="00B855C4" w:rsidRPr="00434156">
        <w:rPr>
          <w:rFonts w:ascii="Gill Sans MT" w:hAnsi="Gill Sans MT" w:cs="Times New Roman"/>
          <w:sz w:val="24"/>
          <w:szCs w:val="24"/>
        </w:rPr>
        <w:t>Note</w:t>
      </w:r>
      <w:r w:rsidR="00944015" w:rsidRPr="00434156">
        <w:rPr>
          <w:rFonts w:ascii="Gill Sans MT" w:hAnsi="Gill Sans MT" w:cs="Times New Roman"/>
          <w:sz w:val="24"/>
          <w:szCs w:val="24"/>
        </w:rPr>
        <w:t xml:space="preserve"> that the </w:t>
      </w:r>
      <w:r w:rsidR="00423003" w:rsidRPr="00434156">
        <w:rPr>
          <w:rFonts w:ascii="Gill Sans MT" w:hAnsi="Gill Sans MT" w:cs="Times New Roman"/>
          <w:sz w:val="24"/>
          <w:szCs w:val="24"/>
        </w:rPr>
        <w:t>stationary</w:t>
      </w:r>
      <w:r w:rsidR="00944015" w:rsidRPr="00434156">
        <w:rPr>
          <w:rFonts w:ascii="Gill Sans MT" w:hAnsi="Gill Sans MT" w:cs="Times New Roman"/>
          <w:sz w:val="24"/>
          <w:szCs w:val="24"/>
        </w:rPr>
        <w:t xml:space="preserve"> condition is satisfied </w:t>
      </w:r>
      <w:r w:rsidR="00423003" w:rsidRPr="00434156">
        <w:rPr>
          <w:rFonts w:ascii="Gill Sans MT" w:hAnsi="Gill Sans MT" w:cs="Times New Roman"/>
          <w:sz w:val="24"/>
          <w:szCs w:val="24"/>
        </w:rPr>
        <w:t>for both models</w:t>
      </w:r>
      <w:r w:rsidR="00944015" w:rsidRPr="00434156">
        <w:rPr>
          <w:rFonts w:ascii="Gill Sans MT" w:hAnsi="Gill Sans MT" w:cs="Times New Roman"/>
          <w:sz w:val="24"/>
          <w:szCs w:val="24"/>
        </w:rPr>
        <w:t xml:space="preserve"> implying that the Quasi-Maximum Likelihood Estimators (QMLE) </w:t>
      </w:r>
      <w:r w:rsidR="003B3780" w:rsidRPr="00434156">
        <w:rPr>
          <w:rFonts w:ascii="Gill Sans MT" w:hAnsi="Gill Sans MT" w:cs="Times New Roman"/>
          <w:sz w:val="24"/>
          <w:szCs w:val="24"/>
        </w:rPr>
        <w:t xml:space="preserve">for </w:t>
      </w:r>
      <w:r w:rsidR="00423003" w:rsidRPr="00434156">
        <w:rPr>
          <w:rFonts w:ascii="Gill Sans MT" w:hAnsi="Gill Sans MT" w:cs="Times New Roman"/>
          <w:sz w:val="24"/>
          <w:szCs w:val="24"/>
        </w:rPr>
        <w:t>the UK arrival series</w:t>
      </w:r>
      <w:r w:rsidR="003B3780" w:rsidRPr="00434156">
        <w:rPr>
          <w:rFonts w:ascii="Gill Sans MT" w:hAnsi="Gill Sans MT" w:cs="Times New Roman"/>
          <w:sz w:val="24"/>
          <w:szCs w:val="24"/>
        </w:rPr>
        <w:t xml:space="preserve"> </w:t>
      </w:r>
      <w:r w:rsidR="00944015" w:rsidRPr="00434156">
        <w:rPr>
          <w:rFonts w:ascii="Gill Sans MT" w:hAnsi="Gill Sans MT" w:cs="Times New Roman"/>
          <w:sz w:val="24"/>
          <w:szCs w:val="24"/>
        </w:rPr>
        <w:t>are consistent and asymptotically normal. Hence</w:t>
      </w:r>
      <w:r w:rsidR="008D3950" w:rsidRPr="00434156">
        <w:rPr>
          <w:rFonts w:ascii="Gill Sans MT" w:hAnsi="Gill Sans MT" w:cs="Times New Roman"/>
          <w:sz w:val="24"/>
          <w:szCs w:val="24"/>
        </w:rPr>
        <w:t>,</w:t>
      </w:r>
      <w:r w:rsidR="00944015" w:rsidRPr="00434156">
        <w:rPr>
          <w:rFonts w:ascii="Gill Sans MT" w:hAnsi="Gill Sans MT" w:cs="Times New Roman"/>
          <w:sz w:val="24"/>
          <w:szCs w:val="24"/>
        </w:rPr>
        <w:t xml:space="preserve"> the inference based on the GARCH</w:t>
      </w:r>
      <w:r w:rsidR="00423003" w:rsidRPr="00434156">
        <w:rPr>
          <w:rFonts w:ascii="Gill Sans MT" w:hAnsi="Gill Sans MT" w:cs="Times New Roman"/>
          <w:sz w:val="24"/>
          <w:szCs w:val="24"/>
        </w:rPr>
        <w:t xml:space="preserve"> </w:t>
      </w:r>
      <w:r w:rsidR="00944015" w:rsidRPr="00434156">
        <w:rPr>
          <w:rFonts w:ascii="Gill Sans MT" w:hAnsi="Gill Sans MT" w:cs="Times New Roman"/>
          <w:sz w:val="24"/>
          <w:szCs w:val="24"/>
        </w:rPr>
        <w:t>specification</w:t>
      </w:r>
      <w:r w:rsidR="00423003" w:rsidRPr="00434156">
        <w:rPr>
          <w:rFonts w:ascii="Gill Sans MT" w:hAnsi="Gill Sans MT" w:cs="Times New Roman"/>
          <w:sz w:val="24"/>
          <w:szCs w:val="24"/>
        </w:rPr>
        <w:t>s</w:t>
      </w:r>
      <w:r w:rsidR="00944015" w:rsidRPr="00434156">
        <w:rPr>
          <w:rFonts w:ascii="Gill Sans MT" w:hAnsi="Gill Sans MT" w:cs="Times New Roman"/>
          <w:sz w:val="24"/>
          <w:szCs w:val="24"/>
        </w:rPr>
        <w:t xml:space="preserve"> is valid</w:t>
      </w:r>
      <w:r w:rsidR="00525256" w:rsidRPr="00434156">
        <w:rPr>
          <w:rFonts w:ascii="Gill Sans MT" w:hAnsi="Gill Sans MT" w:cs="Times New Roman"/>
          <w:sz w:val="24"/>
          <w:szCs w:val="24"/>
        </w:rPr>
        <w:t>.</w:t>
      </w:r>
      <w:r w:rsidR="002A4CAC" w:rsidRPr="00434156">
        <w:rPr>
          <w:rFonts w:ascii="Gill Sans MT" w:hAnsi="Gill Sans MT" w:cs="Times New Roman"/>
          <w:sz w:val="24"/>
          <w:szCs w:val="24"/>
        </w:rPr>
        <w:t xml:space="preserve"> Moreover, </w:t>
      </w:r>
      <w:r w:rsidR="002A44BD" w:rsidRPr="00434156">
        <w:rPr>
          <w:rFonts w:ascii="Gill Sans MT" w:hAnsi="Gill Sans MT" w:cs="Times New Roman"/>
          <w:sz w:val="24"/>
          <w:szCs w:val="24"/>
        </w:rPr>
        <w:t>asymmetric effects are observed</w:t>
      </w:r>
      <w:r w:rsidR="002A4CAC" w:rsidRPr="00434156">
        <w:rPr>
          <w:rFonts w:ascii="Gill Sans MT" w:hAnsi="Gill Sans MT" w:cs="Times New Roman"/>
          <w:sz w:val="24"/>
          <w:szCs w:val="24"/>
        </w:rPr>
        <w:t xml:space="preserve"> in the arrival data</w:t>
      </w:r>
      <w:r w:rsidR="002A44BD" w:rsidRPr="00434156">
        <w:rPr>
          <w:rFonts w:ascii="Gill Sans MT" w:hAnsi="Gill Sans MT" w:cs="Times New Roman"/>
          <w:sz w:val="24"/>
          <w:szCs w:val="24"/>
        </w:rPr>
        <w:t xml:space="preserve">, as the </w:t>
      </w:r>
      <m:oMath>
        <m:r>
          <w:rPr>
            <w:rFonts w:ascii="Cambria Math" w:hAnsi="Cambria Math" w:cs="Times New Roman"/>
            <w:sz w:val="24"/>
            <w:szCs w:val="24"/>
          </w:rPr>
          <m:t>γ</m:t>
        </m:r>
      </m:oMath>
      <w:r w:rsidR="002A44BD" w:rsidRPr="00434156">
        <w:rPr>
          <w:rFonts w:ascii="Gill Sans MT" w:hAnsi="Gill Sans MT" w:cs="Times New Roman"/>
          <w:sz w:val="24"/>
          <w:szCs w:val="24"/>
        </w:rPr>
        <w:t xml:space="preserve"> parameter </w:t>
      </w:r>
      <w:r w:rsidR="002A4CAC" w:rsidRPr="00434156">
        <w:rPr>
          <w:rFonts w:ascii="Gill Sans MT" w:hAnsi="Gill Sans MT" w:cs="Times New Roman"/>
          <w:sz w:val="24"/>
          <w:szCs w:val="24"/>
        </w:rPr>
        <w:t>is found</w:t>
      </w:r>
      <w:r w:rsidR="002A44BD" w:rsidRPr="00434156">
        <w:rPr>
          <w:rFonts w:ascii="Gill Sans MT" w:hAnsi="Gill Sans MT" w:cs="Times New Roman"/>
          <w:sz w:val="24"/>
          <w:szCs w:val="24"/>
        </w:rPr>
        <w:t xml:space="preserve"> to be significant</w:t>
      </w:r>
      <w:r w:rsidR="00D24748" w:rsidRPr="00434156">
        <w:rPr>
          <w:rFonts w:ascii="Gill Sans MT" w:hAnsi="Gill Sans MT" w:cs="Times New Roman"/>
          <w:sz w:val="24"/>
          <w:szCs w:val="24"/>
        </w:rPr>
        <w:t xml:space="preserve"> for </w:t>
      </w:r>
      <w:r w:rsidR="002A4CAC" w:rsidRPr="00434156">
        <w:rPr>
          <w:rFonts w:ascii="Gill Sans MT" w:hAnsi="Gill Sans MT" w:cs="Times New Roman"/>
          <w:sz w:val="24"/>
          <w:szCs w:val="24"/>
        </w:rPr>
        <w:t>the UK index</w:t>
      </w:r>
      <w:r w:rsidR="002A44BD" w:rsidRPr="00434156">
        <w:rPr>
          <w:rFonts w:ascii="Gill Sans MT" w:hAnsi="Gill Sans MT" w:cs="Times New Roman"/>
          <w:sz w:val="24"/>
          <w:szCs w:val="24"/>
        </w:rPr>
        <w:t xml:space="preserve">. </w:t>
      </w:r>
      <w:r w:rsidR="007E0D9D" w:rsidRPr="00434156">
        <w:rPr>
          <w:rFonts w:ascii="Gill Sans MT" w:hAnsi="Gill Sans MT" w:cs="Times New Roman"/>
          <w:sz w:val="24"/>
          <w:szCs w:val="24"/>
        </w:rPr>
        <w:t>T</w:t>
      </w:r>
      <w:r w:rsidR="002A44BD" w:rsidRPr="00434156">
        <w:rPr>
          <w:rFonts w:ascii="Gill Sans MT" w:hAnsi="Gill Sans MT" w:cs="Times New Roman"/>
          <w:sz w:val="24"/>
          <w:szCs w:val="24"/>
        </w:rPr>
        <w:t xml:space="preserve">he </w:t>
      </w:r>
      <w:r w:rsidR="005B39DF" w:rsidRPr="00434156">
        <w:rPr>
          <w:rFonts w:ascii="Gill Sans MT" w:hAnsi="Gill Sans MT" w:cs="Times New Roman"/>
          <w:sz w:val="24"/>
          <w:szCs w:val="24"/>
        </w:rPr>
        <w:t xml:space="preserve">negative </w:t>
      </w:r>
      <w:r w:rsidR="002A4CAC" w:rsidRPr="00434156">
        <w:rPr>
          <w:rFonts w:ascii="Gill Sans MT" w:hAnsi="Gill Sans MT" w:cs="Times New Roman"/>
          <w:sz w:val="24"/>
          <w:szCs w:val="24"/>
        </w:rPr>
        <w:t>value</w:t>
      </w:r>
      <w:r w:rsidR="002A44BD" w:rsidRPr="00434156">
        <w:rPr>
          <w:rFonts w:ascii="Gill Sans MT" w:hAnsi="Gill Sans MT" w:cs="Times New Roman"/>
          <w:sz w:val="24"/>
          <w:szCs w:val="24"/>
        </w:rPr>
        <w:t xml:space="preserve"> of </w:t>
      </w:r>
      <w:r w:rsidR="005B39DF" w:rsidRPr="00434156">
        <w:rPr>
          <w:rFonts w:ascii="Gill Sans MT" w:hAnsi="Gill Sans MT" w:cs="Times New Roman"/>
          <w:sz w:val="24"/>
          <w:szCs w:val="24"/>
        </w:rPr>
        <w:t xml:space="preserve"> </w:t>
      </w:r>
      <m:oMath>
        <m:r>
          <w:rPr>
            <w:rFonts w:ascii="Cambria Math" w:hAnsi="Cambria Math" w:cs="Times New Roman"/>
            <w:sz w:val="24"/>
            <w:szCs w:val="24"/>
          </w:rPr>
          <m:t>γ</m:t>
        </m:r>
      </m:oMath>
      <w:r w:rsidR="005B39DF" w:rsidRPr="00434156">
        <w:rPr>
          <w:rFonts w:ascii="Gill Sans MT" w:hAnsi="Gill Sans MT" w:cs="Times New Roman"/>
          <w:sz w:val="24"/>
          <w:szCs w:val="24"/>
        </w:rPr>
        <w:t xml:space="preserve"> suggest</w:t>
      </w:r>
      <w:r w:rsidR="002A4CAC" w:rsidRPr="00434156">
        <w:rPr>
          <w:rFonts w:ascii="Gill Sans MT" w:hAnsi="Gill Sans MT" w:cs="Times New Roman"/>
          <w:sz w:val="24"/>
          <w:szCs w:val="24"/>
        </w:rPr>
        <w:t>s</w:t>
      </w:r>
      <w:r w:rsidR="005B39DF" w:rsidRPr="00434156">
        <w:rPr>
          <w:rFonts w:ascii="Gill Sans MT" w:hAnsi="Gill Sans MT" w:cs="Times New Roman"/>
          <w:sz w:val="24"/>
          <w:szCs w:val="24"/>
        </w:rPr>
        <w:t xml:space="preserve"> that</w:t>
      </w:r>
      <w:r w:rsidR="002A44BD" w:rsidRPr="00434156">
        <w:rPr>
          <w:rFonts w:ascii="Gill Sans MT" w:hAnsi="Gill Sans MT" w:cs="Times New Roman"/>
          <w:sz w:val="24"/>
          <w:szCs w:val="24"/>
        </w:rPr>
        <w:t xml:space="preserve"> </w:t>
      </w:r>
      <w:r w:rsidR="005B39DF" w:rsidRPr="00434156">
        <w:rPr>
          <w:rFonts w:ascii="Gill Sans MT" w:hAnsi="Gill Sans MT" w:cs="Times New Roman"/>
          <w:sz w:val="24"/>
          <w:szCs w:val="24"/>
        </w:rPr>
        <w:t xml:space="preserve">if the </w:t>
      </w:r>
      <w:r w:rsidR="0083501B" w:rsidRPr="00434156">
        <w:rPr>
          <w:rFonts w:ascii="Gill Sans MT" w:hAnsi="Gill Sans MT" w:cs="Times New Roman"/>
          <w:sz w:val="24"/>
          <w:szCs w:val="24"/>
        </w:rPr>
        <w:t>anticipated arrivals</w:t>
      </w:r>
      <w:r w:rsidR="005B39DF" w:rsidRPr="00434156">
        <w:rPr>
          <w:rFonts w:ascii="Gill Sans MT" w:hAnsi="Gill Sans MT" w:cs="Times New Roman"/>
          <w:sz w:val="24"/>
          <w:szCs w:val="24"/>
        </w:rPr>
        <w:t xml:space="preserve"> </w:t>
      </w:r>
      <w:r w:rsidR="0083501B" w:rsidRPr="00434156">
        <w:rPr>
          <w:rFonts w:ascii="Gill Sans MT" w:hAnsi="Gill Sans MT" w:cs="Times New Roman"/>
          <w:sz w:val="24"/>
          <w:szCs w:val="24"/>
        </w:rPr>
        <w:t>are</w:t>
      </w:r>
      <w:r w:rsidR="005B39DF" w:rsidRPr="00434156">
        <w:rPr>
          <w:rFonts w:ascii="Gill Sans MT" w:hAnsi="Gill Sans MT" w:cs="Times New Roman"/>
          <w:sz w:val="24"/>
          <w:szCs w:val="24"/>
        </w:rPr>
        <w:t xml:space="preserve"> lower than expected, </w:t>
      </w:r>
      <w:r w:rsidR="0083501B" w:rsidRPr="00434156">
        <w:rPr>
          <w:rFonts w:ascii="Gill Sans MT" w:hAnsi="Gill Sans MT" w:cs="Times New Roman"/>
          <w:sz w:val="24"/>
          <w:szCs w:val="24"/>
        </w:rPr>
        <w:t xml:space="preserve">there will be a downward shift </w:t>
      </w:r>
      <w:r w:rsidR="003E0C58" w:rsidRPr="00434156">
        <w:rPr>
          <w:rFonts w:ascii="Gill Sans MT" w:hAnsi="Gill Sans MT" w:cs="Times New Roman"/>
          <w:sz w:val="24"/>
          <w:szCs w:val="24"/>
        </w:rPr>
        <w:t xml:space="preserve">in the </w:t>
      </w:r>
      <w:r w:rsidR="00215FDE" w:rsidRPr="00434156">
        <w:rPr>
          <w:rFonts w:ascii="Gill Sans MT" w:hAnsi="Gill Sans MT" w:cs="Times New Roman"/>
          <w:sz w:val="24"/>
          <w:szCs w:val="24"/>
        </w:rPr>
        <w:t>uncertainty</w:t>
      </w:r>
      <w:r w:rsidR="003E0C58" w:rsidRPr="00434156">
        <w:rPr>
          <w:rFonts w:ascii="Gill Sans MT" w:hAnsi="Gill Sans MT" w:cs="Times New Roman"/>
          <w:sz w:val="24"/>
          <w:szCs w:val="24"/>
        </w:rPr>
        <w:t xml:space="preserve"> levels. </w:t>
      </w:r>
    </w:p>
    <w:p w14:paraId="7AB96E2A" w14:textId="140B958B" w:rsidR="0004138D" w:rsidRPr="00434156" w:rsidRDefault="0094409E" w:rsidP="008A3B63">
      <w:pPr>
        <w:spacing w:line="480" w:lineRule="auto"/>
        <w:jc w:val="both"/>
        <w:rPr>
          <w:rFonts w:ascii="Gill Sans MT" w:hAnsi="Gill Sans MT" w:cs="Times New Roman"/>
          <w:sz w:val="24"/>
          <w:szCs w:val="24"/>
        </w:rPr>
      </w:pPr>
      <w:r w:rsidRPr="00434156">
        <w:rPr>
          <w:rFonts w:ascii="Gill Sans MT" w:hAnsi="Gill Sans MT" w:cs="Times New Roman"/>
          <w:sz w:val="24"/>
          <w:szCs w:val="24"/>
        </w:rPr>
        <w:t>The</w:t>
      </w:r>
      <w:r w:rsidR="00482929" w:rsidRPr="00434156">
        <w:rPr>
          <w:rFonts w:ascii="Gill Sans MT" w:hAnsi="Gill Sans MT" w:cs="Times New Roman"/>
          <w:sz w:val="24"/>
          <w:szCs w:val="24"/>
        </w:rPr>
        <w:t xml:space="preserve"> results </w:t>
      </w:r>
      <w:r w:rsidRPr="00434156">
        <w:rPr>
          <w:rFonts w:ascii="Gill Sans MT" w:hAnsi="Gill Sans MT" w:cs="Times New Roman"/>
          <w:sz w:val="24"/>
          <w:szCs w:val="24"/>
        </w:rPr>
        <w:t xml:space="preserve">of Table </w:t>
      </w:r>
      <w:r w:rsidR="00B855C4" w:rsidRPr="00434156">
        <w:rPr>
          <w:rFonts w:ascii="Gill Sans MT" w:hAnsi="Gill Sans MT" w:cs="Times New Roman"/>
          <w:sz w:val="24"/>
          <w:szCs w:val="24"/>
        </w:rPr>
        <w:t>1</w:t>
      </w:r>
      <w:r w:rsidR="00D83509" w:rsidRPr="00434156">
        <w:rPr>
          <w:rFonts w:ascii="Gill Sans MT" w:hAnsi="Gill Sans MT" w:cs="Times New Roman"/>
          <w:sz w:val="24"/>
          <w:szCs w:val="24"/>
        </w:rPr>
        <w:t xml:space="preserve"> further</w:t>
      </w:r>
      <w:r w:rsidRPr="00434156">
        <w:rPr>
          <w:rFonts w:ascii="Gill Sans MT" w:hAnsi="Gill Sans MT" w:cs="Times New Roman"/>
          <w:sz w:val="24"/>
          <w:szCs w:val="24"/>
        </w:rPr>
        <w:t xml:space="preserve"> </w:t>
      </w:r>
      <w:r w:rsidR="00482929" w:rsidRPr="00434156">
        <w:rPr>
          <w:rFonts w:ascii="Gill Sans MT" w:hAnsi="Gill Sans MT" w:cs="Times New Roman"/>
          <w:sz w:val="24"/>
          <w:szCs w:val="24"/>
        </w:rPr>
        <w:t>confirm</w:t>
      </w:r>
      <w:r w:rsidR="00377449" w:rsidRPr="00434156">
        <w:rPr>
          <w:rFonts w:ascii="Gill Sans MT" w:hAnsi="Gill Sans MT" w:cs="Times New Roman"/>
          <w:sz w:val="24"/>
          <w:szCs w:val="24"/>
        </w:rPr>
        <w:t xml:space="preserve"> that the degree of volatility persistence is reduced if structural changes are taken into consideration. For instance, the</w:t>
      </w:r>
      <m:oMath>
        <m:r>
          <w:rPr>
            <w:rFonts w:ascii="Cambria Math" w:hAnsi="Cambria Math" w:cs="Times New Roman"/>
            <w:sz w:val="24"/>
            <w:szCs w:val="24"/>
          </w:rPr>
          <m:t xml:space="preserve">  β</m:t>
        </m:r>
      </m:oMath>
      <w:r w:rsidR="00377449" w:rsidRPr="00434156">
        <w:rPr>
          <w:rFonts w:ascii="Gill Sans MT" w:hAnsi="Gill Sans MT" w:cs="Times New Roman"/>
          <w:sz w:val="24"/>
          <w:szCs w:val="24"/>
        </w:rPr>
        <w:t xml:space="preserve"> </w:t>
      </w:r>
      <w:r w:rsidR="00482929" w:rsidRPr="00434156">
        <w:rPr>
          <w:rFonts w:ascii="Gill Sans MT" w:hAnsi="Gill Sans MT" w:cs="Times New Roman"/>
          <w:sz w:val="24"/>
          <w:szCs w:val="24"/>
        </w:rPr>
        <w:t xml:space="preserve">value for the </w:t>
      </w:r>
      <w:r w:rsidR="00585E07" w:rsidRPr="00434156">
        <w:rPr>
          <w:rFonts w:ascii="Gill Sans MT" w:hAnsi="Gill Sans MT" w:cs="Times New Roman"/>
          <w:sz w:val="24"/>
          <w:szCs w:val="24"/>
        </w:rPr>
        <w:t xml:space="preserve">baseline </w:t>
      </w:r>
      <w:r w:rsidR="00377449" w:rsidRPr="00434156">
        <w:rPr>
          <w:rFonts w:ascii="Gill Sans MT" w:hAnsi="Gill Sans MT" w:cs="Times New Roman"/>
          <w:sz w:val="24"/>
          <w:szCs w:val="24"/>
        </w:rPr>
        <w:t xml:space="preserve">GARCH </w:t>
      </w:r>
      <w:r w:rsidR="00482929" w:rsidRPr="00434156">
        <w:rPr>
          <w:rFonts w:ascii="Gill Sans MT" w:hAnsi="Gill Sans MT" w:cs="Times New Roman"/>
          <w:sz w:val="24"/>
          <w:szCs w:val="24"/>
        </w:rPr>
        <w:t>amounts to 0.</w:t>
      </w:r>
      <w:r w:rsidR="00AA770B" w:rsidRPr="00434156">
        <w:rPr>
          <w:rFonts w:ascii="Gill Sans MT" w:hAnsi="Gill Sans MT" w:cs="Times New Roman"/>
          <w:sz w:val="24"/>
          <w:szCs w:val="24"/>
        </w:rPr>
        <w:t>9813</w:t>
      </w:r>
      <w:r w:rsidR="00377449" w:rsidRPr="00434156">
        <w:rPr>
          <w:rFonts w:ascii="Gill Sans MT" w:hAnsi="Gill Sans MT" w:cs="Times New Roman"/>
          <w:sz w:val="24"/>
          <w:szCs w:val="24"/>
        </w:rPr>
        <w:t xml:space="preserve">, whereas the corresponding estimate </w:t>
      </w:r>
      <w:r w:rsidR="00585E07" w:rsidRPr="00434156">
        <w:rPr>
          <w:rFonts w:ascii="Gill Sans MT" w:hAnsi="Gill Sans MT" w:cs="Times New Roman"/>
          <w:sz w:val="24"/>
          <w:szCs w:val="24"/>
        </w:rPr>
        <w:t xml:space="preserve">after accounting for breaks </w:t>
      </w:r>
      <w:r w:rsidR="00482929" w:rsidRPr="00434156">
        <w:rPr>
          <w:rFonts w:ascii="Gill Sans MT" w:hAnsi="Gill Sans MT" w:cs="Times New Roman"/>
          <w:sz w:val="24"/>
          <w:szCs w:val="24"/>
        </w:rPr>
        <w:t>equals 0.</w:t>
      </w:r>
      <w:r w:rsidR="00AA770B" w:rsidRPr="00434156">
        <w:rPr>
          <w:rFonts w:ascii="Gill Sans MT" w:hAnsi="Gill Sans MT" w:cs="Times New Roman"/>
          <w:sz w:val="24"/>
          <w:szCs w:val="24"/>
        </w:rPr>
        <w:t>8718</w:t>
      </w:r>
      <w:r w:rsidR="00377449" w:rsidRPr="00434156">
        <w:rPr>
          <w:rFonts w:ascii="Gill Sans MT" w:hAnsi="Gill Sans MT" w:cs="Times New Roman"/>
          <w:sz w:val="24"/>
          <w:szCs w:val="24"/>
        </w:rPr>
        <w:t xml:space="preserve"> </w:t>
      </w:r>
      <w:r w:rsidR="00513CC2" w:rsidRPr="00434156">
        <w:rPr>
          <w:rFonts w:ascii="Gill Sans MT" w:hAnsi="Gill Sans MT" w:cs="Times New Roman"/>
          <w:sz w:val="24"/>
          <w:szCs w:val="24"/>
        </w:rPr>
        <w:t>suggesting</w:t>
      </w:r>
      <w:r w:rsidR="00377449" w:rsidRPr="00434156">
        <w:rPr>
          <w:rFonts w:ascii="Gill Sans MT" w:hAnsi="Gill Sans MT" w:cs="Times New Roman"/>
          <w:sz w:val="24"/>
          <w:szCs w:val="24"/>
        </w:rPr>
        <w:t xml:space="preserve"> that there is a significant drop in volatility persistence. </w:t>
      </w:r>
      <w:r w:rsidR="00764458" w:rsidRPr="00434156">
        <w:rPr>
          <w:rFonts w:ascii="Gill Sans MT" w:hAnsi="Gill Sans MT" w:cs="Times New Roman"/>
          <w:sz w:val="24"/>
          <w:szCs w:val="24"/>
        </w:rPr>
        <w:t xml:space="preserve">Based on the AIC, BIC and log-likelihood values, we can also conclude that GARCH models accounting for structural breaks outperform the standard ones. </w:t>
      </w:r>
      <w:r w:rsidR="00AA770B" w:rsidRPr="00434156">
        <w:rPr>
          <w:rFonts w:ascii="Gill Sans MT" w:hAnsi="Gill Sans MT" w:cs="Times New Roman"/>
          <w:sz w:val="24"/>
          <w:szCs w:val="24"/>
        </w:rPr>
        <w:t>We also observe that the effects of structural breaks</w:t>
      </w:r>
      <w:r w:rsidR="000137BB" w:rsidRPr="00434156">
        <w:rPr>
          <w:rFonts w:ascii="Gill Sans MT" w:hAnsi="Gill Sans MT"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oMath>
      <w:r w:rsidR="000137BB" w:rsidRPr="00434156">
        <w:rPr>
          <w:rFonts w:ascii="Gill Sans MT" w:eastAsiaTheme="minorEastAsia" w:hAnsi="Gill Sans MT" w:cs="Times New Roman"/>
          <w:sz w:val="24"/>
          <w:szCs w:val="24"/>
        </w:rPr>
        <w:t>and</w:t>
      </w:r>
      <m:oMath>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oMath>
      <w:r w:rsidR="000137BB" w:rsidRPr="00434156">
        <w:rPr>
          <w:rFonts w:ascii="Gill Sans MT" w:hAnsi="Gill Sans MT" w:cs="Times New Roman"/>
          <w:sz w:val="24"/>
          <w:szCs w:val="24"/>
        </w:rPr>
        <w:t>)</w:t>
      </w:r>
      <w:r w:rsidR="00AA770B" w:rsidRPr="00434156">
        <w:rPr>
          <w:rFonts w:ascii="Gill Sans MT" w:hAnsi="Gill Sans MT" w:cs="Times New Roman"/>
          <w:sz w:val="24"/>
          <w:szCs w:val="24"/>
        </w:rPr>
        <w:t xml:space="preserve"> appear to be positive implying that the presence of such breaks tends to raise uncertainty in </w:t>
      </w:r>
      <w:r w:rsidR="0035151A" w:rsidRPr="00434156">
        <w:rPr>
          <w:rFonts w:ascii="Gill Sans MT" w:hAnsi="Gill Sans MT" w:cs="Times New Roman"/>
          <w:sz w:val="24"/>
          <w:szCs w:val="24"/>
        </w:rPr>
        <w:t xml:space="preserve">the </w:t>
      </w:r>
      <w:r w:rsidR="00AA770B" w:rsidRPr="00434156">
        <w:rPr>
          <w:rFonts w:ascii="Gill Sans MT" w:hAnsi="Gill Sans MT" w:cs="Times New Roman"/>
          <w:sz w:val="24"/>
          <w:szCs w:val="24"/>
        </w:rPr>
        <w:t xml:space="preserve">tourism </w:t>
      </w:r>
      <w:r w:rsidR="00585E07" w:rsidRPr="00434156">
        <w:rPr>
          <w:rFonts w:ascii="Gill Sans MT" w:hAnsi="Gill Sans MT" w:cs="Times New Roman"/>
          <w:sz w:val="24"/>
          <w:szCs w:val="24"/>
        </w:rPr>
        <w:t>industry</w:t>
      </w:r>
      <w:r w:rsidR="00AA770B" w:rsidRPr="00434156">
        <w:rPr>
          <w:rFonts w:ascii="Gill Sans MT" w:hAnsi="Gill Sans MT" w:cs="Times New Roman"/>
          <w:sz w:val="24"/>
          <w:szCs w:val="24"/>
        </w:rPr>
        <w:t xml:space="preserve">. </w:t>
      </w:r>
    </w:p>
    <w:p w14:paraId="6407BB33" w14:textId="64116120" w:rsidR="009C7A79" w:rsidRPr="00434156" w:rsidRDefault="009C7A79" w:rsidP="009C7A79">
      <w:pPr>
        <w:spacing w:line="480" w:lineRule="auto"/>
        <w:jc w:val="both"/>
        <w:rPr>
          <w:rFonts w:ascii="Gill Sans MT" w:hAnsi="Gill Sans MT" w:cs="Times New Roman"/>
          <w:sz w:val="24"/>
          <w:szCs w:val="24"/>
          <w:lang w:val="en-GB"/>
        </w:rPr>
      </w:pPr>
      <w:r w:rsidRPr="00434156">
        <w:rPr>
          <w:rFonts w:ascii="Gill Sans MT" w:hAnsi="Gill Sans MT" w:cs="Times New Roman"/>
          <w:sz w:val="24"/>
          <w:szCs w:val="24"/>
        </w:rPr>
        <w:lastRenderedPageBreak/>
        <w:t>Table 3 summarizes the impacts of good and bad news on the volatility of tourism demand</w:t>
      </w:r>
      <w:r w:rsidR="00E05F86" w:rsidRPr="00434156">
        <w:rPr>
          <w:rFonts w:ascii="Gill Sans MT" w:hAnsi="Gill Sans MT" w:cs="Times New Roman"/>
          <w:sz w:val="24"/>
          <w:szCs w:val="24"/>
        </w:rPr>
        <w:t xml:space="preserve"> (using unadjusted data)</w:t>
      </w:r>
      <w:r w:rsidR="00E05F86" w:rsidRPr="00434156">
        <w:rPr>
          <w:rStyle w:val="FootnoteReference"/>
          <w:rFonts w:ascii="Gill Sans MT" w:hAnsi="Gill Sans MT" w:cs="Times New Roman"/>
          <w:sz w:val="24"/>
          <w:szCs w:val="24"/>
        </w:rPr>
        <w:footnoteReference w:id="4"/>
      </w:r>
      <w:r w:rsidRPr="00434156">
        <w:rPr>
          <w:rFonts w:ascii="Gill Sans MT" w:hAnsi="Gill Sans MT" w:cs="Times New Roman"/>
          <w:sz w:val="24"/>
          <w:szCs w:val="24"/>
        </w:rPr>
        <w:t>. These results, based on the GJR-GARCH approach, reveal that the coefficients measuring the effects of good and bad news increase considerably when structural breaks are considered. These results suggest that the effect of good news amounts to 0.0124 when breaks are overlooked and 0.0326 when breaks are considered. The corresponding impacts of bad news (</w:t>
      </w:r>
      <m:oMath>
        <m:r>
          <w:rPr>
            <w:rFonts w:ascii="Cambria Math" w:hAnsi="Cambria Math" w:cs="Times New Roman"/>
            <w:sz w:val="24"/>
            <w:szCs w:val="24"/>
          </w:rPr>
          <m:t>α+γ</m:t>
        </m:r>
      </m:oMath>
      <w:r w:rsidRPr="00434156">
        <w:rPr>
          <w:rFonts w:ascii="Gill Sans MT" w:hAnsi="Gill Sans MT" w:cs="Times New Roman"/>
          <w:sz w:val="24"/>
          <w:szCs w:val="24"/>
        </w:rPr>
        <w:t xml:space="preserve">) are 0.1275 and 0.2391 respectively. Hence, </w:t>
      </w:r>
      <w:r w:rsidRPr="00434156">
        <w:rPr>
          <w:rFonts w:ascii="Gill Sans MT" w:hAnsi="Gill Sans MT" w:cs="Times New Roman"/>
          <w:sz w:val="24"/>
          <w:szCs w:val="24"/>
          <w:lang w:val="en-GB"/>
        </w:rPr>
        <w:t xml:space="preserve">bad news, when compared to good news, has more impact on the conditional volatility of tourist arrivals. We thus conclude that when structural breaks are ignored in the tourist arrival index, the volatility persistence is overestimated, and the news impact is underestimated. </w:t>
      </w:r>
    </w:p>
    <w:p w14:paraId="17A573D0" w14:textId="77777777" w:rsidR="009C7A79" w:rsidRPr="00434156" w:rsidRDefault="009C7A79" w:rsidP="009C7A79">
      <w:pPr>
        <w:spacing w:line="480" w:lineRule="auto"/>
        <w:jc w:val="both"/>
        <w:rPr>
          <w:rFonts w:ascii="Gill Sans MT" w:hAnsi="Gill Sans MT" w:cs="Times New Roman"/>
          <w:sz w:val="24"/>
          <w:szCs w:val="24"/>
        </w:rPr>
      </w:pPr>
      <w:r w:rsidRPr="00434156">
        <w:rPr>
          <w:rFonts w:ascii="Gill Sans MT" w:hAnsi="Gill Sans MT" w:cs="Times New Roman"/>
          <w:sz w:val="24"/>
          <w:szCs w:val="24"/>
          <w:lang w:val="en-GB"/>
        </w:rPr>
        <w:t xml:space="preserve">Furthermore, the impact of BREXIT seems to be positive (although insignificant) implying that the BREXIT referendum tends to create ambiguity among international visitors to the UK. To shed further light on the BREXIT issue, we estimate the time-varying correlations between BREXIT-EPU index and tourist arrival series using the DCC-GARCH approach. Fig. 3, which depicts these correlations, demonstrates that such correlations are mostly negative suggesting that the number of visitors to the UK has reduced during the post BREXIT referendum period. </w:t>
      </w:r>
    </w:p>
    <w:p w14:paraId="53CB5D99" w14:textId="2E5B47DD" w:rsidR="009C7A79" w:rsidRPr="00434156" w:rsidRDefault="002519CA" w:rsidP="008A3B63">
      <w:pPr>
        <w:spacing w:line="480" w:lineRule="auto"/>
        <w:jc w:val="both"/>
        <w:rPr>
          <w:rFonts w:ascii="Gill Sans MT" w:hAnsi="Gill Sans MT" w:cs="Times New Roman"/>
          <w:color w:val="548DD4" w:themeColor="text2" w:themeTint="99"/>
          <w:sz w:val="24"/>
          <w:szCs w:val="24"/>
        </w:rPr>
      </w:pPr>
      <w:r w:rsidRPr="00434156">
        <w:rPr>
          <w:rFonts w:ascii="Gill Sans MT" w:hAnsi="Gill Sans MT" w:cs="Times New Roman"/>
          <w:color w:val="548DD4" w:themeColor="text2" w:themeTint="99"/>
          <w:sz w:val="24"/>
          <w:szCs w:val="24"/>
        </w:rPr>
        <w:t>In Table 2, we have presented a re-estimation of a sample selected models as in Table 1 but using a de-seasonalized and trend-extracted data. In addition to the standard GARCH, we have also presented a multivariate DCC GARCH (MGARCH-DCC) estimation.</w:t>
      </w:r>
      <w:r w:rsidRPr="00434156">
        <w:rPr>
          <w:rStyle w:val="FootnoteReference"/>
          <w:rFonts w:ascii="Gill Sans MT" w:hAnsi="Gill Sans MT" w:cs="Times New Roman"/>
          <w:color w:val="548DD4" w:themeColor="text2" w:themeTint="99"/>
          <w:sz w:val="24"/>
          <w:szCs w:val="24"/>
        </w:rPr>
        <w:footnoteReference w:id="5"/>
      </w:r>
      <w:r w:rsidR="009C7A79" w:rsidRPr="00434156">
        <w:rPr>
          <w:rFonts w:ascii="Gill Sans MT" w:hAnsi="Gill Sans MT" w:cs="Times New Roman"/>
          <w:color w:val="548DD4" w:themeColor="text2" w:themeTint="99"/>
          <w:sz w:val="24"/>
          <w:szCs w:val="24"/>
        </w:rPr>
        <w:t xml:space="preserve"> Similar </w:t>
      </w:r>
      <w:r w:rsidR="009C7A79" w:rsidRPr="00434156">
        <w:rPr>
          <w:rFonts w:ascii="Gill Sans MT" w:hAnsi="Gill Sans MT" w:cs="Times New Roman"/>
          <w:color w:val="548DD4" w:themeColor="text2" w:themeTint="99"/>
          <w:sz w:val="24"/>
          <w:szCs w:val="24"/>
        </w:rPr>
        <w:lastRenderedPageBreak/>
        <w:t>to Table 1, we find significant degree of persistence using both conventional AR(1)-GARCH(1,1) process as well as GJR-GARCH(1,1) process. Our estimation of MGARCH-DCC also produced an estimated overall persistence of 0.987 and a component correlation between Brexit-Uncertainty and tourist arrival estimated at 0.893. For GJR-GARCH(1,1), using our modified data, we note that Brexit-uncertainty imparts significant positive effects on tourist arrival as it tends to create ambiguity among international visitors.</w:t>
      </w:r>
    </w:p>
    <w:p w14:paraId="24178D12" w14:textId="7798A313" w:rsidR="002519CA" w:rsidRPr="00434156" w:rsidRDefault="00817C41" w:rsidP="00E05F86">
      <w:pPr>
        <w:autoSpaceDE w:val="0"/>
        <w:autoSpaceDN w:val="0"/>
        <w:adjustRightInd w:val="0"/>
        <w:spacing w:after="0" w:line="480" w:lineRule="auto"/>
        <w:jc w:val="both"/>
        <w:rPr>
          <w:rFonts w:ascii="Gill Sans MT" w:hAnsi="Gill Sans MT" w:cs="Times New Roman"/>
          <w:b/>
          <w:sz w:val="24"/>
          <w:szCs w:val="24"/>
        </w:rPr>
      </w:pPr>
      <w:r w:rsidRPr="00434156">
        <w:rPr>
          <w:rFonts w:ascii="Gill Sans MT" w:hAnsi="Gill Sans MT" w:cs="Times New Roman"/>
          <w:sz w:val="24"/>
          <w:szCs w:val="24"/>
        </w:rPr>
        <w:t xml:space="preserve">Overall, our findings reveal that shocks to the tourist arrival series have long run persistence. In addition, we find the evidence of asymmetric impacts in the UK arrival index. Our findings further suggest that structural breaks, emanating from extreme news or events, have significant effects on the volatility of tourist arrivals in the UK. </w:t>
      </w:r>
      <w:r w:rsidR="00FE2C98" w:rsidRPr="00434156">
        <w:rPr>
          <w:rFonts w:ascii="Gill Sans MT" w:hAnsi="Gill Sans MT" w:cs="Times New Roman"/>
          <w:sz w:val="24"/>
          <w:szCs w:val="24"/>
        </w:rPr>
        <w:t>Tourism</w:t>
      </w:r>
      <w:r w:rsidR="00230592" w:rsidRPr="00434156">
        <w:rPr>
          <w:rFonts w:ascii="Gill Sans MT" w:hAnsi="Gill Sans MT" w:cs="Times New Roman"/>
          <w:sz w:val="24"/>
          <w:szCs w:val="24"/>
        </w:rPr>
        <w:t xml:space="preserve"> managers</w:t>
      </w:r>
      <w:r w:rsidR="00310FA9" w:rsidRPr="00434156">
        <w:rPr>
          <w:rFonts w:ascii="Gill Sans MT" w:hAnsi="Gill Sans MT" w:cs="Times New Roman"/>
          <w:sz w:val="24"/>
          <w:szCs w:val="24"/>
        </w:rPr>
        <w:t xml:space="preserve"> </w:t>
      </w:r>
      <w:r w:rsidR="007313B8" w:rsidRPr="00434156">
        <w:rPr>
          <w:rFonts w:ascii="Gill Sans MT" w:hAnsi="Gill Sans MT" w:cs="Times New Roman"/>
          <w:sz w:val="24"/>
          <w:szCs w:val="24"/>
        </w:rPr>
        <w:t xml:space="preserve">could </w:t>
      </w:r>
      <w:r w:rsidR="0029009C" w:rsidRPr="00434156">
        <w:rPr>
          <w:rFonts w:ascii="Gill Sans MT" w:hAnsi="Gill Sans MT" w:cs="Times New Roman"/>
          <w:sz w:val="24"/>
          <w:szCs w:val="24"/>
        </w:rPr>
        <w:t xml:space="preserve">exercise </w:t>
      </w:r>
      <w:r w:rsidR="00873824" w:rsidRPr="00434156">
        <w:rPr>
          <w:rFonts w:ascii="Gill Sans MT" w:hAnsi="Gill Sans MT" w:cs="Times New Roman"/>
          <w:sz w:val="24"/>
          <w:szCs w:val="24"/>
        </w:rPr>
        <w:t>these</w:t>
      </w:r>
      <w:r w:rsidR="0029009C" w:rsidRPr="00434156">
        <w:rPr>
          <w:rFonts w:ascii="Gill Sans MT" w:hAnsi="Gill Sans MT" w:cs="Times New Roman"/>
          <w:sz w:val="24"/>
          <w:szCs w:val="24"/>
        </w:rPr>
        <w:t xml:space="preserve"> results </w:t>
      </w:r>
      <w:r w:rsidR="007313B8" w:rsidRPr="00434156">
        <w:rPr>
          <w:rFonts w:ascii="Gill Sans MT" w:hAnsi="Gill Sans MT" w:cs="Times New Roman"/>
          <w:sz w:val="24"/>
          <w:szCs w:val="24"/>
        </w:rPr>
        <w:t xml:space="preserve">to </w:t>
      </w:r>
      <w:r w:rsidR="005B5248" w:rsidRPr="00434156">
        <w:rPr>
          <w:rFonts w:ascii="Gill Sans MT" w:hAnsi="Gill Sans MT" w:cs="Times New Roman"/>
          <w:sz w:val="24"/>
          <w:szCs w:val="24"/>
        </w:rPr>
        <w:t xml:space="preserve">adopt active measures </w:t>
      </w:r>
      <w:r w:rsidR="0012588F" w:rsidRPr="00434156">
        <w:rPr>
          <w:rFonts w:ascii="Gill Sans MT" w:hAnsi="Gill Sans MT" w:cs="Times New Roman"/>
          <w:sz w:val="24"/>
          <w:szCs w:val="24"/>
        </w:rPr>
        <w:t>in order</w:t>
      </w:r>
      <w:r w:rsidR="005B5248" w:rsidRPr="00434156">
        <w:rPr>
          <w:rFonts w:ascii="Gill Sans MT" w:hAnsi="Gill Sans MT" w:cs="Times New Roman"/>
          <w:sz w:val="24"/>
          <w:szCs w:val="24"/>
        </w:rPr>
        <w:t xml:space="preserve"> to</w:t>
      </w:r>
      <w:r w:rsidR="007313B8" w:rsidRPr="00434156">
        <w:rPr>
          <w:rFonts w:ascii="Gill Sans MT" w:hAnsi="Gill Sans MT" w:cs="Times New Roman"/>
          <w:sz w:val="24"/>
          <w:szCs w:val="24"/>
        </w:rPr>
        <w:t xml:space="preserve"> </w:t>
      </w:r>
      <w:r w:rsidR="0012588F" w:rsidRPr="00434156">
        <w:rPr>
          <w:rFonts w:ascii="Gill Sans MT" w:hAnsi="Gill Sans MT" w:cs="Times New Roman"/>
          <w:sz w:val="24"/>
          <w:szCs w:val="24"/>
        </w:rPr>
        <w:t xml:space="preserve">minimize uncertainties in tourism demand and </w:t>
      </w:r>
      <w:r w:rsidR="007313B8" w:rsidRPr="00434156">
        <w:rPr>
          <w:rFonts w:ascii="Gill Sans MT" w:hAnsi="Gill Sans MT" w:cs="Times New Roman"/>
          <w:sz w:val="24"/>
          <w:szCs w:val="24"/>
        </w:rPr>
        <w:t>receiv</w:t>
      </w:r>
      <w:r w:rsidR="0012588F" w:rsidRPr="00434156">
        <w:rPr>
          <w:rFonts w:ascii="Gill Sans MT" w:hAnsi="Gill Sans MT" w:cs="Times New Roman"/>
          <w:sz w:val="24"/>
          <w:szCs w:val="24"/>
        </w:rPr>
        <w:t>e</w:t>
      </w:r>
      <w:r w:rsidR="007313B8" w:rsidRPr="00434156">
        <w:rPr>
          <w:rFonts w:ascii="Gill Sans MT" w:hAnsi="Gill Sans MT" w:cs="Times New Roman"/>
          <w:sz w:val="24"/>
          <w:szCs w:val="24"/>
        </w:rPr>
        <w:t xml:space="preserve"> </w:t>
      </w:r>
      <w:r w:rsidR="0012588F" w:rsidRPr="00434156">
        <w:rPr>
          <w:rFonts w:ascii="Gill Sans MT" w:hAnsi="Gill Sans MT" w:cs="Times New Roman"/>
          <w:sz w:val="24"/>
          <w:szCs w:val="24"/>
        </w:rPr>
        <w:t>more</w:t>
      </w:r>
      <w:r w:rsidR="007313B8" w:rsidRPr="00434156">
        <w:rPr>
          <w:rFonts w:ascii="Gill Sans MT" w:hAnsi="Gill Sans MT" w:cs="Times New Roman"/>
          <w:sz w:val="24"/>
          <w:szCs w:val="24"/>
        </w:rPr>
        <w:t xml:space="preserve"> attention from international tourists. </w:t>
      </w:r>
      <w:r w:rsidR="005B5248" w:rsidRPr="00434156">
        <w:rPr>
          <w:rFonts w:ascii="Gill Sans MT" w:hAnsi="Gill Sans MT" w:cs="Times New Roman"/>
          <w:sz w:val="24"/>
          <w:szCs w:val="24"/>
        </w:rPr>
        <w:t>Examples of</w:t>
      </w:r>
      <w:r w:rsidR="007313B8" w:rsidRPr="00434156">
        <w:rPr>
          <w:rFonts w:ascii="Gill Sans MT" w:hAnsi="Gill Sans MT" w:cs="Times New Roman"/>
          <w:sz w:val="24"/>
          <w:szCs w:val="24"/>
        </w:rPr>
        <w:t xml:space="preserve"> such polic</w:t>
      </w:r>
      <w:r w:rsidR="005B5248" w:rsidRPr="00434156">
        <w:rPr>
          <w:rFonts w:ascii="Gill Sans MT" w:hAnsi="Gill Sans MT" w:cs="Times New Roman"/>
          <w:sz w:val="24"/>
          <w:szCs w:val="24"/>
        </w:rPr>
        <w:t>ies</w:t>
      </w:r>
      <w:r w:rsidR="007313B8" w:rsidRPr="00434156">
        <w:rPr>
          <w:rFonts w:ascii="Gill Sans MT" w:hAnsi="Gill Sans MT" w:cs="Times New Roman"/>
          <w:sz w:val="24"/>
          <w:szCs w:val="24"/>
        </w:rPr>
        <w:t xml:space="preserve"> </w:t>
      </w:r>
      <w:r w:rsidR="005B5248" w:rsidRPr="00434156">
        <w:rPr>
          <w:rFonts w:ascii="Gill Sans MT" w:hAnsi="Gill Sans MT" w:cs="Times New Roman"/>
          <w:sz w:val="24"/>
          <w:szCs w:val="24"/>
        </w:rPr>
        <w:t>include</w:t>
      </w:r>
      <w:r w:rsidR="007313B8" w:rsidRPr="00434156">
        <w:rPr>
          <w:rFonts w:ascii="Gill Sans MT" w:hAnsi="Gill Sans MT" w:cs="Times New Roman"/>
          <w:sz w:val="24"/>
          <w:szCs w:val="24"/>
        </w:rPr>
        <w:t xml:space="preserve"> stabilizing hotel prices</w:t>
      </w:r>
      <w:r w:rsidR="005B5248" w:rsidRPr="00434156">
        <w:rPr>
          <w:rFonts w:ascii="Gill Sans MT" w:hAnsi="Gill Sans MT" w:cs="Times New Roman"/>
          <w:sz w:val="24"/>
          <w:szCs w:val="24"/>
        </w:rPr>
        <w:t>, rebranding the country as an ultimate destination for foreigners and inventing new attractions for international tourists</w:t>
      </w:r>
      <w:r w:rsidR="00C27482" w:rsidRPr="00434156">
        <w:rPr>
          <w:rFonts w:ascii="Gill Sans MT" w:hAnsi="Gill Sans MT" w:cs="Times New Roman"/>
          <w:sz w:val="24"/>
          <w:szCs w:val="24"/>
        </w:rPr>
        <w:t xml:space="preserve">. </w:t>
      </w:r>
      <w:r w:rsidR="00BD7648" w:rsidRPr="00434156">
        <w:rPr>
          <w:rFonts w:ascii="Gill Sans MT" w:hAnsi="Gill Sans MT" w:cs="Times New Roman"/>
          <w:sz w:val="24"/>
          <w:szCs w:val="24"/>
        </w:rPr>
        <w:t>To</w:t>
      </w:r>
      <w:r w:rsidR="005B5248" w:rsidRPr="00434156">
        <w:rPr>
          <w:rFonts w:ascii="Gill Sans MT" w:hAnsi="Gill Sans MT" w:cs="Times New Roman"/>
          <w:sz w:val="24"/>
          <w:szCs w:val="24"/>
        </w:rPr>
        <w:t xml:space="preserve"> </w:t>
      </w:r>
      <w:r w:rsidR="000118A6" w:rsidRPr="00434156">
        <w:rPr>
          <w:rFonts w:ascii="Gill Sans MT" w:hAnsi="Gill Sans MT" w:cs="Times New Roman"/>
          <w:sz w:val="24"/>
          <w:szCs w:val="24"/>
        </w:rPr>
        <w:t xml:space="preserve">effectively </w:t>
      </w:r>
      <w:r w:rsidR="00BC742E" w:rsidRPr="00434156">
        <w:rPr>
          <w:rFonts w:ascii="Gill Sans MT" w:hAnsi="Gill Sans MT" w:cs="Times New Roman"/>
          <w:sz w:val="24"/>
          <w:szCs w:val="24"/>
        </w:rPr>
        <w:t>implement these strategies</w:t>
      </w:r>
      <w:r w:rsidR="005B5248" w:rsidRPr="00434156">
        <w:rPr>
          <w:rFonts w:ascii="Gill Sans MT" w:hAnsi="Gill Sans MT" w:cs="Times New Roman"/>
          <w:sz w:val="24"/>
          <w:szCs w:val="24"/>
        </w:rPr>
        <w:t>,</w:t>
      </w:r>
      <w:r w:rsidR="007313B8" w:rsidRPr="00434156">
        <w:rPr>
          <w:rFonts w:ascii="Gill Sans MT" w:hAnsi="Gill Sans MT" w:cs="Times New Roman"/>
          <w:sz w:val="24"/>
          <w:szCs w:val="24"/>
        </w:rPr>
        <w:t xml:space="preserve"> </w:t>
      </w:r>
      <w:r w:rsidR="005B5248" w:rsidRPr="00434156">
        <w:rPr>
          <w:rFonts w:ascii="Gill Sans MT" w:hAnsi="Gill Sans MT" w:cs="Times New Roman"/>
          <w:sz w:val="24"/>
          <w:szCs w:val="24"/>
        </w:rPr>
        <w:t xml:space="preserve">the </w:t>
      </w:r>
      <w:r w:rsidR="000D1684" w:rsidRPr="00434156">
        <w:rPr>
          <w:rFonts w:ascii="Gill Sans MT" w:hAnsi="Gill Sans MT" w:cs="Times New Roman"/>
          <w:sz w:val="24"/>
          <w:szCs w:val="24"/>
        </w:rPr>
        <w:t xml:space="preserve">UK </w:t>
      </w:r>
      <w:r w:rsidR="005B5248" w:rsidRPr="00434156">
        <w:rPr>
          <w:rFonts w:ascii="Gill Sans MT" w:hAnsi="Gill Sans MT" w:cs="Times New Roman"/>
          <w:sz w:val="24"/>
          <w:szCs w:val="24"/>
        </w:rPr>
        <w:t xml:space="preserve">government should establish </w:t>
      </w:r>
      <w:r w:rsidR="003A42BA" w:rsidRPr="00434156">
        <w:rPr>
          <w:rFonts w:ascii="Gill Sans MT" w:hAnsi="Gill Sans MT" w:cs="Times New Roman"/>
          <w:sz w:val="24"/>
          <w:szCs w:val="24"/>
        </w:rPr>
        <w:t>well-organized</w:t>
      </w:r>
      <w:r w:rsidR="000118A6" w:rsidRPr="00434156">
        <w:rPr>
          <w:rFonts w:ascii="Gill Sans MT" w:hAnsi="Gill Sans MT" w:cs="Times New Roman"/>
          <w:sz w:val="24"/>
          <w:szCs w:val="24"/>
        </w:rPr>
        <w:t xml:space="preserve"> </w:t>
      </w:r>
      <w:r w:rsidR="005B5248" w:rsidRPr="00434156">
        <w:rPr>
          <w:rFonts w:ascii="Gill Sans MT" w:hAnsi="Gill Sans MT" w:cs="Times New Roman"/>
          <w:sz w:val="24"/>
          <w:szCs w:val="24"/>
        </w:rPr>
        <w:t xml:space="preserve">monitoring systems in the country. </w:t>
      </w:r>
    </w:p>
    <w:p w14:paraId="0FFB1D79" w14:textId="77777777" w:rsidR="0018331D" w:rsidRPr="00434156" w:rsidRDefault="0018331D" w:rsidP="008A3B63">
      <w:pPr>
        <w:autoSpaceDE w:val="0"/>
        <w:autoSpaceDN w:val="0"/>
        <w:adjustRightInd w:val="0"/>
        <w:spacing w:after="0" w:line="240" w:lineRule="auto"/>
        <w:jc w:val="both"/>
        <w:rPr>
          <w:rFonts w:ascii="Gill Sans MT" w:hAnsi="Gill Sans MT" w:cs="Times New Roman"/>
          <w:b/>
          <w:sz w:val="24"/>
          <w:szCs w:val="24"/>
        </w:rPr>
      </w:pPr>
    </w:p>
    <w:p w14:paraId="368BA3BC" w14:textId="77777777" w:rsidR="00B855C4" w:rsidRPr="00434156" w:rsidRDefault="00B855C4" w:rsidP="008A3B63">
      <w:pPr>
        <w:autoSpaceDE w:val="0"/>
        <w:autoSpaceDN w:val="0"/>
        <w:adjustRightInd w:val="0"/>
        <w:spacing w:after="0" w:line="240" w:lineRule="auto"/>
        <w:jc w:val="both"/>
        <w:rPr>
          <w:rFonts w:ascii="Gill Sans MT" w:hAnsi="Gill Sans MT" w:cs="Times New Roman"/>
          <w:b/>
          <w:sz w:val="24"/>
          <w:szCs w:val="24"/>
        </w:rPr>
      </w:pPr>
    </w:p>
    <w:p w14:paraId="261545FB" w14:textId="77777777" w:rsidR="00E95D27" w:rsidRPr="00434156" w:rsidRDefault="005F2D34" w:rsidP="008A3B63">
      <w:pPr>
        <w:autoSpaceDE w:val="0"/>
        <w:autoSpaceDN w:val="0"/>
        <w:adjustRightInd w:val="0"/>
        <w:spacing w:after="0" w:line="240" w:lineRule="auto"/>
        <w:jc w:val="both"/>
        <w:rPr>
          <w:rFonts w:ascii="Gill Sans MT" w:hAnsi="Gill Sans MT" w:cs="Times New Roman"/>
          <w:b/>
          <w:sz w:val="24"/>
          <w:szCs w:val="24"/>
        </w:rPr>
      </w:pPr>
      <w:r w:rsidRPr="00434156">
        <w:rPr>
          <w:rFonts w:ascii="Gill Sans MT" w:hAnsi="Gill Sans MT" w:cs="Times New Roman"/>
          <w:b/>
          <w:sz w:val="24"/>
          <w:szCs w:val="24"/>
        </w:rPr>
        <w:t>References</w:t>
      </w:r>
    </w:p>
    <w:p w14:paraId="192A6A21" w14:textId="77777777" w:rsidR="005F2D34" w:rsidRPr="00434156" w:rsidRDefault="005F2D34" w:rsidP="008A3B63">
      <w:pPr>
        <w:autoSpaceDE w:val="0"/>
        <w:autoSpaceDN w:val="0"/>
        <w:adjustRightInd w:val="0"/>
        <w:spacing w:after="0" w:line="240" w:lineRule="auto"/>
        <w:jc w:val="both"/>
        <w:rPr>
          <w:rFonts w:ascii="Gill Sans MT" w:hAnsi="Gill Sans MT" w:cs="Times New Roman"/>
          <w:sz w:val="24"/>
          <w:szCs w:val="24"/>
        </w:rPr>
      </w:pPr>
    </w:p>
    <w:p w14:paraId="085202E5" w14:textId="77777777" w:rsidR="0004138D" w:rsidRPr="00434156" w:rsidRDefault="0004138D" w:rsidP="008A3B63">
      <w:pPr>
        <w:autoSpaceDE w:val="0"/>
        <w:autoSpaceDN w:val="0"/>
        <w:adjustRightInd w:val="0"/>
        <w:spacing w:after="0" w:line="360" w:lineRule="auto"/>
        <w:jc w:val="both"/>
        <w:rPr>
          <w:rFonts w:ascii="Gill Sans MT" w:hAnsi="Gill Sans MT" w:cs="Times New Roman"/>
          <w:sz w:val="24"/>
          <w:szCs w:val="24"/>
        </w:rPr>
      </w:pPr>
      <w:r w:rsidRPr="00434156">
        <w:rPr>
          <w:rFonts w:ascii="Gill Sans MT" w:hAnsi="Gill Sans MT" w:cs="Times New Roman"/>
          <w:sz w:val="24"/>
          <w:szCs w:val="24"/>
        </w:rPr>
        <w:t xml:space="preserve">Bai, J., &amp; </w:t>
      </w:r>
      <w:proofErr w:type="spellStart"/>
      <w:r w:rsidRPr="00434156">
        <w:rPr>
          <w:rFonts w:ascii="Gill Sans MT" w:hAnsi="Gill Sans MT" w:cs="Times New Roman"/>
          <w:sz w:val="24"/>
          <w:szCs w:val="24"/>
        </w:rPr>
        <w:t>Perron</w:t>
      </w:r>
      <w:proofErr w:type="spellEnd"/>
      <w:r w:rsidRPr="00434156">
        <w:rPr>
          <w:rFonts w:ascii="Gill Sans MT" w:hAnsi="Gill Sans MT" w:cs="Times New Roman"/>
          <w:sz w:val="24"/>
          <w:szCs w:val="24"/>
        </w:rPr>
        <w:t xml:space="preserve">, P. (1998). Estimating and testing linear models with multiple structural changes. </w:t>
      </w:r>
      <w:proofErr w:type="spellStart"/>
      <w:r w:rsidRPr="00434156">
        <w:rPr>
          <w:rFonts w:ascii="Gill Sans MT" w:hAnsi="Gill Sans MT" w:cs="Times New Roman"/>
          <w:sz w:val="24"/>
          <w:szCs w:val="24"/>
        </w:rPr>
        <w:t>Econometrica</w:t>
      </w:r>
      <w:proofErr w:type="spellEnd"/>
      <w:r w:rsidRPr="00434156">
        <w:rPr>
          <w:rFonts w:ascii="Gill Sans MT" w:hAnsi="Gill Sans MT" w:cs="Times New Roman"/>
          <w:sz w:val="24"/>
          <w:szCs w:val="24"/>
        </w:rPr>
        <w:t xml:space="preserve">, 66, 47-68. </w:t>
      </w:r>
    </w:p>
    <w:p w14:paraId="4D45B334" w14:textId="77777777" w:rsidR="0004138D" w:rsidRPr="00434156" w:rsidRDefault="0004138D" w:rsidP="008A3B63">
      <w:pPr>
        <w:autoSpaceDE w:val="0"/>
        <w:autoSpaceDN w:val="0"/>
        <w:adjustRightInd w:val="0"/>
        <w:spacing w:after="0" w:line="360" w:lineRule="auto"/>
        <w:jc w:val="both"/>
        <w:rPr>
          <w:rFonts w:ascii="Gill Sans MT" w:hAnsi="Gill Sans MT" w:cs="Times New Roman"/>
          <w:sz w:val="24"/>
          <w:szCs w:val="24"/>
        </w:rPr>
      </w:pPr>
    </w:p>
    <w:p w14:paraId="05F8AB95" w14:textId="77777777" w:rsidR="0004138D" w:rsidRPr="00434156" w:rsidRDefault="0004138D" w:rsidP="008A3B63">
      <w:pPr>
        <w:autoSpaceDE w:val="0"/>
        <w:autoSpaceDN w:val="0"/>
        <w:adjustRightInd w:val="0"/>
        <w:spacing w:after="0" w:line="360" w:lineRule="auto"/>
        <w:jc w:val="both"/>
        <w:rPr>
          <w:rFonts w:ascii="Gill Sans MT" w:hAnsi="Gill Sans MT" w:cs="Times New Roman"/>
          <w:sz w:val="24"/>
          <w:szCs w:val="24"/>
        </w:rPr>
      </w:pPr>
      <w:r w:rsidRPr="00434156">
        <w:rPr>
          <w:rFonts w:ascii="Gill Sans MT" w:hAnsi="Gill Sans MT" w:cs="Times New Roman"/>
          <w:sz w:val="24"/>
          <w:szCs w:val="24"/>
        </w:rPr>
        <w:t xml:space="preserve">Bai, J., &amp; </w:t>
      </w:r>
      <w:proofErr w:type="spellStart"/>
      <w:r w:rsidRPr="00434156">
        <w:rPr>
          <w:rFonts w:ascii="Gill Sans MT" w:hAnsi="Gill Sans MT" w:cs="Times New Roman"/>
          <w:sz w:val="24"/>
          <w:szCs w:val="24"/>
        </w:rPr>
        <w:t>Perron</w:t>
      </w:r>
      <w:proofErr w:type="spellEnd"/>
      <w:r w:rsidRPr="00434156">
        <w:rPr>
          <w:rFonts w:ascii="Gill Sans MT" w:hAnsi="Gill Sans MT" w:cs="Times New Roman"/>
          <w:sz w:val="24"/>
          <w:szCs w:val="24"/>
        </w:rPr>
        <w:t xml:space="preserve">, P. (2003a). Computation and analysis of multiple structural change models. Journal of Applied Econometrics, 18, 1-22. </w:t>
      </w:r>
    </w:p>
    <w:p w14:paraId="2FDB36DE" w14:textId="77777777" w:rsidR="0004138D" w:rsidRPr="00434156" w:rsidRDefault="0004138D" w:rsidP="008A3B63">
      <w:pPr>
        <w:autoSpaceDE w:val="0"/>
        <w:autoSpaceDN w:val="0"/>
        <w:adjustRightInd w:val="0"/>
        <w:spacing w:after="0" w:line="360" w:lineRule="auto"/>
        <w:jc w:val="both"/>
        <w:rPr>
          <w:rFonts w:ascii="Gill Sans MT" w:hAnsi="Gill Sans MT" w:cs="Times New Roman"/>
          <w:sz w:val="24"/>
          <w:szCs w:val="24"/>
        </w:rPr>
      </w:pPr>
    </w:p>
    <w:p w14:paraId="07D49DEC" w14:textId="6C3AAE93" w:rsidR="0004138D" w:rsidRPr="00434156" w:rsidRDefault="0004138D" w:rsidP="008A3B63">
      <w:pPr>
        <w:autoSpaceDE w:val="0"/>
        <w:autoSpaceDN w:val="0"/>
        <w:adjustRightInd w:val="0"/>
        <w:spacing w:after="0" w:line="360" w:lineRule="auto"/>
        <w:jc w:val="both"/>
        <w:rPr>
          <w:rFonts w:ascii="Gill Sans MT" w:hAnsi="Gill Sans MT" w:cs="Times New Roman"/>
          <w:sz w:val="24"/>
          <w:szCs w:val="24"/>
        </w:rPr>
      </w:pPr>
      <w:r w:rsidRPr="00434156">
        <w:rPr>
          <w:rFonts w:ascii="Gill Sans MT" w:hAnsi="Gill Sans MT" w:cs="Times New Roman"/>
          <w:sz w:val="24"/>
          <w:szCs w:val="24"/>
        </w:rPr>
        <w:t xml:space="preserve">Bai, J., &amp; </w:t>
      </w:r>
      <w:proofErr w:type="spellStart"/>
      <w:r w:rsidRPr="00434156">
        <w:rPr>
          <w:rFonts w:ascii="Gill Sans MT" w:hAnsi="Gill Sans MT" w:cs="Times New Roman"/>
          <w:sz w:val="24"/>
          <w:szCs w:val="24"/>
        </w:rPr>
        <w:t>Perron</w:t>
      </w:r>
      <w:proofErr w:type="spellEnd"/>
      <w:r w:rsidRPr="00434156">
        <w:rPr>
          <w:rFonts w:ascii="Gill Sans MT" w:hAnsi="Gill Sans MT" w:cs="Times New Roman"/>
          <w:sz w:val="24"/>
          <w:szCs w:val="24"/>
        </w:rPr>
        <w:t>, P. (2003b). Critical values in multiple structural change tests. Econometrics Journal, 6, 72-78.</w:t>
      </w:r>
    </w:p>
    <w:p w14:paraId="224840C1" w14:textId="2FA3CD96" w:rsidR="007571E7" w:rsidRPr="00434156" w:rsidRDefault="007571E7" w:rsidP="008A3B63">
      <w:pPr>
        <w:autoSpaceDE w:val="0"/>
        <w:autoSpaceDN w:val="0"/>
        <w:adjustRightInd w:val="0"/>
        <w:spacing w:after="0" w:line="360" w:lineRule="auto"/>
        <w:jc w:val="both"/>
        <w:rPr>
          <w:rFonts w:ascii="Gill Sans MT" w:hAnsi="Gill Sans MT" w:cs="Arial"/>
          <w:sz w:val="24"/>
          <w:szCs w:val="24"/>
        </w:rPr>
      </w:pPr>
      <w:r w:rsidRPr="00434156">
        <w:rPr>
          <w:rFonts w:ascii="Gill Sans MT" w:hAnsi="Gill Sans MT" w:cs="Arial"/>
          <w:sz w:val="24"/>
          <w:szCs w:val="24"/>
        </w:rPr>
        <w:t>Baker, Scott, Nicholas Bloom and Steven J. Davis, 2016. Measuring Economic Policy Uncertainty.  Quarterly Journal of Economics, November.</w:t>
      </w:r>
    </w:p>
    <w:p w14:paraId="02BB0DDA" w14:textId="77777777" w:rsidR="0004138D" w:rsidRPr="00434156" w:rsidRDefault="0004138D" w:rsidP="008A3B63">
      <w:pPr>
        <w:autoSpaceDE w:val="0"/>
        <w:autoSpaceDN w:val="0"/>
        <w:adjustRightInd w:val="0"/>
        <w:spacing w:after="0" w:line="360" w:lineRule="auto"/>
        <w:jc w:val="both"/>
        <w:rPr>
          <w:rFonts w:ascii="Gill Sans MT" w:hAnsi="Gill Sans MT" w:cs="Times New Roman"/>
          <w:sz w:val="24"/>
          <w:szCs w:val="24"/>
        </w:rPr>
      </w:pPr>
    </w:p>
    <w:p w14:paraId="5D0F10A0" w14:textId="0D109081" w:rsidR="003A34F8" w:rsidRPr="00434156" w:rsidRDefault="003A34F8" w:rsidP="008A3B63">
      <w:pPr>
        <w:autoSpaceDE w:val="0"/>
        <w:autoSpaceDN w:val="0"/>
        <w:adjustRightInd w:val="0"/>
        <w:spacing w:after="0" w:line="360" w:lineRule="auto"/>
        <w:jc w:val="both"/>
        <w:rPr>
          <w:rFonts w:ascii="Gill Sans MT" w:hAnsi="Gill Sans MT" w:cs="Times New Roman"/>
          <w:sz w:val="24"/>
          <w:szCs w:val="24"/>
        </w:rPr>
      </w:pPr>
      <w:r w:rsidRPr="00434156">
        <w:rPr>
          <w:rFonts w:ascii="Gill Sans MT" w:hAnsi="Gill Sans MT" w:cs="Times New Roman"/>
          <w:sz w:val="24"/>
          <w:szCs w:val="24"/>
        </w:rPr>
        <w:t xml:space="preserve">Chan, F., Lim, C., McAleer, M., 2005. Modelling multivariate international tourism demand and volatility. Tour. </w:t>
      </w:r>
      <w:proofErr w:type="spellStart"/>
      <w:r w:rsidRPr="00434156">
        <w:rPr>
          <w:rFonts w:ascii="Gill Sans MT" w:hAnsi="Gill Sans MT" w:cs="Times New Roman"/>
          <w:sz w:val="24"/>
          <w:szCs w:val="24"/>
        </w:rPr>
        <w:t>Manag</w:t>
      </w:r>
      <w:proofErr w:type="spellEnd"/>
      <w:r w:rsidRPr="00434156">
        <w:rPr>
          <w:rFonts w:ascii="Gill Sans MT" w:hAnsi="Gill Sans MT" w:cs="Times New Roman"/>
          <w:sz w:val="24"/>
          <w:szCs w:val="24"/>
        </w:rPr>
        <w:t>. 26, 459–471.</w:t>
      </w:r>
    </w:p>
    <w:p w14:paraId="4F845E55" w14:textId="77777777" w:rsidR="00F37A92" w:rsidRPr="00434156" w:rsidRDefault="00F37A92" w:rsidP="008A3B63">
      <w:pPr>
        <w:autoSpaceDE w:val="0"/>
        <w:autoSpaceDN w:val="0"/>
        <w:adjustRightInd w:val="0"/>
        <w:spacing w:after="0" w:line="360" w:lineRule="auto"/>
        <w:jc w:val="both"/>
        <w:rPr>
          <w:rFonts w:ascii="Gill Sans MT" w:hAnsi="Gill Sans MT" w:cs="Times New Roman"/>
          <w:sz w:val="24"/>
          <w:szCs w:val="24"/>
        </w:rPr>
      </w:pPr>
    </w:p>
    <w:p w14:paraId="12A15434" w14:textId="2423C8EF" w:rsidR="000D5409" w:rsidRPr="00434156" w:rsidRDefault="000D5409" w:rsidP="008A3B63">
      <w:pPr>
        <w:autoSpaceDE w:val="0"/>
        <w:autoSpaceDN w:val="0"/>
        <w:adjustRightInd w:val="0"/>
        <w:spacing w:after="0" w:line="360" w:lineRule="auto"/>
        <w:jc w:val="both"/>
        <w:rPr>
          <w:rFonts w:ascii="Gill Sans MT" w:hAnsi="Gill Sans MT" w:cs="Times New Roman"/>
          <w:sz w:val="24"/>
          <w:szCs w:val="24"/>
        </w:rPr>
      </w:pPr>
      <w:r w:rsidRPr="00434156">
        <w:rPr>
          <w:rFonts w:ascii="Gill Sans MT" w:hAnsi="Gill Sans MT" w:cs="Times New Roman"/>
          <w:sz w:val="24"/>
          <w:szCs w:val="24"/>
          <w:shd w:val="clear" w:color="auto" w:fill="FFFFFF"/>
        </w:rPr>
        <w:t xml:space="preserve">Corbet, S., O’Connell, J. F., </w:t>
      </w:r>
      <w:proofErr w:type="spellStart"/>
      <w:r w:rsidRPr="00434156">
        <w:rPr>
          <w:rFonts w:ascii="Gill Sans MT" w:hAnsi="Gill Sans MT" w:cs="Times New Roman"/>
          <w:sz w:val="24"/>
          <w:szCs w:val="24"/>
          <w:shd w:val="clear" w:color="auto" w:fill="FFFFFF"/>
        </w:rPr>
        <w:t>Efthymiou</w:t>
      </w:r>
      <w:proofErr w:type="spellEnd"/>
      <w:r w:rsidRPr="00434156">
        <w:rPr>
          <w:rFonts w:ascii="Gill Sans MT" w:hAnsi="Gill Sans MT" w:cs="Times New Roman"/>
          <w:sz w:val="24"/>
          <w:szCs w:val="24"/>
          <w:shd w:val="clear" w:color="auto" w:fill="FFFFFF"/>
        </w:rPr>
        <w:t xml:space="preserve">, M., </w:t>
      </w:r>
      <w:proofErr w:type="spellStart"/>
      <w:r w:rsidRPr="00434156">
        <w:rPr>
          <w:rFonts w:ascii="Gill Sans MT" w:hAnsi="Gill Sans MT" w:cs="Times New Roman"/>
          <w:sz w:val="24"/>
          <w:szCs w:val="24"/>
          <w:shd w:val="clear" w:color="auto" w:fill="FFFFFF"/>
        </w:rPr>
        <w:t>Guiomard</w:t>
      </w:r>
      <w:proofErr w:type="spellEnd"/>
      <w:r w:rsidRPr="00434156">
        <w:rPr>
          <w:rFonts w:ascii="Gill Sans MT" w:hAnsi="Gill Sans MT" w:cs="Times New Roman"/>
          <w:sz w:val="24"/>
          <w:szCs w:val="24"/>
          <w:shd w:val="clear" w:color="auto" w:fill="FFFFFF"/>
        </w:rPr>
        <w:t>, C., &amp; Lucey, B. (2019). The impact of terrorism on European tourism. </w:t>
      </w:r>
      <w:r w:rsidRPr="00434156">
        <w:rPr>
          <w:rStyle w:val="Emphasis"/>
          <w:rFonts w:ascii="Gill Sans MT" w:hAnsi="Gill Sans MT" w:cs="Times New Roman"/>
          <w:sz w:val="24"/>
          <w:szCs w:val="24"/>
          <w:shd w:val="clear" w:color="auto" w:fill="FFFFFF"/>
        </w:rPr>
        <w:t>Annals of Tourism Research</w:t>
      </w:r>
      <w:r w:rsidRPr="00434156">
        <w:rPr>
          <w:rFonts w:ascii="Gill Sans MT" w:hAnsi="Gill Sans MT" w:cs="Times New Roman"/>
          <w:sz w:val="24"/>
          <w:szCs w:val="24"/>
          <w:shd w:val="clear" w:color="auto" w:fill="FFFFFF"/>
        </w:rPr>
        <w:t>, </w:t>
      </w:r>
      <w:r w:rsidRPr="00434156">
        <w:rPr>
          <w:rStyle w:val="Emphasis"/>
          <w:rFonts w:ascii="Gill Sans MT" w:hAnsi="Gill Sans MT" w:cs="Times New Roman"/>
          <w:sz w:val="24"/>
          <w:szCs w:val="24"/>
          <w:shd w:val="clear" w:color="auto" w:fill="FFFFFF"/>
        </w:rPr>
        <w:t>75</w:t>
      </w:r>
      <w:r w:rsidRPr="00434156">
        <w:rPr>
          <w:rFonts w:ascii="Gill Sans MT" w:hAnsi="Gill Sans MT" w:cs="Times New Roman"/>
          <w:sz w:val="24"/>
          <w:szCs w:val="24"/>
          <w:shd w:val="clear" w:color="auto" w:fill="FFFFFF"/>
        </w:rPr>
        <w:t>, 1-17.</w:t>
      </w:r>
      <w:r w:rsidRPr="00434156">
        <w:rPr>
          <w:rFonts w:ascii="Gill Sans MT" w:hAnsi="Gill Sans MT" w:cs="Times New Roman"/>
          <w:sz w:val="24"/>
          <w:szCs w:val="24"/>
        </w:rPr>
        <w:t xml:space="preserve"> </w:t>
      </w:r>
    </w:p>
    <w:p w14:paraId="0BE03B70" w14:textId="77777777" w:rsidR="00F37A92" w:rsidRPr="00434156" w:rsidRDefault="00F37A92" w:rsidP="008A3B63">
      <w:pPr>
        <w:autoSpaceDE w:val="0"/>
        <w:autoSpaceDN w:val="0"/>
        <w:adjustRightInd w:val="0"/>
        <w:spacing w:after="0" w:line="360" w:lineRule="auto"/>
        <w:jc w:val="both"/>
        <w:rPr>
          <w:rFonts w:ascii="Gill Sans MT" w:hAnsi="Gill Sans MT" w:cs="Times New Roman"/>
          <w:sz w:val="24"/>
          <w:szCs w:val="24"/>
        </w:rPr>
      </w:pPr>
    </w:p>
    <w:p w14:paraId="35ED06CC" w14:textId="694F88B4" w:rsidR="00597AC3" w:rsidRPr="00434156" w:rsidRDefault="00597AC3" w:rsidP="008A3B63">
      <w:pPr>
        <w:autoSpaceDE w:val="0"/>
        <w:autoSpaceDN w:val="0"/>
        <w:adjustRightInd w:val="0"/>
        <w:spacing w:after="0" w:line="360" w:lineRule="auto"/>
        <w:jc w:val="both"/>
        <w:rPr>
          <w:rFonts w:ascii="Gill Sans MT" w:hAnsi="Gill Sans MT" w:cs="Times New Roman"/>
          <w:sz w:val="24"/>
          <w:szCs w:val="24"/>
        </w:rPr>
      </w:pPr>
      <w:r w:rsidRPr="00434156">
        <w:rPr>
          <w:rFonts w:ascii="Gill Sans MT" w:hAnsi="Gill Sans MT"/>
          <w:sz w:val="24"/>
          <w:szCs w:val="24"/>
        </w:rPr>
        <w:t>Hamilton, James D. (201</w:t>
      </w:r>
      <w:r w:rsidR="009137ED" w:rsidRPr="00434156">
        <w:rPr>
          <w:rFonts w:ascii="Gill Sans MT" w:hAnsi="Gill Sans MT"/>
          <w:sz w:val="24"/>
          <w:szCs w:val="24"/>
        </w:rPr>
        <w:t>8</w:t>
      </w:r>
      <w:r w:rsidRPr="00434156">
        <w:rPr>
          <w:rFonts w:ascii="Gill Sans MT" w:hAnsi="Gill Sans MT"/>
          <w:sz w:val="24"/>
          <w:szCs w:val="24"/>
        </w:rPr>
        <w:t xml:space="preserve">). Why you should never use the </w:t>
      </w:r>
      <w:proofErr w:type="spellStart"/>
      <w:r w:rsidRPr="00434156">
        <w:rPr>
          <w:rFonts w:ascii="Gill Sans MT" w:hAnsi="Gill Sans MT"/>
          <w:sz w:val="24"/>
          <w:szCs w:val="24"/>
        </w:rPr>
        <w:t>Hodrick</w:t>
      </w:r>
      <w:proofErr w:type="spellEnd"/>
      <w:r w:rsidRPr="00434156">
        <w:rPr>
          <w:rFonts w:ascii="Gill Sans MT" w:hAnsi="Gill Sans MT"/>
          <w:sz w:val="24"/>
          <w:szCs w:val="24"/>
        </w:rPr>
        <w:t>-Prescott filter. Review of Economics and Statistics.</w:t>
      </w:r>
      <w:r w:rsidR="009137ED" w:rsidRPr="00434156">
        <w:rPr>
          <w:rFonts w:ascii="Gill Sans MT" w:hAnsi="Gill Sans MT"/>
          <w:sz w:val="24"/>
          <w:szCs w:val="24"/>
        </w:rPr>
        <w:t>, Vol. 1</w:t>
      </w:r>
      <w:r w:rsidR="009137ED" w:rsidRPr="00434156">
        <w:rPr>
          <w:rStyle w:val="articlevolume"/>
          <w:rFonts w:ascii="Gill Sans MT" w:hAnsi="Gill Sans MT"/>
          <w:sz w:val="24"/>
          <w:szCs w:val="24"/>
        </w:rPr>
        <w:t xml:space="preserve">00, Issue 5, </w:t>
      </w:r>
      <w:r w:rsidR="009137ED" w:rsidRPr="00434156">
        <w:rPr>
          <w:rStyle w:val="pagerange"/>
          <w:rFonts w:ascii="Gill Sans MT" w:hAnsi="Gill Sans MT"/>
          <w:sz w:val="24"/>
          <w:szCs w:val="24"/>
        </w:rPr>
        <w:t>831-843.</w:t>
      </w:r>
    </w:p>
    <w:p w14:paraId="52281732" w14:textId="77777777" w:rsidR="00254067" w:rsidRPr="00434156" w:rsidRDefault="00254067" w:rsidP="008A3B63">
      <w:pPr>
        <w:spacing w:line="480" w:lineRule="auto"/>
        <w:jc w:val="both"/>
        <w:rPr>
          <w:rFonts w:ascii="Gill Sans MT" w:hAnsi="Gill Sans MT" w:cs="Times New Roman"/>
          <w:sz w:val="24"/>
          <w:szCs w:val="24"/>
        </w:rPr>
      </w:pPr>
    </w:p>
    <w:p w14:paraId="670EBDDE" w14:textId="77777777" w:rsidR="00C34AFE" w:rsidRPr="00434156" w:rsidRDefault="00C34AFE" w:rsidP="008A3B63">
      <w:pPr>
        <w:spacing w:line="480" w:lineRule="auto"/>
        <w:jc w:val="both"/>
        <w:rPr>
          <w:rFonts w:ascii="Gill Sans MT" w:hAnsi="Gill Sans MT" w:cs="Times New Roman"/>
          <w:sz w:val="24"/>
          <w:szCs w:val="24"/>
        </w:rPr>
      </w:pPr>
      <w:r w:rsidRPr="00434156">
        <w:rPr>
          <w:rFonts w:ascii="Gill Sans MT" w:hAnsi="Gill Sans MT" w:cs="Times New Roman"/>
          <w:sz w:val="24"/>
          <w:szCs w:val="24"/>
        </w:rPr>
        <w:t>Hillebrand, E., 2005. Neglecting parameter changes in GARCH models. J. Econ. 129, 121–138.</w:t>
      </w:r>
    </w:p>
    <w:p w14:paraId="3B96CC49" w14:textId="77777777" w:rsidR="00987B59" w:rsidRPr="00434156" w:rsidRDefault="00041568" w:rsidP="008A3B63">
      <w:pPr>
        <w:autoSpaceDE w:val="0"/>
        <w:autoSpaceDN w:val="0"/>
        <w:adjustRightInd w:val="0"/>
        <w:spacing w:after="0" w:line="360" w:lineRule="auto"/>
        <w:jc w:val="both"/>
        <w:rPr>
          <w:rFonts w:ascii="Gill Sans MT" w:hAnsi="Gill Sans MT" w:cs="Times New Roman"/>
          <w:sz w:val="24"/>
          <w:szCs w:val="24"/>
          <w:lang w:val="es-ES"/>
        </w:rPr>
      </w:pPr>
      <w:proofErr w:type="spellStart"/>
      <w:r w:rsidRPr="00434156">
        <w:rPr>
          <w:rFonts w:ascii="Gill Sans MT" w:hAnsi="Gill Sans MT" w:cs="Times New Roman"/>
          <w:sz w:val="24"/>
          <w:szCs w:val="24"/>
        </w:rPr>
        <w:t>Hoti</w:t>
      </w:r>
      <w:proofErr w:type="spellEnd"/>
      <w:r w:rsidRPr="00434156">
        <w:rPr>
          <w:rFonts w:ascii="Gill Sans MT" w:hAnsi="Gill Sans MT" w:cs="Times New Roman"/>
          <w:sz w:val="24"/>
          <w:szCs w:val="24"/>
        </w:rPr>
        <w:t xml:space="preserve">, S., M. McAleer, and R. </w:t>
      </w:r>
      <w:proofErr w:type="spellStart"/>
      <w:r w:rsidRPr="00434156">
        <w:rPr>
          <w:rFonts w:ascii="Gill Sans MT" w:hAnsi="Gill Sans MT" w:cs="Times New Roman"/>
          <w:sz w:val="24"/>
          <w:szCs w:val="24"/>
        </w:rPr>
        <w:t>Shareel</w:t>
      </w:r>
      <w:proofErr w:type="spellEnd"/>
      <w:r w:rsidRPr="00434156">
        <w:rPr>
          <w:rFonts w:ascii="Gill Sans MT" w:hAnsi="Gill Sans MT" w:cs="Times New Roman"/>
          <w:sz w:val="24"/>
          <w:szCs w:val="24"/>
        </w:rPr>
        <w:t xml:space="preserve"> 2007 Modelling International Tourism and Country Risk Spillovers for Cyprus and Malta. </w:t>
      </w:r>
      <w:proofErr w:type="spellStart"/>
      <w:r w:rsidRPr="00434156">
        <w:rPr>
          <w:rFonts w:ascii="Gill Sans MT" w:hAnsi="Gill Sans MT" w:cs="Times New Roman"/>
          <w:sz w:val="24"/>
          <w:szCs w:val="24"/>
          <w:lang w:val="es-ES"/>
        </w:rPr>
        <w:t>Tourism</w:t>
      </w:r>
      <w:proofErr w:type="spellEnd"/>
      <w:r w:rsidRPr="00434156">
        <w:rPr>
          <w:rFonts w:ascii="Gill Sans MT" w:hAnsi="Gill Sans MT" w:cs="Times New Roman"/>
          <w:sz w:val="24"/>
          <w:szCs w:val="24"/>
          <w:lang w:val="es-ES"/>
        </w:rPr>
        <w:t xml:space="preserve"> Management 28:1472 –1484.</w:t>
      </w:r>
    </w:p>
    <w:p w14:paraId="2327CFCF" w14:textId="77777777" w:rsidR="00987B59" w:rsidRPr="00434156" w:rsidRDefault="00987B59" w:rsidP="008A3B63">
      <w:pPr>
        <w:autoSpaceDE w:val="0"/>
        <w:autoSpaceDN w:val="0"/>
        <w:adjustRightInd w:val="0"/>
        <w:spacing w:after="0" w:line="360" w:lineRule="auto"/>
        <w:jc w:val="both"/>
        <w:rPr>
          <w:rFonts w:ascii="Gill Sans MT" w:hAnsi="Gill Sans MT" w:cs="Times New Roman"/>
          <w:sz w:val="24"/>
          <w:szCs w:val="24"/>
          <w:lang w:val="es-ES"/>
        </w:rPr>
      </w:pPr>
    </w:p>
    <w:p w14:paraId="495BF005" w14:textId="77777777" w:rsidR="00377449" w:rsidRPr="00434156" w:rsidRDefault="00377449" w:rsidP="008A3B63">
      <w:pPr>
        <w:spacing w:line="480" w:lineRule="auto"/>
        <w:jc w:val="both"/>
        <w:rPr>
          <w:rFonts w:ascii="Gill Sans MT" w:hAnsi="Gill Sans MT" w:cs="Times New Roman"/>
          <w:sz w:val="24"/>
          <w:szCs w:val="24"/>
        </w:rPr>
      </w:pPr>
      <w:r w:rsidRPr="00434156">
        <w:rPr>
          <w:rFonts w:ascii="Gill Sans MT" w:hAnsi="Gill Sans MT" w:cs="Times New Roman"/>
          <w:sz w:val="24"/>
          <w:szCs w:val="24"/>
          <w:lang w:val="es-ES"/>
        </w:rPr>
        <w:t>Pérez-Rodríguez, J. V., Ledesma-Rodríguez, F., &amp; Santana-</w:t>
      </w:r>
      <w:proofErr w:type="gramStart"/>
      <w:r w:rsidRPr="00434156">
        <w:rPr>
          <w:rFonts w:ascii="Gill Sans MT" w:hAnsi="Gill Sans MT" w:cs="Times New Roman"/>
          <w:sz w:val="24"/>
          <w:szCs w:val="24"/>
          <w:lang w:val="es-ES"/>
        </w:rPr>
        <w:t>Gallego</w:t>
      </w:r>
      <w:proofErr w:type="gramEnd"/>
      <w:r w:rsidRPr="00434156">
        <w:rPr>
          <w:rFonts w:ascii="Gill Sans MT" w:hAnsi="Gill Sans MT" w:cs="Times New Roman"/>
          <w:sz w:val="24"/>
          <w:szCs w:val="24"/>
          <w:lang w:val="es-ES"/>
        </w:rPr>
        <w:t xml:space="preserve">, M. (2015). </w:t>
      </w:r>
      <w:r w:rsidRPr="00434156">
        <w:rPr>
          <w:rFonts w:ascii="Gill Sans MT" w:hAnsi="Gill Sans MT" w:cs="Times New Roman"/>
          <w:sz w:val="24"/>
          <w:szCs w:val="24"/>
        </w:rPr>
        <w:t>Testing dependence between GDP and tourism’s growth rates. Tourism Management, 48, 268–282.</w:t>
      </w:r>
    </w:p>
    <w:p w14:paraId="15D71E6B" w14:textId="3A7C73A2" w:rsidR="00614059" w:rsidRDefault="00831B46" w:rsidP="00CB60E0">
      <w:pPr>
        <w:autoSpaceDE w:val="0"/>
        <w:autoSpaceDN w:val="0"/>
        <w:adjustRightInd w:val="0"/>
        <w:spacing w:after="0" w:line="480" w:lineRule="auto"/>
        <w:jc w:val="both"/>
        <w:rPr>
          <w:rFonts w:ascii="Gill Sans MT" w:hAnsi="Gill Sans MT" w:cs="Times New Roman"/>
          <w:sz w:val="24"/>
          <w:szCs w:val="24"/>
        </w:rPr>
      </w:pPr>
      <w:r w:rsidRPr="00434156">
        <w:rPr>
          <w:rFonts w:ascii="Gill Sans MT" w:hAnsi="Gill Sans MT" w:cs="Times New Roman"/>
          <w:sz w:val="24"/>
          <w:szCs w:val="24"/>
        </w:rPr>
        <w:lastRenderedPageBreak/>
        <w:t xml:space="preserve">Silva, Emmanuel </w:t>
      </w:r>
      <w:proofErr w:type="spellStart"/>
      <w:r w:rsidRPr="00434156">
        <w:rPr>
          <w:rFonts w:ascii="Gill Sans MT" w:hAnsi="Gill Sans MT" w:cs="Times New Roman"/>
          <w:sz w:val="24"/>
          <w:szCs w:val="24"/>
        </w:rPr>
        <w:t>Sirimal</w:t>
      </w:r>
      <w:proofErr w:type="spellEnd"/>
      <w:r w:rsidRPr="00434156">
        <w:rPr>
          <w:rFonts w:ascii="Gill Sans MT" w:hAnsi="Gill Sans MT" w:cs="Times New Roman"/>
          <w:sz w:val="24"/>
          <w:szCs w:val="24"/>
        </w:rPr>
        <w:t xml:space="preserve">, Hossein </w:t>
      </w:r>
      <w:proofErr w:type="spellStart"/>
      <w:r w:rsidRPr="00434156">
        <w:rPr>
          <w:rFonts w:ascii="Gill Sans MT" w:hAnsi="Gill Sans MT" w:cs="Times New Roman"/>
          <w:sz w:val="24"/>
          <w:szCs w:val="24"/>
        </w:rPr>
        <w:t>Hassani</w:t>
      </w:r>
      <w:proofErr w:type="spellEnd"/>
      <w:r w:rsidRPr="00434156">
        <w:rPr>
          <w:rFonts w:ascii="Gill Sans MT" w:hAnsi="Gill Sans MT" w:cs="Times New Roman"/>
          <w:sz w:val="24"/>
          <w:szCs w:val="24"/>
        </w:rPr>
        <w:t xml:space="preserve">, Saeed </w:t>
      </w:r>
      <w:proofErr w:type="spellStart"/>
      <w:r w:rsidRPr="00434156">
        <w:rPr>
          <w:rFonts w:ascii="Gill Sans MT" w:hAnsi="Gill Sans MT" w:cs="Times New Roman"/>
          <w:sz w:val="24"/>
          <w:szCs w:val="24"/>
        </w:rPr>
        <w:t>Heravi</w:t>
      </w:r>
      <w:proofErr w:type="spellEnd"/>
      <w:r w:rsidRPr="00434156">
        <w:rPr>
          <w:rFonts w:ascii="Gill Sans MT" w:hAnsi="Gill Sans MT" w:cs="Times New Roman"/>
          <w:sz w:val="24"/>
          <w:szCs w:val="24"/>
        </w:rPr>
        <w:t>, and Xu Huang. 2019. Forecasting with denoised neural networks. Annals</w:t>
      </w:r>
      <w:r w:rsidR="00CB60E0">
        <w:rPr>
          <w:rFonts w:ascii="Gill Sans MT" w:hAnsi="Gill Sans MT" w:cs="Times New Roman"/>
          <w:sz w:val="24"/>
          <w:szCs w:val="24"/>
        </w:rPr>
        <w:t xml:space="preserve"> of Tourism Research 74: 134–54</w:t>
      </w:r>
    </w:p>
    <w:p w14:paraId="536CD2C9" w14:textId="10DF470F" w:rsidR="00D811BF" w:rsidRDefault="00D811BF" w:rsidP="00CB60E0">
      <w:pPr>
        <w:autoSpaceDE w:val="0"/>
        <w:autoSpaceDN w:val="0"/>
        <w:adjustRightInd w:val="0"/>
        <w:spacing w:after="0" w:line="480" w:lineRule="auto"/>
        <w:jc w:val="both"/>
        <w:rPr>
          <w:rFonts w:ascii="Gill Sans MT" w:hAnsi="Gill Sans MT" w:cs="Times New Roman"/>
          <w:sz w:val="24"/>
          <w:szCs w:val="24"/>
        </w:rPr>
      </w:pPr>
    </w:p>
    <w:p w14:paraId="3707A17C" w14:textId="77777777" w:rsidR="00D811BF" w:rsidRPr="00434156" w:rsidRDefault="00D811BF" w:rsidP="00D811BF">
      <w:pPr>
        <w:jc w:val="both"/>
        <w:rPr>
          <w:rFonts w:ascii="Gill Sans MT" w:hAnsi="Gill Sans MT" w:cs="Times New Roman"/>
          <w:b/>
          <w:bCs/>
          <w:noProof/>
          <w:sz w:val="24"/>
          <w:szCs w:val="24"/>
        </w:rPr>
      </w:pPr>
      <w:r w:rsidRPr="00434156">
        <w:rPr>
          <w:rFonts w:ascii="Gill Sans MT" w:hAnsi="Gill Sans MT" w:cs="Times New Roman"/>
          <w:b/>
          <w:bCs/>
          <w:noProof/>
          <w:sz w:val="24"/>
          <w:szCs w:val="24"/>
        </w:rPr>
        <w:t>Figure 1: Seasonal adjusted and Hamilton filtered cycle adjusted Visitors series</w:t>
      </w:r>
    </w:p>
    <w:p w14:paraId="3ACAF541" w14:textId="77777777" w:rsidR="00D811BF" w:rsidRPr="00434156" w:rsidRDefault="00D811BF" w:rsidP="00D811BF">
      <w:pPr>
        <w:jc w:val="both"/>
        <w:rPr>
          <w:rFonts w:ascii="Gill Sans MT" w:hAnsi="Gill Sans MT" w:cs="Times New Roman"/>
          <w:noProof/>
          <w:sz w:val="24"/>
          <w:szCs w:val="24"/>
        </w:rPr>
      </w:pPr>
    </w:p>
    <w:p w14:paraId="172F84F9" w14:textId="77777777" w:rsidR="00D811BF" w:rsidRPr="00434156" w:rsidRDefault="00D811BF" w:rsidP="00D811BF">
      <w:pPr>
        <w:jc w:val="both"/>
        <w:rPr>
          <w:rFonts w:ascii="Gill Sans MT" w:hAnsi="Gill Sans MT" w:cs="Times New Roman"/>
          <w:sz w:val="24"/>
          <w:szCs w:val="24"/>
        </w:rPr>
      </w:pPr>
      <w:r w:rsidRPr="00434156">
        <w:rPr>
          <w:rFonts w:ascii="Gill Sans MT" w:hAnsi="Gill Sans MT" w:cs="Times New Roman"/>
          <w:noProof/>
          <w:sz w:val="24"/>
          <w:szCs w:val="24"/>
          <w:lang w:eastAsia="zh-CN"/>
        </w:rPr>
        <w:drawing>
          <wp:inline distT="0" distB="0" distL="0" distR="0" wp14:anchorId="188DC647" wp14:editId="11FC49FE">
            <wp:extent cx="5114925" cy="3743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150D0D71" w14:textId="77777777" w:rsidR="00D811BF" w:rsidRPr="00434156" w:rsidRDefault="00D811BF" w:rsidP="00D811BF">
      <w:pPr>
        <w:jc w:val="both"/>
        <w:rPr>
          <w:rFonts w:ascii="Gill Sans MT" w:hAnsi="Gill Sans MT" w:cs="Times New Roman"/>
          <w:sz w:val="24"/>
          <w:szCs w:val="24"/>
        </w:rPr>
      </w:pPr>
      <w:r w:rsidRPr="00434156">
        <w:rPr>
          <w:rFonts w:ascii="Gill Sans MT" w:hAnsi="Gill Sans MT" w:cs="Times New Roman"/>
          <w:sz w:val="24"/>
          <w:szCs w:val="24"/>
        </w:rPr>
        <w:br w:type="page"/>
      </w:r>
    </w:p>
    <w:p w14:paraId="30C95861" w14:textId="77777777" w:rsidR="00D811BF" w:rsidRPr="00434156" w:rsidRDefault="00D811BF" w:rsidP="00D811BF">
      <w:pPr>
        <w:jc w:val="both"/>
        <w:rPr>
          <w:rFonts w:ascii="Gill Sans MT" w:hAnsi="Gill Sans MT" w:cs="Times New Roman"/>
          <w:sz w:val="24"/>
          <w:szCs w:val="24"/>
        </w:rPr>
      </w:pPr>
    </w:p>
    <w:p w14:paraId="37506126" w14:textId="77777777" w:rsidR="00D811BF" w:rsidRPr="00434156" w:rsidRDefault="00D811BF" w:rsidP="00D811BF">
      <w:pPr>
        <w:jc w:val="both"/>
        <w:rPr>
          <w:rFonts w:ascii="Gill Sans MT" w:hAnsi="Gill Sans MT" w:cs="Times New Roman"/>
          <w:sz w:val="24"/>
          <w:szCs w:val="24"/>
        </w:rPr>
      </w:pPr>
      <w:r w:rsidRPr="00434156">
        <w:rPr>
          <w:rFonts w:ascii="Gill Sans MT" w:hAnsi="Gill Sans MT" w:cs="Times New Roman"/>
          <w:b/>
          <w:sz w:val="24"/>
          <w:szCs w:val="24"/>
        </w:rPr>
        <w:t>Fig. 2: Time Series Plot of UK Economic Policy and Brexit Uncertainty</w:t>
      </w:r>
    </w:p>
    <w:p w14:paraId="21ABB577" w14:textId="77777777" w:rsidR="00D811BF" w:rsidRPr="00434156" w:rsidRDefault="00D811BF" w:rsidP="00D811BF">
      <w:pPr>
        <w:jc w:val="both"/>
        <w:rPr>
          <w:rFonts w:ascii="Gill Sans MT" w:hAnsi="Gill Sans MT" w:cs="Times New Roman"/>
          <w:sz w:val="24"/>
          <w:szCs w:val="24"/>
        </w:rPr>
      </w:pPr>
      <w:r w:rsidRPr="00434156">
        <w:rPr>
          <w:noProof/>
          <w:sz w:val="24"/>
          <w:szCs w:val="24"/>
          <w:lang w:eastAsia="zh-CN"/>
        </w:rPr>
        <w:drawing>
          <wp:inline distT="0" distB="0" distL="0" distR="0" wp14:anchorId="16AF5198" wp14:editId="5ED9F029">
            <wp:extent cx="6105525" cy="331152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2571" cy="3326194"/>
                    </a:xfrm>
                    <a:prstGeom prst="rect">
                      <a:avLst/>
                    </a:prstGeom>
                    <a:noFill/>
                    <a:ln>
                      <a:noFill/>
                    </a:ln>
                  </pic:spPr>
                </pic:pic>
              </a:graphicData>
            </a:graphic>
          </wp:inline>
        </w:drawing>
      </w:r>
    </w:p>
    <w:p w14:paraId="535D54B8" w14:textId="77777777" w:rsidR="00D811BF" w:rsidRPr="00434156" w:rsidRDefault="00D811BF" w:rsidP="00D811BF">
      <w:pPr>
        <w:jc w:val="both"/>
        <w:rPr>
          <w:rFonts w:ascii="Gill Sans MT" w:hAnsi="Gill Sans MT" w:cs="Times New Roman"/>
          <w:sz w:val="24"/>
          <w:szCs w:val="24"/>
        </w:rPr>
      </w:pPr>
      <w:r w:rsidRPr="00434156">
        <w:rPr>
          <w:rFonts w:ascii="Gill Sans MT" w:hAnsi="Gill Sans MT" w:cs="Times New Roman"/>
          <w:sz w:val="24"/>
          <w:szCs w:val="24"/>
        </w:rPr>
        <w:t xml:space="preserve">Source: </w:t>
      </w:r>
      <w:hyperlink r:id="rId11" w:history="1">
        <w:r w:rsidRPr="00434156">
          <w:rPr>
            <w:rStyle w:val="Hyperlink"/>
            <w:rFonts w:ascii="Gill Sans MT" w:hAnsi="Gill Sans MT" w:cs="Times New Roman"/>
            <w:sz w:val="24"/>
            <w:szCs w:val="24"/>
          </w:rPr>
          <w:t>http://www.policyuncertainty.com/brexit.html</w:t>
        </w:r>
      </w:hyperlink>
    </w:p>
    <w:p w14:paraId="3E88036A" w14:textId="77777777" w:rsidR="00D811BF" w:rsidRPr="00434156" w:rsidRDefault="00D811BF" w:rsidP="00D811BF">
      <w:pPr>
        <w:jc w:val="both"/>
        <w:rPr>
          <w:rFonts w:ascii="Gill Sans MT" w:hAnsi="Gill Sans MT" w:cs="Times New Roman"/>
          <w:sz w:val="24"/>
          <w:szCs w:val="24"/>
        </w:rPr>
      </w:pPr>
    </w:p>
    <w:p w14:paraId="02F7DAEB" w14:textId="77777777" w:rsidR="00D811BF" w:rsidRDefault="00D811BF" w:rsidP="00D811BF">
      <w:pPr>
        <w:spacing w:after="160" w:line="259" w:lineRule="auto"/>
        <w:rPr>
          <w:rFonts w:ascii="Gill Sans MT" w:hAnsi="Gill Sans MT" w:cs="Times New Roman"/>
          <w:b/>
          <w:sz w:val="24"/>
          <w:szCs w:val="24"/>
        </w:rPr>
      </w:pPr>
      <w:r>
        <w:rPr>
          <w:rFonts w:ascii="Gill Sans MT" w:hAnsi="Gill Sans MT" w:cs="Times New Roman"/>
          <w:b/>
          <w:sz w:val="24"/>
          <w:szCs w:val="24"/>
        </w:rPr>
        <w:br w:type="page"/>
      </w:r>
    </w:p>
    <w:p w14:paraId="799621F0" w14:textId="77777777" w:rsidR="00D811BF" w:rsidRPr="00434156" w:rsidRDefault="00D811BF" w:rsidP="00D811BF">
      <w:pPr>
        <w:jc w:val="both"/>
        <w:rPr>
          <w:rFonts w:ascii="Gill Sans MT" w:hAnsi="Gill Sans MT" w:cs="Times New Roman"/>
          <w:b/>
          <w:sz w:val="24"/>
          <w:szCs w:val="24"/>
        </w:rPr>
      </w:pPr>
      <w:r w:rsidRPr="00434156">
        <w:rPr>
          <w:rFonts w:ascii="Gill Sans MT" w:hAnsi="Gill Sans MT" w:cs="Times New Roman"/>
          <w:b/>
          <w:sz w:val="24"/>
          <w:szCs w:val="24"/>
        </w:rPr>
        <w:lastRenderedPageBreak/>
        <w:t>Fig. 3: Time-varying correlations between BREXIT-EPU index and arrival series</w:t>
      </w:r>
    </w:p>
    <w:p w14:paraId="0FA0F9B7" w14:textId="77777777" w:rsidR="00D811BF" w:rsidRPr="00434156" w:rsidRDefault="00D811BF" w:rsidP="00D811BF">
      <w:pPr>
        <w:autoSpaceDE w:val="0"/>
        <w:autoSpaceDN w:val="0"/>
        <w:adjustRightInd w:val="0"/>
        <w:spacing w:after="0" w:line="240" w:lineRule="auto"/>
        <w:jc w:val="both"/>
        <w:rPr>
          <w:rFonts w:ascii="Gill Sans MT" w:hAnsi="Gill Sans MT" w:cs="Times New Roman"/>
          <w:sz w:val="24"/>
          <w:szCs w:val="24"/>
        </w:rPr>
      </w:pPr>
      <w:r w:rsidRPr="00434156">
        <w:rPr>
          <w:rFonts w:ascii="Gill Sans MT" w:hAnsi="Gill Sans MT"/>
          <w:noProof/>
          <w:sz w:val="24"/>
          <w:szCs w:val="24"/>
          <w:lang w:eastAsia="zh-CN"/>
        </w:rPr>
        <w:drawing>
          <wp:inline distT="0" distB="0" distL="0" distR="0" wp14:anchorId="69DF3AB8" wp14:editId="33DC9F47">
            <wp:extent cx="5772150" cy="2562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150" cy="2562225"/>
                    </a:xfrm>
                    <a:prstGeom prst="rect">
                      <a:avLst/>
                    </a:prstGeom>
                    <a:noFill/>
                    <a:ln>
                      <a:noFill/>
                    </a:ln>
                  </pic:spPr>
                </pic:pic>
              </a:graphicData>
            </a:graphic>
          </wp:inline>
        </w:drawing>
      </w:r>
    </w:p>
    <w:p w14:paraId="2D989FE6" w14:textId="77777777" w:rsidR="00D811BF" w:rsidRPr="00434156" w:rsidRDefault="00D811BF" w:rsidP="00D811BF">
      <w:pPr>
        <w:jc w:val="both"/>
        <w:rPr>
          <w:rFonts w:ascii="Gill Sans MT" w:hAnsi="Gill Sans MT" w:cs="Times New Roman"/>
          <w:b/>
          <w:bCs/>
          <w:sz w:val="24"/>
          <w:szCs w:val="24"/>
        </w:rPr>
      </w:pPr>
    </w:p>
    <w:p w14:paraId="533AF9CB" w14:textId="77777777" w:rsidR="00D811BF" w:rsidRDefault="00D811BF" w:rsidP="00D811BF"/>
    <w:p w14:paraId="60B5BC5A" w14:textId="1F318ED9" w:rsidR="00D811BF" w:rsidRDefault="00D811BF">
      <w:pPr>
        <w:rPr>
          <w:rFonts w:ascii="Gill Sans MT" w:hAnsi="Gill Sans MT" w:cs="Times New Roman"/>
          <w:sz w:val="24"/>
          <w:szCs w:val="24"/>
        </w:rPr>
      </w:pPr>
      <w:r>
        <w:rPr>
          <w:rFonts w:ascii="Gill Sans MT" w:hAnsi="Gill Sans MT" w:cs="Times New Roman"/>
          <w:sz w:val="24"/>
          <w:szCs w:val="24"/>
        </w:rPr>
        <w:br w:type="page"/>
      </w:r>
    </w:p>
    <w:p w14:paraId="4B41E409" w14:textId="77777777" w:rsidR="00D811BF" w:rsidRDefault="00D811BF" w:rsidP="00CB60E0">
      <w:pPr>
        <w:autoSpaceDE w:val="0"/>
        <w:autoSpaceDN w:val="0"/>
        <w:adjustRightInd w:val="0"/>
        <w:spacing w:after="0" w:line="480" w:lineRule="auto"/>
        <w:jc w:val="both"/>
        <w:rPr>
          <w:rFonts w:ascii="Gill Sans MT" w:hAnsi="Gill Sans MT" w:cs="Times New Roman"/>
          <w:sz w:val="24"/>
          <w:szCs w:val="24"/>
        </w:rPr>
      </w:pPr>
    </w:p>
    <w:p w14:paraId="08537E55" w14:textId="77777777" w:rsidR="00D811BF" w:rsidRPr="00434156" w:rsidRDefault="00D811BF" w:rsidP="00D811BF">
      <w:pPr>
        <w:autoSpaceDE w:val="0"/>
        <w:autoSpaceDN w:val="0"/>
        <w:adjustRightInd w:val="0"/>
        <w:spacing w:after="0" w:line="240" w:lineRule="auto"/>
        <w:jc w:val="both"/>
        <w:rPr>
          <w:rFonts w:ascii="Gill Sans MT" w:hAnsi="Gill Sans MT" w:cs="Times New Roman"/>
          <w:b/>
          <w:sz w:val="24"/>
          <w:szCs w:val="24"/>
        </w:rPr>
      </w:pPr>
      <w:r w:rsidRPr="00434156">
        <w:rPr>
          <w:rFonts w:ascii="Gill Sans MT" w:hAnsi="Gill Sans MT" w:cs="Times New Roman"/>
          <w:b/>
          <w:sz w:val="24"/>
          <w:szCs w:val="24"/>
        </w:rPr>
        <w:t xml:space="preserve">Table 1: GARCH estimates </w:t>
      </w:r>
    </w:p>
    <w:p w14:paraId="0622280C" w14:textId="77777777" w:rsidR="00D811BF" w:rsidRPr="00434156" w:rsidRDefault="00D811BF" w:rsidP="00D811BF">
      <w:pPr>
        <w:autoSpaceDE w:val="0"/>
        <w:autoSpaceDN w:val="0"/>
        <w:adjustRightInd w:val="0"/>
        <w:spacing w:after="0" w:line="240" w:lineRule="auto"/>
        <w:jc w:val="both"/>
        <w:rPr>
          <w:rFonts w:ascii="Gill Sans MT" w:hAnsi="Gill Sans MT" w:cs="Times New Roman"/>
          <w:b/>
          <w:sz w:val="24"/>
          <w:szCs w:val="24"/>
        </w:rPr>
      </w:pPr>
    </w:p>
    <w:tbl>
      <w:tblPr>
        <w:tblStyle w:val="TableGrid"/>
        <w:tblW w:w="13299" w:type="dxa"/>
        <w:tblLook w:val="04A0" w:firstRow="1" w:lastRow="0" w:firstColumn="1" w:lastColumn="0" w:noHBand="0" w:noVBand="1"/>
      </w:tblPr>
      <w:tblGrid>
        <w:gridCol w:w="2465"/>
        <w:gridCol w:w="2018"/>
        <w:gridCol w:w="1565"/>
        <w:gridCol w:w="241"/>
        <w:gridCol w:w="1699"/>
        <w:gridCol w:w="1463"/>
        <w:gridCol w:w="236"/>
        <w:gridCol w:w="1806"/>
        <w:gridCol w:w="1570"/>
        <w:gridCol w:w="236"/>
      </w:tblGrid>
      <w:tr w:rsidR="00D811BF" w:rsidRPr="00434156" w14:paraId="6B601FC9" w14:textId="77777777" w:rsidTr="00D16E5C">
        <w:trPr>
          <w:trHeight w:val="526"/>
        </w:trPr>
        <w:tc>
          <w:tcPr>
            <w:tcW w:w="2465" w:type="dxa"/>
            <w:tcBorders>
              <w:left w:val="nil"/>
              <w:right w:val="nil"/>
            </w:tcBorders>
          </w:tcPr>
          <w:p w14:paraId="67670B6E"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Parameters/Models</w:t>
            </w:r>
          </w:p>
        </w:tc>
        <w:tc>
          <w:tcPr>
            <w:tcW w:w="3583" w:type="dxa"/>
            <w:gridSpan w:val="2"/>
            <w:tcBorders>
              <w:left w:val="nil"/>
              <w:right w:val="nil"/>
            </w:tcBorders>
          </w:tcPr>
          <w:p w14:paraId="772E6834"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Baseline GARCH</w:t>
            </w:r>
          </w:p>
        </w:tc>
        <w:tc>
          <w:tcPr>
            <w:tcW w:w="241" w:type="dxa"/>
            <w:tcBorders>
              <w:left w:val="nil"/>
              <w:right w:val="nil"/>
            </w:tcBorders>
          </w:tcPr>
          <w:p w14:paraId="4A608CA6"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3162" w:type="dxa"/>
            <w:gridSpan w:val="2"/>
            <w:tcBorders>
              <w:left w:val="nil"/>
              <w:right w:val="nil"/>
            </w:tcBorders>
          </w:tcPr>
          <w:p w14:paraId="75009C96"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GARCH with breaks</w:t>
            </w:r>
          </w:p>
        </w:tc>
        <w:tc>
          <w:tcPr>
            <w:tcW w:w="236" w:type="dxa"/>
            <w:tcBorders>
              <w:left w:val="nil"/>
              <w:right w:val="nil"/>
            </w:tcBorders>
          </w:tcPr>
          <w:p w14:paraId="33840FFE"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3376" w:type="dxa"/>
            <w:gridSpan w:val="2"/>
            <w:tcBorders>
              <w:left w:val="nil"/>
              <w:right w:val="nil"/>
            </w:tcBorders>
          </w:tcPr>
          <w:p w14:paraId="6C665385"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GARCH with BREXIT impact</w:t>
            </w:r>
          </w:p>
        </w:tc>
        <w:tc>
          <w:tcPr>
            <w:tcW w:w="236" w:type="dxa"/>
            <w:tcBorders>
              <w:left w:val="nil"/>
              <w:right w:val="nil"/>
            </w:tcBorders>
          </w:tcPr>
          <w:p w14:paraId="2C9F03C3" w14:textId="77777777" w:rsidR="00D811BF" w:rsidRPr="00434156" w:rsidRDefault="00D811BF" w:rsidP="00D16E5C">
            <w:pPr>
              <w:autoSpaceDE w:val="0"/>
              <w:autoSpaceDN w:val="0"/>
              <w:adjustRightInd w:val="0"/>
              <w:jc w:val="both"/>
              <w:rPr>
                <w:rFonts w:ascii="Gill Sans MT" w:hAnsi="Gill Sans MT" w:cs="Times New Roman"/>
                <w:sz w:val="24"/>
                <w:szCs w:val="24"/>
              </w:rPr>
            </w:pPr>
          </w:p>
        </w:tc>
      </w:tr>
      <w:tr w:rsidR="00D811BF" w:rsidRPr="00434156" w14:paraId="0E70CDDA" w14:textId="77777777" w:rsidTr="00D16E5C">
        <w:trPr>
          <w:trHeight w:val="526"/>
        </w:trPr>
        <w:tc>
          <w:tcPr>
            <w:tcW w:w="2465" w:type="dxa"/>
            <w:tcBorders>
              <w:left w:val="nil"/>
              <w:right w:val="nil"/>
            </w:tcBorders>
          </w:tcPr>
          <w:p w14:paraId="61B05AF4"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2018" w:type="dxa"/>
            <w:tcBorders>
              <w:left w:val="nil"/>
              <w:right w:val="nil"/>
            </w:tcBorders>
          </w:tcPr>
          <w:p w14:paraId="459E2313"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GARCH</w:t>
            </w:r>
          </w:p>
        </w:tc>
        <w:tc>
          <w:tcPr>
            <w:tcW w:w="1806" w:type="dxa"/>
            <w:gridSpan w:val="2"/>
            <w:tcBorders>
              <w:left w:val="nil"/>
              <w:right w:val="nil"/>
            </w:tcBorders>
          </w:tcPr>
          <w:p w14:paraId="5EB460F9"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GJR-GARCH</w:t>
            </w:r>
          </w:p>
        </w:tc>
        <w:tc>
          <w:tcPr>
            <w:tcW w:w="1699" w:type="dxa"/>
            <w:tcBorders>
              <w:left w:val="nil"/>
              <w:right w:val="nil"/>
            </w:tcBorders>
          </w:tcPr>
          <w:p w14:paraId="48F91ED4"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GARCH</w:t>
            </w:r>
          </w:p>
        </w:tc>
        <w:tc>
          <w:tcPr>
            <w:tcW w:w="1699" w:type="dxa"/>
            <w:gridSpan w:val="2"/>
            <w:tcBorders>
              <w:left w:val="nil"/>
              <w:right w:val="nil"/>
            </w:tcBorders>
          </w:tcPr>
          <w:p w14:paraId="182073D9"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GJR-GARCH</w:t>
            </w:r>
          </w:p>
        </w:tc>
        <w:tc>
          <w:tcPr>
            <w:tcW w:w="1806" w:type="dxa"/>
            <w:tcBorders>
              <w:left w:val="nil"/>
              <w:right w:val="nil"/>
            </w:tcBorders>
          </w:tcPr>
          <w:p w14:paraId="30091497"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GARCH</w:t>
            </w:r>
          </w:p>
        </w:tc>
        <w:tc>
          <w:tcPr>
            <w:tcW w:w="1806" w:type="dxa"/>
            <w:gridSpan w:val="2"/>
            <w:tcBorders>
              <w:left w:val="nil"/>
              <w:right w:val="nil"/>
            </w:tcBorders>
          </w:tcPr>
          <w:p w14:paraId="6767A6A4"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GJR-GARCH</w:t>
            </w:r>
          </w:p>
        </w:tc>
      </w:tr>
      <w:tr w:rsidR="00D811BF" w:rsidRPr="00434156" w14:paraId="278ABCFC" w14:textId="77777777" w:rsidTr="00D16E5C">
        <w:trPr>
          <w:trHeight w:val="457"/>
        </w:trPr>
        <w:tc>
          <w:tcPr>
            <w:tcW w:w="2465" w:type="dxa"/>
            <w:tcBorders>
              <w:left w:val="nil"/>
              <w:bottom w:val="nil"/>
              <w:right w:val="nil"/>
            </w:tcBorders>
          </w:tcPr>
          <w:p w14:paraId="1895E9BB" w14:textId="77777777" w:rsidR="00D811BF" w:rsidRPr="00434156" w:rsidRDefault="00D811BF" w:rsidP="00D16E5C">
            <w:pPr>
              <w:autoSpaceDE w:val="0"/>
              <w:autoSpaceDN w:val="0"/>
              <w:adjustRightInd w:val="0"/>
              <w:jc w:val="both"/>
              <w:rPr>
                <w:rFonts w:ascii="Gill Sans MT" w:hAnsi="Gill Sans MT" w:cs="Times New Roman"/>
                <w:sz w:val="24"/>
                <w:szCs w:val="24"/>
              </w:rPr>
            </w:pPr>
            <m:oMathPara>
              <m:oMathParaPr>
                <m:jc m:val="left"/>
              </m:oMathParaPr>
              <m:oMath>
                <m:r>
                  <w:rPr>
                    <w:rFonts w:ascii="Cambria Math" w:hAnsi="Cambria Math" w:cs="Times New Roman"/>
                    <w:sz w:val="24"/>
                    <w:szCs w:val="24"/>
                  </w:rPr>
                  <m:t>ω</m:t>
                </m:r>
              </m:oMath>
            </m:oMathPara>
          </w:p>
        </w:tc>
        <w:tc>
          <w:tcPr>
            <w:tcW w:w="2018" w:type="dxa"/>
            <w:tcBorders>
              <w:left w:val="nil"/>
              <w:bottom w:val="nil"/>
              <w:right w:val="nil"/>
            </w:tcBorders>
          </w:tcPr>
          <w:p w14:paraId="4A3473FD"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233606.80***</w:t>
            </w:r>
          </w:p>
        </w:tc>
        <w:tc>
          <w:tcPr>
            <w:tcW w:w="1806" w:type="dxa"/>
            <w:gridSpan w:val="2"/>
            <w:tcBorders>
              <w:left w:val="nil"/>
              <w:bottom w:val="nil"/>
              <w:right w:val="nil"/>
            </w:tcBorders>
          </w:tcPr>
          <w:p w14:paraId="59528E92"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53820.12***</w:t>
            </w:r>
          </w:p>
        </w:tc>
        <w:tc>
          <w:tcPr>
            <w:tcW w:w="1699" w:type="dxa"/>
            <w:tcBorders>
              <w:left w:val="nil"/>
              <w:bottom w:val="nil"/>
              <w:right w:val="nil"/>
            </w:tcBorders>
          </w:tcPr>
          <w:p w14:paraId="4F3452D3"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243180.61***</w:t>
            </w:r>
          </w:p>
        </w:tc>
        <w:tc>
          <w:tcPr>
            <w:tcW w:w="1699" w:type="dxa"/>
            <w:gridSpan w:val="2"/>
            <w:tcBorders>
              <w:left w:val="nil"/>
              <w:bottom w:val="nil"/>
              <w:right w:val="nil"/>
            </w:tcBorders>
          </w:tcPr>
          <w:p w14:paraId="255A560D"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53820.12***</w:t>
            </w:r>
          </w:p>
        </w:tc>
        <w:tc>
          <w:tcPr>
            <w:tcW w:w="1806" w:type="dxa"/>
            <w:tcBorders>
              <w:left w:val="nil"/>
              <w:bottom w:val="nil"/>
              <w:right w:val="nil"/>
            </w:tcBorders>
          </w:tcPr>
          <w:p w14:paraId="15A3EBB2"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223502.90***</w:t>
            </w:r>
          </w:p>
        </w:tc>
        <w:tc>
          <w:tcPr>
            <w:tcW w:w="1806" w:type="dxa"/>
            <w:gridSpan w:val="2"/>
            <w:tcBorders>
              <w:left w:val="nil"/>
              <w:bottom w:val="nil"/>
              <w:right w:val="nil"/>
            </w:tcBorders>
          </w:tcPr>
          <w:p w14:paraId="4C95BD44"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85500.38**</w:t>
            </w:r>
          </w:p>
        </w:tc>
      </w:tr>
      <w:tr w:rsidR="00D811BF" w:rsidRPr="00434156" w14:paraId="11CF115F" w14:textId="77777777" w:rsidTr="00D16E5C">
        <w:trPr>
          <w:trHeight w:val="558"/>
        </w:trPr>
        <w:tc>
          <w:tcPr>
            <w:tcW w:w="2465" w:type="dxa"/>
            <w:tcBorders>
              <w:top w:val="nil"/>
              <w:left w:val="nil"/>
              <w:bottom w:val="nil"/>
              <w:right w:val="nil"/>
            </w:tcBorders>
          </w:tcPr>
          <w:p w14:paraId="1080DCE0" w14:textId="77777777" w:rsidR="00D811BF" w:rsidRPr="00434156" w:rsidRDefault="00D811BF" w:rsidP="00D16E5C">
            <w:pPr>
              <w:autoSpaceDE w:val="0"/>
              <w:autoSpaceDN w:val="0"/>
              <w:adjustRightInd w:val="0"/>
              <w:jc w:val="both"/>
              <w:rPr>
                <w:rFonts w:ascii="Gill Sans MT" w:hAnsi="Gill Sans MT" w:cs="Times New Roman"/>
                <w:sz w:val="24"/>
                <w:szCs w:val="24"/>
              </w:rPr>
            </w:pPr>
            <m:oMathPara>
              <m:oMathParaPr>
                <m:jc m:val="left"/>
              </m:oMathParaPr>
              <m:oMath>
                <m:r>
                  <w:rPr>
                    <w:rFonts w:ascii="Cambria Math" w:hAnsi="Cambria Math" w:cs="Times New Roman"/>
                    <w:sz w:val="24"/>
                    <w:szCs w:val="24"/>
                  </w:rPr>
                  <m:t>α</m:t>
                </m:r>
              </m:oMath>
            </m:oMathPara>
          </w:p>
        </w:tc>
        <w:tc>
          <w:tcPr>
            <w:tcW w:w="2018" w:type="dxa"/>
            <w:tcBorders>
              <w:top w:val="nil"/>
              <w:left w:val="nil"/>
              <w:bottom w:val="nil"/>
              <w:right w:val="nil"/>
            </w:tcBorders>
          </w:tcPr>
          <w:p w14:paraId="3AA6423C"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0.0169</w:t>
            </w:r>
          </w:p>
        </w:tc>
        <w:tc>
          <w:tcPr>
            <w:tcW w:w="1806" w:type="dxa"/>
            <w:gridSpan w:val="2"/>
            <w:tcBorders>
              <w:top w:val="nil"/>
              <w:left w:val="nil"/>
              <w:bottom w:val="nil"/>
              <w:right w:val="nil"/>
            </w:tcBorders>
          </w:tcPr>
          <w:p w14:paraId="1747CEDE"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0.0124***</w:t>
            </w:r>
          </w:p>
        </w:tc>
        <w:tc>
          <w:tcPr>
            <w:tcW w:w="1699" w:type="dxa"/>
            <w:tcBorders>
              <w:top w:val="nil"/>
              <w:left w:val="nil"/>
              <w:bottom w:val="nil"/>
              <w:right w:val="nil"/>
            </w:tcBorders>
          </w:tcPr>
          <w:p w14:paraId="38D7D0AC"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0.0081***</w:t>
            </w:r>
          </w:p>
        </w:tc>
        <w:tc>
          <w:tcPr>
            <w:tcW w:w="1699" w:type="dxa"/>
            <w:gridSpan w:val="2"/>
            <w:tcBorders>
              <w:top w:val="nil"/>
              <w:left w:val="nil"/>
              <w:bottom w:val="nil"/>
              <w:right w:val="nil"/>
            </w:tcBorders>
          </w:tcPr>
          <w:p w14:paraId="4A6D2EE6"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0.0326***</w:t>
            </w:r>
          </w:p>
        </w:tc>
        <w:tc>
          <w:tcPr>
            <w:tcW w:w="1806" w:type="dxa"/>
            <w:tcBorders>
              <w:top w:val="nil"/>
              <w:left w:val="nil"/>
              <w:bottom w:val="nil"/>
              <w:right w:val="nil"/>
            </w:tcBorders>
          </w:tcPr>
          <w:p w14:paraId="59AD1448"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 xml:space="preserve">     0.0197*</w:t>
            </w:r>
          </w:p>
        </w:tc>
        <w:tc>
          <w:tcPr>
            <w:tcW w:w="1806" w:type="dxa"/>
            <w:gridSpan w:val="2"/>
            <w:tcBorders>
              <w:top w:val="nil"/>
              <w:left w:val="nil"/>
              <w:bottom w:val="nil"/>
              <w:right w:val="nil"/>
            </w:tcBorders>
          </w:tcPr>
          <w:p w14:paraId="5FEFE91E"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0.0308***</w:t>
            </w:r>
          </w:p>
        </w:tc>
      </w:tr>
      <w:tr w:rsidR="00D811BF" w:rsidRPr="00434156" w14:paraId="5D59AE0E" w14:textId="77777777" w:rsidTr="00D16E5C">
        <w:trPr>
          <w:trHeight w:val="526"/>
        </w:trPr>
        <w:tc>
          <w:tcPr>
            <w:tcW w:w="2465" w:type="dxa"/>
            <w:tcBorders>
              <w:top w:val="nil"/>
              <w:left w:val="nil"/>
              <w:bottom w:val="nil"/>
              <w:right w:val="nil"/>
            </w:tcBorders>
          </w:tcPr>
          <w:p w14:paraId="4FDA2B73" w14:textId="77777777" w:rsidR="00D811BF" w:rsidRPr="00434156" w:rsidRDefault="00D811BF" w:rsidP="00D16E5C">
            <w:pPr>
              <w:autoSpaceDE w:val="0"/>
              <w:autoSpaceDN w:val="0"/>
              <w:adjustRightInd w:val="0"/>
              <w:jc w:val="both"/>
              <w:rPr>
                <w:rFonts w:ascii="Gill Sans MT" w:hAnsi="Gill Sans MT" w:cs="Times New Roman"/>
                <w:sz w:val="24"/>
                <w:szCs w:val="24"/>
              </w:rPr>
            </w:pPr>
            <m:oMathPara>
              <m:oMathParaPr>
                <m:jc m:val="left"/>
              </m:oMathParaPr>
              <m:oMath>
                <m:r>
                  <w:rPr>
                    <w:rFonts w:ascii="Cambria Math" w:hAnsi="Cambria Math" w:cs="Times New Roman"/>
                    <w:sz w:val="24"/>
                    <w:szCs w:val="24"/>
                  </w:rPr>
                  <m:t>β</m:t>
                </m:r>
              </m:oMath>
            </m:oMathPara>
          </w:p>
        </w:tc>
        <w:tc>
          <w:tcPr>
            <w:tcW w:w="2018" w:type="dxa"/>
            <w:tcBorders>
              <w:top w:val="nil"/>
              <w:left w:val="nil"/>
              <w:bottom w:val="nil"/>
              <w:right w:val="nil"/>
            </w:tcBorders>
          </w:tcPr>
          <w:p w14:paraId="7FC1AE9E"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0.9813***</w:t>
            </w:r>
          </w:p>
        </w:tc>
        <w:tc>
          <w:tcPr>
            <w:tcW w:w="1806" w:type="dxa"/>
            <w:gridSpan w:val="2"/>
            <w:tcBorders>
              <w:top w:val="nil"/>
              <w:left w:val="nil"/>
              <w:bottom w:val="nil"/>
              <w:right w:val="nil"/>
            </w:tcBorders>
          </w:tcPr>
          <w:p w14:paraId="4454ED6B"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0.5956***</w:t>
            </w:r>
          </w:p>
        </w:tc>
        <w:tc>
          <w:tcPr>
            <w:tcW w:w="1699" w:type="dxa"/>
            <w:tcBorders>
              <w:top w:val="nil"/>
              <w:left w:val="nil"/>
              <w:bottom w:val="nil"/>
              <w:right w:val="nil"/>
            </w:tcBorders>
          </w:tcPr>
          <w:p w14:paraId="0924EBD4"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0.8718***</w:t>
            </w:r>
          </w:p>
        </w:tc>
        <w:tc>
          <w:tcPr>
            <w:tcW w:w="1699" w:type="dxa"/>
            <w:gridSpan w:val="2"/>
            <w:tcBorders>
              <w:top w:val="nil"/>
              <w:left w:val="nil"/>
              <w:bottom w:val="nil"/>
              <w:right w:val="nil"/>
            </w:tcBorders>
          </w:tcPr>
          <w:p w14:paraId="6877E234"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0.5485***</w:t>
            </w:r>
          </w:p>
        </w:tc>
        <w:tc>
          <w:tcPr>
            <w:tcW w:w="1806" w:type="dxa"/>
            <w:tcBorders>
              <w:top w:val="nil"/>
              <w:left w:val="nil"/>
              <w:bottom w:val="nil"/>
              <w:right w:val="nil"/>
            </w:tcBorders>
          </w:tcPr>
          <w:p w14:paraId="5A2DDBF3"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 xml:space="preserve"> 0.9768***</w:t>
            </w:r>
          </w:p>
        </w:tc>
        <w:tc>
          <w:tcPr>
            <w:tcW w:w="1806" w:type="dxa"/>
            <w:gridSpan w:val="2"/>
            <w:tcBorders>
              <w:top w:val="nil"/>
              <w:left w:val="nil"/>
              <w:bottom w:val="nil"/>
              <w:right w:val="nil"/>
            </w:tcBorders>
          </w:tcPr>
          <w:p w14:paraId="2C5BEB2B"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0.5542***</w:t>
            </w:r>
          </w:p>
        </w:tc>
      </w:tr>
      <w:tr w:rsidR="00D811BF" w:rsidRPr="00434156" w14:paraId="69B39EEE" w14:textId="77777777" w:rsidTr="00D16E5C">
        <w:trPr>
          <w:trHeight w:val="558"/>
        </w:trPr>
        <w:tc>
          <w:tcPr>
            <w:tcW w:w="2465" w:type="dxa"/>
            <w:tcBorders>
              <w:top w:val="nil"/>
              <w:left w:val="nil"/>
              <w:bottom w:val="nil"/>
              <w:right w:val="nil"/>
            </w:tcBorders>
          </w:tcPr>
          <w:p w14:paraId="54773C55" w14:textId="77777777" w:rsidR="00D811BF" w:rsidRPr="00434156" w:rsidRDefault="00D811BF" w:rsidP="00D16E5C">
            <w:pPr>
              <w:autoSpaceDE w:val="0"/>
              <w:autoSpaceDN w:val="0"/>
              <w:adjustRightInd w:val="0"/>
              <w:jc w:val="both"/>
              <w:rPr>
                <w:rFonts w:ascii="Gill Sans MT" w:hAnsi="Gill Sans MT" w:cs="Times New Roman"/>
                <w:sz w:val="24"/>
                <w:szCs w:val="24"/>
              </w:rPr>
            </w:pPr>
            <m:oMathPara>
              <m:oMathParaPr>
                <m:jc m:val="left"/>
              </m:oMathParaPr>
              <m:oMath>
                <m:r>
                  <w:rPr>
                    <w:rFonts w:ascii="Cambria Math" w:hAnsi="Cambria Math" w:cs="Times New Roman"/>
                    <w:sz w:val="24"/>
                    <w:szCs w:val="24"/>
                  </w:rPr>
                  <m:t>γ</m:t>
                </m:r>
              </m:oMath>
            </m:oMathPara>
          </w:p>
        </w:tc>
        <w:tc>
          <w:tcPr>
            <w:tcW w:w="2018" w:type="dxa"/>
            <w:tcBorders>
              <w:top w:val="nil"/>
              <w:left w:val="nil"/>
              <w:bottom w:val="nil"/>
              <w:right w:val="nil"/>
            </w:tcBorders>
          </w:tcPr>
          <w:p w14:paraId="7D525C45"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806" w:type="dxa"/>
            <w:gridSpan w:val="2"/>
            <w:tcBorders>
              <w:top w:val="nil"/>
              <w:left w:val="nil"/>
              <w:bottom w:val="nil"/>
              <w:right w:val="nil"/>
            </w:tcBorders>
          </w:tcPr>
          <w:p w14:paraId="5BAAC9A3"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-0.1399***</w:t>
            </w:r>
          </w:p>
        </w:tc>
        <w:tc>
          <w:tcPr>
            <w:tcW w:w="1699" w:type="dxa"/>
            <w:tcBorders>
              <w:top w:val="nil"/>
              <w:left w:val="nil"/>
              <w:bottom w:val="nil"/>
              <w:right w:val="nil"/>
            </w:tcBorders>
          </w:tcPr>
          <w:p w14:paraId="420654BF"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699" w:type="dxa"/>
            <w:gridSpan w:val="2"/>
            <w:tcBorders>
              <w:top w:val="nil"/>
              <w:left w:val="nil"/>
              <w:bottom w:val="nil"/>
              <w:right w:val="nil"/>
            </w:tcBorders>
          </w:tcPr>
          <w:p w14:paraId="07EDF7C2"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-0.2717***</w:t>
            </w:r>
          </w:p>
        </w:tc>
        <w:tc>
          <w:tcPr>
            <w:tcW w:w="1806" w:type="dxa"/>
            <w:tcBorders>
              <w:top w:val="nil"/>
              <w:left w:val="nil"/>
              <w:bottom w:val="nil"/>
              <w:right w:val="nil"/>
            </w:tcBorders>
          </w:tcPr>
          <w:p w14:paraId="4F46952F"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806" w:type="dxa"/>
            <w:gridSpan w:val="2"/>
            <w:tcBorders>
              <w:top w:val="nil"/>
              <w:left w:val="nil"/>
              <w:bottom w:val="nil"/>
              <w:right w:val="nil"/>
            </w:tcBorders>
          </w:tcPr>
          <w:p w14:paraId="61D5FF65"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-0.2745***</w:t>
            </w:r>
          </w:p>
        </w:tc>
      </w:tr>
      <w:tr w:rsidR="00D811BF" w:rsidRPr="00434156" w14:paraId="139064AB" w14:textId="77777777" w:rsidTr="00D16E5C">
        <w:trPr>
          <w:trHeight w:val="558"/>
        </w:trPr>
        <w:tc>
          <w:tcPr>
            <w:tcW w:w="2465" w:type="dxa"/>
            <w:tcBorders>
              <w:top w:val="nil"/>
              <w:left w:val="nil"/>
              <w:bottom w:val="nil"/>
              <w:right w:val="nil"/>
            </w:tcBorders>
          </w:tcPr>
          <w:p w14:paraId="2AE4F71D" w14:textId="77777777" w:rsidR="00D811BF" w:rsidRPr="00434156" w:rsidRDefault="00D811BF" w:rsidP="00D16E5C">
            <w:pPr>
              <w:autoSpaceDE w:val="0"/>
              <w:autoSpaceDN w:val="0"/>
              <w:adjustRightInd w:val="0"/>
              <w:jc w:val="both"/>
              <w:rPr>
                <w:rFonts w:ascii="Gill Sans MT" w:eastAsia="Calibri" w:hAnsi="Gill Sans MT"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oMath>
            </m:oMathPara>
          </w:p>
        </w:tc>
        <w:tc>
          <w:tcPr>
            <w:tcW w:w="2018" w:type="dxa"/>
            <w:tcBorders>
              <w:top w:val="nil"/>
              <w:left w:val="nil"/>
              <w:bottom w:val="nil"/>
              <w:right w:val="nil"/>
            </w:tcBorders>
          </w:tcPr>
          <w:p w14:paraId="2CE8E788"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806" w:type="dxa"/>
            <w:gridSpan w:val="2"/>
            <w:tcBorders>
              <w:top w:val="nil"/>
              <w:left w:val="nil"/>
              <w:bottom w:val="nil"/>
              <w:right w:val="nil"/>
            </w:tcBorders>
          </w:tcPr>
          <w:p w14:paraId="7E0717A1"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699" w:type="dxa"/>
            <w:tcBorders>
              <w:top w:val="nil"/>
              <w:left w:val="nil"/>
              <w:bottom w:val="nil"/>
              <w:right w:val="nil"/>
            </w:tcBorders>
          </w:tcPr>
          <w:p w14:paraId="712289C6"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197.66***</w:t>
            </w:r>
          </w:p>
        </w:tc>
        <w:tc>
          <w:tcPr>
            <w:tcW w:w="1699" w:type="dxa"/>
            <w:gridSpan w:val="2"/>
            <w:tcBorders>
              <w:top w:val="nil"/>
              <w:left w:val="nil"/>
              <w:bottom w:val="nil"/>
              <w:right w:val="nil"/>
            </w:tcBorders>
          </w:tcPr>
          <w:p w14:paraId="550C6EBC"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110.29***</w:t>
            </w:r>
          </w:p>
        </w:tc>
        <w:tc>
          <w:tcPr>
            <w:tcW w:w="1806" w:type="dxa"/>
            <w:tcBorders>
              <w:top w:val="nil"/>
              <w:left w:val="nil"/>
              <w:bottom w:val="nil"/>
              <w:right w:val="nil"/>
            </w:tcBorders>
          </w:tcPr>
          <w:p w14:paraId="5900FB3C"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806" w:type="dxa"/>
            <w:gridSpan w:val="2"/>
            <w:tcBorders>
              <w:top w:val="nil"/>
              <w:left w:val="nil"/>
              <w:bottom w:val="nil"/>
              <w:right w:val="nil"/>
            </w:tcBorders>
          </w:tcPr>
          <w:p w14:paraId="15B31DF1" w14:textId="77777777" w:rsidR="00D811BF" w:rsidRPr="00434156" w:rsidRDefault="00D811BF" w:rsidP="00D16E5C">
            <w:pPr>
              <w:autoSpaceDE w:val="0"/>
              <w:autoSpaceDN w:val="0"/>
              <w:adjustRightInd w:val="0"/>
              <w:jc w:val="both"/>
              <w:rPr>
                <w:rFonts w:ascii="Gill Sans MT" w:hAnsi="Gill Sans MT" w:cs="Times New Roman"/>
                <w:sz w:val="24"/>
                <w:szCs w:val="24"/>
              </w:rPr>
            </w:pPr>
          </w:p>
        </w:tc>
      </w:tr>
      <w:tr w:rsidR="00D811BF" w:rsidRPr="00434156" w14:paraId="30BFC245" w14:textId="77777777" w:rsidTr="00D16E5C">
        <w:trPr>
          <w:trHeight w:val="558"/>
        </w:trPr>
        <w:tc>
          <w:tcPr>
            <w:tcW w:w="2465" w:type="dxa"/>
            <w:tcBorders>
              <w:top w:val="nil"/>
              <w:left w:val="nil"/>
              <w:bottom w:val="nil"/>
              <w:right w:val="nil"/>
            </w:tcBorders>
          </w:tcPr>
          <w:p w14:paraId="2572BDDA" w14:textId="77777777" w:rsidR="00D811BF" w:rsidRPr="00434156" w:rsidRDefault="00D811BF" w:rsidP="00D16E5C">
            <w:pPr>
              <w:autoSpaceDE w:val="0"/>
              <w:autoSpaceDN w:val="0"/>
              <w:adjustRightInd w:val="0"/>
              <w:jc w:val="both"/>
              <w:rPr>
                <w:rFonts w:ascii="Gill Sans MT" w:eastAsia="Calibri" w:hAnsi="Gill Sans MT"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oMath>
            </m:oMathPara>
          </w:p>
        </w:tc>
        <w:tc>
          <w:tcPr>
            <w:tcW w:w="2018" w:type="dxa"/>
            <w:tcBorders>
              <w:top w:val="nil"/>
              <w:left w:val="nil"/>
              <w:bottom w:val="nil"/>
              <w:right w:val="nil"/>
            </w:tcBorders>
          </w:tcPr>
          <w:p w14:paraId="3DEA23D8"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806" w:type="dxa"/>
            <w:gridSpan w:val="2"/>
            <w:tcBorders>
              <w:top w:val="nil"/>
              <w:left w:val="nil"/>
              <w:bottom w:val="nil"/>
              <w:right w:val="nil"/>
            </w:tcBorders>
          </w:tcPr>
          <w:p w14:paraId="5A6DF287"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699" w:type="dxa"/>
            <w:tcBorders>
              <w:top w:val="nil"/>
              <w:left w:val="nil"/>
              <w:bottom w:val="nil"/>
              <w:right w:val="nil"/>
            </w:tcBorders>
          </w:tcPr>
          <w:p w14:paraId="46FE15CF"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0.7875</w:t>
            </w:r>
          </w:p>
        </w:tc>
        <w:tc>
          <w:tcPr>
            <w:tcW w:w="1699" w:type="dxa"/>
            <w:gridSpan w:val="2"/>
            <w:tcBorders>
              <w:top w:val="nil"/>
              <w:left w:val="nil"/>
              <w:bottom w:val="nil"/>
              <w:right w:val="nil"/>
            </w:tcBorders>
          </w:tcPr>
          <w:p w14:paraId="1C978E34"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0.0986</w:t>
            </w:r>
          </w:p>
        </w:tc>
        <w:tc>
          <w:tcPr>
            <w:tcW w:w="1806" w:type="dxa"/>
            <w:tcBorders>
              <w:top w:val="nil"/>
              <w:left w:val="nil"/>
              <w:bottom w:val="nil"/>
              <w:right w:val="nil"/>
            </w:tcBorders>
          </w:tcPr>
          <w:p w14:paraId="7D3718DC"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806" w:type="dxa"/>
            <w:gridSpan w:val="2"/>
            <w:tcBorders>
              <w:top w:val="nil"/>
              <w:left w:val="nil"/>
              <w:bottom w:val="nil"/>
              <w:right w:val="nil"/>
            </w:tcBorders>
          </w:tcPr>
          <w:p w14:paraId="45C1A410" w14:textId="77777777" w:rsidR="00D811BF" w:rsidRPr="00434156" w:rsidRDefault="00D811BF" w:rsidP="00D16E5C">
            <w:pPr>
              <w:autoSpaceDE w:val="0"/>
              <w:autoSpaceDN w:val="0"/>
              <w:adjustRightInd w:val="0"/>
              <w:jc w:val="both"/>
              <w:rPr>
                <w:rFonts w:ascii="Gill Sans MT" w:hAnsi="Gill Sans MT" w:cs="Times New Roman"/>
                <w:sz w:val="24"/>
                <w:szCs w:val="24"/>
              </w:rPr>
            </w:pPr>
          </w:p>
        </w:tc>
      </w:tr>
      <w:tr w:rsidR="00D811BF" w:rsidRPr="00434156" w14:paraId="2E6ED78F" w14:textId="77777777" w:rsidTr="00D16E5C">
        <w:trPr>
          <w:trHeight w:val="558"/>
        </w:trPr>
        <w:tc>
          <w:tcPr>
            <w:tcW w:w="2465" w:type="dxa"/>
            <w:tcBorders>
              <w:top w:val="nil"/>
              <w:left w:val="nil"/>
              <w:bottom w:val="nil"/>
              <w:right w:val="nil"/>
            </w:tcBorders>
          </w:tcPr>
          <w:p w14:paraId="478C9D58" w14:textId="77777777" w:rsidR="00D811BF" w:rsidRPr="00434156" w:rsidRDefault="00D811BF" w:rsidP="00D16E5C">
            <w:pPr>
              <w:autoSpaceDE w:val="0"/>
              <w:autoSpaceDN w:val="0"/>
              <w:adjustRightInd w:val="0"/>
              <w:jc w:val="both"/>
              <w:rPr>
                <w:rFonts w:ascii="Gill Sans MT" w:eastAsia="Calibri" w:hAnsi="Gill Sans MT" w:cs="Times New Roman"/>
                <w:sz w:val="24"/>
                <w:szCs w:val="24"/>
              </w:rPr>
            </w:pPr>
            <m:oMathPara>
              <m:oMathParaPr>
                <m:jc m:val="left"/>
              </m:oMathParaPr>
              <m:oMath>
                <m:r>
                  <w:rPr>
                    <w:rFonts w:ascii="Cambria Math" w:eastAsia="Calibri" w:hAnsi="Cambria Math" w:cs="Times New Roman"/>
                    <w:sz w:val="24"/>
                    <w:szCs w:val="24"/>
                  </w:rPr>
                  <m:t>δ</m:t>
                </m:r>
              </m:oMath>
            </m:oMathPara>
          </w:p>
        </w:tc>
        <w:tc>
          <w:tcPr>
            <w:tcW w:w="2018" w:type="dxa"/>
            <w:tcBorders>
              <w:top w:val="nil"/>
              <w:left w:val="nil"/>
              <w:bottom w:val="nil"/>
              <w:right w:val="nil"/>
            </w:tcBorders>
          </w:tcPr>
          <w:p w14:paraId="787D0F5C"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806" w:type="dxa"/>
            <w:gridSpan w:val="2"/>
            <w:tcBorders>
              <w:top w:val="nil"/>
              <w:left w:val="nil"/>
              <w:bottom w:val="nil"/>
              <w:right w:val="nil"/>
            </w:tcBorders>
          </w:tcPr>
          <w:p w14:paraId="70C326D1"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699" w:type="dxa"/>
            <w:tcBorders>
              <w:top w:val="nil"/>
              <w:left w:val="nil"/>
              <w:bottom w:val="nil"/>
              <w:right w:val="nil"/>
            </w:tcBorders>
          </w:tcPr>
          <w:p w14:paraId="09B51D6F"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699" w:type="dxa"/>
            <w:gridSpan w:val="2"/>
            <w:tcBorders>
              <w:top w:val="nil"/>
              <w:left w:val="nil"/>
              <w:bottom w:val="nil"/>
              <w:right w:val="nil"/>
            </w:tcBorders>
          </w:tcPr>
          <w:p w14:paraId="0436E865"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806" w:type="dxa"/>
            <w:tcBorders>
              <w:top w:val="nil"/>
              <w:left w:val="nil"/>
              <w:bottom w:val="nil"/>
              <w:right w:val="nil"/>
            </w:tcBorders>
          </w:tcPr>
          <w:p w14:paraId="497E1F97"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154715.3</w:t>
            </w:r>
          </w:p>
        </w:tc>
        <w:tc>
          <w:tcPr>
            <w:tcW w:w="1806" w:type="dxa"/>
            <w:gridSpan w:val="2"/>
            <w:tcBorders>
              <w:top w:val="nil"/>
              <w:left w:val="nil"/>
              <w:bottom w:val="nil"/>
              <w:right w:val="nil"/>
            </w:tcBorders>
          </w:tcPr>
          <w:p w14:paraId="068EC6D7"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0.1104</w:t>
            </w:r>
          </w:p>
        </w:tc>
      </w:tr>
      <w:tr w:rsidR="00D811BF" w:rsidRPr="00434156" w14:paraId="58249C67" w14:textId="77777777" w:rsidTr="00D16E5C">
        <w:trPr>
          <w:trHeight w:val="526"/>
        </w:trPr>
        <w:tc>
          <w:tcPr>
            <w:tcW w:w="2465" w:type="dxa"/>
            <w:tcBorders>
              <w:top w:val="nil"/>
              <w:left w:val="nil"/>
              <w:bottom w:val="nil"/>
              <w:right w:val="nil"/>
            </w:tcBorders>
          </w:tcPr>
          <w:p w14:paraId="6D505E4A"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Persistence</w:t>
            </w:r>
          </w:p>
        </w:tc>
        <w:tc>
          <w:tcPr>
            <w:tcW w:w="2018" w:type="dxa"/>
            <w:tcBorders>
              <w:top w:val="nil"/>
              <w:left w:val="nil"/>
              <w:bottom w:val="nil"/>
              <w:right w:val="nil"/>
            </w:tcBorders>
          </w:tcPr>
          <w:p w14:paraId="3F3E38D1"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0.9982</w:t>
            </w:r>
          </w:p>
        </w:tc>
        <w:tc>
          <w:tcPr>
            <w:tcW w:w="1806" w:type="dxa"/>
            <w:gridSpan w:val="2"/>
            <w:tcBorders>
              <w:top w:val="nil"/>
              <w:left w:val="nil"/>
              <w:bottom w:val="nil"/>
              <w:right w:val="nil"/>
            </w:tcBorders>
          </w:tcPr>
          <w:p w14:paraId="51166E2F"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0.5380</w:t>
            </w:r>
          </w:p>
        </w:tc>
        <w:tc>
          <w:tcPr>
            <w:tcW w:w="1699" w:type="dxa"/>
            <w:tcBorders>
              <w:top w:val="nil"/>
              <w:left w:val="nil"/>
              <w:bottom w:val="nil"/>
              <w:right w:val="nil"/>
            </w:tcBorders>
          </w:tcPr>
          <w:p w14:paraId="648DED1E"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0.8799</w:t>
            </w:r>
          </w:p>
        </w:tc>
        <w:tc>
          <w:tcPr>
            <w:tcW w:w="1699" w:type="dxa"/>
            <w:gridSpan w:val="2"/>
            <w:tcBorders>
              <w:top w:val="nil"/>
              <w:left w:val="nil"/>
              <w:bottom w:val="nil"/>
              <w:right w:val="nil"/>
            </w:tcBorders>
          </w:tcPr>
          <w:p w14:paraId="33CE9541"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0.4451</w:t>
            </w:r>
          </w:p>
        </w:tc>
        <w:tc>
          <w:tcPr>
            <w:tcW w:w="1806" w:type="dxa"/>
            <w:tcBorders>
              <w:top w:val="nil"/>
              <w:left w:val="nil"/>
              <w:bottom w:val="nil"/>
              <w:right w:val="nil"/>
            </w:tcBorders>
          </w:tcPr>
          <w:p w14:paraId="1740B409"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0.9965</w:t>
            </w:r>
          </w:p>
        </w:tc>
        <w:tc>
          <w:tcPr>
            <w:tcW w:w="1806" w:type="dxa"/>
            <w:gridSpan w:val="2"/>
            <w:tcBorders>
              <w:top w:val="nil"/>
              <w:left w:val="nil"/>
              <w:bottom w:val="nil"/>
              <w:right w:val="nil"/>
            </w:tcBorders>
          </w:tcPr>
          <w:p w14:paraId="28477372"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0.4478</w:t>
            </w:r>
          </w:p>
        </w:tc>
      </w:tr>
      <w:tr w:rsidR="00D811BF" w:rsidRPr="00434156" w14:paraId="2B95F4F2" w14:textId="77777777" w:rsidTr="00D16E5C">
        <w:trPr>
          <w:trHeight w:val="526"/>
        </w:trPr>
        <w:tc>
          <w:tcPr>
            <w:tcW w:w="2465" w:type="dxa"/>
            <w:tcBorders>
              <w:top w:val="nil"/>
              <w:left w:val="nil"/>
              <w:bottom w:val="nil"/>
              <w:right w:val="nil"/>
            </w:tcBorders>
          </w:tcPr>
          <w:p w14:paraId="0F90F9E8"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Log-likelihood</w:t>
            </w:r>
          </w:p>
        </w:tc>
        <w:tc>
          <w:tcPr>
            <w:tcW w:w="2018" w:type="dxa"/>
            <w:tcBorders>
              <w:top w:val="nil"/>
              <w:left w:val="nil"/>
              <w:bottom w:val="nil"/>
              <w:right w:val="nil"/>
            </w:tcBorders>
          </w:tcPr>
          <w:p w14:paraId="47CFEEA1"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-3343.16</w:t>
            </w:r>
          </w:p>
        </w:tc>
        <w:tc>
          <w:tcPr>
            <w:tcW w:w="1806" w:type="dxa"/>
            <w:gridSpan w:val="2"/>
            <w:tcBorders>
              <w:top w:val="nil"/>
              <w:left w:val="nil"/>
              <w:bottom w:val="nil"/>
              <w:right w:val="nil"/>
            </w:tcBorders>
          </w:tcPr>
          <w:p w14:paraId="0F027CEB"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-3360.29</w:t>
            </w:r>
          </w:p>
        </w:tc>
        <w:tc>
          <w:tcPr>
            <w:tcW w:w="1699" w:type="dxa"/>
            <w:tcBorders>
              <w:top w:val="nil"/>
              <w:left w:val="nil"/>
              <w:bottom w:val="nil"/>
              <w:right w:val="nil"/>
            </w:tcBorders>
          </w:tcPr>
          <w:p w14:paraId="6D7F0275"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-3332.86</w:t>
            </w:r>
          </w:p>
        </w:tc>
        <w:tc>
          <w:tcPr>
            <w:tcW w:w="1699" w:type="dxa"/>
            <w:gridSpan w:val="2"/>
            <w:tcBorders>
              <w:top w:val="nil"/>
              <w:left w:val="nil"/>
              <w:bottom w:val="nil"/>
              <w:right w:val="nil"/>
            </w:tcBorders>
          </w:tcPr>
          <w:p w14:paraId="3C8E4075"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-3338.84</w:t>
            </w:r>
          </w:p>
        </w:tc>
        <w:tc>
          <w:tcPr>
            <w:tcW w:w="1806" w:type="dxa"/>
            <w:tcBorders>
              <w:top w:val="nil"/>
              <w:left w:val="nil"/>
              <w:bottom w:val="nil"/>
              <w:right w:val="nil"/>
            </w:tcBorders>
          </w:tcPr>
          <w:p w14:paraId="384BAF62"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-3341.35</w:t>
            </w:r>
          </w:p>
        </w:tc>
        <w:tc>
          <w:tcPr>
            <w:tcW w:w="1806" w:type="dxa"/>
            <w:gridSpan w:val="2"/>
            <w:tcBorders>
              <w:top w:val="nil"/>
              <w:left w:val="nil"/>
              <w:bottom w:val="nil"/>
              <w:right w:val="nil"/>
            </w:tcBorders>
          </w:tcPr>
          <w:p w14:paraId="4A940523"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-3374.09</w:t>
            </w:r>
          </w:p>
        </w:tc>
      </w:tr>
      <w:tr w:rsidR="00D811BF" w:rsidRPr="00434156" w14:paraId="33353834" w14:textId="77777777" w:rsidTr="00D16E5C">
        <w:trPr>
          <w:trHeight w:val="526"/>
        </w:trPr>
        <w:tc>
          <w:tcPr>
            <w:tcW w:w="2465" w:type="dxa"/>
            <w:tcBorders>
              <w:top w:val="nil"/>
              <w:left w:val="nil"/>
              <w:bottom w:val="nil"/>
              <w:right w:val="nil"/>
            </w:tcBorders>
          </w:tcPr>
          <w:p w14:paraId="32E2AA9A"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AIC</w:t>
            </w:r>
          </w:p>
        </w:tc>
        <w:tc>
          <w:tcPr>
            <w:tcW w:w="2018" w:type="dxa"/>
            <w:tcBorders>
              <w:top w:val="nil"/>
              <w:left w:val="nil"/>
              <w:bottom w:val="nil"/>
              <w:right w:val="nil"/>
            </w:tcBorders>
          </w:tcPr>
          <w:p w14:paraId="3CB7A2BF"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14.37</w:t>
            </w:r>
          </w:p>
        </w:tc>
        <w:tc>
          <w:tcPr>
            <w:tcW w:w="1806" w:type="dxa"/>
            <w:gridSpan w:val="2"/>
            <w:tcBorders>
              <w:top w:val="nil"/>
              <w:left w:val="nil"/>
              <w:bottom w:val="nil"/>
              <w:right w:val="nil"/>
            </w:tcBorders>
          </w:tcPr>
          <w:p w14:paraId="6BEB5A31"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14.44</w:t>
            </w:r>
          </w:p>
        </w:tc>
        <w:tc>
          <w:tcPr>
            <w:tcW w:w="1699" w:type="dxa"/>
            <w:tcBorders>
              <w:top w:val="nil"/>
              <w:left w:val="nil"/>
              <w:bottom w:val="nil"/>
              <w:right w:val="nil"/>
            </w:tcBorders>
          </w:tcPr>
          <w:p w14:paraId="3EEFFDB7"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14.34</w:t>
            </w:r>
          </w:p>
        </w:tc>
        <w:tc>
          <w:tcPr>
            <w:tcW w:w="1699" w:type="dxa"/>
            <w:gridSpan w:val="2"/>
            <w:tcBorders>
              <w:top w:val="nil"/>
              <w:left w:val="nil"/>
              <w:bottom w:val="nil"/>
              <w:right w:val="nil"/>
            </w:tcBorders>
          </w:tcPr>
          <w:p w14:paraId="17E52F52"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14.39</w:t>
            </w:r>
          </w:p>
        </w:tc>
        <w:tc>
          <w:tcPr>
            <w:tcW w:w="1806" w:type="dxa"/>
            <w:tcBorders>
              <w:top w:val="nil"/>
              <w:left w:val="nil"/>
              <w:bottom w:val="nil"/>
              <w:right w:val="nil"/>
            </w:tcBorders>
          </w:tcPr>
          <w:p w14:paraId="4E552E76"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14.36</w:t>
            </w:r>
          </w:p>
        </w:tc>
        <w:tc>
          <w:tcPr>
            <w:tcW w:w="1806" w:type="dxa"/>
            <w:gridSpan w:val="2"/>
            <w:tcBorders>
              <w:top w:val="nil"/>
              <w:left w:val="nil"/>
              <w:bottom w:val="nil"/>
              <w:right w:val="nil"/>
            </w:tcBorders>
          </w:tcPr>
          <w:p w14:paraId="34E43E42"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14.51</w:t>
            </w:r>
          </w:p>
        </w:tc>
      </w:tr>
      <w:tr w:rsidR="00D811BF" w:rsidRPr="00434156" w14:paraId="362CA034" w14:textId="77777777" w:rsidTr="00D16E5C">
        <w:trPr>
          <w:trHeight w:val="526"/>
        </w:trPr>
        <w:tc>
          <w:tcPr>
            <w:tcW w:w="2465" w:type="dxa"/>
            <w:tcBorders>
              <w:top w:val="nil"/>
              <w:left w:val="nil"/>
              <w:right w:val="nil"/>
            </w:tcBorders>
          </w:tcPr>
          <w:p w14:paraId="1BB9EEA5"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BIC</w:t>
            </w:r>
          </w:p>
        </w:tc>
        <w:tc>
          <w:tcPr>
            <w:tcW w:w="2018" w:type="dxa"/>
            <w:tcBorders>
              <w:top w:val="nil"/>
              <w:left w:val="nil"/>
              <w:right w:val="nil"/>
            </w:tcBorders>
          </w:tcPr>
          <w:p w14:paraId="4704FBEB"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14.41</w:t>
            </w:r>
          </w:p>
        </w:tc>
        <w:tc>
          <w:tcPr>
            <w:tcW w:w="1806" w:type="dxa"/>
            <w:gridSpan w:val="2"/>
            <w:tcBorders>
              <w:top w:val="nil"/>
              <w:left w:val="nil"/>
              <w:right w:val="nil"/>
            </w:tcBorders>
          </w:tcPr>
          <w:p w14:paraId="25414741"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14.50</w:t>
            </w:r>
          </w:p>
        </w:tc>
        <w:tc>
          <w:tcPr>
            <w:tcW w:w="1699" w:type="dxa"/>
            <w:tcBorders>
              <w:top w:val="nil"/>
              <w:left w:val="nil"/>
              <w:right w:val="nil"/>
            </w:tcBorders>
          </w:tcPr>
          <w:p w14:paraId="54575D22"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14.40</w:t>
            </w:r>
          </w:p>
        </w:tc>
        <w:tc>
          <w:tcPr>
            <w:tcW w:w="1699" w:type="dxa"/>
            <w:gridSpan w:val="2"/>
            <w:tcBorders>
              <w:top w:val="nil"/>
              <w:left w:val="nil"/>
              <w:right w:val="nil"/>
            </w:tcBorders>
          </w:tcPr>
          <w:p w14:paraId="369CB6FF"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14.44</w:t>
            </w:r>
          </w:p>
        </w:tc>
        <w:tc>
          <w:tcPr>
            <w:tcW w:w="1806" w:type="dxa"/>
            <w:tcBorders>
              <w:top w:val="nil"/>
              <w:left w:val="nil"/>
              <w:right w:val="nil"/>
            </w:tcBorders>
          </w:tcPr>
          <w:p w14:paraId="35251FB7"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14.41</w:t>
            </w:r>
          </w:p>
        </w:tc>
        <w:tc>
          <w:tcPr>
            <w:tcW w:w="1806" w:type="dxa"/>
            <w:gridSpan w:val="2"/>
            <w:tcBorders>
              <w:top w:val="nil"/>
              <w:left w:val="nil"/>
              <w:right w:val="nil"/>
            </w:tcBorders>
          </w:tcPr>
          <w:p w14:paraId="6C3E8978"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14.57</w:t>
            </w:r>
          </w:p>
        </w:tc>
      </w:tr>
    </w:tbl>
    <w:p w14:paraId="690ABC09" w14:textId="77777777" w:rsidR="00D811BF" w:rsidRPr="00434156" w:rsidRDefault="00D811BF" w:rsidP="00D811BF">
      <w:pPr>
        <w:autoSpaceDE w:val="0"/>
        <w:autoSpaceDN w:val="0"/>
        <w:adjustRightInd w:val="0"/>
        <w:spacing w:after="0" w:line="240" w:lineRule="auto"/>
        <w:jc w:val="both"/>
        <w:rPr>
          <w:rFonts w:ascii="Gill Sans MT" w:hAnsi="Gill Sans MT" w:cs="Times New Roman"/>
          <w:sz w:val="24"/>
          <w:szCs w:val="24"/>
        </w:rPr>
      </w:pPr>
    </w:p>
    <w:p w14:paraId="5BDC9A9B" w14:textId="77777777" w:rsidR="00D811BF" w:rsidRPr="00434156" w:rsidRDefault="00D811BF" w:rsidP="00D811BF">
      <w:pPr>
        <w:autoSpaceDE w:val="0"/>
        <w:autoSpaceDN w:val="0"/>
        <w:adjustRightInd w:val="0"/>
        <w:spacing w:after="0"/>
        <w:jc w:val="both"/>
        <w:rPr>
          <w:rFonts w:ascii="Gill Sans MT" w:hAnsi="Gill Sans MT" w:cs="Times New Roman"/>
          <w:sz w:val="24"/>
          <w:szCs w:val="24"/>
        </w:rPr>
      </w:pPr>
      <w:r w:rsidRPr="00434156">
        <w:rPr>
          <w:rFonts w:ascii="Gill Sans MT" w:hAnsi="Gill Sans MT" w:cs="Times New Roman"/>
          <w:sz w:val="24"/>
          <w:szCs w:val="24"/>
        </w:rPr>
        <w:lastRenderedPageBreak/>
        <w:t xml:space="preserve">Notes: ***, ** and * indicate statistical significance at 1%, 5% and 10% levels, respectively. For GARCH (1,1) process, the persistence of volatility is measured as </w:t>
      </w:r>
      <m:oMath>
        <m:r>
          <w:rPr>
            <w:rFonts w:ascii="Cambria Math" w:hAnsi="Cambria Math" w:cs="Times New Roman"/>
            <w:sz w:val="24"/>
            <w:szCs w:val="24"/>
          </w:rPr>
          <m:t>α+β</m:t>
        </m:r>
      </m:oMath>
      <w:r w:rsidRPr="00434156">
        <w:rPr>
          <w:rFonts w:ascii="Gill Sans MT" w:hAnsi="Gill Sans MT" w:cs="Times New Roman"/>
          <w:sz w:val="24"/>
          <w:szCs w:val="24"/>
        </w:rPr>
        <w:t xml:space="preserve">. For GJR-GARCH approach, the persistence of volatility amounts to </w:t>
      </w:r>
      <m:oMath>
        <m:r>
          <w:rPr>
            <w:rFonts w:ascii="Cambria Math" w:hAnsi="Cambria Math" w:cs="Times New Roman"/>
            <w:sz w:val="24"/>
            <w:szCs w:val="24"/>
          </w:rPr>
          <m:t>α+β+</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eastAsiaTheme="minorEastAsia" w:hAnsi="Cambria Math" w:cs="Times New Roman"/>
            <w:sz w:val="24"/>
            <w:szCs w:val="24"/>
          </w:rPr>
          <m:t>γ</m:t>
        </m:r>
      </m:oMath>
      <w:r w:rsidRPr="00434156">
        <w:rPr>
          <w:rFonts w:ascii="Gill Sans MT" w:hAnsi="Gill Sans MT" w:cs="Times New Roman"/>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oMath>
      <w:r w:rsidRPr="00434156">
        <w:rPr>
          <w:rFonts w:ascii="Gill Sans MT" w:eastAsiaTheme="minorEastAsia" w:hAnsi="Gill Sans MT"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oMath>
      <w:r w:rsidRPr="00434156">
        <w:rPr>
          <w:rFonts w:ascii="Gill Sans MT" w:eastAsiaTheme="minorEastAsia" w:hAnsi="Gill Sans MT" w:cs="Times New Roman"/>
          <w:sz w:val="24"/>
          <w:szCs w:val="24"/>
        </w:rPr>
        <w:t xml:space="preserve"> measure the effects of structural breaks, while </w:t>
      </w:r>
      <m:oMath>
        <m:r>
          <w:rPr>
            <w:rFonts w:ascii="Cambria Math" w:eastAsia="Calibri" w:hAnsi="Cambria Math" w:cs="Times New Roman"/>
            <w:sz w:val="24"/>
            <w:szCs w:val="24"/>
          </w:rPr>
          <m:t>δ</m:t>
        </m:r>
      </m:oMath>
      <w:r w:rsidRPr="00434156">
        <w:rPr>
          <w:rFonts w:ascii="Gill Sans MT" w:eastAsiaTheme="minorEastAsia" w:hAnsi="Gill Sans MT" w:cs="Times New Roman"/>
          <w:sz w:val="24"/>
          <w:szCs w:val="24"/>
        </w:rPr>
        <w:t xml:space="preserve"> measures the BREXIT impact. </w:t>
      </w:r>
    </w:p>
    <w:p w14:paraId="39241762" w14:textId="77777777" w:rsidR="00D811BF" w:rsidRPr="00434156" w:rsidRDefault="00D811BF" w:rsidP="00D811BF">
      <w:pPr>
        <w:autoSpaceDE w:val="0"/>
        <w:autoSpaceDN w:val="0"/>
        <w:adjustRightInd w:val="0"/>
        <w:spacing w:after="0" w:line="480" w:lineRule="auto"/>
        <w:jc w:val="both"/>
        <w:rPr>
          <w:rFonts w:ascii="Gill Sans MT" w:hAnsi="Gill Sans MT" w:cs="Times New Roman"/>
          <w:sz w:val="24"/>
          <w:szCs w:val="24"/>
        </w:rPr>
      </w:pPr>
    </w:p>
    <w:p w14:paraId="38A1D3BB" w14:textId="77777777" w:rsidR="00D811BF" w:rsidRPr="00434156" w:rsidRDefault="00D811BF" w:rsidP="00D811BF">
      <w:pPr>
        <w:autoSpaceDE w:val="0"/>
        <w:autoSpaceDN w:val="0"/>
        <w:adjustRightInd w:val="0"/>
        <w:spacing w:after="0" w:line="240" w:lineRule="auto"/>
        <w:jc w:val="both"/>
        <w:rPr>
          <w:rFonts w:ascii="Gill Sans MT" w:hAnsi="Gill Sans MT" w:cs="Times New Roman"/>
          <w:sz w:val="24"/>
          <w:szCs w:val="24"/>
        </w:rPr>
      </w:pPr>
    </w:p>
    <w:p w14:paraId="33449190" w14:textId="77777777" w:rsidR="00D811BF" w:rsidRPr="00434156" w:rsidRDefault="00D811BF" w:rsidP="00D811BF">
      <w:pPr>
        <w:autoSpaceDE w:val="0"/>
        <w:autoSpaceDN w:val="0"/>
        <w:adjustRightInd w:val="0"/>
        <w:spacing w:after="0" w:line="240" w:lineRule="auto"/>
        <w:jc w:val="center"/>
        <w:rPr>
          <w:rFonts w:ascii="Gill Sans MT" w:hAnsi="Gill Sans MT" w:cs="Times New Roman"/>
          <w:b/>
          <w:sz w:val="24"/>
          <w:szCs w:val="24"/>
        </w:rPr>
      </w:pPr>
      <w:r w:rsidRPr="00434156">
        <w:rPr>
          <w:rFonts w:ascii="Gill Sans MT" w:hAnsi="Gill Sans MT" w:cs="Times New Roman"/>
          <w:b/>
          <w:sz w:val="24"/>
          <w:szCs w:val="24"/>
        </w:rPr>
        <w:t>Table 2: (M)GARCH (DCC) estimates from seasonal adjusted and Hamilton-filtered trend extracted data (selected models)</w:t>
      </w:r>
    </w:p>
    <w:p w14:paraId="689118FA" w14:textId="77777777" w:rsidR="00D811BF" w:rsidRPr="00434156" w:rsidRDefault="00D811BF" w:rsidP="00D811BF">
      <w:pPr>
        <w:autoSpaceDE w:val="0"/>
        <w:autoSpaceDN w:val="0"/>
        <w:adjustRightInd w:val="0"/>
        <w:spacing w:after="0" w:line="240" w:lineRule="auto"/>
        <w:jc w:val="both"/>
        <w:rPr>
          <w:rFonts w:ascii="Gill Sans MT" w:hAnsi="Gill Sans MT" w:cs="Times New Roman"/>
          <w:b/>
          <w:sz w:val="24"/>
          <w:szCs w:val="24"/>
        </w:rPr>
      </w:pPr>
    </w:p>
    <w:tbl>
      <w:tblPr>
        <w:tblStyle w:val="TableGrid"/>
        <w:tblW w:w="13299" w:type="dxa"/>
        <w:tblLook w:val="04A0" w:firstRow="1" w:lastRow="0" w:firstColumn="1" w:lastColumn="0" w:noHBand="0" w:noVBand="1"/>
      </w:tblPr>
      <w:tblGrid>
        <w:gridCol w:w="2465"/>
        <w:gridCol w:w="2018"/>
        <w:gridCol w:w="1565"/>
        <w:gridCol w:w="241"/>
        <w:gridCol w:w="1699"/>
        <w:gridCol w:w="1463"/>
        <w:gridCol w:w="236"/>
        <w:gridCol w:w="1806"/>
        <w:gridCol w:w="1570"/>
        <w:gridCol w:w="236"/>
      </w:tblGrid>
      <w:tr w:rsidR="00D811BF" w:rsidRPr="00434156" w14:paraId="073EB7D2" w14:textId="77777777" w:rsidTr="00D16E5C">
        <w:trPr>
          <w:trHeight w:val="526"/>
        </w:trPr>
        <w:tc>
          <w:tcPr>
            <w:tcW w:w="2465" w:type="dxa"/>
            <w:tcBorders>
              <w:left w:val="nil"/>
              <w:right w:val="nil"/>
            </w:tcBorders>
          </w:tcPr>
          <w:p w14:paraId="21781C98"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Parameters/Models</w:t>
            </w:r>
          </w:p>
        </w:tc>
        <w:tc>
          <w:tcPr>
            <w:tcW w:w="3583" w:type="dxa"/>
            <w:gridSpan w:val="2"/>
            <w:tcBorders>
              <w:left w:val="nil"/>
              <w:right w:val="nil"/>
            </w:tcBorders>
          </w:tcPr>
          <w:p w14:paraId="17EDAAAB"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Baseline GARCH</w:t>
            </w:r>
          </w:p>
        </w:tc>
        <w:tc>
          <w:tcPr>
            <w:tcW w:w="241" w:type="dxa"/>
            <w:tcBorders>
              <w:left w:val="nil"/>
              <w:right w:val="nil"/>
            </w:tcBorders>
          </w:tcPr>
          <w:p w14:paraId="13B9257C"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3162" w:type="dxa"/>
            <w:gridSpan w:val="2"/>
            <w:tcBorders>
              <w:left w:val="nil"/>
              <w:right w:val="nil"/>
            </w:tcBorders>
          </w:tcPr>
          <w:p w14:paraId="40DFC4D6"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 xml:space="preserve">GARCH with BREXIT-Uncertainty </w:t>
            </w:r>
          </w:p>
        </w:tc>
        <w:tc>
          <w:tcPr>
            <w:tcW w:w="236" w:type="dxa"/>
            <w:tcBorders>
              <w:left w:val="nil"/>
              <w:right w:val="nil"/>
            </w:tcBorders>
          </w:tcPr>
          <w:p w14:paraId="638F27D2"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3376" w:type="dxa"/>
            <w:gridSpan w:val="2"/>
            <w:tcBorders>
              <w:left w:val="nil"/>
              <w:right w:val="nil"/>
            </w:tcBorders>
          </w:tcPr>
          <w:p w14:paraId="05F79A94"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MGARCH-DCC</w:t>
            </w:r>
          </w:p>
        </w:tc>
        <w:tc>
          <w:tcPr>
            <w:tcW w:w="236" w:type="dxa"/>
            <w:tcBorders>
              <w:left w:val="nil"/>
              <w:right w:val="nil"/>
            </w:tcBorders>
          </w:tcPr>
          <w:p w14:paraId="06F1D9D7" w14:textId="77777777" w:rsidR="00D811BF" w:rsidRPr="00434156" w:rsidRDefault="00D811BF" w:rsidP="00D16E5C">
            <w:pPr>
              <w:autoSpaceDE w:val="0"/>
              <w:autoSpaceDN w:val="0"/>
              <w:adjustRightInd w:val="0"/>
              <w:jc w:val="both"/>
              <w:rPr>
                <w:rFonts w:ascii="Gill Sans MT" w:hAnsi="Gill Sans MT" w:cs="Times New Roman"/>
                <w:sz w:val="24"/>
                <w:szCs w:val="24"/>
              </w:rPr>
            </w:pPr>
          </w:p>
        </w:tc>
      </w:tr>
      <w:tr w:rsidR="00D811BF" w:rsidRPr="00434156" w14:paraId="4B5793C9" w14:textId="77777777" w:rsidTr="00D16E5C">
        <w:trPr>
          <w:trHeight w:val="526"/>
        </w:trPr>
        <w:tc>
          <w:tcPr>
            <w:tcW w:w="2465" w:type="dxa"/>
            <w:tcBorders>
              <w:left w:val="nil"/>
              <w:right w:val="nil"/>
            </w:tcBorders>
          </w:tcPr>
          <w:p w14:paraId="0C1E94EF"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2018" w:type="dxa"/>
            <w:tcBorders>
              <w:left w:val="nil"/>
              <w:right w:val="nil"/>
            </w:tcBorders>
          </w:tcPr>
          <w:p w14:paraId="0C445DA8"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GARCH</w:t>
            </w:r>
          </w:p>
        </w:tc>
        <w:tc>
          <w:tcPr>
            <w:tcW w:w="1806" w:type="dxa"/>
            <w:gridSpan w:val="2"/>
            <w:tcBorders>
              <w:left w:val="nil"/>
              <w:right w:val="nil"/>
            </w:tcBorders>
          </w:tcPr>
          <w:p w14:paraId="35C9BECA"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GJR-GARCH</w:t>
            </w:r>
          </w:p>
        </w:tc>
        <w:tc>
          <w:tcPr>
            <w:tcW w:w="1699" w:type="dxa"/>
            <w:tcBorders>
              <w:left w:val="nil"/>
              <w:right w:val="nil"/>
            </w:tcBorders>
          </w:tcPr>
          <w:p w14:paraId="17A90D2C"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GARCH</w:t>
            </w:r>
          </w:p>
        </w:tc>
        <w:tc>
          <w:tcPr>
            <w:tcW w:w="1699" w:type="dxa"/>
            <w:gridSpan w:val="2"/>
            <w:tcBorders>
              <w:left w:val="nil"/>
              <w:right w:val="nil"/>
            </w:tcBorders>
          </w:tcPr>
          <w:p w14:paraId="4B6B16E4"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GJR-GARCH</w:t>
            </w:r>
          </w:p>
        </w:tc>
        <w:tc>
          <w:tcPr>
            <w:tcW w:w="1806" w:type="dxa"/>
            <w:tcBorders>
              <w:left w:val="nil"/>
              <w:right w:val="nil"/>
            </w:tcBorders>
          </w:tcPr>
          <w:p w14:paraId="665A14B9"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806" w:type="dxa"/>
            <w:gridSpan w:val="2"/>
            <w:tcBorders>
              <w:left w:val="nil"/>
              <w:right w:val="nil"/>
            </w:tcBorders>
          </w:tcPr>
          <w:p w14:paraId="28D9ECA1" w14:textId="77777777" w:rsidR="00D811BF" w:rsidRPr="00434156" w:rsidRDefault="00D811BF" w:rsidP="00D16E5C">
            <w:pPr>
              <w:autoSpaceDE w:val="0"/>
              <w:autoSpaceDN w:val="0"/>
              <w:adjustRightInd w:val="0"/>
              <w:jc w:val="both"/>
              <w:rPr>
                <w:rFonts w:ascii="Gill Sans MT" w:hAnsi="Gill Sans MT" w:cs="Times New Roman"/>
                <w:sz w:val="24"/>
                <w:szCs w:val="24"/>
              </w:rPr>
            </w:pPr>
          </w:p>
        </w:tc>
      </w:tr>
      <w:tr w:rsidR="00D811BF" w:rsidRPr="00434156" w14:paraId="01F57E75" w14:textId="77777777" w:rsidTr="00D16E5C">
        <w:trPr>
          <w:trHeight w:val="457"/>
        </w:trPr>
        <w:tc>
          <w:tcPr>
            <w:tcW w:w="2465" w:type="dxa"/>
            <w:tcBorders>
              <w:left w:val="nil"/>
              <w:bottom w:val="nil"/>
              <w:right w:val="nil"/>
            </w:tcBorders>
          </w:tcPr>
          <w:p w14:paraId="79CD61CE" w14:textId="77777777" w:rsidR="00D811BF" w:rsidRPr="00434156" w:rsidRDefault="00D811BF" w:rsidP="00D16E5C">
            <w:pPr>
              <w:autoSpaceDE w:val="0"/>
              <w:autoSpaceDN w:val="0"/>
              <w:adjustRightInd w:val="0"/>
              <w:jc w:val="both"/>
              <w:rPr>
                <w:rFonts w:ascii="Gill Sans MT" w:hAnsi="Gill Sans MT" w:cs="Times New Roman"/>
                <w:sz w:val="24"/>
                <w:szCs w:val="24"/>
              </w:rPr>
            </w:pPr>
            <m:oMathPara>
              <m:oMathParaPr>
                <m:jc m:val="left"/>
              </m:oMathParaPr>
              <m:oMath>
                <m:r>
                  <w:rPr>
                    <w:rFonts w:ascii="Cambria Math" w:hAnsi="Cambria Math" w:cs="Times New Roman"/>
                    <w:sz w:val="24"/>
                    <w:szCs w:val="24"/>
                  </w:rPr>
                  <m:t>ω</m:t>
                </m:r>
              </m:oMath>
            </m:oMathPara>
          </w:p>
        </w:tc>
        <w:tc>
          <w:tcPr>
            <w:tcW w:w="2018" w:type="dxa"/>
            <w:tcBorders>
              <w:left w:val="nil"/>
              <w:bottom w:val="nil"/>
              <w:right w:val="nil"/>
            </w:tcBorders>
          </w:tcPr>
          <w:p w14:paraId="572E093B"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86.659***</w:t>
            </w:r>
          </w:p>
        </w:tc>
        <w:tc>
          <w:tcPr>
            <w:tcW w:w="1806" w:type="dxa"/>
            <w:gridSpan w:val="2"/>
            <w:tcBorders>
              <w:left w:val="nil"/>
              <w:bottom w:val="nil"/>
              <w:right w:val="nil"/>
            </w:tcBorders>
          </w:tcPr>
          <w:p w14:paraId="1C24FDC5"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6891.279***</w:t>
            </w:r>
          </w:p>
        </w:tc>
        <w:tc>
          <w:tcPr>
            <w:tcW w:w="1699" w:type="dxa"/>
            <w:tcBorders>
              <w:left w:val="nil"/>
              <w:bottom w:val="nil"/>
              <w:right w:val="nil"/>
            </w:tcBorders>
          </w:tcPr>
          <w:p w14:paraId="5228202B"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5716.52***</w:t>
            </w:r>
          </w:p>
        </w:tc>
        <w:tc>
          <w:tcPr>
            <w:tcW w:w="1699" w:type="dxa"/>
            <w:gridSpan w:val="2"/>
            <w:tcBorders>
              <w:left w:val="nil"/>
              <w:bottom w:val="nil"/>
              <w:right w:val="nil"/>
            </w:tcBorders>
          </w:tcPr>
          <w:p w14:paraId="6866F4E6"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85500.38**</w:t>
            </w:r>
          </w:p>
        </w:tc>
        <w:tc>
          <w:tcPr>
            <w:tcW w:w="1806" w:type="dxa"/>
            <w:tcBorders>
              <w:left w:val="nil"/>
              <w:bottom w:val="nil"/>
              <w:right w:val="nil"/>
            </w:tcBorders>
          </w:tcPr>
          <w:p w14:paraId="50CE0F3E"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- 6721.762**</w:t>
            </w:r>
          </w:p>
        </w:tc>
        <w:tc>
          <w:tcPr>
            <w:tcW w:w="1806" w:type="dxa"/>
            <w:gridSpan w:val="2"/>
            <w:tcBorders>
              <w:left w:val="nil"/>
              <w:bottom w:val="nil"/>
              <w:right w:val="nil"/>
            </w:tcBorders>
          </w:tcPr>
          <w:p w14:paraId="0C2BA8C0" w14:textId="77777777" w:rsidR="00D811BF" w:rsidRPr="00434156" w:rsidRDefault="00D811BF" w:rsidP="00D16E5C">
            <w:pPr>
              <w:autoSpaceDE w:val="0"/>
              <w:autoSpaceDN w:val="0"/>
              <w:adjustRightInd w:val="0"/>
              <w:jc w:val="both"/>
              <w:rPr>
                <w:rFonts w:ascii="Gill Sans MT" w:hAnsi="Gill Sans MT" w:cs="Times New Roman"/>
                <w:sz w:val="24"/>
                <w:szCs w:val="24"/>
              </w:rPr>
            </w:pPr>
          </w:p>
        </w:tc>
      </w:tr>
      <w:tr w:rsidR="00D811BF" w:rsidRPr="00434156" w14:paraId="12254FDD" w14:textId="77777777" w:rsidTr="00D16E5C">
        <w:trPr>
          <w:trHeight w:val="558"/>
        </w:trPr>
        <w:tc>
          <w:tcPr>
            <w:tcW w:w="2465" w:type="dxa"/>
            <w:tcBorders>
              <w:top w:val="nil"/>
              <w:left w:val="nil"/>
              <w:bottom w:val="nil"/>
              <w:right w:val="nil"/>
            </w:tcBorders>
          </w:tcPr>
          <w:p w14:paraId="42010487" w14:textId="77777777" w:rsidR="00D811BF" w:rsidRPr="00434156" w:rsidRDefault="00D811BF" w:rsidP="00D16E5C">
            <w:pPr>
              <w:autoSpaceDE w:val="0"/>
              <w:autoSpaceDN w:val="0"/>
              <w:adjustRightInd w:val="0"/>
              <w:jc w:val="both"/>
              <w:rPr>
                <w:rFonts w:ascii="Gill Sans MT" w:hAnsi="Gill Sans MT" w:cs="Times New Roman"/>
                <w:sz w:val="24"/>
                <w:szCs w:val="24"/>
              </w:rPr>
            </w:pPr>
            <m:oMathPara>
              <m:oMathParaPr>
                <m:jc m:val="left"/>
              </m:oMathParaPr>
              <m:oMath>
                <m:r>
                  <w:rPr>
                    <w:rFonts w:ascii="Cambria Math" w:hAnsi="Cambria Math" w:cs="Times New Roman"/>
                    <w:sz w:val="24"/>
                    <w:szCs w:val="24"/>
                  </w:rPr>
                  <m:t>α</m:t>
                </m:r>
              </m:oMath>
            </m:oMathPara>
          </w:p>
        </w:tc>
        <w:tc>
          <w:tcPr>
            <w:tcW w:w="2018" w:type="dxa"/>
            <w:tcBorders>
              <w:top w:val="nil"/>
              <w:left w:val="nil"/>
              <w:bottom w:val="nil"/>
              <w:right w:val="nil"/>
            </w:tcBorders>
          </w:tcPr>
          <w:p w14:paraId="3C178776"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0.035*</w:t>
            </w:r>
          </w:p>
        </w:tc>
        <w:tc>
          <w:tcPr>
            <w:tcW w:w="1806" w:type="dxa"/>
            <w:gridSpan w:val="2"/>
            <w:tcBorders>
              <w:top w:val="nil"/>
              <w:left w:val="nil"/>
              <w:bottom w:val="nil"/>
              <w:right w:val="nil"/>
            </w:tcBorders>
          </w:tcPr>
          <w:p w14:paraId="6DB4913B"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0.671***</w:t>
            </w:r>
          </w:p>
        </w:tc>
        <w:tc>
          <w:tcPr>
            <w:tcW w:w="1699" w:type="dxa"/>
            <w:tcBorders>
              <w:top w:val="nil"/>
              <w:left w:val="nil"/>
              <w:bottom w:val="nil"/>
              <w:right w:val="nil"/>
            </w:tcBorders>
          </w:tcPr>
          <w:p w14:paraId="43347CB2"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 xml:space="preserve"> 0.713**</w:t>
            </w:r>
          </w:p>
        </w:tc>
        <w:tc>
          <w:tcPr>
            <w:tcW w:w="1699" w:type="dxa"/>
            <w:gridSpan w:val="2"/>
            <w:tcBorders>
              <w:top w:val="nil"/>
              <w:left w:val="nil"/>
              <w:bottom w:val="nil"/>
              <w:right w:val="nil"/>
            </w:tcBorders>
          </w:tcPr>
          <w:p w14:paraId="4FA080AB"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0.693*</w:t>
            </w:r>
          </w:p>
        </w:tc>
        <w:tc>
          <w:tcPr>
            <w:tcW w:w="1806" w:type="dxa"/>
            <w:tcBorders>
              <w:top w:val="nil"/>
              <w:left w:val="nil"/>
              <w:bottom w:val="nil"/>
              <w:right w:val="nil"/>
            </w:tcBorders>
          </w:tcPr>
          <w:p w14:paraId="5B750F50"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0.483***</w:t>
            </w:r>
          </w:p>
        </w:tc>
        <w:tc>
          <w:tcPr>
            <w:tcW w:w="1806" w:type="dxa"/>
            <w:gridSpan w:val="2"/>
            <w:tcBorders>
              <w:top w:val="nil"/>
              <w:left w:val="nil"/>
              <w:bottom w:val="nil"/>
              <w:right w:val="nil"/>
            </w:tcBorders>
          </w:tcPr>
          <w:p w14:paraId="34D95F2F" w14:textId="77777777" w:rsidR="00D811BF" w:rsidRPr="00434156" w:rsidRDefault="00D811BF" w:rsidP="00D16E5C">
            <w:pPr>
              <w:autoSpaceDE w:val="0"/>
              <w:autoSpaceDN w:val="0"/>
              <w:adjustRightInd w:val="0"/>
              <w:jc w:val="both"/>
              <w:rPr>
                <w:rFonts w:ascii="Gill Sans MT" w:hAnsi="Gill Sans MT" w:cs="Times New Roman"/>
                <w:sz w:val="24"/>
                <w:szCs w:val="24"/>
              </w:rPr>
            </w:pPr>
          </w:p>
        </w:tc>
      </w:tr>
      <w:tr w:rsidR="00D811BF" w:rsidRPr="00434156" w14:paraId="511C698F" w14:textId="77777777" w:rsidTr="00D16E5C">
        <w:trPr>
          <w:trHeight w:val="526"/>
        </w:trPr>
        <w:tc>
          <w:tcPr>
            <w:tcW w:w="2465" w:type="dxa"/>
            <w:tcBorders>
              <w:top w:val="nil"/>
              <w:left w:val="nil"/>
              <w:bottom w:val="nil"/>
              <w:right w:val="nil"/>
            </w:tcBorders>
          </w:tcPr>
          <w:p w14:paraId="3C759732" w14:textId="77777777" w:rsidR="00D811BF" w:rsidRPr="00434156" w:rsidRDefault="00D811BF" w:rsidP="00D16E5C">
            <w:pPr>
              <w:autoSpaceDE w:val="0"/>
              <w:autoSpaceDN w:val="0"/>
              <w:adjustRightInd w:val="0"/>
              <w:jc w:val="both"/>
              <w:rPr>
                <w:rFonts w:ascii="Gill Sans MT" w:hAnsi="Gill Sans MT" w:cs="Times New Roman"/>
                <w:sz w:val="24"/>
                <w:szCs w:val="24"/>
              </w:rPr>
            </w:pPr>
            <m:oMathPara>
              <m:oMathParaPr>
                <m:jc m:val="left"/>
              </m:oMathParaPr>
              <m:oMath>
                <m:r>
                  <w:rPr>
                    <w:rFonts w:ascii="Cambria Math" w:hAnsi="Cambria Math" w:cs="Times New Roman"/>
                    <w:sz w:val="24"/>
                    <w:szCs w:val="24"/>
                  </w:rPr>
                  <m:t>β</m:t>
                </m:r>
              </m:oMath>
            </m:oMathPara>
          </w:p>
        </w:tc>
        <w:tc>
          <w:tcPr>
            <w:tcW w:w="2018" w:type="dxa"/>
            <w:tcBorders>
              <w:top w:val="nil"/>
              <w:left w:val="nil"/>
              <w:bottom w:val="nil"/>
              <w:right w:val="nil"/>
            </w:tcBorders>
          </w:tcPr>
          <w:p w14:paraId="06361EB4"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0.953***</w:t>
            </w:r>
          </w:p>
        </w:tc>
        <w:tc>
          <w:tcPr>
            <w:tcW w:w="1806" w:type="dxa"/>
            <w:gridSpan w:val="2"/>
            <w:tcBorders>
              <w:top w:val="nil"/>
              <w:left w:val="nil"/>
              <w:bottom w:val="nil"/>
              <w:right w:val="nil"/>
            </w:tcBorders>
          </w:tcPr>
          <w:p w14:paraId="65448215"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0.317***</w:t>
            </w:r>
          </w:p>
        </w:tc>
        <w:tc>
          <w:tcPr>
            <w:tcW w:w="1699" w:type="dxa"/>
            <w:tcBorders>
              <w:top w:val="nil"/>
              <w:left w:val="nil"/>
              <w:bottom w:val="nil"/>
              <w:right w:val="nil"/>
            </w:tcBorders>
          </w:tcPr>
          <w:p w14:paraId="103F3D4B"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 xml:space="preserve"> 0.170*</w:t>
            </w:r>
          </w:p>
        </w:tc>
        <w:tc>
          <w:tcPr>
            <w:tcW w:w="1699" w:type="dxa"/>
            <w:gridSpan w:val="2"/>
            <w:tcBorders>
              <w:top w:val="nil"/>
              <w:left w:val="nil"/>
              <w:bottom w:val="nil"/>
              <w:right w:val="nil"/>
            </w:tcBorders>
          </w:tcPr>
          <w:p w14:paraId="651F1BAB"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0.180**</w:t>
            </w:r>
          </w:p>
        </w:tc>
        <w:tc>
          <w:tcPr>
            <w:tcW w:w="1806" w:type="dxa"/>
            <w:tcBorders>
              <w:top w:val="nil"/>
              <w:left w:val="nil"/>
              <w:bottom w:val="nil"/>
              <w:right w:val="nil"/>
            </w:tcBorders>
          </w:tcPr>
          <w:p w14:paraId="75755C83"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0.504***</w:t>
            </w:r>
          </w:p>
        </w:tc>
        <w:tc>
          <w:tcPr>
            <w:tcW w:w="1806" w:type="dxa"/>
            <w:gridSpan w:val="2"/>
            <w:tcBorders>
              <w:top w:val="nil"/>
              <w:left w:val="nil"/>
              <w:bottom w:val="nil"/>
              <w:right w:val="nil"/>
            </w:tcBorders>
          </w:tcPr>
          <w:p w14:paraId="326B1549" w14:textId="77777777" w:rsidR="00D811BF" w:rsidRPr="00434156" w:rsidRDefault="00D811BF" w:rsidP="00D16E5C">
            <w:pPr>
              <w:autoSpaceDE w:val="0"/>
              <w:autoSpaceDN w:val="0"/>
              <w:adjustRightInd w:val="0"/>
              <w:jc w:val="both"/>
              <w:rPr>
                <w:rFonts w:ascii="Gill Sans MT" w:hAnsi="Gill Sans MT" w:cs="Times New Roman"/>
                <w:sz w:val="24"/>
                <w:szCs w:val="24"/>
              </w:rPr>
            </w:pPr>
          </w:p>
        </w:tc>
      </w:tr>
      <w:tr w:rsidR="00D811BF" w:rsidRPr="00434156" w14:paraId="19C65E23" w14:textId="77777777" w:rsidTr="00D16E5C">
        <w:trPr>
          <w:trHeight w:val="558"/>
        </w:trPr>
        <w:tc>
          <w:tcPr>
            <w:tcW w:w="2465" w:type="dxa"/>
            <w:tcBorders>
              <w:top w:val="nil"/>
              <w:left w:val="nil"/>
              <w:bottom w:val="nil"/>
              <w:right w:val="nil"/>
            </w:tcBorders>
          </w:tcPr>
          <w:p w14:paraId="4A0A7D32" w14:textId="77777777" w:rsidR="00D811BF" w:rsidRPr="00434156" w:rsidRDefault="00D811BF" w:rsidP="00D16E5C">
            <w:pPr>
              <w:autoSpaceDE w:val="0"/>
              <w:autoSpaceDN w:val="0"/>
              <w:adjustRightInd w:val="0"/>
              <w:jc w:val="both"/>
              <w:rPr>
                <w:rFonts w:ascii="Gill Sans MT" w:hAnsi="Gill Sans MT" w:cs="Times New Roman"/>
                <w:sz w:val="24"/>
                <w:szCs w:val="24"/>
              </w:rPr>
            </w:pPr>
            <m:oMathPara>
              <m:oMathParaPr>
                <m:jc m:val="left"/>
              </m:oMathParaPr>
              <m:oMath>
                <m:r>
                  <w:rPr>
                    <w:rFonts w:ascii="Cambria Math" w:hAnsi="Cambria Math" w:cs="Times New Roman"/>
                    <w:sz w:val="24"/>
                    <w:szCs w:val="24"/>
                  </w:rPr>
                  <m:t>γ</m:t>
                </m:r>
              </m:oMath>
            </m:oMathPara>
          </w:p>
        </w:tc>
        <w:tc>
          <w:tcPr>
            <w:tcW w:w="2018" w:type="dxa"/>
            <w:tcBorders>
              <w:top w:val="nil"/>
              <w:left w:val="nil"/>
              <w:bottom w:val="nil"/>
              <w:right w:val="nil"/>
            </w:tcBorders>
          </w:tcPr>
          <w:p w14:paraId="0F71D6BC"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806" w:type="dxa"/>
            <w:gridSpan w:val="2"/>
            <w:tcBorders>
              <w:top w:val="nil"/>
              <w:left w:val="nil"/>
              <w:bottom w:val="nil"/>
              <w:right w:val="nil"/>
            </w:tcBorders>
          </w:tcPr>
          <w:p w14:paraId="1D47AF88"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-0.048***</w:t>
            </w:r>
          </w:p>
        </w:tc>
        <w:tc>
          <w:tcPr>
            <w:tcW w:w="1699" w:type="dxa"/>
            <w:tcBorders>
              <w:top w:val="nil"/>
              <w:left w:val="nil"/>
              <w:bottom w:val="nil"/>
              <w:right w:val="nil"/>
            </w:tcBorders>
          </w:tcPr>
          <w:p w14:paraId="6225C7F3"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699" w:type="dxa"/>
            <w:gridSpan w:val="2"/>
            <w:tcBorders>
              <w:top w:val="nil"/>
              <w:left w:val="nil"/>
              <w:bottom w:val="nil"/>
              <w:right w:val="nil"/>
            </w:tcBorders>
          </w:tcPr>
          <w:p w14:paraId="5E74A36C"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-0.023***</w:t>
            </w:r>
          </w:p>
        </w:tc>
        <w:tc>
          <w:tcPr>
            <w:tcW w:w="1806" w:type="dxa"/>
            <w:tcBorders>
              <w:top w:val="nil"/>
              <w:left w:val="nil"/>
              <w:bottom w:val="nil"/>
              <w:right w:val="nil"/>
            </w:tcBorders>
          </w:tcPr>
          <w:p w14:paraId="3BAE4086"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806" w:type="dxa"/>
            <w:gridSpan w:val="2"/>
            <w:tcBorders>
              <w:top w:val="nil"/>
              <w:left w:val="nil"/>
              <w:bottom w:val="nil"/>
              <w:right w:val="nil"/>
            </w:tcBorders>
          </w:tcPr>
          <w:p w14:paraId="26EE29CD" w14:textId="77777777" w:rsidR="00D811BF" w:rsidRPr="00434156" w:rsidRDefault="00D811BF" w:rsidP="00D16E5C">
            <w:pPr>
              <w:autoSpaceDE w:val="0"/>
              <w:autoSpaceDN w:val="0"/>
              <w:adjustRightInd w:val="0"/>
              <w:jc w:val="both"/>
              <w:rPr>
                <w:rFonts w:ascii="Gill Sans MT" w:hAnsi="Gill Sans MT" w:cs="Times New Roman"/>
                <w:sz w:val="24"/>
                <w:szCs w:val="24"/>
              </w:rPr>
            </w:pPr>
          </w:p>
        </w:tc>
      </w:tr>
      <w:tr w:rsidR="00D811BF" w:rsidRPr="00434156" w14:paraId="4969B1AB" w14:textId="77777777" w:rsidTr="00D16E5C">
        <w:trPr>
          <w:trHeight w:val="558"/>
        </w:trPr>
        <w:tc>
          <w:tcPr>
            <w:tcW w:w="2465" w:type="dxa"/>
            <w:tcBorders>
              <w:top w:val="nil"/>
              <w:left w:val="nil"/>
              <w:bottom w:val="nil"/>
              <w:right w:val="nil"/>
            </w:tcBorders>
          </w:tcPr>
          <w:p w14:paraId="6A163530" w14:textId="77777777" w:rsidR="00D811BF" w:rsidRPr="00434156" w:rsidRDefault="00D811BF" w:rsidP="00D16E5C">
            <w:pPr>
              <w:autoSpaceDE w:val="0"/>
              <w:autoSpaceDN w:val="0"/>
              <w:adjustRightInd w:val="0"/>
              <w:jc w:val="both"/>
              <w:rPr>
                <w:rFonts w:ascii="Gill Sans MT" w:eastAsia="Calibri" w:hAnsi="Gill Sans MT" w:cs="Times New Roman"/>
                <w:sz w:val="24"/>
                <w:szCs w:val="24"/>
              </w:rPr>
            </w:pPr>
            <m:oMathPara>
              <m:oMathParaPr>
                <m:jc m:val="left"/>
              </m:oMathParaPr>
              <m:oMath>
                <m:r>
                  <w:rPr>
                    <w:rFonts w:ascii="Cambria Math" w:eastAsia="Calibri" w:hAnsi="Cambria Math" w:cs="Times New Roman"/>
                    <w:sz w:val="24"/>
                    <w:szCs w:val="24"/>
                  </w:rPr>
                  <m:t>δ</m:t>
                </m:r>
              </m:oMath>
            </m:oMathPara>
          </w:p>
        </w:tc>
        <w:tc>
          <w:tcPr>
            <w:tcW w:w="2018" w:type="dxa"/>
            <w:tcBorders>
              <w:top w:val="nil"/>
              <w:left w:val="nil"/>
              <w:bottom w:val="nil"/>
              <w:right w:val="nil"/>
            </w:tcBorders>
          </w:tcPr>
          <w:p w14:paraId="71034F6C"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806" w:type="dxa"/>
            <w:gridSpan w:val="2"/>
            <w:tcBorders>
              <w:top w:val="nil"/>
              <w:left w:val="nil"/>
              <w:bottom w:val="nil"/>
              <w:right w:val="nil"/>
            </w:tcBorders>
          </w:tcPr>
          <w:p w14:paraId="270ACC09"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699" w:type="dxa"/>
            <w:tcBorders>
              <w:top w:val="nil"/>
              <w:left w:val="nil"/>
              <w:bottom w:val="nil"/>
              <w:right w:val="nil"/>
            </w:tcBorders>
          </w:tcPr>
          <w:p w14:paraId="64423B07"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0.669***</w:t>
            </w:r>
          </w:p>
        </w:tc>
        <w:tc>
          <w:tcPr>
            <w:tcW w:w="1699" w:type="dxa"/>
            <w:gridSpan w:val="2"/>
            <w:tcBorders>
              <w:top w:val="nil"/>
              <w:left w:val="nil"/>
              <w:bottom w:val="nil"/>
              <w:right w:val="nil"/>
            </w:tcBorders>
          </w:tcPr>
          <w:p w14:paraId="5BDF5980"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w:t>
            </w:r>
            <w:r w:rsidRPr="00434156">
              <w:rPr>
                <w:sz w:val="24"/>
                <w:szCs w:val="24"/>
              </w:rPr>
              <w:t xml:space="preserve"> 977***</w:t>
            </w:r>
          </w:p>
        </w:tc>
        <w:tc>
          <w:tcPr>
            <w:tcW w:w="1806" w:type="dxa"/>
            <w:tcBorders>
              <w:top w:val="nil"/>
              <w:left w:val="nil"/>
              <w:bottom w:val="nil"/>
              <w:right w:val="nil"/>
            </w:tcBorders>
          </w:tcPr>
          <w:p w14:paraId="22797B2A" w14:textId="77777777" w:rsidR="00D811BF" w:rsidRPr="00434156" w:rsidRDefault="00D811BF" w:rsidP="00D16E5C">
            <w:pPr>
              <w:autoSpaceDE w:val="0"/>
              <w:autoSpaceDN w:val="0"/>
              <w:adjustRightInd w:val="0"/>
              <w:jc w:val="both"/>
              <w:rPr>
                <w:rFonts w:ascii="Gill Sans MT" w:hAnsi="Gill Sans MT" w:cs="Times New Roman"/>
                <w:sz w:val="24"/>
                <w:szCs w:val="24"/>
              </w:rPr>
            </w:pPr>
          </w:p>
        </w:tc>
        <w:tc>
          <w:tcPr>
            <w:tcW w:w="1806" w:type="dxa"/>
            <w:gridSpan w:val="2"/>
            <w:tcBorders>
              <w:top w:val="nil"/>
              <w:left w:val="nil"/>
              <w:bottom w:val="nil"/>
              <w:right w:val="nil"/>
            </w:tcBorders>
          </w:tcPr>
          <w:p w14:paraId="2976B0CF" w14:textId="77777777" w:rsidR="00D811BF" w:rsidRPr="00434156" w:rsidRDefault="00D811BF" w:rsidP="00D16E5C">
            <w:pPr>
              <w:autoSpaceDE w:val="0"/>
              <w:autoSpaceDN w:val="0"/>
              <w:adjustRightInd w:val="0"/>
              <w:jc w:val="both"/>
              <w:rPr>
                <w:rFonts w:ascii="Gill Sans MT" w:hAnsi="Gill Sans MT" w:cs="Times New Roman"/>
                <w:sz w:val="24"/>
                <w:szCs w:val="24"/>
              </w:rPr>
            </w:pPr>
          </w:p>
        </w:tc>
      </w:tr>
      <w:tr w:rsidR="00D811BF" w:rsidRPr="00434156" w14:paraId="0AE6CBE0" w14:textId="77777777" w:rsidTr="00D16E5C">
        <w:trPr>
          <w:trHeight w:val="526"/>
        </w:trPr>
        <w:tc>
          <w:tcPr>
            <w:tcW w:w="2465" w:type="dxa"/>
            <w:tcBorders>
              <w:top w:val="nil"/>
              <w:left w:val="nil"/>
              <w:bottom w:val="nil"/>
              <w:right w:val="nil"/>
            </w:tcBorders>
          </w:tcPr>
          <w:p w14:paraId="76D1B6FF"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Persistence</w:t>
            </w:r>
          </w:p>
        </w:tc>
        <w:tc>
          <w:tcPr>
            <w:tcW w:w="2018" w:type="dxa"/>
            <w:tcBorders>
              <w:top w:val="nil"/>
              <w:left w:val="nil"/>
              <w:bottom w:val="nil"/>
              <w:right w:val="nil"/>
            </w:tcBorders>
          </w:tcPr>
          <w:p w14:paraId="66665895"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0.980</w:t>
            </w:r>
          </w:p>
        </w:tc>
        <w:tc>
          <w:tcPr>
            <w:tcW w:w="1806" w:type="dxa"/>
            <w:gridSpan w:val="2"/>
            <w:tcBorders>
              <w:top w:val="nil"/>
              <w:left w:val="nil"/>
              <w:bottom w:val="nil"/>
              <w:right w:val="nil"/>
            </w:tcBorders>
          </w:tcPr>
          <w:p w14:paraId="7F614762"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0.964</w:t>
            </w:r>
          </w:p>
        </w:tc>
        <w:tc>
          <w:tcPr>
            <w:tcW w:w="1699" w:type="dxa"/>
            <w:tcBorders>
              <w:top w:val="nil"/>
              <w:left w:val="nil"/>
              <w:bottom w:val="nil"/>
              <w:right w:val="nil"/>
            </w:tcBorders>
          </w:tcPr>
          <w:p w14:paraId="51FC7316"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0.883</w:t>
            </w:r>
          </w:p>
        </w:tc>
        <w:tc>
          <w:tcPr>
            <w:tcW w:w="1699" w:type="dxa"/>
            <w:gridSpan w:val="2"/>
            <w:tcBorders>
              <w:top w:val="nil"/>
              <w:left w:val="nil"/>
              <w:bottom w:val="nil"/>
              <w:right w:val="nil"/>
            </w:tcBorders>
          </w:tcPr>
          <w:p w14:paraId="5CD7EFD4"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0.873</w:t>
            </w:r>
          </w:p>
        </w:tc>
        <w:tc>
          <w:tcPr>
            <w:tcW w:w="1806" w:type="dxa"/>
            <w:tcBorders>
              <w:top w:val="nil"/>
              <w:left w:val="nil"/>
              <w:bottom w:val="nil"/>
              <w:right w:val="nil"/>
            </w:tcBorders>
          </w:tcPr>
          <w:p w14:paraId="631873E0"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0.987</w:t>
            </w:r>
          </w:p>
        </w:tc>
        <w:tc>
          <w:tcPr>
            <w:tcW w:w="1806" w:type="dxa"/>
            <w:gridSpan w:val="2"/>
            <w:tcBorders>
              <w:top w:val="nil"/>
              <w:left w:val="nil"/>
              <w:bottom w:val="nil"/>
              <w:right w:val="nil"/>
            </w:tcBorders>
          </w:tcPr>
          <w:p w14:paraId="3C224CBD" w14:textId="77777777" w:rsidR="00D811BF" w:rsidRPr="00434156" w:rsidRDefault="00D811BF" w:rsidP="00D16E5C">
            <w:pPr>
              <w:autoSpaceDE w:val="0"/>
              <w:autoSpaceDN w:val="0"/>
              <w:adjustRightInd w:val="0"/>
              <w:jc w:val="both"/>
              <w:rPr>
                <w:rFonts w:ascii="Gill Sans MT" w:hAnsi="Gill Sans MT" w:cs="Times New Roman"/>
                <w:sz w:val="24"/>
                <w:szCs w:val="24"/>
              </w:rPr>
            </w:pPr>
          </w:p>
        </w:tc>
      </w:tr>
      <w:tr w:rsidR="00D811BF" w:rsidRPr="00434156" w14:paraId="7F350190" w14:textId="77777777" w:rsidTr="00D16E5C">
        <w:trPr>
          <w:trHeight w:val="526"/>
        </w:trPr>
        <w:tc>
          <w:tcPr>
            <w:tcW w:w="2465" w:type="dxa"/>
            <w:tcBorders>
              <w:top w:val="nil"/>
              <w:left w:val="nil"/>
              <w:bottom w:val="nil"/>
              <w:right w:val="nil"/>
            </w:tcBorders>
          </w:tcPr>
          <w:p w14:paraId="5328025A"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Log-likelihood</w:t>
            </w:r>
          </w:p>
        </w:tc>
        <w:tc>
          <w:tcPr>
            <w:tcW w:w="2018" w:type="dxa"/>
            <w:tcBorders>
              <w:top w:val="nil"/>
              <w:left w:val="nil"/>
              <w:bottom w:val="nil"/>
              <w:right w:val="nil"/>
            </w:tcBorders>
          </w:tcPr>
          <w:p w14:paraId="40EF1674"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-2523.76</w:t>
            </w:r>
          </w:p>
        </w:tc>
        <w:tc>
          <w:tcPr>
            <w:tcW w:w="1806" w:type="dxa"/>
            <w:gridSpan w:val="2"/>
            <w:tcBorders>
              <w:top w:val="nil"/>
              <w:left w:val="nil"/>
              <w:bottom w:val="nil"/>
              <w:right w:val="nil"/>
            </w:tcBorders>
          </w:tcPr>
          <w:p w14:paraId="2F3D3F3A"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-2531.03</w:t>
            </w:r>
          </w:p>
        </w:tc>
        <w:tc>
          <w:tcPr>
            <w:tcW w:w="1699" w:type="dxa"/>
            <w:tcBorders>
              <w:top w:val="nil"/>
              <w:left w:val="nil"/>
              <w:bottom w:val="nil"/>
              <w:right w:val="nil"/>
            </w:tcBorders>
          </w:tcPr>
          <w:p w14:paraId="5BAF5ACD"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-5716.52</w:t>
            </w:r>
          </w:p>
        </w:tc>
        <w:tc>
          <w:tcPr>
            <w:tcW w:w="1699" w:type="dxa"/>
            <w:gridSpan w:val="2"/>
            <w:tcBorders>
              <w:top w:val="nil"/>
              <w:left w:val="nil"/>
              <w:bottom w:val="nil"/>
              <w:right w:val="nil"/>
            </w:tcBorders>
          </w:tcPr>
          <w:p w14:paraId="713B564B"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-3250.24</w:t>
            </w:r>
          </w:p>
        </w:tc>
        <w:tc>
          <w:tcPr>
            <w:tcW w:w="1806" w:type="dxa"/>
            <w:tcBorders>
              <w:top w:val="nil"/>
              <w:left w:val="nil"/>
              <w:bottom w:val="nil"/>
              <w:right w:val="nil"/>
            </w:tcBorders>
          </w:tcPr>
          <w:p w14:paraId="0C6A63B3"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-2232.381</w:t>
            </w:r>
          </w:p>
        </w:tc>
        <w:tc>
          <w:tcPr>
            <w:tcW w:w="1806" w:type="dxa"/>
            <w:gridSpan w:val="2"/>
            <w:tcBorders>
              <w:top w:val="nil"/>
              <w:left w:val="nil"/>
              <w:bottom w:val="nil"/>
              <w:right w:val="nil"/>
            </w:tcBorders>
          </w:tcPr>
          <w:p w14:paraId="687F8598" w14:textId="77777777" w:rsidR="00D811BF" w:rsidRPr="00434156" w:rsidRDefault="00D811BF" w:rsidP="00D16E5C">
            <w:pPr>
              <w:autoSpaceDE w:val="0"/>
              <w:autoSpaceDN w:val="0"/>
              <w:adjustRightInd w:val="0"/>
              <w:jc w:val="both"/>
              <w:rPr>
                <w:rFonts w:ascii="Gill Sans MT" w:hAnsi="Gill Sans MT" w:cs="Times New Roman"/>
                <w:sz w:val="24"/>
                <w:szCs w:val="24"/>
              </w:rPr>
            </w:pPr>
          </w:p>
        </w:tc>
      </w:tr>
      <w:tr w:rsidR="00D811BF" w:rsidRPr="00434156" w14:paraId="40FD382A" w14:textId="77777777" w:rsidTr="00D16E5C">
        <w:trPr>
          <w:trHeight w:val="526"/>
        </w:trPr>
        <w:tc>
          <w:tcPr>
            <w:tcW w:w="2465" w:type="dxa"/>
            <w:tcBorders>
              <w:top w:val="nil"/>
              <w:left w:val="nil"/>
              <w:bottom w:val="nil"/>
              <w:right w:val="nil"/>
            </w:tcBorders>
          </w:tcPr>
          <w:p w14:paraId="2F8A005A"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Wald test</w:t>
            </w:r>
          </w:p>
        </w:tc>
        <w:tc>
          <w:tcPr>
            <w:tcW w:w="2018" w:type="dxa"/>
            <w:tcBorders>
              <w:top w:val="nil"/>
              <w:left w:val="nil"/>
              <w:bottom w:val="nil"/>
              <w:right w:val="nil"/>
            </w:tcBorders>
          </w:tcPr>
          <w:p w14:paraId="5C3C4D18"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4.990</w:t>
            </w:r>
          </w:p>
        </w:tc>
        <w:tc>
          <w:tcPr>
            <w:tcW w:w="1806" w:type="dxa"/>
            <w:gridSpan w:val="2"/>
            <w:tcBorders>
              <w:top w:val="nil"/>
              <w:left w:val="nil"/>
              <w:bottom w:val="nil"/>
              <w:right w:val="nil"/>
            </w:tcBorders>
          </w:tcPr>
          <w:p w14:paraId="106667BD"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6.860</w:t>
            </w:r>
          </w:p>
        </w:tc>
        <w:tc>
          <w:tcPr>
            <w:tcW w:w="1699" w:type="dxa"/>
            <w:tcBorders>
              <w:top w:val="nil"/>
              <w:left w:val="nil"/>
              <w:bottom w:val="nil"/>
              <w:right w:val="nil"/>
            </w:tcBorders>
          </w:tcPr>
          <w:p w14:paraId="43A68537"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10.46</w:t>
            </w:r>
          </w:p>
        </w:tc>
        <w:tc>
          <w:tcPr>
            <w:tcW w:w="1699" w:type="dxa"/>
            <w:gridSpan w:val="2"/>
            <w:tcBorders>
              <w:top w:val="nil"/>
              <w:left w:val="nil"/>
              <w:bottom w:val="nil"/>
              <w:right w:val="nil"/>
            </w:tcBorders>
          </w:tcPr>
          <w:p w14:paraId="66517ABA"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13.39</w:t>
            </w:r>
          </w:p>
        </w:tc>
        <w:tc>
          <w:tcPr>
            <w:tcW w:w="1806" w:type="dxa"/>
            <w:tcBorders>
              <w:top w:val="nil"/>
              <w:left w:val="nil"/>
              <w:bottom w:val="nil"/>
              <w:right w:val="nil"/>
            </w:tcBorders>
          </w:tcPr>
          <w:p w14:paraId="5EDE130D"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15.68</w:t>
            </w:r>
          </w:p>
        </w:tc>
        <w:tc>
          <w:tcPr>
            <w:tcW w:w="1806" w:type="dxa"/>
            <w:gridSpan w:val="2"/>
            <w:tcBorders>
              <w:top w:val="nil"/>
              <w:left w:val="nil"/>
              <w:bottom w:val="nil"/>
              <w:right w:val="nil"/>
            </w:tcBorders>
          </w:tcPr>
          <w:p w14:paraId="088DBFA1" w14:textId="77777777" w:rsidR="00D811BF" w:rsidRPr="00434156" w:rsidRDefault="00D811BF" w:rsidP="00D16E5C">
            <w:pPr>
              <w:autoSpaceDE w:val="0"/>
              <w:autoSpaceDN w:val="0"/>
              <w:adjustRightInd w:val="0"/>
              <w:jc w:val="both"/>
              <w:rPr>
                <w:rFonts w:ascii="Gill Sans MT" w:hAnsi="Gill Sans MT" w:cs="Times New Roman"/>
                <w:sz w:val="24"/>
                <w:szCs w:val="24"/>
              </w:rPr>
            </w:pPr>
          </w:p>
        </w:tc>
      </w:tr>
      <w:tr w:rsidR="00D811BF" w:rsidRPr="00434156" w14:paraId="5AE4EE4F" w14:textId="77777777" w:rsidTr="00D16E5C">
        <w:trPr>
          <w:trHeight w:val="526"/>
        </w:trPr>
        <w:tc>
          <w:tcPr>
            <w:tcW w:w="2465" w:type="dxa"/>
            <w:tcBorders>
              <w:top w:val="nil"/>
              <w:left w:val="nil"/>
              <w:right w:val="nil"/>
            </w:tcBorders>
          </w:tcPr>
          <w:p w14:paraId="4D607155"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i/>
                <w:iCs/>
                <w:sz w:val="24"/>
                <w:szCs w:val="24"/>
              </w:rPr>
              <w:t>p</w:t>
            </w:r>
            <w:r w:rsidRPr="00434156">
              <w:rPr>
                <w:rFonts w:ascii="Gill Sans MT" w:hAnsi="Gill Sans MT" w:cs="Times New Roman"/>
                <w:sz w:val="24"/>
                <w:szCs w:val="24"/>
              </w:rPr>
              <w:t xml:space="preserve">-value </w:t>
            </w:r>
          </w:p>
        </w:tc>
        <w:tc>
          <w:tcPr>
            <w:tcW w:w="2018" w:type="dxa"/>
            <w:tcBorders>
              <w:top w:val="nil"/>
              <w:left w:val="nil"/>
              <w:right w:val="nil"/>
            </w:tcBorders>
          </w:tcPr>
          <w:p w14:paraId="07E8AE10"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0.025</w:t>
            </w:r>
          </w:p>
        </w:tc>
        <w:tc>
          <w:tcPr>
            <w:tcW w:w="1806" w:type="dxa"/>
            <w:gridSpan w:val="2"/>
            <w:tcBorders>
              <w:top w:val="nil"/>
              <w:left w:val="nil"/>
              <w:right w:val="nil"/>
            </w:tcBorders>
          </w:tcPr>
          <w:p w14:paraId="046A49AC"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0.008</w:t>
            </w:r>
          </w:p>
        </w:tc>
        <w:tc>
          <w:tcPr>
            <w:tcW w:w="1699" w:type="dxa"/>
            <w:tcBorders>
              <w:top w:val="nil"/>
              <w:left w:val="nil"/>
              <w:right w:val="nil"/>
            </w:tcBorders>
          </w:tcPr>
          <w:p w14:paraId="7C990540"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0.005</w:t>
            </w:r>
          </w:p>
        </w:tc>
        <w:tc>
          <w:tcPr>
            <w:tcW w:w="1699" w:type="dxa"/>
            <w:gridSpan w:val="2"/>
            <w:tcBorders>
              <w:top w:val="nil"/>
              <w:left w:val="nil"/>
              <w:right w:val="nil"/>
            </w:tcBorders>
          </w:tcPr>
          <w:p w14:paraId="156B6A2E"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0.005</w:t>
            </w:r>
          </w:p>
        </w:tc>
        <w:tc>
          <w:tcPr>
            <w:tcW w:w="1806" w:type="dxa"/>
            <w:tcBorders>
              <w:top w:val="nil"/>
              <w:left w:val="nil"/>
              <w:right w:val="nil"/>
            </w:tcBorders>
          </w:tcPr>
          <w:p w14:paraId="54D518FD" w14:textId="77777777" w:rsidR="00D811BF" w:rsidRPr="00434156" w:rsidRDefault="00D811BF" w:rsidP="00D16E5C">
            <w:pPr>
              <w:autoSpaceDE w:val="0"/>
              <w:autoSpaceDN w:val="0"/>
              <w:adjustRightInd w:val="0"/>
              <w:jc w:val="both"/>
              <w:rPr>
                <w:rFonts w:ascii="Gill Sans MT" w:hAnsi="Gill Sans MT" w:cs="Times New Roman"/>
                <w:sz w:val="24"/>
                <w:szCs w:val="24"/>
              </w:rPr>
            </w:pPr>
            <w:r w:rsidRPr="00434156">
              <w:rPr>
                <w:rFonts w:ascii="Gill Sans MT" w:hAnsi="Gill Sans MT" w:cs="Times New Roman"/>
                <w:sz w:val="24"/>
                <w:szCs w:val="24"/>
              </w:rPr>
              <w:t>0.004</w:t>
            </w:r>
          </w:p>
        </w:tc>
        <w:tc>
          <w:tcPr>
            <w:tcW w:w="1806" w:type="dxa"/>
            <w:gridSpan w:val="2"/>
            <w:tcBorders>
              <w:top w:val="nil"/>
              <w:left w:val="nil"/>
              <w:right w:val="nil"/>
            </w:tcBorders>
          </w:tcPr>
          <w:p w14:paraId="0E2C772F" w14:textId="77777777" w:rsidR="00D811BF" w:rsidRPr="00434156" w:rsidRDefault="00D811BF" w:rsidP="00D16E5C">
            <w:pPr>
              <w:autoSpaceDE w:val="0"/>
              <w:autoSpaceDN w:val="0"/>
              <w:adjustRightInd w:val="0"/>
              <w:jc w:val="both"/>
              <w:rPr>
                <w:rFonts w:ascii="Gill Sans MT" w:hAnsi="Gill Sans MT" w:cs="Times New Roman"/>
                <w:sz w:val="24"/>
                <w:szCs w:val="24"/>
              </w:rPr>
            </w:pPr>
          </w:p>
        </w:tc>
      </w:tr>
    </w:tbl>
    <w:p w14:paraId="1B973B4C" w14:textId="77777777" w:rsidR="00D811BF" w:rsidRPr="00434156" w:rsidRDefault="00D811BF" w:rsidP="00D811BF">
      <w:pPr>
        <w:autoSpaceDE w:val="0"/>
        <w:autoSpaceDN w:val="0"/>
        <w:adjustRightInd w:val="0"/>
        <w:spacing w:after="0" w:line="240" w:lineRule="auto"/>
        <w:jc w:val="both"/>
        <w:rPr>
          <w:rFonts w:ascii="Gill Sans MT" w:hAnsi="Gill Sans MT" w:cs="Times New Roman"/>
          <w:sz w:val="24"/>
          <w:szCs w:val="24"/>
        </w:rPr>
      </w:pPr>
    </w:p>
    <w:p w14:paraId="13CA89FC" w14:textId="77777777" w:rsidR="00D811BF" w:rsidRPr="00434156" w:rsidRDefault="00D811BF" w:rsidP="00D811BF">
      <w:pPr>
        <w:autoSpaceDE w:val="0"/>
        <w:autoSpaceDN w:val="0"/>
        <w:adjustRightInd w:val="0"/>
        <w:spacing w:after="0"/>
        <w:jc w:val="both"/>
        <w:rPr>
          <w:rFonts w:ascii="Gill Sans MT" w:hAnsi="Gill Sans MT" w:cs="Times New Roman"/>
          <w:sz w:val="24"/>
          <w:szCs w:val="24"/>
        </w:rPr>
      </w:pPr>
      <w:r w:rsidRPr="00434156">
        <w:rPr>
          <w:rFonts w:ascii="Gill Sans MT" w:hAnsi="Gill Sans MT" w:cs="Times New Roman"/>
          <w:sz w:val="24"/>
          <w:szCs w:val="24"/>
        </w:rPr>
        <w:lastRenderedPageBreak/>
        <w:t xml:space="preserve">Notes: ***, ** and * indicate statistical significance at 1%, 5% and 10% levels, respectively. For GARCH (1,1) process, the persistence of volatility is measured as </w:t>
      </w:r>
      <m:oMath>
        <m:r>
          <w:rPr>
            <w:rFonts w:ascii="Cambria Math" w:hAnsi="Cambria Math" w:cs="Times New Roman"/>
            <w:sz w:val="24"/>
            <w:szCs w:val="24"/>
          </w:rPr>
          <m:t>α+β</m:t>
        </m:r>
      </m:oMath>
      <w:r w:rsidRPr="00434156">
        <w:rPr>
          <w:rFonts w:ascii="Gill Sans MT" w:hAnsi="Gill Sans MT" w:cs="Times New Roman"/>
          <w:sz w:val="24"/>
          <w:szCs w:val="24"/>
        </w:rPr>
        <w:t xml:space="preserve">. For GJR-GARCH approach, the persistence of volatility amounts to </w:t>
      </w:r>
      <m:oMath>
        <m:r>
          <w:rPr>
            <w:rFonts w:ascii="Cambria Math" w:hAnsi="Cambria Math" w:cs="Times New Roman"/>
            <w:sz w:val="24"/>
            <w:szCs w:val="24"/>
          </w:rPr>
          <m:t>α+β+</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eastAsiaTheme="minorEastAsia" w:hAnsi="Cambria Math" w:cs="Times New Roman"/>
            <w:sz w:val="24"/>
            <w:szCs w:val="24"/>
          </w:rPr>
          <m:t>γ</m:t>
        </m:r>
      </m:oMath>
      <w:r w:rsidRPr="00434156">
        <w:rPr>
          <w:rFonts w:ascii="Gill Sans MT" w:hAnsi="Gill Sans MT" w:cs="Times New Roman"/>
          <w:sz w:val="24"/>
          <w:szCs w:val="24"/>
        </w:rPr>
        <w:t>.</w:t>
      </w:r>
      <m:oMath>
        <m:r>
          <w:rPr>
            <w:rFonts w:ascii="Cambria Math" w:hAnsi="Cambria Math" w:cs="Times New Roman"/>
            <w:sz w:val="24"/>
            <w:szCs w:val="24"/>
          </w:rPr>
          <m:t xml:space="preserve"> </m:t>
        </m:r>
        <m:r>
          <w:rPr>
            <w:rFonts w:ascii="Cambria Math" w:eastAsia="Calibri" w:hAnsi="Cambria Math" w:cs="Times New Roman"/>
            <w:sz w:val="24"/>
            <w:szCs w:val="24"/>
          </w:rPr>
          <m:t>δ</m:t>
        </m:r>
      </m:oMath>
      <w:r w:rsidRPr="00434156">
        <w:rPr>
          <w:rFonts w:ascii="Gill Sans MT" w:eastAsiaTheme="minorEastAsia" w:hAnsi="Gill Sans MT" w:cs="Times New Roman"/>
          <w:sz w:val="24"/>
          <w:szCs w:val="24"/>
        </w:rPr>
        <w:t xml:space="preserve"> meas</w:t>
      </w:r>
      <w:proofErr w:type="spellStart"/>
      <w:r w:rsidRPr="00434156">
        <w:rPr>
          <w:rFonts w:ascii="Gill Sans MT" w:eastAsiaTheme="minorEastAsia" w:hAnsi="Gill Sans MT" w:cs="Times New Roman"/>
          <w:sz w:val="24"/>
          <w:szCs w:val="24"/>
        </w:rPr>
        <w:t>ures</w:t>
      </w:r>
      <w:proofErr w:type="spellEnd"/>
      <w:r w:rsidRPr="00434156">
        <w:rPr>
          <w:rFonts w:ascii="Gill Sans MT" w:eastAsiaTheme="minorEastAsia" w:hAnsi="Gill Sans MT" w:cs="Times New Roman"/>
          <w:sz w:val="24"/>
          <w:szCs w:val="24"/>
        </w:rPr>
        <w:t xml:space="preserve"> the BREXIT impact. </w:t>
      </w:r>
    </w:p>
    <w:p w14:paraId="5C1C44F0" w14:textId="77777777" w:rsidR="00D811BF" w:rsidRPr="00434156" w:rsidRDefault="00D811BF" w:rsidP="00D811BF">
      <w:pPr>
        <w:autoSpaceDE w:val="0"/>
        <w:autoSpaceDN w:val="0"/>
        <w:adjustRightInd w:val="0"/>
        <w:spacing w:after="0" w:line="240" w:lineRule="auto"/>
        <w:jc w:val="both"/>
        <w:rPr>
          <w:rFonts w:ascii="Gill Sans MT" w:hAnsi="Gill Sans MT" w:cs="Times New Roman"/>
          <w:sz w:val="24"/>
          <w:szCs w:val="24"/>
        </w:rPr>
        <w:sectPr w:rsidR="00D811BF" w:rsidRPr="00434156" w:rsidSect="00614059">
          <w:pgSz w:w="15840" w:h="12240" w:orient="landscape"/>
          <w:pgMar w:top="1440" w:right="1440" w:bottom="1440" w:left="1440" w:header="720" w:footer="720" w:gutter="0"/>
          <w:cols w:space="720"/>
          <w:docGrid w:linePitch="360"/>
        </w:sectPr>
      </w:pPr>
      <w:r w:rsidRPr="00434156">
        <w:rPr>
          <w:rFonts w:ascii="Gill Sans MT" w:hAnsi="Gill Sans MT" w:cs="Times New Roman"/>
          <w:sz w:val="24"/>
          <w:szCs w:val="24"/>
        </w:rPr>
        <w:t>Adjustment values for MGARCH-DCC:    lambda 1: 2283; lambda 2: 0.723. Correlation (tourist  arrival, Brexit uncertainty) = 0.893 estimated using MGARCH CCC.</w:t>
      </w:r>
    </w:p>
    <w:p w14:paraId="438D9476" w14:textId="77777777" w:rsidR="00D811BF" w:rsidRPr="00434156" w:rsidRDefault="00D811BF" w:rsidP="00D811BF">
      <w:pPr>
        <w:jc w:val="both"/>
        <w:rPr>
          <w:rFonts w:ascii="Gill Sans MT" w:hAnsi="Gill Sans MT" w:cs="Times New Roman"/>
          <w:b/>
          <w:sz w:val="24"/>
          <w:szCs w:val="24"/>
        </w:rPr>
      </w:pPr>
      <w:r w:rsidRPr="00434156">
        <w:rPr>
          <w:rFonts w:ascii="Gill Sans MT" w:hAnsi="Gill Sans MT" w:cs="Times New Roman"/>
          <w:b/>
          <w:sz w:val="24"/>
          <w:szCs w:val="24"/>
        </w:rPr>
        <w:lastRenderedPageBreak/>
        <w:t>Table 3: The magnitude of news impact on volatility</w:t>
      </w:r>
    </w:p>
    <w:tbl>
      <w:tblPr>
        <w:tblStyle w:val="TableGrid"/>
        <w:tblW w:w="9867" w:type="dxa"/>
        <w:tblLook w:val="04A0" w:firstRow="1" w:lastRow="0" w:firstColumn="1" w:lastColumn="0" w:noHBand="0" w:noVBand="1"/>
      </w:tblPr>
      <w:tblGrid>
        <w:gridCol w:w="1679"/>
        <w:gridCol w:w="2798"/>
        <w:gridCol w:w="2695"/>
        <w:gridCol w:w="2695"/>
      </w:tblGrid>
      <w:tr w:rsidR="00D811BF" w:rsidRPr="00434156" w14:paraId="4922D6F4" w14:textId="77777777" w:rsidTr="00D16E5C">
        <w:trPr>
          <w:trHeight w:val="630"/>
        </w:trPr>
        <w:tc>
          <w:tcPr>
            <w:tcW w:w="1679" w:type="dxa"/>
            <w:tcBorders>
              <w:left w:val="nil"/>
              <w:right w:val="nil"/>
            </w:tcBorders>
          </w:tcPr>
          <w:p w14:paraId="29855493" w14:textId="77777777" w:rsidR="00D811BF" w:rsidRPr="00434156" w:rsidRDefault="00D811BF" w:rsidP="00D16E5C">
            <w:pPr>
              <w:jc w:val="both"/>
              <w:rPr>
                <w:rFonts w:ascii="Gill Sans MT" w:hAnsi="Gill Sans MT" w:cs="Times New Roman"/>
                <w:sz w:val="24"/>
                <w:szCs w:val="24"/>
              </w:rPr>
            </w:pPr>
            <w:r w:rsidRPr="00434156">
              <w:rPr>
                <w:rFonts w:ascii="Gill Sans MT" w:hAnsi="Gill Sans MT" w:cs="Times New Roman"/>
                <w:sz w:val="24"/>
                <w:szCs w:val="24"/>
              </w:rPr>
              <w:t xml:space="preserve">Models </w:t>
            </w:r>
            <m:oMath>
              <m:r>
                <w:rPr>
                  <w:rFonts w:ascii="Cambria Math" w:hAnsi="Cambria Math" w:cs="Times New Roman"/>
                  <w:sz w:val="24"/>
                  <w:szCs w:val="24"/>
                </w:rPr>
                <m:t>→</m:t>
              </m:r>
            </m:oMath>
          </w:p>
        </w:tc>
        <w:tc>
          <w:tcPr>
            <w:tcW w:w="2798" w:type="dxa"/>
            <w:tcBorders>
              <w:left w:val="nil"/>
              <w:right w:val="nil"/>
            </w:tcBorders>
          </w:tcPr>
          <w:p w14:paraId="7B0A5FD8" w14:textId="77777777" w:rsidR="00D811BF" w:rsidRPr="00434156" w:rsidRDefault="00D811BF" w:rsidP="00D16E5C">
            <w:pPr>
              <w:jc w:val="both"/>
              <w:rPr>
                <w:rFonts w:ascii="Gill Sans MT" w:hAnsi="Gill Sans MT" w:cs="Times New Roman"/>
                <w:sz w:val="24"/>
                <w:szCs w:val="24"/>
              </w:rPr>
            </w:pPr>
            <w:r w:rsidRPr="00434156">
              <w:rPr>
                <w:rFonts w:ascii="Gill Sans MT" w:eastAsiaTheme="minorEastAsia" w:hAnsi="Gill Sans MT" w:cs="Times New Roman"/>
                <w:sz w:val="24"/>
                <w:szCs w:val="24"/>
              </w:rPr>
              <w:t>Baseline GARCH</w:t>
            </w:r>
          </w:p>
        </w:tc>
        <w:tc>
          <w:tcPr>
            <w:tcW w:w="2695" w:type="dxa"/>
            <w:tcBorders>
              <w:left w:val="nil"/>
              <w:right w:val="nil"/>
            </w:tcBorders>
          </w:tcPr>
          <w:p w14:paraId="580BD681" w14:textId="77777777" w:rsidR="00D811BF" w:rsidRPr="00434156" w:rsidRDefault="00D811BF" w:rsidP="00D16E5C">
            <w:pPr>
              <w:jc w:val="both"/>
              <w:rPr>
                <w:rFonts w:ascii="Gill Sans MT" w:eastAsiaTheme="minorEastAsia" w:hAnsi="Gill Sans MT" w:cs="Times New Roman"/>
                <w:sz w:val="24"/>
                <w:szCs w:val="24"/>
              </w:rPr>
            </w:pPr>
            <w:r w:rsidRPr="00434156">
              <w:rPr>
                <w:rFonts w:ascii="Gill Sans MT" w:eastAsiaTheme="minorEastAsia" w:hAnsi="Gill Sans MT" w:cs="Times New Roman"/>
                <w:sz w:val="24"/>
                <w:szCs w:val="24"/>
              </w:rPr>
              <w:t>GARCH with breaks</w:t>
            </w:r>
          </w:p>
        </w:tc>
        <w:tc>
          <w:tcPr>
            <w:tcW w:w="2695" w:type="dxa"/>
            <w:tcBorders>
              <w:left w:val="nil"/>
              <w:right w:val="nil"/>
            </w:tcBorders>
          </w:tcPr>
          <w:p w14:paraId="59310893" w14:textId="77777777" w:rsidR="00D811BF" w:rsidRPr="00434156" w:rsidRDefault="00D811BF" w:rsidP="00D16E5C">
            <w:pPr>
              <w:jc w:val="both"/>
              <w:rPr>
                <w:rFonts w:ascii="Gill Sans MT" w:eastAsiaTheme="minorEastAsia" w:hAnsi="Gill Sans MT" w:cs="Times New Roman"/>
                <w:sz w:val="24"/>
                <w:szCs w:val="24"/>
              </w:rPr>
            </w:pPr>
            <w:r w:rsidRPr="00434156">
              <w:rPr>
                <w:rFonts w:ascii="Gill Sans MT" w:eastAsiaTheme="minorEastAsia" w:hAnsi="Gill Sans MT" w:cs="Times New Roman"/>
                <w:sz w:val="24"/>
                <w:szCs w:val="24"/>
              </w:rPr>
              <w:t>GARCH with BREXIT impact</w:t>
            </w:r>
          </w:p>
        </w:tc>
      </w:tr>
      <w:tr w:rsidR="00D811BF" w:rsidRPr="00434156" w14:paraId="0FE092F4" w14:textId="77777777" w:rsidTr="00D16E5C">
        <w:trPr>
          <w:trHeight w:val="437"/>
        </w:trPr>
        <w:tc>
          <w:tcPr>
            <w:tcW w:w="1679" w:type="dxa"/>
            <w:tcBorders>
              <w:left w:val="nil"/>
              <w:bottom w:val="nil"/>
              <w:right w:val="nil"/>
            </w:tcBorders>
          </w:tcPr>
          <w:p w14:paraId="589D2987" w14:textId="77777777" w:rsidR="00D811BF" w:rsidRPr="00434156" w:rsidRDefault="00D811BF" w:rsidP="00D16E5C">
            <w:pPr>
              <w:jc w:val="both"/>
              <w:rPr>
                <w:rFonts w:ascii="Gill Sans MT" w:hAnsi="Gill Sans MT" w:cs="Times New Roman"/>
                <w:sz w:val="24"/>
                <w:szCs w:val="24"/>
              </w:rPr>
            </w:pPr>
          </w:p>
          <w:p w14:paraId="204F068C" w14:textId="77777777" w:rsidR="00D811BF" w:rsidRPr="00434156" w:rsidRDefault="00D811BF" w:rsidP="00D16E5C">
            <w:pPr>
              <w:jc w:val="both"/>
              <w:rPr>
                <w:rFonts w:ascii="Gill Sans MT" w:hAnsi="Gill Sans MT" w:cs="Times New Roman"/>
                <w:sz w:val="24"/>
                <w:szCs w:val="24"/>
              </w:rPr>
            </w:pPr>
            <w:r w:rsidRPr="00434156">
              <w:rPr>
                <w:rFonts w:ascii="Gill Sans MT" w:hAnsi="Gill Sans MT" w:cs="Times New Roman"/>
                <w:sz w:val="24"/>
                <w:szCs w:val="24"/>
                <w:lang w:val="fi-FI"/>
              </w:rPr>
              <w:t>Good news</w:t>
            </w:r>
          </w:p>
        </w:tc>
        <w:tc>
          <w:tcPr>
            <w:tcW w:w="2798" w:type="dxa"/>
            <w:tcBorders>
              <w:left w:val="nil"/>
              <w:bottom w:val="nil"/>
              <w:right w:val="nil"/>
            </w:tcBorders>
          </w:tcPr>
          <w:p w14:paraId="12BAEEEC" w14:textId="77777777" w:rsidR="00D811BF" w:rsidRPr="00434156" w:rsidRDefault="00D811BF" w:rsidP="00D16E5C">
            <w:pPr>
              <w:jc w:val="both"/>
              <w:rPr>
                <w:rFonts w:ascii="Gill Sans MT" w:hAnsi="Gill Sans MT" w:cs="Times New Roman"/>
                <w:sz w:val="24"/>
                <w:szCs w:val="24"/>
              </w:rPr>
            </w:pPr>
          </w:p>
          <w:p w14:paraId="286C80D8" w14:textId="77777777" w:rsidR="00D811BF" w:rsidRPr="00434156" w:rsidRDefault="00D811BF" w:rsidP="00D16E5C">
            <w:pPr>
              <w:jc w:val="both"/>
              <w:rPr>
                <w:rFonts w:ascii="Gill Sans MT" w:hAnsi="Gill Sans MT" w:cs="Times New Roman"/>
                <w:sz w:val="24"/>
                <w:szCs w:val="24"/>
              </w:rPr>
            </w:pPr>
            <w:r w:rsidRPr="00434156">
              <w:rPr>
                <w:rFonts w:ascii="Gill Sans MT" w:hAnsi="Gill Sans MT" w:cs="Times New Roman"/>
                <w:sz w:val="24"/>
                <w:szCs w:val="24"/>
              </w:rPr>
              <w:t xml:space="preserve">                   0.0124</w:t>
            </w:r>
          </w:p>
        </w:tc>
        <w:tc>
          <w:tcPr>
            <w:tcW w:w="2695" w:type="dxa"/>
            <w:tcBorders>
              <w:left w:val="nil"/>
              <w:bottom w:val="nil"/>
              <w:right w:val="nil"/>
            </w:tcBorders>
          </w:tcPr>
          <w:p w14:paraId="65979F48" w14:textId="77777777" w:rsidR="00D811BF" w:rsidRPr="00434156" w:rsidRDefault="00D811BF" w:rsidP="00D16E5C">
            <w:pPr>
              <w:jc w:val="both"/>
              <w:rPr>
                <w:rFonts w:ascii="Gill Sans MT" w:hAnsi="Gill Sans MT" w:cs="Times New Roman"/>
                <w:sz w:val="24"/>
                <w:szCs w:val="24"/>
              </w:rPr>
            </w:pPr>
          </w:p>
          <w:p w14:paraId="04C66B92" w14:textId="77777777" w:rsidR="00D811BF" w:rsidRPr="00434156" w:rsidRDefault="00D811BF" w:rsidP="00D16E5C">
            <w:pPr>
              <w:jc w:val="both"/>
              <w:rPr>
                <w:rFonts w:ascii="Gill Sans MT" w:hAnsi="Gill Sans MT" w:cs="Times New Roman"/>
                <w:sz w:val="24"/>
                <w:szCs w:val="24"/>
              </w:rPr>
            </w:pPr>
            <w:r w:rsidRPr="00434156">
              <w:rPr>
                <w:rFonts w:ascii="Gill Sans MT" w:hAnsi="Gill Sans MT" w:cs="Times New Roman"/>
                <w:sz w:val="24"/>
                <w:szCs w:val="24"/>
              </w:rPr>
              <w:t>0.0326</w:t>
            </w:r>
          </w:p>
        </w:tc>
        <w:tc>
          <w:tcPr>
            <w:tcW w:w="2695" w:type="dxa"/>
            <w:tcBorders>
              <w:left w:val="nil"/>
              <w:bottom w:val="nil"/>
              <w:right w:val="nil"/>
            </w:tcBorders>
          </w:tcPr>
          <w:p w14:paraId="4B196E6B" w14:textId="77777777" w:rsidR="00D811BF" w:rsidRPr="00434156" w:rsidRDefault="00D811BF" w:rsidP="00D16E5C">
            <w:pPr>
              <w:jc w:val="both"/>
              <w:rPr>
                <w:rFonts w:ascii="Gill Sans MT" w:hAnsi="Gill Sans MT" w:cs="Times New Roman"/>
                <w:sz w:val="24"/>
                <w:szCs w:val="24"/>
              </w:rPr>
            </w:pPr>
          </w:p>
          <w:p w14:paraId="29ADE96C" w14:textId="77777777" w:rsidR="00D811BF" w:rsidRPr="00434156" w:rsidRDefault="00D811BF" w:rsidP="00D16E5C">
            <w:pPr>
              <w:jc w:val="both"/>
              <w:rPr>
                <w:rFonts w:ascii="Gill Sans MT" w:hAnsi="Gill Sans MT" w:cs="Times New Roman"/>
                <w:sz w:val="24"/>
                <w:szCs w:val="24"/>
              </w:rPr>
            </w:pPr>
            <w:r w:rsidRPr="00434156">
              <w:rPr>
                <w:rFonts w:ascii="Gill Sans MT" w:hAnsi="Gill Sans MT" w:cs="Times New Roman"/>
                <w:sz w:val="24"/>
                <w:szCs w:val="24"/>
              </w:rPr>
              <w:t>0.0308</w:t>
            </w:r>
          </w:p>
        </w:tc>
      </w:tr>
      <w:tr w:rsidR="00D811BF" w:rsidRPr="00434156" w14:paraId="763CFDBD" w14:textId="77777777" w:rsidTr="00D16E5C">
        <w:trPr>
          <w:trHeight w:val="863"/>
        </w:trPr>
        <w:tc>
          <w:tcPr>
            <w:tcW w:w="1679" w:type="dxa"/>
            <w:tcBorders>
              <w:top w:val="nil"/>
              <w:left w:val="nil"/>
              <w:bottom w:val="single" w:sz="4" w:space="0" w:color="auto"/>
              <w:right w:val="nil"/>
            </w:tcBorders>
          </w:tcPr>
          <w:p w14:paraId="35724F64" w14:textId="77777777" w:rsidR="00D811BF" w:rsidRPr="00434156" w:rsidRDefault="00D811BF" w:rsidP="00D16E5C">
            <w:pPr>
              <w:jc w:val="both"/>
              <w:rPr>
                <w:rFonts w:ascii="Gill Sans MT" w:hAnsi="Gill Sans MT" w:cs="Times New Roman"/>
                <w:sz w:val="24"/>
                <w:szCs w:val="24"/>
              </w:rPr>
            </w:pPr>
          </w:p>
          <w:p w14:paraId="7D5C845E" w14:textId="77777777" w:rsidR="00D811BF" w:rsidRPr="00434156" w:rsidRDefault="00D811BF" w:rsidP="00D16E5C">
            <w:pPr>
              <w:jc w:val="both"/>
              <w:rPr>
                <w:rFonts w:ascii="Gill Sans MT" w:hAnsi="Gill Sans MT" w:cs="Times New Roman"/>
                <w:sz w:val="24"/>
                <w:szCs w:val="24"/>
              </w:rPr>
            </w:pPr>
            <w:r w:rsidRPr="00434156">
              <w:rPr>
                <w:rFonts w:ascii="Gill Sans MT" w:hAnsi="Gill Sans MT" w:cs="Times New Roman"/>
                <w:sz w:val="24"/>
                <w:szCs w:val="24"/>
              </w:rPr>
              <w:t>Bad news</w:t>
            </w:r>
          </w:p>
        </w:tc>
        <w:tc>
          <w:tcPr>
            <w:tcW w:w="2798" w:type="dxa"/>
            <w:tcBorders>
              <w:top w:val="nil"/>
              <w:left w:val="nil"/>
              <w:bottom w:val="single" w:sz="4" w:space="0" w:color="auto"/>
              <w:right w:val="nil"/>
            </w:tcBorders>
          </w:tcPr>
          <w:p w14:paraId="614F1091" w14:textId="77777777" w:rsidR="00D811BF" w:rsidRPr="00434156" w:rsidRDefault="00D811BF" w:rsidP="00D16E5C">
            <w:pPr>
              <w:jc w:val="both"/>
              <w:rPr>
                <w:rFonts w:ascii="Gill Sans MT" w:hAnsi="Gill Sans MT" w:cs="Times New Roman"/>
                <w:sz w:val="24"/>
                <w:szCs w:val="24"/>
              </w:rPr>
            </w:pPr>
          </w:p>
          <w:p w14:paraId="313B85C9" w14:textId="77777777" w:rsidR="00D811BF" w:rsidRPr="00434156" w:rsidRDefault="00D811BF" w:rsidP="00D16E5C">
            <w:pPr>
              <w:jc w:val="both"/>
              <w:rPr>
                <w:rFonts w:ascii="Gill Sans MT" w:hAnsi="Gill Sans MT" w:cs="Times New Roman"/>
                <w:sz w:val="24"/>
                <w:szCs w:val="24"/>
              </w:rPr>
            </w:pPr>
            <w:r w:rsidRPr="00434156">
              <w:rPr>
                <w:rFonts w:ascii="Gill Sans MT" w:hAnsi="Gill Sans MT" w:cs="Times New Roman"/>
                <w:sz w:val="24"/>
                <w:szCs w:val="24"/>
              </w:rPr>
              <w:t xml:space="preserve">                   0.1275</w:t>
            </w:r>
          </w:p>
        </w:tc>
        <w:tc>
          <w:tcPr>
            <w:tcW w:w="2695" w:type="dxa"/>
            <w:tcBorders>
              <w:top w:val="nil"/>
              <w:left w:val="nil"/>
              <w:bottom w:val="single" w:sz="4" w:space="0" w:color="auto"/>
              <w:right w:val="nil"/>
            </w:tcBorders>
          </w:tcPr>
          <w:p w14:paraId="53883434" w14:textId="77777777" w:rsidR="00D811BF" w:rsidRPr="00434156" w:rsidRDefault="00D811BF" w:rsidP="00D16E5C">
            <w:pPr>
              <w:jc w:val="both"/>
              <w:rPr>
                <w:rFonts w:ascii="Gill Sans MT" w:hAnsi="Gill Sans MT" w:cs="Times New Roman"/>
                <w:sz w:val="24"/>
                <w:szCs w:val="24"/>
              </w:rPr>
            </w:pPr>
          </w:p>
          <w:p w14:paraId="2B4793F8" w14:textId="77777777" w:rsidR="00D811BF" w:rsidRPr="00434156" w:rsidRDefault="00D811BF" w:rsidP="00D16E5C">
            <w:pPr>
              <w:jc w:val="both"/>
              <w:rPr>
                <w:rFonts w:ascii="Gill Sans MT" w:hAnsi="Gill Sans MT" w:cs="Times New Roman"/>
                <w:sz w:val="24"/>
                <w:szCs w:val="24"/>
              </w:rPr>
            </w:pPr>
            <w:r w:rsidRPr="00434156">
              <w:rPr>
                <w:rFonts w:ascii="Gill Sans MT" w:hAnsi="Gill Sans MT" w:cs="Times New Roman"/>
                <w:sz w:val="24"/>
                <w:szCs w:val="24"/>
              </w:rPr>
              <w:t xml:space="preserve"> 0.2391</w:t>
            </w:r>
          </w:p>
        </w:tc>
        <w:tc>
          <w:tcPr>
            <w:tcW w:w="2695" w:type="dxa"/>
            <w:tcBorders>
              <w:top w:val="nil"/>
              <w:left w:val="nil"/>
              <w:bottom w:val="single" w:sz="4" w:space="0" w:color="auto"/>
              <w:right w:val="nil"/>
            </w:tcBorders>
          </w:tcPr>
          <w:p w14:paraId="74046C34" w14:textId="77777777" w:rsidR="00D811BF" w:rsidRPr="00434156" w:rsidRDefault="00D811BF" w:rsidP="00D16E5C">
            <w:pPr>
              <w:jc w:val="both"/>
              <w:rPr>
                <w:rFonts w:ascii="Gill Sans MT" w:hAnsi="Gill Sans MT" w:cs="Times New Roman"/>
                <w:sz w:val="24"/>
                <w:szCs w:val="24"/>
              </w:rPr>
            </w:pPr>
          </w:p>
          <w:p w14:paraId="68B8024C" w14:textId="77777777" w:rsidR="00D811BF" w:rsidRPr="00434156" w:rsidRDefault="00D811BF" w:rsidP="00D16E5C">
            <w:pPr>
              <w:jc w:val="both"/>
              <w:rPr>
                <w:rFonts w:ascii="Gill Sans MT" w:hAnsi="Gill Sans MT" w:cs="Times New Roman"/>
                <w:sz w:val="24"/>
                <w:szCs w:val="24"/>
              </w:rPr>
            </w:pPr>
            <w:r w:rsidRPr="00434156">
              <w:rPr>
                <w:rFonts w:ascii="Gill Sans MT" w:hAnsi="Gill Sans MT" w:cs="Times New Roman"/>
                <w:sz w:val="24"/>
                <w:szCs w:val="24"/>
              </w:rPr>
              <w:t xml:space="preserve"> 0.2437</w:t>
            </w:r>
          </w:p>
        </w:tc>
      </w:tr>
    </w:tbl>
    <w:p w14:paraId="1CDF3D97" w14:textId="77777777" w:rsidR="00D811BF" w:rsidRPr="00434156" w:rsidRDefault="00D811BF" w:rsidP="00D811BF">
      <w:pPr>
        <w:jc w:val="both"/>
        <w:rPr>
          <w:rFonts w:ascii="Gill Sans MT" w:hAnsi="Gill Sans MT" w:cs="Times New Roman"/>
          <w:sz w:val="24"/>
          <w:szCs w:val="24"/>
        </w:rPr>
      </w:pPr>
      <w:r w:rsidRPr="00434156">
        <w:rPr>
          <w:rFonts w:ascii="Gill Sans MT" w:hAnsi="Gill Sans MT" w:cs="Times New Roman"/>
          <w:sz w:val="24"/>
          <w:szCs w:val="24"/>
        </w:rPr>
        <w:t xml:space="preserve">Notes: The effects of good and bad news are </w:t>
      </w:r>
      <w:r w:rsidRPr="00434156">
        <w:rPr>
          <w:rFonts w:ascii="Calibri" w:hAnsi="Calibri" w:cs="Calibri"/>
          <w:sz w:val="24"/>
          <w:szCs w:val="24"/>
        </w:rPr>
        <w:t>α</w:t>
      </w:r>
      <w:r w:rsidRPr="00434156">
        <w:rPr>
          <w:rFonts w:ascii="Gill Sans MT" w:hAnsi="Gill Sans MT" w:cs="Times New Roman"/>
          <w:sz w:val="24"/>
          <w:szCs w:val="24"/>
        </w:rPr>
        <w:t xml:space="preserve"> and </w:t>
      </w:r>
      <m:oMath>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 xml:space="preserve">α + γ </m:t>
            </m:r>
          </m:e>
        </m:d>
      </m:oMath>
      <w:r w:rsidRPr="00434156">
        <w:rPr>
          <w:rFonts w:ascii="Gill Sans MT" w:hAnsi="Gill Sans MT" w:cs="Times New Roman"/>
          <w:sz w:val="24"/>
          <w:szCs w:val="24"/>
        </w:rPr>
        <w:t xml:space="preserve">, respectively. </w:t>
      </w:r>
    </w:p>
    <w:p w14:paraId="3B4A7C22" w14:textId="77777777" w:rsidR="00D811BF" w:rsidRDefault="00D811BF" w:rsidP="00D811BF"/>
    <w:p w14:paraId="66092814" w14:textId="5EC97BB3" w:rsidR="00D811BF" w:rsidRDefault="00D811BF" w:rsidP="00CB60E0">
      <w:pPr>
        <w:autoSpaceDE w:val="0"/>
        <w:autoSpaceDN w:val="0"/>
        <w:adjustRightInd w:val="0"/>
        <w:spacing w:after="0" w:line="480" w:lineRule="auto"/>
        <w:jc w:val="both"/>
        <w:rPr>
          <w:rFonts w:ascii="Gill Sans MT" w:hAnsi="Gill Sans MT" w:cs="Times New Roman"/>
          <w:sz w:val="24"/>
          <w:szCs w:val="24"/>
        </w:rPr>
      </w:pPr>
    </w:p>
    <w:p w14:paraId="4F33ED65" w14:textId="77777777" w:rsidR="00B711BE" w:rsidRDefault="00B711BE" w:rsidP="00B711BE">
      <w:pPr>
        <w:jc w:val="center"/>
        <w:rPr>
          <w:rFonts w:ascii="Gill Sans MT" w:hAnsi="Gill Sans MT" w:cs="Times New Roman"/>
          <w:b/>
          <w:bCs/>
        </w:rPr>
      </w:pPr>
      <w:r w:rsidRPr="00A83A6B">
        <w:rPr>
          <w:rFonts w:ascii="Gill Sans MT" w:hAnsi="Gill Sans MT" w:cs="Times New Roman"/>
          <w:b/>
          <w:bCs/>
        </w:rPr>
        <w:t>Appendix</w:t>
      </w:r>
      <w:r>
        <w:rPr>
          <w:rFonts w:ascii="Gill Sans MT" w:hAnsi="Gill Sans MT" w:cs="Times New Roman"/>
          <w:b/>
          <w:bCs/>
        </w:rPr>
        <w:t xml:space="preserve"> A</w:t>
      </w:r>
    </w:p>
    <w:p w14:paraId="16271A07" w14:textId="77777777" w:rsidR="00B711BE" w:rsidRDefault="00B711BE" w:rsidP="00B711BE">
      <w:pPr>
        <w:autoSpaceDE w:val="0"/>
        <w:autoSpaceDN w:val="0"/>
        <w:adjustRightInd w:val="0"/>
        <w:spacing w:after="0" w:line="240" w:lineRule="auto"/>
        <w:jc w:val="both"/>
        <w:rPr>
          <w:rFonts w:ascii="Gill Sans MT" w:hAnsi="Gill Sans MT" w:cs="Times New Roman"/>
          <w:b/>
          <w:bCs/>
        </w:rPr>
      </w:pPr>
    </w:p>
    <w:p w14:paraId="751E4C51" w14:textId="77777777" w:rsidR="00B711BE" w:rsidRPr="00A83A6B" w:rsidRDefault="00B711BE" w:rsidP="00B711BE">
      <w:pPr>
        <w:autoSpaceDE w:val="0"/>
        <w:autoSpaceDN w:val="0"/>
        <w:adjustRightInd w:val="0"/>
        <w:spacing w:after="0" w:line="240" w:lineRule="auto"/>
        <w:jc w:val="both"/>
        <w:rPr>
          <w:rFonts w:ascii="Gill Sans MT" w:hAnsi="Gill Sans MT" w:cs="Times New Roman"/>
        </w:rPr>
      </w:pPr>
      <w:r w:rsidRPr="00CA726E">
        <w:rPr>
          <w:rFonts w:ascii="Gill Sans MT" w:hAnsi="Gill Sans MT" w:cs="Times New Roman"/>
          <w:b/>
          <w:bCs/>
        </w:rPr>
        <w:t>Figure 1A</w:t>
      </w:r>
      <w:r>
        <w:rPr>
          <w:rFonts w:ascii="Gill Sans MT" w:hAnsi="Gill Sans MT" w:cs="Times New Roman"/>
        </w:rPr>
        <w:t>: Plot of Cyclical Components (Seasonal adjusted and Hamilton filtered seasonally adjusted Visitors series)</w:t>
      </w:r>
    </w:p>
    <w:p w14:paraId="2662AE19" w14:textId="77777777" w:rsidR="00B711BE" w:rsidRDefault="00B711BE" w:rsidP="00B711BE">
      <w:pPr>
        <w:autoSpaceDE w:val="0"/>
        <w:autoSpaceDN w:val="0"/>
        <w:adjustRightInd w:val="0"/>
        <w:spacing w:after="0" w:line="240" w:lineRule="auto"/>
        <w:jc w:val="both"/>
        <w:rPr>
          <w:rFonts w:ascii="Gill Sans MT" w:hAnsi="Gill Sans MT" w:cs="Times New Roman"/>
          <w:b/>
          <w:bCs/>
        </w:rPr>
      </w:pPr>
    </w:p>
    <w:p w14:paraId="32BDB380" w14:textId="77777777" w:rsidR="00B711BE" w:rsidRDefault="00B711BE" w:rsidP="00B711BE">
      <w:pPr>
        <w:autoSpaceDE w:val="0"/>
        <w:autoSpaceDN w:val="0"/>
        <w:adjustRightInd w:val="0"/>
        <w:spacing w:after="0" w:line="240" w:lineRule="auto"/>
        <w:jc w:val="both"/>
        <w:rPr>
          <w:rFonts w:ascii="Gill Sans MT" w:hAnsi="Gill Sans MT" w:cs="Times New Roman"/>
          <w:b/>
          <w:bCs/>
        </w:rPr>
      </w:pPr>
      <w:r w:rsidRPr="00A83A6B">
        <w:rPr>
          <w:rFonts w:ascii="Gill Sans MT" w:hAnsi="Gill Sans MT" w:cs="Times New Roman"/>
          <w:b/>
          <w:bCs/>
          <w:noProof/>
          <w:lang w:eastAsia="zh-CN"/>
        </w:rPr>
        <w:drawing>
          <wp:inline distT="0" distB="0" distL="0" distR="0" wp14:anchorId="51FAB2F4" wp14:editId="19B00F89">
            <wp:extent cx="5114925" cy="3190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14925" cy="3190875"/>
                    </a:xfrm>
                    <a:prstGeom prst="rect">
                      <a:avLst/>
                    </a:prstGeom>
                    <a:noFill/>
                    <a:ln>
                      <a:noFill/>
                    </a:ln>
                  </pic:spPr>
                </pic:pic>
              </a:graphicData>
            </a:graphic>
          </wp:inline>
        </w:drawing>
      </w:r>
    </w:p>
    <w:p w14:paraId="329BF4BE" w14:textId="77777777" w:rsidR="00B711BE" w:rsidRDefault="00B711BE" w:rsidP="00B711BE">
      <w:pPr>
        <w:autoSpaceDE w:val="0"/>
        <w:autoSpaceDN w:val="0"/>
        <w:adjustRightInd w:val="0"/>
        <w:spacing w:after="0" w:line="240" w:lineRule="auto"/>
        <w:jc w:val="both"/>
        <w:rPr>
          <w:rFonts w:ascii="Gill Sans MT" w:hAnsi="Gill Sans MT" w:cs="Times New Roman"/>
          <w:b/>
          <w:bCs/>
        </w:rPr>
      </w:pPr>
    </w:p>
    <w:p w14:paraId="2408DC31" w14:textId="77777777" w:rsidR="00B711BE" w:rsidRDefault="00B711BE" w:rsidP="00B711BE">
      <w:pPr>
        <w:autoSpaceDE w:val="0"/>
        <w:autoSpaceDN w:val="0"/>
        <w:adjustRightInd w:val="0"/>
        <w:spacing w:after="0" w:line="240" w:lineRule="auto"/>
        <w:jc w:val="both"/>
        <w:rPr>
          <w:rFonts w:ascii="Gill Sans MT" w:hAnsi="Gill Sans MT" w:cs="Times New Roman"/>
          <w:b/>
          <w:bCs/>
        </w:rPr>
      </w:pPr>
    </w:p>
    <w:p w14:paraId="02F3FC00" w14:textId="77777777" w:rsidR="00B711BE" w:rsidRDefault="00B711BE" w:rsidP="00B711BE">
      <w:pPr>
        <w:autoSpaceDE w:val="0"/>
        <w:autoSpaceDN w:val="0"/>
        <w:adjustRightInd w:val="0"/>
        <w:spacing w:after="0" w:line="240" w:lineRule="auto"/>
        <w:jc w:val="both"/>
        <w:rPr>
          <w:rFonts w:ascii="Gill Sans MT" w:hAnsi="Gill Sans MT" w:cs="Times New Roman"/>
        </w:rPr>
      </w:pPr>
      <w:r w:rsidRPr="00CA726E">
        <w:rPr>
          <w:rFonts w:ascii="Gill Sans MT" w:hAnsi="Gill Sans MT" w:cs="Times New Roman"/>
          <w:b/>
          <w:bCs/>
        </w:rPr>
        <w:t>Figure 1</w:t>
      </w:r>
      <w:r>
        <w:rPr>
          <w:rFonts w:ascii="Gill Sans MT" w:hAnsi="Gill Sans MT" w:cs="Times New Roman"/>
          <w:b/>
          <w:bCs/>
        </w:rPr>
        <w:t>B</w:t>
      </w:r>
      <w:r>
        <w:rPr>
          <w:rFonts w:ascii="Gill Sans MT" w:hAnsi="Gill Sans MT" w:cs="Times New Roman"/>
        </w:rPr>
        <w:t>: Plot of Hamilton-filtered EPU_UK series against the unadjusted series</w:t>
      </w:r>
    </w:p>
    <w:p w14:paraId="65174851" w14:textId="77777777" w:rsidR="00B711BE" w:rsidRDefault="00B711BE" w:rsidP="00B711BE">
      <w:pPr>
        <w:autoSpaceDE w:val="0"/>
        <w:autoSpaceDN w:val="0"/>
        <w:adjustRightInd w:val="0"/>
        <w:spacing w:after="0" w:line="240" w:lineRule="auto"/>
        <w:jc w:val="both"/>
        <w:rPr>
          <w:rFonts w:ascii="Gill Sans MT" w:hAnsi="Gill Sans MT" w:cs="Times New Roman"/>
          <w:b/>
          <w:bCs/>
        </w:rPr>
      </w:pPr>
    </w:p>
    <w:p w14:paraId="493E2DBC" w14:textId="77777777" w:rsidR="00B711BE" w:rsidRDefault="00B711BE" w:rsidP="00B711BE">
      <w:pPr>
        <w:autoSpaceDE w:val="0"/>
        <w:autoSpaceDN w:val="0"/>
        <w:adjustRightInd w:val="0"/>
        <w:spacing w:after="0" w:line="240" w:lineRule="auto"/>
        <w:jc w:val="both"/>
        <w:rPr>
          <w:rFonts w:ascii="Gill Sans MT" w:hAnsi="Gill Sans MT" w:cs="Times New Roman"/>
          <w:b/>
          <w:bCs/>
        </w:rPr>
      </w:pPr>
      <w:r w:rsidRPr="00FF37AA">
        <w:rPr>
          <w:rFonts w:ascii="Gill Sans MT" w:hAnsi="Gill Sans MT" w:cs="Times New Roman"/>
          <w:b/>
          <w:bCs/>
          <w:noProof/>
          <w:lang w:eastAsia="zh-CN"/>
        </w:rPr>
        <w:lastRenderedPageBreak/>
        <w:drawing>
          <wp:inline distT="0" distB="0" distL="0" distR="0" wp14:anchorId="1250CCE5" wp14:editId="40D123AA">
            <wp:extent cx="5162550" cy="321308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74111" cy="3220275"/>
                    </a:xfrm>
                    <a:prstGeom prst="rect">
                      <a:avLst/>
                    </a:prstGeom>
                    <a:noFill/>
                    <a:ln>
                      <a:noFill/>
                    </a:ln>
                  </pic:spPr>
                </pic:pic>
              </a:graphicData>
            </a:graphic>
          </wp:inline>
        </w:drawing>
      </w:r>
    </w:p>
    <w:p w14:paraId="716D5BC3" w14:textId="77777777" w:rsidR="00B711BE" w:rsidRDefault="00B711BE" w:rsidP="00B711BE">
      <w:pPr>
        <w:rPr>
          <w:rFonts w:ascii="Gill Sans MT" w:hAnsi="Gill Sans MT" w:cs="Times New Roman"/>
          <w:b/>
          <w:bCs/>
        </w:rPr>
      </w:pPr>
      <w:r>
        <w:rPr>
          <w:rFonts w:ascii="Gill Sans MT" w:hAnsi="Gill Sans MT" w:cs="Times New Roman"/>
          <w:b/>
          <w:bCs/>
        </w:rPr>
        <w:br w:type="page"/>
      </w:r>
    </w:p>
    <w:p w14:paraId="0B663936" w14:textId="77777777" w:rsidR="00B711BE" w:rsidRDefault="00B711BE" w:rsidP="00B711BE">
      <w:pPr>
        <w:autoSpaceDE w:val="0"/>
        <w:autoSpaceDN w:val="0"/>
        <w:adjustRightInd w:val="0"/>
        <w:spacing w:after="0" w:line="240" w:lineRule="auto"/>
        <w:jc w:val="both"/>
        <w:rPr>
          <w:rFonts w:ascii="Gill Sans MT" w:hAnsi="Gill Sans MT" w:cs="Times New Roman"/>
          <w:b/>
          <w:bCs/>
        </w:rPr>
      </w:pPr>
      <w:r>
        <w:rPr>
          <w:rFonts w:ascii="Gill Sans MT" w:hAnsi="Gill Sans MT" w:cs="Times New Roman"/>
          <w:b/>
          <w:bCs/>
        </w:rPr>
        <w:lastRenderedPageBreak/>
        <w:t>Appendix B</w:t>
      </w:r>
    </w:p>
    <w:p w14:paraId="6BAD7959" w14:textId="77777777" w:rsidR="00B711BE" w:rsidRDefault="00B711BE" w:rsidP="00B711BE">
      <w:pPr>
        <w:autoSpaceDE w:val="0"/>
        <w:autoSpaceDN w:val="0"/>
        <w:adjustRightInd w:val="0"/>
        <w:spacing w:after="0" w:line="240" w:lineRule="auto"/>
        <w:jc w:val="both"/>
        <w:rPr>
          <w:rFonts w:ascii="Gill Sans MT" w:hAnsi="Gill Sans MT" w:cs="Times New Roman"/>
          <w:color w:val="548DD4" w:themeColor="text2" w:themeTint="99"/>
          <w:sz w:val="24"/>
          <w:szCs w:val="24"/>
        </w:rPr>
      </w:pPr>
      <w:r>
        <w:rPr>
          <w:rFonts w:ascii="Gill Sans MT" w:hAnsi="Gill Sans MT" w:cs="Times New Roman"/>
          <w:color w:val="548DD4" w:themeColor="text2" w:themeTint="99"/>
          <w:sz w:val="24"/>
          <w:szCs w:val="24"/>
        </w:rPr>
        <w:t>Unit root test results:</w:t>
      </w:r>
    </w:p>
    <w:p w14:paraId="79153607" w14:textId="77777777" w:rsidR="00B711BE" w:rsidRDefault="00B711BE" w:rsidP="00B711BE">
      <w:pPr>
        <w:autoSpaceDE w:val="0"/>
        <w:autoSpaceDN w:val="0"/>
        <w:adjustRightInd w:val="0"/>
        <w:spacing w:after="0" w:line="240" w:lineRule="auto"/>
        <w:jc w:val="both"/>
        <w:rPr>
          <w:rFonts w:ascii="Gill Sans MT" w:hAnsi="Gill Sans MT" w:cs="Times New Roman"/>
          <w:color w:val="548DD4" w:themeColor="text2" w:themeTint="99"/>
          <w:sz w:val="24"/>
          <w:szCs w:val="24"/>
        </w:rPr>
      </w:pPr>
    </w:p>
    <w:p w14:paraId="3DC69D8F" w14:textId="77777777" w:rsidR="00B711BE" w:rsidRPr="00A83A6B" w:rsidRDefault="00B711BE" w:rsidP="00B711BE">
      <w:pPr>
        <w:autoSpaceDE w:val="0"/>
        <w:autoSpaceDN w:val="0"/>
        <w:adjustRightInd w:val="0"/>
        <w:spacing w:after="0" w:line="240" w:lineRule="auto"/>
        <w:jc w:val="both"/>
        <w:rPr>
          <w:rFonts w:ascii="Gill Sans MT" w:hAnsi="Gill Sans MT" w:cs="Times New Roman"/>
          <w:b/>
          <w:bCs/>
        </w:rPr>
      </w:pPr>
      <w:r>
        <w:rPr>
          <w:rFonts w:ascii="Gill Sans MT" w:hAnsi="Gill Sans MT" w:cs="Times New Roman"/>
          <w:color w:val="548DD4" w:themeColor="text2" w:themeTint="99"/>
          <w:sz w:val="24"/>
          <w:szCs w:val="24"/>
        </w:rPr>
        <w:t xml:space="preserve">To begin with we performed conventional Augmented Dickey-Fuller (ADF) regression with a trend and an intercept (to our unadjusted and adjusted series). For the adjusted series, for instance we obtained the estimated Dickey-Fuller value of </w:t>
      </w:r>
      <w:r w:rsidRPr="00B92E48">
        <w:rPr>
          <w:rFonts w:ascii="Gill Sans MT" w:hAnsi="Gill Sans MT" w:cs="Times New Roman"/>
          <w:color w:val="548DD4" w:themeColor="text2" w:themeTint="99"/>
          <w:sz w:val="24"/>
          <w:szCs w:val="24"/>
        </w:rPr>
        <w:t>-2.162</w:t>
      </w:r>
      <w:r>
        <w:rPr>
          <w:rFonts w:ascii="Gill Sans MT" w:hAnsi="Gill Sans MT" w:cs="Times New Roman"/>
          <w:color w:val="548DD4" w:themeColor="text2" w:themeTint="99"/>
          <w:sz w:val="24"/>
          <w:szCs w:val="24"/>
        </w:rPr>
        <w:t xml:space="preserve">. With the estimated </w:t>
      </w:r>
      <w:r>
        <w:rPr>
          <w:rFonts w:ascii="Gill Sans MT" w:hAnsi="Gill Sans MT" w:cs="Times New Roman"/>
          <w:i/>
          <w:iCs/>
          <w:color w:val="548DD4" w:themeColor="text2" w:themeTint="99"/>
          <w:sz w:val="24"/>
          <w:szCs w:val="24"/>
        </w:rPr>
        <w:t>p-</w:t>
      </w:r>
      <w:r>
        <w:rPr>
          <w:rFonts w:ascii="Gill Sans MT" w:hAnsi="Gill Sans MT" w:cs="Times New Roman"/>
          <w:color w:val="548DD4" w:themeColor="text2" w:themeTint="99"/>
          <w:sz w:val="24"/>
          <w:szCs w:val="24"/>
        </w:rPr>
        <w:t>value of 0.511 we accept the null hypothesis of a unit root in the tourist arrival series. Since ADF test has low power against unit root null hypothesis, we decided to perform a high-powered unit root test, such as the DF-GLS test. The test</w:t>
      </w:r>
      <w:bookmarkStart w:id="0" w:name="_GoBack"/>
      <w:bookmarkEnd w:id="0"/>
      <w:r>
        <w:rPr>
          <w:rFonts w:ascii="Gill Sans MT" w:hAnsi="Gill Sans MT" w:cs="Times New Roman"/>
          <w:color w:val="548DD4" w:themeColor="text2" w:themeTint="99"/>
          <w:sz w:val="24"/>
          <w:szCs w:val="24"/>
        </w:rPr>
        <w:t xml:space="preserve"> rejected the unit root null hypothesis with at both 5% and 1% critical values for all lags up to 4 (the test value: </w:t>
      </w:r>
      <w:r w:rsidRPr="00615032">
        <w:rPr>
          <w:rFonts w:ascii="Gill Sans MT" w:hAnsi="Gill Sans MT" w:cs="Times New Roman"/>
          <w:color w:val="548DD4" w:themeColor="text2" w:themeTint="99"/>
          <w:sz w:val="24"/>
          <w:szCs w:val="24"/>
        </w:rPr>
        <w:t>-13.473</w:t>
      </w:r>
      <w:r>
        <w:rPr>
          <w:rFonts w:ascii="Gill Sans MT" w:hAnsi="Gill Sans MT" w:cs="Times New Roman"/>
          <w:color w:val="548DD4" w:themeColor="text2" w:themeTint="99"/>
          <w:sz w:val="24"/>
          <w:szCs w:val="24"/>
        </w:rPr>
        <w:t xml:space="preserve"> whereas the 5% critical value is -2.870 and 1% critical value is: -3.480). We arrived at the same conclusions for the unadjusted tourist arrival series. Furthermore, a test of short memory of the time series (viz., KPSS test) shows that our series is stationary, but could be characterized by a stationary long-memory process. To confirm, we further carried out Robinson’s semiparametric long-memory estimation and obtained the integration order of 0.84. Therefore, in view of the low power of the conventional unit root test and the mixed evidence of high-powered unit root and long-memory estimation, we have decided to run our GARCH family of estimation with a difference of the tourist arrival series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Tour</m:t>
            </m:r>
          </m:e>
          <m:sub>
            <m:r>
              <w:rPr>
                <w:rFonts w:ascii="Cambria Math" w:eastAsiaTheme="minorEastAsia" w:hAnsi="Cambria Math" w:cs="Times New Roman"/>
                <w:sz w:val="24"/>
                <w:szCs w:val="24"/>
              </w:rPr>
              <m:t>t</m:t>
            </m:r>
          </m:sub>
        </m:sSub>
      </m:oMath>
      <w:r>
        <w:rPr>
          <w:rFonts w:ascii="Gill Sans MT" w:hAnsi="Gill Sans MT" w:cs="Times New Roman" w:hint="eastAsia"/>
          <w:sz w:val="24"/>
          <w:szCs w:val="24"/>
          <w:lang w:eastAsia="zh-CN"/>
        </w:rPr>
        <w:t>)</w:t>
      </w:r>
    </w:p>
    <w:p w14:paraId="079749E6" w14:textId="77777777" w:rsidR="00B711BE" w:rsidRDefault="00B711BE" w:rsidP="00B711BE"/>
    <w:p w14:paraId="729B69BA" w14:textId="77777777" w:rsidR="00B711BE" w:rsidRPr="00434156" w:rsidRDefault="00B711BE" w:rsidP="00CB60E0">
      <w:pPr>
        <w:autoSpaceDE w:val="0"/>
        <w:autoSpaceDN w:val="0"/>
        <w:adjustRightInd w:val="0"/>
        <w:spacing w:after="0" w:line="480" w:lineRule="auto"/>
        <w:jc w:val="both"/>
        <w:rPr>
          <w:rFonts w:ascii="Gill Sans MT" w:hAnsi="Gill Sans MT" w:cs="Times New Roman"/>
          <w:sz w:val="24"/>
          <w:szCs w:val="24"/>
        </w:rPr>
      </w:pPr>
    </w:p>
    <w:sectPr w:rsidR="00B711BE" w:rsidRPr="00434156" w:rsidSect="0094255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B5475" w14:textId="77777777" w:rsidR="0053717B" w:rsidRDefault="0053717B" w:rsidP="0002618B">
      <w:pPr>
        <w:spacing w:after="0" w:line="240" w:lineRule="auto"/>
      </w:pPr>
      <w:r>
        <w:separator/>
      </w:r>
    </w:p>
  </w:endnote>
  <w:endnote w:type="continuationSeparator" w:id="0">
    <w:p w14:paraId="4C966C8A" w14:textId="77777777" w:rsidR="0053717B" w:rsidRDefault="0053717B" w:rsidP="0002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185310"/>
      <w:docPartObj>
        <w:docPartGallery w:val="Page Numbers (Bottom of Page)"/>
        <w:docPartUnique/>
      </w:docPartObj>
    </w:sdtPr>
    <w:sdtEndPr>
      <w:rPr>
        <w:noProof/>
      </w:rPr>
    </w:sdtEndPr>
    <w:sdtContent>
      <w:p w14:paraId="69C680F5" w14:textId="71DA2456" w:rsidR="00074218" w:rsidRDefault="00FD066B">
        <w:pPr>
          <w:pStyle w:val="Footer"/>
          <w:jc w:val="center"/>
        </w:pPr>
        <w:r>
          <w:rPr>
            <w:noProof/>
          </w:rPr>
          <w:t>2</w:t>
        </w:r>
      </w:p>
    </w:sdtContent>
  </w:sdt>
  <w:p w14:paraId="78B5F40A" w14:textId="77777777" w:rsidR="00074218" w:rsidRDefault="00074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7F21A" w14:textId="77777777" w:rsidR="0053717B" w:rsidRDefault="0053717B" w:rsidP="0002618B">
      <w:pPr>
        <w:spacing w:after="0" w:line="240" w:lineRule="auto"/>
      </w:pPr>
      <w:r>
        <w:separator/>
      </w:r>
    </w:p>
  </w:footnote>
  <w:footnote w:type="continuationSeparator" w:id="0">
    <w:p w14:paraId="6700A5A3" w14:textId="77777777" w:rsidR="0053717B" w:rsidRDefault="0053717B" w:rsidP="0002618B">
      <w:pPr>
        <w:spacing w:after="0" w:line="240" w:lineRule="auto"/>
      </w:pPr>
      <w:r>
        <w:continuationSeparator/>
      </w:r>
    </w:p>
  </w:footnote>
  <w:footnote w:id="1">
    <w:p w14:paraId="4A46823F" w14:textId="77777777" w:rsidR="00FD066B" w:rsidRPr="006B72B3" w:rsidRDefault="00FD066B" w:rsidP="00FD066B">
      <w:pPr>
        <w:pStyle w:val="FootnoteText"/>
        <w:rPr>
          <w:lang w:val="en-GB"/>
        </w:rPr>
      </w:pPr>
      <w:r>
        <w:rPr>
          <w:rStyle w:val="FootnoteReference"/>
        </w:rPr>
        <w:footnoteRef/>
      </w:r>
      <w:r>
        <w:t xml:space="preserve"> </w:t>
      </w:r>
      <w:r>
        <w:rPr>
          <w:lang w:val="en-GB"/>
        </w:rPr>
        <w:t xml:space="preserve">Corresponding author: Yang </w:t>
      </w:r>
      <w:proofErr w:type="spellStart"/>
      <w:r>
        <w:rPr>
          <w:lang w:val="en-GB"/>
        </w:rPr>
        <w:t>Yang</w:t>
      </w:r>
      <w:proofErr w:type="spellEnd"/>
      <w:r>
        <w:rPr>
          <w:lang w:val="en-GB"/>
        </w:rPr>
        <w:t xml:space="preserve"> (E-mail: </w:t>
      </w:r>
      <w:hyperlink r:id="rId1" w:history="1">
        <w:r w:rsidRPr="00561615">
          <w:rPr>
            <w:rStyle w:val="Hyperlink"/>
            <w:lang w:val="en-GB"/>
          </w:rPr>
          <w:t>yangy@temple.edu</w:t>
        </w:r>
      </w:hyperlink>
      <w:r>
        <w:rPr>
          <w:lang w:val="en-GB"/>
        </w:rPr>
        <w:t xml:space="preserve">); Anupam Dutta (E-mail: </w:t>
      </w:r>
      <w:hyperlink r:id="rId2" w:history="1">
        <w:r w:rsidRPr="00561615">
          <w:rPr>
            <w:rStyle w:val="Hyperlink"/>
            <w:lang w:val="en-GB"/>
          </w:rPr>
          <w:t>adutta@uwasa.fi</w:t>
        </w:r>
      </w:hyperlink>
      <w:r>
        <w:rPr>
          <w:lang w:val="en-GB"/>
        </w:rPr>
        <w:t xml:space="preserve">); Gazi Uddin (E-mail: gazi.salah.uddin@liu.se) ; Tapas Mishra (E-mail: </w:t>
      </w:r>
      <w:hyperlink r:id="rId3" w:history="1">
        <w:r w:rsidRPr="00561615">
          <w:rPr>
            <w:rStyle w:val="Hyperlink"/>
            <w:lang w:val="en-GB"/>
          </w:rPr>
          <w:t>t.k.mishra@soton.ac.uk</w:t>
        </w:r>
      </w:hyperlink>
      <w:r>
        <w:rPr>
          <w:lang w:val="en-GB"/>
        </w:rPr>
        <w:t>).</w:t>
      </w:r>
    </w:p>
  </w:footnote>
  <w:footnote w:id="2">
    <w:p w14:paraId="79EB8800" w14:textId="3E24BBDC" w:rsidR="00074218" w:rsidRPr="00C4437F" w:rsidRDefault="00074218">
      <w:pPr>
        <w:pStyle w:val="FootnoteText"/>
        <w:rPr>
          <w:rFonts w:ascii="Gill Sans MT" w:hAnsi="Gill Sans MT"/>
          <w:lang w:val="en-GB"/>
        </w:rPr>
      </w:pPr>
      <w:r w:rsidRPr="00C4437F">
        <w:rPr>
          <w:rStyle w:val="FootnoteReference"/>
          <w:rFonts w:ascii="Gill Sans MT" w:hAnsi="Gill Sans MT"/>
          <w:sz w:val="22"/>
          <w:szCs w:val="22"/>
        </w:rPr>
        <w:footnoteRef/>
      </w:r>
      <w:r w:rsidRPr="00C4437F">
        <w:rPr>
          <w:rFonts w:ascii="Gill Sans MT" w:hAnsi="Gill Sans MT"/>
          <w:sz w:val="22"/>
          <w:szCs w:val="22"/>
        </w:rPr>
        <w:t xml:space="preserve"> </w:t>
      </w:r>
      <w:r w:rsidRPr="00C4437F">
        <w:rPr>
          <w:rFonts w:ascii="Gill Sans MT" w:hAnsi="Gill Sans MT"/>
          <w:lang w:val="en-GB"/>
        </w:rPr>
        <w:t>Thanks to an anonymous referee for suggesting this estimation.</w:t>
      </w:r>
    </w:p>
  </w:footnote>
  <w:footnote w:id="3">
    <w:p w14:paraId="482BDC76" w14:textId="091AAFB2" w:rsidR="00074218" w:rsidRPr="001F36CF" w:rsidRDefault="00074218">
      <w:pPr>
        <w:pStyle w:val="FootnoteText"/>
        <w:rPr>
          <w:lang w:val="en-GB"/>
        </w:rPr>
      </w:pPr>
      <w:r w:rsidRPr="00C4437F">
        <w:rPr>
          <w:rStyle w:val="FootnoteReference"/>
          <w:rFonts w:ascii="Gill Sans MT" w:hAnsi="Gill Sans MT"/>
        </w:rPr>
        <w:footnoteRef/>
      </w:r>
      <w:r w:rsidRPr="00C4437F">
        <w:rPr>
          <w:rFonts w:ascii="Gill Sans MT" w:hAnsi="Gill Sans MT"/>
        </w:rPr>
        <w:t xml:space="preserve"> </w:t>
      </w:r>
      <w:r w:rsidRPr="00C4437F">
        <w:rPr>
          <w:rFonts w:ascii="Gill Sans MT" w:hAnsi="Gill Sans MT" w:cs="Times New Roman"/>
        </w:rPr>
        <w:t>All the data are sourced from Thomson Reuters DataStream database</w:t>
      </w:r>
      <w:r w:rsidRPr="00C4437F">
        <w:rPr>
          <w:rFonts w:ascii="Gill Sans MT" w:hAnsi="Gill Sans MT" w:cs="Times New Roman"/>
          <w:sz w:val="24"/>
          <w:szCs w:val="24"/>
        </w:rPr>
        <w:t>.</w:t>
      </w:r>
    </w:p>
  </w:footnote>
  <w:footnote w:id="4">
    <w:p w14:paraId="09C7E46A" w14:textId="3B24C6EA" w:rsidR="00074218" w:rsidRPr="00E05F86" w:rsidRDefault="00074218">
      <w:pPr>
        <w:pStyle w:val="FootnoteText"/>
        <w:rPr>
          <w:lang w:val="en-GB"/>
        </w:rPr>
      </w:pPr>
      <w:r>
        <w:rPr>
          <w:rStyle w:val="FootnoteReference"/>
        </w:rPr>
        <w:footnoteRef/>
      </w:r>
      <w:r>
        <w:t xml:space="preserve"> </w:t>
      </w:r>
      <w:r>
        <w:rPr>
          <w:lang w:val="en-GB"/>
        </w:rPr>
        <w:t>Our results from adjusted (de-seasonalized and trend extracted) data produce similar conclusions. Results are not reported here due to lack of space but are available with the authors.</w:t>
      </w:r>
    </w:p>
  </w:footnote>
  <w:footnote w:id="5">
    <w:p w14:paraId="7927FD7E" w14:textId="493EBD5D" w:rsidR="00074218" w:rsidRPr="002519CA" w:rsidRDefault="00074218">
      <w:pPr>
        <w:pStyle w:val="FootnoteText"/>
        <w:rPr>
          <w:lang w:val="en-GB"/>
        </w:rPr>
      </w:pPr>
      <w:r>
        <w:rPr>
          <w:rStyle w:val="FootnoteReference"/>
        </w:rPr>
        <w:footnoteRef/>
      </w:r>
      <w:r>
        <w:t xml:space="preserve"> </w:t>
      </w:r>
      <w:r>
        <w:rPr>
          <w:lang w:val="en-GB"/>
        </w:rPr>
        <w:t>Thanks to an anonymous referee for suggesting this estimation to lend robustness to our results.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D45B1"/>
    <w:multiLevelType w:val="hybridMultilevel"/>
    <w:tmpl w:val="F4365A9A"/>
    <w:lvl w:ilvl="0" w:tplc="8410C6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A406C6"/>
    <w:multiLevelType w:val="hybridMultilevel"/>
    <w:tmpl w:val="DE561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Y0NbA0NjQ1MTM1MzBS0lEKTi0uzszPAymwqAUA1Xy8wSwAAAA="/>
  </w:docVars>
  <w:rsids>
    <w:rsidRoot w:val="00C01C7A"/>
    <w:rsid w:val="00002D6B"/>
    <w:rsid w:val="00006379"/>
    <w:rsid w:val="00006FDD"/>
    <w:rsid w:val="00007265"/>
    <w:rsid w:val="000118A6"/>
    <w:rsid w:val="000137BB"/>
    <w:rsid w:val="00015A0A"/>
    <w:rsid w:val="00020732"/>
    <w:rsid w:val="000246EC"/>
    <w:rsid w:val="00025A5F"/>
    <w:rsid w:val="00025E2F"/>
    <w:rsid w:val="0002600E"/>
    <w:rsid w:val="0002618B"/>
    <w:rsid w:val="00032E1D"/>
    <w:rsid w:val="0004021E"/>
    <w:rsid w:val="0004138D"/>
    <w:rsid w:val="00041568"/>
    <w:rsid w:val="00043331"/>
    <w:rsid w:val="00044B9A"/>
    <w:rsid w:val="00047154"/>
    <w:rsid w:val="00053B90"/>
    <w:rsid w:val="0006059A"/>
    <w:rsid w:val="000657C0"/>
    <w:rsid w:val="00065D32"/>
    <w:rsid w:val="00074218"/>
    <w:rsid w:val="00075DB4"/>
    <w:rsid w:val="0007613D"/>
    <w:rsid w:val="00076A36"/>
    <w:rsid w:val="00080156"/>
    <w:rsid w:val="00080394"/>
    <w:rsid w:val="0008229F"/>
    <w:rsid w:val="00090C93"/>
    <w:rsid w:val="00092CD6"/>
    <w:rsid w:val="00093B6F"/>
    <w:rsid w:val="000A6709"/>
    <w:rsid w:val="000B0B91"/>
    <w:rsid w:val="000B3424"/>
    <w:rsid w:val="000B3A5D"/>
    <w:rsid w:val="000B506C"/>
    <w:rsid w:val="000B6B90"/>
    <w:rsid w:val="000C2CC3"/>
    <w:rsid w:val="000D1684"/>
    <w:rsid w:val="000D340C"/>
    <w:rsid w:val="000D3F4D"/>
    <w:rsid w:val="000D5409"/>
    <w:rsid w:val="000E2CF7"/>
    <w:rsid w:val="000E402D"/>
    <w:rsid w:val="000E4214"/>
    <w:rsid w:val="000F044B"/>
    <w:rsid w:val="000F1CCD"/>
    <w:rsid w:val="000F5C52"/>
    <w:rsid w:val="000F6A09"/>
    <w:rsid w:val="000F703D"/>
    <w:rsid w:val="000F7503"/>
    <w:rsid w:val="00102881"/>
    <w:rsid w:val="001051C8"/>
    <w:rsid w:val="001060A8"/>
    <w:rsid w:val="001132CB"/>
    <w:rsid w:val="00113FCE"/>
    <w:rsid w:val="00114B20"/>
    <w:rsid w:val="00116B25"/>
    <w:rsid w:val="00117E42"/>
    <w:rsid w:val="0012507D"/>
    <w:rsid w:val="0012588F"/>
    <w:rsid w:val="00130810"/>
    <w:rsid w:val="00131D52"/>
    <w:rsid w:val="00133F9C"/>
    <w:rsid w:val="00135369"/>
    <w:rsid w:val="001362A4"/>
    <w:rsid w:val="0014074E"/>
    <w:rsid w:val="00153A56"/>
    <w:rsid w:val="00154EF3"/>
    <w:rsid w:val="001576BF"/>
    <w:rsid w:val="0016316D"/>
    <w:rsid w:val="001640CC"/>
    <w:rsid w:val="0017245C"/>
    <w:rsid w:val="00174D51"/>
    <w:rsid w:val="001750C2"/>
    <w:rsid w:val="0018170E"/>
    <w:rsid w:val="001830F4"/>
    <w:rsid w:val="0018331D"/>
    <w:rsid w:val="00184C9A"/>
    <w:rsid w:val="0018607E"/>
    <w:rsid w:val="001869B6"/>
    <w:rsid w:val="0018750F"/>
    <w:rsid w:val="00190D21"/>
    <w:rsid w:val="00190EA4"/>
    <w:rsid w:val="001914CE"/>
    <w:rsid w:val="00191718"/>
    <w:rsid w:val="001951B1"/>
    <w:rsid w:val="001A2752"/>
    <w:rsid w:val="001A44CC"/>
    <w:rsid w:val="001A65CC"/>
    <w:rsid w:val="001A7D8F"/>
    <w:rsid w:val="001B0B2A"/>
    <w:rsid w:val="001B5A57"/>
    <w:rsid w:val="001B6DD0"/>
    <w:rsid w:val="001B71AF"/>
    <w:rsid w:val="001B7591"/>
    <w:rsid w:val="001B7C94"/>
    <w:rsid w:val="001C3D68"/>
    <w:rsid w:val="001C7647"/>
    <w:rsid w:val="001D2BA9"/>
    <w:rsid w:val="001D5C2B"/>
    <w:rsid w:val="001D5CC6"/>
    <w:rsid w:val="001E00AD"/>
    <w:rsid w:val="001E03EE"/>
    <w:rsid w:val="001E147A"/>
    <w:rsid w:val="001E1541"/>
    <w:rsid w:val="001E3701"/>
    <w:rsid w:val="001E4134"/>
    <w:rsid w:val="001F36CF"/>
    <w:rsid w:val="001F7679"/>
    <w:rsid w:val="0020182C"/>
    <w:rsid w:val="00204A70"/>
    <w:rsid w:val="00207A61"/>
    <w:rsid w:val="002115C3"/>
    <w:rsid w:val="00212526"/>
    <w:rsid w:val="00215FDE"/>
    <w:rsid w:val="002171B9"/>
    <w:rsid w:val="0022141D"/>
    <w:rsid w:val="002233E1"/>
    <w:rsid w:val="0022600C"/>
    <w:rsid w:val="002260BE"/>
    <w:rsid w:val="00230592"/>
    <w:rsid w:val="00234587"/>
    <w:rsid w:val="002351C2"/>
    <w:rsid w:val="00237B4F"/>
    <w:rsid w:val="00242B11"/>
    <w:rsid w:val="002505F9"/>
    <w:rsid w:val="00251039"/>
    <w:rsid w:val="002519CA"/>
    <w:rsid w:val="00254067"/>
    <w:rsid w:val="002634C6"/>
    <w:rsid w:val="002642D4"/>
    <w:rsid w:val="00265D31"/>
    <w:rsid w:val="00267AB6"/>
    <w:rsid w:val="0027549F"/>
    <w:rsid w:val="00276AED"/>
    <w:rsid w:val="002811F7"/>
    <w:rsid w:val="00281B29"/>
    <w:rsid w:val="0029009C"/>
    <w:rsid w:val="00297627"/>
    <w:rsid w:val="002A44BD"/>
    <w:rsid w:val="002A4CAC"/>
    <w:rsid w:val="002A5FF0"/>
    <w:rsid w:val="002A716F"/>
    <w:rsid w:val="002B11E3"/>
    <w:rsid w:val="002B3B30"/>
    <w:rsid w:val="002C5D7A"/>
    <w:rsid w:val="002C7166"/>
    <w:rsid w:val="002D39A7"/>
    <w:rsid w:val="002D6EA1"/>
    <w:rsid w:val="002E0229"/>
    <w:rsid w:val="002E1A70"/>
    <w:rsid w:val="002E2100"/>
    <w:rsid w:val="002E6B2F"/>
    <w:rsid w:val="002F1ABF"/>
    <w:rsid w:val="002F3056"/>
    <w:rsid w:val="002F347A"/>
    <w:rsid w:val="002F4A54"/>
    <w:rsid w:val="002F5876"/>
    <w:rsid w:val="00302D82"/>
    <w:rsid w:val="00310FA9"/>
    <w:rsid w:val="00320457"/>
    <w:rsid w:val="00333EE2"/>
    <w:rsid w:val="003349D3"/>
    <w:rsid w:val="00342939"/>
    <w:rsid w:val="00345B6F"/>
    <w:rsid w:val="0035151A"/>
    <w:rsid w:val="00353F14"/>
    <w:rsid w:val="00354699"/>
    <w:rsid w:val="00354EFA"/>
    <w:rsid w:val="003554A5"/>
    <w:rsid w:val="00360AFD"/>
    <w:rsid w:val="0036480F"/>
    <w:rsid w:val="0036563C"/>
    <w:rsid w:val="0036709C"/>
    <w:rsid w:val="0037201E"/>
    <w:rsid w:val="003763B9"/>
    <w:rsid w:val="00376818"/>
    <w:rsid w:val="003768CD"/>
    <w:rsid w:val="00377449"/>
    <w:rsid w:val="00380652"/>
    <w:rsid w:val="00382AB9"/>
    <w:rsid w:val="00385A7D"/>
    <w:rsid w:val="0038725D"/>
    <w:rsid w:val="00390FFB"/>
    <w:rsid w:val="00392603"/>
    <w:rsid w:val="00394E41"/>
    <w:rsid w:val="003A34F8"/>
    <w:rsid w:val="003A3E2B"/>
    <w:rsid w:val="003A42BA"/>
    <w:rsid w:val="003A4413"/>
    <w:rsid w:val="003A6137"/>
    <w:rsid w:val="003B01F6"/>
    <w:rsid w:val="003B2255"/>
    <w:rsid w:val="003B3780"/>
    <w:rsid w:val="003B378F"/>
    <w:rsid w:val="003B7B26"/>
    <w:rsid w:val="003C2550"/>
    <w:rsid w:val="003C29D2"/>
    <w:rsid w:val="003D63FD"/>
    <w:rsid w:val="003E0C58"/>
    <w:rsid w:val="003E1CE1"/>
    <w:rsid w:val="003F4BD9"/>
    <w:rsid w:val="00401BAE"/>
    <w:rsid w:val="0040252B"/>
    <w:rsid w:val="0040384D"/>
    <w:rsid w:val="00404270"/>
    <w:rsid w:val="00404B2D"/>
    <w:rsid w:val="004077B8"/>
    <w:rsid w:val="004157C1"/>
    <w:rsid w:val="00415E6A"/>
    <w:rsid w:val="00420622"/>
    <w:rsid w:val="00420EB5"/>
    <w:rsid w:val="00421DFD"/>
    <w:rsid w:val="00423003"/>
    <w:rsid w:val="00424AE6"/>
    <w:rsid w:val="00427759"/>
    <w:rsid w:val="00430EAA"/>
    <w:rsid w:val="00434156"/>
    <w:rsid w:val="00437340"/>
    <w:rsid w:val="00440DC3"/>
    <w:rsid w:val="00442068"/>
    <w:rsid w:val="00444673"/>
    <w:rsid w:val="00451982"/>
    <w:rsid w:val="00466B25"/>
    <w:rsid w:val="00470968"/>
    <w:rsid w:val="00470ADE"/>
    <w:rsid w:val="00471527"/>
    <w:rsid w:val="00477587"/>
    <w:rsid w:val="00482929"/>
    <w:rsid w:val="00487C7A"/>
    <w:rsid w:val="004976DE"/>
    <w:rsid w:val="004A34E9"/>
    <w:rsid w:val="004B1329"/>
    <w:rsid w:val="004B3510"/>
    <w:rsid w:val="004C1016"/>
    <w:rsid w:val="004C5115"/>
    <w:rsid w:val="004C574A"/>
    <w:rsid w:val="004C6601"/>
    <w:rsid w:val="004D27E0"/>
    <w:rsid w:val="004D4673"/>
    <w:rsid w:val="004D4EA0"/>
    <w:rsid w:val="004D58AA"/>
    <w:rsid w:val="004D710B"/>
    <w:rsid w:val="004D7837"/>
    <w:rsid w:val="004E183F"/>
    <w:rsid w:val="004E60A0"/>
    <w:rsid w:val="004E6429"/>
    <w:rsid w:val="004F5E95"/>
    <w:rsid w:val="004F6A5D"/>
    <w:rsid w:val="004F6C68"/>
    <w:rsid w:val="005045CA"/>
    <w:rsid w:val="00512A85"/>
    <w:rsid w:val="00513CC2"/>
    <w:rsid w:val="00522DF3"/>
    <w:rsid w:val="00524824"/>
    <w:rsid w:val="0052521C"/>
    <w:rsid w:val="00525256"/>
    <w:rsid w:val="005276E9"/>
    <w:rsid w:val="0053291B"/>
    <w:rsid w:val="00534151"/>
    <w:rsid w:val="005346F5"/>
    <w:rsid w:val="00534F41"/>
    <w:rsid w:val="0053582C"/>
    <w:rsid w:val="0053717B"/>
    <w:rsid w:val="00541706"/>
    <w:rsid w:val="00541BC3"/>
    <w:rsid w:val="00541E40"/>
    <w:rsid w:val="00542E3A"/>
    <w:rsid w:val="00555AA0"/>
    <w:rsid w:val="00557984"/>
    <w:rsid w:val="0057033D"/>
    <w:rsid w:val="00571769"/>
    <w:rsid w:val="005721AE"/>
    <w:rsid w:val="00575B16"/>
    <w:rsid w:val="00583397"/>
    <w:rsid w:val="00585E07"/>
    <w:rsid w:val="00597AC3"/>
    <w:rsid w:val="005A3475"/>
    <w:rsid w:val="005A55EC"/>
    <w:rsid w:val="005A77F0"/>
    <w:rsid w:val="005B39DF"/>
    <w:rsid w:val="005B5248"/>
    <w:rsid w:val="005D5E37"/>
    <w:rsid w:val="005D705F"/>
    <w:rsid w:val="005E17FE"/>
    <w:rsid w:val="005E19F7"/>
    <w:rsid w:val="005E1BA5"/>
    <w:rsid w:val="005E4B40"/>
    <w:rsid w:val="005F1C12"/>
    <w:rsid w:val="005F2D34"/>
    <w:rsid w:val="005F5F09"/>
    <w:rsid w:val="00602AD2"/>
    <w:rsid w:val="00604A9F"/>
    <w:rsid w:val="006072D5"/>
    <w:rsid w:val="00613C39"/>
    <w:rsid w:val="00614059"/>
    <w:rsid w:val="00615032"/>
    <w:rsid w:val="006162D7"/>
    <w:rsid w:val="00616327"/>
    <w:rsid w:val="00616505"/>
    <w:rsid w:val="00617FEB"/>
    <w:rsid w:val="00620C36"/>
    <w:rsid w:val="00627CF5"/>
    <w:rsid w:val="00631EF7"/>
    <w:rsid w:val="00636DBB"/>
    <w:rsid w:val="00641171"/>
    <w:rsid w:val="0065494C"/>
    <w:rsid w:val="00664C9D"/>
    <w:rsid w:val="00665A44"/>
    <w:rsid w:val="006664B4"/>
    <w:rsid w:val="006669F2"/>
    <w:rsid w:val="00671180"/>
    <w:rsid w:val="00671CF7"/>
    <w:rsid w:val="00672749"/>
    <w:rsid w:val="00673149"/>
    <w:rsid w:val="00682E69"/>
    <w:rsid w:val="006835FA"/>
    <w:rsid w:val="0068503B"/>
    <w:rsid w:val="00685ACE"/>
    <w:rsid w:val="00686DEF"/>
    <w:rsid w:val="00687AEE"/>
    <w:rsid w:val="00690A58"/>
    <w:rsid w:val="00693B11"/>
    <w:rsid w:val="00693FBC"/>
    <w:rsid w:val="0069742E"/>
    <w:rsid w:val="006A2E60"/>
    <w:rsid w:val="006B3916"/>
    <w:rsid w:val="006B6F1A"/>
    <w:rsid w:val="006B72B3"/>
    <w:rsid w:val="006B7D43"/>
    <w:rsid w:val="006C2F1C"/>
    <w:rsid w:val="006C61C1"/>
    <w:rsid w:val="006C7C0A"/>
    <w:rsid w:val="006D0C98"/>
    <w:rsid w:val="006D10C4"/>
    <w:rsid w:val="006D1BBF"/>
    <w:rsid w:val="006D2209"/>
    <w:rsid w:val="006E0428"/>
    <w:rsid w:val="006E1F71"/>
    <w:rsid w:val="006E53DD"/>
    <w:rsid w:val="006E572D"/>
    <w:rsid w:val="006E6E6C"/>
    <w:rsid w:val="006F0094"/>
    <w:rsid w:val="006F1EFD"/>
    <w:rsid w:val="006F6384"/>
    <w:rsid w:val="006F6C3F"/>
    <w:rsid w:val="0070294F"/>
    <w:rsid w:val="007039E3"/>
    <w:rsid w:val="007044DA"/>
    <w:rsid w:val="0070694F"/>
    <w:rsid w:val="00713584"/>
    <w:rsid w:val="00713DC3"/>
    <w:rsid w:val="00716B8F"/>
    <w:rsid w:val="00721884"/>
    <w:rsid w:val="00721C38"/>
    <w:rsid w:val="007251A4"/>
    <w:rsid w:val="00725416"/>
    <w:rsid w:val="00725603"/>
    <w:rsid w:val="007313B8"/>
    <w:rsid w:val="007336E7"/>
    <w:rsid w:val="00734949"/>
    <w:rsid w:val="00742A8C"/>
    <w:rsid w:val="0074419E"/>
    <w:rsid w:val="00744D3D"/>
    <w:rsid w:val="0074708A"/>
    <w:rsid w:val="00754235"/>
    <w:rsid w:val="007545CE"/>
    <w:rsid w:val="00755BE1"/>
    <w:rsid w:val="007561DA"/>
    <w:rsid w:val="007571E7"/>
    <w:rsid w:val="00760F1E"/>
    <w:rsid w:val="00764458"/>
    <w:rsid w:val="00765905"/>
    <w:rsid w:val="0076638C"/>
    <w:rsid w:val="00775504"/>
    <w:rsid w:val="00775E84"/>
    <w:rsid w:val="00780407"/>
    <w:rsid w:val="007822BE"/>
    <w:rsid w:val="00787A5E"/>
    <w:rsid w:val="00790E9E"/>
    <w:rsid w:val="00792DF8"/>
    <w:rsid w:val="0079323C"/>
    <w:rsid w:val="0079350E"/>
    <w:rsid w:val="007A1593"/>
    <w:rsid w:val="007A1FAE"/>
    <w:rsid w:val="007B604C"/>
    <w:rsid w:val="007B7DA4"/>
    <w:rsid w:val="007C4D4E"/>
    <w:rsid w:val="007D0810"/>
    <w:rsid w:val="007D2C88"/>
    <w:rsid w:val="007E0D9D"/>
    <w:rsid w:val="007E140F"/>
    <w:rsid w:val="007E32EF"/>
    <w:rsid w:val="007E3D4D"/>
    <w:rsid w:val="007E7E7B"/>
    <w:rsid w:val="007F539F"/>
    <w:rsid w:val="007F7701"/>
    <w:rsid w:val="00803FEB"/>
    <w:rsid w:val="008057D2"/>
    <w:rsid w:val="00805F20"/>
    <w:rsid w:val="00807ED9"/>
    <w:rsid w:val="00811AE5"/>
    <w:rsid w:val="00813E20"/>
    <w:rsid w:val="00817C41"/>
    <w:rsid w:val="00822D36"/>
    <w:rsid w:val="00823EB2"/>
    <w:rsid w:val="00825984"/>
    <w:rsid w:val="00825D48"/>
    <w:rsid w:val="00827FB1"/>
    <w:rsid w:val="00831B46"/>
    <w:rsid w:val="0083501B"/>
    <w:rsid w:val="00837F09"/>
    <w:rsid w:val="00845C9B"/>
    <w:rsid w:val="00845E68"/>
    <w:rsid w:val="00845FFD"/>
    <w:rsid w:val="008474D0"/>
    <w:rsid w:val="008512F7"/>
    <w:rsid w:val="0085160A"/>
    <w:rsid w:val="008520E7"/>
    <w:rsid w:val="00854C9B"/>
    <w:rsid w:val="00855017"/>
    <w:rsid w:val="00856449"/>
    <w:rsid w:val="00856FCF"/>
    <w:rsid w:val="008626CF"/>
    <w:rsid w:val="008648B9"/>
    <w:rsid w:val="00864C40"/>
    <w:rsid w:val="00865AB4"/>
    <w:rsid w:val="008663A6"/>
    <w:rsid w:val="00871475"/>
    <w:rsid w:val="00872C1B"/>
    <w:rsid w:val="00873824"/>
    <w:rsid w:val="00880EED"/>
    <w:rsid w:val="00880FE9"/>
    <w:rsid w:val="00883F3E"/>
    <w:rsid w:val="008864C0"/>
    <w:rsid w:val="00886EC4"/>
    <w:rsid w:val="008902A8"/>
    <w:rsid w:val="008907B7"/>
    <w:rsid w:val="00893161"/>
    <w:rsid w:val="008978CC"/>
    <w:rsid w:val="008A1A24"/>
    <w:rsid w:val="008A2A2A"/>
    <w:rsid w:val="008A3B63"/>
    <w:rsid w:val="008A5F46"/>
    <w:rsid w:val="008B1A70"/>
    <w:rsid w:val="008B5067"/>
    <w:rsid w:val="008B7E21"/>
    <w:rsid w:val="008C1F51"/>
    <w:rsid w:val="008C3F2E"/>
    <w:rsid w:val="008C5F7E"/>
    <w:rsid w:val="008D3950"/>
    <w:rsid w:val="008D61F5"/>
    <w:rsid w:val="008D74E6"/>
    <w:rsid w:val="008E197B"/>
    <w:rsid w:val="008E32F6"/>
    <w:rsid w:val="008E42AA"/>
    <w:rsid w:val="008E6384"/>
    <w:rsid w:val="008E6B17"/>
    <w:rsid w:val="008E7E76"/>
    <w:rsid w:val="008F27D5"/>
    <w:rsid w:val="008F4154"/>
    <w:rsid w:val="008F483D"/>
    <w:rsid w:val="008F4D1A"/>
    <w:rsid w:val="008F4FC7"/>
    <w:rsid w:val="008F7DDA"/>
    <w:rsid w:val="00901EAC"/>
    <w:rsid w:val="0090281A"/>
    <w:rsid w:val="00910CF2"/>
    <w:rsid w:val="009111C6"/>
    <w:rsid w:val="009137ED"/>
    <w:rsid w:val="00915370"/>
    <w:rsid w:val="00916091"/>
    <w:rsid w:val="009179A6"/>
    <w:rsid w:val="009226E8"/>
    <w:rsid w:val="00923B78"/>
    <w:rsid w:val="00924BA6"/>
    <w:rsid w:val="009334B7"/>
    <w:rsid w:val="00933ADE"/>
    <w:rsid w:val="00933CC8"/>
    <w:rsid w:val="009347F5"/>
    <w:rsid w:val="00934BB6"/>
    <w:rsid w:val="00940C3E"/>
    <w:rsid w:val="00941AC5"/>
    <w:rsid w:val="00942552"/>
    <w:rsid w:val="00942F0A"/>
    <w:rsid w:val="00944015"/>
    <w:rsid w:val="0094409E"/>
    <w:rsid w:val="00947B75"/>
    <w:rsid w:val="009561FC"/>
    <w:rsid w:val="00957CE9"/>
    <w:rsid w:val="0096046D"/>
    <w:rsid w:val="00963EE6"/>
    <w:rsid w:val="00964BE7"/>
    <w:rsid w:val="00973433"/>
    <w:rsid w:val="0097466A"/>
    <w:rsid w:val="0098175A"/>
    <w:rsid w:val="00987B59"/>
    <w:rsid w:val="00992C55"/>
    <w:rsid w:val="009A0311"/>
    <w:rsid w:val="009A0D3E"/>
    <w:rsid w:val="009A67C6"/>
    <w:rsid w:val="009A6F9D"/>
    <w:rsid w:val="009A7683"/>
    <w:rsid w:val="009A7C6A"/>
    <w:rsid w:val="009B1351"/>
    <w:rsid w:val="009B1650"/>
    <w:rsid w:val="009B1800"/>
    <w:rsid w:val="009B33F2"/>
    <w:rsid w:val="009C25C7"/>
    <w:rsid w:val="009C2712"/>
    <w:rsid w:val="009C7A79"/>
    <w:rsid w:val="009D1C28"/>
    <w:rsid w:val="009D21BF"/>
    <w:rsid w:val="009D3E73"/>
    <w:rsid w:val="009D77FD"/>
    <w:rsid w:val="009E0316"/>
    <w:rsid w:val="009E0B5E"/>
    <w:rsid w:val="009E3295"/>
    <w:rsid w:val="009F001B"/>
    <w:rsid w:val="009F2211"/>
    <w:rsid w:val="009F75B9"/>
    <w:rsid w:val="009F772C"/>
    <w:rsid w:val="00A05092"/>
    <w:rsid w:val="00A106E2"/>
    <w:rsid w:val="00A125F7"/>
    <w:rsid w:val="00A14525"/>
    <w:rsid w:val="00A20EA0"/>
    <w:rsid w:val="00A32345"/>
    <w:rsid w:val="00A35C95"/>
    <w:rsid w:val="00A360F2"/>
    <w:rsid w:val="00A368C5"/>
    <w:rsid w:val="00A36978"/>
    <w:rsid w:val="00A36AE7"/>
    <w:rsid w:val="00A36FE9"/>
    <w:rsid w:val="00A40528"/>
    <w:rsid w:val="00A42187"/>
    <w:rsid w:val="00A42A66"/>
    <w:rsid w:val="00A45525"/>
    <w:rsid w:val="00A46ED7"/>
    <w:rsid w:val="00A529C4"/>
    <w:rsid w:val="00A61C60"/>
    <w:rsid w:val="00A622EE"/>
    <w:rsid w:val="00A6513D"/>
    <w:rsid w:val="00A66ECE"/>
    <w:rsid w:val="00A66EF0"/>
    <w:rsid w:val="00A670D1"/>
    <w:rsid w:val="00A72018"/>
    <w:rsid w:val="00A77C3A"/>
    <w:rsid w:val="00A805A4"/>
    <w:rsid w:val="00A810AD"/>
    <w:rsid w:val="00A83A6B"/>
    <w:rsid w:val="00A8469F"/>
    <w:rsid w:val="00A84A2D"/>
    <w:rsid w:val="00A9076D"/>
    <w:rsid w:val="00A940CC"/>
    <w:rsid w:val="00A96CE7"/>
    <w:rsid w:val="00AA14F2"/>
    <w:rsid w:val="00AA7152"/>
    <w:rsid w:val="00AA76E3"/>
    <w:rsid w:val="00AA770B"/>
    <w:rsid w:val="00AB0A00"/>
    <w:rsid w:val="00AB5C96"/>
    <w:rsid w:val="00AB707C"/>
    <w:rsid w:val="00AC0482"/>
    <w:rsid w:val="00AC49DE"/>
    <w:rsid w:val="00AC5213"/>
    <w:rsid w:val="00AC6F6F"/>
    <w:rsid w:val="00AD704E"/>
    <w:rsid w:val="00AE101B"/>
    <w:rsid w:val="00AF29FA"/>
    <w:rsid w:val="00AF2C26"/>
    <w:rsid w:val="00AF3B1E"/>
    <w:rsid w:val="00AF3BDA"/>
    <w:rsid w:val="00AF77E0"/>
    <w:rsid w:val="00B017C6"/>
    <w:rsid w:val="00B01AD5"/>
    <w:rsid w:val="00B07EE0"/>
    <w:rsid w:val="00B11127"/>
    <w:rsid w:val="00B11412"/>
    <w:rsid w:val="00B119BD"/>
    <w:rsid w:val="00B14337"/>
    <w:rsid w:val="00B15656"/>
    <w:rsid w:val="00B1793B"/>
    <w:rsid w:val="00B17B2F"/>
    <w:rsid w:val="00B25A2E"/>
    <w:rsid w:val="00B261FC"/>
    <w:rsid w:val="00B26C3D"/>
    <w:rsid w:val="00B26C79"/>
    <w:rsid w:val="00B27B67"/>
    <w:rsid w:val="00B30EAD"/>
    <w:rsid w:val="00B32557"/>
    <w:rsid w:val="00B33795"/>
    <w:rsid w:val="00B37093"/>
    <w:rsid w:val="00B404E5"/>
    <w:rsid w:val="00B4057B"/>
    <w:rsid w:val="00B438C1"/>
    <w:rsid w:val="00B5065B"/>
    <w:rsid w:val="00B54376"/>
    <w:rsid w:val="00B6219F"/>
    <w:rsid w:val="00B642CC"/>
    <w:rsid w:val="00B654EC"/>
    <w:rsid w:val="00B6757B"/>
    <w:rsid w:val="00B67776"/>
    <w:rsid w:val="00B70E5A"/>
    <w:rsid w:val="00B711BE"/>
    <w:rsid w:val="00B73034"/>
    <w:rsid w:val="00B73912"/>
    <w:rsid w:val="00B806C5"/>
    <w:rsid w:val="00B82E35"/>
    <w:rsid w:val="00B855C4"/>
    <w:rsid w:val="00B87EC6"/>
    <w:rsid w:val="00B91659"/>
    <w:rsid w:val="00B92E48"/>
    <w:rsid w:val="00B93BA0"/>
    <w:rsid w:val="00BB0FF7"/>
    <w:rsid w:val="00BB121D"/>
    <w:rsid w:val="00BB6A10"/>
    <w:rsid w:val="00BB7C39"/>
    <w:rsid w:val="00BC0523"/>
    <w:rsid w:val="00BC556C"/>
    <w:rsid w:val="00BC658B"/>
    <w:rsid w:val="00BC6DA3"/>
    <w:rsid w:val="00BC742E"/>
    <w:rsid w:val="00BD4CDB"/>
    <w:rsid w:val="00BD7648"/>
    <w:rsid w:val="00BE1D83"/>
    <w:rsid w:val="00BE23CF"/>
    <w:rsid w:val="00BE32DF"/>
    <w:rsid w:val="00BE3F2A"/>
    <w:rsid w:val="00BE46C8"/>
    <w:rsid w:val="00BE50F1"/>
    <w:rsid w:val="00BE5EF9"/>
    <w:rsid w:val="00BE63BB"/>
    <w:rsid w:val="00BF69E3"/>
    <w:rsid w:val="00C01C7A"/>
    <w:rsid w:val="00C038EB"/>
    <w:rsid w:val="00C03A42"/>
    <w:rsid w:val="00C05F3D"/>
    <w:rsid w:val="00C06401"/>
    <w:rsid w:val="00C135FF"/>
    <w:rsid w:val="00C21724"/>
    <w:rsid w:val="00C2354C"/>
    <w:rsid w:val="00C26942"/>
    <w:rsid w:val="00C27482"/>
    <w:rsid w:val="00C33336"/>
    <w:rsid w:val="00C34AFE"/>
    <w:rsid w:val="00C3646B"/>
    <w:rsid w:val="00C40323"/>
    <w:rsid w:val="00C4437F"/>
    <w:rsid w:val="00C45BA2"/>
    <w:rsid w:val="00C50F37"/>
    <w:rsid w:val="00C51D0F"/>
    <w:rsid w:val="00C521B3"/>
    <w:rsid w:val="00C52E80"/>
    <w:rsid w:val="00C54E3F"/>
    <w:rsid w:val="00C56200"/>
    <w:rsid w:val="00C654A7"/>
    <w:rsid w:val="00C743CC"/>
    <w:rsid w:val="00C76194"/>
    <w:rsid w:val="00C7767B"/>
    <w:rsid w:val="00C86B36"/>
    <w:rsid w:val="00C914D9"/>
    <w:rsid w:val="00C9309B"/>
    <w:rsid w:val="00CA35CC"/>
    <w:rsid w:val="00CA703C"/>
    <w:rsid w:val="00CA726E"/>
    <w:rsid w:val="00CB28CF"/>
    <w:rsid w:val="00CB354C"/>
    <w:rsid w:val="00CB5105"/>
    <w:rsid w:val="00CB60E0"/>
    <w:rsid w:val="00CC6C20"/>
    <w:rsid w:val="00CE3362"/>
    <w:rsid w:val="00CE7E14"/>
    <w:rsid w:val="00CF4492"/>
    <w:rsid w:val="00D0298D"/>
    <w:rsid w:val="00D02BA5"/>
    <w:rsid w:val="00D1028C"/>
    <w:rsid w:val="00D12BE3"/>
    <w:rsid w:val="00D15CF2"/>
    <w:rsid w:val="00D171A9"/>
    <w:rsid w:val="00D20861"/>
    <w:rsid w:val="00D20E24"/>
    <w:rsid w:val="00D24748"/>
    <w:rsid w:val="00D27092"/>
    <w:rsid w:val="00D279A1"/>
    <w:rsid w:val="00D31EFC"/>
    <w:rsid w:val="00D3505C"/>
    <w:rsid w:val="00D364C7"/>
    <w:rsid w:val="00D36AF8"/>
    <w:rsid w:val="00D43B6D"/>
    <w:rsid w:val="00D45941"/>
    <w:rsid w:val="00D503C6"/>
    <w:rsid w:val="00D53F39"/>
    <w:rsid w:val="00D552D4"/>
    <w:rsid w:val="00D554D7"/>
    <w:rsid w:val="00D5623E"/>
    <w:rsid w:val="00D613EB"/>
    <w:rsid w:val="00D6736C"/>
    <w:rsid w:val="00D75956"/>
    <w:rsid w:val="00D76523"/>
    <w:rsid w:val="00D7776B"/>
    <w:rsid w:val="00D811BF"/>
    <w:rsid w:val="00D820A7"/>
    <w:rsid w:val="00D8281B"/>
    <w:rsid w:val="00D83509"/>
    <w:rsid w:val="00D87583"/>
    <w:rsid w:val="00D94C02"/>
    <w:rsid w:val="00D95641"/>
    <w:rsid w:val="00D9673B"/>
    <w:rsid w:val="00DA0DE3"/>
    <w:rsid w:val="00DA2746"/>
    <w:rsid w:val="00DA2FC0"/>
    <w:rsid w:val="00DA3E29"/>
    <w:rsid w:val="00DA72CE"/>
    <w:rsid w:val="00DA77C5"/>
    <w:rsid w:val="00DB13D9"/>
    <w:rsid w:val="00DB39FB"/>
    <w:rsid w:val="00DB5063"/>
    <w:rsid w:val="00DB6D2A"/>
    <w:rsid w:val="00DB745C"/>
    <w:rsid w:val="00DC31CA"/>
    <w:rsid w:val="00DD64FF"/>
    <w:rsid w:val="00DD7BAA"/>
    <w:rsid w:val="00DD7CF8"/>
    <w:rsid w:val="00DD7D33"/>
    <w:rsid w:val="00DE359D"/>
    <w:rsid w:val="00DE639B"/>
    <w:rsid w:val="00DF0E0B"/>
    <w:rsid w:val="00DF232D"/>
    <w:rsid w:val="00DF6053"/>
    <w:rsid w:val="00DF66FB"/>
    <w:rsid w:val="00E05509"/>
    <w:rsid w:val="00E05F86"/>
    <w:rsid w:val="00E17726"/>
    <w:rsid w:val="00E2451D"/>
    <w:rsid w:val="00E25917"/>
    <w:rsid w:val="00E3536F"/>
    <w:rsid w:val="00E36FF0"/>
    <w:rsid w:val="00E37145"/>
    <w:rsid w:val="00E4616D"/>
    <w:rsid w:val="00E47E02"/>
    <w:rsid w:val="00E5156B"/>
    <w:rsid w:val="00E53D8D"/>
    <w:rsid w:val="00E5405D"/>
    <w:rsid w:val="00E54088"/>
    <w:rsid w:val="00E542F9"/>
    <w:rsid w:val="00E6072F"/>
    <w:rsid w:val="00E61D75"/>
    <w:rsid w:val="00E654A6"/>
    <w:rsid w:val="00E70B28"/>
    <w:rsid w:val="00E743E2"/>
    <w:rsid w:val="00E82B2C"/>
    <w:rsid w:val="00E9543C"/>
    <w:rsid w:val="00E95570"/>
    <w:rsid w:val="00E95D27"/>
    <w:rsid w:val="00E97222"/>
    <w:rsid w:val="00E97ADF"/>
    <w:rsid w:val="00E97F94"/>
    <w:rsid w:val="00EA204A"/>
    <w:rsid w:val="00EA3963"/>
    <w:rsid w:val="00EA7AD1"/>
    <w:rsid w:val="00EA7EB6"/>
    <w:rsid w:val="00EB13B4"/>
    <w:rsid w:val="00EB1B3E"/>
    <w:rsid w:val="00EB5E38"/>
    <w:rsid w:val="00EC2E20"/>
    <w:rsid w:val="00EC3D38"/>
    <w:rsid w:val="00EC5322"/>
    <w:rsid w:val="00EC6DDC"/>
    <w:rsid w:val="00EE353E"/>
    <w:rsid w:val="00EE3762"/>
    <w:rsid w:val="00EE3767"/>
    <w:rsid w:val="00EF0861"/>
    <w:rsid w:val="00EF6DD1"/>
    <w:rsid w:val="00F00F24"/>
    <w:rsid w:val="00F04BB3"/>
    <w:rsid w:val="00F06106"/>
    <w:rsid w:val="00F06180"/>
    <w:rsid w:val="00F10407"/>
    <w:rsid w:val="00F17B06"/>
    <w:rsid w:val="00F25368"/>
    <w:rsid w:val="00F31765"/>
    <w:rsid w:val="00F31BD1"/>
    <w:rsid w:val="00F31E0B"/>
    <w:rsid w:val="00F3275F"/>
    <w:rsid w:val="00F35376"/>
    <w:rsid w:val="00F37A92"/>
    <w:rsid w:val="00F41513"/>
    <w:rsid w:val="00F41C19"/>
    <w:rsid w:val="00F43250"/>
    <w:rsid w:val="00F44166"/>
    <w:rsid w:val="00F44642"/>
    <w:rsid w:val="00F46E02"/>
    <w:rsid w:val="00F52025"/>
    <w:rsid w:val="00F53305"/>
    <w:rsid w:val="00F53545"/>
    <w:rsid w:val="00F5492E"/>
    <w:rsid w:val="00F56AD7"/>
    <w:rsid w:val="00F56EB9"/>
    <w:rsid w:val="00F62234"/>
    <w:rsid w:val="00F62C4D"/>
    <w:rsid w:val="00F63272"/>
    <w:rsid w:val="00F65ABB"/>
    <w:rsid w:val="00F668DF"/>
    <w:rsid w:val="00F6713E"/>
    <w:rsid w:val="00F6724F"/>
    <w:rsid w:val="00F72A93"/>
    <w:rsid w:val="00F73891"/>
    <w:rsid w:val="00F738AA"/>
    <w:rsid w:val="00F75592"/>
    <w:rsid w:val="00F7574D"/>
    <w:rsid w:val="00F75F92"/>
    <w:rsid w:val="00F76F66"/>
    <w:rsid w:val="00F77077"/>
    <w:rsid w:val="00F81F5A"/>
    <w:rsid w:val="00F83BC2"/>
    <w:rsid w:val="00F9459A"/>
    <w:rsid w:val="00F961FE"/>
    <w:rsid w:val="00FA087E"/>
    <w:rsid w:val="00FA4C33"/>
    <w:rsid w:val="00FA7523"/>
    <w:rsid w:val="00FB1A3A"/>
    <w:rsid w:val="00FB2AC9"/>
    <w:rsid w:val="00FB51C4"/>
    <w:rsid w:val="00FB5EE5"/>
    <w:rsid w:val="00FB6EDC"/>
    <w:rsid w:val="00FC098A"/>
    <w:rsid w:val="00FC4312"/>
    <w:rsid w:val="00FD066B"/>
    <w:rsid w:val="00FD30D7"/>
    <w:rsid w:val="00FD5EB2"/>
    <w:rsid w:val="00FE2989"/>
    <w:rsid w:val="00FE2C71"/>
    <w:rsid w:val="00FE2C98"/>
    <w:rsid w:val="00FE3918"/>
    <w:rsid w:val="00FE3BEE"/>
    <w:rsid w:val="00FE5A58"/>
    <w:rsid w:val="00FF0127"/>
    <w:rsid w:val="00FF0DB0"/>
    <w:rsid w:val="00FF210C"/>
    <w:rsid w:val="00FF22E9"/>
    <w:rsid w:val="00FF37AA"/>
    <w:rsid w:val="00FF42AF"/>
    <w:rsid w:val="00FF555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5AE9"/>
  <w15:docId w15:val="{30F934C8-929B-46CC-8FAE-91AE7150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0A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9E3"/>
    <w:rPr>
      <w:color w:val="0000FF"/>
      <w:u w:val="single"/>
    </w:rPr>
  </w:style>
  <w:style w:type="paragraph" w:styleId="BalloonText">
    <w:name w:val="Balloon Text"/>
    <w:basedOn w:val="Normal"/>
    <w:link w:val="BalloonTextChar"/>
    <w:uiPriority w:val="99"/>
    <w:semiHidden/>
    <w:unhideWhenUsed/>
    <w:rsid w:val="000B3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424"/>
    <w:rPr>
      <w:rFonts w:ascii="Tahoma" w:hAnsi="Tahoma" w:cs="Tahoma"/>
      <w:sz w:val="16"/>
      <w:szCs w:val="16"/>
    </w:rPr>
  </w:style>
  <w:style w:type="paragraph" w:styleId="FootnoteText">
    <w:name w:val="footnote text"/>
    <w:basedOn w:val="Normal"/>
    <w:link w:val="FootnoteTextChar"/>
    <w:uiPriority w:val="99"/>
    <w:semiHidden/>
    <w:unhideWhenUsed/>
    <w:rsid w:val="000261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18B"/>
    <w:rPr>
      <w:sz w:val="20"/>
      <w:szCs w:val="20"/>
    </w:rPr>
  </w:style>
  <w:style w:type="character" w:styleId="FootnoteReference">
    <w:name w:val="footnote reference"/>
    <w:basedOn w:val="DefaultParagraphFont"/>
    <w:uiPriority w:val="99"/>
    <w:semiHidden/>
    <w:unhideWhenUsed/>
    <w:rsid w:val="0002618B"/>
    <w:rPr>
      <w:vertAlign w:val="superscript"/>
    </w:rPr>
  </w:style>
  <w:style w:type="table" w:styleId="TableGrid">
    <w:name w:val="Table Grid"/>
    <w:basedOn w:val="TableNormal"/>
    <w:uiPriority w:val="59"/>
    <w:rsid w:val="001E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7AD1"/>
    <w:rPr>
      <w:color w:val="808080"/>
    </w:rPr>
  </w:style>
  <w:style w:type="character" w:customStyle="1" w:styleId="Heading1Char">
    <w:name w:val="Heading 1 Char"/>
    <w:basedOn w:val="DefaultParagraphFont"/>
    <w:link w:val="Heading1"/>
    <w:uiPriority w:val="9"/>
    <w:rsid w:val="00690A5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C511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5409"/>
    <w:rPr>
      <w:i/>
      <w:iCs/>
    </w:rPr>
  </w:style>
  <w:style w:type="paragraph" w:styleId="Header">
    <w:name w:val="header"/>
    <w:basedOn w:val="Normal"/>
    <w:link w:val="HeaderChar"/>
    <w:uiPriority w:val="99"/>
    <w:unhideWhenUsed/>
    <w:rsid w:val="007044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4DA"/>
  </w:style>
  <w:style w:type="paragraph" w:styleId="Footer">
    <w:name w:val="footer"/>
    <w:basedOn w:val="Normal"/>
    <w:link w:val="FooterChar"/>
    <w:uiPriority w:val="99"/>
    <w:unhideWhenUsed/>
    <w:rsid w:val="007044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4DA"/>
  </w:style>
  <w:style w:type="character" w:styleId="CommentReference">
    <w:name w:val="annotation reference"/>
    <w:basedOn w:val="DefaultParagraphFont"/>
    <w:uiPriority w:val="99"/>
    <w:semiHidden/>
    <w:unhideWhenUsed/>
    <w:rsid w:val="00AA76E3"/>
    <w:rPr>
      <w:sz w:val="16"/>
      <w:szCs w:val="16"/>
    </w:rPr>
  </w:style>
  <w:style w:type="paragraph" w:styleId="CommentText">
    <w:name w:val="annotation text"/>
    <w:basedOn w:val="Normal"/>
    <w:link w:val="CommentTextChar"/>
    <w:uiPriority w:val="99"/>
    <w:semiHidden/>
    <w:unhideWhenUsed/>
    <w:rsid w:val="00AA76E3"/>
    <w:pPr>
      <w:spacing w:line="240" w:lineRule="auto"/>
    </w:pPr>
    <w:rPr>
      <w:sz w:val="20"/>
      <w:szCs w:val="20"/>
    </w:rPr>
  </w:style>
  <w:style w:type="character" w:customStyle="1" w:styleId="CommentTextChar">
    <w:name w:val="Comment Text Char"/>
    <w:basedOn w:val="DefaultParagraphFont"/>
    <w:link w:val="CommentText"/>
    <w:uiPriority w:val="99"/>
    <w:semiHidden/>
    <w:rsid w:val="00AA76E3"/>
    <w:rPr>
      <w:sz w:val="20"/>
      <w:szCs w:val="20"/>
    </w:rPr>
  </w:style>
  <w:style w:type="paragraph" w:styleId="CommentSubject">
    <w:name w:val="annotation subject"/>
    <w:basedOn w:val="CommentText"/>
    <w:next w:val="CommentText"/>
    <w:link w:val="CommentSubjectChar"/>
    <w:uiPriority w:val="99"/>
    <w:semiHidden/>
    <w:unhideWhenUsed/>
    <w:rsid w:val="00AA76E3"/>
    <w:rPr>
      <w:b/>
      <w:bCs/>
    </w:rPr>
  </w:style>
  <w:style w:type="character" w:customStyle="1" w:styleId="CommentSubjectChar">
    <w:name w:val="Comment Subject Char"/>
    <w:basedOn w:val="CommentTextChar"/>
    <w:link w:val="CommentSubject"/>
    <w:uiPriority w:val="99"/>
    <w:semiHidden/>
    <w:rsid w:val="00AA76E3"/>
    <w:rPr>
      <w:b/>
      <w:bCs/>
      <w:sz w:val="20"/>
      <w:szCs w:val="20"/>
    </w:rPr>
  </w:style>
  <w:style w:type="paragraph" w:styleId="NoSpacing">
    <w:name w:val="No Spacing"/>
    <w:uiPriority w:val="1"/>
    <w:qFormat/>
    <w:rsid w:val="00BC658B"/>
    <w:pPr>
      <w:spacing w:after="0" w:line="240" w:lineRule="auto"/>
    </w:pPr>
  </w:style>
  <w:style w:type="character" w:customStyle="1" w:styleId="UnresolvedMention1">
    <w:name w:val="Unresolved Mention1"/>
    <w:basedOn w:val="DefaultParagraphFont"/>
    <w:uiPriority w:val="99"/>
    <w:semiHidden/>
    <w:unhideWhenUsed/>
    <w:rsid w:val="001C3D68"/>
    <w:rPr>
      <w:color w:val="605E5C"/>
      <w:shd w:val="clear" w:color="auto" w:fill="E1DFDD"/>
    </w:rPr>
  </w:style>
  <w:style w:type="paragraph" w:styleId="ListParagraph">
    <w:name w:val="List Paragraph"/>
    <w:basedOn w:val="Normal"/>
    <w:uiPriority w:val="34"/>
    <w:qFormat/>
    <w:rsid w:val="004976DE"/>
    <w:pPr>
      <w:ind w:left="720"/>
      <w:contextualSpacing/>
    </w:pPr>
  </w:style>
  <w:style w:type="character" w:customStyle="1" w:styleId="articlevolume">
    <w:name w:val="articlevolume"/>
    <w:basedOn w:val="DefaultParagraphFont"/>
    <w:rsid w:val="009137ED"/>
  </w:style>
  <w:style w:type="character" w:customStyle="1" w:styleId="pagerange">
    <w:name w:val="pagerange"/>
    <w:basedOn w:val="DefaultParagraphFont"/>
    <w:rsid w:val="00913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14295">
      <w:bodyDiv w:val="1"/>
      <w:marLeft w:val="0"/>
      <w:marRight w:val="0"/>
      <w:marTop w:val="0"/>
      <w:marBottom w:val="0"/>
      <w:divBdr>
        <w:top w:val="none" w:sz="0" w:space="0" w:color="auto"/>
        <w:left w:val="none" w:sz="0" w:space="0" w:color="auto"/>
        <w:bottom w:val="none" w:sz="0" w:space="0" w:color="auto"/>
        <w:right w:val="none" w:sz="0" w:space="0" w:color="auto"/>
      </w:divBdr>
    </w:div>
    <w:div w:id="370688918">
      <w:bodyDiv w:val="1"/>
      <w:marLeft w:val="0"/>
      <w:marRight w:val="0"/>
      <w:marTop w:val="0"/>
      <w:marBottom w:val="0"/>
      <w:divBdr>
        <w:top w:val="none" w:sz="0" w:space="0" w:color="auto"/>
        <w:left w:val="none" w:sz="0" w:space="0" w:color="auto"/>
        <w:bottom w:val="none" w:sz="0" w:space="0" w:color="auto"/>
        <w:right w:val="none" w:sz="0" w:space="0" w:color="auto"/>
      </w:divBdr>
    </w:div>
    <w:div w:id="621961964">
      <w:bodyDiv w:val="1"/>
      <w:marLeft w:val="0"/>
      <w:marRight w:val="0"/>
      <w:marTop w:val="0"/>
      <w:marBottom w:val="0"/>
      <w:divBdr>
        <w:top w:val="none" w:sz="0" w:space="0" w:color="auto"/>
        <w:left w:val="none" w:sz="0" w:space="0" w:color="auto"/>
        <w:bottom w:val="none" w:sz="0" w:space="0" w:color="auto"/>
        <w:right w:val="none" w:sz="0" w:space="0" w:color="auto"/>
      </w:divBdr>
    </w:div>
    <w:div w:id="672420503">
      <w:bodyDiv w:val="1"/>
      <w:marLeft w:val="0"/>
      <w:marRight w:val="0"/>
      <w:marTop w:val="0"/>
      <w:marBottom w:val="0"/>
      <w:divBdr>
        <w:top w:val="none" w:sz="0" w:space="0" w:color="auto"/>
        <w:left w:val="none" w:sz="0" w:space="0" w:color="auto"/>
        <w:bottom w:val="none" w:sz="0" w:space="0" w:color="auto"/>
        <w:right w:val="none" w:sz="0" w:space="0" w:color="auto"/>
      </w:divBdr>
    </w:div>
    <w:div w:id="751195719">
      <w:bodyDiv w:val="1"/>
      <w:marLeft w:val="0"/>
      <w:marRight w:val="0"/>
      <w:marTop w:val="0"/>
      <w:marBottom w:val="0"/>
      <w:divBdr>
        <w:top w:val="none" w:sz="0" w:space="0" w:color="auto"/>
        <w:left w:val="none" w:sz="0" w:space="0" w:color="auto"/>
        <w:bottom w:val="none" w:sz="0" w:space="0" w:color="auto"/>
        <w:right w:val="none" w:sz="0" w:space="0" w:color="auto"/>
      </w:divBdr>
    </w:div>
    <w:div w:id="1212962183">
      <w:bodyDiv w:val="1"/>
      <w:marLeft w:val="0"/>
      <w:marRight w:val="0"/>
      <w:marTop w:val="0"/>
      <w:marBottom w:val="0"/>
      <w:divBdr>
        <w:top w:val="none" w:sz="0" w:space="0" w:color="auto"/>
        <w:left w:val="none" w:sz="0" w:space="0" w:color="auto"/>
        <w:bottom w:val="none" w:sz="0" w:space="0" w:color="auto"/>
        <w:right w:val="none" w:sz="0" w:space="0" w:color="auto"/>
      </w:divBdr>
    </w:div>
    <w:div w:id="1759208078">
      <w:bodyDiv w:val="1"/>
      <w:marLeft w:val="0"/>
      <w:marRight w:val="0"/>
      <w:marTop w:val="0"/>
      <w:marBottom w:val="0"/>
      <w:divBdr>
        <w:top w:val="none" w:sz="0" w:space="0" w:color="auto"/>
        <w:left w:val="none" w:sz="0" w:space="0" w:color="auto"/>
        <w:bottom w:val="none" w:sz="0" w:space="0" w:color="auto"/>
        <w:right w:val="none" w:sz="0" w:space="0" w:color="auto"/>
      </w:divBdr>
    </w:div>
    <w:div w:id="2059010885">
      <w:bodyDiv w:val="1"/>
      <w:marLeft w:val="0"/>
      <w:marRight w:val="0"/>
      <w:marTop w:val="0"/>
      <w:marBottom w:val="0"/>
      <w:divBdr>
        <w:top w:val="none" w:sz="0" w:space="0" w:color="auto"/>
        <w:left w:val="none" w:sz="0" w:space="0" w:color="auto"/>
        <w:bottom w:val="none" w:sz="0" w:space="0" w:color="auto"/>
        <w:right w:val="none" w:sz="0" w:space="0" w:color="auto"/>
      </w:divBdr>
      <w:divsChild>
        <w:div w:id="810632537">
          <w:marLeft w:val="562"/>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emf"/></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21EB0-FA86-4FFA-8444-7B62A7F5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3003</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Anupam</dc:creator>
  <cp:lastModifiedBy>Tapas Mishra</cp:lastModifiedBy>
  <cp:revision>3</cp:revision>
  <cp:lastPrinted>2019-04-13T21:48:00Z</cp:lastPrinted>
  <dcterms:created xsi:type="dcterms:W3CDTF">2020-10-01T18:51:00Z</dcterms:created>
  <dcterms:modified xsi:type="dcterms:W3CDTF">2020-10-01T18:51:00Z</dcterms:modified>
</cp:coreProperties>
</file>